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52777455"/>
        <w:docPartObj>
          <w:docPartGallery w:val="Cover Pages"/>
          <w:docPartUnique/>
        </w:docPartObj>
      </w:sdtPr>
      <w:sdtEndPr/>
      <w:sdtContent>
        <w:p w:rsidR="002A0BA6" w:rsidRPr="002A0BA6" w:rsidRDefault="00166F28" w:rsidP="006E0793">
          <w:pPr>
            <w:pStyle w:val="ReportTitle"/>
            <w:spacing w:before="4800"/>
            <w:ind w:left="360"/>
            <w:rPr>
              <w:noProof/>
              <w:lang w:eastAsia="en-AU"/>
            </w:rPr>
          </w:pPr>
          <w:r>
            <w:rPr>
              <w:noProof/>
              <w:lang w:eastAsia="en-AU"/>
            </w:rPr>
            <w:drawing>
              <wp:anchor distT="0" distB="0" distL="114300" distR="114300" simplePos="0" relativeHeight="251660288" behindDoc="1" locked="0" layoutInCell="1" allowOverlap="1" wp14:anchorId="7E52084B" wp14:editId="2C152FF1">
                <wp:simplePos x="0" y="0"/>
                <wp:positionH relativeFrom="column">
                  <wp:posOffset>-933450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r w:rsidR="004B7B5B">
            <w:rPr>
              <w:noProof/>
              <w:lang w:eastAsia="en-AU"/>
            </w:rPr>
            <w:t>Annual report on the performance of the retail energy market</w:t>
          </w:r>
        </w:p>
        <w:p w:rsidR="002956ED" w:rsidRPr="002956ED" w:rsidRDefault="004B7B5B" w:rsidP="002956ED">
          <w:pPr>
            <w:pStyle w:val="ReportSubtitle"/>
            <w:spacing w:before="240"/>
          </w:pPr>
          <w:r>
            <w:t>2013-14</w:t>
          </w:r>
        </w:p>
        <w:p w:rsidR="00847401" w:rsidRDefault="00847401" w:rsidP="002956ED">
          <w:pPr>
            <w:pStyle w:val="ReportTitle"/>
            <w:sectPr w:rsidR="00847401" w:rsidSect="006D6E45">
              <w:footerReference w:type="default" r:id="rId10"/>
              <w:footerReference w:type="first" r:id="rId11"/>
              <w:pgSz w:w="11906" w:h="16838"/>
              <w:pgMar w:top="1440" w:right="1440" w:bottom="1440" w:left="1440" w:header="708" w:footer="708" w:gutter="0"/>
              <w:pgNumType w:start="1"/>
              <w:cols w:space="708"/>
              <w:titlePg/>
              <w:docGrid w:linePitch="360"/>
            </w:sectPr>
          </w:pPr>
        </w:p>
        <w:p w:rsidR="00EF456F" w:rsidRDefault="00F70488" w:rsidP="002956ED">
          <w:pPr>
            <w:pStyle w:val="ReportTitle"/>
          </w:pPr>
        </w:p>
      </w:sdtContent>
    </w:sdt>
    <w:p w:rsidR="00EF456F" w:rsidRDefault="00EF456F" w:rsidP="005C3C73">
      <w:pPr>
        <w:pStyle w:val="Copyright"/>
        <w:spacing w:before="4200"/>
      </w:pPr>
      <w:r>
        <w:t>© Commonwealth of Australia 2014</w:t>
      </w:r>
    </w:p>
    <w:p w:rsidR="005C3C73" w:rsidRDefault="005C3C73" w:rsidP="005C3C73">
      <w:pPr>
        <w:pStyle w:val="Copyright"/>
      </w:pPr>
      <w:r>
        <w:t>This work is copyright. In addition to any use permitted under the Copyright Act 1968, all material contained within this work is provided under a Creative Commons Attributions 3.0 Australia licence, with the exception of:</w:t>
      </w:r>
    </w:p>
    <w:p w:rsidR="005C3C73" w:rsidRDefault="005C3C73" w:rsidP="009E4964">
      <w:pPr>
        <w:pStyle w:val="Copyright"/>
        <w:numPr>
          <w:ilvl w:val="0"/>
          <w:numId w:val="8"/>
        </w:numPr>
        <w:spacing w:after="240"/>
      </w:pPr>
      <w:r>
        <w:t>the Commonwealth Coat of Arms</w:t>
      </w:r>
    </w:p>
    <w:p w:rsidR="005C3C73" w:rsidRDefault="005C3C73" w:rsidP="009E4964">
      <w:pPr>
        <w:pStyle w:val="Copyright"/>
        <w:numPr>
          <w:ilvl w:val="0"/>
          <w:numId w:val="8"/>
        </w:numPr>
        <w:spacing w:after="240"/>
      </w:pPr>
      <w:r>
        <w:t>the ACCC and AER logos</w:t>
      </w:r>
    </w:p>
    <w:p w:rsidR="005C3C73" w:rsidRDefault="005C3C73" w:rsidP="005C3C73">
      <w:pPr>
        <w:pStyle w:val="Copyright"/>
      </w:pPr>
      <w: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5C3C73" w:rsidRDefault="005C3C73" w:rsidP="005C3C73">
      <w:pPr>
        <w:pStyle w:val="Copyright"/>
      </w:pPr>
      <w:r>
        <w:t>Requests and inquiries concerning reproduction and rights should be addressed to the Director, Corporate Communications, Australian Competition and Consumer Commission, GPO Box 4141, Canberra ACT 2601 or publishing.unit@accc.gov.au.</w:t>
      </w:r>
    </w:p>
    <w:p w:rsidR="005C3C73" w:rsidRPr="00C829B7" w:rsidRDefault="005C3C73" w:rsidP="005C3C73">
      <w:pPr>
        <w:pStyle w:val="Copyright"/>
      </w:pPr>
      <w:r>
        <w:t>Inquiries about this publication should be addressed to:</w:t>
      </w:r>
    </w:p>
    <w:p w:rsidR="005C3C73" w:rsidRDefault="005C3C73" w:rsidP="005C3C73">
      <w:pPr>
        <w:pStyle w:val="Copyright"/>
      </w:pPr>
      <w:r>
        <w:t>Australian Energy Regulator</w:t>
      </w:r>
    </w:p>
    <w:p w:rsidR="005C3C73" w:rsidRDefault="005C3C73" w:rsidP="005C3C73">
      <w:pPr>
        <w:pStyle w:val="Copyright"/>
      </w:pPr>
      <w:r>
        <w:t>GPO Box 520</w:t>
      </w:r>
    </w:p>
    <w:p w:rsidR="005C3C73" w:rsidRDefault="005C3C73" w:rsidP="005C3C73">
      <w:pPr>
        <w:pStyle w:val="Copyright"/>
      </w:pPr>
      <w:r>
        <w:t>Melbourne  Vic  3001</w:t>
      </w:r>
    </w:p>
    <w:p w:rsidR="005C3C73" w:rsidRDefault="005C3C73" w:rsidP="005C3C73">
      <w:pPr>
        <w:pStyle w:val="Copyright"/>
      </w:pPr>
      <w:r>
        <w:t>Tel: (03) 9290 1444</w:t>
      </w:r>
    </w:p>
    <w:p w:rsidR="005C3C73" w:rsidRDefault="005C3C73" w:rsidP="005C3C73">
      <w:pPr>
        <w:pStyle w:val="Copyright"/>
      </w:pPr>
      <w:r>
        <w:t>Fax: (03) 9290 1457</w:t>
      </w:r>
    </w:p>
    <w:p w:rsidR="005C3C73" w:rsidRDefault="005C3C73" w:rsidP="005C3C73">
      <w:pPr>
        <w:pStyle w:val="Copyright"/>
        <w:rPr>
          <w:rStyle w:val="Hyperlink"/>
        </w:rPr>
      </w:pPr>
      <w:r>
        <w:t xml:space="preserve">Email: </w:t>
      </w:r>
      <w:hyperlink r:id="rId12" w:history="1">
        <w:r w:rsidRPr="00D64888">
          <w:rPr>
            <w:rStyle w:val="Hyperlink"/>
          </w:rPr>
          <w:t>AERInquiry@aer.gov.au</w:t>
        </w:r>
      </w:hyperlink>
    </w:p>
    <w:p w:rsidR="00006B9E" w:rsidRDefault="00006B9E" w:rsidP="00006B9E">
      <w:pPr>
        <w:pStyle w:val="Copyright"/>
      </w:pPr>
      <w:r>
        <w:t xml:space="preserve">AER Reference: </w:t>
      </w:r>
      <w:r w:rsidR="00ED4B27">
        <w:t>55694, 53410</w:t>
      </w:r>
    </w:p>
    <w:p w:rsidR="00EF456F" w:rsidRDefault="00EF456F" w:rsidP="009C613C"/>
    <w:p w:rsidR="005824AF" w:rsidRPr="005875FD" w:rsidRDefault="005875FD" w:rsidP="009C613C">
      <w:pPr>
        <w:rPr>
          <w:b/>
        </w:rPr>
      </w:pPr>
      <w:r w:rsidRPr="005875FD">
        <w:rPr>
          <w:b/>
        </w:rPr>
        <w:t>Amendment Record</w:t>
      </w:r>
    </w:p>
    <w:tbl>
      <w:tblPr>
        <w:tblStyle w:val="AERTable-Text"/>
        <w:tblW w:w="0" w:type="auto"/>
        <w:tblLook w:val="04A0" w:firstRow="1" w:lastRow="0" w:firstColumn="1" w:lastColumn="0" w:noHBand="0" w:noVBand="1"/>
      </w:tblPr>
      <w:tblGrid>
        <w:gridCol w:w="3080"/>
        <w:gridCol w:w="3081"/>
        <w:gridCol w:w="3081"/>
      </w:tblGrid>
      <w:tr w:rsidR="005875FD" w:rsidTr="005875FD">
        <w:trPr>
          <w:cnfStyle w:val="100000000000" w:firstRow="1" w:lastRow="0" w:firstColumn="0" w:lastColumn="0" w:oddVBand="0" w:evenVBand="0" w:oddHBand="0" w:evenHBand="0" w:firstRowFirstColumn="0" w:firstRowLastColumn="0" w:lastRowFirstColumn="0" w:lastRowLastColumn="0"/>
        </w:trPr>
        <w:tc>
          <w:tcPr>
            <w:tcW w:w="3080" w:type="dxa"/>
          </w:tcPr>
          <w:p w:rsidR="005875FD" w:rsidRDefault="005875FD">
            <w:pPr>
              <w:spacing w:before="0" w:after="200"/>
            </w:pPr>
            <w:r>
              <w:t>Version</w:t>
            </w:r>
          </w:p>
        </w:tc>
        <w:tc>
          <w:tcPr>
            <w:tcW w:w="3081" w:type="dxa"/>
          </w:tcPr>
          <w:p w:rsidR="005875FD" w:rsidRDefault="005875FD">
            <w:pPr>
              <w:spacing w:before="0" w:after="200"/>
            </w:pPr>
            <w:r>
              <w:t>Date</w:t>
            </w:r>
          </w:p>
        </w:tc>
        <w:tc>
          <w:tcPr>
            <w:tcW w:w="3081" w:type="dxa"/>
          </w:tcPr>
          <w:p w:rsidR="005875FD" w:rsidRDefault="005875FD">
            <w:pPr>
              <w:spacing w:before="0" w:after="200"/>
            </w:pPr>
            <w:r>
              <w:t>Pages</w:t>
            </w:r>
          </w:p>
        </w:tc>
      </w:tr>
      <w:tr w:rsidR="005875FD" w:rsidTr="005875FD">
        <w:tc>
          <w:tcPr>
            <w:tcW w:w="3080" w:type="dxa"/>
          </w:tcPr>
          <w:p w:rsidR="005875FD" w:rsidRDefault="00CE32E9">
            <w:pPr>
              <w:spacing w:before="0" w:after="200"/>
            </w:pPr>
            <w:r>
              <w:t>Final report</w:t>
            </w:r>
          </w:p>
        </w:tc>
        <w:tc>
          <w:tcPr>
            <w:tcW w:w="3081" w:type="dxa"/>
          </w:tcPr>
          <w:p w:rsidR="005875FD" w:rsidRDefault="006F3C6C">
            <w:pPr>
              <w:spacing w:before="0" w:after="200"/>
            </w:pPr>
            <w:r>
              <w:t>25</w:t>
            </w:r>
            <w:r w:rsidR="00E014D5">
              <w:t xml:space="preserve"> November</w:t>
            </w:r>
            <w:r w:rsidR="004B7B5B">
              <w:t xml:space="preserve"> 2014</w:t>
            </w:r>
          </w:p>
        </w:tc>
        <w:tc>
          <w:tcPr>
            <w:tcW w:w="3081" w:type="dxa"/>
          </w:tcPr>
          <w:p w:rsidR="005875FD" w:rsidRDefault="00ED4B27" w:rsidP="006F3C6C">
            <w:pPr>
              <w:spacing w:before="0" w:after="200"/>
            </w:pPr>
            <w:r>
              <w:t>1</w:t>
            </w:r>
            <w:r w:rsidR="006F3C6C">
              <w:t>0</w:t>
            </w:r>
            <w:r w:rsidR="00720C6E">
              <w:t>2</w:t>
            </w:r>
          </w:p>
        </w:tc>
      </w:tr>
    </w:tbl>
    <w:sdt>
      <w:sdtPr>
        <w:rPr>
          <w:rFonts w:cstheme="minorBidi"/>
          <w:color w:val="70635A"/>
          <w:sz w:val="24"/>
          <w:szCs w:val="22"/>
        </w:rPr>
        <w:id w:val="589273266"/>
        <w:docPartObj>
          <w:docPartGallery w:val="Table of Contents"/>
          <w:docPartUnique/>
        </w:docPartObj>
      </w:sdtPr>
      <w:sdtEndPr>
        <w:rPr>
          <w:b w:val="0"/>
          <w:bCs/>
          <w:noProof/>
        </w:rPr>
      </w:sdtEndPr>
      <w:sdtContent>
        <w:p w:rsidR="005F20C2" w:rsidRPr="00FE2EBF" w:rsidRDefault="005F20C2">
          <w:pPr>
            <w:pStyle w:val="TOCHeading"/>
            <w:rPr>
              <w:rFonts w:eastAsiaTheme="majorEastAsia" w:cs="Arial"/>
              <w:bCs/>
              <w:color w:val="070692"/>
              <w:sz w:val="52"/>
              <w:szCs w:val="36"/>
            </w:rPr>
          </w:pPr>
          <w:r w:rsidRPr="00FE2EBF">
            <w:rPr>
              <w:rFonts w:eastAsiaTheme="majorEastAsia" w:cs="Arial"/>
              <w:bCs/>
              <w:color w:val="070692"/>
              <w:sz w:val="52"/>
              <w:szCs w:val="36"/>
            </w:rPr>
            <w:t>Contents</w:t>
          </w:r>
        </w:p>
        <w:p w:rsidR="00D722CB" w:rsidRDefault="005F20C2">
          <w:pPr>
            <w:pStyle w:val="TOC1"/>
            <w:rPr>
              <w:rFonts w:asciiTheme="minorHAnsi" w:eastAsiaTheme="minorEastAsia" w:hAnsiTheme="minorHAnsi"/>
              <w:b w:val="0"/>
              <w:noProof/>
              <w:color w:val="auto"/>
              <w:sz w:val="22"/>
              <w:lang w:eastAsia="en-AU"/>
            </w:rPr>
          </w:pPr>
          <w:r>
            <w:fldChar w:fldCharType="begin"/>
          </w:r>
          <w:r>
            <w:instrText xml:space="preserve"> TOC \o "1-3" \h \z \u </w:instrText>
          </w:r>
          <w:r>
            <w:fldChar w:fldCharType="separate"/>
          </w:r>
          <w:hyperlink w:anchor="_Toc402961376" w:history="1">
            <w:r w:rsidR="00D722CB" w:rsidRPr="00CA7AC4">
              <w:rPr>
                <w:rStyle w:val="Hyperlink"/>
                <w:noProof/>
              </w:rPr>
              <w:t>About this report</w:t>
            </w:r>
            <w:r w:rsidR="00D722CB">
              <w:rPr>
                <w:noProof/>
                <w:webHidden/>
              </w:rPr>
              <w:tab/>
            </w:r>
            <w:r w:rsidR="00D722CB">
              <w:rPr>
                <w:noProof/>
                <w:webHidden/>
              </w:rPr>
              <w:fldChar w:fldCharType="begin"/>
            </w:r>
            <w:r w:rsidR="00D722CB">
              <w:rPr>
                <w:noProof/>
                <w:webHidden/>
              </w:rPr>
              <w:instrText xml:space="preserve"> PAGEREF _Toc402961376 \h </w:instrText>
            </w:r>
            <w:r w:rsidR="00D722CB">
              <w:rPr>
                <w:noProof/>
                <w:webHidden/>
              </w:rPr>
            </w:r>
            <w:r w:rsidR="00D722CB">
              <w:rPr>
                <w:noProof/>
                <w:webHidden/>
              </w:rPr>
              <w:fldChar w:fldCharType="separate"/>
            </w:r>
            <w:r w:rsidR="002C16D2">
              <w:rPr>
                <w:noProof/>
                <w:webHidden/>
              </w:rPr>
              <w:t>3</w:t>
            </w:r>
            <w:r w:rsidR="00D722CB">
              <w:rPr>
                <w:noProof/>
                <w:webHidden/>
              </w:rPr>
              <w:fldChar w:fldCharType="end"/>
            </w:r>
          </w:hyperlink>
        </w:p>
        <w:p w:rsidR="00D722CB" w:rsidRDefault="00F70488">
          <w:pPr>
            <w:pStyle w:val="TOC1"/>
            <w:rPr>
              <w:rFonts w:asciiTheme="minorHAnsi" w:eastAsiaTheme="minorEastAsia" w:hAnsiTheme="minorHAnsi"/>
              <w:b w:val="0"/>
              <w:noProof/>
              <w:color w:val="auto"/>
              <w:sz w:val="22"/>
              <w:lang w:eastAsia="en-AU"/>
            </w:rPr>
          </w:pPr>
          <w:hyperlink w:anchor="_Toc402961377" w:history="1">
            <w:r w:rsidR="00D722CB" w:rsidRPr="00CA7AC4">
              <w:rPr>
                <w:rStyle w:val="Hyperlink"/>
                <w:noProof/>
              </w:rPr>
              <w:t>Key findings in 2013-14</w:t>
            </w:r>
            <w:r w:rsidR="00D722CB">
              <w:rPr>
                <w:noProof/>
                <w:webHidden/>
              </w:rPr>
              <w:tab/>
            </w:r>
            <w:r w:rsidR="00D722CB">
              <w:rPr>
                <w:noProof/>
                <w:webHidden/>
              </w:rPr>
              <w:fldChar w:fldCharType="begin"/>
            </w:r>
            <w:r w:rsidR="00D722CB">
              <w:rPr>
                <w:noProof/>
                <w:webHidden/>
              </w:rPr>
              <w:instrText xml:space="preserve"> PAGEREF _Toc402961377 \h </w:instrText>
            </w:r>
            <w:r w:rsidR="00D722CB">
              <w:rPr>
                <w:noProof/>
                <w:webHidden/>
              </w:rPr>
            </w:r>
            <w:r w:rsidR="00D722CB">
              <w:rPr>
                <w:noProof/>
                <w:webHidden/>
              </w:rPr>
              <w:fldChar w:fldCharType="separate"/>
            </w:r>
            <w:r w:rsidR="002C16D2">
              <w:rPr>
                <w:noProof/>
                <w:webHidden/>
              </w:rPr>
              <w:t>4</w:t>
            </w:r>
            <w:r w:rsidR="00D722CB">
              <w:rPr>
                <w:noProof/>
                <w:webHidden/>
              </w:rPr>
              <w:fldChar w:fldCharType="end"/>
            </w:r>
          </w:hyperlink>
        </w:p>
        <w:p w:rsidR="00D722CB" w:rsidRDefault="00F70488">
          <w:pPr>
            <w:pStyle w:val="TOC1"/>
            <w:rPr>
              <w:rFonts w:asciiTheme="minorHAnsi" w:eastAsiaTheme="minorEastAsia" w:hAnsiTheme="minorHAnsi"/>
              <w:b w:val="0"/>
              <w:noProof/>
              <w:color w:val="auto"/>
              <w:sz w:val="22"/>
              <w:lang w:eastAsia="en-AU"/>
            </w:rPr>
          </w:pPr>
          <w:hyperlink w:anchor="_Toc402961383" w:history="1">
            <w:r w:rsidR="00D722CB" w:rsidRPr="00CA7AC4">
              <w:rPr>
                <w:rStyle w:val="Hyperlink"/>
                <w:noProof/>
              </w:rPr>
              <w:t>1.</w:t>
            </w:r>
            <w:r w:rsidR="00D722CB">
              <w:rPr>
                <w:rFonts w:asciiTheme="minorHAnsi" w:eastAsiaTheme="minorEastAsia" w:hAnsiTheme="minorHAnsi"/>
                <w:b w:val="0"/>
                <w:noProof/>
                <w:color w:val="auto"/>
                <w:sz w:val="22"/>
                <w:lang w:eastAsia="en-AU"/>
              </w:rPr>
              <w:tab/>
            </w:r>
            <w:r w:rsidR="00D722CB" w:rsidRPr="00CA7AC4">
              <w:rPr>
                <w:rStyle w:val="Hyperlink"/>
                <w:noProof/>
              </w:rPr>
              <w:t>Competition in retail energy markets</w:t>
            </w:r>
            <w:r w:rsidR="00D722CB">
              <w:rPr>
                <w:noProof/>
                <w:webHidden/>
              </w:rPr>
              <w:tab/>
            </w:r>
            <w:r w:rsidR="00D722CB">
              <w:rPr>
                <w:noProof/>
                <w:webHidden/>
              </w:rPr>
              <w:fldChar w:fldCharType="begin"/>
            </w:r>
            <w:r w:rsidR="00D722CB">
              <w:rPr>
                <w:noProof/>
                <w:webHidden/>
              </w:rPr>
              <w:instrText xml:space="preserve"> PAGEREF _Toc402961383 \h </w:instrText>
            </w:r>
            <w:r w:rsidR="00D722CB">
              <w:rPr>
                <w:noProof/>
                <w:webHidden/>
              </w:rPr>
            </w:r>
            <w:r w:rsidR="00D722CB">
              <w:rPr>
                <w:noProof/>
                <w:webHidden/>
              </w:rPr>
              <w:fldChar w:fldCharType="separate"/>
            </w:r>
            <w:r w:rsidR="002C16D2">
              <w:rPr>
                <w:noProof/>
                <w:webHidden/>
              </w:rPr>
              <w:t>6</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84" w:history="1">
            <w:r w:rsidR="00D722CB" w:rsidRPr="00CA7AC4">
              <w:rPr>
                <w:rStyle w:val="Hyperlink"/>
                <w:rFonts w:cs="Arial"/>
                <w:noProof/>
              </w:rPr>
              <w:t>1.1.</w:t>
            </w:r>
            <w:r w:rsidR="00D722CB">
              <w:rPr>
                <w:rFonts w:asciiTheme="minorHAnsi" w:eastAsiaTheme="minorEastAsia" w:hAnsiTheme="minorHAnsi"/>
                <w:noProof/>
                <w:lang w:eastAsia="en-AU"/>
              </w:rPr>
              <w:tab/>
            </w:r>
            <w:r w:rsidR="00D722CB" w:rsidRPr="00CA7AC4">
              <w:rPr>
                <w:rStyle w:val="Hyperlink"/>
                <w:noProof/>
              </w:rPr>
              <w:t>Retail competition</w:t>
            </w:r>
            <w:r w:rsidR="00D722CB">
              <w:rPr>
                <w:noProof/>
                <w:webHidden/>
              </w:rPr>
              <w:tab/>
            </w:r>
            <w:r w:rsidR="00D722CB">
              <w:rPr>
                <w:noProof/>
                <w:webHidden/>
              </w:rPr>
              <w:fldChar w:fldCharType="begin"/>
            </w:r>
            <w:r w:rsidR="00D722CB">
              <w:rPr>
                <w:noProof/>
                <w:webHidden/>
              </w:rPr>
              <w:instrText xml:space="preserve"> PAGEREF _Toc402961384 \h </w:instrText>
            </w:r>
            <w:r w:rsidR="00D722CB">
              <w:rPr>
                <w:noProof/>
                <w:webHidden/>
              </w:rPr>
            </w:r>
            <w:r w:rsidR="00D722CB">
              <w:rPr>
                <w:noProof/>
                <w:webHidden/>
              </w:rPr>
              <w:fldChar w:fldCharType="separate"/>
            </w:r>
            <w:r w:rsidR="002C16D2">
              <w:rPr>
                <w:noProof/>
                <w:webHidden/>
              </w:rPr>
              <w:t>7</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87" w:history="1">
            <w:r w:rsidR="00D722CB" w:rsidRPr="00CA7AC4">
              <w:rPr>
                <w:rStyle w:val="Hyperlink"/>
                <w:rFonts w:cs="Arial"/>
                <w:noProof/>
              </w:rPr>
              <w:t>1.2.</w:t>
            </w:r>
            <w:r w:rsidR="00D722CB">
              <w:rPr>
                <w:rFonts w:asciiTheme="minorHAnsi" w:eastAsiaTheme="minorEastAsia" w:hAnsiTheme="minorHAnsi"/>
                <w:noProof/>
                <w:lang w:eastAsia="en-AU"/>
              </w:rPr>
              <w:tab/>
            </w:r>
            <w:r w:rsidR="00D722CB" w:rsidRPr="00CA7AC4">
              <w:rPr>
                <w:rStyle w:val="Hyperlink"/>
                <w:noProof/>
              </w:rPr>
              <w:t>Standard and market retail contracts</w:t>
            </w:r>
            <w:r w:rsidR="00D722CB">
              <w:rPr>
                <w:noProof/>
                <w:webHidden/>
              </w:rPr>
              <w:tab/>
            </w:r>
            <w:r w:rsidR="00D722CB">
              <w:rPr>
                <w:noProof/>
                <w:webHidden/>
              </w:rPr>
              <w:fldChar w:fldCharType="begin"/>
            </w:r>
            <w:r w:rsidR="00D722CB">
              <w:rPr>
                <w:noProof/>
                <w:webHidden/>
              </w:rPr>
              <w:instrText xml:space="preserve"> PAGEREF _Toc402961387 \h </w:instrText>
            </w:r>
            <w:r w:rsidR="00D722CB">
              <w:rPr>
                <w:noProof/>
                <w:webHidden/>
              </w:rPr>
            </w:r>
            <w:r w:rsidR="00D722CB">
              <w:rPr>
                <w:noProof/>
                <w:webHidden/>
              </w:rPr>
              <w:fldChar w:fldCharType="separate"/>
            </w:r>
            <w:r w:rsidR="002C16D2">
              <w:rPr>
                <w:noProof/>
                <w:webHidden/>
              </w:rPr>
              <w:t>9</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88" w:history="1">
            <w:r w:rsidR="00D722CB" w:rsidRPr="00CA7AC4">
              <w:rPr>
                <w:rStyle w:val="Hyperlink"/>
                <w:rFonts w:cs="Arial"/>
                <w:noProof/>
              </w:rPr>
              <w:t>1.3.</w:t>
            </w:r>
            <w:r w:rsidR="00D722CB">
              <w:rPr>
                <w:rFonts w:asciiTheme="minorHAnsi" w:eastAsiaTheme="minorEastAsia" w:hAnsiTheme="minorHAnsi"/>
                <w:noProof/>
                <w:lang w:eastAsia="en-AU"/>
              </w:rPr>
              <w:tab/>
            </w:r>
            <w:r w:rsidR="00D722CB" w:rsidRPr="00CA7AC4">
              <w:rPr>
                <w:rStyle w:val="Hyperlink"/>
                <w:noProof/>
              </w:rPr>
              <w:t>Customer switching rates</w:t>
            </w:r>
            <w:r w:rsidR="00D722CB">
              <w:rPr>
                <w:noProof/>
                <w:webHidden/>
              </w:rPr>
              <w:tab/>
            </w:r>
            <w:r w:rsidR="00D722CB">
              <w:rPr>
                <w:noProof/>
                <w:webHidden/>
              </w:rPr>
              <w:fldChar w:fldCharType="begin"/>
            </w:r>
            <w:r w:rsidR="00D722CB">
              <w:rPr>
                <w:noProof/>
                <w:webHidden/>
              </w:rPr>
              <w:instrText xml:space="preserve"> PAGEREF _Toc402961388 \h </w:instrText>
            </w:r>
            <w:r w:rsidR="00D722CB">
              <w:rPr>
                <w:noProof/>
                <w:webHidden/>
              </w:rPr>
            </w:r>
            <w:r w:rsidR="00D722CB">
              <w:rPr>
                <w:noProof/>
                <w:webHidden/>
              </w:rPr>
              <w:fldChar w:fldCharType="separate"/>
            </w:r>
            <w:r w:rsidR="002C16D2">
              <w:rPr>
                <w:noProof/>
                <w:webHidden/>
              </w:rPr>
              <w:t>11</w:t>
            </w:r>
            <w:r w:rsidR="00D722CB">
              <w:rPr>
                <w:noProof/>
                <w:webHidden/>
              </w:rPr>
              <w:fldChar w:fldCharType="end"/>
            </w:r>
          </w:hyperlink>
        </w:p>
        <w:p w:rsidR="00D722CB" w:rsidRDefault="00F70488">
          <w:pPr>
            <w:pStyle w:val="TOC1"/>
            <w:rPr>
              <w:rFonts w:asciiTheme="minorHAnsi" w:eastAsiaTheme="minorEastAsia" w:hAnsiTheme="minorHAnsi"/>
              <w:b w:val="0"/>
              <w:noProof/>
              <w:color w:val="auto"/>
              <w:sz w:val="22"/>
              <w:lang w:eastAsia="en-AU"/>
            </w:rPr>
          </w:pPr>
          <w:hyperlink w:anchor="_Toc402961389" w:history="1">
            <w:r w:rsidR="00D722CB" w:rsidRPr="00CA7AC4">
              <w:rPr>
                <w:rStyle w:val="Hyperlink"/>
                <w:noProof/>
              </w:rPr>
              <w:t>2.</w:t>
            </w:r>
            <w:r w:rsidR="00D722CB">
              <w:rPr>
                <w:rFonts w:asciiTheme="minorHAnsi" w:eastAsiaTheme="minorEastAsia" w:hAnsiTheme="minorHAnsi"/>
                <w:b w:val="0"/>
                <w:noProof/>
                <w:color w:val="auto"/>
                <w:sz w:val="22"/>
                <w:lang w:eastAsia="en-AU"/>
              </w:rPr>
              <w:tab/>
            </w:r>
            <w:r w:rsidR="00D722CB" w:rsidRPr="00CA7AC4">
              <w:rPr>
                <w:rStyle w:val="Hyperlink"/>
                <w:noProof/>
              </w:rPr>
              <w:t>Energy retailer performance</w:t>
            </w:r>
            <w:r w:rsidR="00D722CB">
              <w:rPr>
                <w:noProof/>
                <w:webHidden/>
              </w:rPr>
              <w:tab/>
            </w:r>
            <w:r w:rsidR="00D722CB">
              <w:rPr>
                <w:noProof/>
                <w:webHidden/>
              </w:rPr>
              <w:fldChar w:fldCharType="begin"/>
            </w:r>
            <w:r w:rsidR="00D722CB">
              <w:rPr>
                <w:noProof/>
                <w:webHidden/>
              </w:rPr>
              <w:instrText xml:space="preserve"> PAGEREF _Toc402961389 \h </w:instrText>
            </w:r>
            <w:r w:rsidR="00D722CB">
              <w:rPr>
                <w:noProof/>
                <w:webHidden/>
              </w:rPr>
            </w:r>
            <w:r w:rsidR="00D722CB">
              <w:rPr>
                <w:noProof/>
                <w:webHidden/>
              </w:rPr>
              <w:fldChar w:fldCharType="separate"/>
            </w:r>
            <w:r w:rsidR="002C16D2">
              <w:rPr>
                <w:noProof/>
                <w:webHidden/>
              </w:rPr>
              <w:t>14</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90" w:history="1">
            <w:r w:rsidR="00D722CB" w:rsidRPr="00CA7AC4">
              <w:rPr>
                <w:rStyle w:val="Hyperlink"/>
                <w:rFonts w:cs="Arial"/>
                <w:noProof/>
              </w:rPr>
              <w:t>2.1.</w:t>
            </w:r>
            <w:r w:rsidR="00D722CB">
              <w:rPr>
                <w:rFonts w:asciiTheme="minorHAnsi" w:eastAsiaTheme="minorEastAsia" w:hAnsiTheme="minorHAnsi"/>
                <w:noProof/>
                <w:lang w:eastAsia="en-AU"/>
              </w:rPr>
              <w:tab/>
            </w:r>
            <w:r w:rsidR="00D722CB" w:rsidRPr="00CA7AC4">
              <w:rPr>
                <w:rStyle w:val="Hyperlink"/>
                <w:noProof/>
              </w:rPr>
              <w:t>Customer service</w:t>
            </w:r>
            <w:r w:rsidR="00D722CB">
              <w:rPr>
                <w:noProof/>
                <w:webHidden/>
              </w:rPr>
              <w:tab/>
            </w:r>
            <w:r w:rsidR="00D722CB">
              <w:rPr>
                <w:noProof/>
                <w:webHidden/>
              </w:rPr>
              <w:fldChar w:fldCharType="begin"/>
            </w:r>
            <w:r w:rsidR="00D722CB">
              <w:rPr>
                <w:noProof/>
                <w:webHidden/>
              </w:rPr>
              <w:instrText xml:space="preserve"> PAGEREF _Toc402961390 \h </w:instrText>
            </w:r>
            <w:r w:rsidR="00D722CB">
              <w:rPr>
                <w:noProof/>
                <w:webHidden/>
              </w:rPr>
            </w:r>
            <w:r w:rsidR="00D722CB">
              <w:rPr>
                <w:noProof/>
                <w:webHidden/>
              </w:rPr>
              <w:fldChar w:fldCharType="separate"/>
            </w:r>
            <w:r w:rsidR="002C16D2">
              <w:rPr>
                <w:noProof/>
                <w:webHidden/>
              </w:rPr>
              <w:t>15</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91" w:history="1">
            <w:r w:rsidR="00D722CB" w:rsidRPr="00CA7AC4">
              <w:rPr>
                <w:rStyle w:val="Hyperlink"/>
                <w:rFonts w:cs="Arial"/>
                <w:noProof/>
              </w:rPr>
              <w:t>2.2.</w:t>
            </w:r>
            <w:r w:rsidR="00D722CB">
              <w:rPr>
                <w:rFonts w:asciiTheme="minorHAnsi" w:eastAsiaTheme="minorEastAsia" w:hAnsiTheme="minorHAnsi"/>
                <w:noProof/>
                <w:lang w:eastAsia="en-AU"/>
              </w:rPr>
              <w:tab/>
            </w:r>
            <w:r w:rsidR="00D722CB" w:rsidRPr="00CA7AC4">
              <w:rPr>
                <w:rStyle w:val="Hyperlink"/>
                <w:noProof/>
              </w:rPr>
              <w:t>Complaints</w:t>
            </w:r>
            <w:r w:rsidR="00D722CB">
              <w:rPr>
                <w:noProof/>
                <w:webHidden/>
              </w:rPr>
              <w:tab/>
            </w:r>
            <w:r w:rsidR="00D722CB">
              <w:rPr>
                <w:noProof/>
                <w:webHidden/>
              </w:rPr>
              <w:fldChar w:fldCharType="begin"/>
            </w:r>
            <w:r w:rsidR="00D722CB">
              <w:rPr>
                <w:noProof/>
                <w:webHidden/>
              </w:rPr>
              <w:instrText xml:space="preserve"> PAGEREF _Toc402961391 \h </w:instrText>
            </w:r>
            <w:r w:rsidR="00D722CB">
              <w:rPr>
                <w:noProof/>
                <w:webHidden/>
              </w:rPr>
            </w:r>
            <w:r w:rsidR="00D722CB">
              <w:rPr>
                <w:noProof/>
                <w:webHidden/>
              </w:rPr>
              <w:fldChar w:fldCharType="separate"/>
            </w:r>
            <w:r w:rsidR="002C16D2">
              <w:rPr>
                <w:noProof/>
                <w:webHidden/>
              </w:rPr>
              <w:t>18</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92" w:history="1">
            <w:r w:rsidR="00D722CB" w:rsidRPr="00CA7AC4">
              <w:rPr>
                <w:rStyle w:val="Hyperlink"/>
                <w:rFonts w:cs="Arial"/>
                <w:noProof/>
              </w:rPr>
              <w:t>2.3.</w:t>
            </w:r>
            <w:r w:rsidR="00D722CB">
              <w:rPr>
                <w:rFonts w:asciiTheme="minorHAnsi" w:eastAsiaTheme="minorEastAsia" w:hAnsiTheme="minorHAnsi"/>
                <w:noProof/>
                <w:lang w:eastAsia="en-AU"/>
              </w:rPr>
              <w:tab/>
            </w:r>
            <w:r w:rsidR="00D722CB" w:rsidRPr="00CA7AC4">
              <w:rPr>
                <w:rStyle w:val="Hyperlink"/>
                <w:noProof/>
              </w:rPr>
              <w:t>Energy bill debt</w:t>
            </w:r>
            <w:r w:rsidR="00D722CB">
              <w:rPr>
                <w:noProof/>
                <w:webHidden/>
              </w:rPr>
              <w:tab/>
            </w:r>
            <w:r w:rsidR="00D722CB">
              <w:rPr>
                <w:noProof/>
                <w:webHidden/>
              </w:rPr>
              <w:fldChar w:fldCharType="begin"/>
            </w:r>
            <w:r w:rsidR="00D722CB">
              <w:rPr>
                <w:noProof/>
                <w:webHidden/>
              </w:rPr>
              <w:instrText xml:space="preserve"> PAGEREF _Toc402961392 \h </w:instrText>
            </w:r>
            <w:r w:rsidR="00D722CB">
              <w:rPr>
                <w:noProof/>
                <w:webHidden/>
              </w:rPr>
            </w:r>
            <w:r w:rsidR="00D722CB">
              <w:rPr>
                <w:noProof/>
                <w:webHidden/>
              </w:rPr>
              <w:fldChar w:fldCharType="separate"/>
            </w:r>
            <w:r w:rsidR="002C16D2">
              <w:rPr>
                <w:noProof/>
                <w:webHidden/>
              </w:rPr>
              <w:t>21</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93" w:history="1">
            <w:r w:rsidR="00D722CB" w:rsidRPr="00CA7AC4">
              <w:rPr>
                <w:rStyle w:val="Hyperlink"/>
                <w:rFonts w:cs="Arial"/>
                <w:noProof/>
              </w:rPr>
              <w:t>2.4.</w:t>
            </w:r>
            <w:r w:rsidR="00D722CB">
              <w:rPr>
                <w:rFonts w:asciiTheme="minorHAnsi" w:eastAsiaTheme="minorEastAsia" w:hAnsiTheme="minorHAnsi"/>
                <w:noProof/>
                <w:lang w:eastAsia="en-AU"/>
              </w:rPr>
              <w:tab/>
            </w:r>
            <w:r w:rsidR="00D722CB" w:rsidRPr="00CA7AC4">
              <w:rPr>
                <w:rStyle w:val="Hyperlink"/>
                <w:noProof/>
              </w:rPr>
              <w:t>Payment plans</w:t>
            </w:r>
            <w:r w:rsidR="00D722CB">
              <w:rPr>
                <w:noProof/>
                <w:webHidden/>
              </w:rPr>
              <w:tab/>
            </w:r>
            <w:r w:rsidR="00D722CB">
              <w:rPr>
                <w:noProof/>
                <w:webHidden/>
              </w:rPr>
              <w:fldChar w:fldCharType="begin"/>
            </w:r>
            <w:r w:rsidR="00D722CB">
              <w:rPr>
                <w:noProof/>
                <w:webHidden/>
              </w:rPr>
              <w:instrText xml:space="preserve"> PAGEREF _Toc402961393 \h </w:instrText>
            </w:r>
            <w:r w:rsidR="00D722CB">
              <w:rPr>
                <w:noProof/>
                <w:webHidden/>
              </w:rPr>
            </w:r>
            <w:r w:rsidR="00D722CB">
              <w:rPr>
                <w:noProof/>
                <w:webHidden/>
              </w:rPr>
              <w:fldChar w:fldCharType="separate"/>
            </w:r>
            <w:r w:rsidR="002C16D2">
              <w:rPr>
                <w:noProof/>
                <w:webHidden/>
              </w:rPr>
              <w:t>24</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394" w:history="1">
            <w:r w:rsidR="00D722CB" w:rsidRPr="00CA7AC4">
              <w:rPr>
                <w:rStyle w:val="Hyperlink"/>
                <w:rFonts w:cs="Arial"/>
                <w:noProof/>
              </w:rPr>
              <w:t>2.5.</w:t>
            </w:r>
            <w:r w:rsidR="00D722CB">
              <w:rPr>
                <w:rFonts w:asciiTheme="minorHAnsi" w:eastAsiaTheme="minorEastAsia" w:hAnsiTheme="minorHAnsi"/>
                <w:noProof/>
                <w:lang w:eastAsia="en-AU"/>
              </w:rPr>
              <w:tab/>
            </w:r>
            <w:r w:rsidR="00D722CB" w:rsidRPr="00CA7AC4">
              <w:rPr>
                <w:rStyle w:val="Hyperlink"/>
                <w:noProof/>
              </w:rPr>
              <w:t>Hardship programs</w:t>
            </w:r>
            <w:r w:rsidR="00D722CB">
              <w:rPr>
                <w:noProof/>
                <w:webHidden/>
              </w:rPr>
              <w:tab/>
            </w:r>
            <w:r w:rsidR="00D722CB">
              <w:rPr>
                <w:noProof/>
                <w:webHidden/>
              </w:rPr>
              <w:fldChar w:fldCharType="begin"/>
            </w:r>
            <w:r w:rsidR="00D722CB">
              <w:rPr>
                <w:noProof/>
                <w:webHidden/>
              </w:rPr>
              <w:instrText xml:space="preserve"> PAGEREF _Toc402961394 \h </w:instrText>
            </w:r>
            <w:r w:rsidR="00D722CB">
              <w:rPr>
                <w:noProof/>
                <w:webHidden/>
              </w:rPr>
            </w:r>
            <w:r w:rsidR="00D722CB">
              <w:rPr>
                <w:noProof/>
                <w:webHidden/>
              </w:rPr>
              <w:fldChar w:fldCharType="separate"/>
            </w:r>
            <w:r w:rsidR="002C16D2">
              <w:rPr>
                <w:noProof/>
                <w:webHidden/>
              </w:rPr>
              <w:t>28</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05" w:history="1">
            <w:r w:rsidR="00D722CB" w:rsidRPr="00CA7AC4">
              <w:rPr>
                <w:rStyle w:val="Hyperlink"/>
                <w:rFonts w:cs="Arial"/>
                <w:noProof/>
              </w:rPr>
              <w:t>2.6.</w:t>
            </w:r>
            <w:r w:rsidR="00D722CB">
              <w:rPr>
                <w:rFonts w:asciiTheme="minorHAnsi" w:eastAsiaTheme="minorEastAsia" w:hAnsiTheme="minorHAnsi"/>
                <w:noProof/>
                <w:lang w:eastAsia="en-AU"/>
              </w:rPr>
              <w:tab/>
            </w:r>
            <w:r w:rsidR="00D722CB" w:rsidRPr="00CA7AC4">
              <w:rPr>
                <w:rStyle w:val="Hyperlink"/>
                <w:noProof/>
              </w:rPr>
              <w:t>Disconnections and reconnections</w:t>
            </w:r>
            <w:r w:rsidR="00D722CB">
              <w:rPr>
                <w:noProof/>
                <w:webHidden/>
              </w:rPr>
              <w:tab/>
            </w:r>
            <w:r w:rsidR="00D722CB">
              <w:rPr>
                <w:noProof/>
                <w:webHidden/>
              </w:rPr>
              <w:fldChar w:fldCharType="begin"/>
            </w:r>
            <w:r w:rsidR="00D722CB">
              <w:rPr>
                <w:noProof/>
                <w:webHidden/>
              </w:rPr>
              <w:instrText xml:space="preserve"> PAGEREF _Toc402961405 \h </w:instrText>
            </w:r>
            <w:r w:rsidR="00D722CB">
              <w:rPr>
                <w:noProof/>
                <w:webHidden/>
              </w:rPr>
            </w:r>
            <w:r w:rsidR="00D722CB">
              <w:rPr>
                <w:noProof/>
                <w:webHidden/>
              </w:rPr>
              <w:fldChar w:fldCharType="separate"/>
            </w:r>
            <w:r w:rsidR="002C16D2">
              <w:rPr>
                <w:noProof/>
                <w:webHidden/>
              </w:rPr>
              <w:t>39</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3" w:history="1">
            <w:r w:rsidR="00D722CB" w:rsidRPr="00CA7AC4">
              <w:rPr>
                <w:rStyle w:val="Hyperlink"/>
                <w:rFonts w:cs="Arial"/>
                <w:noProof/>
              </w:rPr>
              <w:t>2.7.</w:t>
            </w:r>
            <w:r w:rsidR="00D722CB">
              <w:rPr>
                <w:rFonts w:asciiTheme="minorHAnsi" w:eastAsiaTheme="minorEastAsia" w:hAnsiTheme="minorHAnsi"/>
                <w:noProof/>
                <w:lang w:eastAsia="en-AU"/>
              </w:rPr>
              <w:tab/>
            </w:r>
            <w:r w:rsidR="00D722CB" w:rsidRPr="00CA7AC4">
              <w:rPr>
                <w:rStyle w:val="Hyperlink"/>
                <w:noProof/>
              </w:rPr>
              <w:t>Energy concessions</w:t>
            </w:r>
            <w:r w:rsidR="00D722CB">
              <w:rPr>
                <w:noProof/>
                <w:webHidden/>
              </w:rPr>
              <w:tab/>
            </w:r>
            <w:r w:rsidR="00D722CB">
              <w:rPr>
                <w:noProof/>
                <w:webHidden/>
              </w:rPr>
              <w:fldChar w:fldCharType="begin"/>
            </w:r>
            <w:r w:rsidR="00D722CB">
              <w:rPr>
                <w:noProof/>
                <w:webHidden/>
              </w:rPr>
              <w:instrText xml:space="preserve"> PAGEREF _Toc402961413 \h </w:instrText>
            </w:r>
            <w:r w:rsidR="00D722CB">
              <w:rPr>
                <w:noProof/>
                <w:webHidden/>
              </w:rPr>
            </w:r>
            <w:r w:rsidR="00D722CB">
              <w:rPr>
                <w:noProof/>
                <w:webHidden/>
              </w:rPr>
              <w:fldChar w:fldCharType="separate"/>
            </w:r>
            <w:r w:rsidR="002C16D2">
              <w:rPr>
                <w:noProof/>
                <w:webHidden/>
              </w:rPr>
              <w:t>45</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4" w:history="1">
            <w:r w:rsidR="00D722CB" w:rsidRPr="00CA7AC4">
              <w:rPr>
                <w:rStyle w:val="Hyperlink"/>
                <w:rFonts w:cs="Arial"/>
                <w:noProof/>
              </w:rPr>
              <w:t>2.8.</w:t>
            </w:r>
            <w:r w:rsidR="00D722CB">
              <w:rPr>
                <w:rFonts w:asciiTheme="minorHAnsi" w:eastAsiaTheme="minorEastAsia" w:hAnsiTheme="minorHAnsi"/>
                <w:noProof/>
                <w:lang w:eastAsia="en-AU"/>
              </w:rPr>
              <w:tab/>
            </w:r>
            <w:r w:rsidR="00D722CB" w:rsidRPr="00CA7AC4">
              <w:rPr>
                <w:rStyle w:val="Hyperlink"/>
                <w:noProof/>
              </w:rPr>
              <w:t>Security deposits</w:t>
            </w:r>
            <w:r w:rsidR="00D722CB">
              <w:rPr>
                <w:noProof/>
                <w:webHidden/>
              </w:rPr>
              <w:tab/>
            </w:r>
            <w:r w:rsidR="00D722CB">
              <w:rPr>
                <w:noProof/>
                <w:webHidden/>
              </w:rPr>
              <w:fldChar w:fldCharType="begin"/>
            </w:r>
            <w:r w:rsidR="00D722CB">
              <w:rPr>
                <w:noProof/>
                <w:webHidden/>
              </w:rPr>
              <w:instrText xml:space="preserve"> PAGEREF _Toc402961414 \h </w:instrText>
            </w:r>
            <w:r w:rsidR="00D722CB">
              <w:rPr>
                <w:noProof/>
                <w:webHidden/>
              </w:rPr>
            </w:r>
            <w:r w:rsidR="00D722CB">
              <w:rPr>
                <w:noProof/>
                <w:webHidden/>
              </w:rPr>
              <w:fldChar w:fldCharType="separate"/>
            </w:r>
            <w:r w:rsidR="002C16D2">
              <w:rPr>
                <w:noProof/>
                <w:webHidden/>
              </w:rPr>
              <w:t>46</w:t>
            </w:r>
            <w:r w:rsidR="00D722CB">
              <w:rPr>
                <w:noProof/>
                <w:webHidden/>
              </w:rPr>
              <w:fldChar w:fldCharType="end"/>
            </w:r>
          </w:hyperlink>
        </w:p>
        <w:p w:rsidR="00D722CB" w:rsidRDefault="00F70488">
          <w:pPr>
            <w:pStyle w:val="TOC1"/>
            <w:rPr>
              <w:rFonts w:asciiTheme="minorHAnsi" w:eastAsiaTheme="minorEastAsia" w:hAnsiTheme="minorHAnsi"/>
              <w:b w:val="0"/>
              <w:noProof/>
              <w:color w:val="auto"/>
              <w:sz w:val="22"/>
              <w:lang w:eastAsia="en-AU"/>
            </w:rPr>
          </w:pPr>
          <w:hyperlink w:anchor="_Toc402961415" w:history="1">
            <w:r w:rsidR="00D722CB" w:rsidRPr="00CA7AC4">
              <w:rPr>
                <w:rStyle w:val="Hyperlink"/>
                <w:noProof/>
              </w:rPr>
              <w:t>3.</w:t>
            </w:r>
            <w:r w:rsidR="00D722CB">
              <w:rPr>
                <w:rFonts w:asciiTheme="minorHAnsi" w:eastAsiaTheme="minorEastAsia" w:hAnsiTheme="minorHAnsi"/>
                <w:b w:val="0"/>
                <w:noProof/>
                <w:color w:val="auto"/>
                <w:sz w:val="22"/>
                <w:lang w:eastAsia="en-AU"/>
              </w:rPr>
              <w:tab/>
            </w:r>
            <w:r w:rsidR="00D722CB" w:rsidRPr="00CA7AC4">
              <w:rPr>
                <w:rStyle w:val="Hyperlink"/>
                <w:noProof/>
              </w:rPr>
              <w:t>Energy affordability</w:t>
            </w:r>
            <w:r w:rsidR="00D722CB">
              <w:rPr>
                <w:noProof/>
                <w:webHidden/>
              </w:rPr>
              <w:tab/>
            </w:r>
            <w:r w:rsidR="00D722CB">
              <w:rPr>
                <w:noProof/>
                <w:webHidden/>
              </w:rPr>
              <w:fldChar w:fldCharType="begin"/>
            </w:r>
            <w:r w:rsidR="00D722CB">
              <w:rPr>
                <w:noProof/>
                <w:webHidden/>
              </w:rPr>
              <w:instrText xml:space="preserve"> PAGEREF _Toc402961415 \h </w:instrText>
            </w:r>
            <w:r w:rsidR="00D722CB">
              <w:rPr>
                <w:noProof/>
                <w:webHidden/>
              </w:rPr>
            </w:r>
            <w:r w:rsidR="00D722CB">
              <w:rPr>
                <w:noProof/>
                <w:webHidden/>
              </w:rPr>
              <w:fldChar w:fldCharType="separate"/>
            </w:r>
            <w:r w:rsidR="002C16D2">
              <w:rPr>
                <w:noProof/>
                <w:webHidden/>
              </w:rPr>
              <w:t>47</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6" w:history="1">
            <w:r w:rsidR="00D722CB" w:rsidRPr="00CA7AC4">
              <w:rPr>
                <w:rStyle w:val="Hyperlink"/>
                <w:rFonts w:cs="Arial"/>
                <w:noProof/>
              </w:rPr>
              <w:t>3.1.</w:t>
            </w:r>
            <w:r w:rsidR="00D722CB">
              <w:rPr>
                <w:rFonts w:asciiTheme="minorHAnsi" w:eastAsiaTheme="minorEastAsia" w:hAnsiTheme="minorHAnsi"/>
                <w:noProof/>
                <w:lang w:eastAsia="en-AU"/>
              </w:rPr>
              <w:tab/>
            </w:r>
            <w:r w:rsidR="00D722CB" w:rsidRPr="00CA7AC4">
              <w:rPr>
                <w:rStyle w:val="Hyperlink"/>
                <w:noProof/>
              </w:rPr>
              <w:t>Overview</w:t>
            </w:r>
            <w:r w:rsidR="00D722CB">
              <w:rPr>
                <w:noProof/>
                <w:webHidden/>
              </w:rPr>
              <w:tab/>
            </w:r>
            <w:r w:rsidR="00D722CB">
              <w:rPr>
                <w:noProof/>
                <w:webHidden/>
              </w:rPr>
              <w:fldChar w:fldCharType="begin"/>
            </w:r>
            <w:r w:rsidR="00D722CB">
              <w:rPr>
                <w:noProof/>
                <w:webHidden/>
              </w:rPr>
              <w:instrText xml:space="preserve"> PAGEREF _Toc402961416 \h </w:instrText>
            </w:r>
            <w:r w:rsidR="00D722CB">
              <w:rPr>
                <w:noProof/>
                <w:webHidden/>
              </w:rPr>
            </w:r>
            <w:r w:rsidR="00D722CB">
              <w:rPr>
                <w:noProof/>
                <w:webHidden/>
              </w:rPr>
              <w:fldChar w:fldCharType="separate"/>
            </w:r>
            <w:r w:rsidR="002C16D2">
              <w:rPr>
                <w:noProof/>
                <w:webHidden/>
              </w:rPr>
              <w:t>47</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7" w:history="1">
            <w:r w:rsidR="00D722CB" w:rsidRPr="00CA7AC4">
              <w:rPr>
                <w:rStyle w:val="Hyperlink"/>
                <w:rFonts w:cs="Arial"/>
                <w:noProof/>
              </w:rPr>
              <w:t>3.2.</w:t>
            </w:r>
            <w:r w:rsidR="00D722CB">
              <w:rPr>
                <w:rFonts w:asciiTheme="minorHAnsi" w:eastAsiaTheme="minorEastAsia" w:hAnsiTheme="minorHAnsi"/>
                <w:noProof/>
                <w:lang w:eastAsia="en-AU"/>
              </w:rPr>
              <w:tab/>
            </w:r>
            <w:r w:rsidR="00D722CB" w:rsidRPr="00CA7AC4">
              <w:rPr>
                <w:rStyle w:val="Hyperlink"/>
                <w:noProof/>
              </w:rPr>
              <w:t>Key findings</w:t>
            </w:r>
            <w:r w:rsidR="00D722CB">
              <w:rPr>
                <w:noProof/>
                <w:webHidden/>
              </w:rPr>
              <w:tab/>
            </w:r>
            <w:r w:rsidR="00D722CB">
              <w:rPr>
                <w:noProof/>
                <w:webHidden/>
              </w:rPr>
              <w:fldChar w:fldCharType="begin"/>
            </w:r>
            <w:r w:rsidR="00D722CB">
              <w:rPr>
                <w:noProof/>
                <w:webHidden/>
              </w:rPr>
              <w:instrText xml:space="preserve"> PAGEREF _Toc402961417 \h </w:instrText>
            </w:r>
            <w:r w:rsidR="00D722CB">
              <w:rPr>
                <w:noProof/>
                <w:webHidden/>
              </w:rPr>
            </w:r>
            <w:r w:rsidR="00D722CB">
              <w:rPr>
                <w:noProof/>
                <w:webHidden/>
              </w:rPr>
              <w:fldChar w:fldCharType="separate"/>
            </w:r>
            <w:r w:rsidR="002C16D2">
              <w:rPr>
                <w:noProof/>
                <w:webHidden/>
              </w:rPr>
              <w:t>47</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8" w:history="1">
            <w:r w:rsidR="00D722CB" w:rsidRPr="00CA7AC4">
              <w:rPr>
                <w:rStyle w:val="Hyperlink"/>
                <w:rFonts w:cs="Arial"/>
                <w:noProof/>
              </w:rPr>
              <w:t>3.3.</w:t>
            </w:r>
            <w:r w:rsidR="00D722CB">
              <w:rPr>
                <w:rFonts w:asciiTheme="minorHAnsi" w:eastAsiaTheme="minorEastAsia" w:hAnsiTheme="minorHAnsi"/>
                <w:noProof/>
                <w:lang w:eastAsia="en-AU"/>
              </w:rPr>
              <w:tab/>
            </w:r>
            <w:r w:rsidR="00D722CB" w:rsidRPr="00CA7AC4">
              <w:rPr>
                <w:rStyle w:val="Hyperlink"/>
                <w:noProof/>
              </w:rPr>
              <w:t>Background</w:t>
            </w:r>
            <w:r w:rsidR="00D722CB">
              <w:rPr>
                <w:noProof/>
                <w:webHidden/>
              </w:rPr>
              <w:tab/>
            </w:r>
            <w:r w:rsidR="00D722CB">
              <w:rPr>
                <w:noProof/>
                <w:webHidden/>
              </w:rPr>
              <w:fldChar w:fldCharType="begin"/>
            </w:r>
            <w:r w:rsidR="00D722CB">
              <w:rPr>
                <w:noProof/>
                <w:webHidden/>
              </w:rPr>
              <w:instrText xml:space="preserve"> PAGEREF _Toc402961418 \h </w:instrText>
            </w:r>
            <w:r w:rsidR="00D722CB">
              <w:rPr>
                <w:noProof/>
                <w:webHidden/>
              </w:rPr>
            </w:r>
            <w:r w:rsidR="00D722CB">
              <w:rPr>
                <w:noProof/>
                <w:webHidden/>
              </w:rPr>
              <w:fldChar w:fldCharType="separate"/>
            </w:r>
            <w:r w:rsidR="002C16D2">
              <w:rPr>
                <w:noProof/>
                <w:webHidden/>
              </w:rPr>
              <w:t>50</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19" w:history="1">
            <w:r w:rsidR="00D722CB" w:rsidRPr="00CA7AC4">
              <w:rPr>
                <w:rStyle w:val="Hyperlink"/>
                <w:rFonts w:cs="Arial"/>
                <w:noProof/>
              </w:rPr>
              <w:t>3.4.</w:t>
            </w:r>
            <w:r w:rsidR="00D722CB">
              <w:rPr>
                <w:rFonts w:asciiTheme="minorHAnsi" w:eastAsiaTheme="minorEastAsia" w:hAnsiTheme="minorHAnsi"/>
                <w:noProof/>
                <w:lang w:eastAsia="en-AU"/>
              </w:rPr>
              <w:tab/>
            </w:r>
            <w:r w:rsidR="00D722CB" w:rsidRPr="00CA7AC4">
              <w:rPr>
                <w:rStyle w:val="Hyperlink"/>
                <w:noProof/>
              </w:rPr>
              <w:t>Approach</w:t>
            </w:r>
            <w:r w:rsidR="00D722CB">
              <w:rPr>
                <w:noProof/>
                <w:webHidden/>
              </w:rPr>
              <w:tab/>
            </w:r>
            <w:r w:rsidR="00D722CB">
              <w:rPr>
                <w:noProof/>
                <w:webHidden/>
              </w:rPr>
              <w:fldChar w:fldCharType="begin"/>
            </w:r>
            <w:r w:rsidR="00D722CB">
              <w:rPr>
                <w:noProof/>
                <w:webHidden/>
              </w:rPr>
              <w:instrText xml:space="preserve"> PAGEREF _Toc402961419 \h </w:instrText>
            </w:r>
            <w:r w:rsidR="00D722CB">
              <w:rPr>
                <w:noProof/>
                <w:webHidden/>
              </w:rPr>
            </w:r>
            <w:r w:rsidR="00D722CB">
              <w:rPr>
                <w:noProof/>
                <w:webHidden/>
              </w:rPr>
              <w:fldChar w:fldCharType="separate"/>
            </w:r>
            <w:r w:rsidR="002C16D2">
              <w:rPr>
                <w:noProof/>
                <w:webHidden/>
              </w:rPr>
              <w:t>50</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24" w:history="1">
            <w:r w:rsidR="00D722CB" w:rsidRPr="00CA7AC4">
              <w:rPr>
                <w:rStyle w:val="Hyperlink"/>
                <w:rFonts w:cs="Arial"/>
                <w:noProof/>
              </w:rPr>
              <w:t>3.5.</w:t>
            </w:r>
            <w:r w:rsidR="00D722CB">
              <w:rPr>
                <w:rFonts w:asciiTheme="minorHAnsi" w:eastAsiaTheme="minorEastAsia" w:hAnsiTheme="minorHAnsi"/>
                <w:noProof/>
                <w:lang w:eastAsia="en-AU"/>
              </w:rPr>
              <w:tab/>
            </w:r>
            <w:r w:rsidR="00D722CB" w:rsidRPr="00CA7AC4">
              <w:rPr>
                <w:rStyle w:val="Hyperlink"/>
                <w:noProof/>
              </w:rPr>
              <w:t>Queensland</w:t>
            </w:r>
            <w:r w:rsidR="00D722CB">
              <w:rPr>
                <w:noProof/>
                <w:webHidden/>
              </w:rPr>
              <w:tab/>
            </w:r>
            <w:r w:rsidR="00D722CB">
              <w:rPr>
                <w:noProof/>
                <w:webHidden/>
              </w:rPr>
              <w:fldChar w:fldCharType="begin"/>
            </w:r>
            <w:r w:rsidR="00D722CB">
              <w:rPr>
                <w:noProof/>
                <w:webHidden/>
              </w:rPr>
              <w:instrText xml:space="preserve"> PAGEREF _Toc402961424 \h </w:instrText>
            </w:r>
            <w:r w:rsidR="00D722CB">
              <w:rPr>
                <w:noProof/>
                <w:webHidden/>
              </w:rPr>
            </w:r>
            <w:r w:rsidR="00D722CB">
              <w:rPr>
                <w:noProof/>
                <w:webHidden/>
              </w:rPr>
              <w:fldChar w:fldCharType="separate"/>
            </w:r>
            <w:r w:rsidR="002C16D2">
              <w:rPr>
                <w:noProof/>
                <w:webHidden/>
              </w:rPr>
              <w:t>54</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26" w:history="1">
            <w:r w:rsidR="00D722CB" w:rsidRPr="00CA7AC4">
              <w:rPr>
                <w:rStyle w:val="Hyperlink"/>
                <w:rFonts w:cs="Arial"/>
                <w:noProof/>
              </w:rPr>
              <w:t>3.6.</w:t>
            </w:r>
            <w:r w:rsidR="00D722CB">
              <w:rPr>
                <w:rFonts w:asciiTheme="minorHAnsi" w:eastAsiaTheme="minorEastAsia" w:hAnsiTheme="minorHAnsi"/>
                <w:noProof/>
                <w:lang w:eastAsia="en-AU"/>
              </w:rPr>
              <w:tab/>
            </w:r>
            <w:r w:rsidR="00D722CB" w:rsidRPr="00CA7AC4">
              <w:rPr>
                <w:rStyle w:val="Hyperlink"/>
                <w:noProof/>
              </w:rPr>
              <w:t>New South Wales</w:t>
            </w:r>
            <w:r w:rsidR="00D722CB">
              <w:rPr>
                <w:noProof/>
                <w:webHidden/>
              </w:rPr>
              <w:tab/>
            </w:r>
            <w:r w:rsidR="00D722CB">
              <w:rPr>
                <w:noProof/>
                <w:webHidden/>
              </w:rPr>
              <w:fldChar w:fldCharType="begin"/>
            </w:r>
            <w:r w:rsidR="00D722CB">
              <w:rPr>
                <w:noProof/>
                <w:webHidden/>
              </w:rPr>
              <w:instrText xml:space="preserve"> PAGEREF _Toc402961426 \h </w:instrText>
            </w:r>
            <w:r w:rsidR="00D722CB">
              <w:rPr>
                <w:noProof/>
                <w:webHidden/>
              </w:rPr>
            </w:r>
            <w:r w:rsidR="00D722CB">
              <w:rPr>
                <w:noProof/>
                <w:webHidden/>
              </w:rPr>
              <w:fldChar w:fldCharType="separate"/>
            </w:r>
            <w:r w:rsidR="002C16D2">
              <w:rPr>
                <w:noProof/>
                <w:webHidden/>
              </w:rPr>
              <w:t>59</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28" w:history="1">
            <w:r w:rsidR="00D722CB" w:rsidRPr="00CA7AC4">
              <w:rPr>
                <w:rStyle w:val="Hyperlink"/>
                <w:rFonts w:cs="Arial"/>
                <w:noProof/>
              </w:rPr>
              <w:t>3.7.</w:t>
            </w:r>
            <w:r w:rsidR="00D722CB">
              <w:rPr>
                <w:rFonts w:asciiTheme="minorHAnsi" w:eastAsiaTheme="minorEastAsia" w:hAnsiTheme="minorHAnsi"/>
                <w:noProof/>
                <w:lang w:eastAsia="en-AU"/>
              </w:rPr>
              <w:tab/>
            </w:r>
            <w:r w:rsidR="00D722CB" w:rsidRPr="00CA7AC4">
              <w:rPr>
                <w:rStyle w:val="Hyperlink"/>
                <w:noProof/>
              </w:rPr>
              <w:t>Victoria</w:t>
            </w:r>
            <w:r w:rsidR="00D722CB">
              <w:rPr>
                <w:noProof/>
                <w:webHidden/>
              </w:rPr>
              <w:tab/>
            </w:r>
            <w:r w:rsidR="00D722CB">
              <w:rPr>
                <w:noProof/>
                <w:webHidden/>
              </w:rPr>
              <w:fldChar w:fldCharType="begin"/>
            </w:r>
            <w:r w:rsidR="00D722CB">
              <w:rPr>
                <w:noProof/>
                <w:webHidden/>
              </w:rPr>
              <w:instrText xml:space="preserve"> PAGEREF _Toc402961428 \h </w:instrText>
            </w:r>
            <w:r w:rsidR="00D722CB">
              <w:rPr>
                <w:noProof/>
                <w:webHidden/>
              </w:rPr>
            </w:r>
            <w:r w:rsidR="00D722CB">
              <w:rPr>
                <w:noProof/>
                <w:webHidden/>
              </w:rPr>
              <w:fldChar w:fldCharType="separate"/>
            </w:r>
            <w:r w:rsidR="002C16D2">
              <w:rPr>
                <w:noProof/>
                <w:webHidden/>
              </w:rPr>
              <w:t>63</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30" w:history="1">
            <w:r w:rsidR="00D722CB" w:rsidRPr="00CA7AC4">
              <w:rPr>
                <w:rStyle w:val="Hyperlink"/>
                <w:rFonts w:cs="Arial"/>
                <w:noProof/>
              </w:rPr>
              <w:t>3.8.</w:t>
            </w:r>
            <w:r w:rsidR="00D722CB">
              <w:rPr>
                <w:rFonts w:asciiTheme="minorHAnsi" w:eastAsiaTheme="minorEastAsia" w:hAnsiTheme="minorHAnsi"/>
                <w:noProof/>
                <w:lang w:eastAsia="en-AU"/>
              </w:rPr>
              <w:tab/>
            </w:r>
            <w:r w:rsidR="00D722CB" w:rsidRPr="00CA7AC4">
              <w:rPr>
                <w:rStyle w:val="Hyperlink"/>
                <w:noProof/>
              </w:rPr>
              <w:t>South Australia</w:t>
            </w:r>
            <w:r w:rsidR="00D722CB">
              <w:rPr>
                <w:noProof/>
                <w:webHidden/>
              </w:rPr>
              <w:tab/>
            </w:r>
            <w:r w:rsidR="00D722CB">
              <w:rPr>
                <w:noProof/>
                <w:webHidden/>
              </w:rPr>
              <w:fldChar w:fldCharType="begin"/>
            </w:r>
            <w:r w:rsidR="00D722CB">
              <w:rPr>
                <w:noProof/>
                <w:webHidden/>
              </w:rPr>
              <w:instrText xml:space="preserve"> PAGEREF _Toc402961430 \h </w:instrText>
            </w:r>
            <w:r w:rsidR="00D722CB">
              <w:rPr>
                <w:noProof/>
                <w:webHidden/>
              </w:rPr>
            </w:r>
            <w:r w:rsidR="00D722CB">
              <w:rPr>
                <w:noProof/>
                <w:webHidden/>
              </w:rPr>
              <w:fldChar w:fldCharType="separate"/>
            </w:r>
            <w:r w:rsidR="002C16D2">
              <w:rPr>
                <w:noProof/>
                <w:webHidden/>
              </w:rPr>
              <w:t>68</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32" w:history="1">
            <w:r w:rsidR="00D722CB" w:rsidRPr="00CA7AC4">
              <w:rPr>
                <w:rStyle w:val="Hyperlink"/>
                <w:rFonts w:cs="Arial"/>
                <w:noProof/>
              </w:rPr>
              <w:t>3.9.</w:t>
            </w:r>
            <w:r w:rsidR="00D722CB">
              <w:rPr>
                <w:rFonts w:asciiTheme="minorHAnsi" w:eastAsiaTheme="minorEastAsia" w:hAnsiTheme="minorHAnsi"/>
                <w:noProof/>
                <w:lang w:eastAsia="en-AU"/>
              </w:rPr>
              <w:tab/>
            </w:r>
            <w:r w:rsidR="00D722CB" w:rsidRPr="00CA7AC4">
              <w:rPr>
                <w:rStyle w:val="Hyperlink"/>
                <w:noProof/>
              </w:rPr>
              <w:t>Tasmania</w:t>
            </w:r>
            <w:r w:rsidR="00D722CB">
              <w:rPr>
                <w:noProof/>
                <w:webHidden/>
              </w:rPr>
              <w:tab/>
            </w:r>
            <w:r w:rsidR="00D722CB">
              <w:rPr>
                <w:noProof/>
                <w:webHidden/>
              </w:rPr>
              <w:fldChar w:fldCharType="begin"/>
            </w:r>
            <w:r w:rsidR="00D722CB">
              <w:rPr>
                <w:noProof/>
                <w:webHidden/>
              </w:rPr>
              <w:instrText xml:space="preserve"> PAGEREF _Toc402961432 \h </w:instrText>
            </w:r>
            <w:r w:rsidR="00D722CB">
              <w:rPr>
                <w:noProof/>
                <w:webHidden/>
              </w:rPr>
            </w:r>
            <w:r w:rsidR="00D722CB">
              <w:rPr>
                <w:noProof/>
                <w:webHidden/>
              </w:rPr>
              <w:fldChar w:fldCharType="separate"/>
            </w:r>
            <w:r w:rsidR="002C16D2">
              <w:rPr>
                <w:noProof/>
                <w:webHidden/>
              </w:rPr>
              <w:t>73</w:t>
            </w:r>
            <w:r w:rsidR="00D722CB">
              <w:rPr>
                <w:noProof/>
                <w:webHidden/>
              </w:rPr>
              <w:fldChar w:fldCharType="end"/>
            </w:r>
          </w:hyperlink>
        </w:p>
        <w:p w:rsidR="00D722CB" w:rsidRDefault="00F70488">
          <w:pPr>
            <w:pStyle w:val="TOC3"/>
            <w:rPr>
              <w:rFonts w:asciiTheme="minorHAnsi" w:eastAsiaTheme="minorEastAsia" w:hAnsiTheme="minorHAnsi"/>
              <w:noProof/>
              <w:lang w:eastAsia="en-AU"/>
            </w:rPr>
          </w:pPr>
          <w:hyperlink w:anchor="_Toc402961434" w:history="1">
            <w:r w:rsidR="00D722CB" w:rsidRPr="00CA7AC4">
              <w:rPr>
                <w:rStyle w:val="Hyperlink"/>
                <w:rFonts w:cs="Arial"/>
                <w:noProof/>
              </w:rPr>
              <w:t>3.10.</w:t>
            </w:r>
            <w:r w:rsidR="00D722CB">
              <w:rPr>
                <w:rFonts w:asciiTheme="minorHAnsi" w:eastAsiaTheme="minorEastAsia" w:hAnsiTheme="minorHAnsi"/>
                <w:noProof/>
                <w:lang w:eastAsia="en-AU"/>
              </w:rPr>
              <w:tab/>
            </w:r>
            <w:r w:rsidR="00D722CB" w:rsidRPr="00CA7AC4">
              <w:rPr>
                <w:rStyle w:val="Hyperlink"/>
                <w:noProof/>
              </w:rPr>
              <w:t>ACT</w:t>
            </w:r>
            <w:r w:rsidR="00D722CB">
              <w:rPr>
                <w:noProof/>
                <w:webHidden/>
              </w:rPr>
              <w:tab/>
            </w:r>
            <w:r w:rsidR="00D722CB">
              <w:rPr>
                <w:noProof/>
                <w:webHidden/>
              </w:rPr>
              <w:fldChar w:fldCharType="begin"/>
            </w:r>
            <w:r w:rsidR="00D722CB">
              <w:rPr>
                <w:noProof/>
                <w:webHidden/>
              </w:rPr>
              <w:instrText xml:space="preserve"> PAGEREF _Toc402961434 \h </w:instrText>
            </w:r>
            <w:r w:rsidR="00D722CB">
              <w:rPr>
                <w:noProof/>
                <w:webHidden/>
              </w:rPr>
            </w:r>
            <w:r w:rsidR="00D722CB">
              <w:rPr>
                <w:noProof/>
                <w:webHidden/>
              </w:rPr>
              <w:fldChar w:fldCharType="separate"/>
            </w:r>
            <w:r w:rsidR="002C16D2">
              <w:rPr>
                <w:noProof/>
                <w:webHidden/>
              </w:rPr>
              <w:t>75</w:t>
            </w:r>
            <w:r w:rsidR="00D722CB">
              <w:rPr>
                <w:noProof/>
                <w:webHidden/>
              </w:rPr>
              <w:fldChar w:fldCharType="end"/>
            </w:r>
          </w:hyperlink>
        </w:p>
        <w:p w:rsidR="00D722CB" w:rsidRPr="00D722CB" w:rsidRDefault="00F70488" w:rsidP="00D722CB">
          <w:pPr>
            <w:pStyle w:val="TOC1"/>
            <w:rPr>
              <w:rFonts w:asciiTheme="minorHAnsi" w:eastAsiaTheme="minorEastAsia" w:hAnsiTheme="minorHAnsi"/>
              <w:b w:val="0"/>
              <w:noProof/>
              <w:color w:val="auto"/>
              <w:sz w:val="22"/>
              <w:lang w:eastAsia="en-AU"/>
            </w:rPr>
          </w:pPr>
          <w:hyperlink w:anchor="_Toc402961436" w:history="1">
            <w:r w:rsidR="00D722CB" w:rsidRPr="00CA7AC4">
              <w:rPr>
                <w:rStyle w:val="Hyperlink"/>
                <w:noProof/>
              </w:rPr>
              <w:t>4.</w:t>
            </w:r>
            <w:r w:rsidR="00D722CB">
              <w:rPr>
                <w:rFonts w:asciiTheme="minorHAnsi" w:eastAsiaTheme="minorEastAsia" w:hAnsiTheme="minorHAnsi"/>
                <w:b w:val="0"/>
                <w:noProof/>
                <w:color w:val="auto"/>
                <w:sz w:val="22"/>
                <w:lang w:eastAsia="en-AU"/>
              </w:rPr>
              <w:tab/>
            </w:r>
            <w:r w:rsidR="00D722CB" w:rsidRPr="00CA7AC4">
              <w:rPr>
                <w:rStyle w:val="Hyperlink"/>
                <w:noProof/>
              </w:rPr>
              <w:t>Appendices</w:t>
            </w:r>
            <w:r w:rsidR="00D722CB">
              <w:rPr>
                <w:noProof/>
                <w:webHidden/>
              </w:rPr>
              <w:tab/>
            </w:r>
            <w:r w:rsidR="00D722CB">
              <w:rPr>
                <w:noProof/>
                <w:webHidden/>
              </w:rPr>
              <w:fldChar w:fldCharType="begin"/>
            </w:r>
            <w:r w:rsidR="00D722CB">
              <w:rPr>
                <w:noProof/>
                <w:webHidden/>
              </w:rPr>
              <w:instrText xml:space="preserve"> PAGEREF _Toc402961436 \h </w:instrText>
            </w:r>
            <w:r w:rsidR="00D722CB">
              <w:rPr>
                <w:noProof/>
                <w:webHidden/>
              </w:rPr>
            </w:r>
            <w:r w:rsidR="00D722CB">
              <w:rPr>
                <w:noProof/>
                <w:webHidden/>
              </w:rPr>
              <w:fldChar w:fldCharType="separate"/>
            </w:r>
            <w:r w:rsidR="002C16D2">
              <w:rPr>
                <w:noProof/>
                <w:webHidden/>
              </w:rPr>
              <w:t>79</w:t>
            </w:r>
            <w:r w:rsidR="00D722CB">
              <w:rPr>
                <w:noProof/>
                <w:webHidden/>
              </w:rPr>
              <w:fldChar w:fldCharType="end"/>
            </w:r>
          </w:hyperlink>
          <w:r w:rsidR="00ED4B27" w:rsidRPr="00D722CB">
            <w:rPr>
              <w:rFonts w:asciiTheme="minorHAnsi" w:eastAsiaTheme="minorEastAsia" w:hAnsiTheme="minorHAnsi"/>
              <w:b w:val="0"/>
              <w:noProof/>
              <w:color w:val="auto"/>
              <w:sz w:val="22"/>
              <w:lang w:eastAsia="en-AU"/>
            </w:rPr>
            <w:t xml:space="preserve"> </w:t>
          </w:r>
        </w:p>
        <w:p w:rsidR="005F20C2" w:rsidRPr="005F20C2" w:rsidRDefault="005F20C2" w:rsidP="00D722CB">
          <w:pPr>
            <w:pStyle w:val="TOC1"/>
            <w:jc w:val="left"/>
            <w:rPr>
              <w:rFonts w:asciiTheme="minorHAnsi" w:eastAsiaTheme="minorEastAsia" w:hAnsiTheme="minorHAnsi"/>
              <w:b w:val="0"/>
              <w:noProof/>
              <w:color w:val="auto"/>
              <w:sz w:val="22"/>
              <w:lang w:eastAsia="en-AU"/>
            </w:rPr>
          </w:pPr>
          <w:r>
            <w:rPr>
              <w:bCs/>
              <w:noProof/>
            </w:rPr>
            <w:fldChar w:fldCharType="end"/>
          </w:r>
        </w:p>
      </w:sdtContent>
    </w:sdt>
    <w:p w:rsidR="004B7B5B" w:rsidRDefault="004B7B5B" w:rsidP="004B7B5B">
      <w:pPr>
        <w:rPr>
          <w:rFonts w:eastAsiaTheme="majorEastAsia" w:cs="Arial"/>
          <w:color w:val="070692"/>
          <w:sz w:val="52"/>
          <w:szCs w:val="36"/>
        </w:rPr>
      </w:pPr>
      <w:r>
        <w:br w:type="page"/>
      </w:r>
    </w:p>
    <w:p w:rsidR="004B7B5B" w:rsidRDefault="004B7B5B" w:rsidP="004B7B5B">
      <w:pPr>
        <w:pStyle w:val="ChapterTitle"/>
        <w:ind w:left="0" w:firstLine="0"/>
      </w:pPr>
      <w:bookmarkStart w:id="1" w:name="_Toc402961376"/>
      <w:r>
        <w:lastRenderedPageBreak/>
        <w:t>About this report</w:t>
      </w:r>
      <w:bookmarkEnd w:id="1"/>
    </w:p>
    <w:p w:rsidR="00025615" w:rsidRDefault="00025615" w:rsidP="00025615">
      <w:pPr>
        <w:spacing w:before="0" w:after="200"/>
      </w:pPr>
      <w:r>
        <w:t>The Australian Energy Regulator (AER) is responsible for reporting on retailer performance under the National Energy Retail Law (Retail Law).</w:t>
      </w:r>
      <w:r>
        <w:rPr>
          <w:rStyle w:val="FootnoteReference"/>
        </w:rPr>
        <w:footnoteReference w:id="1"/>
      </w:r>
      <w:r>
        <w:t xml:space="preserve"> Our reports provide transparent data on retail energy markets, and highlight the manner in which energy retailers provide assistance to customers experiencing financial difficulty. The Retail Law commenced in the Australian Capital Territory (ACT) and Tasmania (for electricity only) on 1 July 2012, in South Australia on 1 February 2013 and in New South Wales on 1 July 2013.</w:t>
      </w:r>
      <w:r>
        <w:rPr>
          <w:rStyle w:val="FootnoteReference"/>
        </w:rPr>
        <w:footnoteReference w:id="2"/>
      </w:r>
      <w:r>
        <w:t xml:space="preserve"> </w:t>
      </w:r>
    </w:p>
    <w:p w:rsidR="00025615" w:rsidRDefault="00025615" w:rsidP="00025615">
      <w:pPr>
        <w:spacing w:before="0" w:after="200"/>
      </w:pPr>
      <w:r>
        <w:t xml:space="preserve">This is our second annual retail market performance report, which </w:t>
      </w:r>
      <w:r w:rsidR="00344ADF">
        <w:t xml:space="preserve">includes, for the first time, data from New South Wales retailers. As with the 2012-13 report, this report </w:t>
      </w:r>
      <w:r>
        <w:t xml:space="preserve">consolidates quarterly data reported on such indicators as customer service and complaints, energy bill debt, payment plans, hardship </w:t>
      </w:r>
      <w:r w:rsidR="00344ADF">
        <w:t>programs, energy</w:t>
      </w:r>
      <w:r>
        <w:t xml:space="preserve"> concessions and disconnections. </w:t>
      </w:r>
      <w:r w:rsidR="00344ADF">
        <w:t xml:space="preserve"> It </w:t>
      </w:r>
      <w:r>
        <w:t xml:space="preserve">also contains a report on energy affordability in 2013-14. </w:t>
      </w:r>
    </w:p>
    <w:p w:rsidR="00025615" w:rsidRDefault="00025615" w:rsidP="00025615">
      <w:pPr>
        <w:spacing w:before="0" w:after="200"/>
      </w:pPr>
      <w:r>
        <w:t xml:space="preserve">Although our commentary on long term trends is somewhat limited by a lack of available data, the report does comment on retailer performance against short to medium term benchmarks. </w:t>
      </w:r>
    </w:p>
    <w:p w:rsidR="00025615" w:rsidRDefault="00025615" w:rsidP="00025615">
      <w:pPr>
        <w:spacing w:before="0" w:after="200"/>
      </w:pPr>
      <w:r>
        <w:t>This report is structured as follows:</w:t>
      </w:r>
    </w:p>
    <w:p w:rsidR="00025615" w:rsidRPr="0075258F" w:rsidRDefault="00025615" w:rsidP="009E4964">
      <w:pPr>
        <w:pStyle w:val="ListParagraph"/>
        <w:numPr>
          <w:ilvl w:val="0"/>
          <w:numId w:val="12"/>
        </w:numPr>
        <w:spacing w:before="0" w:after="200"/>
        <w:rPr>
          <w:rFonts w:ascii="Lucida Fax" w:hAnsi="Lucida Fax"/>
          <w:color w:val="51626F"/>
          <w:sz w:val="32"/>
          <w:szCs w:val="32"/>
        </w:rPr>
      </w:pPr>
      <w:r>
        <w:rPr>
          <w:b/>
        </w:rPr>
        <w:t xml:space="preserve">Competition in retail energy markets: </w:t>
      </w:r>
      <w:r>
        <w:t xml:space="preserve">this chapter looks at market shares in small and large customer markets, the number of customers on standard and market retail contracts in each jurisdiction and switching rates in all National Electricity Market (NEM) jurisdictions.   </w:t>
      </w:r>
    </w:p>
    <w:p w:rsidR="00025615" w:rsidRPr="00025615" w:rsidRDefault="00025615" w:rsidP="009E4964">
      <w:pPr>
        <w:pStyle w:val="ListParagraph"/>
        <w:numPr>
          <w:ilvl w:val="0"/>
          <w:numId w:val="12"/>
        </w:numPr>
        <w:spacing w:before="0" w:after="200"/>
        <w:rPr>
          <w:rFonts w:ascii="Lucida Fax" w:hAnsi="Lucida Fax"/>
          <w:color w:val="51626F"/>
          <w:sz w:val="32"/>
          <w:szCs w:val="32"/>
        </w:rPr>
      </w:pPr>
      <w:r>
        <w:rPr>
          <w:b/>
        </w:rPr>
        <w:t xml:space="preserve">Energy retailer performance: </w:t>
      </w:r>
      <w:r>
        <w:t xml:space="preserve">this chapter assesses customer service levels of retailers, the methods used by retailers to assist customers experiencing payment difficulties and the number of customers with energy accounts disconnected for non-payment. </w:t>
      </w:r>
    </w:p>
    <w:p w:rsidR="0065760E" w:rsidRPr="0065760E" w:rsidRDefault="00025615" w:rsidP="009E4964">
      <w:pPr>
        <w:pStyle w:val="ListParagraph"/>
        <w:numPr>
          <w:ilvl w:val="0"/>
          <w:numId w:val="12"/>
        </w:numPr>
        <w:spacing w:before="0" w:after="200"/>
        <w:rPr>
          <w:rFonts w:ascii="Lucida Fax" w:hAnsi="Lucida Fax"/>
          <w:color w:val="51626F"/>
          <w:sz w:val="32"/>
          <w:szCs w:val="32"/>
        </w:rPr>
      </w:pPr>
      <w:r w:rsidRPr="00025615">
        <w:rPr>
          <w:b/>
        </w:rPr>
        <w:t>Energy affordability:</w:t>
      </w:r>
      <w:r>
        <w:t xml:space="preserve"> this chapter considers how much benchmark low, middle and high income households around the country spent on electricity and gas in 2013-14, the proportion of household disposable income </w:t>
      </w:r>
      <w:r w:rsidR="00344ADF">
        <w:t xml:space="preserve">energy </w:t>
      </w:r>
      <w:r>
        <w:t xml:space="preserve">bills comprised and whether electricity and gas became more or less affordable compared with in 2012-13.  </w:t>
      </w:r>
    </w:p>
    <w:p w:rsidR="004B7B5B" w:rsidRPr="0065760E" w:rsidRDefault="0065760E" w:rsidP="0065760E">
      <w:pPr>
        <w:spacing w:before="0" w:after="200"/>
        <w:rPr>
          <w:rFonts w:ascii="Lucida Fax" w:hAnsi="Lucida Fax"/>
          <w:color w:val="51626F"/>
          <w:sz w:val="32"/>
          <w:szCs w:val="32"/>
        </w:rPr>
      </w:pPr>
      <w:r>
        <w:t>The AER is also required to report on South Australian retailers’ performance against jurisdictional services standards, and distribution network service providers’ performance against certain service standards and Guaranteed Service Level schemes. These reports are at Appendix 2 and Appendix 3, respectively.</w:t>
      </w:r>
      <w:r w:rsidR="004B7B5B">
        <w:br w:type="page"/>
      </w:r>
    </w:p>
    <w:p w:rsidR="004B7B5B" w:rsidRDefault="004B7B5B" w:rsidP="004B7B5B">
      <w:pPr>
        <w:pStyle w:val="ChapterTitle"/>
        <w:ind w:left="0" w:firstLine="0"/>
      </w:pPr>
      <w:bookmarkStart w:id="2" w:name="_Toc402961377"/>
      <w:r>
        <w:lastRenderedPageBreak/>
        <w:t>Key findings in 2013-14</w:t>
      </w:r>
      <w:bookmarkEnd w:id="2"/>
    </w:p>
    <w:p w:rsidR="00F0451F" w:rsidRPr="00F0451F" w:rsidRDefault="00F0451F" w:rsidP="00720C6E">
      <w:pPr>
        <w:pStyle w:val="Heading3"/>
        <w:spacing w:after="0"/>
      </w:pPr>
      <w:bookmarkStart w:id="3" w:name="_Toc402959220"/>
      <w:bookmarkStart w:id="4" w:name="_Toc402959706"/>
      <w:bookmarkStart w:id="5" w:name="_Toc402961378"/>
      <w:r>
        <w:t>Market activity</w:t>
      </w:r>
      <w:bookmarkEnd w:id="3"/>
      <w:bookmarkEnd w:id="4"/>
      <w:bookmarkEnd w:id="5"/>
    </w:p>
    <w:p w:rsidR="001E06C2" w:rsidRDefault="00F53F0A" w:rsidP="009E4964">
      <w:pPr>
        <w:pStyle w:val="ListParagraph"/>
        <w:numPr>
          <w:ilvl w:val="0"/>
          <w:numId w:val="11"/>
        </w:numPr>
        <w:spacing w:before="0" w:after="200"/>
      </w:pPr>
      <w:r>
        <w:t>In the competitive retail markets of South Australia and New South Wales, customers continue to switch from standing (or regulated) offers to market retail contracts. In South Australia</w:t>
      </w:r>
      <w:r w:rsidR="00205910">
        <w:t>,</w:t>
      </w:r>
      <w:r>
        <w:t xml:space="preserve"> 83 per cent of electricity and gas customers are on market retail contracts</w:t>
      </w:r>
      <w:r w:rsidR="001E06C2">
        <w:t xml:space="preserve">. In New South Wales the number of customers on market retail contracts has increased to 63 and 72 per cent of electricity and gas customers respectively. It is expected that more electricity customers will switch to market retail contracts following the deregulation of electricity tariffs on 1 July 2014. </w:t>
      </w:r>
    </w:p>
    <w:p w:rsidR="00A679E1" w:rsidRDefault="00A679E1" w:rsidP="009E4964">
      <w:pPr>
        <w:pStyle w:val="ListParagraph"/>
        <w:numPr>
          <w:ilvl w:val="0"/>
          <w:numId w:val="11"/>
        </w:numPr>
        <w:spacing w:before="0" w:after="200"/>
      </w:pPr>
      <w:r>
        <w:t>In the South Australia</w:t>
      </w:r>
      <w:r w:rsidR="00D2467F">
        <w:t>n</w:t>
      </w:r>
      <w:r>
        <w:t xml:space="preserve"> and New South Wales markets, between 4 and 6 per cent of electricity customers and between 3 and 4 per cent of gas customers switched to another energy retailer</w:t>
      </w:r>
      <w:r w:rsidR="00040E50">
        <w:t xml:space="preserve"> in each quarter of 2013-14</w:t>
      </w:r>
      <w:r>
        <w:t xml:space="preserve">. </w:t>
      </w:r>
    </w:p>
    <w:p w:rsidR="00F53F0A" w:rsidRDefault="001E06C2" w:rsidP="009E4964">
      <w:pPr>
        <w:pStyle w:val="ListParagraph"/>
        <w:numPr>
          <w:ilvl w:val="0"/>
          <w:numId w:val="11"/>
        </w:numPr>
        <w:spacing w:before="0" w:after="200"/>
      </w:pPr>
      <w:r>
        <w:t>In contrast, retail markets in the ACT an</w:t>
      </w:r>
      <w:r w:rsidR="00343B98">
        <w:t xml:space="preserve">d Tasmania remain uncompetitive, with few choices of energy retailer (currently no choice in Tasmania) and contracts. Most customers remain on standard retail contracts – around 80 per cent in the ACT and 87 per cent in Tasmania. In the ACT switching rates remained very low for electricity and gas. </w:t>
      </w:r>
      <w:r>
        <w:t xml:space="preserve">  </w:t>
      </w:r>
    </w:p>
    <w:p w:rsidR="00F0451F" w:rsidRPr="00F0451F" w:rsidRDefault="00F0451F" w:rsidP="00720C6E">
      <w:pPr>
        <w:pStyle w:val="Heading3"/>
        <w:spacing w:after="0"/>
      </w:pPr>
      <w:bookmarkStart w:id="6" w:name="_Toc402959221"/>
      <w:bookmarkStart w:id="7" w:name="_Toc402959707"/>
      <w:bookmarkStart w:id="8" w:name="_Toc402961379"/>
      <w:r>
        <w:t>Customer service</w:t>
      </w:r>
      <w:bookmarkEnd w:id="6"/>
      <w:bookmarkEnd w:id="7"/>
      <w:bookmarkEnd w:id="8"/>
    </w:p>
    <w:p w:rsidR="00025615" w:rsidRDefault="00243B87" w:rsidP="009E4964">
      <w:pPr>
        <w:pStyle w:val="ListParagraph"/>
        <w:numPr>
          <w:ilvl w:val="0"/>
          <w:numId w:val="11"/>
        </w:numPr>
        <w:spacing w:before="0" w:after="200"/>
      </w:pPr>
      <w:r>
        <w:t>Telephone</w:t>
      </w:r>
      <w:r w:rsidR="00025615">
        <w:t xml:space="preserve"> service levels </w:t>
      </w:r>
      <w:r w:rsidR="0065760E">
        <w:t xml:space="preserve">generally </w:t>
      </w:r>
      <w:r w:rsidR="00025615">
        <w:t>improved, with all but four retailers answering customer phone calls within an average time of 30 seconds.</w:t>
      </w:r>
    </w:p>
    <w:p w:rsidR="00243B87" w:rsidRDefault="00025615" w:rsidP="009E4964">
      <w:pPr>
        <w:pStyle w:val="ListParagraph"/>
        <w:numPr>
          <w:ilvl w:val="0"/>
          <w:numId w:val="11"/>
        </w:numPr>
        <w:spacing w:before="0" w:after="200"/>
      </w:pPr>
      <w:r>
        <w:t>Billing, prices and overcharging continue to be the major r</w:t>
      </w:r>
      <w:r w:rsidR="00D82E56">
        <w:t>easons for customer complaints, however other types of complaints for issues such as customer service have also significantly increased.</w:t>
      </w:r>
    </w:p>
    <w:p w:rsidR="003D6284" w:rsidRDefault="003D6284" w:rsidP="009E4964">
      <w:pPr>
        <w:pStyle w:val="ListParagraph"/>
        <w:numPr>
          <w:ilvl w:val="0"/>
          <w:numId w:val="11"/>
        </w:numPr>
        <w:spacing w:before="0" w:after="200"/>
      </w:pPr>
      <w:r>
        <w:t>In New South Wales</w:t>
      </w:r>
      <w:r w:rsidR="00D82E56">
        <w:t xml:space="preserve">, energy retailers received twice as many complaints when compared with 2012-13, however the number of complaints investigated by the ombudsman </w:t>
      </w:r>
      <w:r w:rsidR="0065760E">
        <w:t xml:space="preserve">was </w:t>
      </w:r>
      <w:r w:rsidR="00D82E56">
        <w:t xml:space="preserve">not significantly greater.  </w:t>
      </w:r>
    </w:p>
    <w:p w:rsidR="00025615" w:rsidRDefault="00025615" w:rsidP="009E4964">
      <w:pPr>
        <w:pStyle w:val="ListParagraph"/>
        <w:numPr>
          <w:ilvl w:val="0"/>
          <w:numId w:val="11"/>
        </w:numPr>
        <w:spacing w:before="0" w:after="200"/>
      </w:pPr>
      <w:r>
        <w:t xml:space="preserve">In South Australia, energy retailers received significantly more complaints from customers when compared with 2012-13. However, the number of complaints made to the South Australian ombudsman declined, which </w:t>
      </w:r>
      <w:r w:rsidR="00344ADF">
        <w:t xml:space="preserve">suggests </w:t>
      </w:r>
      <w:r>
        <w:t xml:space="preserve">that energy retailers have improved their ability to manage customer issues. </w:t>
      </w:r>
    </w:p>
    <w:p w:rsidR="00F0451F" w:rsidRPr="00F0451F" w:rsidRDefault="00F0451F" w:rsidP="00720C6E">
      <w:pPr>
        <w:pStyle w:val="Heading3"/>
        <w:spacing w:after="0"/>
      </w:pPr>
      <w:bookmarkStart w:id="9" w:name="_Toc402959222"/>
      <w:bookmarkStart w:id="10" w:name="_Toc402959708"/>
      <w:bookmarkStart w:id="11" w:name="_Toc402961380"/>
      <w:r>
        <w:t>Energy debt and hardship programs</w:t>
      </w:r>
      <w:bookmarkEnd w:id="9"/>
      <w:bookmarkEnd w:id="10"/>
      <w:bookmarkEnd w:id="11"/>
    </w:p>
    <w:p w:rsidR="00025615" w:rsidRPr="00690192" w:rsidRDefault="00025615" w:rsidP="009E4964">
      <w:pPr>
        <w:pStyle w:val="ListParagraph"/>
        <w:numPr>
          <w:ilvl w:val="0"/>
          <w:numId w:val="11"/>
        </w:numPr>
        <w:spacing w:before="0" w:after="200"/>
      </w:pPr>
      <w:r w:rsidRPr="00690192">
        <w:t xml:space="preserve">In South Australia over 5 per cent of </w:t>
      </w:r>
      <w:r w:rsidR="00EE5C64">
        <w:t xml:space="preserve">residential </w:t>
      </w:r>
      <w:r w:rsidRPr="00690192">
        <w:t xml:space="preserve">customers owe an average of $666 for electricity, and are not currently on a </w:t>
      </w:r>
      <w:r>
        <w:t xml:space="preserve">retailer’s </w:t>
      </w:r>
      <w:r w:rsidRPr="00690192">
        <w:t xml:space="preserve">hardship program. </w:t>
      </w:r>
      <w:r w:rsidR="0088216B">
        <w:t xml:space="preserve">In New South Wales 3.6 per cent of customers owe an average of $529 for electricity. </w:t>
      </w:r>
      <w:r w:rsidR="00205910">
        <w:t>While</w:t>
      </w:r>
      <w:r w:rsidRPr="00690192">
        <w:t xml:space="preserve"> only </w:t>
      </w:r>
      <w:r>
        <w:t>2 to 3</w:t>
      </w:r>
      <w:r w:rsidRPr="00690192">
        <w:t xml:space="preserve"> per cent of customers in Tasmania and the ACT </w:t>
      </w:r>
      <w:r w:rsidR="0063289E">
        <w:t>hold electricity debt</w:t>
      </w:r>
      <w:r w:rsidRPr="00690192">
        <w:t xml:space="preserve">, their average debts are greater ($704 and $825 respectively).   </w:t>
      </w:r>
    </w:p>
    <w:p w:rsidR="00025615" w:rsidRPr="00690192" w:rsidRDefault="00025615" w:rsidP="009E4964">
      <w:pPr>
        <w:pStyle w:val="ListParagraph"/>
        <w:numPr>
          <w:ilvl w:val="0"/>
          <w:numId w:val="11"/>
        </w:numPr>
        <w:spacing w:before="0" w:after="200"/>
      </w:pPr>
      <w:r w:rsidRPr="00690192">
        <w:t xml:space="preserve">In the ACT and New South Wales, proportionally more customers hold </w:t>
      </w:r>
      <w:r>
        <w:t>debt for gas than electricity</w:t>
      </w:r>
      <w:r w:rsidR="0088216B">
        <w:t xml:space="preserve"> (6.4 and 4.3 per cent respectively)</w:t>
      </w:r>
      <w:r w:rsidRPr="00690192">
        <w:t>. Average debt levels for gas were $551 in the ACT</w:t>
      </w:r>
      <w:r w:rsidR="003D3E25">
        <w:t xml:space="preserve"> and </w:t>
      </w:r>
      <w:r w:rsidR="003D3E25" w:rsidRPr="00690192">
        <w:t>$395 in NSW</w:t>
      </w:r>
      <w:r w:rsidRPr="00690192">
        <w:t xml:space="preserve">. </w:t>
      </w:r>
    </w:p>
    <w:p w:rsidR="00025615" w:rsidRDefault="00025615" w:rsidP="009E4964">
      <w:pPr>
        <w:pStyle w:val="ListParagraph"/>
        <w:numPr>
          <w:ilvl w:val="0"/>
          <w:numId w:val="11"/>
        </w:numPr>
        <w:spacing w:before="0" w:after="200"/>
      </w:pPr>
      <w:r w:rsidRPr="00690192">
        <w:t xml:space="preserve">Customers with energy debt are increasingly entering retailer hardship programs to repay their debt. Proportionally more customers in South Australia </w:t>
      </w:r>
      <w:r w:rsidR="001A3512">
        <w:t xml:space="preserve">are </w:t>
      </w:r>
      <w:r w:rsidR="00827E6F">
        <w:t>on</w:t>
      </w:r>
      <w:r w:rsidR="00827E6F" w:rsidRPr="00690192">
        <w:t xml:space="preserve"> </w:t>
      </w:r>
      <w:r w:rsidRPr="00690192">
        <w:t xml:space="preserve">hardship programs, followed by NSW, Tasmania and the ACT. </w:t>
      </w:r>
    </w:p>
    <w:p w:rsidR="00025615" w:rsidRDefault="001F356C" w:rsidP="009E4964">
      <w:pPr>
        <w:pStyle w:val="ListParagraph"/>
        <w:numPr>
          <w:ilvl w:val="0"/>
          <w:numId w:val="11"/>
        </w:numPr>
        <w:spacing w:before="0" w:after="200"/>
      </w:pPr>
      <w:r>
        <w:lastRenderedPageBreak/>
        <w:t>A</w:t>
      </w:r>
      <w:r w:rsidRPr="00690192">
        <w:t xml:space="preserve">round 20 per cent </w:t>
      </w:r>
      <w:r w:rsidR="00025615" w:rsidRPr="00690192">
        <w:t xml:space="preserve">of customers </w:t>
      </w:r>
      <w:r w:rsidR="00D84B16">
        <w:t xml:space="preserve">that exited hardship programs returned to normal billing arrangements. </w:t>
      </w:r>
      <w:r w:rsidR="00025615" w:rsidRPr="00690192">
        <w:t xml:space="preserve">The remaining 80 per cent </w:t>
      </w:r>
      <w:r w:rsidR="00D84B16">
        <w:t xml:space="preserve">that exited </w:t>
      </w:r>
      <w:r w:rsidR="00025615" w:rsidRPr="00690192">
        <w:t>either transferred to another retailer or were excluded from the</w:t>
      </w:r>
      <w:r w:rsidR="00D84B16">
        <w:t>ir</w:t>
      </w:r>
      <w:r w:rsidR="00025615" w:rsidRPr="00690192">
        <w:t xml:space="preserve"> </w:t>
      </w:r>
      <w:r w:rsidR="003D3E25">
        <w:t xml:space="preserve">retailer’s </w:t>
      </w:r>
      <w:r w:rsidR="00025615" w:rsidRPr="00690192">
        <w:t>hardship program.</w:t>
      </w:r>
    </w:p>
    <w:p w:rsidR="00EE5C64" w:rsidRDefault="00EE5C64" w:rsidP="009E4964">
      <w:pPr>
        <w:pStyle w:val="ListParagraph"/>
        <w:numPr>
          <w:ilvl w:val="0"/>
          <w:numId w:val="11"/>
        </w:numPr>
        <w:spacing w:before="0" w:after="200"/>
      </w:pPr>
      <w:r>
        <w:t xml:space="preserve">In most jurisdictions the number of small businesses with energy debt decreased in the 12 months to June 2014. In the ACT, there are more small businesses with electricity debt, </w:t>
      </w:r>
      <w:r w:rsidR="00205910">
        <w:t>but t</w:t>
      </w:r>
      <w:r>
        <w:t>heir average level of debt has decreased.</w:t>
      </w:r>
    </w:p>
    <w:p w:rsidR="00F0451F" w:rsidRPr="00F0451F" w:rsidRDefault="00F0451F" w:rsidP="00720C6E">
      <w:pPr>
        <w:pStyle w:val="Heading3"/>
        <w:spacing w:after="0"/>
      </w:pPr>
      <w:bookmarkStart w:id="12" w:name="_Toc402959223"/>
      <w:bookmarkStart w:id="13" w:name="_Toc402959709"/>
      <w:bookmarkStart w:id="14" w:name="_Toc402961381"/>
      <w:r>
        <w:t>Disconnections</w:t>
      </w:r>
      <w:bookmarkEnd w:id="12"/>
      <w:bookmarkEnd w:id="13"/>
      <w:bookmarkEnd w:id="14"/>
      <w:r>
        <w:t xml:space="preserve"> </w:t>
      </w:r>
    </w:p>
    <w:p w:rsidR="00025615" w:rsidRDefault="00025615" w:rsidP="009E4964">
      <w:pPr>
        <w:pStyle w:val="ListParagraph"/>
        <w:numPr>
          <w:ilvl w:val="0"/>
          <w:numId w:val="11"/>
        </w:numPr>
        <w:spacing w:before="0" w:after="200"/>
      </w:pPr>
      <w:r>
        <w:t>Retailers disconnected fewer than 2 per cent of their electricity customers for non-payment of their energy bills</w:t>
      </w:r>
      <w:r w:rsidR="001F356C">
        <w:t xml:space="preserve">. The </w:t>
      </w:r>
      <w:r>
        <w:t>exception</w:t>
      </w:r>
      <w:r w:rsidR="001F356C">
        <w:t>s were</w:t>
      </w:r>
      <w:r w:rsidR="00FC31C3">
        <w:t xml:space="preserve"> Alinta Energy (4.8 per cent), </w:t>
      </w:r>
      <w:r>
        <w:t>QEnergy (2.4 per cent)</w:t>
      </w:r>
      <w:r w:rsidR="00FC31C3">
        <w:t xml:space="preserve"> and Simply Energy (2.1 per cent)</w:t>
      </w:r>
      <w:r>
        <w:t>.</w:t>
      </w:r>
    </w:p>
    <w:p w:rsidR="001A3512" w:rsidRDefault="00F53F0A" w:rsidP="006254F5">
      <w:pPr>
        <w:pStyle w:val="ListParagraph"/>
        <w:numPr>
          <w:ilvl w:val="0"/>
          <w:numId w:val="11"/>
        </w:numPr>
        <w:spacing w:before="0" w:after="200"/>
      </w:pPr>
      <w:r>
        <w:t>Proportionally</w:t>
      </w:r>
      <w:r w:rsidR="001A3512">
        <w:t xml:space="preserve"> more residential electricity customers were disconnected for non-payment in South Australia (1.37 per cent), followed by New South Wales (1.03 per cent), Tasmania (0.68 per cent) and the ACT (0.17 per cent). The ACT had the greatest proportion of residential gas customers disconnected (0.94 per cent), followed by South Australia (0.86 per cent) and New South Wales (0.39 per cent).</w:t>
      </w:r>
    </w:p>
    <w:p w:rsidR="006254F5" w:rsidRDefault="001F356C" w:rsidP="006254F5">
      <w:pPr>
        <w:pStyle w:val="ListParagraph"/>
        <w:numPr>
          <w:ilvl w:val="0"/>
          <w:numId w:val="11"/>
        </w:numPr>
        <w:spacing w:before="0" w:after="200"/>
      </w:pPr>
      <w:r>
        <w:t>In New South Wales r</w:t>
      </w:r>
      <w:r w:rsidR="006254F5">
        <w:t>esidential disconnections for non-payment increased by 32 per cent – this was largely due to Origin Energy resuming its ‘business as usual’ disconnection activities.</w:t>
      </w:r>
      <w:r w:rsidR="00B130E1">
        <w:t xml:space="preserve"> </w:t>
      </w:r>
      <w:r>
        <w:t>Continuing a downward trend,</w:t>
      </w:r>
      <w:r w:rsidR="006254F5">
        <w:t xml:space="preserve"> gas disconnections decreased</w:t>
      </w:r>
      <w:r>
        <w:t xml:space="preserve"> </w:t>
      </w:r>
      <w:r w:rsidR="006254F5">
        <w:t>by 35 per cent in 2013-14</w:t>
      </w:r>
      <w:r>
        <w:t xml:space="preserve">. </w:t>
      </w:r>
    </w:p>
    <w:p w:rsidR="006254F5" w:rsidRDefault="006254F5" w:rsidP="006254F5">
      <w:pPr>
        <w:pStyle w:val="ListParagraph"/>
        <w:numPr>
          <w:ilvl w:val="0"/>
          <w:numId w:val="11"/>
        </w:numPr>
        <w:spacing w:before="0" w:after="200"/>
      </w:pPr>
      <w:r>
        <w:t xml:space="preserve">In South Australia the number of residential electricity disconnections </w:t>
      </w:r>
      <w:r w:rsidR="006048EE">
        <w:t xml:space="preserve">for non-payment </w:t>
      </w:r>
      <w:r>
        <w:t xml:space="preserve">decreased by 5 per cent, and the number of residential gas disconnections increased by 9 per cent.   </w:t>
      </w:r>
    </w:p>
    <w:p w:rsidR="00025615" w:rsidRDefault="00025615" w:rsidP="009E4964">
      <w:pPr>
        <w:pStyle w:val="ListParagraph"/>
        <w:numPr>
          <w:ilvl w:val="0"/>
          <w:numId w:val="11"/>
        </w:numPr>
        <w:spacing w:before="0" w:after="200"/>
      </w:pPr>
      <w:r w:rsidRPr="000A4225">
        <w:t xml:space="preserve">19 per cent of electricity disconnections and 12 per cent of gas disconnections were customers that had been on a payment plan in the past 12 months. </w:t>
      </w:r>
      <w:r w:rsidR="001F356C">
        <w:t xml:space="preserve">Very few hardship </w:t>
      </w:r>
      <w:r w:rsidRPr="000A4225">
        <w:t xml:space="preserve">customers </w:t>
      </w:r>
      <w:r w:rsidR="001F356C">
        <w:t xml:space="preserve">were disconnected. </w:t>
      </w:r>
    </w:p>
    <w:p w:rsidR="006254F5" w:rsidRPr="000A4225" w:rsidRDefault="006254F5" w:rsidP="009E4964">
      <w:pPr>
        <w:pStyle w:val="ListParagraph"/>
        <w:numPr>
          <w:ilvl w:val="0"/>
          <w:numId w:val="11"/>
        </w:numPr>
        <w:spacing w:before="0" w:after="200"/>
      </w:pPr>
      <w:r>
        <w:t xml:space="preserve">Of all residential customers disconnected </w:t>
      </w:r>
      <w:r w:rsidR="006048EE">
        <w:t xml:space="preserve">for non-payment </w:t>
      </w:r>
      <w:r>
        <w:t xml:space="preserve">in New South Wales, South Australia, the ACT and Tasmania, 45 per cent of electricity customers and 32 per cent of gas customers were reconnected in the same name and address. Most reconnections occurred within seven days of disconnection. </w:t>
      </w:r>
    </w:p>
    <w:p w:rsidR="00F0451F" w:rsidRPr="00F0451F" w:rsidRDefault="00D722CB" w:rsidP="00720C6E">
      <w:pPr>
        <w:pStyle w:val="Heading3"/>
        <w:spacing w:after="0"/>
      </w:pPr>
      <w:bookmarkStart w:id="15" w:name="_Toc402959224"/>
      <w:bookmarkStart w:id="16" w:name="_Toc402959710"/>
      <w:bookmarkStart w:id="17" w:name="_Toc402961382"/>
      <w:r>
        <w:t>Energy a</w:t>
      </w:r>
      <w:r w:rsidR="00F0451F">
        <w:t>ffordability</w:t>
      </w:r>
      <w:bookmarkEnd w:id="15"/>
      <w:bookmarkEnd w:id="16"/>
      <w:bookmarkEnd w:id="17"/>
      <w:r w:rsidR="00F0451F">
        <w:t xml:space="preserve"> </w:t>
      </w:r>
    </w:p>
    <w:p w:rsidR="00025615" w:rsidRDefault="00025615" w:rsidP="009E4964">
      <w:pPr>
        <w:pStyle w:val="ListParagraph"/>
        <w:numPr>
          <w:ilvl w:val="0"/>
          <w:numId w:val="11"/>
        </w:numPr>
        <w:spacing w:before="0" w:after="200"/>
      </w:pPr>
      <w:r>
        <w:t xml:space="preserve">A low income household, in receipt of an energy concession, spent between 3.0 and 7.3 per cent of their income on electricity depending on where they live. Gas bills comprise a lower share of a low income household’s disposable income, ranging from 1.9 to 3.4 per cent. </w:t>
      </w:r>
    </w:p>
    <w:p w:rsidR="00BD6ABE" w:rsidRDefault="00BD6ABE" w:rsidP="009E4964">
      <w:pPr>
        <w:pStyle w:val="ListParagraph"/>
        <w:numPr>
          <w:ilvl w:val="0"/>
          <w:numId w:val="11"/>
        </w:numPr>
        <w:spacing w:before="0" w:after="200"/>
      </w:pPr>
      <w:r>
        <w:t xml:space="preserve">In most jurisdictions, there were </w:t>
      </w:r>
      <w:r w:rsidR="00343B98">
        <w:t>modest</w:t>
      </w:r>
      <w:r>
        <w:t xml:space="preserve"> increases to annual electricity bills (</w:t>
      </w:r>
      <w:r w:rsidR="00040E50">
        <w:t>up to around 4</w:t>
      </w:r>
      <w:r>
        <w:t xml:space="preserve"> per cent). Tasmania was an exception – although it has the highest annual electricity bills</w:t>
      </w:r>
      <w:r w:rsidR="007B6EF7">
        <w:t xml:space="preserve"> (as was the case in 2013)</w:t>
      </w:r>
      <w:r>
        <w:t xml:space="preserve"> it was the only jurisdiction to see a fall in nominal electricity charges. Queensland was also notable, with </w:t>
      </w:r>
      <w:r w:rsidR="007B6EF7">
        <w:t xml:space="preserve">annual electricity bills increasing by 22 per cent and representing a greater share of household income in 2014 (4.8 per cent) when compared with 2013 (4 per cent). </w:t>
      </w:r>
    </w:p>
    <w:p w:rsidR="00040E50" w:rsidRDefault="00040E50" w:rsidP="004E4CE2">
      <w:pPr>
        <w:pStyle w:val="ListParagraph"/>
        <w:numPr>
          <w:ilvl w:val="0"/>
          <w:numId w:val="11"/>
        </w:numPr>
        <w:spacing w:before="0" w:after="200"/>
      </w:pPr>
      <w:r>
        <w:t xml:space="preserve">Annual gas bills increased by more than CPI in every jurisdiction. The greatest increase was in the ACT (11 per cent), making annual gas bills in the ACT the most expensive. However, annual gas bills in Victoria accounted for a greater proportion of household income. </w:t>
      </w:r>
    </w:p>
    <w:p w:rsidR="004B7B5B" w:rsidRDefault="004B7B5B" w:rsidP="001F2C30">
      <w:pPr>
        <w:pStyle w:val="ChapterTitle"/>
        <w:numPr>
          <w:ilvl w:val="0"/>
          <w:numId w:val="24"/>
        </w:numPr>
      </w:pPr>
      <w:bookmarkStart w:id="18" w:name="_Toc402961383"/>
      <w:r>
        <w:lastRenderedPageBreak/>
        <w:t>Competition in retail energy markets</w:t>
      </w:r>
      <w:bookmarkEnd w:id="18"/>
    </w:p>
    <w:p w:rsidR="004B7B5B" w:rsidRDefault="004B7B5B" w:rsidP="004B7B5B">
      <w:pPr>
        <w:spacing w:before="0" w:after="200"/>
      </w:pPr>
      <w:r>
        <w:t xml:space="preserve">The </w:t>
      </w:r>
      <w:r w:rsidR="00F0451F">
        <w:t xml:space="preserve">level </w:t>
      </w:r>
      <w:r>
        <w:t xml:space="preserve">of competition in retail energy markets varies across jurisdictions due to different structural and market characteristics, as well as different regulatory approaches. </w:t>
      </w:r>
    </w:p>
    <w:p w:rsidR="004B7B5B" w:rsidRDefault="004B7B5B" w:rsidP="004B7B5B">
      <w:pPr>
        <w:spacing w:before="0" w:after="200"/>
      </w:pPr>
      <w:r>
        <w:t xml:space="preserve">This chapter provides an overview of </w:t>
      </w:r>
      <w:r w:rsidR="00F0451F">
        <w:t xml:space="preserve">competition in the </w:t>
      </w:r>
      <w:r w:rsidR="00344ADF">
        <w:t>retail energy markets</w:t>
      </w:r>
      <w:r w:rsidR="00344ADF" w:rsidDel="00344ADF">
        <w:t xml:space="preserve"> </w:t>
      </w:r>
      <w:r w:rsidR="00344ADF">
        <w:t xml:space="preserve">in </w:t>
      </w:r>
      <w:r>
        <w:t>New South Wales, South Australia, Australian Capital Territory and Tasmania, with a focus on:</w:t>
      </w:r>
    </w:p>
    <w:p w:rsidR="004B7B5B" w:rsidRPr="00EE7196" w:rsidRDefault="003A1E40" w:rsidP="009E4964">
      <w:pPr>
        <w:pStyle w:val="ListParagraph"/>
        <w:numPr>
          <w:ilvl w:val="0"/>
          <w:numId w:val="11"/>
        </w:numPr>
        <w:spacing w:before="0" w:after="200"/>
        <w:rPr>
          <w:rFonts w:ascii="Lucida Fax" w:hAnsi="Lucida Fax"/>
          <w:color w:val="51626F"/>
          <w:sz w:val="32"/>
          <w:szCs w:val="32"/>
        </w:rPr>
      </w:pPr>
      <w:r>
        <w:t>t</w:t>
      </w:r>
      <w:r w:rsidR="004B7B5B">
        <w:t>he number of active retailers selling energy to different types of customers</w:t>
      </w:r>
    </w:p>
    <w:p w:rsidR="004B7B5B" w:rsidRPr="00EE7196" w:rsidRDefault="003A1E40" w:rsidP="009E4964">
      <w:pPr>
        <w:pStyle w:val="ListParagraph"/>
        <w:numPr>
          <w:ilvl w:val="0"/>
          <w:numId w:val="11"/>
        </w:numPr>
        <w:spacing w:before="0" w:after="200"/>
        <w:rPr>
          <w:rFonts w:ascii="Lucida Fax" w:hAnsi="Lucida Fax"/>
          <w:color w:val="51626F"/>
          <w:sz w:val="32"/>
          <w:szCs w:val="32"/>
        </w:rPr>
      </w:pPr>
      <w:r>
        <w:t>t</w:t>
      </w:r>
      <w:r w:rsidR="004B7B5B">
        <w:t>he proportion of small customers on standard and market retail contracts</w:t>
      </w:r>
    </w:p>
    <w:p w:rsidR="004B7B5B" w:rsidRPr="00EE7196" w:rsidRDefault="003A1E40" w:rsidP="009E4964">
      <w:pPr>
        <w:pStyle w:val="ListParagraph"/>
        <w:numPr>
          <w:ilvl w:val="0"/>
          <w:numId w:val="11"/>
        </w:numPr>
        <w:spacing w:before="0" w:after="200"/>
        <w:rPr>
          <w:rFonts w:ascii="Lucida Fax" w:hAnsi="Lucida Fax"/>
          <w:color w:val="51626F"/>
          <w:sz w:val="32"/>
          <w:szCs w:val="32"/>
        </w:rPr>
      </w:pPr>
      <w:r>
        <w:t>c</w:t>
      </w:r>
      <w:r w:rsidR="004B7B5B">
        <w:t>ustomers switching between retailers</w:t>
      </w:r>
    </w:p>
    <w:p w:rsidR="004B7B5B" w:rsidRDefault="003A1E40" w:rsidP="009E4964">
      <w:pPr>
        <w:pStyle w:val="ListParagraph"/>
        <w:numPr>
          <w:ilvl w:val="0"/>
          <w:numId w:val="11"/>
        </w:numPr>
        <w:spacing w:before="0" w:after="200"/>
      </w:pPr>
      <w:proofErr w:type="gramStart"/>
      <w:r>
        <w:t>c</w:t>
      </w:r>
      <w:r w:rsidR="004B7B5B">
        <w:t>ustomers</w:t>
      </w:r>
      <w:proofErr w:type="gramEnd"/>
      <w:r w:rsidR="004B7B5B">
        <w:t xml:space="preserve"> using prepayment meters.</w:t>
      </w:r>
    </w:p>
    <w:p w:rsidR="004B7B5B" w:rsidRDefault="004B7B5B" w:rsidP="004B7B5B">
      <w:pPr>
        <w:spacing w:before="0" w:after="200"/>
      </w:pPr>
      <w:r>
        <w:br w:type="page"/>
      </w:r>
    </w:p>
    <w:p w:rsidR="00BC5112" w:rsidRDefault="004B7B5B" w:rsidP="00AA3437">
      <w:pPr>
        <w:pStyle w:val="Headingnumbered11"/>
        <w:spacing w:after="240"/>
      </w:pPr>
      <w:bookmarkStart w:id="19" w:name="_Toc402961384"/>
      <w:r>
        <w:lastRenderedPageBreak/>
        <w:t>Retail competition</w:t>
      </w:r>
      <w:bookmarkEnd w:id="19"/>
    </w:p>
    <w:p w:rsidR="004B7B5B" w:rsidRDefault="00BC5112" w:rsidP="00BC5112">
      <w:pPr>
        <w:spacing w:before="0" w:after="200"/>
      </w:pPr>
      <w:r>
        <w:t xml:space="preserve">In August 2014 the Australian Energy Market Commission (AEMC) released the 2014 Retail Competition Review (the Competition Review). The Competition Review found that increased competition in New South Wales and South Australia has facilitated greater choice for energy customers. In these markets a number of ‘second-tier’ retailers vie for customers from the traditional ‘big three’ retailers. Competition in retail gas markets has been moderate in comparison with electricity markets. Conversely, effective competition is yet to emerge in the ACT and Tasmania retail energy markets. </w:t>
      </w:r>
    </w:p>
    <w:p w:rsidR="004B7B5B" w:rsidRDefault="004B7B5B" w:rsidP="009E4964">
      <w:pPr>
        <w:pStyle w:val="Headingnumbered11"/>
        <w:numPr>
          <w:ilvl w:val="2"/>
          <w:numId w:val="10"/>
        </w:numPr>
      </w:pPr>
      <w:r>
        <w:t xml:space="preserve"> </w:t>
      </w:r>
      <w:bookmarkStart w:id="20" w:name="_Toc402959227"/>
      <w:bookmarkStart w:id="21" w:name="_Toc402959713"/>
      <w:bookmarkStart w:id="22" w:name="_Toc402961385"/>
      <w:r>
        <w:t>Electricity</w:t>
      </w:r>
      <w:bookmarkEnd w:id="20"/>
      <w:bookmarkEnd w:id="21"/>
      <w:bookmarkEnd w:id="22"/>
    </w:p>
    <w:p w:rsidR="004B7B5B" w:rsidRDefault="004B7B5B" w:rsidP="004B7B5B">
      <w:r w:rsidRPr="00186566">
        <w:t>Figure 1.1 shows the market share held by electricity retailers in South Australia, the ACT, Tasmania and New South Wales for small (residential and small business) and large customers</w:t>
      </w:r>
      <w:r w:rsidR="008775DA">
        <w:t xml:space="preserve"> as at 30 June 2014</w:t>
      </w:r>
      <w:r w:rsidRPr="00186566">
        <w:t xml:space="preserve">. </w:t>
      </w:r>
    </w:p>
    <w:p w:rsidR="004B7B5B" w:rsidRPr="0015113C" w:rsidRDefault="004B7B5B" w:rsidP="004B7B5B">
      <w:pPr>
        <w:rPr>
          <w:b/>
        </w:rPr>
      </w:pPr>
      <w:r w:rsidRPr="0015113C">
        <w:rPr>
          <w:b/>
        </w:rPr>
        <w:t>Figure 1.1: Retail market share (small and large customers)</w:t>
      </w:r>
      <w:r w:rsidR="006F3C6C" w:rsidRPr="006F3C6C">
        <w:rPr>
          <w:rStyle w:val="Strong"/>
        </w:rPr>
        <w:t>—</w:t>
      </w:r>
      <w:r w:rsidRPr="0015113C">
        <w:rPr>
          <w:b/>
        </w:rPr>
        <w:t>electricity</w:t>
      </w:r>
    </w:p>
    <w:p w:rsidR="004B7B5B" w:rsidRDefault="004B7B5B" w:rsidP="004B7B5B">
      <w:r>
        <w:rPr>
          <w:noProof/>
          <w:lang w:eastAsia="en-AU"/>
        </w:rPr>
        <w:drawing>
          <wp:inline distT="0" distB="0" distL="0" distR="0" wp14:anchorId="0219DEF4" wp14:editId="358AF475">
            <wp:extent cx="5785485" cy="3731260"/>
            <wp:effectExtent l="0" t="0" r="5715" b="2540"/>
            <wp:docPr id="25" name="Picture 25" descr="In South Australia over 48 per cent of customers are supplied electricity by AGL, around 19 per cent by Origin Energy, and 10 per cent by EnergyAustralia. The remaining customers are supplied by second tier retailers. In the ACT ActewAGL supplies electricity to around 96 per cent of small customers. Aurora sells electricity to almost all small customers in Tasmania. In New South Wales only 7 per cent of customers are supplied electricity by second tier retailers. Origin Energy has the largest share of customers (39 per cent)."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485" cy="3731260"/>
                    </a:xfrm>
                    <a:prstGeom prst="rect">
                      <a:avLst/>
                    </a:prstGeom>
                    <a:noFill/>
                  </pic:spPr>
                </pic:pic>
              </a:graphicData>
            </a:graphic>
          </wp:inline>
        </w:drawing>
      </w:r>
    </w:p>
    <w:p w:rsidR="004B7B5B" w:rsidRPr="00673EA5" w:rsidRDefault="004B7B5B" w:rsidP="004B7B5B">
      <w:pPr>
        <w:spacing w:after="240"/>
        <w:rPr>
          <w:sz w:val="18"/>
          <w:szCs w:val="18"/>
        </w:rPr>
      </w:pPr>
      <w:r w:rsidRPr="00673EA5">
        <w:rPr>
          <w:sz w:val="18"/>
          <w:szCs w:val="18"/>
        </w:rPr>
        <w:t xml:space="preserve">Note: ‘Other retailers’ are those with less than 10 per cent market share in each customer market. </w:t>
      </w:r>
    </w:p>
    <w:p w:rsidR="004B7B5B" w:rsidRDefault="00FF6AF6" w:rsidP="004B7B5B">
      <w:pPr>
        <w:spacing w:before="0" w:after="200"/>
      </w:pPr>
      <w:r>
        <w:t xml:space="preserve">The larger jurisdictions, South Australia and New South Wales, have greater numbers of retailers and </w:t>
      </w:r>
      <w:r w:rsidR="00243B87">
        <w:t xml:space="preserve">are </w:t>
      </w:r>
      <w:r w:rsidR="006452DD">
        <w:t xml:space="preserve">different to </w:t>
      </w:r>
      <w:r>
        <w:t>the ACT and Tasmanian markets</w:t>
      </w:r>
      <w:r w:rsidR="001F356C">
        <w:t xml:space="preserve"> in a number of key respects</w:t>
      </w:r>
      <w:r>
        <w:t>. Sixteen</w:t>
      </w:r>
      <w:r w:rsidR="004B7B5B">
        <w:t xml:space="preserve"> retailers supply electricity to small customers</w:t>
      </w:r>
      <w:r>
        <w:t xml:space="preserve"> in South Australia</w:t>
      </w:r>
      <w:r w:rsidR="004B7B5B">
        <w:t xml:space="preserve">, </w:t>
      </w:r>
      <w:r w:rsidR="001F356C">
        <w:t>with</w:t>
      </w:r>
      <w:r w:rsidR="004B7B5B">
        <w:t xml:space="preserve"> three retailers – AGL, Origin Energy and EnergyAustralia</w:t>
      </w:r>
      <w:r w:rsidR="00344ADF">
        <w:t xml:space="preserve"> (the “big three”)</w:t>
      </w:r>
      <w:r w:rsidR="004B7B5B">
        <w:t xml:space="preserve"> – sell</w:t>
      </w:r>
      <w:r w:rsidR="001F356C">
        <w:t>ing</w:t>
      </w:r>
      <w:r w:rsidR="004B7B5B">
        <w:t xml:space="preserve"> electricity to 78 per cent of these customers. </w:t>
      </w:r>
      <w:r w:rsidR="00AE1012">
        <w:t>‘Second tier’ retailers such as Alinta Energy, Lumo Energy and Simply Energy collectively sell electricity to 18 per cent of customers</w:t>
      </w:r>
      <w:r w:rsidR="008775DA">
        <w:t>.</w:t>
      </w:r>
    </w:p>
    <w:p w:rsidR="00FF6AF6" w:rsidRDefault="00FF6AF6" w:rsidP="00FF6AF6">
      <w:pPr>
        <w:spacing w:before="0" w:after="200"/>
      </w:pPr>
      <w:r w:rsidRPr="00B9454B">
        <w:lastRenderedPageBreak/>
        <w:t>In New South Wales</w:t>
      </w:r>
      <w:r>
        <w:t xml:space="preserve">, AGL, Origin Energy and EnergyAustralia collectively supply around 93 per cent of small </w:t>
      </w:r>
      <w:r w:rsidR="005A319D">
        <w:t>customers</w:t>
      </w:r>
      <w:r w:rsidR="001F356C">
        <w:t>. A</w:t>
      </w:r>
      <w:r>
        <w:t xml:space="preserve">nother 16 </w:t>
      </w:r>
      <w:r w:rsidRPr="00B9454B">
        <w:t xml:space="preserve">retailers </w:t>
      </w:r>
      <w:r>
        <w:t>sell</w:t>
      </w:r>
      <w:r w:rsidRPr="00B9454B">
        <w:t xml:space="preserve"> electricity</w:t>
      </w:r>
      <w:r>
        <w:t xml:space="preserve"> to </w:t>
      </w:r>
      <w:r w:rsidR="001F356C">
        <w:t>the remaining 7 per cent of small customers.</w:t>
      </w:r>
      <w:r>
        <w:t xml:space="preserve"> In total, there are 22 different retailers selling electricity to large customers in New South Wales.      </w:t>
      </w:r>
    </w:p>
    <w:p w:rsidR="004B7B5B" w:rsidRDefault="00FF6AF6" w:rsidP="004B7B5B">
      <w:pPr>
        <w:spacing w:before="0" w:after="200"/>
      </w:pPr>
      <w:r>
        <w:t>Despite being fully contestable, effective competition is yet to emerge in the ACT</w:t>
      </w:r>
      <w:r>
        <w:rPr>
          <w:rStyle w:val="FootnoteReference"/>
        </w:rPr>
        <w:footnoteReference w:id="3"/>
      </w:r>
      <w:r>
        <w:t xml:space="preserve">, with </w:t>
      </w:r>
      <w:r w:rsidR="004B7B5B">
        <w:t>ActewAGL remain</w:t>
      </w:r>
      <w:r>
        <w:t>ing</w:t>
      </w:r>
      <w:r w:rsidR="004B7B5B">
        <w:t xml:space="preserve"> the dominant retailer for small customers</w:t>
      </w:r>
      <w:r>
        <w:t>. According to the Competition Review, b</w:t>
      </w:r>
      <w:r w:rsidR="004B7B5B">
        <w:t xml:space="preserve">arriers to competition include the small size of the ACT market and ActewAGL’s ability to offer discounts to customers that bundle their energy with TransACT services (such as mobile phone, internet and pay television). Origin Energy has flagged that it will begin selling electricity and gas to customers in the ACT from September 2014.   </w:t>
      </w:r>
    </w:p>
    <w:p w:rsidR="004B7B5B" w:rsidRDefault="004B7B5B" w:rsidP="004B7B5B">
      <w:pPr>
        <w:spacing w:before="0" w:after="200"/>
      </w:pPr>
      <w:r>
        <w:t>The Tasmanian Government-owned incumbent, Aurora Energy</w:t>
      </w:r>
      <w:r w:rsidR="001F356C">
        <w:t>,</w:t>
      </w:r>
      <w:r>
        <w:t xml:space="preserve"> sells electricity to all residential customers and almost all small business customers in the state. Aurora also sells electricity to the majority of large customers; however ERM Power and Progressive Green hold a number of large customer contracts. </w:t>
      </w:r>
    </w:p>
    <w:p w:rsidR="004B7B5B" w:rsidRDefault="009E1DC6" w:rsidP="009E4964">
      <w:pPr>
        <w:pStyle w:val="Headingnumbered11"/>
        <w:numPr>
          <w:ilvl w:val="2"/>
          <w:numId w:val="10"/>
        </w:numPr>
      </w:pPr>
      <w:bookmarkStart w:id="23" w:name="_Toc402959228"/>
      <w:bookmarkStart w:id="24" w:name="_Toc402959714"/>
      <w:bookmarkStart w:id="25" w:name="_Toc402961386"/>
      <w:r>
        <w:t xml:space="preserve"> </w:t>
      </w:r>
      <w:r w:rsidR="004B7B5B">
        <w:t>Gas</w:t>
      </w:r>
      <w:bookmarkEnd w:id="23"/>
      <w:bookmarkEnd w:id="24"/>
      <w:bookmarkEnd w:id="25"/>
    </w:p>
    <w:p w:rsidR="004B7B5B" w:rsidRDefault="004B7B5B" w:rsidP="004B7B5B">
      <w:r>
        <w:t>Figure 1.2 shows the market share held by gas retailers in South Australia, th</w:t>
      </w:r>
      <w:r w:rsidR="00602610">
        <w:t>e ACT and New South Wales</w:t>
      </w:r>
      <w:r>
        <w:t xml:space="preserve"> </w:t>
      </w:r>
      <w:r w:rsidR="008775DA">
        <w:t xml:space="preserve">as at 30 June 2014 </w:t>
      </w:r>
      <w:r w:rsidR="00344ADF">
        <w:t>(</w:t>
      </w:r>
      <w:r w:rsidR="00602610">
        <w:t>t</w:t>
      </w:r>
      <w:r>
        <w:t>he Tasmanian gas market is small and is not subject to the Retail Law</w:t>
      </w:r>
      <w:r w:rsidR="00602610">
        <w:t>)</w:t>
      </w:r>
      <w:r>
        <w:t xml:space="preserve">. </w:t>
      </w:r>
    </w:p>
    <w:p w:rsidR="004B7B5B" w:rsidRPr="0015113C" w:rsidRDefault="004B7B5B" w:rsidP="004B7B5B">
      <w:pPr>
        <w:rPr>
          <w:b/>
        </w:rPr>
      </w:pPr>
      <w:r>
        <w:rPr>
          <w:b/>
        </w:rPr>
        <w:t>Figure 1.2: Retail market share (small and large customers)</w:t>
      </w:r>
      <w:r w:rsidR="006F3C6C" w:rsidRPr="006F3C6C">
        <w:rPr>
          <w:rStyle w:val="Strong"/>
        </w:rPr>
        <w:t>—</w:t>
      </w:r>
      <w:r>
        <w:rPr>
          <w:b/>
        </w:rPr>
        <w:t xml:space="preserve">gas </w:t>
      </w:r>
    </w:p>
    <w:p w:rsidR="004B7B5B" w:rsidRDefault="004B7B5B" w:rsidP="004B7B5B">
      <w:r>
        <w:rPr>
          <w:noProof/>
          <w:lang w:eastAsia="en-AU"/>
        </w:rPr>
        <w:drawing>
          <wp:inline distT="0" distB="0" distL="0" distR="0" wp14:anchorId="2ED100BA" wp14:editId="2315B058">
            <wp:extent cx="5824553" cy="3621974"/>
            <wp:effectExtent l="0" t="0" r="5080" b="0"/>
            <wp:docPr id="26" name="Picture 26" descr="In South Australia around 45 per cent of small customers are supplied gas by Origin Energy. ActewAGL supplies gas to over 96 per cent of small customers in the ACT. AGL supplies gas to over 57 per cent of small customers in New South Wales. "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30" cy="3624136"/>
                    </a:xfrm>
                    <a:prstGeom prst="rect">
                      <a:avLst/>
                    </a:prstGeom>
                    <a:noFill/>
                  </pic:spPr>
                </pic:pic>
              </a:graphicData>
            </a:graphic>
          </wp:inline>
        </w:drawing>
      </w:r>
    </w:p>
    <w:p w:rsidR="004B7B5B" w:rsidRPr="00A045C5" w:rsidRDefault="004B7B5B" w:rsidP="004B7B5B">
      <w:pPr>
        <w:spacing w:before="0" w:after="200"/>
        <w:rPr>
          <w:sz w:val="18"/>
          <w:szCs w:val="18"/>
        </w:rPr>
      </w:pPr>
      <w:r w:rsidRPr="00A045C5">
        <w:rPr>
          <w:sz w:val="18"/>
          <w:szCs w:val="18"/>
        </w:rPr>
        <w:t xml:space="preserve">Note: ‘Other retailers’ are those with less than 10 per cent market share in each customer market. </w:t>
      </w:r>
    </w:p>
    <w:p w:rsidR="004B7B5B" w:rsidRPr="00A045C5" w:rsidRDefault="004B7B5B" w:rsidP="004B7B5B">
      <w:pPr>
        <w:spacing w:before="0" w:after="200"/>
      </w:pPr>
      <w:r>
        <w:lastRenderedPageBreak/>
        <w:t>In South Australia</w:t>
      </w:r>
      <w:r w:rsidR="000F319F">
        <w:t>,</w:t>
      </w:r>
      <w:r>
        <w:t xml:space="preserve"> Origin Energy</w:t>
      </w:r>
      <w:r w:rsidR="00344ADF">
        <w:t xml:space="preserve"> had the largest single share of the small customer market (</w:t>
      </w:r>
      <w:r>
        <w:t>45 per cent</w:t>
      </w:r>
      <w:r w:rsidR="00344ADF">
        <w:t>).</w:t>
      </w:r>
      <w:r>
        <w:t xml:space="preserve"> Only 10 per cent of small customers purchase gas from ‘second-tier’ retailers. The Competition Review reported that the lack of effective competition is particularly </w:t>
      </w:r>
      <w:r w:rsidR="006144D1">
        <w:t xml:space="preserve">noticeable </w:t>
      </w:r>
      <w:r>
        <w:t xml:space="preserve">in rural areas, where only two retailers compete. </w:t>
      </w:r>
    </w:p>
    <w:p w:rsidR="004B7B5B" w:rsidRDefault="00551283" w:rsidP="004B7B5B">
      <w:pPr>
        <w:spacing w:before="0" w:after="200"/>
      </w:pPr>
      <w:r>
        <w:t>As with</w:t>
      </w:r>
      <w:r w:rsidR="004B7B5B">
        <w:t xml:space="preserve"> </w:t>
      </w:r>
      <w:r>
        <w:t xml:space="preserve">the </w:t>
      </w:r>
      <w:r w:rsidR="004B7B5B">
        <w:t xml:space="preserve">electricity market, ActewAGL is the main retailer of gas for both small and large customers in the ACT. Notably, the Competition Review found that only 36 per cent of ACT gas customers surveyed were aware they could choose their </w:t>
      </w:r>
      <w:r w:rsidR="00E402FC">
        <w:t xml:space="preserve">gas </w:t>
      </w:r>
      <w:r w:rsidR="004B7B5B">
        <w:t>retailer.</w:t>
      </w:r>
    </w:p>
    <w:p w:rsidR="004B7B5B" w:rsidRPr="000F319F" w:rsidRDefault="004B7B5B" w:rsidP="004B7B5B">
      <w:pPr>
        <w:spacing w:before="0" w:after="200"/>
      </w:pPr>
      <w:r>
        <w:t>The division of market share in the retail gas market in New South Wales is similar to the electricity market</w:t>
      </w:r>
      <w:r w:rsidR="00551283">
        <w:t xml:space="preserve">, with </w:t>
      </w:r>
      <w:r w:rsidR="008775DA">
        <w:t>AGL selling</w:t>
      </w:r>
      <w:r>
        <w:t xml:space="preserve"> gas to most customers, small and large.</w:t>
      </w:r>
    </w:p>
    <w:p w:rsidR="004B7B5B" w:rsidRDefault="004B7B5B" w:rsidP="004B7B5B">
      <w:pPr>
        <w:pStyle w:val="Headingnumbered11"/>
      </w:pPr>
      <w:bookmarkStart w:id="26" w:name="_Toc402961387"/>
      <w:r>
        <w:t>Standard and market retail contracts</w:t>
      </w:r>
      <w:bookmarkEnd w:id="26"/>
    </w:p>
    <w:p w:rsidR="004B7B5B" w:rsidRDefault="004B7B5B" w:rsidP="004B7B5B">
      <w:r>
        <w:t>Residential and small business customers have access to two types of energy contracts.</w:t>
      </w:r>
    </w:p>
    <w:p w:rsidR="004B7B5B" w:rsidRDefault="004B7B5B" w:rsidP="004B7B5B">
      <w:r>
        <w:t>Standard retail contracts are basic contracts with terms and conditions that cannot be varied by a retailer. Market retail contracts have minimum terms and conditions but vary from contract to contract. Under market contracts retailers can tailor their different energy offers through:</w:t>
      </w:r>
    </w:p>
    <w:p w:rsidR="004B7B5B" w:rsidRDefault="004B7B5B" w:rsidP="009E4964">
      <w:pPr>
        <w:pStyle w:val="ListParagraph"/>
        <w:numPr>
          <w:ilvl w:val="0"/>
          <w:numId w:val="11"/>
        </w:numPr>
        <w:spacing w:after="0" w:line="240" w:lineRule="auto"/>
      </w:pPr>
      <w:r>
        <w:t>Discounted prices</w:t>
      </w:r>
    </w:p>
    <w:p w:rsidR="004B7B5B" w:rsidRDefault="004B7B5B" w:rsidP="009E4964">
      <w:pPr>
        <w:pStyle w:val="ListParagraph"/>
        <w:numPr>
          <w:ilvl w:val="0"/>
          <w:numId w:val="11"/>
        </w:numPr>
        <w:spacing w:after="0" w:line="240" w:lineRule="auto"/>
      </w:pPr>
      <w:r>
        <w:t>Non-price incentives</w:t>
      </w:r>
    </w:p>
    <w:p w:rsidR="004B7B5B" w:rsidRDefault="004B7B5B" w:rsidP="009E4964">
      <w:pPr>
        <w:pStyle w:val="ListParagraph"/>
        <w:numPr>
          <w:ilvl w:val="0"/>
          <w:numId w:val="11"/>
        </w:numPr>
        <w:spacing w:after="0" w:line="240" w:lineRule="auto"/>
      </w:pPr>
      <w:r>
        <w:t>Different billing periods</w:t>
      </w:r>
    </w:p>
    <w:p w:rsidR="004B7B5B" w:rsidRDefault="004B7B5B" w:rsidP="009E4964">
      <w:pPr>
        <w:pStyle w:val="ListParagraph"/>
        <w:numPr>
          <w:ilvl w:val="0"/>
          <w:numId w:val="11"/>
        </w:numPr>
        <w:spacing w:after="0" w:line="240" w:lineRule="auto"/>
      </w:pPr>
      <w:r>
        <w:t>Different payment options</w:t>
      </w:r>
    </w:p>
    <w:p w:rsidR="004B7B5B" w:rsidRDefault="004B7B5B" w:rsidP="009E4964">
      <w:pPr>
        <w:pStyle w:val="ListParagraph"/>
        <w:numPr>
          <w:ilvl w:val="0"/>
          <w:numId w:val="11"/>
        </w:numPr>
        <w:spacing w:after="0" w:line="240" w:lineRule="auto"/>
      </w:pPr>
      <w:r>
        <w:t>Fixed term durations</w:t>
      </w:r>
    </w:p>
    <w:p w:rsidR="004B7B5B" w:rsidRDefault="004B7B5B" w:rsidP="009E4964">
      <w:pPr>
        <w:pStyle w:val="ListParagraph"/>
        <w:numPr>
          <w:ilvl w:val="0"/>
          <w:numId w:val="11"/>
        </w:numPr>
        <w:spacing w:after="0" w:line="240" w:lineRule="auto"/>
      </w:pPr>
      <w:r>
        <w:t>Fees and charges, such as establishment or exit fees.</w:t>
      </w:r>
    </w:p>
    <w:p w:rsidR="004B7B5B" w:rsidRDefault="004B7B5B" w:rsidP="004B7B5B">
      <w:r>
        <w:t>Market retail contracts also include renewable energy contracts (such as solar power).</w:t>
      </w:r>
    </w:p>
    <w:p w:rsidR="004B7B5B" w:rsidRPr="00FD12A1" w:rsidRDefault="004B7B5B" w:rsidP="004B7B5B">
      <w:r>
        <w:t xml:space="preserve">Figure 1.3 compares the proportions of customers on standard and market retail contracts in New South Wales, South Australia, the ACT and Tasmania. </w:t>
      </w:r>
    </w:p>
    <w:p w:rsidR="00E6103D" w:rsidRDefault="00E6103D">
      <w:pPr>
        <w:rPr>
          <w:b/>
        </w:rPr>
      </w:pPr>
      <w:r>
        <w:rPr>
          <w:b/>
        </w:rPr>
        <w:br w:type="page"/>
      </w:r>
    </w:p>
    <w:p w:rsidR="004B7B5B" w:rsidRDefault="004B7B5B" w:rsidP="004B7B5B">
      <w:pPr>
        <w:rPr>
          <w:b/>
        </w:rPr>
      </w:pPr>
      <w:r>
        <w:rPr>
          <w:b/>
        </w:rPr>
        <w:lastRenderedPageBreak/>
        <w:t>Figure 1.3: Small customers on standard and market retail contracts</w:t>
      </w:r>
      <w:r w:rsidR="006F3C6C" w:rsidRPr="006F3C6C">
        <w:rPr>
          <w:rStyle w:val="Strong"/>
        </w:rPr>
        <w:t>—</w:t>
      </w:r>
      <w:r>
        <w:rPr>
          <w:b/>
        </w:rPr>
        <w:t>by jurisdiction</w:t>
      </w:r>
    </w:p>
    <w:p w:rsidR="004B7B5B" w:rsidRDefault="004B7B5B" w:rsidP="004B7B5B">
      <w:pPr>
        <w:rPr>
          <w:b/>
        </w:rPr>
      </w:pPr>
      <w:r>
        <w:rPr>
          <w:b/>
          <w:noProof/>
          <w:lang w:eastAsia="en-AU"/>
        </w:rPr>
        <w:drawing>
          <wp:inline distT="0" distB="0" distL="0" distR="0" wp14:anchorId="121AF278" wp14:editId="2ED4988C">
            <wp:extent cx="5731200" cy="3981600"/>
            <wp:effectExtent l="0" t="0" r="3175" b="0"/>
            <wp:docPr id="5" name="Picture 5" descr="63 per cent of electricity customers and 72 per cent of gas customers are on market retail contracts in New South Wales. 83 per cent of electricity and gas customers in South Australia are on market retail contracts. 13 per cent of electricity customers in Tasmania are on market retail contracts. 18 per cent of electricity customers and 21 per cent of gas customers in the ACT are on market retail contracts. "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00" cy="3981600"/>
                    </a:xfrm>
                    <a:prstGeom prst="rect">
                      <a:avLst/>
                    </a:prstGeom>
                    <a:noFill/>
                  </pic:spPr>
                </pic:pic>
              </a:graphicData>
            </a:graphic>
          </wp:inline>
        </w:drawing>
      </w:r>
    </w:p>
    <w:p w:rsidR="00551283" w:rsidRPr="00A81817" w:rsidRDefault="004425F5" w:rsidP="00551283">
      <w:pPr>
        <w:spacing w:before="0" w:after="200"/>
      </w:pPr>
      <w:r w:rsidRPr="00A81817">
        <w:t xml:space="preserve">A high proportion of customers on market retail contracts indicates customer engagement and typically characterises a competitive market. </w:t>
      </w:r>
      <w:r w:rsidR="00551283">
        <w:t>In</w:t>
      </w:r>
      <w:r w:rsidR="00551283" w:rsidRPr="00A81817">
        <w:t xml:space="preserve"> South Australia</w:t>
      </w:r>
      <w:r w:rsidR="00551283">
        <w:t xml:space="preserve">, for example, </w:t>
      </w:r>
      <w:r w:rsidR="00551283" w:rsidRPr="00A81817">
        <w:t xml:space="preserve">83 per cent </w:t>
      </w:r>
      <w:r w:rsidR="00551283">
        <w:t>of</w:t>
      </w:r>
      <w:r w:rsidR="00551283" w:rsidRPr="00A81817">
        <w:t xml:space="preserve"> electricity and gas</w:t>
      </w:r>
      <w:r w:rsidR="00551283">
        <w:t xml:space="preserve"> customers</w:t>
      </w:r>
      <w:r w:rsidR="00096839">
        <w:t xml:space="preserve"> </w:t>
      </w:r>
      <w:r w:rsidR="00551283" w:rsidRPr="00A81817">
        <w:t xml:space="preserve">are on market retail contracts. This is an increase from 81 per cent 12 months ago. Put into context, the number of small electricity customers on market retail contracts increased by around 26 000 (including approximately 10 000 new accounts), and the number of small gas customers on market retail contracts increased by around 7 000 in 2013-14. </w:t>
      </w:r>
    </w:p>
    <w:p w:rsidR="004B7B5B" w:rsidRPr="00A81817" w:rsidRDefault="00551283" w:rsidP="004B7B5B">
      <w:pPr>
        <w:spacing w:before="0" w:after="200"/>
      </w:pPr>
      <w:r>
        <w:t xml:space="preserve">In New South Wales, the proportion of electricity customers on market contracts has increased significantly in recent years – from approximately 50 per cent in 2011-12 to </w:t>
      </w:r>
      <w:r w:rsidR="004B7B5B" w:rsidRPr="00A81817">
        <w:t xml:space="preserve">63 per cent </w:t>
      </w:r>
      <w:r>
        <w:t>in 2013-14</w:t>
      </w:r>
      <w:r w:rsidR="00096839">
        <w:t>.</w:t>
      </w:r>
      <w:r>
        <w:t xml:space="preserve"> The proportion of gas customers on market contracts has also increased, from 70 per cent in 2012-13 to</w:t>
      </w:r>
      <w:r w:rsidR="004B7B5B" w:rsidRPr="00A81817">
        <w:t xml:space="preserve"> 72 per cent </w:t>
      </w:r>
      <w:r>
        <w:t>in 2013</w:t>
      </w:r>
      <w:r w:rsidR="00096839">
        <w:t>-14</w:t>
      </w:r>
      <w:r>
        <w:t>.</w:t>
      </w:r>
      <w:r w:rsidR="00096839">
        <w:t xml:space="preserve"> </w:t>
      </w:r>
      <w:r w:rsidR="00D1643C">
        <w:t>Despite the</w:t>
      </w:r>
      <w:r>
        <w:t>s</w:t>
      </w:r>
      <w:r w:rsidR="00D1643C">
        <w:t>e</w:t>
      </w:r>
      <w:r>
        <w:t xml:space="preserve"> increase</w:t>
      </w:r>
      <w:r w:rsidR="00D1643C">
        <w:t>s</w:t>
      </w:r>
      <w:r>
        <w:t>, there</w:t>
      </w:r>
      <w:r w:rsidR="004B7B5B" w:rsidRPr="00A81817">
        <w:t xml:space="preserve"> </w:t>
      </w:r>
      <w:r>
        <w:t>are still</w:t>
      </w:r>
      <w:r w:rsidRPr="00A81817">
        <w:t xml:space="preserve"> </w:t>
      </w:r>
      <w:r>
        <w:t xml:space="preserve">over one </w:t>
      </w:r>
      <w:r w:rsidR="004B7B5B" w:rsidRPr="00A81817">
        <w:t>million electricity customers and 350,000 gas customers on standard retail contracts (including regulated offers)</w:t>
      </w:r>
      <w:r w:rsidR="00D1643C">
        <w:t xml:space="preserve"> in New South Wales</w:t>
      </w:r>
      <w:r w:rsidR="004B7B5B" w:rsidRPr="00A81817">
        <w:t xml:space="preserve">. Following the </w:t>
      </w:r>
      <w:r>
        <w:t>deregulation</w:t>
      </w:r>
      <w:r w:rsidRPr="00A81817">
        <w:t xml:space="preserve"> </w:t>
      </w:r>
      <w:r w:rsidR="004B7B5B" w:rsidRPr="00A81817">
        <w:t xml:space="preserve">of electricity retail price </w:t>
      </w:r>
      <w:r>
        <w:t xml:space="preserve">tariffs </w:t>
      </w:r>
      <w:r w:rsidR="004B7B5B" w:rsidRPr="00A81817">
        <w:t xml:space="preserve">on 1 July 2014, it is expected that more customers will switch to market retail contracts. Customers previously on regulated offers (that have not chosen a market retail contract) have been transferred to a ‘transitional tariff’ for two years.  </w:t>
      </w:r>
    </w:p>
    <w:p w:rsidR="004B7B5B" w:rsidRDefault="004425F5" w:rsidP="004B7B5B">
      <w:pPr>
        <w:spacing w:before="0" w:after="200"/>
      </w:pPr>
      <w:r w:rsidRPr="00A81817">
        <w:t>While the New South Wales and South Australia retail markets are characterised as competitive, t</w:t>
      </w:r>
      <w:r w:rsidR="006144D1" w:rsidRPr="00A81817">
        <w:t>he reverse is the case in Tasmania and the ACT</w:t>
      </w:r>
      <w:r w:rsidR="00D1643C">
        <w:t>, where the proportion of customers on market retail contracts is not only low, but decreasing</w:t>
      </w:r>
      <w:r w:rsidR="006144D1" w:rsidRPr="00A81817">
        <w:t xml:space="preserve">. In Tasmania, for example, </w:t>
      </w:r>
      <w:r w:rsidR="004B7B5B" w:rsidRPr="00A81817">
        <w:t>87 per cent of small customers were on standard retail contracts</w:t>
      </w:r>
      <w:r w:rsidR="00096839">
        <w:t>.</w:t>
      </w:r>
      <w:r w:rsidR="004B7B5B" w:rsidRPr="00A81817">
        <w:t xml:space="preserve"> </w:t>
      </w:r>
      <w:r w:rsidR="006144D1" w:rsidRPr="00A81817">
        <w:t>Up until this year, r</w:t>
      </w:r>
      <w:r w:rsidR="004B7B5B" w:rsidRPr="00A81817">
        <w:t>esidential customers</w:t>
      </w:r>
      <w:r w:rsidR="00406691" w:rsidRPr="00A81817">
        <w:t xml:space="preserve">’ market contract options were </w:t>
      </w:r>
      <w:r w:rsidR="006144D1" w:rsidRPr="00A81817">
        <w:t>limited to</w:t>
      </w:r>
      <w:r w:rsidR="004B7B5B" w:rsidRPr="00A81817">
        <w:t xml:space="preserve"> us</w:t>
      </w:r>
      <w:r w:rsidR="006144D1" w:rsidRPr="00A81817">
        <w:t>ing</w:t>
      </w:r>
      <w:r w:rsidR="004B7B5B" w:rsidRPr="00A81817">
        <w:t xml:space="preserve"> prepayment meters to pay for their electricity. </w:t>
      </w:r>
      <w:r w:rsidR="006144D1" w:rsidRPr="00A81817">
        <w:t>Despite their popularity t</w:t>
      </w:r>
      <w:r w:rsidR="004B7B5B" w:rsidRPr="00A81817">
        <w:t>he number of customers using prepayment</w:t>
      </w:r>
      <w:r w:rsidR="004B7B5B">
        <w:t xml:space="preserve"> meters decreased by around 8 per cent in 2013-14</w:t>
      </w:r>
      <w:r w:rsidR="006144D1">
        <w:t xml:space="preserve"> as </w:t>
      </w:r>
      <w:r w:rsidR="004B7B5B">
        <w:t xml:space="preserve">Aurora is not accepting new </w:t>
      </w:r>
      <w:r w:rsidR="004B7B5B">
        <w:lastRenderedPageBreak/>
        <w:t>applications until further notice. The introduction of full retail competition means that as of 1 July 2014, Tasmania</w:t>
      </w:r>
      <w:r w:rsidR="00D1643C">
        <w:t>n customers</w:t>
      </w:r>
      <w:r w:rsidR="004B7B5B">
        <w:t xml:space="preserve"> </w:t>
      </w:r>
      <w:r w:rsidR="00D1643C">
        <w:t xml:space="preserve">now </w:t>
      </w:r>
      <w:r w:rsidR="004B7B5B">
        <w:t>have the option of entering into a market retail contract with Aurora or a new entrant retailer. Customers that do nothing will remain with Aurora under a standard retail contract (at the regulated prices approved by the Tasmanian Economic Regulator).</w:t>
      </w:r>
    </w:p>
    <w:p w:rsidR="004B7B5B" w:rsidRPr="00302C13" w:rsidRDefault="004B7B5B" w:rsidP="004B7B5B">
      <w:pPr>
        <w:spacing w:before="0" w:after="200"/>
      </w:pPr>
      <w:r>
        <w:t>Most small customers in the ACT are on standard retail contracts: 82 per cent for electricity and 79 per cent for gas. ActewAGL has an additional requirement to offer regulated rates as the designated local area retailer. They offer this rate as a standing offer (</w:t>
      </w:r>
      <w:r w:rsidR="00722C58">
        <w:t>i.e.</w:t>
      </w:r>
      <w:r>
        <w:t xml:space="preserve"> the terms and conditions and the price in this contract are all regulated). Only a small number of market offers are available to small customers, and customer awareness of the ability to choose retailer (and hence a market offer) is low.</w:t>
      </w:r>
      <w:r>
        <w:rPr>
          <w:rStyle w:val="FootnoteReference"/>
        </w:rPr>
        <w:footnoteReference w:id="4"/>
      </w:r>
      <w:r>
        <w:t xml:space="preserve"> </w:t>
      </w:r>
    </w:p>
    <w:p w:rsidR="004B7B5B" w:rsidRDefault="004B7B5B" w:rsidP="00AA3437">
      <w:pPr>
        <w:pStyle w:val="Headingnumbered11"/>
        <w:spacing w:after="240"/>
      </w:pPr>
      <w:bookmarkStart w:id="27" w:name="_Toc402961388"/>
      <w:r>
        <w:t>Customer switching rates</w:t>
      </w:r>
      <w:bookmarkEnd w:id="27"/>
    </w:p>
    <w:p w:rsidR="00566DAD" w:rsidRDefault="004B7B5B" w:rsidP="004B7B5B">
      <w:pPr>
        <w:spacing w:before="0" w:after="200"/>
      </w:pPr>
      <w:r>
        <w:t>The rate at which customers switch their energy retailer is an indication of customer participation in the retail market</w:t>
      </w:r>
      <w:r w:rsidR="00566DAD">
        <w:t xml:space="preserve">, however switching rates can still be low in competitive markets if customers are satisfied with their retailer. </w:t>
      </w:r>
    </w:p>
    <w:p w:rsidR="004B7B5B" w:rsidRDefault="004B7B5B" w:rsidP="004B7B5B">
      <w:pPr>
        <w:spacing w:before="0" w:after="200"/>
      </w:pPr>
      <w:r>
        <w:t>Figures 1.4 and 1.5 show the percentage of electricity and gas customers (respectively) who switched retailers over the previous four years in Queensland, New South Wales, Victoria and South Australia.</w:t>
      </w:r>
      <w:r w:rsidR="00B4022F">
        <w:rPr>
          <w:rStyle w:val="FootnoteReference"/>
        </w:rPr>
        <w:footnoteReference w:id="5"/>
      </w:r>
      <w:r>
        <w:t xml:space="preserve"> </w:t>
      </w:r>
    </w:p>
    <w:p w:rsidR="00E664EE" w:rsidRDefault="00E664EE" w:rsidP="004B7B5B">
      <w:pPr>
        <w:spacing w:before="0" w:after="200"/>
      </w:pPr>
      <w:r>
        <w:t xml:space="preserve">With the exception of the June quarter, switching rates generally declined in </w:t>
      </w:r>
      <w:r w:rsidR="005C330C">
        <w:t xml:space="preserve">most jurisdictions in </w:t>
      </w:r>
      <w:r>
        <w:t xml:space="preserve">2013-14. </w:t>
      </w:r>
      <w:r w:rsidR="005C330C">
        <w:t>The spike in switches in the June quarter is due to AGL’s acquisition of Australian Power and Gas</w:t>
      </w:r>
      <w:r w:rsidR="0065760E">
        <w:t xml:space="preserve"> and </w:t>
      </w:r>
      <w:r w:rsidR="005C330C">
        <w:t>is most notable in Victoria (electricity and gas) and NSW (electricity).</w:t>
      </w:r>
      <w:r w:rsidR="005C330C">
        <w:rPr>
          <w:rStyle w:val="FootnoteReference"/>
        </w:rPr>
        <w:footnoteReference w:id="6"/>
      </w:r>
      <w:r w:rsidR="005C330C">
        <w:t xml:space="preserve"> I</w:t>
      </w:r>
      <w:r>
        <w:t xml:space="preserve">n Queensland </w:t>
      </w:r>
      <w:r w:rsidR="005C330C">
        <w:t xml:space="preserve">electricity switching rates </w:t>
      </w:r>
      <w:r>
        <w:t>increased in the September quarter of 2013-14 following the</w:t>
      </w:r>
      <w:r w:rsidR="00BC5917">
        <w:t xml:space="preserve"> ‘One Big Switch’ campaign, which encouraged households to find better energy offers. </w:t>
      </w:r>
    </w:p>
    <w:p w:rsidR="00E6103D" w:rsidRDefault="00E6103D">
      <w:pPr>
        <w:rPr>
          <w:b/>
        </w:rPr>
      </w:pPr>
      <w:r>
        <w:rPr>
          <w:b/>
        </w:rPr>
        <w:br w:type="page"/>
      </w:r>
    </w:p>
    <w:p w:rsidR="004B7B5B" w:rsidRDefault="004B7B5B" w:rsidP="00E664EE">
      <w:pPr>
        <w:spacing w:before="0" w:after="200"/>
        <w:rPr>
          <w:b/>
        </w:rPr>
      </w:pPr>
      <w:r>
        <w:rPr>
          <w:b/>
        </w:rPr>
        <w:lastRenderedPageBreak/>
        <w:t>Figure 1.4: Electricity customer switching rates</w:t>
      </w:r>
      <w:r w:rsidR="006F3C6C" w:rsidRPr="006F3C6C">
        <w:rPr>
          <w:rStyle w:val="Strong"/>
        </w:rPr>
        <w:t>—</w:t>
      </w:r>
      <w:r>
        <w:rPr>
          <w:b/>
        </w:rPr>
        <w:t>by jurisdiction</w:t>
      </w:r>
    </w:p>
    <w:p w:rsidR="004B7B5B" w:rsidRDefault="004B7B5B" w:rsidP="004B7B5B">
      <w:pPr>
        <w:rPr>
          <w:b/>
        </w:rPr>
      </w:pPr>
      <w:r>
        <w:rPr>
          <w:b/>
          <w:noProof/>
          <w:lang w:eastAsia="en-AU"/>
        </w:rPr>
        <w:drawing>
          <wp:inline distT="0" distB="0" distL="0" distR="0" wp14:anchorId="2CECFA1E" wp14:editId="1A4420C6">
            <wp:extent cx="5731200" cy="3232800"/>
            <wp:effectExtent l="0" t="0" r="3175" b="5715"/>
            <wp:docPr id="8" name="Picture 8" descr="In Queensland 6 per cent of electricity customers switched retailer in the September 2013 quarter. This number decreased to 3.5 per cent in the June 2014 quarter. Switching rates ‘artificially’ increased in the June 2014 quarter due to AGL’s acquisition of Australian Power and Gas – to 10.5 per cent of customers in Victoria and 6.1 per cent in New South Wales. "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200" cy="3232800"/>
                    </a:xfrm>
                    <a:prstGeom prst="rect">
                      <a:avLst/>
                    </a:prstGeom>
                    <a:noFill/>
                  </pic:spPr>
                </pic:pic>
              </a:graphicData>
            </a:graphic>
          </wp:inline>
        </w:drawing>
      </w:r>
    </w:p>
    <w:p w:rsidR="004B7B5B" w:rsidRDefault="004B7B5B" w:rsidP="008F65D1">
      <w:pPr>
        <w:spacing w:before="0" w:after="0"/>
        <w:rPr>
          <w:b/>
        </w:rPr>
      </w:pPr>
      <w:r>
        <w:rPr>
          <w:b/>
        </w:rPr>
        <w:t>Figure 1.5: Gas customer switching rates</w:t>
      </w:r>
      <w:r w:rsidR="006F3C6C" w:rsidRPr="006F3C6C">
        <w:rPr>
          <w:rStyle w:val="Strong"/>
        </w:rPr>
        <w:t>—</w:t>
      </w:r>
      <w:r>
        <w:rPr>
          <w:b/>
        </w:rPr>
        <w:t xml:space="preserve">by jurisdiction </w:t>
      </w:r>
    </w:p>
    <w:p w:rsidR="004B7B5B" w:rsidRDefault="004B7B5B" w:rsidP="004B7B5B">
      <w:pPr>
        <w:rPr>
          <w:b/>
        </w:rPr>
      </w:pPr>
      <w:r>
        <w:rPr>
          <w:b/>
        </w:rPr>
        <w:t xml:space="preserve"> </w:t>
      </w:r>
      <w:r>
        <w:rPr>
          <w:b/>
          <w:noProof/>
          <w:lang w:eastAsia="en-AU"/>
        </w:rPr>
        <w:drawing>
          <wp:inline distT="0" distB="0" distL="0" distR="0" wp14:anchorId="42AA1788" wp14:editId="1255A0D0">
            <wp:extent cx="5731200" cy="3218400"/>
            <wp:effectExtent l="0" t="0" r="3175" b="1270"/>
            <wp:docPr id="13" name="Picture 13" descr="As with electricity, switching in the June 2014 quarter increased due to AGL’s acquisition of Australian Power and Gas – to over 10 per cent of customers in Victoria. In other states switching rates remained between 3 and 4 per cent. "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3218400"/>
                    </a:xfrm>
                    <a:prstGeom prst="rect">
                      <a:avLst/>
                    </a:prstGeom>
                    <a:noFill/>
                  </pic:spPr>
                </pic:pic>
              </a:graphicData>
            </a:graphic>
          </wp:inline>
        </w:drawing>
      </w:r>
    </w:p>
    <w:p w:rsidR="004B7B5B" w:rsidRDefault="004B7B5B" w:rsidP="004B7B5B">
      <w:pPr>
        <w:spacing w:before="0" w:after="200"/>
      </w:pPr>
      <w:r>
        <w:t xml:space="preserve">As in previous years, Victorian </w:t>
      </w:r>
      <w:r w:rsidR="00E402FC">
        <w:t xml:space="preserve">gas and electricity </w:t>
      </w:r>
      <w:r>
        <w:t xml:space="preserve">customers were the most ‘active’ at switching between energy retailers. This is likely due to </w:t>
      </w:r>
      <w:r w:rsidR="003D6284">
        <w:t>more</w:t>
      </w:r>
      <w:r>
        <w:t xml:space="preserve"> choice </w:t>
      </w:r>
      <w:r w:rsidR="003D6284">
        <w:t xml:space="preserve">of energy retailers, </w:t>
      </w:r>
      <w:r w:rsidR="00F41649">
        <w:t>a diverse range of contract offers</w:t>
      </w:r>
      <w:r w:rsidR="003D6284">
        <w:t xml:space="preserve"> </w:t>
      </w:r>
      <w:r>
        <w:t xml:space="preserve">and </w:t>
      </w:r>
      <w:r w:rsidR="003D6284">
        <w:t xml:space="preserve">generally </w:t>
      </w:r>
      <w:r>
        <w:t>lower</w:t>
      </w:r>
      <w:r w:rsidR="003D6284">
        <w:t xml:space="preserve"> switching costs</w:t>
      </w:r>
      <w:r>
        <w:t xml:space="preserve"> (termination fees).</w:t>
      </w:r>
      <w:r w:rsidR="003D6284">
        <w:rPr>
          <w:rStyle w:val="FootnoteReference"/>
        </w:rPr>
        <w:footnoteReference w:id="7"/>
      </w:r>
      <w:r>
        <w:t xml:space="preserve"> Victoria is the preferred market for retailers to develop new products and services, given the </w:t>
      </w:r>
      <w:r>
        <w:lastRenderedPageBreak/>
        <w:t>higher levels of customer engagement and the additional options for innovation that the widespread availability of smart meters provides.</w:t>
      </w:r>
      <w:r>
        <w:rPr>
          <w:rStyle w:val="FootnoteReference"/>
        </w:rPr>
        <w:footnoteReference w:id="8"/>
      </w:r>
    </w:p>
    <w:p w:rsidR="004B7B5B" w:rsidRDefault="004B7B5B" w:rsidP="004B7B5B">
      <w:pPr>
        <w:spacing w:before="0" w:after="200"/>
      </w:pPr>
      <w:r>
        <w:t>Figure 1.6 shows that switching activity in the ACT remained very lo</w:t>
      </w:r>
      <w:r w:rsidR="00F81B75">
        <w:t>w for both electricity and gas.</w:t>
      </w:r>
    </w:p>
    <w:p w:rsidR="004B7B5B" w:rsidRPr="00555115" w:rsidRDefault="004B7B5B" w:rsidP="004B7B5B">
      <w:pPr>
        <w:spacing w:before="0" w:after="200"/>
      </w:pPr>
      <w:r>
        <w:rPr>
          <w:b/>
        </w:rPr>
        <w:t>Figure 1.6: Electricity and gas customer switching rates in the ACT</w:t>
      </w:r>
    </w:p>
    <w:p w:rsidR="004B7B5B" w:rsidRDefault="004B7B5B" w:rsidP="004B7B5B">
      <w:pPr>
        <w:rPr>
          <w:b/>
        </w:rPr>
      </w:pPr>
      <w:r>
        <w:rPr>
          <w:b/>
          <w:noProof/>
          <w:lang w:eastAsia="en-AU"/>
        </w:rPr>
        <w:drawing>
          <wp:inline distT="0" distB="0" distL="0" distR="0" wp14:anchorId="7A070E52" wp14:editId="7BBD59EB">
            <wp:extent cx="5731200" cy="3765600"/>
            <wp:effectExtent l="0" t="0" r="3175" b="6350"/>
            <wp:docPr id="22" name="Picture 22" descr="Electricity switching in 2013-14 peaked in July at only 0.16 per cent of customers (or one in over 600 customers). Gas switching was slightly higher, and peaked at 0.18 per cent in Ma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3765600"/>
                    </a:xfrm>
                    <a:prstGeom prst="rect">
                      <a:avLst/>
                    </a:prstGeom>
                    <a:noFill/>
                  </pic:spPr>
                </pic:pic>
              </a:graphicData>
            </a:graphic>
          </wp:inline>
        </w:drawing>
      </w:r>
    </w:p>
    <w:p w:rsidR="00E664EE" w:rsidRDefault="00E664EE">
      <w:r>
        <w:br w:type="page"/>
      </w:r>
    </w:p>
    <w:p w:rsidR="00E664EE" w:rsidRDefault="00E664EE" w:rsidP="002B5434">
      <w:pPr>
        <w:pStyle w:val="ChapterTitle"/>
        <w:numPr>
          <w:ilvl w:val="0"/>
          <w:numId w:val="10"/>
        </w:numPr>
      </w:pPr>
      <w:bookmarkStart w:id="28" w:name="_Toc402961389"/>
      <w:r>
        <w:lastRenderedPageBreak/>
        <w:t>Energy retailer performance</w:t>
      </w:r>
      <w:bookmarkEnd w:id="28"/>
    </w:p>
    <w:p w:rsidR="00E664EE" w:rsidRDefault="00E664EE" w:rsidP="00E664EE">
      <w:pPr>
        <w:spacing w:before="0" w:after="200"/>
      </w:pPr>
      <w:r>
        <w:t>Customer service is an important factor in choosing an energy retailer or remaining a customer of an energy retailer. This chapter discusses three broad areas of retail market activities:</w:t>
      </w:r>
    </w:p>
    <w:p w:rsidR="00E664EE" w:rsidRPr="00F10CB5" w:rsidRDefault="00DC267B" w:rsidP="009E4964">
      <w:pPr>
        <w:pStyle w:val="ListParagraph"/>
        <w:numPr>
          <w:ilvl w:val="0"/>
          <w:numId w:val="11"/>
        </w:numPr>
        <w:spacing w:before="0" w:after="200"/>
        <w:rPr>
          <w:color w:val="51626F"/>
          <w:sz w:val="28"/>
          <w:szCs w:val="24"/>
        </w:rPr>
      </w:pPr>
      <w:r>
        <w:t>c</w:t>
      </w:r>
      <w:r w:rsidR="00E664EE">
        <w:t>ustomer service and complaints</w:t>
      </w:r>
    </w:p>
    <w:p w:rsidR="00E664EE" w:rsidRPr="00F10CB5" w:rsidRDefault="00DC267B" w:rsidP="009E4964">
      <w:pPr>
        <w:pStyle w:val="ListParagraph"/>
        <w:numPr>
          <w:ilvl w:val="0"/>
          <w:numId w:val="11"/>
        </w:numPr>
        <w:spacing w:before="0" w:after="200"/>
        <w:rPr>
          <w:color w:val="51626F"/>
          <w:sz w:val="28"/>
          <w:szCs w:val="24"/>
        </w:rPr>
      </w:pPr>
      <w:r>
        <w:t>a</w:t>
      </w:r>
      <w:r w:rsidR="00E664EE">
        <w:t>ssisting customers experiencing payment difficulties – this includes energy bill debt, payment plans, hardship programs and disconnections and reconnections</w:t>
      </w:r>
    </w:p>
    <w:p w:rsidR="00E664EE" w:rsidRPr="00F10CB5" w:rsidRDefault="00DC267B" w:rsidP="009E4964">
      <w:pPr>
        <w:pStyle w:val="ListParagraph"/>
        <w:numPr>
          <w:ilvl w:val="0"/>
          <w:numId w:val="11"/>
        </w:numPr>
        <w:spacing w:before="0" w:after="200"/>
        <w:rPr>
          <w:color w:val="51626F"/>
          <w:sz w:val="28"/>
          <w:szCs w:val="24"/>
        </w:rPr>
      </w:pPr>
      <w:proofErr w:type="gramStart"/>
      <w:r>
        <w:t>e</w:t>
      </w:r>
      <w:r w:rsidR="00E664EE">
        <w:t>nergy</w:t>
      </w:r>
      <w:proofErr w:type="gramEnd"/>
      <w:r w:rsidR="00E664EE">
        <w:t xml:space="preserve"> concessions and security deposits.</w:t>
      </w:r>
      <w:r w:rsidR="00E664EE" w:rsidRPr="00F10CB5">
        <w:rPr>
          <w:b/>
        </w:rPr>
        <w:br w:type="page"/>
      </w:r>
    </w:p>
    <w:p w:rsidR="00E664EE" w:rsidRPr="001C2483" w:rsidRDefault="00E664EE" w:rsidP="00AA3437">
      <w:pPr>
        <w:pStyle w:val="Headingnumbered11"/>
        <w:spacing w:after="240"/>
        <w:rPr>
          <w:rFonts w:ascii="Lucida Fax" w:hAnsi="Lucida Fax"/>
          <w:sz w:val="32"/>
          <w:szCs w:val="32"/>
        </w:rPr>
      </w:pPr>
      <w:bookmarkStart w:id="29" w:name="_Toc402961390"/>
      <w:r>
        <w:lastRenderedPageBreak/>
        <w:t>Customer service</w:t>
      </w:r>
      <w:bookmarkEnd w:id="29"/>
    </w:p>
    <w:p w:rsidR="00E664EE" w:rsidRDefault="00E664EE" w:rsidP="00E664EE">
      <w:pPr>
        <w:spacing w:before="0" w:after="200"/>
      </w:pPr>
      <w:r>
        <w:t>After price, customer service</w:t>
      </w:r>
      <w:r w:rsidR="00184411">
        <w:t>—both</w:t>
      </w:r>
      <w:r w:rsidR="00184411" w:rsidRPr="00A45DEF">
        <w:t xml:space="preserve"> </w:t>
      </w:r>
      <w:r w:rsidR="00184411">
        <w:t>good and bad—</w:t>
      </w:r>
      <w:r>
        <w:t>can be the most important point of difference between retailers in a competitive market. Retailers’ responsiveness to inquiries and complaints is an important measure of customer service. This report considers call centre responsiveness, specifically:</w:t>
      </w:r>
    </w:p>
    <w:p w:rsidR="00E664EE" w:rsidRPr="000C5525" w:rsidRDefault="00973A5B" w:rsidP="009E4964">
      <w:pPr>
        <w:pStyle w:val="ListParagraph"/>
        <w:numPr>
          <w:ilvl w:val="0"/>
          <w:numId w:val="11"/>
        </w:numPr>
        <w:spacing w:before="0" w:after="200"/>
        <w:rPr>
          <w:b/>
          <w:color w:val="51626F"/>
          <w:sz w:val="28"/>
          <w:szCs w:val="24"/>
        </w:rPr>
      </w:pPr>
      <w:r>
        <w:t>p</w:t>
      </w:r>
      <w:r w:rsidR="00E664EE">
        <w:t>ercentage of calls answered within 30 seconds</w:t>
      </w:r>
    </w:p>
    <w:p w:rsidR="00E664EE" w:rsidRPr="000C5525" w:rsidRDefault="00973A5B" w:rsidP="009E4964">
      <w:pPr>
        <w:pStyle w:val="ListParagraph"/>
        <w:numPr>
          <w:ilvl w:val="0"/>
          <w:numId w:val="11"/>
        </w:numPr>
        <w:spacing w:before="0" w:after="200"/>
        <w:rPr>
          <w:b/>
          <w:color w:val="51626F"/>
          <w:sz w:val="28"/>
          <w:szCs w:val="24"/>
        </w:rPr>
      </w:pPr>
      <w:r>
        <w:t>p</w:t>
      </w:r>
      <w:r w:rsidR="00E664EE">
        <w:t>ercentage of calls abandoned before being answered</w:t>
      </w:r>
    </w:p>
    <w:p w:rsidR="00E664EE" w:rsidRPr="000C5525" w:rsidRDefault="00973A5B" w:rsidP="009E4964">
      <w:pPr>
        <w:pStyle w:val="ListParagraph"/>
        <w:numPr>
          <w:ilvl w:val="0"/>
          <w:numId w:val="11"/>
        </w:numPr>
        <w:spacing w:before="0" w:after="200"/>
        <w:rPr>
          <w:b/>
          <w:color w:val="51626F"/>
          <w:sz w:val="28"/>
          <w:szCs w:val="24"/>
        </w:rPr>
      </w:pPr>
      <w:proofErr w:type="gramStart"/>
      <w:r>
        <w:t>a</w:t>
      </w:r>
      <w:r w:rsidR="00E664EE">
        <w:t>verage</w:t>
      </w:r>
      <w:proofErr w:type="gramEnd"/>
      <w:r w:rsidR="00E664EE">
        <w:t xml:space="preserve"> time before a call is answered.</w:t>
      </w:r>
      <w:r w:rsidR="00E664EE">
        <w:rPr>
          <w:rStyle w:val="FootnoteReference"/>
        </w:rPr>
        <w:footnoteReference w:id="9"/>
      </w:r>
    </w:p>
    <w:p w:rsidR="00E664EE" w:rsidRDefault="00E664EE" w:rsidP="00E664EE">
      <w:pPr>
        <w:spacing w:before="0" w:after="200"/>
        <w:rPr>
          <w:b/>
        </w:rPr>
      </w:pPr>
      <w:r>
        <w:rPr>
          <w:b/>
        </w:rPr>
        <w:t>Table 2.1: Phone calls to retailers in 2013-14, with percentage of calls answered in 30 seconds and average wait time</w:t>
      </w:r>
    </w:p>
    <w:tbl>
      <w:tblPr>
        <w:tblStyle w:val="AERTable-Text"/>
        <w:tblW w:w="8804" w:type="dxa"/>
        <w:tblLook w:val="04A0" w:firstRow="1" w:lastRow="0" w:firstColumn="1" w:lastColumn="0" w:noHBand="0" w:noVBand="1"/>
      </w:tblPr>
      <w:tblGrid>
        <w:gridCol w:w="2376"/>
        <w:gridCol w:w="1608"/>
        <w:gridCol w:w="1418"/>
        <w:gridCol w:w="1701"/>
        <w:gridCol w:w="1701"/>
      </w:tblGrid>
      <w:tr w:rsidR="00E664EE" w:rsidRPr="000C5525" w:rsidTr="006E76B9">
        <w:trPr>
          <w:cnfStyle w:val="100000000000" w:firstRow="1" w:lastRow="0" w:firstColumn="0" w:lastColumn="0" w:oddVBand="0" w:evenVBand="0" w:oddHBand="0" w:evenHBand="0" w:firstRowFirstColumn="0" w:firstRowLastColumn="0" w:lastRowFirstColumn="0" w:lastRowLastColumn="0"/>
          <w:trHeight w:val="300"/>
        </w:trPr>
        <w:tc>
          <w:tcPr>
            <w:tcW w:w="2376" w:type="dxa"/>
            <w:noWrap/>
            <w:hideMark/>
          </w:tcPr>
          <w:p w:rsidR="00E664EE" w:rsidRPr="000C5525" w:rsidRDefault="00E664EE" w:rsidP="00E664EE">
            <w:r>
              <w:t xml:space="preserve">Retailer </w:t>
            </w:r>
            <w:r>
              <w:br/>
              <w:t xml:space="preserve">(all jurisdictions) </w:t>
            </w:r>
          </w:p>
        </w:tc>
        <w:tc>
          <w:tcPr>
            <w:tcW w:w="3026" w:type="dxa"/>
            <w:gridSpan w:val="2"/>
            <w:noWrap/>
            <w:hideMark/>
          </w:tcPr>
          <w:p w:rsidR="00E664EE" w:rsidRPr="000C5525" w:rsidRDefault="00E664EE" w:rsidP="00E664EE">
            <w:pPr>
              <w:jc w:val="right"/>
            </w:pPr>
            <w:r>
              <w:t>C</w:t>
            </w:r>
            <w:r w:rsidRPr="000C5525">
              <w:t>alls taken in 30 secs</w:t>
            </w:r>
            <w:r>
              <w:t xml:space="preserve"> (%) </w:t>
            </w:r>
            <w:r>
              <w:br/>
              <w:t>(change since 2012-13)</w:t>
            </w:r>
          </w:p>
        </w:tc>
        <w:tc>
          <w:tcPr>
            <w:tcW w:w="3402" w:type="dxa"/>
            <w:gridSpan w:val="2"/>
            <w:noWrap/>
            <w:hideMark/>
          </w:tcPr>
          <w:p w:rsidR="00E664EE" w:rsidRPr="000C5525" w:rsidRDefault="00E664EE" w:rsidP="00E664EE">
            <w:pPr>
              <w:jc w:val="right"/>
            </w:pPr>
            <w:r w:rsidRPr="000C5525">
              <w:t>Average wait time (secs)</w:t>
            </w:r>
            <w:r>
              <w:t xml:space="preserve"> (change since 2012-13)</w:t>
            </w:r>
          </w:p>
        </w:tc>
      </w:tr>
      <w:tr w:rsidR="00E664EE" w:rsidRPr="000C5525" w:rsidTr="006E76B9">
        <w:trPr>
          <w:trHeight w:val="300"/>
        </w:trPr>
        <w:tc>
          <w:tcPr>
            <w:tcW w:w="2376" w:type="dxa"/>
            <w:noWrap/>
            <w:hideMark/>
          </w:tcPr>
          <w:p w:rsidR="00E664EE" w:rsidRPr="00E664EE" w:rsidRDefault="00E664EE" w:rsidP="00E664EE">
            <w:pPr>
              <w:rPr>
                <w:b/>
              </w:rPr>
            </w:pPr>
            <w:r w:rsidRPr="00E664EE">
              <w:t>ActewAGL*</w:t>
            </w:r>
          </w:p>
        </w:tc>
        <w:tc>
          <w:tcPr>
            <w:tcW w:w="1608" w:type="dxa"/>
            <w:noWrap/>
            <w:hideMark/>
          </w:tcPr>
          <w:p w:rsidR="00E664EE" w:rsidRPr="00E664EE" w:rsidRDefault="00E664EE" w:rsidP="00E664EE">
            <w:pPr>
              <w:jc w:val="right"/>
            </w:pPr>
            <w:r w:rsidRPr="00E664EE">
              <w:t xml:space="preserve">78% </w:t>
            </w:r>
          </w:p>
        </w:tc>
        <w:tc>
          <w:tcPr>
            <w:tcW w:w="1418" w:type="dxa"/>
          </w:tcPr>
          <w:p w:rsidR="00E664EE" w:rsidRPr="000C5525" w:rsidRDefault="00E664EE" w:rsidP="00C2421F">
            <w:pPr>
              <w:jc w:val="right"/>
            </w:pPr>
            <w:r w:rsidRPr="00E664EE">
              <w:t>(</w:t>
            </w:r>
            <w:r w:rsidR="00C2421F">
              <w:t>+</w:t>
            </w:r>
            <w:r w:rsidRPr="00E664EE">
              <w:t>7)</w:t>
            </w:r>
          </w:p>
        </w:tc>
        <w:tc>
          <w:tcPr>
            <w:tcW w:w="1701" w:type="dxa"/>
            <w:noWrap/>
            <w:hideMark/>
          </w:tcPr>
          <w:p w:rsidR="00E664EE" w:rsidRPr="00E664EE" w:rsidRDefault="00E664EE" w:rsidP="00E664EE">
            <w:pPr>
              <w:jc w:val="right"/>
            </w:pPr>
            <w:r w:rsidRPr="00E664EE">
              <w:t xml:space="preserve">142 </w:t>
            </w:r>
          </w:p>
        </w:tc>
        <w:tc>
          <w:tcPr>
            <w:tcW w:w="1701" w:type="dxa"/>
          </w:tcPr>
          <w:p w:rsidR="00E664EE" w:rsidRPr="000C5525" w:rsidRDefault="00E664EE" w:rsidP="00E664EE">
            <w:pPr>
              <w:jc w:val="right"/>
            </w:pPr>
            <w:r w:rsidRPr="00E664EE">
              <w:t>(</w:t>
            </w:r>
            <w:r w:rsidR="00C2421F" w:rsidRPr="00C2421F">
              <w:rPr>
                <w:rFonts w:cs="Arial"/>
              </w:rPr>
              <w:t>-</w:t>
            </w:r>
            <w:r w:rsidRPr="00E664EE">
              <w:t>122)</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AGL Retail Energy</w:t>
            </w:r>
          </w:p>
        </w:tc>
        <w:tc>
          <w:tcPr>
            <w:tcW w:w="1608" w:type="dxa"/>
            <w:noWrap/>
            <w:hideMark/>
          </w:tcPr>
          <w:p w:rsidR="00E664EE" w:rsidRPr="00E664EE" w:rsidRDefault="00E664EE" w:rsidP="00E664EE">
            <w:pPr>
              <w:jc w:val="right"/>
            </w:pPr>
            <w:r w:rsidRPr="00E664EE">
              <w:t>81%</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21 </w:t>
            </w:r>
          </w:p>
        </w:tc>
        <w:tc>
          <w:tcPr>
            <w:tcW w:w="1701" w:type="dxa"/>
          </w:tcPr>
          <w:p w:rsidR="00E664EE" w:rsidRPr="000C5525" w:rsidRDefault="00E664EE" w:rsidP="00E664EE">
            <w:pPr>
              <w:jc w:val="right"/>
            </w:pPr>
            <w:r w:rsidRPr="00E664EE">
              <w:t>(N/A)</w:t>
            </w:r>
          </w:p>
        </w:tc>
      </w:tr>
      <w:tr w:rsidR="00E664EE" w:rsidRPr="000C5525" w:rsidTr="006E76B9">
        <w:trPr>
          <w:trHeight w:val="300"/>
        </w:trPr>
        <w:tc>
          <w:tcPr>
            <w:tcW w:w="2376" w:type="dxa"/>
            <w:noWrap/>
            <w:hideMark/>
          </w:tcPr>
          <w:p w:rsidR="00E664EE" w:rsidRPr="00E664EE" w:rsidRDefault="00E664EE" w:rsidP="00E664EE">
            <w:pPr>
              <w:rPr>
                <w:b/>
              </w:rPr>
            </w:pPr>
            <w:r w:rsidRPr="00E664EE">
              <w:t>AGL South Australia</w:t>
            </w:r>
          </w:p>
        </w:tc>
        <w:tc>
          <w:tcPr>
            <w:tcW w:w="1608" w:type="dxa"/>
            <w:noWrap/>
            <w:hideMark/>
          </w:tcPr>
          <w:p w:rsidR="00E664EE" w:rsidRPr="00E664EE" w:rsidRDefault="00E664EE" w:rsidP="00E664EE">
            <w:pPr>
              <w:jc w:val="right"/>
            </w:pPr>
            <w:r w:rsidRPr="00E664EE">
              <w:t xml:space="preserve">90%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6)</w:t>
            </w:r>
          </w:p>
        </w:tc>
        <w:tc>
          <w:tcPr>
            <w:tcW w:w="1701" w:type="dxa"/>
            <w:noWrap/>
            <w:hideMark/>
          </w:tcPr>
          <w:p w:rsidR="00E664EE" w:rsidRPr="00E664EE" w:rsidRDefault="00E664EE" w:rsidP="00E664EE">
            <w:pPr>
              <w:jc w:val="right"/>
            </w:pPr>
            <w:r w:rsidRPr="00E664EE">
              <w:t xml:space="preserve">12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16)</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Alinta Energy</w:t>
            </w:r>
          </w:p>
        </w:tc>
        <w:tc>
          <w:tcPr>
            <w:tcW w:w="1608" w:type="dxa"/>
            <w:noWrap/>
            <w:hideMark/>
          </w:tcPr>
          <w:p w:rsidR="00E664EE" w:rsidRPr="00E664EE" w:rsidRDefault="00E664EE" w:rsidP="00E664EE">
            <w:pPr>
              <w:jc w:val="right"/>
            </w:pPr>
            <w:r w:rsidRPr="00E664EE">
              <w:t xml:space="preserve">77% </w:t>
            </w:r>
          </w:p>
        </w:tc>
        <w:tc>
          <w:tcPr>
            <w:tcW w:w="1418" w:type="dxa"/>
          </w:tcPr>
          <w:p w:rsidR="00E664EE" w:rsidRPr="000C5525" w:rsidRDefault="00E664EE" w:rsidP="00C2421F">
            <w:pPr>
              <w:jc w:val="right"/>
            </w:pPr>
            <w:r w:rsidRPr="00E664EE">
              <w:t>(</w:t>
            </w:r>
            <w:r w:rsidR="00A5777A">
              <w:rPr>
                <w:rFonts w:cs="Arial"/>
              </w:rPr>
              <w:t>-</w:t>
            </w:r>
            <w:r w:rsidRPr="00E664EE">
              <w:t>)</w:t>
            </w:r>
          </w:p>
        </w:tc>
        <w:tc>
          <w:tcPr>
            <w:tcW w:w="1701" w:type="dxa"/>
            <w:noWrap/>
            <w:hideMark/>
          </w:tcPr>
          <w:p w:rsidR="00E664EE" w:rsidRPr="00E664EE" w:rsidRDefault="00E664EE" w:rsidP="00E664EE">
            <w:pPr>
              <w:jc w:val="right"/>
            </w:pPr>
            <w:r w:rsidRPr="00E664EE">
              <w:t xml:space="preserve">43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17)</w:t>
            </w:r>
          </w:p>
        </w:tc>
      </w:tr>
      <w:tr w:rsidR="00E664EE" w:rsidRPr="000C5525" w:rsidTr="006E76B9">
        <w:trPr>
          <w:trHeight w:val="300"/>
        </w:trPr>
        <w:tc>
          <w:tcPr>
            <w:tcW w:w="2376" w:type="dxa"/>
            <w:noWrap/>
            <w:hideMark/>
          </w:tcPr>
          <w:p w:rsidR="00E664EE" w:rsidRPr="00E664EE" w:rsidRDefault="00E664EE" w:rsidP="00E664EE">
            <w:pPr>
              <w:rPr>
                <w:b/>
              </w:rPr>
            </w:pPr>
            <w:r w:rsidRPr="00E664EE">
              <w:t>Aurora Energy</w:t>
            </w:r>
          </w:p>
        </w:tc>
        <w:tc>
          <w:tcPr>
            <w:tcW w:w="1608" w:type="dxa"/>
            <w:noWrap/>
            <w:hideMark/>
          </w:tcPr>
          <w:p w:rsidR="00E664EE" w:rsidRPr="00E664EE" w:rsidRDefault="00E664EE" w:rsidP="00E664EE">
            <w:pPr>
              <w:jc w:val="right"/>
            </w:pPr>
            <w:r w:rsidRPr="00E664EE">
              <w:t xml:space="preserve">75%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25)</w:t>
            </w:r>
          </w:p>
        </w:tc>
        <w:tc>
          <w:tcPr>
            <w:tcW w:w="1701" w:type="dxa"/>
            <w:noWrap/>
            <w:hideMark/>
          </w:tcPr>
          <w:p w:rsidR="00E664EE" w:rsidRPr="00E664EE" w:rsidRDefault="00E664EE" w:rsidP="00E664EE">
            <w:pPr>
              <w:jc w:val="right"/>
            </w:pPr>
            <w:r w:rsidRPr="00E664EE">
              <w:t xml:space="preserve">34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94)</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Blue NRG</w:t>
            </w:r>
          </w:p>
        </w:tc>
        <w:tc>
          <w:tcPr>
            <w:tcW w:w="1608" w:type="dxa"/>
            <w:noWrap/>
            <w:hideMark/>
          </w:tcPr>
          <w:p w:rsidR="00E664EE" w:rsidRPr="00E664EE" w:rsidRDefault="00E664EE" w:rsidP="00E664EE">
            <w:pPr>
              <w:jc w:val="right"/>
            </w:pPr>
            <w:r w:rsidRPr="00E664EE">
              <w:t xml:space="preserve">100% </w:t>
            </w:r>
          </w:p>
        </w:tc>
        <w:tc>
          <w:tcPr>
            <w:tcW w:w="1418" w:type="dxa"/>
          </w:tcPr>
          <w:p w:rsidR="00E664EE" w:rsidRPr="008A2DA6" w:rsidRDefault="00E664EE" w:rsidP="00E664EE">
            <w:pPr>
              <w:jc w:val="right"/>
            </w:pPr>
            <w:r w:rsidRPr="00E664EE">
              <w:t>(N/A)</w:t>
            </w:r>
          </w:p>
        </w:tc>
        <w:tc>
          <w:tcPr>
            <w:tcW w:w="1701" w:type="dxa"/>
            <w:noWrap/>
            <w:hideMark/>
          </w:tcPr>
          <w:p w:rsidR="00E664EE" w:rsidRPr="00E664EE" w:rsidRDefault="00E664EE" w:rsidP="00E664EE">
            <w:pPr>
              <w:jc w:val="right"/>
            </w:pPr>
            <w:r w:rsidRPr="00E664EE">
              <w:t>N/A</w:t>
            </w:r>
          </w:p>
        </w:tc>
        <w:tc>
          <w:tcPr>
            <w:tcW w:w="1701" w:type="dxa"/>
          </w:tcPr>
          <w:p w:rsidR="00E664EE" w:rsidRPr="008A2DA6" w:rsidRDefault="00E664EE" w:rsidP="00E664EE">
            <w:pPr>
              <w:jc w:val="right"/>
            </w:pPr>
          </w:p>
        </w:tc>
      </w:tr>
      <w:tr w:rsidR="00E664EE" w:rsidRPr="000C5525" w:rsidTr="006E76B9">
        <w:trPr>
          <w:trHeight w:val="300"/>
        </w:trPr>
        <w:tc>
          <w:tcPr>
            <w:tcW w:w="2376" w:type="dxa"/>
            <w:noWrap/>
            <w:hideMark/>
          </w:tcPr>
          <w:p w:rsidR="00E664EE" w:rsidRPr="00E664EE" w:rsidRDefault="00E664EE" w:rsidP="00E664EE">
            <w:pPr>
              <w:rPr>
                <w:b/>
              </w:rPr>
            </w:pPr>
            <w:r w:rsidRPr="00E664EE">
              <w:t>Click Energy</w:t>
            </w:r>
          </w:p>
        </w:tc>
        <w:tc>
          <w:tcPr>
            <w:tcW w:w="1608" w:type="dxa"/>
            <w:noWrap/>
            <w:hideMark/>
          </w:tcPr>
          <w:p w:rsidR="00E664EE" w:rsidRPr="00E664EE" w:rsidRDefault="00E664EE" w:rsidP="00E664EE">
            <w:pPr>
              <w:jc w:val="right"/>
            </w:pPr>
            <w:r w:rsidRPr="00E664EE">
              <w:t xml:space="preserve">69% </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56 </w:t>
            </w:r>
          </w:p>
        </w:tc>
        <w:tc>
          <w:tcPr>
            <w:tcW w:w="1701" w:type="dxa"/>
          </w:tcPr>
          <w:p w:rsidR="00E664EE" w:rsidRPr="000C5525" w:rsidRDefault="00E664EE" w:rsidP="00E664EE">
            <w:pPr>
              <w:jc w:val="right"/>
            </w:pPr>
            <w:r w:rsidRPr="00E664EE">
              <w:t>(</w:t>
            </w:r>
            <w:r w:rsidR="00A5777A">
              <w:rPr>
                <w:rFonts w:cs="Arial"/>
              </w:rPr>
              <w:t>-</w:t>
            </w:r>
            <w:r w:rsidRPr="00E664EE">
              <w:t>)</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CovaU</w:t>
            </w:r>
          </w:p>
        </w:tc>
        <w:tc>
          <w:tcPr>
            <w:tcW w:w="1608" w:type="dxa"/>
            <w:noWrap/>
            <w:hideMark/>
          </w:tcPr>
          <w:p w:rsidR="00E664EE" w:rsidRPr="00E664EE" w:rsidRDefault="00E664EE" w:rsidP="00E664EE">
            <w:pPr>
              <w:jc w:val="right"/>
            </w:pPr>
            <w:r w:rsidRPr="00E664EE">
              <w:t xml:space="preserve">86% </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7 </w:t>
            </w:r>
          </w:p>
        </w:tc>
        <w:tc>
          <w:tcPr>
            <w:tcW w:w="1701" w:type="dxa"/>
          </w:tcPr>
          <w:p w:rsidR="00E664EE" w:rsidRPr="000C5525" w:rsidRDefault="00E664EE" w:rsidP="00E664EE">
            <w:pPr>
              <w:jc w:val="right"/>
            </w:pPr>
            <w:r w:rsidRPr="00E664EE">
              <w:t>(N/A)</w:t>
            </w:r>
          </w:p>
        </w:tc>
      </w:tr>
      <w:tr w:rsidR="00E664EE" w:rsidRPr="000C5525" w:rsidTr="006E76B9">
        <w:trPr>
          <w:trHeight w:val="300"/>
        </w:trPr>
        <w:tc>
          <w:tcPr>
            <w:tcW w:w="2376" w:type="dxa"/>
            <w:noWrap/>
            <w:hideMark/>
          </w:tcPr>
          <w:p w:rsidR="00E664EE" w:rsidRPr="00E664EE" w:rsidRDefault="00E664EE" w:rsidP="00E664EE">
            <w:pPr>
              <w:rPr>
                <w:b/>
              </w:rPr>
            </w:pPr>
            <w:r w:rsidRPr="00E664EE">
              <w:t>Diamond Energy</w:t>
            </w:r>
          </w:p>
        </w:tc>
        <w:tc>
          <w:tcPr>
            <w:tcW w:w="1608" w:type="dxa"/>
            <w:noWrap/>
            <w:hideMark/>
          </w:tcPr>
          <w:p w:rsidR="00E664EE" w:rsidRPr="00E664EE" w:rsidRDefault="00E664EE" w:rsidP="00E664EE">
            <w:pPr>
              <w:jc w:val="right"/>
            </w:pPr>
            <w:r w:rsidRPr="00E664EE">
              <w:t xml:space="preserve">100% </w:t>
            </w:r>
          </w:p>
        </w:tc>
        <w:tc>
          <w:tcPr>
            <w:tcW w:w="1418" w:type="dxa"/>
          </w:tcPr>
          <w:p w:rsidR="00E664EE" w:rsidRPr="008A2DA6" w:rsidRDefault="00E664EE" w:rsidP="00E664EE">
            <w:pPr>
              <w:jc w:val="right"/>
            </w:pPr>
            <w:r w:rsidRPr="00E664EE">
              <w:t>(</w:t>
            </w:r>
            <w:r w:rsidR="00C2421F" w:rsidRPr="00C2421F">
              <w:rPr>
                <w:rFonts w:cs="Arial"/>
              </w:rPr>
              <w:t>0</w:t>
            </w:r>
            <w:r w:rsidRPr="00E664EE">
              <w:t>)</w:t>
            </w:r>
          </w:p>
        </w:tc>
        <w:tc>
          <w:tcPr>
            <w:tcW w:w="1701" w:type="dxa"/>
            <w:noWrap/>
            <w:hideMark/>
          </w:tcPr>
          <w:p w:rsidR="00E664EE" w:rsidRPr="00E664EE" w:rsidRDefault="00E664EE" w:rsidP="00E664EE">
            <w:pPr>
              <w:jc w:val="right"/>
            </w:pPr>
            <w:r w:rsidRPr="00E664EE">
              <w:t>N/A</w:t>
            </w:r>
          </w:p>
        </w:tc>
        <w:tc>
          <w:tcPr>
            <w:tcW w:w="1701" w:type="dxa"/>
          </w:tcPr>
          <w:p w:rsidR="00E664EE" w:rsidRPr="008A2DA6" w:rsidRDefault="00E664EE" w:rsidP="00E664EE">
            <w:pPr>
              <w:jc w:val="right"/>
            </w:pP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Dodo Power &amp; Gas</w:t>
            </w:r>
          </w:p>
        </w:tc>
        <w:tc>
          <w:tcPr>
            <w:tcW w:w="1608" w:type="dxa"/>
            <w:noWrap/>
            <w:hideMark/>
          </w:tcPr>
          <w:p w:rsidR="00E664EE" w:rsidRPr="00E664EE" w:rsidRDefault="00E664EE" w:rsidP="00E664EE">
            <w:pPr>
              <w:jc w:val="right"/>
            </w:pPr>
            <w:r w:rsidRPr="00E664EE">
              <w:t xml:space="preserve">77% </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35 </w:t>
            </w:r>
          </w:p>
        </w:tc>
        <w:tc>
          <w:tcPr>
            <w:tcW w:w="1701" w:type="dxa"/>
          </w:tcPr>
          <w:p w:rsidR="00E664EE" w:rsidRPr="000C5525" w:rsidRDefault="00E664EE" w:rsidP="00E664EE">
            <w:pPr>
              <w:jc w:val="right"/>
            </w:pPr>
            <w:r w:rsidRPr="00E664EE">
              <w:t>(N/A)</w:t>
            </w:r>
          </w:p>
        </w:tc>
      </w:tr>
      <w:tr w:rsidR="00E664EE" w:rsidRPr="000C5525" w:rsidTr="006E76B9">
        <w:trPr>
          <w:trHeight w:val="300"/>
        </w:trPr>
        <w:tc>
          <w:tcPr>
            <w:tcW w:w="2376" w:type="dxa"/>
            <w:noWrap/>
            <w:hideMark/>
          </w:tcPr>
          <w:p w:rsidR="00E664EE" w:rsidRPr="00E664EE" w:rsidRDefault="00E664EE" w:rsidP="00E664EE">
            <w:pPr>
              <w:rPr>
                <w:b/>
              </w:rPr>
            </w:pPr>
            <w:r w:rsidRPr="00E664EE">
              <w:t>EnergyAustralia</w:t>
            </w:r>
          </w:p>
        </w:tc>
        <w:tc>
          <w:tcPr>
            <w:tcW w:w="1608" w:type="dxa"/>
            <w:noWrap/>
            <w:hideMark/>
          </w:tcPr>
          <w:p w:rsidR="00E664EE" w:rsidRPr="00E664EE" w:rsidRDefault="00E664EE" w:rsidP="00E664EE">
            <w:pPr>
              <w:jc w:val="right"/>
            </w:pPr>
            <w:r w:rsidRPr="00E664EE">
              <w:t xml:space="preserve">71% </w:t>
            </w:r>
          </w:p>
        </w:tc>
        <w:tc>
          <w:tcPr>
            <w:tcW w:w="1418" w:type="dxa"/>
          </w:tcPr>
          <w:p w:rsidR="00E664EE" w:rsidRPr="000C5525" w:rsidRDefault="00E664EE" w:rsidP="00C2421F">
            <w:pPr>
              <w:jc w:val="right"/>
            </w:pPr>
            <w:r w:rsidRPr="00E664EE">
              <w:t>(</w:t>
            </w:r>
            <w:r w:rsidR="00C2421F" w:rsidRPr="00C2421F">
              <w:rPr>
                <w:rFonts w:cs="Arial"/>
              </w:rPr>
              <w:t>+</w:t>
            </w:r>
            <w:r w:rsidRPr="00E664EE">
              <w:rPr>
                <w:rFonts w:cs="Arial"/>
              </w:rPr>
              <w:t>11)</w:t>
            </w:r>
          </w:p>
        </w:tc>
        <w:tc>
          <w:tcPr>
            <w:tcW w:w="1701" w:type="dxa"/>
            <w:noWrap/>
            <w:hideMark/>
          </w:tcPr>
          <w:p w:rsidR="00E664EE" w:rsidRPr="00E664EE" w:rsidRDefault="00E664EE" w:rsidP="00E664EE">
            <w:pPr>
              <w:jc w:val="right"/>
            </w:pPr>
            <w:r w:rsidRPr="00E664EE">
              <w:t xml:space="preserve">81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325)</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ERM Power</w:t>
            </w:r>
          </w:p>
        </w:tc>
        <w:tc>
          <w:tcPr>
            <w:tcW w:w="1608" w:type="dxa"/>
            <w:noWrap/>
            <w:hideMark/>
          </w:tcPr>
          <w:p w:rsidR="00E664EE" w:rsidRPr="00E664EE" w:rsidRDefault="00E664EE" w:rsidP="00E664EE">
            <w:pPr>
              <w:jc w:val="right"/>
            </w:pPr>
            <w:r w:rsidRPr="00E664EE">
              <w:t xml:space="preserve">83% </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38 </w:t>
            </w:r>
          </w:p>
        </w:tc>
        <w:tc>
          <w:tcPr>
            <w:tcW w:w="1701" w:type="dxa"/>
          </w:tcPr>
          <w:p w:rsidR="00E664EE" w:rsidRPr="000C5525" w:rsidRDefault="00E664EE" w:rsidP="00E664EE">
            <w:pPr>
              <w:jc w:val="right"/>
            </w:pPr>
            <w:r w:rsidRPr="00E664EE">
              <w:t>(N/A)</w:t>
            </w:r>
          </w:p>
        </w:tc>
      </w:tr>
      <w:tr w:rsidR="00E664EE" w:rsidRPr="000C5525" w:rsidTr="006E76B9">
        <w:trPr>
          <w:trHeight w:val="300"/>
        </w:trPr>
        <w:tc>
          <w:tcPr>
            <w:tcW w:w="2376" w:type="dxa"/>
            <w:noWrap/>
            <w:hideMark/>
          </w:tcPr>
          <w:p w:rsidR="00E664EE" w:rsidRPr="00E664EE" w:rsidRDefault="00E664EE" w:rsidP="00E664EE">
            <w:pPr>
              <w:rPr>
                <w:b/>
              </w:rPr>
            </w:pPr>
            <w:r w:rsidRPr="00E664EE">
              <w:t>Lumo Energy (NSW)</w:t>
            </w:r>
          </w:p>
        </w:tc>
        <w:tc>
          <w:tcPr>
            <w:tcW w:w="1608" w:type="dxa"/>
            <w:noWrap/>
            <w:hideMark/>
          </w:tcPr>
          <w:p w:rsidR="00E664EE" w:rsidRPr="00E664EE" w:rsidRDefault="00E664EE" w:rsidP="00E664EE">
            <w:pPr>
              <w:jc w:val="right"/>
            </w:pPr>
            <w:r w:rsidRPr="00E664EE">
              <w:t xml:space="preserve">76% </w:t>
            </w:r>
          </w:p>
        </w:tc>
        <w:tc>
          <w:tcPr>
            <w:tcW w:w="1418" w:type="dxa"/>
          </w:tcPr>
          <w:p w:rsidR="00E664EE" w:rsidRPr="000C5525" w:rsidRDefault="00E664EE" w:rsidP="00E664EE">
            <w:pPr>
              <w:jc w:val="right"/>
            </w:pPr>
            <w:r w:rsidRPr="00E664EE">
              <w:t>(N/A)</w:t>
            </w:r>
          </w:p>
        </w:tc>
        <w:tc>
          <w:tcPr>
            <w:tcW w:w="1701" w:type="dxa"/>
            <w:noWrap/>
            <w:hideMark/>
          </w:tcPr>
          <w:p w:rsidR="00E664EE" w:rsidRPr="00E664EE" w:rsidRDefault="00E664EE" w:rsidP="00E664EE">
            <w:pPr>
              <w:jc w:val="right"/>
            </w:pPr>
            <w:r w:rsidRPr="00E664EE">
              <w:t xml:space="preserve">50 </w:t>
            </w:r>
          </w:p>
        </w:tc>
        <w:tc>
          <w:tcPr>
            <w:tcW w:w="1701" w:type="dxa"/>
          </w:tcPr>
          <w:p w:rsidR="00E664EE" w:rsidRPr="000C5525" w:rsidRDefault="00E664EE" w:rsidP="00E664EE">
            <w:pPr>
              <w:jc w:val="right"/>
            </w:pPr>
            <w:r w:rsidRPr="00E664EE">
              <w:t>(N/A)</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Lumo Energy (SA)</w:t>
            </w:r>
          </w:p>
        </w:tc>
        <w:tc>
          <w:tcPr>
            <w:tcW w:w="1608" w:type="dxa"/>
            <w:noWrap/>
            <w:hideMark/>
          </w:tcPr>
          <w:p w:rsidR="00E664EE" w:rsidRPr="00E664EE" w:rsidRDefault="00E664EE" w:rsidP="00E664EE">
            <w:pPr>
              <w:jc w:val="right"/>
            </w:pPr>
            <w:r w:rsidRPr="00E664EE">
              <w:t xml:space="preserve">86%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1)</w:t>
            </w:r>
          </w:p>
        </w:tc>
        <w:tc>
          <w:tcPr>
            <w:tcW w:w="1701" w:type="dxa"/>
            <w:noWrap/>
            <w:hideMark/>
          </w:tcPr>
          <w:p w:rsidR="00E664EE" w:rsidRPr="00E664EE" w:rsidRDefault="00E664EE" w:rsidP="00E664EE">
            <w:pPr>
              <w:jc w:val="right"/>
            </w:pPr>
            <w:r w:rsidRPr="00E664EE">
              <w:t xml:space="preserve">14 </w:t>
            </w:r>
          </w:p>
        </w:tc>
        <w:tc>
          <w:tcPr>
            <w:tcW w:w="1701" w:type="dxa"/>
          </w:tcPr>
          <w:p w:rsidR="00E664EE" w:rsidRPr="000C5525" w:rsidRDefault="00E664EE" w:rsidP="00E664EE">
            <w:pPr>
              <w:jc w:val="right"/>
            </w:pPr>
            <w:r w:rsidRPr="00E664EE">
              <w:t>(</w:t>
            </w:r>
            <w:r w:rsidR="00A5777A">
              <w:rPr>
                <w:rFonts w:cs="Arial"/>
              </w:rPr>
              <w:t>-</w:t>
            </w:r>
            <w:r w:rsidRPr="00E664EE">
              <w:t>)</w:t>
            </w:r>
          </w:p>
        </w:tc>
      </w:tr>
      <w:tr w:rsidR="00E664EE" w:rsidRPr="000C5525" w:rsidTr="006E76B9">
        <w:trPr>
          <w:trHeight w:val="300"/>
        </w:trPr>
        <w:tc>
          <w:tcPr>
            <w:tcW w:w="2376" w:type="dxa"/>
            <w:noWrap/>
            <w:hideMark/>
          </w:tcPr>
          <w:p w:rsidR="00E664EE" w:rsidRPr="00E664EE" w:rsidRDefault="00E664EE" w:rsidP="00E664EE">
            <w:pPr>
              <w:rPr>
                <w:b/>
              </w:rPr>
            </w:pPr>
            <w:r w:rsidRPr="00E664EE">
              <w:t>Momentum Energy</w:t>
            </w:r>
          </w:p>
        </w:tc>
        <w:tc>
          <w:tcPr>
            <w:tcW w:w="1608" w:type="dxa"/>
            <w:noWrap/>
            <w:hideMark/>
          </w:tcPr>
          <w:p w:rsidR="00E664EE" w:rsidRPr="00E664EE" w:rsidRDefault="00E664EE" w:rsidP="00E664EE">
            <w:pPr>
              <w:jc w:val="right"/>
            </w:pPr>
            <w:r w:rsidRPr="00E664EE">
              <w:t xml:space="preserve">67% </w:t>
            </w:r>
          </w:p>
        </w:tc>
        <w:tc>
          <w:tcPr>
            <w:tcW w:w="1418" w:type="dxa"/>
          </w:tcPr>
          <w:p w:rsidR="00E664EE" w:rsidRPr="000C5525" w:rsidRDefault="00E664EE" w:rsidP="00E664EE">
            <w:pPr>
              <w:jc w:val="right"/>
            </w:pPr>
            <w:r w:rsidRPr="00E664EE">
              <w:t>(</w:t>
            </w:r>
            <w:r w:rsidR="00C2421F" w:rsidRPr="00C2421F">
              <w:rPr>
                <w:rFonts w:cs="Arial"/>
              </w:rPr>
              <w:t>-</w:t>
            </w:r>
            <w:r w:rsidRPr="00E664EE">
              <w:t>10)</w:t>
            </w:r>
          </w:p>
        </w:tc>
        <w:tc>
          <w:tcPr>
            <w:tcW w:w="1701" w:type="dxa"/>
            <w:noWrap/>
            <w:hideMark/>
          </w:tcPr>
          <w:p w:rsidR="00E664EE" w:rsidRPr="00E664EE" w:rsidRDefault="00E664EE" w:rsidP="00E664EE">
            <w:pPr>
              <w:jc w:val="right"/>
            </w:pPr>
            <w:r w:rsidRPr="00E664EE">
              <w:t xml:space="preserve">51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27)</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Origin Energy</w:t>
            </w:r>
          </w:p>
        </w:tc>
        <w:tc>
          <w:tcPr>
            <w:tcW w:w="1608" w:type="dxa"/>
            <w:noWrap/>
            <w:hideMark/>
          </w:tcPr>
          <w:p w:rsidR="00E664EE" w:rsidRPr="00E664EE" w:rsidRDefault="00E664EE" w:rsidP="00E664EE">
            <w:pPr>
              <w:jc w:val="right"/>
            </w:pPr>
            <w:r w:rsidRPr="00E664EE">
              <w:t xml:space="preserve">69% </w:t>
            </w:r>
          </w:p>
        </w:tc>
        <w:tc>
          <w:tcPr>
            <w:tcW w:w="1418" w:type="dxa"/>
          </w:tcPr>
          <w:p w:rsidR="00E664EE" w:rsidRPr="000C5525" w:rsidRDefault="00E664EE" w:rsidP="00E664EE">
            <w:pPr>
              <w:jc w:val="right"/>
            </w:pPr>
            <w:r w:rsidRPr="00E664EE">
              <w:t>(</w:t>
            </w:r>
            <w:r w:rsidR="00C2421F" w:rsidRPr="00C2421F">
              <w:rPr>
                <w:rFonts w:cs="Arial"/>
              </w:rPr>
              <w:t>-</w:t>
            </w:r>
            <w:r w:rsidRPr="00E664EE">
              <w:t>13)</w:t>
            </w:r>
          </w:p>
        </w:tc>
        <w:tc>
          <w:tcPr>
            <w:tcW w:w="1701" w:type="dxa"/>
            <w:noWrap/>
            <w:hideMark/>
          </w:tcPr>
          <w:p w:rsidR="00E664EE" w:rsidRPr="00E664EE" w:rsidRDefault="00E664EE" w:rsidP="00E664EE">
            <w:pPr>
              <w:jc w:val="right"/>
            </w:pPr>
            <w:r w:rsidRPr="00E664EE">
              <w:t xml:space="preserve">47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1)</w:t>
            </w:r>
          </w:p>
        </w:tc>
      </w:tr>
      <w:tr w:rsidR="00E664EE" w:rsidRPr="000C5525" w:rsidTr="006E76B9">
        <w:trPr>
          <w:trHeight w:val="300"/>
        </w:trPr>
        <w:tc>
          <w:tcPr>
            <w:tcW w:w="2376" w:type="dxa"/>
            <w:noWrap/>
            <w:hideMark/>
          </w:tcPr>
          <w:p w:rsidR="00E664EE" w:rsidRPr="00E664EE" w:rsidRDefault="00E664EE" w:rsidP="00E664EE">
            <w:pPr>
              <w:rPr>
                <w:b/>
              </w:rPr>
            </w:pPr>
            <w:r w:rsidRPr="00E664EE">
              <w:lastRenderedPageBreak/>
              <w:t>Powerdirect</w:t>
            </w:r>
          </w:p>
        </w:tc>
        <w:tc>
          <w:tcPr>
            <w:tcW w:w="1608" w:type="dxa"/>
            <w:noWrap/>
            <w:hideMark/>
          </w:tcPr>
          <w:p w:rsidR="00E664EE" w:rsidRPr="00E664EE" w:rsidRDefault="00E664EE" w:rsidP="00E664EE">
            <w:pPr>
              <w:jc w:val="right"/>
            </w:pPr>
            <w:r w:rsidRPr="00E664EE">
              <w:t xml:space="preserve">58% </w:t>
            </w:r>
          </w:p>
        </w:tc>
        <w:tc>
          <w:tcPr>
            <w:tcW w:w="1418" w:type="dxa"/>
          </w:tcPr>
          <w:p w:rsidR="00E664EE" w:rsidRPr="000C5525" w:rsidRDefault="00E664EE" w:rsidP="00E664EE">
            <w:pPr>
              <w:jc w:val="right"/>
            </w:pPr>
            <w:r w:rsidRPr="00E664EE">
              <w:t>(</w:t>
            </w:r>
            <w:r w:rsidR="00C2421F" w:rsidRPr="00C2421F">
              <w:rPr>
                <w:rFonts w:cs="Arial"/>
              </w:rPr>
              <w:t>-</w:t>
            </w:r>
            <w:r w:rsidRPr="00E664EE">
              <w:t>8)</w:t>
            </w:r>
          </w:p>
        </w:tc>
        <w:tc>
          <w:tcPr>
            <w:tcW w:w="1701" w:type="dxa"/>
            <w:noWrap/>
            <w:hideMark/>
          </w:tcPr>
          <w:p w:rsidR="00E664EE" w:rsidRPr="00E664EE" w:rsidRDefault="00E664EE" w:rsidP="00E664EE">
            <w:pPr>
              <w:jc w:val="right"/>
            </w:pPr>
            <w:r w:rsidRPr="00E664EE">
              <w:t xml:space="preserve">117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65)</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QEnergy</w:t>
            </w:r>
          </w:p>
        </w:tc>
        <w:tc>
          <w:tcPr>
            <w:tcW w:w="1608" w:type="dxa"/>
            <w:noWrap/>
            <w:hideMark/>
          </w:tcPr>
          <w:p w:rsidR="00E664EE" w:rsidRPr="00E664EE" w:rsidRDefault="00E664EE" w:rsidP="00E664EE">
            <w:pPr>
              <w:jc w:val="right"/>
            </w:pPr>
            <w:r w:rsidRPr="00E664EE">
              <w:t xml:space="preserve">100%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13)</w:t>
            </w:r>
          </w:p>
        </w:tc>
        <w:tc>
          <w:tcPr>
            <w:tcW w:w="1701" w:type="dxa"/>
            <w:noWrap/>
            <w:hideMark/>
          </w:tcPr>
          <w:p w:rsidR="00E664EE" w:rsidRPr="00E664EE" w:rsidRDefault="00E664EE" w:rsidP="00E664EE">
            <w:pPr>
              <w:jc w:val="right"/>
            </w:pPr>
            <w:r w:rsidRPr="00E664EE">
              <w:t xml:space="preserve">30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20)</w:t>
            </w:r>
          </w:p>
        </w:tc>
      </w:tr>
      <w:tr w:rsidR="00E664EE" w:rsidRPr="000C5525" w:rsidTr="006E76B9">
        <w:trPr>
          <w:trHeight w:val="300"/>
        </w:trPr>
        <w:tc>
          <w:tcPr>
            <w:tcW w:w="2376" w:type="dxa"/>
            <w:noWrap/>
            <w:hideMark/>
          </w:tcPr>
          <w:p w:rsidR="00E664EE" w:rsidRPr="00E664EE" w:rsidRDefault="00E664EE" w:rsidP="00E664EE">
            <w:pPr>
              <w:rPr>
                <w:b/>
              </w:rPr>
            </w:pPr>
            <w:r w:rsidRPr="00E664EE">
              <w:t>Red Energy</w:t>
            </w:r>
          </w:p>
        </w:tc>
        <w:tc>
          <w:tcPr>
            <w:tcW w:w="1608" w:type="dxa"/>
            <w:noWrap/>
            <w:hideMark/>
          </w:tcPr>
          <w:p w:rsidR="00E664EE" w:rsidRPr="00E664EE" w:rsidRDefault="00E664EE" w:rsidP="00E664EE">
            <w:pPr>
              <w:jc w:val="right"/>
            </w:pPr>
            <w:r w:rsidRPr="00E664EE">
              <w:t xml:space="preserve">84% </w:t>
            </w:r>
          </w:p>
        </w:tc>
        <w:tc>
          <w:tcPr>
            <w:tcW w:w="1418" w:type="dxa"/>
          </w:tcPr>
          <w:p w:rsidR="00E664EE" w:rsidRPr="000C5525" w:rsidRDefault="00E664EE" w:rsidP="00E664EE">
            <w:pPr>
              <w:jc w:val="right"/>
            </w:pPr>
            <w:r w:rsidRPr="00E664EE">
              <w:t>(</w:t>
            </w:r>
            <w:r w:rsidR="00C2421F" w:rsidRPr="00C2421F">
              <w:rPr>
                <w:rFonts w:cs="Arial"/>
              </w:rPr>
              <w:t>-</w:t>
            </w:r>
            <w:r w:rsidRPr="00E664EE">
              <w:t>3)</w:t>
            </w:r>
          </w:p>
        </w:tc>
        <w:tc>
          <w:tcPr>
            <w:tcW w:w="1701" w:type="dxa"/>
            <w:noWrap/>
            <w:hideMark/>
          </w:tcPr>
          <w:p w:rsidR="00E664EE" w:rsidRPr="00E664EE" w:rsidRDefault="00E664EE" w:rsidP="00E664EE">
            <w:pPr>
              <w:jc w:val="right"/>
            </w:pPr>
            <w:r w:rsidRPr="00E664EE">
              <w:t xml:space="preserve">23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8)</w:t>
            </w:r>
          </w:p>
        </w:tc>
      </w:tr>
      <w:tr w:rsidR="00E664EE" w:rsidRPr="000C5525" w:rsidTr="006E76B9">
        <w:trPr>
          <w:cnfStyle w:val="000000010000" w:firstRow="0" w:lastRow="0" w:firstColumn="0" w:lastColumn="0" w:oddVBand="0" w:evenVBand="0" w:oddHBand="0" w:evenHBand="1" w:firstRowFirstColumn="0" w:firstRowLastColumn="0" w:lastRowFirstColumn="0" w:lastRowLastColumn="0"/>
          <w:trHeight w:val="300"/>
        </w:trPr>
        <w:tc>
          <w:tcPr>
            <w:tcW w:w="2376" w:type="dxa"/>
            <w:noWrap/>
            <w:hideMark/>
          </w:tcPr>
          <w:p w:rsidR="00E664EE" w:rsidRPr="00E664EE" w:rsidRDefault="00E664EE" w:rsidP="00E664EE">
            <w:pPr>
              <w:rPr>
                <w:b/>
              </w:rPr>
            </w:pPr>
            <w:r w:rsidRPr="00E664EE">
              <w:t>Sanctuary Energy</w:t>
            </w:r>
          </w:p>
        </w:tc>
        <w:tc>
          <w:tcPr>
            <w:tcW w:w="1608" w:type="dxa"/>
            <w:noWrap/>
            <w:hideMark/>
          </w:tcPr>
          <w:p w:rsidR="00E664EE" w:rsidRPr="00E664EE" w:rsidRDefault="00E664EE" w:rsidP="00E664EE">
            <w:pPr>
              <w:jc w:val="right"/>
            </w:pPr>
            <w:r w:rsidRPr="00E664EE">
              <w:t xml:space="preserve">87%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10)</w:t>
            </w:r>
          </w:p>
        </w:tc>
        <w:tc>
          <w:tcPr>
            <w:tcW w:w="1701" w:type="dxa"/>
            <w:noWrap/>
            <w:hideMark/>
          </w:tcPr>
          <w:p w:rsidR="00E664EE" w:rsidRPr="00E664EE" w:rsidRDefault="00E664EE" w:rsidP="00E664EE">
            <w:pPr>
              <w:jc w:val="right"/>
            </w:pPr>
            <w:r w:rsidRPr="00E664EE">
              <w:t xml:space="preserve">25 </w:t>
            </w:r>
          </w:p>
        </w:tc>
        <w:tc>
          <w:tcPr>
            <w:tcW w:w="1701" w:type="dxa"/>
          </w:tcPr>
          <w:p w:rsidR="00E664EE" w:rsidRPr="000C5525" w:rsidRDefault="00E664EE" w:rsidP="00E664EE">
            <w:pPr>
              <w:jc w:val="right"/>
            </w:pPr>
            <w:r w:rsidRPr="00E664EE">
              <w:t>(</w:t>
            </w:r>
            <w:r w:rsidR="00C2421F" w:rsidRPr="00C2421F">
              <w:rPr>
                <w:rFonts w:cs="Arial"/>
              </w:rPr>
              <w:t>-</w:t>
            </w:r>
            <w:r w:rsidRPr="00E664EE">
              <w:rPr>
                <w:rFonts w:cs="Arial"/>
              </w:rPr>
              <w:t>21)</w:t>
            </w:r>
          </w:p>
        </w:tc>
      </w:tr>
      <w:tr w:rsidR="00E664EE" w:rsidRPr="000C5525" w:rsidTr="006E76B9">
        <w:trPr>
          <w:trHeight w:val="300"/>
        </w:trPr>
        <w:tc>
          <w:tcPr>
            <w:tcW w:w="2376" w:type="dxa"/>
            <w:noWrap/>
            <w:hideMark/>
          </w:tcPr>
          <w:p w:rsidR="00E664EE" w:rsidRPr="00E664EE" w:rsidRDefault="00E664EE" w:rsidP="00E664EE">
            <w:pPr>
              <w:rPr>
                <w:b/>
              </w:rPr>
            </w:pPr>
            <w:r w:rsidRPr="00E664EE">
              <w:t>Simply Energy</w:t>
            </w:r>
          </w:p>
        </w:tc>
        <w:tc>
          <w:tcPr>
            <w:tcW w:w="1608" w:type="dxa"/>
            <w:noWrap/>
            <w:hideMark/>
          </w:tcPr>
          <w:p w:rsidR="00E664EE" w:rsidRPr="00E664EE" w:rsidRDefault="00E664EE" w:rsidP="00E664EE">
            <w:pPr>
              <w:jc w:val="right"/>
            </w:pPr>
            <w:r w:rsidRPr="00E664EE">
              <w:t xml:space="preserve">91% </w:t>
            </w:r>
          </w:p>
        </w:tc>
        <w:tc>
          <w:tcPr>
            <w:tcW w:w="1418" w:type="dxa"/>
          </w:tcPr>
          <w:p w:rsidR="00E664EE" w:rsidRPr="000C5525" w:rsidRDefault="00E664EE" w:rsidP="00E664EE">
            <w:pPr>
              <w:jc w:val="right"/>
            </w:pPr>
            <w:r w:rsidRPr="00E664EE">
              <w:t>(</w:t>
            </w:r>
            <w:r w:rsidR="00C2421F" w:rsidRPr="00C2421F">
              <w:rPr>
                <w:rFonts w:cs="Arial"/>
              </w:rPr>
              <w:t>+</w:t>
            </w:r>
            <w:r w:rsidRPr="00E664EE">
              <w:rPr>
                <w:rFonts w:cs="Arial"/>
              </w:rPr>
              <w:t>6)</w:t>
            </w:r>
          </w:p>
        </w:tc>
        <w:tc>
          <w:tcPr>
            <w:tcW w:w="1701" w:type="dxa"/>
            <w:noWrap/>
            <w:hideMark/>
          </w:tcPr>
          <w:p w:rsidR="00E664EE" w:rsidRPr="00E664EE" w:rsidRDefault="00E664EE" w:rsidP="00E664EE">
            <w:pPr>
              <w:jc w:val="right"/>
            </w:pPr>
            <w:r w:rsidRPr="00E664EE">
              <w:t xml:space="preserve">16 </w:t>
            </w:r>
          </w:p>
        </w:tc>
        <w:tc>
          <w:tcPr>
            <w:tcW w:w="1701" w:type="dxa"/>
          </w:tcPr>
          <w:p w:rsidR="00E664EE" w:rsidRPr="00306A93" w:rsidRDefault="00E664EE" w:rsidP="00E664EE">
            <w:pPr>
              <w:jc w:val="right"/>
              <w:rPr>
                <w:rFonts w:cs="Arial"/>
              </w:rPr>
            </w:pPr>
            <w:r w:rsidRPr="00E664EE">
              <w:t>(</w:t>
            </w:r>
            <w:r w:rsidR="00C2421F" w:rsidRPr="00C2421F">
              <w:rPr>
                <w:rFonts w:cs="Arial"/>
              </w:rPr>
              <w:t>-</w:t>
            </w:r>
            <w:r w:rsidRPr="00E664EE">
              <w:rPr>
                <w:rFonts w:cs="Arial"/>
              </w:rPr>
              <w:t>3)</w:t>
            </w:r>
          </w:p>
        </w:tc>
      </w:tr>
    </w:tbl>
    <w:p w:rsidR="00E664EE" w:rsidRPr="00306A93" w:rsidRDefault="00E664EE" w:rsidP="00E664EE">
      <w:pPr>
        <w:spacing w:before="0" w:after="200"/>
        <w:rPr>
          <w:sz w:val="18"/>
          <w:szCs w:val="18"/>
        </w:rPr>
      </w:pPr>
      <w:r w:rsidRPr="00306A93">
        <w:rPr>
          <w:sz w:val="18"/>
          <w:szCs w:val="18"/>
        </w:rPr>
        <w:t xml:space="preserve">*Calls to ActewAGL also include calls for water services. </w:t>
      </w:r>
    </w:p>
    <w:p w:rsidR="00E664EE" w:rsidRDefault="00E664EE" w:rsidP="00E664EE">
      <w:pPr>
        <w:spacing w:before="0" w:after="200"/>
      </w:pPr>
      <w:r>
        <w:t xml:space="preserve">In 2013-14 the retailers that responded most promptly to customer calls were Simply Energy and AGL </w:t>
      </w:r>
      <w:r w:rsidR="00184411">
        <w:t xml:space="preserve">in </w:t>
      </w:r>
      <w:r>
        <w:t>South Australia.</w:t>
      </w:r>
      <w:r>
        <w:rPr>
          <w:rStyle w:val="FootnoteReference"/>
        </w:rPr>
        <w:footnoteReference w:id="10"/>
      </w:r>
      <w:r>
        <w:t xml:space="preserve"> EnergyAustralia was able </w:t>
      </w:r>
      <w:r w:rsidR="008775DA">
        <w:t>to significantly</w:t>
      </w:r>
      <w:r>
        <w:t xml:space="preserve"> decrease the average call waiting times significantly</w:t>
      </w:r>
      <w:r w:rsidR="008775DA">
        <w:t xml:space="preserve"> </w:t>
      </w:r>
      <w:r w:rsidR="001A281A">
        <w:t>over the previous year</w:t>
      </w:r>
      <w:r>
        <w:t>, and Aurora Energy also significantly improved its performance</w:t>
      </w:r>
      <w:r w:rsidR="001A281A">
        <w:t xml:space="preserve">. </w:t>
      </w:r>
    </w:p>
    <w:p w:rsidR="00E664EE" w:rsidRDefault="00E664EE" w:rsidP="00E664EE">
      <w:pPr>
        <w:spacing w:before="0" w:after="200"/>
      </w:pPr>
      <w:r>
        <w:t xml:space="preserve">Powerdirect, Momentum Energy, Origin Energy and Click Energy were the slowest at answering calls – answering only around two-thirds of calls within 30 seconds. ActewAGL’s average wait time fell by around two minutes, however remained </w:t>
      </w:r>
      <w:r w:rsidR="00184411">
        <w:t xml:space="preserve">high </w:t>
      </w:r>
      <w:r>
        <w:t>at over two minutes.</w:t>
      </w:r>
    </w:p>
    <w:p w:rsidR="00922B9E" w:rsidRPr="00922B9E" w:rsidRDefault="0065760E" w:rsidP="00922B9E">
      <w:pPr>
        <w:spacing w:before="0" w:after="200"/>
      </w:pPr>
      <w:r>
        <w:t xml:space="preserve">For most </w:t>
      </w:r>
      <w:r w:rsidR="00E664EE">
        <w:t>retailers</w:t>
      </w:r>
      <w:r>
        <w:t xml:space="preserve">, </w:t>
      </w:r>
      <w:r w:rsidR="00E664EE">
        <w:t xml:space="preserve">fewer than 4 per cent of phone calls </w:t>
      </w:r>
      <w:r>
        <w:t xml:space="preserve">were </w:t>
      </w:r>
      <w:r w:rsidR="00E664EE">
        <w:t>abandoned before being answered. The largest proportion of calls abandoned were of those made</w:t>
      </w:r>
      <w:r w:rsidR="00922B9E">
        <w:t xml:space="preserve"> to ERM Power (14 per cent).   </w:t>
      </w:r>
    </w:p>
    <w:p w:rsidR="00922B9E" w:rsidRDefault="00922B9E">
      <w:pPr>
        <w:rPr>
          <w:b/>
        </w:rPr>
      </w:pPr>
      <w:r>
        <w:rPr>
          <w:b/>
        </w:rPr>
        <w:br w:type="page"/>
      </w:r>
    </w:p>
    <w:p w:rsidR="00E664EE" w:rsidRDefault="00E664EE" w:rsidP="00E664EE">
      <w:pPr>
        <w:spacing w:before="0" w:after="200"/>
        <w:rPr>
          <w:b/>
        </w:rPr>
      </w:pPr>
      <w:r>
        <w:rPr>
          <w:b/>
        </w:rPr>
        <w:lastRenderedPageBreak/>
        <w:t>Figure 2.1: Customer service of energy retailers in 2013-14</w:t>
      </w:r>
    </w:p>
    <w:p w:rsidR="00E664EE" w:rsidRDefault="00071157" w:rsidP="00071157">
      <w:pPr>
        <w:spacing w:before="0" w:after="0"/>
        <w:rPr>
          <w:b/>
        </w:rPr>
      </w:pPr>
      <w:r>
        <w:rPr>
          <w:b/>
          <w:noProof/>
          <w:lang w:eastAsia="en-AU"/>
        </w:rPr>
        <w:drawing>
          <wp:inline distT="0" distB="0" distL="0" distR="0" wp14:anchorId="4FE4B925" wp14:editId="149FA55F">
            <wp:extent cx="5731200" cy="4363200"/>
            <wp:effectExtent l="0" t="0" r="3175" b="0"/>
            <wp:docPr id="27" name="Picture 27" descr="The rate of calls abandoned was to ERM Power (14 per cent). Over three quarters of energy retailers answered 75 per cent of calls made to them within 30 seconds. Powerdirect answered the lowest percentage of calls made to them within 30 seconds (58 per cent)."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4363200"/>
                    </a:xfrm>
                    <a:prstGeom prst="rect">
                      <a:avLst/>
                    </a:prstGeom>
                    <a:noFill/>
                  </pic:spPr>
                </pic:pic>
              </a:graphicData>
            </a:graphic>
          </wp:inline>
        </w:drawing>
      </w:r>
    </w:p>
    <w:p w:rsidR="00E664EE" w:rsidRPr="008A2DA6" w:rsidRDefault="00E664EE" w:rsidP="00E664EE">
      <w:pPr>
        <w:spacing w:before="0" w:after="200"/>
        <w:rPr>
          <w:sz w:val="18"/>
          <w:szCs w:val="18"/>
        </w:rPr>
      </w:pPr>
      <w:r>
        <w:rPr>
          <w:sz w:val="18"/>
          <w:szCs w:val="18"/>
        </w:rPr>
        <w:t>Note: Excludes retailers that received fewer than 1000 calls in 2013-14.</w:t>
      </w:r>
    </w:p>
    <w:p w:rsidR="00E664EE" w:rsidRPr="00CA182F" w:rsidRDefault="00E664EE" w:rsidP="00E664EE">
      <w:pPr>
        <w:spacing w:before="0" w:after="200"/>
      </w:pPr>
      <w:r>
        <w:t xml:space="preserve">Retailers in South Australia have a number of additional customer service standards </w:t>
      </w:r>
      <w:r w:rsidR="00145FCB">
        <w:t>to meet. These are reported in a</w:t>
      </w:r>
      <w:r>
        <w:t xml:space="preserve">ppendix 2. </w:t>
      </w:r>
      <w:r>
        <w:br w:type="page"/>
      </w:r>
    </w:p>
    <w:p w:rsidR="00E664EE" w:rsidRPr="001C2483" w:rsidRDefault="00E664EE" w:rsidP="00AA3437">
      <w:pPr>
        <w:pStyle w:val="Headingnumbered11"/>
        <w:spacing w:after="240"/>
        <w:rPr>
          <w:rFonts w:ascii="Lucida Fax" w:hAnsi="Lucida Fax"/>
          <w:sz w:val="32"/>
          <w:szCs w:val="32"/>
        </w:rPr>
      </w:pPr>
      <w:bookmarkStart w:id="30" w:name="_Toc402961391"/>
      <w:r>
        <w:lastRenderedPageBreak/>
        <w:t>Complaints</w:t>
      </w:r>
      <w:bookmarkEnd w:id="30"/>
    </w:p>
    <w:p w:rsidR="00E664EE" w:rsidRDefault="00E664EE" w:rsidP="00E664EE">
      <w:pPr>
        <w:spacing w:before="0" w:after="200"/>
      </w:pPr>
      <w:r>
        <w:t>Energy retailers must report the number of small customer complaints that they receive against a number of categories:</w:t>
      </w:r>
      <w:r>
        <w:rPr>
          <w:rStyle w:val="FootnoteReference"/>
        </w:rPr>
        <w:footnoteReference w:id="11"/>
      </w:r>
    </w:p>
    <w:p w:rsidR="00E664EE" w:rsidRPr="000332BB" w:rsidRDefault="00F66260" w:rsidP="009E4964">
      <w:pPr>
        <w:pStyle w:val="ListParagraph"/>
        <w:numPr>
          <w:ilvl w:val="0"/>
          <w:numId w:val="11"/>
        </w:numPr>
        <w:spacing w:before="0" w:after="200"/>
        <w:rPr>
          <w:b/>
          <w:color w:val="51626F"/>
          <w:sz w:val="28"/>
          <w:szCs w:val="24"/>
        </w:rPr>
      </w:pPr>
      <w:r>
        <w:t>b</w:t>
      </w:r>
      <w:r w:rsidR="00E664EE">
        <w:t>illing complaints – includes complaints about prices, billing errors, payment arrangements, debt recovery practices and disconnections</w:t>
      </w:r>
    </w:p>
    <w:p w:rsidR="00E664EE" w:rsidRPr="000332BB" w:rsidRDefault="00F66260" w:rsidP="009E4964">
      <w:pPr>
        <w:pStyle w:val="ListParagraph"/>
        <w:numPr>
          <w:ilvl w:val="0"/>
          <w:numId w:val="11"/>
        </w:numPr>
        <w:spacing w:before="0" w:after="200"/>
        <w:rPr>
          <w:b/>
          <w:color w:val="51626F"/>
          <w:sz w:val="28"/>
          <w:szCs w:val="24"/>
        </w:rPr>
      </w:pPr>
      <w:r>
        <w:t>e</w:t>
      </w:r>
      <w:r w:rsidR="00E664EE">
        <w:t>nergy marketing complaints – includes complaints about sales practices, advertising, contract terms and misleading conduct</w:t>
      </w:r>
    </w:p>
    <w:p w:rsidR="00E664EE" w:rsidRPr="000332BB" w:rsidRDefault="00F66260" w:rsidP="009E4964">
      <w:pPr>
        <w:pStyle w:val="ListParagraph"/>
        <w:numPr>
          <w:ilvl w:val="0"/>
          <w:numId w:val="11"/>
        </w:numPr>
        <w:spacing w:before="0" w:after="200"/>
        <w:rPr>
          <w:b/>
          <w:color w:val="51626F"/>
          <w:sz w:val="28"/>
          <w:szCs w:val="24"/>
        </w:rPr>
      </w:pPr>
      <w:r>
        <w:t>c</w:t>
      </w:r>
      <w:r w:rsidR="00E664EE">
        <w:t>ustomer transfer complaints – includes complaints about timeliness of a transfer, disruption of supply due to transfer and billing problems directly associated with a transfer</w:t>
      </w:r>
    </w:p>
    <w:p w:rsidR="00E664EE" w:rsidRPr="008F059D" w:rsidRDefault="00F66260" w:rsidP="009E4964">
      <w:pPr>
        <w:pStyle w:val="ListParagraph"/>
        <w:numPr>
          <w:ilvl w:val="0"/>
          <w:numId w:val="11"/>
        </w:numPr>
        <w:spacing w:before="0" w:after="200"/>
        <w:rPr>
          <w:b/>
          <w:color w:val="51626F"/>
          <w:sz w:val="28"/>
          <w:szCs w:val="24"/>
        </w:rPr>
      </w:pPr>
      <w:proofErr w:type="gramStart"/>
      <w:r>
        <w:t>o</w:t>
      </w:r>
      <w:r w:rsidR="00E664EE">
        <w:t>ther</w:t>
      </w:r>
      <w:proofErr w:type="gramEnd"/>
      <w:r w:rsidR="00E664EE">
        <w:t xml:space="preserve"> complaints – include complaints about customer service, privacy issues, failure to respond to complaints, and health and safety issues. </w:t>
      </w:r>
    </w:p>
    <w:p w:rsidR="00E664EE" w:rsidRDefault="00E664EE" w:rsidP="00E664EE">
      <w:pPr>
        <w:spacing w:before="0" w:after="200"/>
      </w:pPr>
      <w:r>
        <w:t xml:space="preserve">Figure 2.2 shows the number of </w:t>
      </w:r>
      <w:r w:rsidR="00DC24C8">
        <w:t>small</w:t>
      </w:r>
      <w:r>
        <w:t xml:space="preserve"> customer complaints made to energy retailers in each jurisdiction in </w:t>
      </w:r>
      <w:r w:rsidR="00234A3C">
        <w:t xml:space="preserve">2012-13 and </w:t>
      </w:r>
      <w:r>
        <w:t>2013-14.</w:t>
      </w:r>
      <w:r>
        <w:rPr>
          <w:rStyle w:val="FootnoteReference"/>
        </w:rPr>
        <w:footnoteReference w:id="12"/>
      </w:r>
      <w:r>
        <w:t xml:space="preserve"> </w:t>
      </w:r>
    </w:p>
    <w:p w:rsidR="00E664EE" w:rsidRPr="008F059D" w:rsidRDefault="00E664EE" w:rsidP="00E664EE">
      <w:pPr>
        <w:spacing w:before="0" w:after="200"/>
        <w:rPr>
          <w:b/>
        </w:rPr>
      </w:pPr>
      <w:r>
        <w:rPr>
          <w:b/>
        </w:rPr>
        <w:t>Figure 2.2: Residential customer complaints to retailers in 2013-14</w:t>
      </w:r>
      <w:r w:rsidR="006F3C6C" w:rsidRPr="006F3C6C">
        <w:rPr>
          <w:b/>
        </w:rPr>
        <w:t>—</w:t>
      </w:r>
      <w:r>
        <w:rPr>
          <w:b/>
        </w:rPr>
        <w:t>by jurisdiction</w:t>
      </w:r>
    </w:p>
    <w:p w:rsidR="00DC24C8" w:rsidRPr="00DC24C8" w:rsidRDefault="006D4655" w:rsidP="00DC24C8">
      <w:pPr>
        <w:spacing w:before="0" w:after="200"/>
        <w:rPr>
          <w:sz w:val="18"/>
          <w:szCs w:val="18"/>
        </w:rPr>
      </w:pPr>
      <w:r>
        <w:rPr>
          <w:noProof/>
          <w:sz w:val="18"/>
          <w:szCs w:val="18"/>
          <w:lang w:eastAsia="en-AU"/>
        </w:rPr>
        <w:drawing>
          <wp:inline distT="0" distB="0" distL="0" distR="0" wp14:anchorId="2F160B02" wp14:editId="7BB12410">
            <wp:extent cx="5731200" cy="3474000"/>
            <wp:effectExtent l="0" t="0" r="3175" b="0"/>
            <wp:docPr id="46" name="Picture 46" descr="In New South Wales the total number of complaints increased from 118,401 in 2012-13 to 239,158 in 2013-14. In South Australia, the number increased from 57,681 in 2012-13 to 86,429 in 2013-14.  "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200" cy="3474000"/>
                    </a:xfrm>
                    <a:prstGeom prst="rect">
                      <a:avLst/>
                    </a:prstGeom>
                    <a:noFill/>
                  </pic:spPr>
                </pic:pic>
              </a:graphicData>
            </a:graphic>
          </wp:inline>
        </w:drawing>
      </w:r>
      <w:r w:rsidR="00FF7E08">
        <w:rPr>
          <w:sz w:val="18"/>
          <w:szCs w:val="18"/>
        </w:rPr>
        <w:t>*Consolidated</w:t>
      </w:r>
      <w:r w:rsidR="00DC24C8" w:rsidRPr="00DC24C8">
        <w:rPr>
          <w:sz w:val="18"/>
          <w:szCs w:val="18"/>
        </w:rPr>
        <w:t xml:space="preserve"> electricity and gas complaints reported by IPART</w:t>
      </w:r>
      <w:r w:rsidR="00234A3C">
        <w:rPr>
          <w:sz w:val="18"/>
          <w:szCs w:val="18"/>
        </w:rPr>
        <w:t xml:space="preserve"> (does not include customer transfer complaints).</w:t>
      </w:r>
      <w:r w:rsidR="00DC24C8">
        <w:rPr>
          <w:sz w:val="18"/>
          <w:szCs w:val="18"/>
        </w:rPr>
        <w:t xml:space="preserve"> </w:t>
      </w:r>
      <w:r>
        <w:rPr>
          <w:sz w:val="18"/>
          <w:szCs w:val="18"/>
        </w:rPr>
        <w:br/>
        <w:t xml:space="preserve">** Aurora Energy’s complaints data was excluded from the 2012-13 report as </w:t>
      </w:r>
      <w:r w:rsidR="00741FD2">
        <w:rPr>
          <w:sz w:val="18"/>
          <w:szCs w:val="18"/>
        </w:rPr>
        <w:t>it was</w:t>
      </w:r>
      <w:r>
        <w:rPr>
          <w:sz w:val="18"/>
          <w:szCs w:val="18"/>
        </w:rPr>
        <w:t xml:space="preserve"> not reported on the same basis as other retailers.</w:t>
      </w:r>
    </w:p>
    <w:p w:rsidR="00234A3C" w:rsidRDefault="00234A3C" w:rsidP="00E664EE">
      <w:pPr>
        <w:spacing w:before="0" w:after="200"/>
      </w:pPr>
      <w:r>
        <w:t xml:space="preserve">In 2013-14 the number of complaints made to retailers in New South Wales more than doubled (over 7 per cent of energy customers), and the number made to retailers in South </w:t>
      </w:r>
      <w:r>
        <w:lastRenderedPageBreak/>
        <w:t xml:space="preserve">Australia increased by 48 per cent (over 10 per cent of energy customers). </w:t>
      </w:r>
      <w:r w:rsidR="00195731">
        <w:t>In the ACT the number of complaints made to retailers increased by 34 per cent (just under 3 per cent of energy customers).</w:t>
      </w:r>
      <w:r w:rsidR="0063289E">
        <w:rPr>
          <w:rStyle w:val="FootnoteReference"/>
        </w:rPr>
        <w:footnoteReference w:id="13"/>
      </w:r>
      <w:r w:rsidR="00195731">
        <w:t xml:space="preserve"> </w:t>
      </w:r>
    </w:p>
    <w:p w:rsidR="006D4655" w:rsidRDefault="00741FD2" w:rsidP="00E664EE">
      <w:pPr>
        <w:spacing w:before="0" w:after="200"/>
      </w:pPr>
      <w:r>
        <w:t>Billing continues to account</w:t>
      </w:r>
      <w:r w:rsidR="00195731">
        <w:t xml:space="preserve"> for most complaints – 43</w:t>
      </w:r>
      <w:r>
        <w:t xml:space="preserve"> per cent of complaints in N</w:t>
      </w:r>
      <w:r w:rsidR="00F63026">
        <w:t xml:space="preserve">ew </w:t>
      </w:r>
      <w:r>
        <w:t>S</w:t>
      </w:r>
      <w:r w:rsidR="00F63026">
        <w:t xml:space="preserve">outh </w:t>
      </w:r>
      <w:r>
        <w:t>W</w:t>
      </w:r>
      <w:r w:rsidR="00F63026">
        <w:t>ales</w:t>
      </w:r>
      <w:r>
        <w:t xml:space="preserve">, </w:t>
      </w:r>
      <w:r w:rsidR="00195731">
        <w:t xml:space="preserve">48 per cent in South Australia, 52 per cent in </w:t>
      </w:r>
      <w:r>
        <w:t>the ACT</w:t>
      </w:r>
      <w:r w:rsidR="00195731">
        <w:t xml:space="preserve"> and 77</w:t>
      </w:r>
      <w:r>
        <w:t xml:space="preserve"> per cent in Tasmania. Retailers that bill customers more frequently inevitably receive more complaints about bills and prices, and generally more customers contact their retailer following price increases.</w:t>
      </w:r>
      <w:r w:rsidR="00195731">
        <w:t xml:space="preserve"> </w:t>
      </w:r>
      <w:r w:rsidR="00F63026">
        <w:t>Complaints about marketing practices decreased by 21 per cent in New South Wales and increased by 19 per cent in South Australia.</w:t>
      </w:r>
    </w:p>
    <w:p w:rsidR="004C4931" w:rsidRDefault="004C4931" w:rsidP="00E664EE">
      <w:pPr>
        <w:spacing w:before="0" w:after="200"/>
      </w:pPr>
      <w:r>
        <w:t>The increase</w:t>
      </w:r>
      <w:r w:rsidR="00741FD2">
        <w:t xml:space="preserve"> in the number of ‘other</w:t>
      </w:r>
      <w:r>
        <w:t>’</w:t>
      </w:r>
      <w:r w:rsidR="00741FD2">
        <w:t xml:space="preserve"> complaints is a concern,</w:t>
      </w:r>
      <w:r>
        <w:t xml:space="preserve"> as this can be a sign of poor customer service</w:t>
      </w:r>
      <w:r w:rsidR="0067669B">
        <w:t xml:space="preserve"> (for example, a retailer’s failure to respond to the customer, incorrect advice, poor attitude or service)</w:t>
      </w:r>
      <w:r>
        <w:t>. This issue is also reflected in ombudsman reports, with the Energy and Water Ombudsman of New South Wales reporting a 21 per cent increase in complaints about customer service</w:t>
      </w:r>
      <w:r w:rsidR="00DE68DD">
        <w:t xml:space="preserve"> in 2013-14</w:t>
      </w:r>
      <w:r>
        <w:t>.</w:t>
      </w:r>
      <w:r>
        <w:rPr>
          <w:rStyle w:val="FootnoteReference"/>
        </w:rPr>
        <w:footnoteReference w:id="14"/>
      </w:r>
      <w:r>
        <w:t xml:space="preserve">  </w:t>
      </w:r>
      <w:r w:rsidR="00741FD2">
        <w:t xml:space="preserve"> </w:t>
      </w:r>
    </w:p>
    <w:p w:rsidR="00E664EE" w:rsidRDefault="00184411" w:rsidP="00E664EE">
      <w:pPr>
        <w:spacing w:before="0" w:after="200"/>
      </w:pPr>
      <w:r>
        <w:t xml:space="preserve">While </w:t>
      </w:r>
      <w:r w:rsidR="00E664EE">
        <w:t xml:space="preserve">the number of complaints may indicate customer satisfaction levels, the manner in which complaints are handled is perhaps a more effective measure of retailer performance. Retailers with effective customer service will resolve customer complaints when they are made to them. Customers may contact their energy ombudsman if their complaint is unresolved or dealt with unsatisfactorily. Table 2.3 compares the number of complaints reported by retailers with those referred to </w:t>
      </w:r>
      <w:r w:rsidR="00D82E56">
        <w:t>each</w:t>
      </w:r>
      <w:r w:rsidR="00E664EE">
        <w:t xml:space="preserve"> jurisdictional ombudsman scheme. </w:t>
      </w:r>
    </w:p>
    <w:p w:rsidR="00163F5C" w:rsidRDefault="007B7ECA" w:rsidP="00E664EE">
      <w:pPr>
        <w:spacing w:before="0" w:after="200"/>
      </w:pPr>
      <w:r>
        <w:t>Despite the 48 per cent increase in South Australia’s retailer</w:t>
      </w:r>
      <w:r w:rsidR="00E664EE">
        <w:t xml:space="preserve"> complaints in 2013-14, the number of complaints to the ombudsman decreased by 15 per cent</w:t>
      </w:r>
      <w:r w:rsidR="00E664EE">
        <w:rPr>
          <w:rStyle w:val="FootnoteReference"/>
        </w:rPr>
        <w:footnoteReference w:id="15"/>
      </w:r>
      <w:r>
        <w:t>—</w:t>
      </w:r>
      <w:r w:rsidR="00D82E56">
        <w:t xml:space="preserve">from 21 per cent in 2012-13 to 12 per cent in 2013-14. </w:t>
      </w:r>
    </w:p>
    <w:p w:rsidR="009F2035" w:rsidRDefault="009F2035" w:rsidP="009F2035">
      <w:r>
        <w:t>The number of complaints investigated (or referred to a higher level) by the New South Wales ombudsman increased by 8 per cent, however the increase is relatively small compared to the increase in complaints made to retailers. As a proportion of complaints made to retailers, ombudsman complaints decreased from 19 per cent in 2012-13 to 10 per cent in 2013-14.  </w:t>
      </w:r>
    </w:p>
    <w:p w:rsidR="00E664EE" w:rsidRPr="002849B1" w:rsidRDefault="005B506B" w:rsidP="00E664EE">
      <w:pPr>
        <w:spacing w:before="0" w:after="200"/>
      </w:pPr>
      <w:r>
        <w:t>Similarly, i</w:t>
      </w:r>
      <w:r w:rsidR="00E664EE">
        <w:t xml:space="preserve">n the ACT </w:t>
      </w:r>
      <w:r>
        <w:t xml:space="preserve">there was an 8 per cent increase </w:t>
      </w:r>
      <w:r w:rsidR="00FF36C0">
        <w:t xml:space="preserve">in </w:t>
      </w:r>
      <w:r w:rsidR="00E664EE">
        <w:t xml:space="preserve">complaints to the </w:t>
      </w:r>
      <w:r w:rsidR="0063289E">
        <w:t>ombudsman;</w:t>
      </w:r>
      <w:r>
        <w:t xml:space="preserve"> however these complaints</w:t>
      </w:r>
      <w:r w:rsidR="00E664EE">
        <w:t xml:space="preserve"> represented around 24 per cent of the complaints made to retailers</w:t>
      </w:r>
      <w:r w:rsidR="00195731">
        <w:t xml:space="preserve">, down from </w:t>
      </w:r>
      <w:r w:rsidR="00D82E56">
        <w:t>around 30</w:t>
      </w:r>
      <w:r w:rsidR="00195731">
        <w:t xml:space="preserve"> per cent in 2012-13</w:t>
      </w:r>
      <w:r w:rsidR="00E664EE">
        <w:t xml:space="preserve">.   </w:t>
      </w:r>
    </w:p>
    <w:p w:rsidR="00741FD2" w:rsidRDefault="00EE31A1">
      <w:pPr>
        <w:rPr>
          <w:b/>
        </w:rPr>
      </w:pPr>
      <w:r>
        <w:rPr>
          <w:rStyle w:val="Strong"/>
          <w:b w:val="0"/>
        </w:rPr>
        <w:t>In Tasmania the ombudsman received 334 complaints relating to Aurora Energy’s retail business – around 8 per cent of the number of complaints made to Aurora Energy.</w:t>
      </w:r>
      <w:r w:rsidR="00741FD2">
        <w:rPr>
          <w:b/>
        </w:rPr>
        <w:br w:type="page"/>
      </w:r>
    </w:p>
    <w:p w:rsidR="00E664EE" w:rsidRDefault="00E664EE" w:rsidP="00E664EE">
      <w:pPr>
        <w:spacing w:before="0" w:after="200"/>
      </w:pPr>
      <w:r>
        <w:rPr>
          <w:b/>
        </w:rPr>
        <w:lastRenderedPageBreak/>
        <w:t>Table 2.2: Small customer complaints made to each retailer and the respective ombudsman in 2013-14</w:t>
      </w:r>
    </w:p>
    <w:tbl>
      <w:tblPr>
        <w:tblStyle w:val="AERTable-Text"/>
        <w:tblW w:w="0" w:type="auto"/>
        <w:tblLook w:val="04A0" w:firstRow="1" w:lastRow="0" w:firstColumn="1" w:lastColumn="0" w:noHBand="0" w:noVBand="1"/>
      </w:tblPr>
      <w:tblGrid>
        <w:gridCol w:w="2310"/>
        <w:gridCol w:w="1909"/>
        <w:gridCol w:w="1843"/>
        <w:gridCol w:w="1590"/>
        <w:gridCol w:w="1590"/>
      </w:tblGrid>
      <w:tr w:rsidR="00E664EE" w:rsidTr="006E76B9">
        <w:trPr>
          <w:cnfStyle w:val="100000000000" w:firstRow="1" w:lastRow="0" w:firstColumn="0" w:lastColumn="0" w:oddVBand="0" w:evenVBand="0" w:oddHBand="0" w:evenHBand="0" w:firstRowFirstColumn="0" w:firstRowLastColumn="0" w:lastRowFirstColumn="0" w:lastRowLastColumn="0"/>
          <w:trHeight w:val="567"/>
        </w:trPr>
        <w:tc>
          <w:tcPr>
            <w:tcW w:w="2310" w:type="dxa"/>
          </w:tcPr>
          <w:p w:rsidR="00E664EE" w:rsidRDefault="00E664EE" w:rsidP="00E664EE">
            <w:pPr>
              <w:spacing w:after="200" w:line="276" w:lineRule="auto"/>
            </w:pPr>
            <w:r>
              <w:br/>
              <w:t>Retailer</w:t>
            </w:r>
          </w:p>
        </w:tc>
        <w:tc>
          <w:tcPr>
            <w:tcW w:w="1909" w:type="dxa"/>
          </w:tcPr>
          <w:p w:rsidR="00E664EE" w:rsidRDefault="00E664EE" w:rsidP="00E664EE">
            <w:pPr>
              <w:spacing w:after="200" w:line="276" w:lineRule="auto"/>
              <w:jc w:val="right"/>
            </w:pPr>
            <w:r>
              <w:t>Complaints to retailer</w:t>
            </w:r>
          </w:p>
        </w:tc>
        <w:tc>
          <w:tcPr>
            <w:tcW w:w="1843" w:type="dxa"/>
          </w:tcPr>
          <w:p w:rsidR="00E664EE" w:rsidRDefault="00E664EE" w:rsidP="00E664EE">
            <w:pPr>
              <w:spacing w:after="200" w:line="276" w:lineRule="auto"/>
              <w:jc w:val="right"/>
            </w:pPr>
            <w:r>
              <w:t>Complaints to ombudsman*</w:t>
            </w:r>
          </w:p>
        </w:tc>
        <w:tc>
          <w:tcPr>
            <w:tcW w:w="3180" w:type="dxa"/>
            <w:gridSpan w:val="2"/>
          </w:tcPr>
          <w:p w:rsidR="00E664EE" w:rsidRDefault="00E664EE" w:rsidP="00E664EE">
            <w:pPr>
              <w:spacing w:after="200" w:line="276" w:lineRule="auto"/>
              <w:jc w:val="right"/>
            </w:pPr>
            <w:r>
              <w:t>Ombudsman complaints as % of total complaints</w:t>
            </w:r>
            <w:r w:rsidR="00A72524">
              <w:br/>
              <w:t>(Change since 2012-13)</w:t>
            </w:r>
          </w:p>
        </w:tc>
      </w:tr>
      <w:tr w:rsidR="00A72524" w:rsidTr="006E76B9">
        <w:tc>
          <w:tcPr>
            <w:tcW w:w="2310" w:type="dxa"/>
          </w:tcPr>
          <w:p w:rsidR="00A72524" w:rsidRPr="005A319D" w:rsidRDefault="00A72524" w:rsidP="00E664EE">
            <w:pPr>
              <w:rPr>
                <w:b/>
                <w:i/>
              </w:rPr>
            </w:pPr>
            <w:r w:rsidRPr="005A319D">
              <w:rPr>
                <w:b/>
                <w:i/>
              </w:rPr>
              <w:t>South Australia</w:t>
            </w:r>
          </w:p>
        </w:tc>
        <w:tc>
          <w:tcPr>
            <w:tcW w:w="1909" w:type="dxa"/>
          </w:tcPr>
          <w:p w:rsidR="00A72524" w:rsidRPr="00E664EE" w:rsidRDefault="00A72524" w:rsidP="00E664EE">
            <w:pPr>
              <w:jc w:val="right"/>
              <w:rPr>
                <w:b/>
              </w:rPr>
            </w:pPr>
          </w:p>
        </w:tc>
        <w:tc>
          <w:tcPr>
            <w:tcW w:w="1843" w:type="dxa"/>
          </w:tcPr>
          <w:p w:rsidR="00A72524" w:rsidRPr="00E664EE" w:rsidRDefault="00A72524" w:rsidP="00E664EE">
            <w:pPr>
              <w:jc w:val="right"/>
              <w:rPr>
                <w:b/>
              </w:rPr>
            </w:pPr>
          </w:p>
        </w:tc>
        <w:tc>
          <w:tcPr>
            <w:tcW w:w="1590" w:type="dxa"/>
          </w:tcPr>
          <w:p w:rsidR="00A72524" w:rsidRPr="00E664EE" w:rsidRDefault="00A72524" w:rsidP="00E664EE">
            <w:pPr>
              <w:jc w:val="right"/>
              <w:rPr>
                <w:b/>
              </w:rPr>
            </w:pPr>
          </w:p>
        </w:tc>
        <w:tc>
          <w:tcPr>
            <w:tcW w:w="1590" w:type="dxa"/>
          </w:tcPr>
          <w:p w:rsidR="00A72524" w:rsidRPr="00E664EE" w:rsidRDefault="00A72524" w:rsidP="00E664EE">
            <w:pPr>
              <w:jc w:val="right"/>
              <w:rPr>
                <w:b/>
              </w:rPr>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AGL</w:t>
            </w:r>
          </w:p>
        </w:tc>
        <w:tc>
          <w:tcPr>
            <w:tcW w:w="1909" w:type="dxa"/>
          </w:tcPr>
          <w:p w:rsidR="00A72524" w:rsidRPr="00E664EE" w:rsidRDefault="00A72524" w:rsidP="00E664EE">
            <w:pPr>
              <w:jc w:val="right"/>
            </w:pPr>
            <w:r w:rsidRPr="00E664EE">
              <w:t>40 173</w:t>
            </w:r>
          </w:p>
        </w:tc>
        <w:tc>
          <w:tcPr>
            <w:tcW w:w="1843" w:type="dxa"/>
          </w:tcPr>
          <w:p w:rsidR="00A72524" w:rsidRPr="00E664EE" w:rsidRDefault="00A72524" w:rsidP="00E664EE">
            <w:pPr>
              <w:jc w:val="right"/>
            </w:pPr>
            <w:r w:rsidRPr="00E664EE">
              <w:t>2 502</w:t>
            </w:r>
          </w:p>
        </w:tc>
        <w:tc>
          <w:tcPr>
            <w:tcW w:w="1590" w:type="dxa"/>
          </w:tcPr>
          <w:p w:rsidR="00A72524" w:rsidRPr="00E664EE" w:rsidRDefault="00A72524" w:rsidP="00E664EE">
            <w:pPr>
              <w:jc w:val="right"/>
            </w:pPr>
            <w:r w:rsidRPr="00E664EE">
              <w:t>6.23%</w:t>
            </w:r>
          </w:p>
        </w:tc>
        <w:tc>
          <w:tcPr>
            <w:tcW w:w="1590" w:type="dxa"/>
          </w:tcPr>
          <w:p w:rsidR="00A72524" w:rsidRPr="00A72524" w:rsidRDefault="00A72524" w:rsidP="00A72524">
            <w:pPr>
              <w:jc w:val="right"/>
            </w:pPr>
            <w:r w:rsidRPr="00A72524">
              <w:t>(-5.36)</w:t>
            </w:r>
          </w:p>
        </w:tc>
      </w:tr>
      <w:tr w:rsidR="00A72524" w:rsidTr="006E76B9">
        <w:tc>
          <w:tcPr>
            <w:tcW w:w="2310" w:type="dxa"/>
          </w:tcPr>
          <w:p w:rsidR="00A72524" w:rsidRPr="00E664EE" w:rsidRDefault="00A72524" w:rsidP="00E664EE">
            <w:pPr>
              <w:rPr>
                <w:b/>
              </w:rPr>
            </w:pPr>
            <w:r w:rsidRPr="00E664EE">
              <w:t>Alinta Energy</w:t>
            </w:r>
          </w:p>
        </w:tc>
        <w:tc>
          <w:tcPr>
            <w:tcW w:w="1909" w:type="dxa"/>
          </w:tcPr>
          <w:p w:rsidR="00A72524" w:rsidRPr="00E664EE" w:rsidRDefault="00A72524" w:rsidP="00E664EE">
            <w:pPr>
              <w:jc w:val="right"/>
            </w:pPr>
            <w:r w:rsidRPr="00E664EE">
              <w:t>1 585</w:t>
            </w:r>
          </w:p>
        </w:tc>
        <w:tc>
          <w:tcPr>
            <w:tcW w:w="1843" w:type="dxa"/>
          </w:tcPr>
          <w:p w:rsidR="00A72524" w:rsidRPr="00E664EE" w:rsidRDefault="00A72524" w:rsidP="00E664EE">
            <w:pPr>
              <w:jc w:val="right"/>
            </w:pPr>
            <w:r w:rsidRPr="00E664EE">
              <w:t>293</w:t>
            </w:r>
          </w:p>
        </w:tc>
        <w:tc>
          <w:tcPr>
            <w:tcW w:w="1590" w:type="dxa"/>
          </w:tcPr>
          <w:p w:rsidR="00A72524" w:rsidRPr="00E664EE" w:rsidRDefault="00A72524" w:rsidP="00E664EE">
            <w:pPr>
              <w:jc w:val="right"/>
            </w:pPr>
            <w:r w:rsidRPr="00E664EE">
              <w:t>18.49%</w:t>
            </w:r>
          </w:p>
        </w:tc>
        <w:tc>
          <w:tcPr>
            <w:tcW w:w="1590" w:type="dxa"/>
          </w:tcPr>
          <w:p w:rsidR="00A72524" w:rsidRPr="00A72524" w:rsidRDefault="00A72524" w:rsidP="00A72524">
            <w:pPr>
              <w:jc w:val="right"/>
            </w:pPr>
            <w:r w:rsidRPr="00A72524">
              <w:t>(-14.32)</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Diamond Energy</w:t>
            </w:r>
          </w:p>
        </w:tc>
        <w:tc>
          <w:tcPr>
            <w:tcW w:w="1909" w:type="dxa"/>
          </w:tcPr>
          <w:p w:rsidR="00A72524" w:rsidRPr="00E664EE" w:rsidRDefault="00A72524" w:rsidP="00E664EE">
            <w:pPr>
              <w:jc w:val="right"/>
            </w:pPr>
            <w:r w:rsidRPr="00E664EE">
              <w:t>11</w:t>
            </w:r>
          </w:p>
        </w:tc>
        <w:tc>
          <w:tcPr>
            <w:tcW w:w="1843" w:type="dxa"/>
          </w:tcPr>
          <w:p w:rsidR="00A72524" w:rsidRPr="00E664EE" w:rsidRDefault="00A72524" w:rsidP="00E664EE">
            <w:pPr>
              <w:jc w:val="right"/>
            </w:pPr>
            <w:r w:rsidRPr="00E664EE">
              <w:t>3</w:t>
            </w:r>
          </w:p>
        </w:tc>
        <w:tc>
          <w:tcPr>
            <w:tcW w:w="1590" w:type="dxa"/>
          </w:tcPr>
          <w:p w:rsidR="00A72524" w:rsidRPr="00E664EE" w:rsidRDefault="00A72524" w:rsidP="00E664EE">
            <w:pPr>
              <w:jc w:val="right"/>
            </w:pPr>
            <w:r w:rsidRPr="00E664EE">
              <w:t>27.27%</w:t>
            </w:r>
          </w:p>
        </w:tc>
        <w:tc>
          <w:tcPr>
            <w:tcW w:w="1590" w:type="dxa"/>
          </w:tcPr>
          <w:p w:rsidR="00A72524" w:rsidRPr="00A72524" w:rsidRDefault="00A72524" w:rsidP="00A72524">
            <w:pPr>
              <w:jc w:val="right"/>
            </w:pPr>
            <w:r w:rsidRPr="00A72524">
              <w:t>(+27.27)</w:t>
            </w:r>
          </w:p>
        </w:tc>
      </w:tr>
      <w:tr w:rsidR="00A72524" w:rsidTr="006E76B9">
        <w:tc>
          <w:tcPr>
            <w:tcW w:w="2310" w:type="dxa"/>
          </w:tcPr>
          <w:p w:rsidR="00A72524" w:rsidRPr="00E664EE" w:rsidRDefault="00A72524" w:rsidP="00E664EE">
            <w:pPr>
              <w:rPr>
                <w:b/>
              </w:rPr>
            </w:pPr>
            <w:r w:rsidRPr="00E664EE">
              <w:t>EnergyAustralia</w:t>
            </w:r>
          </w:p>
        </w:tc>
        <w:tc>
          <w:tcPr>
            <w:tcW w:w="1909" w:type="dxa"/>
          </w:tcPr>
          <w:p w:rsidR="00A72524" w:rsidRPr="00E664EE" w:rsidRDefault="00A72524" w:rsidP="00E664EE">
            <w:pPr>
              <w:jc w:val="right"/>
            </w:pPr>
            <w:r w:rsidRPr="00E664EE">
              <w:t>12 392</w:t>
            </w:r>
          </w:p>
        </w:tc>
        <w:tc>
          <w:tcPr>
            <w:tcW w:w="1843" w:type="dxa"/>
          </w:tcPr>
          <w:p w:rsidR="00A72524" w:rsidRPr="00E664EE" w:rsidRDefault="00A72524" w:rsidP="00E664EE">
            <w:pPr>
              <w:jc w:val="right"/>
            </w:pPr>
            <w:r w:rsidRPr="00E664EE">
              <w:t>3 013</w:t>
            </w:r>
          </w:p>
        </w:tc>
        <w:tc>
          <w:tcPr>
            <w:tcW w:w="1590" w:type="dxa"/>
          </w:tcPr>
          <w:p w:rsidR="00A72524" w:rsidRPr="00E664EE" w:rsidRDefault="00A72524" w:rsidP="00E664EE">
            <w:pPr>
              <w:jc w:val="right"/>
            </w:pPr>
            <w:r w:rsidRPr="00E664EE">
              <w:t>24.31%</w:t>
            </w:r>
          </w:p>
        </w:tc>
        <w:tc>
          <w:tcPr>
            <w:tcW w:w="1590" w:type="dxa"/>
          </w:tcPr>
          <w:p w:rsidR="00A72524" w:rsidRPr="00A72524" w:rsidRDefault="00A72524" w:rsidP="00A72524">
            <w:pPr>
              <w:jc w:val="right"/>
            </w:pPr>
            <w:r w:rsidRPr="00A72524">
              <w:t>(-0.65)</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Lumo Energy</w:t>
            </w:r>
          </w:p>
        </w:tc>
        <w:tc>
          <w:tcPr>
            <w:tcW w:w="1909" w:type="dxa"/>
          </w:tcPr>
          <w:p w:rsidR="00A72524" w:rsidRPr="00E664EE" w:rsidRDefault="00A72524" w:rsidP="00E664EE">
            <w:pPr>
              <w:jc w:val="right"/>
            </w:pPr>
            <w:r w:rsidRPr="00E664EE">
              <w:t>2 940</w:t>
            </w:r>
          </w:p>
        </w:tc>
        <w:tc>
          <w:tcPr>
            <w:tcW w:w="1843" w:type="dxa"/>
          </w:tcPr>
          <w:p w:rsidR="00A72524" w:rsidRPr="00E664EE" w:rsidRDefault="00A72524" w:rsidP="00E664EE">
            <w:pPr>
              <w:jc w:val="right"/>
            </w:pPr>
            <w:r w:rsidRPr="00E664EE">
              <w:t>395</w:t>
            </w:r>
          </w:p>
        </w:tc>
        <w:tc>
          <w:tcPr>
            <w:tcW w:w="1590" w:type="dxa"/>
          </w:tcPr>
          <w:p w:rsidR="00A72524" w:rsidRPr="00E664EE" w:rsidRDefault="00A72524" w:rsidP="00E664EE">
            <w:pPr>
              <w:jc w:val="right"/>
            </w:pPr>
            <w:r w:rsidRPr="00E664EE">
              <w:t>13.44%</w:t>
            </w:r>
          </w:p>
        </w:tc>
        <w:tc>
          <w:tcPr>
            <w:tcW w:w="1590" w:type="dxa"/>
          </w:tcPr>
          <w:p w:rsidR="00A72524" w:rsidRPr="00A72524" w:rsidRDefault="00A72524" w:rsidP="00A72524">
            <w:pPr>
              <w:jc w:val="right"/>
            </w:pPr>
            <w:r w:rsidRPr="00A72524">
              <w:t>(-14.31)</w:t>
            </w:r>
          </w:p>
        </w:tc>
      </w:tr>
      <w:tr w:rsidR="00A72524" w:rsidTr="006E76B9">
        <w:tc>
          <w:tcPr>
            <w:tcW w:w="2310" w:type="dxa"/>
          </w:tcPr>
          <w:p w:rsidR="00A72524" w:rsidRPr="00E664EE" w:rsidRDefault="00A72524" w:rsidP="00E664EE">
            <w:pPr>
              <w:rPr>
                <w:b/>
              </w:rPr>
            </w:pPr>
            <w:r w:rsidRPr="00E664EE">
              <w:t>Momentum Energy</w:t>
            </w:r>
          </w:p>
        </w:tc>
        <w:tc>
          <w:tcPr>
            <w:tcW w:w="1909" w:type="dxa"/>
          </w:tcPr>
          <w:p w:rsidR="00A72524" w:rsidRPr="00E664EE" w:rsidRDefault="00A72524" w:rsidP="00E664EE">
            <w:pPr>
              <w:jc w:val="right"/>
            </w:pPr>
            <w:r w:rsidRPr="00E664EE">
              <w:t>610</w:t>
            </w:r>
          </w:p>
        </w:tc>
        <w:tc>
          <w:tcPr>
            <w:tcW w:w="1843" w:type="dxa"/>
          </w:tcPr>
          <w:p w:rsidR="00A72524" w:rsidRPr="00E664EE" w:rsidRDefault="00A72524" w:rsidP="00E664EE">
            <w:pPr>
              <w:jc w:val="right"/>
            </w:pPr>
            <w:r w:rsidRPr="00E664EE">
              <w:t>77</w:t>
            </w:r>
          </w:p>
        </w:tc>
        <w:tc>
          <w:tcPr>
            <w:tcW w:w="1590" w:type="dxa"/>
          </w:tcPr>
          <w:p w:rsidR="00A72524" w:rsidRPr="00E664EE" w:rsidRDefault="00A72524" w:rsidP="00E664EE">
            <w:pPr>
              <w:jc w:val="right"/>
            </w:pPr>
            <w:r w:rsidRPr="00E664EE">
              <w:t>12.62%</w:t>
            </w:r>
          </w:p>
        </w:tc>
        <w:tc>
          <w:tcPr>
            <w:tcW w:w="1590" w:type="dxa"/>
          </w:tcPr>
          <w:p w:rsidR="00A72524" w:rsidRPr="00A72524" w:rsidRDefault="00A72524" w:rsidP="00A72524">
            <w:pPr>
              <w:jc w:val="right"/>
            </w:pPr>
            <w:r w:rsidRPr="00A72524">
              <w:t>(-6.09)</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Origin Energy</w:t>
            </w:r>
          </w:p>
        </w:tc>
        <w:tc>
          <w:tcPr>
            <w:tcW w:w="1909" w:type="dxa"/>
          </w:tcPr>
          <w:p w:rsidR="00A72524" w:rsidRPr="00E664EE" w:rsidRDefault="00A72524" w:rsidP="00E664EE">
            <w:pPr>
              <w:jc w:val="right"/>
            </w:pPr>
            <w:r w:rsidRPr="00E664EE">
              <w:t>21 674</w:t>
            </w:r>
          </w:p>
        </w:tc>
        <w:tc>
          <w:tcPr>
            <w:tcW w:w="1843" w:type="dxa"/>
          </w:tcPr>
          <w:p w:rsidR="00A72524" w:rsidRPr="00E664EE" w:rsidRDefault="00A72524" w:rsidP="00E664EE">
            <w:pPr>
              <w:jc w:val="right"/>
            </w:pPr>
            <w:r w:rsidRPr="00E664EE">
              <w:t>2 515</w:t>
            </w:r>
          </w:p>
        </w:tc>
        <w:tc>
          <w:tcPr>
            <w:tcW w:w="1590" w:type="dxa"/>
          </w:tcPr>
          <w:p w:rsidR="00A72524" w:rsidRPr="00E664EE" w:rsidRDefault="00A72524" w:rsidP="00E664EE">
            <w:pPr>
              <w:jc w:val="right"/>
            </w:pPr>
            <w:r w:rsidRPr="00E664EE">
              <w:t>11.60%</w:t>
            </w:r>
          </w:p>
        </w:tc>
        <w:tc>
          <w:tcPr>
            <w:tcW w:w="1590" w:type="dxa"/>
          </w:tcPr>
          <w:p w:rsidR="00A72524" w:rsidRPr="00A72524" w:rsidRDefault="00A72524" w:rsidP="00A72524">
            <w:pPr>
              <w:jc w:val="right"/>
            </w:pPr>
            <w:r w:rsidRPr="00A72524">
              <w:t>(-13.31)</w:t>
            </w:r>
          </w:p>
        </w:tc>
      </w:tr>
      <w:tr w:rsidR="00A72524" w:rsidTr="006E76B9">
        <w:tc>
          <w:tcPr>
            <w:tcW w:w="2310" w:type="dxa"/>
          </w:tcPr>
          <w:p w:rsidR="00A72524" w:rsidRPr="00E664EE" w:rsidRDefault="00A72524" w:rsidP="00E664EE">
            <w:pPr>
              <w:rPr>
                <w:b/>
              </w:rPr>
            </w:pPr>
            <w:r w:rsidRPr="00E664EE">
              <w:t>Powerdirect</w:t>
            </w:r>
          </w:p>
        </w:tc>
        <w:tc>
          <w:tcPr>
            <w:tcW w:w="1909" w:type="dxa"/>
          </w:tcPr>
          <w:p w:rsidR="00A72524" w:rsidRPr="00E664EE" w:rsidRDefault="00A72524" w:rsidP="00E664EE">
            <w:pPr>
              <w:jc w:val="right"/>
            </w:pPr>
            <w:r w:rsidRPr="00E664EE">
              <w:t>4 723</w:t>
            </w:r>
          </w:p>
        </w:tc>
        <w:tc>
          <w:tcPr>
            <w:tcW w:w="1843" w:type="dxa"/>
          </w:tcPr>
          <w:p w:rsidR="00A72524" w:rsidRPr="00E664EE" w:rsidRDefault="00A72524" w:rsidP="00E664EE">
            <w:pPr>
              <w:jc w:val="right"/>
            </w:pPr>
            <w:r w:rsidRPr="00E664EE">
              <w:t>213</w:t>
            </w:r>
          </w:p>
        </w:tc>
        <w:tc>
          <w:tcPr>
            <w:tcW w:w="1590" w:type="dxa"/>
          </w:tcPr>
          <w:p w:rsidR="00A72524" w:rsidRPr="00E664EE" w:rsidRDefault="00A72524" w:rsidP="00E664EE">
            <w:pPr>
              <w:jc w:val="right"/>
            </w:pPr>
            <w:r w:rsidRPr="00E664EE">
              <w:t>4.51%</w:t>
            </w:r>
          </w:p>
        </w:tc>
        <w:tc>
          <w:tcPr>
            <w:tcW w:w="1590" w:type="dxa"/>
          </w:tcPr>
          <w:p w:rsidR="00A72524" w:rsidRPr="00A72524" w:rsidRDefault="00A72524" w:rsidP="00A72524">
            <w:pPr>
              <w:jc w:val="right"/>
            </w:pPr>
            <w:r w:rsidRPr="00A72524">
              <w:t>(-54.53)</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QEnergy</w:t>
            </w:r>
          </w:p>
        </w:tc>
        <w:tc>
          <w:tcPr>
            <w:tcW w:w="1909" w:type="dxa"/>
          </w:tcPr>
          <w:p w:rsidR="00A72524" w:rsidRPr="00E664EE" w:rsidRDefault="00A72524" w:rsidP="00E664EE">
            <w:pPr>
              <w:jc w:val="right"/>
            </w:pPr>
            <w:r w:rsidRPr="00E664EE">
              <w:t>21</w:t>
            </w:r>
          </w:p>
        </w:tc>
        <w:tc>
          <w:tcPr>
            <w:tcW w:w="1843" w:type="dxa"/>
          </w:tcPr>
          <w:p w:rsidR="00A72524" w:rsidRPr="00E664EE" w:rsidRDefault="00A72524" w:rsidP="00E664EE">
            <w:pPr>
              <w:jc w:val="right"/>
            </w:pPr>
            <w:r w:rsidRPr="00E664EE">
              <w:t>10</w:t>
            </w:r>
          </w:p>
        </w:tc>
        <w:tc>
          <w:tcPr>
            <w:tcW w:w="1590" w:type="dxa"/>
          </w:tcPr>
          <w:p w:rsidR="00A72524" w:rsidRPr="00E664EE" w:rsidRDefault="00A72524" w:rsidP="00E664EE">
            <w:pPr>
              <w:jc w:val="right"/>
            </w:pPr>
            <w:r w:rsidRPr="00E664EE">
              <w:t>47.62%</w:t>
            </w:r>
          </w:p>
        </w:tc>
        <w:tc>
          <w:tcPr>
            <w:tcW w:w="1590" w:type="dxa"/>
          </w:tcPr>
          <w:p w:rsidR="00A72524" w:rsidRPr="00A72524" w:rsidRDefault="00A72524" w:rsidP="00A72524">
            <w:pPr>
              <w:jc w:val="right"/>
            </w:pPr>
            <w:r w:rsidRPr="00A72524">
              <w:t>(+47.62)</w:t>
            </w:r>
          </w:p>
        </w:tc>
      </w:tr>
      <w:tr w:rsidR="00A72524" w:rsidTr="006E76B9">
        <w:tc>
          <w:tcPr>
            <w:tcW w:w="2310" w:type="dxa"/>
          </w:tcPr>
          <w:p w:rsidR="00A72524" w:rsidRPr="00E664EE" w:rsidRDefault="00A72524" w:rsidP="00E664EE">
            <w:pPr>
              <w:rPr>
                <w:b/>
              </w:rPr>
            </w:pPr>
            <w:r w:rsidRPr="00E664EE">
              <w:t>Red Energy</w:t>
            </w:r>
          </w:p>
        </w:tc>
        <w:tc>
          <w:tcPr>
            <w:tcW w:w="1909" w:type="dxa"/>
          </w:tcPr>
          <w:p w:rsidR="00A72524" w:rsidRPr="00E664EE" w:rsidRDefault="00A72524" w:rsidP="00E664EE">
            <w:pPr>
              <w:jc w:val="right"/>
            </w:pPr>
            <w:r w:rsidRPr="00E664EE">
              <w:t>135</w:t>
            </w:r>
          </w:p>
        </w:tc>
        <w:tc>
          <w:tcPr>
            <w:tcW w:w="1843" w:type="dxa"/>
          </w:tcPr>
          <w:p w:rsidR="00A72524" w:rsidRPr="00E664EE" w:rsidRDefault="00A72524" w:rsidP="00E664EE">
            <w:pPr>
              <w:jc w:val="right"/>
            </w:pPr>
            <w:r w:rsidRPr="00E664EE">
              <w:t>14</w:t>
            </w:r>
          </w:p>
        </w:tc>
        <w:tc>
          <w:tcPr>
            <w:tcW w:w="1590" w:type="dxa"/>
          </w:tcPr>
          <w:p w:rsidR="00A72524" w:rsidRPr="00E664EE" w:rsidRDefault="00A72524" w:rsidP="00E664EE">
            <w:pPr>
              <w:jc w:val="right"/>
            </w:pPr>
            <w:r w:rsidRPr="00E664EE">
              <w:t>10.37%</w:t>
            </w:r>
          </w:p>
        </w:tc>
        <w:tc>
          <w:tcPr>
            <w:tcW w:w="1590" w:type="dxa"/>
          </w:tcPr>
          <w:p w:rsidR="00A72524" w:rsidRPr="00A72524" w:rsidRDefault="00A72524" w:rsidP="00A72524">
            <w:pPr>
              <w:jc w:val="right"/>
            </w:pPr>
            <w:r w:rsidRPr="00A72524">
              <w:t>(-14.63)</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Sanctuary Energy</w:t>
            </w:r>
          </w:p>
        </w:tc>
        <w:tc>
          <w:tcPr>
            <w:tcW w:w="1909" w:type="dxa"/>
          </w:tcPr>
          <w:p w:rsidR="00A72524" w:rsidRPr="00E664EE" w:rsidRDefault="00A72524" w:rsidP="00E664EE">
            <w:pPr>
              <w:jc w:val="right"/>
            </w:pPr>
            <w:r w:rsidRPr="00E664EE">
              <w:t>61</w:t>
            </w:r>
          </w:p>
        </w:tc>
        <w:tc>
          <w:tcPr>
            <w:tcW w:w="1843" w:type="dxa"/>
          </w:tcPr>
          <w:p w:rsidR="00A72524" w:rsidRPr="00E664EE" w:rsidRDefault="00A72524" w:rsidP="00E664EE">
            <w:pPr>
              <w:jc w:val="right"/>
            </w:pPr>
            <w:r w:rsidRPr="00E664EE">
              <w:t>33</w:t>
            </w:r>
          </w:p>
        </w:tc>
        <w:tc>
          <w:tcPr>
            <w:tcW w:w="1590" w:type="dxa"/>
          </w:tcPr>
          <w:p w:rsidR="00A72524" w:rsidRPr="00E664EE" w:rsidRDefault="00A72524" w:rsidP="00E664EE">
            <w:pPr>
              <w:jc w:val="right"/>
            </w:pPr>
            <w:r w:rsidRPr="00E664EE">
              <w:t>54.10%</w:t>
            </w:r>
          </w:p>
        </w:tc>
        <w:tc>
          <w:tcPr>
            <w:tcW w:w="1590" w:type="dxa"/>
          </w:tcPr>
          <w:p w:rsidR="00A72524" w:rsidRPr="00A72524" w:rsidRDefault="00A72524" w:rsidP="00A72524">
            <w:pPr>
              <w:jc w:val="right"/>
            </w:pPr>
            <w:r w:rsidRPr="00A72524">
              <w:t>(-31.61)</w:t>
            </w:r>
          </w:p>
        </w:tc>
      </w:tr>
      <w:tr w:rsidR="00A72524" w:rsidTr="006E76B9">
        <w:tc>
          <w:tcPr>
            <w:tcW w:w="2310" w:type="dxa"/>
          </w:tcPr>
          <w:p w:rsidR="00A72524" w:rsidRPr="00E664EE" w:rsidRDefault="00A72524" w:rsidP="00E664EE">
            <w:pPr>
              <w:rPr>
                <w:b/>
              </w:rPr>
            </w:pPr>
            <w:r w:rsidRPr="00E664EE">
              <w:t>Simply Energy</w:t>
            </w:r>
          </w:p>
        </w:tc>
        <w:tc>
          <w:tcPr>
            <w:tcW w:w="1909" w:type="dxa"/>
          </w:tcPr>
          <w:p w:rsidR="00A72524" w:rsidRPr="00E664EE" w:rsidRDefault="00A72524" w:rsidP="00E664EE">
            <w:pPr>
              <w:jc w:val="right"/>
            </w:pPr>
            <w:r w:rsidRPr="00E664EE">
              <w:t>3 094</w:t>
            </w:r>
          </w:p>
        </w:tc>
        <w:tc>
          <w:tcPr>
            <w:tcW w:w="1843" w:type="dxa"/>
          </w:tcPr>
          <w:p w:rsidR="00A72524" w:rsidRPr="00E664EE" w:rsidRDefault="00A72524" w:rsidP="00E664EE">
            <w:pPr>
              <w:jc w:val="right"/>
            </w:pPr>
            <w:r w:rsidRPr="00E664EE">
              <w:t>1 369</w:t>
            </w:r>
          </w:p>
        </w:tc>
        <w:tc>
          <w:tcPr>
            <w:tcW w:w="1590" w:type="dxa"/>
          </w:tcPr>
          <w:p w:rsidR="00A72524" w:rsidRPr="00E664EE" w:rsidRDefault="00A72524" w:rsidP="00E664EE">
            <w:pPr>
              <w:jc w:val="right"/>
            </w:pPr>
            <w:r w:rsidRPr="00E664EE">
              <w:t>44.25%</w:t>
            </w:r>
          </w:p>
        </w:tc>
        <w:tc>
          <w:tcPr>
            <w:tcW w:w="1590" w:type="dxa"/>
          </w:tcPr>
          <w:p w:rsidR="00A72524" w:rsidRPr="00A72524" w:rsidRDefault="00A72524" w:rsidP="00A72524">
            <w:pPr>
              <w:jc w:val="right"/>
            </w:pPr>
            <w:r w:rsidRPr="00A72524">
              <w:t>(-13.81)</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5A319D" w:rsidRDefault="00A72524" w:rsidP="00E664EE">
            <w:pPr>
              <w:rPr>
                <w:b/>
              </w:rPr>
            </w:pPr>
            <w:r w:rsidRPr="005A319D">
              <w:rPr>
                <w:b/>
              </w:rPr>
              <w:t>TOTAL SA</w:t>
            </w:r>
          </w:p>
        </w:tc>
        <w:tc>
          <w:tcPr>
            <w:tcW w:w="1909" w:type="dxa"/>
          </w:tcPr>
          <w:p w:rsidR="00A72524" w:rsidRPr="00E664EE" w:rsidRDefault="00A72524" w:rsidP="00E664EE">
            <w:pPr>
              <w:jc w:val="right"/>
              <w:rPr>
                <w:b/>
              </w:rPr>
            </w:pPr>
            <w:r w:rsidRPr="00E664EE">
              <w:rPr>
                <w:b/>
              </w:rPr>
              <w:t>87 419</w:t>
            </w:r>
          </w:p>
        </w:tc>
        <w:tc>
          <w:tcPr>
            <w:tcW w:w="1843" w:type="dxa"/>
          </w:tcPr>
          <w:p w:rsidR="00A72524" w:rsidRPr="00E664EE" w:rsidRDefault="00A72524" w:rsidP="00E664EE">
            <w:pPr>
              <w:jc w:val="right"/>
              <w:rPr>
                <w:b/>
              </w:rPr>
            </w:pPr>
            <w:r w:rsidRPr="00E664EE">
              <w:rPr>
                <w:b/>
              </w:rPr>
              <w:t>10 437</w:t>
            </w:r>
          </w:p>
        </w:tc>
        <w:tc>
          <w:tcPr>
            <w:tcW w:w="1590" w:type="dxa"/>
          </w:tcPr>
          <w:p w:rsidR="00A72524" w:rsidRPr="00E664EE" w:rsidRDefault="00A72524" w:rsidP="00E664EE">
            <w:pPr>
              <w:jc w:val="right"/>
              <w:rPr>
                <w:b/>
              </w:rPr>
            </w:pPr>
            <w:r w:rsidRPr="00E664EE">
              <w:rPr>
                <w:b/>
              </w:rPr>
              <w:t>11.94%</w:t>
            </w:r>
          </w:p>
        </w:tc>
        <w:tc>
          <w:tcPr>
            <w:tcW w:w="1590" w:type="dxa"/>
          </w:tcPr>
          <w:p w:rsidR="00A72524" w:rsidRPr="00A72524" w:rsidRDefault="00A72524" w:rsidP="00A72524">
            <w:pPr>
              <w:jc w:val="right"/>
              <w:rPr>
                <w:b/>
              </w:rPr>
            </w:pPr>
            <w:r w:rsidRPr="00A72524">
              <w:rPr>
                <w:b/>
              </w:rPr>
              <w:t>(-9.03)</w:t>
            </w:r>
          </w:p>
        </w:tc>
      </w:tr>
      <w:tr w:rsidR="00A72524" w:rsidTr="006E76B9">
        <w:tc>
          <w:tcPr>
            <w:tcW w:w="2310" w:type="dxa"/>
          </w:tcPr>
          <w:p w:rsidR="00A72524" w:rsidRPr="005A319D" w:rsidRDefault="00A72524" w:rsidP="00E664EE">
            <w:pPr>
              <w:rPr>
                <w:b/>
                <w:i/>
              </w:rPr>
            </w:pPr>
            <w:r w:rsidRPr="005A319D">
              <w:rPr>
                <w:b/>
                <w:i/>
              </w:rPr>
              <w:t>ACT</w:t>
            </w:r>
          </w:p>
        </w:tc>
        <w:tc>
          <w:tcPr>
            <w:tcW w:w="1909" w:type="dxa"/>
          </w:tcPr>
          <w:p w:rsidR="00A72524" w:rsidRPr="00E664EE" w:rsidRDefault="00A72524" w:rsidP="00E664EE">
            <w:pPr>
              <w:jc w:val="right"/>
              <w:rPr>
                <w:b/>
              </w:rPr>
            </w:pPr>
          </w:p>
        </w:tc>
        <w:tc>
          <w:tcPr>
            <w:tcW w:w="1843" w:type="dxa"/>
          </w:tcPr>
          <w:p w:rsidR="00A72524" w:rsidRPr="00E664EE" w:rsidRDefault="00A72524" w:rsidP="00E664EE">
            <w:pPr>
              <w:jc w:val="right"/>
              <w:rPr>
                <w:b/>
              </w:rPr>
            </w:pPr>
          </w:p>
        </w:tc>
        <w:tc>
          <w:tcPr>
            <w:tcW w:w="1590" w:type="dxa"/>
          </w:tcPr>
          <w:p w:rsidR="00A72524" w:rsidRPr="00E664EE" w:rsidRDefault="00A72524" w:rsidP="00E664EE">
            <w:pPr>
              <w:jc w:val="right"/>
              <w:rPr>
                <w:b/>
              </w:rPr>
            </w:pPr>
          </w:p>
        </w:tc>
        <w:tc>
          <w:tcPr>
            <w:tcW w:w="1590" w:type="dxa"/>
          </w:tcPr>
          <w:p w:rsidR="00A72524" w:rsidRPr="00A72524" w:rsidRDefault="00A72524" w:rsidP="00A72524">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ActewAGL</w:t>
            </w:r>
          </w:p>
        </w:tc>
        <w:tc>
          <w:tcPr>
            <w:tcW w:w="1909" w:type="dxa"/>
          </w:tcPr>
          <w:p w:rsidR="00A72524" w:rsidRPr="00E664EE" w:rsidRDefault="00A72524" w:rsidP="00E664EE">
            <w:pPr>
              <w:jc w:val="right"/>
            </w:pPr>
            <w:r w:rsidRPr="00E664EE">
              <w:t>3 821</w:t>
            </w:r>
          </w:p>
        </w:tc>
        <w:tc>
          <w:tcPr>
            <w:tcW w:w="1843" w:type="dxa"/>
          </w:tcPr>
          <w:p w:rsidR="00A72524" w:rsidRPr="00E664EE" w:rsidRDefault="00A72524" w:rsidP="00E664EE">
            <w:pPr>
              <w:jc w:val="right"/>
            </w:pPr>
            <w:r w:rsidRPr="00E664EE">
              <w:t>923</w:t>
            </w:r>
          </w:p>
        </w:tc>
        <w:tc>
          <w:tcPr>
            <w:tcW w:w="1590" w:type="dxa"/>
          </w:tcPr>
          <w:p w:rsidR="00A72524" w:rsidRPr="00E664EE" w:rsidRDefault="00A72524" w:rsidP="00E664EE">
            <w:pPr>
              <w:jc w:val="right"/>
            </w:pPr>
            <w:r w:rsidRPr="00E664EE">
              <w:t>24.16%</w:t>
            </w:r>
          </w:p>
        </w:tc>
        <w:tc>
          <w:tcPr>
            <w:tcW w:w="1590" w:type="dxa"/>
          </w:tcPr>
          <w:p w:rsidR="00A72524" w:rsidRPr="00A72524" w:rsidRDefault="00A72524" w:rsidP="00A72524">
            <w:pPr>
              <w:jc w:val="right"/>
            </w:pPr>
            <w:r w:rsidRPr="00A72524">
              <w:t>(-5.87)</w:t>
            </w:r>
          </w:p>
        </w:tc>
      </w:tr>
      <w:tr w:rsidR="00A72524" w:rsidTr="006E76B9">
        <w:tc>
          <w:tcPr>
            <w:tcW w:w="2310" w:type="dxa"/>
          </w:tcPr>
          <w:p w:rsidR="00A72524" w:rsidRPr="00E664EE" w:rsidRDefault="00A72524" w:rsidP="00E664EE">
            <w:pPr>
              <w:rPr>
                <w:b/>
              </w:rPr>
            </w:pPr>
            <w:r w:rsidRPr="00E664EE">
              <w:t>Energy Australia</w:t>
            </w:r>
          </w:p>
        </w:tc>
        <w:tc>
          <w:tcPr>
            <w:tcW w:w="1909" w:type="dxa"/>
          </w:tcPr>
          <w:p w:rsidR="00A72524" w:rsidRPr="00E664EE" w:rsidRDefault="00A72524" w:rsidP="00E664EE">
            <w:pPr>
              <w:jc w:val="right"/>
            </w:pPr>
            <w:r w:rsidRPr="00E664EE">
              <w:t>534</w:t>
            </w:r>
          </w:p>
        </w:tc>
        <w:tc>
          <w:tcPr>
            <w:tcW w:w="1843" w:type="dxa"/>
          </w:tcPr>
          <w:p w:rsidR="00A72524" w:rsidRPr="00E664EE" w:rsidRDefault="00A72524" w:rsidP="00E664EE">
            <w:pPr>
              <w:jc w:val="right"/>
            </w:pPr>
            <w:r w:rsidRPr="00E664EE">
              <w:t>120</w:t>
            </w:r>
          </w:p>
        </w:tc>
        <w:tc>
          <w:tcPr>
            <w:tcW w:w="1590" w:type="dxa"/>
          </w:tcPr>
          <w:p w:rsidR="00A72524" w:rsidRPr="00E664EE" w:rsidRDefault="00A72524" w:rsidP="00E664EE">
            <w:pPr>
              <w:jc w:val="right"/>
            </w:pPr>
            <w:r w:rsidRPr="00E664EE">
              <w:t>22.47%</w:t>
            </w:r>
          </w:p>
        </w:tc>
        <w:tc>
          <w:tcPr>
            <w:tcW w:w="1590" w:type="dxa"/>
          </w:tcPr>
          <w:p w:rsidR="00A72524" w:rsidRPr="00A72524" w:rsidRDefault="00A72524" w:rsidP="00A72524">
            <w:pPr>
              <w:jc w:val="right"/>
            </w:pPr>
            <w:r w:rsidRPr="00A72524">
              <w:t>(-5.08)</w:t>
            </w: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5A319D" w:rsidRDefault="00A72524" w:rsidP="00E664EE">
            <w:pPr>
              <w:rPr>
                <w:b/>
              </w:rPr>
            </w:pPr>
            <w:r w:rsidRPr="005A319D">
              <w:rPr>
                <w:b/>
              </w:rPr>
              <w:t>TOTAL ACT</w:t>
            </w:r>
          </w:p>
        </w:tc>
        <w:tc>
          <w:tcPr>
            <w:tcW w:w="1909" w:type="dxa"/>
          </w:tcPr>
          <w:p w:rsidR="00A72524" w:rsidRPr="00E664EE" w:rsidRDefault="00A72524" w:rsidP="00E664EE">
            <w:pPr>
              <w:jc w:val="right"/>
              <w:rPr>
                <w:b/>
              </w:rPr>
            </w:pPr>
            <w:r w:rsidRPr="00E664EE">
              <w:rPr>
                <w:b/>
              </w:rPr>
              <w:t>4 355</w:t>
            </w:r>
          </w:p>
        </w:tc>
        <w:tc>
          <w:tcPr>
            <w:tcW w:w="1843" w:type="dxa"/>
          </w:tcPr>
          <w:p w:rsidR="00A72524" w:rsidRPr="00E664EE" w:rsidRDefault="00A72524" w:rsidP="00E664EE">
            <w:pPr>
              <w:jc w:val="right"/>
              <w:rPr>
                <w:b/>
              </w:rPr>
            </w:pPr>
            <w:r w:rsidRPr="00E664EE">
              <w:rPr>
                <w:b/>
              </w:rPr>
              <w:t>1 043</w:t>
            </w:r>
          </w:p>
        </w:tc>
        <w:tc>
          <w:tcPr>
            <w:tcW w:w="1590" w:type="dxa"/>
          </w:tcPr>
          <w:p w:rsidR="00A72524" w:rsidRPr="00E664EE" w:rsidRDefault="00A72524" w:rsidP="00E664EE">
            <w:pPr>
              <w:jc w:val="right"/>
              <w:rPr>
                <w:b/>
              </w:rPr>
            </w:pPr>
            <w:r w:rsidRPr="00E664EE">
              <w:rPr>
                <w:b/>
              </w:rPr>
              <w:t>23.95%</w:t>
            </w:r>
          </w:p>
        </w:tc>
        <w:tc>
          <w:tcPr>
            <w:tcW w:w="1590" w:type="dxa"/>
          </w:tcPr>
          <w:p w:rsidR="00A72524" w:rsidRPr="00A72524" w:rsidRDefault="00A72524" w:rsidP="00A72524">
            <w:pPr>
              <w:jc w:val="right"/>
              <w:rPr>
                <w:b/>
              </w:rPr>
            </w:pPr>
            <w:r w:rsidRPr="00A72524">
              <w:rPr>
                <w:b/>
              </w:rPr>
              <w:t>(-5.78)</w:t>
            </w:r>
          </w:p>
        </w:tc>
      </w:tr>
      <w:tr w:rsidR="00A72524" w:rsidTr="006E76B9">
        <w:tc>
          <w:tcPr>
            <w:tcW w:w="2310" w:type="dxa"/>
          </w:tcPr>
          <w:p w:rsidR="00A72524" w:rsidRPr="005A319D" w:rsidRDefault="00A72524" w:rsidP="00E664EE">
            <w:pPr>
              <w:rPr>
                <w:b/>
                <w:i/>
              </w:rPr>
            </w:pPr>
            <w:r w:rsidRPr="005A319D">
              <w:rPr>
                <w:b/>
                <w:i/>
              </w:rPr>
              <w:t>Tasmania</w:t>
            </w:r>
          </w:p>
        </w:tc>
        <w:tc>
          <w:tcPr>
            <w:tcW w:w="1909" w:type="dxa"/>
          </w:tcPr>
          <w:p w:rsidR="00A72524" w:rsidRPr="00E664EE" w:rsidRDefault="00A72524" w:rsidP="00E664EE">
            <w:pPr>
              <w:rPr>
                <w:i/>
              </w:rPr>
            </w:pPr>
          </w:p>
        </w:tc>
        <w:tc>
          <w:tcPr>
            <w:tcW w:w="1843" w:type="dxa"/>
          </w:tcPr>
          <w:p w:rsidR="00A72524" w:rsidRPr="00E664EE" w:rsidRDefault="00A72524" w:rsidP="00E664EE">
            <w:pPr>
              <w:rPr>
                <w:i/>
              </w:rPr>
            </w:pPr>
          </w:p>
        </w:tc>
        <w:tc>
          <w:tcPr>
            <w:tcW w:w="1590" w:type="dxa"/>
          </w:tcPr>
          <w:p w:rsidR="00A72524" w:rsidRPr="00E664EE" w:rsidRDefault="00A72524" w:rsidP="00E664EE">
            <w:pPr>
              <w:rPr>
                <w:i/>
              </w:rPr>
            </w:pPr>
          </w:p>
        </w:tc>
        <w:tc>
          <w:tcPr>
            <w:tcW w:w="1590" w:type="dxa"/>
          </w:tcPr>
          <w:p w:rsidR="00A72524" w:rsidRPr="006A5578" w:rsidRDefault="00A72524" w:rsidP="00A72524"/>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Aurora</w:t>
            </w:r>
          </w:p>
        </w:tc>
        <w:tc>
          <w:tcPr>
            <w:tcW w:w="1909" w:type="dxa"/>
          </w:tcPr>
          <w:p w:rsidR="00A72524" w:rsidRPr="00E664EE" w:rsidRDefault="00A72524" w:rsidP="00E664EE">
            <w:pPr>
              <w:jc w:val="right"/>
            </w:pPr>
            <w:r w:rsidRPr="00E664EE">
              <w:t>4 306**</w:t>
            </w:r>
          </w:p>
        </w:tc>
        <w:tc>
          <w:tcPr>
            <w:tcW w:w="1843" w:type="dxa"/>
          </w:tcPr>
          <w:p w:rsidR="00A72524" w:rsidRPr="00A72524" w:rsidRDefault="00EE31A1" w:rsidP="00E664EE">
            <w:pPr>
              <w:jc w:val="right"/>
            </w:pPr>
            <w:r>
              <w:t>334</w:t>
            </w:r>
          </w:p>
        </w:tc>
        <w:tc>
          <w:tcPr>
            <w:tcW w:w="1590" w:type="dxa"/>
          </w:tcPr>
          <w:p w:rsidR="00A72524" w:rsidRPr="00A72524" w:rsidRDefault="00EE31A1" w:rsidP="00E664EE">
            <w:pPr>
              <w:jc w:val="right"/>
            </w:pPr>
            <w:r>
              <w:t>7.76%</w:t>
            </w:r>
          </w:p>
        </w:tc>
        <w:tc>
          <w:tcPr>
            <w:tcW w:w="1590" w:type="dxa"/>
          </w:tcPr>
          <w:p w:rsidR="00A72524" w:rsidRPr="00A72524" w:rsidRDefault="00A72524" w:rsidP="00E664EE">
            <w:pPr>
              <w:jc w:val="right"/>
            </w:pPr>
            <w:r w:rsidRPr="00A72524">
              <w:t>N/A</w:t>
            </w:r>
          </w:p>
        </w:tc>
      </w:tr>
      <w:tr w:rsidR="00A72524" w:rsidTr="006E76B9">
        <w:tc>
          <w:tcPr>
            <w:tcW w:w="2310" w:type="dxa"/>
          </w:tcPr>
          <w:p w:rsidR="00A72524" w:rsidRPr="005A319D" w:rsidRDefault="00A72524" w:rsidP="00E664EE">
            <w:pPr>
              <w:rPr>
                <w:b/>
                <w:i/>
              </w:rPr>
            </w:pPr>
            <w:r w:rsidRPr="005A319D">
              <w:rPr>
                <w:b/>
                <w:i/>
              </w:rPr>
              <w:t>New South Wales</w:t>
            </w:r>
          </w:p>
        </w:tc>
        <w:tc>
          <w:tcPr>
            <w:tcW w:w="1909" w:type="dxa"/>
          </w:tcPr>
          <w:p w:rsidR="00A72524" w:rsidRPr="00E664EE" w:rsidRDefault="00A72524" w:rsidP="00E664EE">
            <w:pPr>
              <w:jc w:val="right"/>
              <w:rPr>
                <w:b/>
              </w:rPr>
            </w:pPr>
          </w:p>
        </w:tc>
        <w:tc>
          <w:tcPr>
            <w:tcW w:w="1843" w:type="dxa"/>
          </w:tcPr>
          <w:p w:rsidR="00A72524" w:rsidRPr="00E664EE" w:rsidRDefault="00A72524" w:rsidP="00E664EE">
            <w:pPr>
              <w:jc w:val="right"/>
              <w:rPr>
                <w:b/>
              </w:rPr>
            </w:pPr>
          </w:p>
        </w:tc>
        <w:tc>
          <w:tcPr>
            <w:tcW w:w="1590" w:type="dxa"/>
          </w:tcPr>
          <w:p w:rsidR="00A72524" w:rsidRPr="00E664EE" w:rsidRDefault="00A72524" w:rsidP="00E664EE">
            <w:pPr>
              <w:jc w:val="right"/>
              <w:rPr>
                <w:b/>
              </w:rPr>
            </w:pPr>
          </w:p>
        </w:tc>
        <w:tc>
          <w:tcPr>
            <w:tcW w:w="1590" w:type="dxa"/>
          </w:tcPr>
          <w:p w:rsidR="00A72524" w:rsidRPr="00E664EE" w:rsidRDefault="00A72524" w:rsidP="00E664EE">
            <w:pPr>
              <w:jc w:val="right"/>
              <w:rPr>
                <w:b/>
              </w:rPr>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ActewAGL</w:t>
            </w:r>
          </w:p>
        </w:tc>
        <w:tc>
          <w:tcPr>
            <w:tcW w:w="1909" w:type="dxa"/>
          </w:tcPr>
          <w:p w:rsidR="00A72524" w:rsidRPr="00E664EE" w:rsidRDefault="00A72524" w:rsidP="00E664EE">
            <w:pPr>
              <w:jc w:val="right"/>
            </w:pPr>
            <w:r w:rsidRPr="00E664EE">
              <w:t>938</w:t>
            </w:r>
          </w:p>
        </w:tc>
        <w:tc>
          <w:tcPr>
            <w:tcW w:w="1843" w:type="dxa"/>
          </w:tcPr>
          <w:p w:rsidR="00A72524" w:rsidRPr="00E664EE" w:rsidRDefault="00163F5C" w:rsidP="00163F5C">
            <w:pPr>
              <w:jc w:val="right"/>
            </w:pPr>
            <w:r>
              <w:t>198</w:t>
            </w:r>
          </w:p>
        </w:tc>
        <w:tc>
          <w:tcPr>
            <w:tcW w:w="1590" w:type="dxa"/>
          </w:tcPr>
          <w:p w:rsidR="00A72524" w:rsidRPr="00E664EE" w:rsidRDefault="00163F5C" w:rsidP="00E664EE">
            <w:pPr>
              <w:jc w:val="right"/>
            </w:pPr>
            <w:r>
              <w:t>21.11</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AGL</w:t>
            </w:r>
          </w:p>
        </w:tc>
        <w:tc>
          <w:tcPr>
            <w:tcW w:w="1909" w:type="dxa"/>
          </w:tcPr>
          <w:p w:rsidR="00A72524" w:rsidRPr="00E664EE" w:rsidRDefault="00A72524" w:rsidP="00E664EE">
            <w:pPr>
              <w:jc w:val="right"/>
            </w:pPr>
            <w:r w:rsidRPr="00E664EE">
              <w:t>102 639</w:t>
            </w:r>
          </w:p>
        </w:tc>
        <w:tc>
          <w:tcPr>
            <w:tcW w:w="1843" w:type="dxa"/>
          </w:tcPr>
          <w:p w:rsidR="00A72524" w:rsidRPr="00E664EE" w:rsidRDefault="00163F5C" w:rsidP="00E664EE">
            <w:pPr>
              <w:jc w:val="right"/>
            </w:pPr>
            <w:r>
              <w:t>5 712</w:t>
            </w:r>
          </w:p>
        </w:tc>
        <w:tc>
          <w:tcPr>
            <w:tcW w:w="1590" w:type="dxa"/>
          </w:tcPr>
          <w:p w:rsidR="00A72524" w:rsidRPr="00E664EE" w:rsidRDefault="00163F5C" w:rsidP="00E664EE">
            <w:pPr>
              <w:jc w:val="right"/>
            </w:pPr>
            <w:r>
              <w:t>5.57</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Click Energy</w:t>
            </w:r>
          </w:p>
        </w:tc>
        <w:tc>
          <w:tcPr>
            <w:tcW w:w="1909" w:type="dxa"/>
          </w:tcPr>
          <w:p w:rsidR="00A72524" w:rsidRPr="00E664EE" w:rsidRDefault="00A72524" w:rsidP="00E664EE">
            <w:pPr>
              <w:jc w:val="right"/>
            </w:pPr>
            <w:r w:rsidRPr="00E664EE">
              <w:t>132</w:t>
            </w:r>
          </w:p>
        </w:tc>
        <w:tc>
          <w:tcPr>
            <w:tcW w:w="1843" w:type="dxa"/>
          </w:tcPr>
          <w:p w:rsidR="00A72524" w:rsidRPr="00E664EE" w:rsidRDefault="00163F5C" w:rsidP="00E664EE">
            <w:pPr>
              <w:jc w:val="right"/>
            </w:pPr>
            <w:r>
              <w:t>173</w:t>
            </w:r>
          </w:p>
        </w:tc>
        <w:tc>
          <w:tcPr>
            <w:tcW w:w="1590" w:type="dxa"/>
          </w:tcPr>
          <w:p w:rsidR="00A72524" w:rsidRPr="00E664EE" w:rsidRDefault="00163F5C" w:rsidP="00E664EE">
            <w:pPr>
              <w:jc w:val="right"/>
            </w:pPr>
            <w:r>
              <w:t>131.06</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Diamond Energy</w:t>
            </w:r>
          </w:p>
        </w:tc>
        <w:tc>
          <w:tcPr>
            <w:tcW w:w="1909" w:type="dxa"/>
          </w:tcPr>
          <w:p w:rsidR="00A72524" w:rsidRPr="00E664EE" w:rsidRDefault="00A72524" w:rsidP="00E664EE">
            <w:pPr>
              <w:jc w:val="right"/>
            </w:pPr>
            <w:r w:rsidRPr="00E664EE">
              <w:t>14</w:t>
            </w:r>
          </w:p>
        </w:tc>
        <w:tc>
          <w:tcPr>
            <w:tcW w:w="1843" w:type="dxa"/>
          </w:tcPr>
          <w:p w:rsidR="00A72524" w:rsidRPr="00E664EE" w:rsidRDefault="00A72524" w:rsidP="00E664EE">
            <w:pPr>
              <w:jc w:val="right"/>
            </w:pPr>
            <w:r w:rsidRPr="00E664EE">
              <w:t>0</w:t>
            </w:r>
          </w:p>
        </w:tc>
        <w:tc>
          <w:tcPr>
            <w:tcW w:w="1590" w:type="dxa"/>
          </w:tcPr>
          <w:p w:rsidR="00A72524" w:rsidRPr="00E664EE" w:rsidRDefault="00A72524" w:rsidP="00E664EE">
            <w:pPr>
              <w:jc w:val="right"/>
            </w:pPr>
            <w:r w:rsidRPr="00E664EE">
              <w:t>0.00%</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lastRenderedPageBreak/>
              <w:t>Dodo Power &amp; Gas</w:t>
            </w:r>
          </w:p>
        </w:tc>
        <w:tc>
          <w:tcPr>
            <w:tcW w:w="1909" w:type="dxa"/>
          </w:tcPr>
          <w:p w:rsidR="00A72524" w:rsidRPr="00E664EE" w:rsidRDefault="00A72524" w:rsidP="00E664EE">
            <w:pPr>
              <w:jc w:val="right"/>
            </w:pPr>
            <w:r w:rsidRPr="00E664EE">
              <w:t>4 823</w:t>
            </w:r>
          </w:p>
        </w:tc>
        <w:tc>
          <w:tcPr>
            <w:tcW w:w="1843" w:type="dxa"/>
          </w:tcPr>
          <w:p w:rsidR="00A72524" w:rsidRPr="00E664EE" w:rsidRDefault="00163F5C" w:rsidP="00E664EE">
            <w:pPr>
              <w:jc w:val="right"/>
            </w:pPr>
            <w:r>
              <w:t>138</w:t>
            </w:r>
          </w:p>
        </w:tc>
        <w:tc>
          <w:tcPr>
            <w:tcW w:w="1590" w:type="dxa"/>
          </w:tcPr>
          <w:p w:rsidR="00A72524" w:rsidRPr="00E664EE" w:rsidRDefault="00163F5C" w:rsidP="00E664EE">
            <w:pPr>
              <w:jc w:val="right"/>
            </w:pPr>
            <w:r>
              <w:t>2.86</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EnergyAustralia</w:t>
            </w:r>
          </w:p>
        </w:tc>
        <w:tc>
          <w:tcPr>
            <w:tcW w:w="1909" w:type="dxa"/>
          </w:tcPr>
          <w:p w:rsidR="00A72524" w:rsidRPr="00E664EE" w:rsidRDefault="00A72524" w:rsidP="00E664EE">
            <w:pPr>
              <w:jc w:val="right"/>
            </w:pPr>
            <w:r w:rsidRPr="00E664EE">
              <w:t>27 904</w:t>
            </w:r>
          </w:p>
        </w:tc>
        <w:tc>
          <w:tcPr>
            <w:tcW w:w="1843" w:type="dxa"/>
          </w:tcPr>
          <w:p w:rsidR="00A72524" w:rsidRPr="00E664EE" w:rsidRDefault="00163F5C" w:rsidP="00E664EE">
            <w:pPr>
              <w:jc w:val="right"/>
            </w:pPr>
            <w:r>
              <w:t>6 874</w:t>
            </w:r>
          </w:p>
        </w:tc>
        <w:tc>
          <w:tcPr>
            <w:tcW w:w="1590" w:type="dxa"/>
          </w:tcPr>
          <w:p w:rsidR="00A72524" w:rsidRPr="00E664EE" w:rsidRDefault="00163F5C" w:rsidP="00E664EE">
            <w:pPr>
              <w:jc w:val="right"/>
            </w:pPr>
            <w:r>
              <w:t>24.63</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ERM Power Retail</w:t>
            </w:r>
          </w:p>
        </w:tc>
        <w:tc>
          <w:tcPr>
            <w:tcW w:w="1909" w:type="dxa"/>
          </w:tcPr>
          <w:p w:rsidR="00A72524" w:rsidRPr="00E664EE" w:rsidRDefault="00A72524" w:rsidP="00E664EE">
            <w:pPr>
              <w:jc w:val="right"/>
            </w:pPr>
            <w:r w:rsidRPr="00E664EE">
              <w:t>88</w:t>
            </w:r>
          </w:p>
        </w:tc>
        <w:tc>
          <w:tcPr>
            <w:tcW w:w="1843" w:type="dxa"/>
          </w:tcPr>
          <w:p w:rsidR="00A72524" w:rsidRPr="00E664EE" w:rsidRDefault="00A72524" w:rsidP="00E664EE">
            <w:pPr>
              <w:jc w:val="right"/>
            </w:pPr>
            <w:r w:rsidRPr="00E664EE">
              <w:t>3</w:t>
            </w:r>
          </w:p>
        </w:tc>
        <w:tc>
          <w:tcPr>
            <w:tcW w:w="1590" w:type="dxa"/>
          </w:tcPr>
          <w:p w:rsidR="00A72524" w:rsidRPr="00E664EE" w:rsidRDefault="00A72524" w:rsidP="00E664EE">
            <w:pPr>
              <w:jc w:val="right"/>
            </w:pPr>
            <w:r w:rsidRPr="00E664EE">
              <w:t>3.41%</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Lumo Energy</w:t>
            </w:r>
          </w:p>
        </w:tc>
        <w:tc>
          <w:tcPr>
            <w:tcW w:w="1909" w:type="dxa"/>
          </w:tcPr>
          <w:p w:rsidR="00A72524" w:rsidRPr="00E664EE" w:rsidRDefault="00A72524" w:rsidP="00E664EE">
            <w:pPr>
              <w:jc w:val="right"/>
            </w:pPr>
            <w:r w:rsidRPr="00E664EE">
              <w:t>3 832</w:t>
            </w:r>
          </w:p>
        </w:tc>
        <w:tc>
          <w:tcPr>
            <w:tcW w:w="1843" w:type="dxa"/>
          </w:tcPr>
          <w:p w:rsidR="00A72524" w:rsidRPr="00E664EE" w:rsidRDefault="00163F5C" w:rsidP="00E664EE">
            <w:pPr>
              <w:jc w:val="right"/>
            </w:pPr>
            <w:r>
              <w:t>503</w:t>
            </w:r>
          </w:p>
        </w:tc>
        <w:tc>
          <w:tcPr>
            <w:tcW w:w="1590" w:type="dxa"/>
          </w:tcPr>
          <w:p w:rsidR="00A72524" w:rsidRPr="00E664EE" w:rsidRDefault="00163F5C" w:rsidP="00E664EE">
            <w:pPr>
              <w:jc w:val="right"/>
            </w:pPr>
            <w:r>
              <w:t>13.13</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Momentum Energy</w:t>
            </w:r>
          </w:p>
        </w:tc>
        <w:tc>
          <w:tcPr>
            <w:tcW w:w="1909" w:type="dxa"/>
          </w:tcPr>
          <w:p w:rsidR="00A72524" w:rsidRPr="00E664EE" w:rsidRDefault="00A72524" w:rsidP="00E664EE">
            <w:pPr>
              <w:jc w:val="right"/>
            </w:pPr>
            <w:r w:rsidRPr="00E664EE">
              <w:t>828</w:t>
            </w:r>
          </w:p>
        </w:tc>
        <w:tc>
          <w:tcPr>
            <w:tcW w:w="1843" w:type="dxa"/>
          </w:tcPr>
          <w:p w:rsidR="00A72524" w:rsidRPr="00E664EE" w:rsidRDefault="00163F5C" w:rsidP="00E664EE">
            <w:pPr>
              <w:jc w:val="right"/>
            </w:pPr>
            <w:r>
              <w:t>94</w:t>
            </w:r>
          </w:p>
        </w:tc>
        <w:tc>
          <w:tcPr>
            <w:tcW w:w="1590" w:type="dxa"/>
          </w:tcPr>
          <w:p w:rsidR="00A72524" w:rsidRPr="00E664EE" w:rsidRDefault="00163F5C" w:rsidP="00E664EE">
            <w:pPr>
              <w:jc w:val="right"/>
            </w:pPr>
            <w:r>
              <w:t>11</w:t>
            </w:r>
            <w:r w:rsidR="00A72524" w:rsidRPr="00E664EE">
              <w:t>.35%</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Origin Energy</w:t>
            </w:r>
          </w:p>
        </w:tc>
        <w:tc>
          <w:tcPr>
            <w:tcW w:w="1909" w:type="dxa"/>
          </w:tcPr>
          <w:p w:rsidR="00A72524" w:rsidRPr="00E664EE" w:rsidRDefault="00A72524" w:rsidP="00E664EE">
            <w:pPr>
              <w:jc w:val="right"/>
            </w:pPr>
            <w:r w:rsidRPr="00E664EE">
              <w:t>89 161</w:t>
            </w:r>
          </w:p>
        </w:tc>
        <w:tc>
          <w:tcPr>
            <w:tcW w:w="1843" w:type="dxa"/>
          </w:tcPr>
          <w:p w:rsidR="00A72524" w:rsidRPr="00E664EE" w:rsidRDefault="00163F5C" w:rsidP="00E664EE">
            <w:pPr>
              <w:jc w:val="right"/>
            </w:pPr>
            <w:r>
              <w:t>9 231</w:t>
            </w:r>
          </w:p>
        </w:tc>
        <w:tc>
          <w:tcPr>
            <w:tcW w:w="1590" w:type="dxa"/>
          </w:tcPr>
          <w:p w:rsidR="00A72524" w:rsidRPr="00E664EE" w:rsidRDefault="00163F5C" w:rsidP="00163F5C">
            <w:pPr>
              <w:jc w:val="right"/>
            </w:pPr>
            <w:r>
              <w:t>10</w:t>
            </w:r>
            <w:r w:rsidR="00A72524" w:rsidRPr="00E664EE">
              <w:t>.</w:t>
            </w:r>
            <w:r>
              <w:t>35</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 xml:space="preserve">Powerdirect </w:t>
            </w:r>
          </w:p>
        </w:tc>
        <w:tc>
          <w:tcPr>
            <w:tcW w:w="1909" w:type="dxa"/>
          </w:tcPr>
          <w:p w:rsidR="00A72524" w:rsidRPr="00E664EE" w:rsidRDefault="00A72524" w:rsidP="00E664EE">
            <w:pPr>
              <w:jc w:val="right"/>
            </w:pPr>
            <w:r w:rsidRPr="00E664EE">
              <w:t>3 758</w:t>
            </w:r>
          </w:p>
        </w:tc>
        <w:tc>
          <w:tcPr>
            <w:tcW w:w="1843" w:type="dxa"/>
          </w:tcPr>
          <w:p w:rsidR="00A72524" w:rsidRPr="00E664EE" w:rsidRDefault="00163F5C" w:rsidP="00E664EE">
            <w:pPr>
              <w:jc w:val="right"/>
            </w:pPr>
            <w:r>
              <w:t>248</w:t>
            </w:r>
          </w:p>
        </w:tc>
        <w:tc>
          <w:tcPr>
            <w:tcW w:w="1590" w:type="dxa"/>
          </w:tcPr>
          <w:p w:rsidR="00A72524" w:rsidRPr="00E664EE" w:rsidRDefault="00163F5C" w:rsidP="00E664EE">
            <w:pPr>
              <w:jc w:val="right"/>
            </w:pPr>
            <w:r>
              <w:t>6.60</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QEnergy</w:t>
            </w:r>
          </w:p>
        </w:tc>
        <w:tc>
          <w:tcPr>
            <w:tcW w:w="1909" w:type="dxa"/>
          </w:tcPr>
          <w:p w:rsidR="00A72524" w:rsidRPr="00E664EE" w:rsidRDefault="00A72524" w:rsidP="00E664EE">
            <w:pPr>
              <w:jc w:val="right"/>
            </w:pPr>
            <w:r w:rsidRPr="00E664EE">
              <w:t>98</w:t>
            </w:r>
          </w:p>
        </w:tc>
        <w:tc>
          <w:tcPr>
            <w:tcW w:w="1843" w:type="dxa"/>
          </w:tcPr>
          <w:p w:rsidR="00A72524" w:rsidRPr="00E664EE" w:rsidRDefault="00163F5C" w:rsidP="00E664EE">
            <w:pPr>
              <w:jc w:val="right"/>
            </w:pPr>
            <w:r>
              <w:t>6</w:t>
            </w:r>
            <w:r w:rsidR="00A72524" w:rsidRPr="00E664EE">
              <w:t>2</w:t>
            </w:r>
          </w:p>
        </w:tc>
        <w:tc>
          <w:tcPr>
            <w:tcW w:w="1590" w:type="dxa"/>
          </w:tcPr>
          <w:p w:rsidR="00A72524" w:rsidRPr="00E664EE" w:rsidRDefault="00163F5C" w:rsidP="00E664EE">
            <w:pPr>
              <w:jc w:val="right"/>
            </w:pPr>
            <w:r>
              <w:t>63.27</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Red Energy</w:t>
            </w:r>
          </w:p>
        </w:tc>
        <w:tc>
          <w:tcPr>
            <w:tcW w:w="1909" w:type="dxa"/>
          </w:tcPr>
          <w:p w:rsidR="00A72524" w:rsidRPr="00E664EE" w:rsidRDefault="00A72524" w:rsidP="00E664EE">
            <w:pPr>
              <w:jc w:val="right"/>
            </w:pPr>
            <w:r w:rsidRPr="00E664EE">
              <w:t>1 951</w:t>
            </w:r>
          </w:p>
        </w:tc>
        <w:tc>
          <w:tcPr>
            <w:tcW w:w="1843" w:type="dxa"/>
          </w:tcPr>
          <w:p w:rsidR="00A72524" w:rsidRPr="00E664EE" w:rsidRDefault="00163F5C" w:rsidP="00E664EE">
            <w:pPr>
              <w:jc w:val="right"/>
            </w:pPr>
            <w:r>
              <w:t>184</w:t>
            </w:r>
          </w:p>
        </w:tc>
        <w:tc>
          <w:tcPr>
            <w:tcW w:w="1590" w:type="dxa"/>
          </w:tcPr>
          <w:p w:rsidR="00A72524" w:rsidRPr="00E664EE" w:rsidRDefault="00163F5C" w:rsidP="00E664EE">
            <w:pPr>
              <w:jc w:val="right"/>
            </w:pPr>
            <w:r>
              <w:t>9.43</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E664EE" w:rsidRDefault="00A72524" w:rsidP="00E664EE">
            <w:pPr>
              <w:rPr>
                <w:b/>
              </w:rPr>
            </w:pPr>
            <w:r w:rsidRPr="00E664EE">
              <w:t>Sanctuary Energy</w:t>
            </w:r>
          </w:p>
        </w:tc>
        <w:tc>
          <w:tcPr>
            <w:tcW w:w="1909" w:type="dxa"/>
          </w:tcPr>
          <w:p w:rsidR="00A72524" w:rsidRPr="00E664EE" w:rsidRDefault="00A72524" w:rsidP="00E664EE">
            <w:pPr>
              <w:jc w:val="right"/>
            </w:pPr>
            <w:r w:rsidRPr="00E664EE">
              <w:t>725</w:t>
            </w:r>
          </w:p>
        </w:tc>
        <w:tc>
          <w:tcPr>
            <w:tcW w:w="1843" w:type="dxa"/>
          </w:tcPr>
          <w:p w:rsidR="00A72524" w:rsidRPr="00E664EE" w:rsidRDefault="00163F5C" w:rsidP="00E664EE">
            <w:pPr>
              <w:jc w:val="right"/>
            </w:pPr>
            <w:r>
              <w:t>233</w:t>
            </w:r>
          </w:p>
        </w:tc>
        <w:tc>
          <w:tcPr>
            <w:tcW w:w="1590" w:type="dxa"/>
          </w:tcPr>
          <w:p w:rsidR="00A72524" w:rsidRPr="00E664EE" w:rsidRDefault="00163F5C" w:rsidP="00E664EE">
            <w:pPr>
              <w:jc w:val="right"/>
            </w:pPr>
            <w:r>
              <w:t>32.14</w:t>
            </w:r>
            <w:r w:rsidR="00A72524" w:rsidRPr="00E664EE">
              <w:t>%</w:t>
            </w:r>
          </w:p>
        </w:tc>
        <w:tc>
          <w:tcPr>
            <w:tcW w:w="1590" w:type="dxa"/>
          </w:tcPr>
          <w:p w:rsidR="00A72524" w:rsidRPr="00E664EE" w:rsidRDefault="00A72524" w:rsidP="00E664EE">
            <w:pPr>
              <w:jc w:val="right"/>
            </w:pPr>
          </w:p>
        </w:tc>
      </w:tr>
      <w:tr w:rsidR="00A72524" w:rsidTr="006E76B9">
        <w:trPr>
          <w:cnfStyle w:val="000000010000" w:firstRow="0" w:lastRow="0" w:firstColumn="0" w:lastColumn="0" w:oddVBand="0" w:evenVBand="0" w:oddHBand="0" w:evenHBand="1" w:firstRowFirstColumn="0" w:firstRowLastColumn="0" w:lastRowFirstColumn="0" w:lastRowLastColumn="0"/>
        </w:trPr>
        <w:tc>
          <w:tcPr>
            <w:tcW w:w="2310" w:type="dxa"/>
          </w:tcPr>
          <w:p w:rsidR="00A72524" w:rsidRPr="00E664EE" w:rsidRDefault="00A72524" w:rsidP="00E664EE">
            <w:pPr>
              <w:rPr>
                <w:b/>
              </w:rPr>
            </w:pPr>
            <w:r w:rsidRPr="00E664EE">
              <w:t>Simply Energy</w:t>
            </w:r>
          </w:p>
        </w:tc>
        <w:tc>
          <w:tcPr>
            <w:tcW w:w="1909" w:type="dxa"/>
          </w:tcPr>
          <w:p w:rsidR="00A72524" w:rsidRPr="00E664EE" w:rsidRDefault="00A72524" w:rsidP="00E664EE">
            <w:pPr>
              <w:jc w:val="right"/>
            </w:pPr>
            <w:r w:rsidRPr="00E664EE">
              <w:t>717</w:t>
            </w:r>
          </w:p>
        </w:tc>
        <w:tc>
          <w:tcPr>
            <w:tcW w:w="1843" w:type="dxa"/>
          </w:tcPr>
          <w:p w:rsidR="00A72524" w:rsidRPr="00E664EE" w:rsidRDefault="00163F5C" w:rsidP="00E664EE">
            <w:pPr>
              <w:jc w:val="right"/>
            </w:pPr>
            <w:r>
              <w:t>226</w:t>
            </w:r>
          </w:p>
        </w:tc>
        <w:tc>
          <w:tcPr>
            <w:tcW w:w="1590" w:type="dxa"/>
          </w:tcPr>
          <w:p w:rsidR="00A72524" w:rsidRPr="00E664EE" w:rsidRDefault="00163F5C" w:rsidP="00E664EE">
            <w:pPr>
              <w:jc w:val="right"/>
            </w:pPr>
            <w:r>
              <w:t>31.52</w:t>
            </w:r>
            <w:r w:rsidR="00A72524" w:rsidRPr="00E664EE">
              <w:t>%</w:t>
            </w:r>
          </w:p>
        </w:tc>
        <w:tc>
          <w:tcPr>
            <w:tcW w:w="1590" w:type="dxa"/>
          </w:tcPr>
          <w:p w:rsidR="00A72524" w:rsidRPr="00E664EE" w:rsidRDefault="00A72524" w:rsidP="00E664EE">
            <w:pPr>
              <w:jc w:val="right"/>
            </w:pPr>
          </w:p>
        </w:tc>
      </w:tr>
      <w:tr w:rsidR="00A72524" w:rsidTr="006E76B9">
        <w:tc>
          <w:tcPr>
            <w:tcW w:w="2310" w:type="dxa"/>
          </w:tcPr>
          <w:p w:rsidR="00A72524" w:rsidRPr="005A319D" w:rsidRDefault="00A72524" w:rsidP="00E664EE">
            <w:pPr>
              <w:rPr>
                <w:b/>
              </w:rPr>
            </w:pPr>
            <w:r w:rsidRPr="005A319D">
              <w:rPr>
                <w:b/>
              </w:rPr>
              <w:t>TOTAL NSW</w:t>
            </w:r>
          </w:p>
        </w:tc>
        <w:tc>
          <w:tcPr>
            <w:tcW w:w="1909" w:type="dxa"/>
          </w:tcPr>
          <w:p w:rsidR="00A72524" w:rsidRPr="00E664EE" w:rsidRDefault="00A72524" w:rsidP="00E664EE">
            <w:pPr>
              <w:jc w:val="right"/>
              <w:rPr>
                <w:b/>
              </w:rPr>
            </w:pPr>
            <w:r w:rsidRPr="00E664EE">
              <w:rPr>
                <w:b/>
              </w:rPr>
              <w:t>237 608</w:t>
            </w:r>
          </w:p>
        </w:tc>
        <w:tc>
          <w:tcPr>
            <w:tcW w:w="1843" w:type="dxa"/>
          </w:tcPr>
          <w:p w:rsidR="00A72524" w:rsidRPr="00E664EE" w:rsidRDefault="00163F5C" w:rsidP="00E664EE">
            <w:pPr>
              <w:jc w:val="right"/>
              <w:rPr>
                <w:b/>
              </w:rPr>
            </w:pPr>
            <w:r>
              <w:rPr>
                <w:b/>
              </w:rPr>
              <w:t>23 879</w:t>
            </w:r>
          </w:p>
        </w:tc>
        <w:tc>
          <w:tcPr>
            <w:tcW w:w="1590" w:type="dxa"/>
          </w:tcPr>
          <w:p w:rsidR="00A72524" w:rsidRPr="00E664EE" w:rsidRDefault="00163F5C" w:rsidP="00E664EE">
            <w:pPr>
              <w:jc w:val="right"/>
              <w:rPr>
                <w:b/>
              </w:rPr>
            </w:pPr>
            <w:r>
              <w:rPr>
                <w:b/>
              </w:rPr>
              <w:t>10.05</w:t>
            </w:r>
            <w:r w:rsidR="00A72524" w:rsidRPr="00E664EE">
              <w:rPr>
                <w:b/>
              </w:rPr>
              <w:t>%</w:t>
            </w:r>
          </w:p>
        </w:tc>
        <w:tc>
          <w:tcPr>
            <w:tcW w:w="1590" w:type="dxa"/>
          </w:tcPr>
          <w:p w:rsidR="00A72524" w:rsidRPr="00E664EE" w:rsidRDefault="00A72524" w:rsidP="00E664EE">
            <w:pPr>
              <w:jc w:val="right"/>
              <w:rPr>
                <w:b/>
              </w:rPr>
            </w:pPr>
          </w:p>
        </w:tc>
      </w:tr>
    </w:tbl>
    <w:p w:rsidR="002800D0" w:rsidRPr="00741FD2" w:rsidRDefault="00E664EE" w:rsidP="00741FD2">
      <w:pPr>
        <w:spacing w:before="0" w:after="200"/>
        <w:rPr>
          <w:sz w:val="18"/>
          <w:szCs w:val="18"/>
        </w:rPr>
      </w:pPr>
      <w:r w:rsidRPr="00E62089">
        <w:rPr>
          <w:sz w:val="18"/>
          <w:szCs w:val="18"/>
        </w:rPr>
        <w:t>* Excludes matters closed as general enquiries or not escalated/investigated.</w:t>
      </w:r>
      <w:r>
        <w:rPr>
          <w:sz w:val="18"/>
          <w:szCs w:val="18"/>
        </w:rPr>
        <w:br/>
        <w:t xml:space="preserve">** Prior to December 2013 not all complaints made to Aurora were successfully recorded. Therefore this number understates the total number of complaints in 2013-14. </w:t>
      </w:r>
    </w:p>
    <w:p w:rsidR="00E664EE" w:rsidRPr="001C2483" w:rsidRDefault="00E664EE" w:rsidP="00AA3437">
      <w:pPr>
        <w:pStyle w:val="Headingnumbered11"/>
        <w:spacing w:after="240"/>
        <w:rPr>
          <w:rFonts w:ascii="Lucida Fax" w:hAnsi="Lucida Fax"/>
          <w:sz w:val="32"/>
          <w:szCs w:val="32"/>
        </w:rPr>
      </w:pPr>
      <w:bookmarkStart w:id="31" w:name="_Toc402961392"/>
      <w:r>
        <w:t>Energy bill debt</w:t>
      </w:r>
      <w:bookmarkEnd w:id="31"/>
    </w:p>
    <w:p w:rsidR="00E664EE" w:rsidRDefault="00E664EE" w:rsidP="00E664EE">
      <w:pPr>
        <w:spacing w:before="0" w:after="200"/>
      </w:pPr>
      <w:r>
        <w:t>Energy bill debt indicates the ability of households to pay for their energy and may also demonstrate retailer responsiveness to customers experiencing financial difficulty. It may also provide an indication of the overall affordability of energy.</w:t>
      </w:r>
      <w:r>
        <w:rPr>
          <w:rStyle w:val="FootnoteReference"/>
        </w:rPr>
        <w:footnoteReference w:id="16"/>
      </w:r>
      <w:r w:rsidR="0067669B">
        <w:t xml:space="preserve"> ‘Energy bill debt’, for the purposes of this report, is the amount owed to a retailer that has been outstanding for 90 days or more.</w:t>
      </w:r>
    </w:p>
    <w:p w:rsidR="00E664EE" w:rsidRDefault="00FF36C0" w:rsidP="00E664EE">
      <w:pPr>
        <w:spacing w:before="0" w:after="200"/>
      </w:pPr>
      <w:r>
        <w:t>Many factors influence overall energy debt levels. They</w:t>
      </w:r>
      <w:r w:rsidR="00E664EE">
        <w:t xml:space="preserve"> will vary between retailers due to differen</w:t>
      </w:r>
      <w:r w:rsidR="00A915FE">
        <w:t>ces</w:t>
      </w:r>
      <w:r>
        <w:t>, for example,</w:t>
      </w:r>
      <w:r w:rsidR="00A915FE">
        <w:t xml:space="preserve"> in </w:t>
      </w:r>
      <w:r w:rsidR="00E664EE">
        <w:t>t</w:t>
      </w:r>
      <w:r w:rsidR="00A915FE">
        <w:t>heir</w:t>
      </w:r>
      <w:r w:rsidR="00E664EE">
        <w:t xml:space="preserve"> customer bases and strategies for debt recovery. A customer’s personal circumstances and levels of energy consumption also play a part in whether or not they accrue an energy debt and, if so, the level of that debt. Our analysis at a jurisdiction</w:t>
      </w:r>
      <w:r w:rsidR="00FF4BB4">
        <w:t>al</w:t>
      </w:r>
      <w:r w:rsidR="00E664EE">
        <w:t xml:space="preserve"> level suggests that both the number of customers owing energy debt and the average levels of debt may follow seasonal patterns. </w:t>
      </w:r>
    </w:p>
    <w:p w:rsidR="00922B9E" w:rsidRPr="00741FD2" w:rsidRDefault="00E664EE" w:rsidP="00741FD2">
      <w:pPr>
        <w:spacing w:before="0" w:after="200"/>
      </w:pPr>
      <w:r>
        <w:t xml:space="preserve">Figure 2.3 shows the number of customers with electricity and gas debt in each jurisdiction. </w:t>
      </w:r>
      <w:r w:rsidR="00A915FE">
        <w:t xml:space="preserve">This shows that </w:t>
      </w:r>
      <w:r>
        <w:t xml:space="preserve">more </w:t>
      </w:r>
      <w:r w:rsidR="00A915FE">
        <w:t xml:space="preserve">gas </w:t>
      </w:r>
      <w:r>
        <w:t xml:space="preserve">customers are in debt between October and March (Q2 and Q3). </w:t>
      </w:r>
      <w:r w:rsidR="00FC0C8E">
        <w:t xml:space="preserve">Similarly, in Tasmania and, to a lesser extent, the ACT, most customers hold electricity debt over this same period. This may be attributed to </w:t>
      </w:r>
      <w:r w:rsidR="00145FCB">
        <w:t xml:space="preserve">customers’ inability to pay energy bills due to increased usage over the winter months. </w:t>
      </w:r>
      <w:r>
        <w:t xml:space="preserve">The number of electricity customers in debt in </w:t>
      </w:r>
      <w:r>
        <w:lastRenderedPageBreak/>
        <w:t>South Australia and NSW appears to be fairly consistent between quarters</w:t>
      </w:r>
      <w:r w:rsidR="00145FCB">
        <w:t>, reflecting more moderate winter climates.</w:t>
      </w:r>
      <w:r w:rsidR="00FC0C8E">
        <w:t xml:space="preserve"> </w:t>
      </w:r>
    </w:p>
    <w:p w:rsidR="00E664EE" w:rsidRPr="005616B8" w:rsidRDefault="00E664EE" w:rsidP="00E664EE">
      <w:pPr>
        <w:spacing w:before="0" w:after="200"/>
      </w:pPr>
      <w:r>
        <w:rPr>
          <w:b/>
        </w:rPr>
        <w:t xml:space="preserve">Figure 2.3: Number of residential customers in debt  </w:t>
      </w:r>
    </w:p>
    <w:p w:rsidR="00E664EE" w:rsidRDefault="00E664EE" w:rsidP="00E664EE">
      <w:pPr>
        <w:spacing w:before="0" w:after="200"/>
        <w:rPr>
          <w:b/>
        </w:rPr>
      </w:pPr>
      <w:r>
        <w:rPr>
          <w:b/>
          <w:noProof/>
          <w:lang w:eastAsia="en-AU"/>
        </w:rPr>
        <w:drawing>
          <wp:inline distT="0" distB="0" distL="0" distR="0" wp14:anchorId="55C17FEF" wp14:editId="7B55D2E8">
            <wp:extent cx="5497200" cy="7200000"/>
            <wp:effectExtent l="0" t="0" r="8255" b="1270"/>
            <wp:docPr id="30" name="Picture 30" descr="Over 5 per cent of residential customers in South Australia hold electricity debt, compared with 3.6 per cent in New South Wales, 3.1 per cent in the ACT and 2.6 in Tasmania. Around 6 per cent of residential customers in the ACT hold gas debt, compared with around 4 per cent in South Australia and New South Wales. "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200" cy="7200000"/>
                    </a:xfrm>
                    <a:prstGeom prst="rect">
                      <a:avLst/>
                    </a:prstGeom>
                    <a:noFill/>
                  </pic:spPr>
                </pic:pic>
              </a:graphicData>
            </a:graphic>
          </wp:inline>
        </w:drawing>
      </w:r>
    </w:p>
    <w:p w:rsidR="00E664EE" w:rsidRDefault="00E664EE" w:rsidP="00E664EE">
      <w:pPr>
        <w:spacing w:before="0" w:after="200"/>
        <w:rPr>
          <w:b/>
        </w:rPr>
      </w:pPr>
      <w:r>
        <w:t xml:space="preserve">Figure 2.4 shows the average electricity and gas debt of customers in each jurisdiction. </w:t>
      </w:r>
      <w:r w:rsidR="00FF36C0">
        <w:t xml:space="preserve">This shows that </w:t>
      </w:r>
      <w:r>
        <w:t>proportionally more customers hold gas debt in the ACT and NSW</w:t>
      </w:r>
      <w:r w:rsidR="00FF36C0">
        <w:t xml:space="preserve">. Generally, however, </w:t>
      </w:r>
      <w:r>
        <w:t xml:space="preserve">customers hold lower levels of average debt for gas than electricity. This is </w:t>
      </w:r>
      <w:r>
        <w:lastRenderedPageBreak/>
        <w:t xml:space="preserve">expected given that households predominantly rely on electricity and use gas as a secondary fuel.   </w:t>
      </w:r>
    </w:p>
    <w:p w:rsidR="00E664EE" w:rsidRDefault="00E664EE" w:rsidP="00E664EE">
      <w:pPr>
        <w:spacing w:before="0" w:after="200"/>
        <w:rPr>
          <w:b/>
        </w:rPr>
      </w:pPr>
      <w:r>
        <w:rPr>
          <w:b/>
        </w:rPr>
        <w:t>Figure 2.4: Average energy bill debt, 2012-13 and 2013-14</w:t>
      </w:r>
      <w:r>
        <w:rPr>
          <w:b/>
        </w:rPr>
        <w:br/>
      </w:r>
      <w:r>
        <w:rPr>
          <w:b/>
          <w:noProof/>
          <w:lang w:eastAsia="en-AU"/>
        </w:rPr>
        <w:drawing>
          <wp:inline distT="0" distB="0" distL="0" distR="0" wp14:anchorId="2688FB61" wp14:editId="70207DB2">
            <wp:extent cx="5731200" cy="4129200"/>
            <wp:effectExtent l="0" t="0" r="3175" b="5080"/>
            <wp:docPr id="31" name="Picture 31" descr="In New South Wales, average electricity debt ranged from $670 in the September quarter to $529 in the June quarter. Average gas debt was lower, peaking at $430 in the September quarter. In South Australia, average electricity debt ranged between $629 and $670 during 2013-14, and average gas debt was between $259 and $287. In Tasmania, average electricity debt was around $700. In the ACT, average electricity debt $825 at the end of June 2014 (higher than other states). Average gas debt was also higher, at $551 at the end of June 2014."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200" cy="4129200"/>
                    </a:xfrm>
                    <a:prstGeom prst="rect">
                      <a:avLst/>
                    </a:prstGeom>
                    <a:noFill/>
                  </pic:spPr>
                </pic:pic>
              </a:graphicData>
            </a:graphic>
          </wp:inline>
        </w:drawing>
      </w:r>
    </w:p>
    <w:p w:rsidR="00E664EE" w:rsidRDefault="00E664EE" w:rsidP="00E664EE">
      <w:pPr>
        <w:spacing w:before="0" w:after="200"/>
      </w:pPr>
      <w:r>
        <w:t>Average electricity debt has increased in the ACT and decreased in other jurisdictions.</w:t>
      </w:r>
      <w:r>
        <w:rPr>
          <w:rStyle w:val="FootnoteReference"/>
        </w:rPr>
        <w:footnoteReference w:id="17"/>
      </w:r>
      <w:r>
        <w:t xml:space="preserve"> The most notable decrease is in Tasmania, where average electricity debt has fallen around $100 in the last 12 months to $704 in the June 2014 quarter. This is likely due to more customers with high levels of debt using hardship programs to manage their debt.  </w:t>
      </w:r>
    </w:p>
    <w:p w:rsidR="00E664EE" w:rsidRDefault="00E664EE" w:rsidP="00E664EE">
      <w:pPr>
        <w:spacing w:before="0" w:after="200"/>
      </w:pPr>
      <w:r>
        <w:t xml:space="preserve">Average gas debt remains highest in the ACT, however does not appear to be increasing at a great rate. In the June 2014 quarter it was $551 – only $15 greater than the June 2013 quarter. Households in the ACT rely more on gas for heating than those in other jurisdictions, and evidently many households use more gas than they can afford. Average gas debt was $395 in NSW and $287 in South Australia, with no notable fluctuations in recent quarters. </w:t>
      </w:r>
    </w:p>
    <w:p w:rsidR="00E664EE" w:rsidRPr="0014321F" w:rsidRDefault="00E664EE" w:rsidP="00E664EE">
      <w:pPr>
        <w:spacing w:before="0" w:after="200"/>
      </w:pPr>
      <w:r w:rsidRPr="0014321F">
        <w:t xml:space="preserve">Tables 2.3 and 2.4 show the number of small business customers with electricity and gas debt respectively, along with the average debt levels. Fewer small businesses in South Australia and </w:t>
      </w:r>
      <w:r>
        <w:t>Tasmania he</w:t>
      </w:r>
      <w:r w:rsidRPr="0014321F">
        <w:t xml:space="preserve">ld energy debt in 2014. </w:t>
      </w:r>
      <w:r>
        <w:t>However, the number of small businesses in energy debt in the ACT has increased over the last year, with over 6 per cent of ACT small businesses now holding electricity debt</w:t>
      </w:r>
      <w:r w:rsidR="00FC0C8E">
        <w:t xml:space="preserve">. The </w:t>
      </w:r>
      <w:r>
        <w:t xml:space="preserve">number </w:t>
      </w:r>
      <w:r w:rsidR="00FC0C8E">
        <w:t xml:space="preserve">of small businesses </w:t>
      </w:r>
      <w:r>
        <w:t xml:space="preserve">with gas debt remains </w:t>
      </w:r>
      <w:r w:rsidRPr="0014321F">
        <w:t>high at 9.5 per cent.</w:t>
      </w:r>
    </w:p>
    <w:p w:rsidR="00E664EE" w:rsidRPr="00800E8C" w:rsidRDefault="00E664EE" w:rsidP="00E664EE">
      <w:pPr>
        <w:spacing w:before="0" w:after="200"/>
        <w:rPr>
          <w:b/>
        </w:rPr>
      </w:pPr>
      <w:r>
        <w:rPr>
          <w:b/>
        </w:rPr>
        <w:lastRenderedPageBreak/>
        <w:t>Table 2.3</w:t>
      </w:r>
      <w:r w:rsidRPr="00800E8C">
        <w:rPr>
          <w:b/>
        </w:rPr>
        <w:t xml:space="preserve">: Small business electricity debt (by jurisdiction) – </w:t>
      </w:r>
      <w:r>
        <w:rPr>
          <w:b/>
        </w:rPr>
        <w:t>as at 30 June</w:t>
      </w:r>
    </w:p>
    <w:tbl>
      <w:tblPr>
        <w:tblStyle w:val="AERTable-Text"/>
        <w:tblW w:w="0" w:type="auto"/>
        <w:tblLook w:val="04A0" w:firstRow="1" w:lastRow="0" w:firstColumn="1" w:lastColumn="0" w:noHBand="0" w:noVBand="1"/>
      </w:tblPr>
      <w:tblGrid>
        <w:gridCol w:w="1848"/>
        <w:gridCol w:w="1848"/>
        <w:gridCol w:w="1848"/>
        <w:gridCol w:w="1849"/>
        <w:gridCol w:w="1849"/>
      </w:tblGrid>
      <w:tr w:rsidR="00E664EE" w:rsidRPr="00800E8C" w:rsidTr="006E76B9">
        <w:trPr>
          <w:cnfStyle w:val="100000000000" w:firstRow="1" w:lastRow="0" w:firstColumn="0" w:lastColumn="0" w:oddVBand="0" w:evenVBand="0" w:oddHBand="0" w:evenHBand="0" w:firstRowFirstColumn="0" w:firstRowLastColumn="0" w:lastRowFirstColumn="0" w:lastRowLastColumn="0"/>
        </w:trPr>
        <w:tc>
          <w:tcPr>
            <w:tcW w:w="1848" w:type="dxa"/>
          </w:tcPr>
          <w:p w:rsidR="00E664EE" w:rsidRPr="00D30622" w:rsidRDefault="00E664EE" w:rsidP="00E664EE"/>
        </w:tc>
        <w:tc>
          <w:tcPr>
            <w:tcW w:w="3696" w:type="dxa"/>
            <w:gridSpan w:val="2"/>
          </w:tcPr>
          <w:p w:rsidR="00E664EE" w:rsidRPr="00D30622" w:rsidRDefault="00E664EE" w:rsidP="00E664EE">
            <w:pPr>
              <w:jc w:val="center"/>
            </w:pPr>
            <w:r>
              <w:t>2013</w:t>
            </w:r>
          </w:p>
        </w:tc>
        <w:tc>
          <w:tcPr>
            <w:tcW w:w="3698" w:type="dxa"/>
            <w:gridSpan w:val="2"/>
          </w:tcPr>
          <w:p w:rsidR="00E664EE" w:rsidRPr="00D30622" w:rsidRDefault="00E664EE" w:rsidP="00E664EE">
            <w:pPr>
              <w:jc w:val="center"/>
            </w:pPr>
            <w:r>
              <w:t>2014</w:t>
            </w:r>
          </w:p>
        </w:tc>
      </w:tr>
      <w:tr w:rsidR="00E664EE" w:rsidRPr="00800E8C" w:rsidTr="006E76B9">
        <w:tc>
          <w:tcPr>
            <w:tcW w:w="1848" w:type="dxa"/>
          </w:tcPr>
          <w:p w:rsidR="00E664EE" w:rsidRPr="006E76B9" w:rsidRDefault="00E664EE" w:rsidP="00E664EE">
            <w:pPr>
              <w:rPr>
                <w:b/>
              </w:rPr>
            </w:pPr>
            <w:r w:rsidRPr="006E76B9">
              <w:rPr>
                <w:b/>
              </w:rPr>
              <w:t>Jurisdiction</w:t>
            </w:r>
          </w:p>
        </w:tc>
        <w:tc>
          <w:tcPr>
            <w:tcW w:w="1848" w:type="dxa"/>
          </w:tcPr>
          <w:p w:rsidR="00E664EE" w:rsidRPr="00E664EE" w:rsidRDefault="00E664EE" w:rsidP="00E664EE">
            <w:pPr>
              <w:jc w:val="right"/>
              <w:rPr>
                <w:b/>
                <w:bCs/>
              </w:rPr>
            </w:pPr>
            <w:r w:rsidRPr="00E664EE">
              <w:rPr>
                <w:b/>
                <w:bCs/>
              </w:rPr>
              <w:t>Customers in debt (per 100)</w:t>
            </w:r>
          </w:p>
        </w:tc>
        <w:tc>
          <w:tcPr>
            <w:tcW w:w="1848" w:type="dxa"/>
          </w:tcPr>
          <w:p w:rsidR="00E664EE" w:rsidRPr="00E664EE" w:rsidRDefault="00E664EE" w:rsidP="00E664EE">
            <w:pPr>
              <w:jc w:val="right"/>
              <w:rPr>
                <w:b/>
                <w:bCs/>
              </w:rPr>
            </w:pPr>
            <w:r w:rsidRPr="00E664EE">
              <w:rPr>
                <w:b/>
                <w:bCs/>
              </w:rPr>
              <w:t>Average debt</w:t>
            </w:r>
          </w:p>
        </w:tc>
        <w:tc>
          <w:tcPr>
            <w:tcW w:w="1849" w:type="dxa"/>
          </w:tcPr>
          <w:p w:rsidR="00E664EE" w:rsidRPr="00E664EE" w:rsidRDefault="00E664EE" w:rsidP="00E664EE">
            <w:pPr>
              <w:jc w:val="right"/>
              <w:rPr>
                <w:b/>
                <w:bCs/>
              </w:rPr>
            </w:pPr>
            <w:r w:rsidRPr="00E664EE">
              <w:rPr>
                <w:b/>
                <w:bCs/>
              </w:rPr>
              <w:t>Customers in debt (per 100)</w:t>
            </w:r>
          </w:p>
        </w:tc>
        <w:tc>
          <w:tcPr>
            <w:tcW w:w="1849" w:type="dxa"/>
          </w:tcPr>
          <w:p w:rsidR="00E664EE" w:rsidRPr="00E664EE" w:rsidRDefault="00E664EE" w:rsidP="00E664EE">
            <w:pPr>
              <w:jc w:val="right"/>
              <w:rPr>
                <w:b/>
                <w:bCs/>
              </w:rPr>
            </w:pPr>
            <w:r w:rsidRPr="00E664EE">
              <w:rPr>
                <w:b/>
                <w:bCs/>
              </w:rPr>
              <w:t>Average debt</w:t>
            </w:r>
          </w:p>
        </w:tc>
      </w:tr>
      <w:tr w:rsidR="00E664EE" w:rsidRPr="00800E8C" w:rsidTr="006E76B9">
        <w:trPr>
          <w:cnfStyle w:val="000000010000" w:firstRow="0" w:lastRow="0" w:firstColumn="0" w:lastColumn="0" w:oddVBand="0" w:evenVBand="0" w:oddHBand="0" w:evenHBand="1" w:firstRowFirstColumn="0" w:firstRowLastColumn="0" w:lastRowFirstColumn="0" w:lastRowLastColumn="0"/>
        </w:trPr>
        <w:tc>
          <w:tcPr>
            <w:tcW w:w="1848" w:type="dxa"/>
          </w:tcPr>
          <w:p w:rsidR="00E664EE" w:rsidRPr="00E664EE" w:rsidRDefault="00E664EE" w:rsidP="00E664EE">
            <w:pPr>
              <w:rPr>
                <w:b/>
              </w:rPr>
            </w:pPr>
            <w:r w:rsidRPr="00E664EE">
              <w:t>South Australia</w:t>
            </w:r>
          </w:p>
        </w:tc>
        <w:tc>
          <w:tcPr>
            <w:tcW w:w="1848" w:type="dxa"/>
          </w:tcPr>
          <w:p w:rsidR="00E664EE" w:rsidRPr="00E664EE" w:rsidRDefault="00E664EE" w:rsidP="00E664EE">
            <w:pPr>
              <w:jc w:val="right"/>
              <w:rPr>
                <w:bCs/>
              </w:rPr>
            </w:pPr>
            <w:r w:rsidRPr="00E664EE">
              <w:rPr>
                <w:bCs/>
              </w:rPr>
              <w:t>6.00</w:t>
            </w:r>
          </w:p>
        </w:tc>
        <w:tc>
          <w:tcPr>
            <w:tcW w:w="1848" w:type="dxa"/>
          </w:tcPr>
          <w:p w:rsidR="00E664EE" w:rsidRPr="00E664EE" w:rsidRDefault="00E664EE" w:rsidP="00E664EE">
            <w:pPr>
              <w:jc w:val="right"/>
              <w:rPr>
                <w:bCs/>
              </w:rPr>
            </w:pPr>
            <w:r w:rsidRPr="00E664EE">
              <w:rPr>
                <w:bCs/>
              </w:rPr>
              <w:t>$1 453</w:t>
            </w:r>
          </w:p>
        </w:tc>
        <w:tc>
          <w:tcPr>
            <w:tcW w:w="1849" w:type="dxa"/>
          </w:tcPr>
          <w:p w:rsidR="00E664EE" w:rsidRPr="00E664EE" w:rsidRDefault="00E664EE" w:rsidP="00E664EE">
            <w:pPr>
              <w:jc w:val="right"/>
              <w:rPr>
                <w:bCs/>
              </w:rPr>
            </w:pPr>
            <w:r w:rsidRPr="00E664EE">
              <w:rPr>
                <w:bCs/>
              </w:rPr>
              <w:t>3.85</w:t>
            </w:r>
          </w:p>
        </w:tc>
        <w:tc>
          <w:tcPr>
            <w:tcW w:w="1849" w:type="dxa"/>
          </w:tcPr>
          <w:p w:rsidR="00E664EE" w:rsidRPr="00E664EE" w:rsidRDefault="00E664EE" w:rsidP="00E664EE">
            <w:pPr>
              <w:jc w:val="right"/>
              <w:rPr>
                <w:bCs/>
              </w:rPr>
            </w:pPr>
            <w:r w:rsidRPr="00E664EE">
              <w:rPr>
                <w:bCs/>
              </w:rPr>
              <w:t>$1 594</w:t>
            </w:r>
          </w:p>
        </w:tc>
      </w:tr>
      <w:tr w:rsidR="00E664EE" w:rsidRPr="00800E8C" w:rsidTr="006E76B9">
        <w:tc>
          <w:tcPr>
            <w:tcW w:w="1848" w:type="dxa"/>
          </w:tcPr>
          <w:p w:rsidR="00E664EE" w:rsidRPr="00E664EE" w:rsidRDefault="00E664EE" w:rsidP="00E664EE">
            <w:pPr>
              <w:rPr>
                <w:b/>
              </w:rPr>
            </w:pPr>
            <w:r w:rsidRPr="00E664EE">
              <w:t>Tasmania</w:t>
            </w:r>
          </w:p>
        </w:tc>
        <w:tc>
          <w:tcPr>
            <w:tcW w:w="1848" w:type="dxa"/>
          </w:tcPr>
          <w:p w:rsidR="00E664EE" w:rsidRPr="00E664EE" w:rsidRDefault="00E664EE" w:rsidP="00E664EE">
            <w:pPr>
              <w:jc w:val="right"/>
            </w:pPr>
            <w:r w:rsidRPr="00E664EE">
              <w:t>2.59</w:t>
            </w:r>
          </w:p>
        </w:tc>
        <w:tc>
          <w:tcPr>
            <w:tcW w:w="1848" w:type="dxa"/>
          </w:tcPr>
          <w:p w:rsidR="00E664EE" w:rsidRPr="00E664EE" w:rsidRDefault="00E664EE" w:rsidP="00E664EE">
            <w:pPr>
              <w:jc w:val="right"/>
            </w:pPr>
            <w:r w:rsidRPr="00E664EE">
              <w:t>$1 918</w:t>
            </w:r>
          </w:p>
        </w:tc>
        <w:tc>
          <w:tcPr>
            <w:tcW w:w="1849" w:type="dxa"/>
          </w:tcPr>
          <w:p w:rsidR="00E664EE" w:rsidRPr="00E664EE" w:rsidRDefault="00E664EE" w:rsidP="00E664EE">
            <w:pPr>
              <w:jc w:val="right"/>
            </w:pPr>
            <w:r w:rsidRPr="00E664EE">
              <w:t>1.38</w:t>
            </w:r>
          </w:p>
        </w:tc>
        <w:tc>
          <w:tcPr>
            <w:tcW w:w="1849" w:type="dxa"/>
          </w:tcPr>
          <w:p w:rsidR="00E664EE" w:rsidRPr="00E664EE" w:rsidRDefault="00E664EE" w:rsidP="00E664EE">
            <w:pPr>
              <w:jc w:val="right"/>
            </w:pPr>
            <w:r w:rsidRPr="00E664EE">
              <w:t>$1 136</w:t>
            </w:r>
          </w:p>
        </w:tc>
      </w:tr>
      <w:tr w:rsidR="00E664EE" w:rsidRPr="00800E8C" w:rsidTr="006E76B9">
        <w:trPr>
          <w:cnfStyle w:val="000000010000" w:firstRow="0" w:lastRow="0" w:firstColumn="0" w:lastColumn="0" w:oddVBand="0" w:evenVBand="0" w:oddHBand="0" w:evenHBand="1" w:firstRowFirstColumn="0" w:firstRowLastColumn="0" w:lastRowFirstColumn="0" w:lastRowLastColumn="0"/>
        </w:trPr>
        <w:tc>
          <w:tcPr>
            <w:tcW w:w="1848" w:type="dxa"/>
          </w:tcPr>
          <w:p w:rsidR="00E664EE" w:rsidRPr="00E664EE" w:rsidRDefault="00E664EE" w:rsidP="00E664EE">
            <w:pPr>
              <w:rPr>
                <w:b/>
              </w:rPr>
            </w:pPr>
            <w:r w:rsidRPr="00E664EE">
              <w:t>ACT</w:t>
            </w:r>
          </w:p>
        </w:tc>
        <w:tc>
          <w:tcPr>
            <w:tcW w:w="1848" w:type="dxa"/>
          </w:tcPr>
          <w:p w:rsidR="00E664EE" w:rsidRPr="00E664EE" w:rsidRDefault="00E664EE" w:rsidP="00E664EE">
            <w:pPr>
              <w:jc w:val="right"/>
              <w:rPr>
                <w:bCs/>
              </w:rPr>
            </w:pPr>
            <w:r w:rsidRPr="00E664EE">
              <w:rPr>
                <w:bCs/>
              </w:rPr>
              <w:t>4.83</w:t>
            </w:r>
          </w:p>
        </w:tc>
        <w:tc>
          <w:tcPr>
            <w:tcW w:w="1848" w:type="dxa"/>
          </w:tcPr>
          <w:p w:rsidR="00E664EE" w:rsidRPr="00E664EE" w:rsidRDefault="00E664EE" w:rsidP="00E664EE">
            <w:pPr>
              <w:jc w:val="right"/>
              <w:rPr>
                <w:bCs/>
              </w:rPr>
            </w:pPr>
            <w:r w:rsidRPr="00E664EE">
              <w:rPr>
                <w:bCs/>
              </w:rPr>
              <w:t>$803</w:t>
            </w:r>
          </w:p>
        </w:tc>
        <w:tc>
          <w:tcPr>
            <w:tcW w:w="1849" w:type="dxa"/>
          </w:tcPr>
          <w:p w:rsidR="00E664EE" w:rsidRPr="00E664EE" w:rsidRDefault="00E664EE" w:rsidP="00E664EE">
            <w:pPr>
              <w:jc w:val="right"/>
              <w:rPr>
                <w:bCs/>
              </w:rPr>
            </w:pPr>
            <w:r w:rsidRPr="00E664EE">
              <w:rPr>
                <w:bCs/>
              </w:rPr>
              <w:t>6.28</w:t>
            </w:r>
          </w:p>
        </w:tc>
        <w:tc>
          <w:tcPr>
            <w:tcW w:w="1849" w:type="dxa"/>
          </w:tcPr>
          <w:p w:rsidR="00E664EE" w:rsidRPr="00E664EE" w:rsidRDefault="00E664EE" w:rsidP="00E664EE">
            <w:pPr>
              <w:jc w:val="right"/>
              <w:rPr>
                <w:bCs/>
              </w:rPr>
            </w:pPr>
            <w:r w:rsidRPr="00E664EE">
              <w:rPr>
                <w:bCs/>
              </w:rPr>
              <w:t>$674</w:t>
            </w:r>
          </w:p>
        </w:tc>
      </w:tr>
      <w:tr w:rsidR="00E664EE" w:rsidRPr="00800E8C" w:rsidTr="006E76B9">
        <w:tc>
          <w:tcPr>
            <w:tcW w:w="1848" w:type="dxa"/>
          </w:tcPr>
          <w:p w:rsidR="00E664EE" w:rsidRPr="00E664EE" w:rsidRDefault="00E664EE" w:rsidP="00E664EE">
            <w:pPr>
              <w:rPr>
                <w:b/>
              </w:rPr>
            </w:pPr>
            <w:r w:rsidRPr="00E664EE">
              <w:t>NSW</w:t>
            </w:r>
          </w:p>
        </w:tc>
        <w:tc>
          <w:tcPr>
            <w:tcW w:w="1848" w:type="dxa"/>
          </w:tcPr>
          <w:p w:rsidR="00E664EE" w:rsidRPr="00E664EE" w:rsidRDefault="00E664EE" w:rsidP="00E664EE">
            <w:pPr>
              <w:jc w:val="right"/>
            </w:pPr>
            <w:r w:rsidRPr="00E664EE">
              <w:t>N/A</w:t>
            </w:r>
          </w:p>
        </w:tc>
        <w:tc>
          <w:tcPr>
            <w:tcW w:w="1848" w:type="dxa"/>
          </w:tcPr>
          <w:p w:rsidR="00E664EE" w:rsidRPr="00E664EE" w:rsidRDefault="00E664EE" w:rsidP="00E664EE">
            <w:pPr>
              <w:jc w:val="right"/>
            </w:pPr>
            <w:r w:rsidRPr="00E664EE">
              <w:t>N/A</w:t>
            </w:r>
          </w:p>
        </w:tc>
        <w:tc>
          <w:tcPr>
            <w:tcW w:w="1849" w:type="dxa"/>
          </w:tcPr>
          <w:p w:rsidR="00E664EE" w:rsidRPr="00E664EE" w:rsidRDefault="00E664EE" w:rsidP="00E664EE">
            <w:pPr>
              <w:jc w:val="right"/>
            </w:pPr>
            <w:r w:rsidRPr="00E664EE">
              <w:t>3.87</w:t>
            </w:r>
          </w:p>
        </w:tc>
        <w:tc>
          <w:tcPr>
            <w:tcW w:w="1849" w:type="dxa"/>
          </w:tcPr>
          <w:p w:rsidR="00E664EE" w:rsidRPr="00E664EE" w:rsidRDefault="00E664EE" w:rsidP="00E664EE">
            <w:pPr>
              <w:jc w:val="right"/>
            </w:pPr>
            <w:r w:rsidRPr="00E664EE">
              <w:t>$1 636</w:t>
            </w:r>
          </w:p>
        </w:tc>
      </w:tr>
    </w:tbl>
    <w:p w:rsidR="00E664EE" w:rsidRPr="00800E8C" w:rsidRDefault="00E664EE" w:rsidP="00E664EE">
      <w:pPr>
        <w:spacing w:before="0" w:after="200"/>
        <w:rPr>
          <w:b/>
        </w:rPr>
      </w:pPr>
    </w:p>
    <w:p w:rsidR="00E664EE" w:rsidRPr="00800E8C" w:rsidRDefault="00E664EE" w:rsidP="00E664EE">
      <w:pPr>
        <w:spacing w:before="0" w:after="200"/>
        <w:rPr>
          <w:b/>
        </w:rPr>
      </w:pPr>
      <w:r>
        <w:rPr>
          <w:b/>
        </w:rPr>
        <w:t>Table 2.4</w:t>
      </w:r>
      <w:r w:rsidRPr="00800E8C">
        <w:rPr>
          <w:b/>
        </w:rPr>
        <w:t xml:space="preserve">: Small business gas debt (by jurisdiction) – </w:t>
      </w:r>
      <w:r>
        <w:rPr>
          <w:b/>
        </w:rPr>
        <w:t>as at 30 June</w:t>
      </w:r>
      <w:r w:rsidRPr="00800E8C">
        <w:rPr>
          <w:b/>
        </w:rPr>
        <w:t xml:space="preserve"> </w:t>
      </w:r>
    </w:p>
    <w:tbl>
      <w:tblPr>
        <w:tblStyle w:val="AERTable-Text"/>
        <w:tblW w:w="0" w:type="auto"/>
        <w:tblLook w:val="04A0" w:firstRow="1" w:lastRow="0" w:firstColumn="1" w:lastColumn="0" w:noHBand="0" w:noVBand="1"/>
      </w:tblPr>
      <w:tblGrid>
        <w:gridCol w:w="1848"/>
        <w:gridCol w:w="1848"/>
        <w:gridCol w:w="1848"/>
        <w:gridCol w:w="1849"/>
        <w:gridCol w:w="1849"/>
      </w:tblGrid>
      <w:tr w:rsidR="00E664EE" w:rsidRPr="00800E8C" w:rsidTr="006E76B9">
        <w:trPr>
          <w:cnfStyle w:val="100000000000" w:firstRow="1" w:lastRow="0" w:firstColumn="0" w:lastColumn="0" w:oddVBand="0" w:evenVBand="0" w:oddHBand="0" w:evenHBand="0" w:firstRowFirstColumn="0" w:firstRowLastColumn="0" w:lastRowFirstColumn="0" w:lastRowLastColumn="0"/>
        </w:trPr>
        <w:tc>
          <w:tcPr>
            <w:tcW w:w="1848" w:type="dxa"/>
          </w:tcPr>
          <w:p w:rsidR="00E664EE" w:rsidRPr="00D30622" w:rsidRDefault="00E664EE" w:rsidP="00E664EE"/>
        </w:tc>
        <w:tc>
          <w:tcPr>
            <w:tcW w:w="3696" w:type="dxa"/>
            <w:gridSpan w:val="2"/>
          </w:tcPr>
          <w:p w:rsidR="00E664EE" w:rsidRPr="00D30622" w:rsidRDefault="00E664EE" w:rsidP="00E664EE">
            <w:pPr>
              <w:jc w:val="center"/>
            </w:pPr>
            <w:r>
              <w:t>2013</w:t>
            </w:r>
          </w:p>
        </w:tc>
        <w:tc>
          <w:tcPr>
            <w:tcW w:w="3698" w:type="dxa"/>
            <w:gridSpan w:val="2"/>
          </w:tcPr>
          <w:p w:rsidR="00E664EE" w:rsidRPr="00D30622" w:rsidRDefault="00E664EE" w:rsidP="00E664EE">
            <w:pPr>
              <w:jc w:val="center"/>
            </w:pPr>
            <w:r>
              <w:t>2014</w:t>
            </w:r>
          </w:p>
        </w:tc>
      </w:tr>
      <w:tr w:rsidR="00E664EE" w:rsidRPr="00800E8C" w:rsidTr="006E76B9">
        <w:tc>
          <w:tcPr>
            <w:tcW w:w="1848" w:type="dxa"/>
          </w:tcPr>
          <w:p w:rsidR="00E664EE" w:rsidRPr="006E76B9" w:rsidRDefault="00E664EE" w:rsidP="00E664EE">
            <w:pPr>
              <w:rPr>
                <w:b/>
              </w:rPr>
            </w:pPr>
            <w:r w:rsidRPr="006E76B9">
              <w:rPr>
                <w:b/>
              </w:rPr>
              <w:t>Jurisdiction</w:t>
            </w:r>
          </w:p>
        </w:tc>
        <w:tc>
          <w:tcPr>
            <w:tcW w:w="1848" w:type="dxa"/>
          </w:tcPr>
          <w:p w:rsidR="00E664EE" w:rsidRPr="00E664EE" w:rsidRDefault="00E664EE" w:rsidP="00E664EE">
            <w:pPr>
              <w:jc w:val="right"/>
              <w:rPr>
                <w:b/>
                <w:bCs/>
              </w:rPr>
            </w:pPr>
            <w:r w:rsidRPr="00E664EE">
              <w:rPr>
                <w:b/>
                <w:bCs/>
              </w:rPr>
              <w:t>Customers in debt (per 100)</w:t>
            </w:r>
          </w:p>
        </w:tc>
        <w:tc>
          <w:tcPr>
            <w:tcW w:w="1848" w:type="dxa"/>
          </w:tcPr>
          <w:p w:rsidR="00E664EE" w:rsidRPr="00E664EE" w:rsidRDefault="00E664EE" w:rsidP="00E664EE">
            <w:pPr>
              <w:jc w:val="right"/>
              <w:rPr>
                <w:b/>
                <w:bCs/>
              </w:rPr>
            </w:pPr>
            <w:r w:rsidRPr="00E664EE">
              <w:rPr>
                <w:b/>
                <w:bCs/>
              </w:rPr>
              <w:t>Average debt</w:t>
            </w:r>
          </w:p>
        </w:tc>
        <w:tc>
          <w:tcPr>
            <w:tcW w:w="1849" w:type="dxa"/>
          </w:tcPr>
          <w:p w:rsidR="00E664EE" w:rsidRPr="00E664EE" w:rsidRDefault="00E664EE" w:rsidP="00E664EE">
            <w:pPr>
              <w:jc w:val="right"/>
              <w:rPr>
                <w:b/>
                <w:bCs/>
              </w:rPr>
            </w:pPr>
            <w:r w:rsidRPr="00E664EE">
              <w:rPr>
                <w:b/>
                <w:bCs/>
              </w:rPr>
              <w:t>Customers in debt (per 100)</w:t>
            </w:r>
          </w:p>
        </w:tc>
        <w:tc>
          <w:tcPr>
            <w:tcW w:w="1849" w:type="dxa"/>
          </w:tcPr>
          <w:p w:rsidR="00E664EE" w:rsidRPr="00E664EE" w:rsidRDefault="00E664EE" w:rsidP="00E664EE">
            <w:pPr>
              <w:jc w:val="right"/>
              <w:rPr>
                <w:b/>
                <w:bCs/>
              </w:rPr>
            </w:pPr>
            <w:r w:rsidRPr="00E664EE">
              <w:rPr>
                <w:b/>
                <w:bCs/>
              </w:rPr>
              <w:t>Average debt</w:t>
            </w:r>
          </w:p>
        </w:tc>
      </w:tr>
      <w:tr w:rsidR="00E664EE" w:rsidRPr="00800E8C" w:rsidTr="006E76B9">
        <w:trPr>
          <w:cnfStyle w:val="000000010000" w:firstRow="0" w:lastRow="0" w:firstColumn="0" w:lastColumn="0" w:oddVBand="0" w:evenVBand="0" w:oddHBand="0" w:evenHBand="1" w:firstRowFirstColumn="0" w:firstRowLastColumn="0" w:lastRowFirstColumn="0" w:lastRowLastColumn="0"/>
        </w:trPr>
        <w:tc>
          <w:tcPr>
            <w:tcW w:w="1848" w:type="dxa"/>
          </w:tcPr>
          <w:p w:rsidR="00E664EE" w:rsidRPr="00E664EE" w:rsidRDefault="00E664EE" w:rsidP="00E664EE">
            <w:pPr>
              <w:rPr>
                <w:b/>
              </w:rPr>
            </w:pPr>
            <w:r w:rsidRPr="00E664EE">
              <w:t>South Australia</w:t>
            </w:r>
          </w:p>
        </w:tc>
        <w:tc>
          <w:tcPr>
            <w:tcW w:w="1848" w:type="dxa"/>
          </w:tcPr>
          <w:p w:rsidR="00E664EE" w:rsidRPr="00E664EE" w:rsidRDefault="00E664EE" w:rsidP="00E664EE">
            <w:pPr>
              <w:jc w:val="right"/>
              <w:rPr>
                <w:bCs/>
              </w:rPr>
            </w:pPr>
            <w:r w:rsidRPr="00E664EE">
              <w:rPr>
                <w:bCs/>
              </w:rPr>
              <w:t>4.86</w:t>
            </w:r>
          </w:p>
        </w:tc>
        <w:tc>
          <w:tcPr>
            <w:tcW w:w="1848" w:type="dxa"/>
          </w:tcPr>
          <w:p w:rsidR="00E664EE" w:rsidRPr="00E664EE" w:rsidRDefault="00E664EE" w:rsidP="00E664EE">
            <w:pPr>
              <w:jc w:val="right"/>
              <w:rPr>
                <w:bCs/>
              </w:rPr>
            </w:pPr>
            <w:r w:rsidRPr="00E664EE">
              <w:rPr>
                <w:bCs/>
              </w:rPr>
              <w:t>$1 544</w:t>
            </w:r>
          </w:p>
        </w:tc>
        <w:tc>
          <w:tcPr>
            <w:tcW w:w="1849" w:type="dxa"/>
          </w:tcPr>
          <w:p w:rsidR="00E664EE" w:rsidRPr="00E664EE" w:rsidRDefault="00E664EE" w:rsidP="00E664EE">
            <w:pPr>
              <w:jc w:val="right"/>
              <w:rPr>
                <w:bCs/>
              </w:rPr>
            </w:pPr>
            <w:r w:rsidRPr="00E664EE">
              <w:rPr>
                <w:bCs/>
              </w:rPr>
              <w:t>3.62</w:t>
            </w:r>
          </w:p>
        </w:tc>
        <w:tc>
          <w:tcPr>
            <w:tcW w:w="1849" w:type="dxa"/>
          </w:tcPr>
          <w:p w:rsidR="00E664EE" w:rsidRPr="00E664EE" w:rsidRDefault="00E664EE" w:rsidP="00E664EE">
            <w:pPr>
              <w:jc w:val="right"/>
              <w:rPr>
                <w:bCs/>
              </w:rPr>
            </w:pPr>
            <w:r w:rsidRPr="00E664EE">
              <w:rPr>
                <w:bCs/>
              </w:rPr>
              <w:t>$1 570</w:t>
            </w:r>
          </w:p>
        </w:tc>
      </w:tr>
      <w:tr w:rsidR="00E664EE" w:rsidRPr="00800E8C" w:rsidTr="006E76B9">
        <w:tc>
          <w:tcPr>
            <w:tcW w:w="1848" w:type="dxa"/>
          </w:tcPr>
          <w:p w:rsidR="00E664EE" w:rsidRPr="00E664EE" w:rsidRDefault="00E664EE" w:rsidP="00E664EE">
            <w:pPr>
              <w:rPr>
                <w:b/>
              </w:rPr>
            </w:pPr>
            <w:r w:rsidRPr="00E664EE">
              <w:t>ACT</w:t>
            </w:r>
          </w:p>
        </w:tc>
        <w:tc>
          <w:tcPr>
            <w:tcW w:w="1848" w:type="dxa"/>
          </w:tcPr>
          <w:p w:rsidR="00E664EE" w:rsidRPr="00E664EE" w:rsidRDefault="00E664EE" w:rsidP="00E664EE">
            <w:pPr>
              <w:jc w:val="right"/>
            </w:pPr>
            <w:r w:rsidRPr="00E664EE">
              <w:t>9.81</w:t>
            </w:r>
          </w:p>
        </w:tc>
        <w:tc>
          <w:tcPr>
            <w:tcW w:w="1848" w:type="dxa"/>
          </w:tcPr>
          <w:p w:rsidR="00E664EE" w:rsidRPr="00E664EE" w:rsidRDefault="00E664EE" w:rsidP="00E664EE">
            <w:pPr>
              <w:jc w:val="right"/>
            </w:pPr>
            <w:r w:rsidRPr="00E664EE">
              <w:t>$2 097</w:t>
            </w:r>
          </w:p>
        </w:tc>
        <w:tc>
          <w:tcPr>
            <w:tcW w:w="1849" w:type="dxa"/>
          </w:tcPr>
          <w:p w:rsidR="00E664EE" w:rsidRPr="00E664EE" w:rsidRDefault="00E664EE" w:rsidP="00E664EE">
            <w:pPr>
              <w:jc w:val="right"/>
            </w:pPr>
            <w:r w:rsidRPr="00E664EE">
              <w:t>9.50</w:t>
            </w:r>
          </w:p>
        </w:tc>
        <w:tc>
          <w:tcPr>
            <w:tcW w:w="1849" w:type="dxa"/>
          </w:tcPr>
          <w:p w:rsidR="00E664EE" w:rsidRPr="00E664EE" w:rsidRDefault="00E664EE" w:rsidP="00E664EE">
            <w:pPr>
              <w:jc w:val="right"/>
            </w:pPr>
            <w:r w:rsidRPr="00E664EE">
              <w:t>$1 536</w:t>
            </w:r>
          </w:p>
        </w:tc>
      </w:tr>
      <w:tr w:rsidR="00E664EE" w:rsidRPr="00800E8C" w:rsidTr="006E76B9">
        <w:trPr>
          <w:cnfStyle w:val="000000010000" w:firstRow="0" w:lastRow="0" w:firstColumn="0" w:lastColumn="0" w:oddVBand="0" w:evenVBand="0" w:oddHBand="0" w:evenHBand="1" w:firstRowFirstColumn="0" w:firstRowLastColumn="0" w:lastRowFirstColumn="0" w:lastRowLastColumn="0"/>
        </w:trPr>
        <w:tc>
          <w:tcPr>
            <w:tcW w:w="1848" w:type="dxa"/>
          </w:tcPr>
          <w:p w:rsidR="00E664EE" w:rsidRPr="00E664EE" w:rsidRDefault="00E664EE" w:rsidP="00E664EE">
            <w:pPr>
              <w:rPr>
                <w:b/>
              </w:rPr>
            </w:pPr>
            <w:r w:rsidRPr="00E664EE">
              <w:t>NSW</w:t>
            </w:r>
          </w:p>
        </w:tc>
        <w:tc>
          <w:tcPr>
            <w:tcW w:w="1848" w:type="dxa"/>
          </w:tcPr>
          <w:p w:rsidR="00E664EE" w:rsidRPr="00E664EE" w:rsidRDefault="00E664EE" w:rsidP="00E664EE">
            <w:pPr>
              <w:jc w:val="right"/>
              <w:rPr>
                <w:bCs/>
              </w:rPr>
            </w:pPr>
            <w:r w:rsidRPr="00E664EE">
              <w:rPr>
                <w:bCs/>
              </w:rPr>
              <w:t>N/A</w:t>
            </w:r>
          </w:p>
        </w:tc>
        <w:tc>
          <w:tcPr>
            <w:tcW w:w="1848" w:type="dxa"/>
          </w:tcPr>
          <w:p w:rsidR="00E664EE" w:rsidRPr="00E664EE" w:rsidRDefault="00E664EE" w:rsidP="00E664EE">
            <w:pPr>
              <w:jc w:val="right"/>
              <w:rPr>
                <w:bCs/>
              </w:rPr>
            </w:pPr>
            <w:r w:rsidRPr="00E664EE">
              <w:rPr>
                <w:bCs/>
              </w:rPr>
              <w:t>N/A</w:t>
            </w:r>
          </w:p>
        </w:tc>
        <w:tc>
          <w:tcPr>
            <w:tcW w:w="1849" w:type="dxa"/>
          </w:tcPr>
          <w:p w:rsidR="00E664EE" w:rsidRPr="00E664EE" w:rsidRDefault="00E664EE" w:rsidP="00E664EE">
            <w:pPr>
              <w:jc w:val="right"/>
              <w:rPr>
                <w:bCs/>
              </w:rPr>
            </w:pPr>
            <w:r w:rsidRPr="00E664EE">
              <w:rPr>
                <w:bCs/>
              </w:rPr>
              <w:t>7.21</w:t>
            </w:r>
          </w:p>
        </w:tc>
        <w:tc>
          <w:tcPr>
            <w:tcW w:w="1849" w:type="dxa"/>
          </w:tcPr>
          <w:p w:rsidR="00E664EE" w:rsidRPr="00E664EE" w:rsidRDefault="00E664EE" w:rsidP="00E664EE">
            <w:pPr>
              <w:jc w:val="right"/>
              <w:rPr>
                <w:bCs/>
              </w:rPr>
            </w:pPr>
            <w:r w:rsidRPr="00E664EE">
              <w:rPr>
                <w:bCs/>
              </w:rPr>
              <w:t>$1 679</w:t>
            </w:r>
          </w:p>
        </w:tc>
      </w:tr>
    </w:tbl>
    <w:p w:rsidR="00E664EE" w:rsidRPr="001C2483" w:rsidRDefault="00E664EE" w:rsidP="00AA3437">
      <w:pPr>
        <w:pStyle w:val="Headingnumbered11"/>
        <w:spacing w:after="240"/>
        <w:rPr>
          <w:rFonts w:ascii="Lucida Fax" w:hAnsi="Lucida Fax"/>
          <w:sz w:val="32"/>
          <w:szCs w:val="32"/>
        </w:rPr>
      </w:pPr>
      <w:bookmarkStart w:id="32" w:name="_Toc402961393"/>
      <w:r>
        <w:t>Payment plans</w:t>
      </w:r>
      <w:bookmarkEnd w:id="32"/>
    </w:p>
    <w:p w:rsidR="00E664EE" w:rsidRDefault="00E664EE" w:rsidP="00E664EE">
      <w:pPr>
        <w:spacing w:before="0" w:after="200"/>
      </w:pPr>
      <w:r>
        <w:t xml:space="preserve">The Retail Law requires energy retailers to offer payment plans to customers experiencing payment difficulties. A payment plan is an agreement between a customer and retailer to pay a regular sum of money towards their bill or arrears. </w:t>
      </w:r>
    </w:p>
    <w:p w:rsidR="00FF36C0" w:rsidRDefault="00FF36C0" w:rsidP="00FF36C0">
      <w:pPr>
        <w:spacing w:before="0" w:after="200"/>
      </w:pPr>
      <w:r>
        <w:t xml:space="preserve">Both customers and energy retailers are responsible for identifying when payment assistance is required. Proactive retailers promptly identify customers in debt and help them manage debt through payment plans or hardship programs (section 2.5).  </w:t>
      </w:r>
    </w:p>
    <w:p w:rsidR="00E664EE" w:rsidRDefault="00E664EE" w:rsidP="00E664EE">
      <w:pPr>
        <w:spacing w:before="0" w:after="200"/>
      </w:pPr>
      <w:r>
        <w:t xml:space="preserve">Retailers must report only on arrangements with at least three instalments, and where the customer is paying off arrears (of any overdue amount). Customers using flexible payment arrangements for convenience or budgeting purposes are excluded for the purposes of payment plan reporting. </w:t>
      </w:r>
    </w:p>
    <w:p w:rsidR="00E664EE" w:rsidRDefault="00E664EE" w:rsidP="00E664EE">
      <w:pPr>
        <w:spacing w:before="0" w:after="200"/>
      </w:pPr>
      <w:r>
        <w:t xml:space="preserve">Figure 2.5 shows that payment plans are most commonly used by customers in South Australia – over 3 </w:t>
      </w:r>
      <w:r w:rsidR="00FF36C0">
        <w:t xml:space="preserve">per </w:t>
      </w:r>
      <w:r>
        <w:t xml:space="preserve">100 electricity customers and over 2 </w:t>
      </w:r>
      <w:r w:rsidR="00FF36C0">
        <w:t xml:space="preserve">per </w:t>
      </w:r>
      <w:r>
        <w:t>100 gas customers.</w:t>
      </w:r>
    </w:p>
    <w:p w:rsidR="00145FCB" w:rsidRPr="000741C8" w:rsidRDefault="00E664EE" w:rsidP="000741C8">
      <w:pPr>
        <w:spacing w:before="0" w:after="200"/>
      </w:pPr>
      <w:r>
        <w:t xml:space="preserve">A relatively low number of customers are on payment plans in the ACT. This is partly because the ACT Civil and Administrative Tribunal (ACAT) also </w:t>
      </w:r>
      <w:r w:rsidR="00FF36C0">
        <w:t xml:space="preserve">has </w:t>
      </w:r>
      <w:r>
        <w:t xml:space="preserve">a payment plan scheme for energy customers in financial hardship. However it is notable that more gas customers in </w:t>
      </w:r>
      <w:r>
        <w:lastRenderedPageBreak/>
        <w:t>the ACT are on payment plans in the September and December quarters. This suggests that retailer assistance is required to repay debts that accrue over the w</w:t>
      </w:r>
      <w:r w:rsidR="000741C8">
        <w:t>inter months.</w:t>
      </w:r>
    </w:p>
    <w:p w:rsidR="00E664EE" w:rsidRDefault="00E664EE" w:rsidP="00E664EE">
      <w:pPr>
        <w:spacing w:before="0" w:after="200"/>
        <w:rPr>
          <w:b/>
        </w:rPr>
      </w:pPr>
      <w:r>
        <w:rPr>
          <w:b/>
        </w:rPr>
        <w:t>Figure 2.5: Residential customers on a payment plan in each jurisdiction</w:t>
      </w:r>
    </w:p>
    <w:p w:rsidR="00BB3998" w:rsidRPr="00922B9E" w:rsidRDefault="00BB3998" w:rsidP="00E664EE">
      <w:pPr>
        <w:spacing w:before="0" w:after="200"/>
      </w:pPr>
      <w:r>
        <w:rPr>
          <w:noProof/>
          <w:lang w:eastAsia="en-AU"/>
        </w:rPr>
        <w:drawing>
          <wp:inline distT="0" distB="0" distL="0" distR="0" wp14:anchorId="2982FE1E" wp14:editId="215B8052">
            <wp:extent cx="5493600" cy="7200000"/>
            <wp:effectExtent l="0" t="0" r="0" b="1270"/>
            <wp:docPr id="23" name="Picture 23" descr="Over 3 per cent of electricity customers and 2 per cent of gas customers use payment plans to repay debt in South Australia. In New South Wales around 2 per cent of electricity customers and 1 per cent of gas customers use payment plans. Just over 1 per cent of electricity customers use payment plans in Tasmania. In the ACT, fewer than 1 in 200 customers use payment plans to repay debt."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3600" cy="7200000"/>
                    </a:xfrm>
                    <a:prstGeom prst="rect">
                      <a:avLst/>
                    </a:prstGeom>
                    <a:noFill/>
                  </pic:spPr>
                </pic:pic>
              </a:graphicData>
            </a:graphic>
          </wp:inline>
        </w:drawing>
      </w:r>
    </w:p>
    <w:p w:rsidR="00E664EE" w:rsidRDefault="00E664EE" w:rsidP="00E664EE">
      <w:pPr>
        <w:spacing w:before="0" w:after="200"/>
        <w:rPr>
          <w:b/>
        </w:rPr>
      </w:pPr>
      <w:r>
        <w:rPr>
          <w:b/>
        </w:rPr>
        <w:br/>
        <w:t xml:space="preserve"> </w:t>
      </w:r>
    </w:p>
    <w:p w:rsidR="00E664EE" w:rsidRDefault="00E664EE" w:rsidP="00E664EE">
      <w:pPr>
        <w:spacing w:before="0" w:after="200"/>
      </w:pPr>
      <w:r>
        <w:lastRenderedPageBreak/>
        <w:t xml:space="preserve">Table 2.5 shows the number of residential customers on a payment plan for each retailer in each jurisdiction, as well as the number of payment plan cancellations that occurred in 2013-14.   </w:t>
      </w:r>
    </w:p>
    <w:p w:rsidR="00E664EE" w:rsidRPr="00FE2F44" w:rsidRDefault="00E664EE" w:rsidP="00E664EE">
      <w:pPr>
        <w:spacing w:before="0" w:after="200"/>
        <w:rPr>
          <w:b/>
        </w:rPr>
      </w:pPr>
      <w:r>
        <w:rPr>
          <w:b/>
        </w:rPr>
        <w:t>Table 2.5: Customers on payment plans as at June 30 2014 (change since 2013) and with payment plans cancelled during 2013-14</w:t>
      </w:r>
    </w:p>
    <w:tbl>
      <w:tblPr>
        <w:tblStyle w:val="AERTable-Text"/>
        <w:tblW w:w="0" w:type="auto"/>
        <w:tblLook w:val="04A0" w:firstRow="1" w:lastRow="0" w:firstColumn="1" w:lastColumn="0" w:noHBand="0" w:noVBand="1"/>
      </w:tblPr>
      <w:tblGrid>
        <w:gridCol w:w="2235"/>
        <w:gridCol w:w="685"/>
        <w:gridCol w:w="236"/>
        <w:gridCol w:w="921"/>
        <w:gridCol w:w="303"/>
        <w:gridCol w:w="618"/>
        <w:gridCol w:w="922"/>
        <w:gridCol w:w="1564"/>
        <w:gridCol w:w="1644"/>
      </w:tblGrid>
      <w:tr w:rsidR="00E664EE" w:rsidRPr="00FE2F44" w:rsidTr="006E76B9">
        <w:trPr>
          <w:cnfStyle w:val="100000000000" w:firstRow="1" w:lastRow="0" w:firstColumn="0" w:lastColumn="0" w:oddVBand="0" w:evenVBand="0" w:oddHBand="0" w:evenHBand="0" w:firstRowFirstColumn="0" w:firstRowLastColumn="0" w:lastRowFirstColumn="0" w:lastRowLastColumn="0"/>
          <w:trHeight w:val="300"/>
        </w:trPr>
        <w:tc>
          <w:tcPr>
            <w:tcW w:w="2235" w:type="dxa"/>
            <w:noWrap/>
            <w:hideMark/>
          </w:tcPr>
          <w:p w:rsidR="00E664EE" w:rsidRPr="00FE2F44" w:rsidRDefault="00E664EE" w:rsidP="00E664EE">
            <w:pPr>
              <w:spacing w:after="200" w:line="276" w:lineRule="auto"/>
            </w:pPr>
            <w:r w:rsidRPr="00FE2F44">
              <w:t>Retailer</w:t>
            </w:r>
          </w:p>
        </w:tc>
        <w:tc>
          <w:tcPr>
            <w:tcW w:w="3685" w:type="dxa"/>
            <w:gridSpan w:val="6"/>
            <w:noWrap/>
            <w:hideMark/>
          </w:tcPr>
          <w:p w:rsidR="00E664EE" w:rsidRPr="00FE2F44" w:rsidRDefault="00E664EE" w:rsidP="00E664EE">
            <w:pPr>
              <w:spacing w:after="200" w:line="276" w:lineRule="auto"/>
              <w:jc w:val="center"/>
            </w:pPr>
            <w:r w:rsidRPr="00FE2F44">
              <w:t>Customers on payment plans (per 100)</w:t>
            </w:r>
          </w:p>
        </w:tc>
        <w:tc>
          <w:tcPr>
            <w:tcW w:w="3208" w:type="dxa"/>
            <w:gridSpan w:val="2"/>
            <w:noWrap/>
            <w:hideMark/>
          </w:tcPr>
          <w:p w:rsidR="00E664EE" w:rsidRPr="00FE2F44" w:rsidRDefault="00E664EE" w:rsidP="00E664EE">
            <w:pPr>
              <w:spacing w:after="200" w:line="276" w:lineRule="auto"/>
              <w:jc w:val="center"/>
            </w:pPr>
            <w:r w:rsidRPr="00FE2F44">
              <w:t>Customers with payment plans cancelled (per 100)</w:t>
            </w:r>
          </w:p>
        </w:tc>
      </w:tr>
      <w:tr w:rsidR="00E664EE" w:rsidRPr="00FE2F44" w:rsidTr="006E76B9">
        <w:trPr>
          <w:trHeight w:val="300"/>
        </w:trPr>
        <w:tc>
          <w:tcPr>
            <w:tcW w:w="2235" w:type="dxa"/>
            <w:noWrap/>
            <w:hideMark/>
          </w:tcPr>
          <w:p w:rsidR="00E664EE" w:rsidRPr="00E664EE" w:rsidRDefault="00E664EE" w:rsidP="00E664EE"/>
        </w:tc>
        <w:tc>
          <w:tcPr>
            <w:tcW w:w="1842" w:type="dxa"/>
            <w:gridSpan w:val="3"/>
            <w:noWrap/>
            <w:hideMark/>
          </w:tcPr>
          <w:p w:rsidR="00E664EE" w:rsidRPr="00E664EE" w:rsidRDefault="00E664EE" w:rsidP="00E664EE">
            <w:pPr>
              <w:jc w:val="center"/>
              <w:rPr>
                <w:b/>
                <w:bCs/>
              </w:rPr>
            </w:pPr>
            <w:r w:rsidRPr="00E664EE">
              <w:rPr>
                <w:b/>
                <w:bCs/>
              </w:rPr>
              <w:t>Electricity</w:t>
            </w:r>
          </w:p>
        </w:tc>
        <w:tc>
          <w:tcPr>
            <w:tcW w:w="1843" w:type="dxa"/>
            <w:gridSpan w:val="3"/>
            <w:noWrap/>
            <w:hideMark/>
          </w:tcPr>
          <w:p w:rsidR="00E664EE" w:rsidRPr="00E664EE" w:rsidRDefault="00E664EE" w:rsidP="00E664EE">
            <w:pPr>
              <w:jc w:val="center"/>
              <w:rPr>
                <w:b/>
                <w:bCs/>
              </w:rPr>
            </w:pPr>
            <w:r w:rsidRPr="00E664EE">
              <w:rPr>
                <w:b/>
                <w:bCs/>
              </w:rPr>
              <w:t>Gas</w:t>
            </w:r>
          </w:p>
        </w:tc>
        <w:tc>
          <w:tcPr>
            <w:tcW w:w="1564" w:type="dxa"/>
            <w:noWrap/>
            <w:hideMark/>
          </w:tcPr>
          <w:p w:rsidR="00E664EE" w:rsidRPr="00E664EE" w:rsidRDefault="00E664EE" w:rsidP="00E664EE">
            <w:pPr>
              <w:jc w:val="center"/>
              <w:rPr>
                <w:b/>
                <w:bCs/>
              </w:rPr>
            </w:pPr>
            <w:r w:rsidRPr="00E664EE">
              <w:rPr>
                <w:b/>
                <w:bCs/>
              </w:rPr>
              <w:t>Electricity</w:t>
            </w:r>
          </w:p>
        </w:tc>
        <w:tc>
          <w:tcPr>
            <w:tcW w:w="1644" w:type="dxa"/>
            <w:noWrap/>
            <w:hideMark/>
          </w:tcPr>
          <w:p w:rsidR="00E664EE" w:rsidRPr="00E664EE" w:rsidRDefault="00E664EE" w:rsidP="00E664EE">
            <w:pPr>
              <w:jc w:val="center"/>
              <w:rPr>
                <w:b/>
                <w:bCs/>
              </w:rPr>
            </w:pPr>
            <w:r w:rsidRPr="00E664EE">
              <w:rPr>
                <w:b/>
                <w:bCs/>
              </w:rPr>
              <w:t>Gas</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4077" w:type="dxa"/>
            <w:gridSpan w:val="4"/>
            <w:noWrap/>
            <w:hideMark/>
          </w:tcPr>
          <w:p w:rsidR="00E664EE" w:rsidRPr="00922B9E" w:rsidRDefault="00E664EE" w:rsidP="00E664EE">
            <w:pPr>
              <w:rPr>
                <w:b/>
                <w:i/>
              </w:rPr>
            </w:pPr>
            <w:r w:rsidRPr="00922B9E">
              <w:rPr>
                <w:b/>
                <w:i/>
              </w:rPr>
              <w:t>South Australia</w:t>
            </w:r>
          </w:p>
        </w:tc>
        <w:tc>
          <w:tcPr>
            <w:tcW w:w="1843" w:type="dxa"/>
            <w:gridSpan w:val="3"/>
            <w:noWrap/>
            <w:hideMark/>
          </w:tcPr>
          <w:p w:rsidR="00E664EE" w:rsidRPr="00E664EE" w:rsidRDefault="00E664EE" w:rsidP="00E664EE">
            <w:pPr>
              <w:spacing w:after="200" w:line="276" w:lineRule="auto"/>
              <w:rPr>
                <w:b/>
                <w:bCs/>
                <w:i/>
              </w:rPr>
            </w:pPr>
          </w:p>
        </w:tc>
        <w:tc>
          <w:tcPr>
            <w:tcW w:w="1564" w:type="dxa"/>
            <w:noWrap/>
            <w:hideMark/>
          </w:tcPr>
          <w:p w:rsidR="00E664EE" w:rsidRPr="00E664EE" w:rsidRDefault="00E664EE" w:rsidP="00E664EE">
            <w:pPr>
              <w:spacing w:after="200" w:line="276" w:lineRule="auto"/>
              <w:rPr>
                <w:b/>
                <w:bCs/>
                <w:i/>
              </w:rPr>
            </w:pPr>
          </w:p>
        </w:tc>
        <w:tc>
          <w:tcPr>
            <w:tcW w:w="1644" w:type="dxa"/>
            <w:noWrap/>
            <w:hideMark/>
          </w:tcPr>
          <w:p w:rsidR="00E664EE" w:rsidRPr="00E664EE" w:rsidRDefault="00E664EE" w:rsidP="00E664EE">
            <w:pPr>
              <w:spacing w:after="200" w:line="276" w:lineRule="auto"/>
              <w:rPr>
                <w:b/>
                <w:bCs/>
                <w:i/>
              </w:rPr>
            </w:pPr>
          </w:p>
        </w:tc>
      </w:tr>
      <w:tr w:rsidR="00E664EE" w:rsidRPr="00FE2F44" w:rsidTr="006E76B9">
        <w:trPr>
          <w:trHeight w:val="300"/>
        </w:trPr>
        <w:tc>
          <w:tcPr>
            <w:tcW w:w="2235" w:type="dxa"/>
            <w:noWrap/>
            <w:hideMark/>
          </w:tcPr>
          <w:p w:rsidR="00E664EE" w:rsidRPr="00E664EE" w:rsidRDefault="00E664EE" w:rsidP="00E664EE">
            <w:pPr>
              <w:rPr>
                <w:b/>
              </w:rPr>
            </w:pPr>
            <w:r w:rsidRPr="00E664EE">
              <w:t>AGL</w:t>
            </w:r>
          </w:p>
        </w:tc>
        <w:tc>
          <w:tcPr>
            <w:tcW w:w="921" w:type="dxa"/>
            <w:gridSpan w:val="2"/>
            <w:noWrap/>
            <w:hideMark/>
          </w:tcPr>
          <w:p w:rsidR="00E664EE" w:rsidRPr="00E664EE" w:rsidRDefault="00E664EE" w:rsidP="00E664EE">
            <w:pPr>
              <w:jc w:val="right"/>
            </w:pPr>
            <w:r w:rsidRPr="00E664EE">
              <w:t xml:space="preserve">0.84 </w:t>
            </w:r>
          </w:p>
        </w:tc>
        <w:tc>
          <w:tcPr>
            <w:tcW w:w="921" w:type="dxa"/>
          </w:tcPr>
          <w:p w:rsidR="00E664EE" w:rsidRPr="00E664EE" w:rsidRDefault="00E664EE" w:rsidP="00E664EE">
            <w:pPr>
              <w:jc w:val="right"/>
            </w:pPr>
            <w:r w:rsidRPr="00E664EE">
              <w:t>(-0.11)</w:t>
            </w:r>
          </w:p>
        </w:tc>
        <w:tc>
          <w:tcPr>
            <w:tcW w:w="921" w:type="dxa"/>
            <w:gridSpan w:val="2"/>
            <w:noWrap/>
            <w:hideMark/>
          </w:tcPr>
          <w:p w:rsidR="00E664EE" w:rsidRPr="00E664EE" w:rsidRDefault="00E664EE" w:rsidP="00E664EE">
            <w:pPr>
              <w:jc w:val="right"/>
            </w:pPr>
            <w:r w:rsidRPr="00E664EE">
              <w:t xml:space="preserve">0.31 </w:t>
            </w:r>
          </w:p>
        </w:tc>
        <w:tc>
          <w:tcPr>
            <w:tcW w:w="922" w:type="dxa"/>
          </w:tcPr>
          <w:p w:rsidR="00E664EE" w:rsidRPr="00E664EE" w:rsidRDefault="00E664EE" w:rsidP="00E664EE">
            <w:pPr>
              <w:jc w:val="right"/>
            </w:pPr>
            <w:r w:rsidRPr="00E664EE">
              <w:t>(+0.07)</w:t>
            </w:r>
          </w:p>
        </w:tc>
        <w:tc>
          <w:tcPr>
            <w:tcW w:w="1564" w:type="dxa"/>
            <w:noWrap/>
            <w:hideMark/>
          </w:tcPr>
          <w:p w:rsidR="00E664EE" w:rsidRPr="00E664EE" w:rsidRDefault="00E664EE" w:rsidP="00E664EE">
            <w:pPr>
              <w:jc w:val="right"/>
            </w:pPr>
            <w:r w:rsidRPr="00E664EE">
              <w:t>3.19</w:t>
            </w:r>
          </w:p>
        </w:tc>
        <w:tc>
          <w:tcPr>
            <w:tcW w:w="1644" w:type="dxa"/>
            <w:noWrap/>
            <w:hideMark/>
          </w:tcPr>
          <w:p w:rsidR="00E664EE" w:rsidRPr="00E664EE" w:rsidRDefault="00E664EE" w:rsidP="00E664EE">
            <w:pPr>
              <w:jc w:val="right"/>
            </w:pPr>
            <w:r w:rsidRPr="00E664EE">
              <w:t>1.81</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Alinta Energy</w:t>
            </w:r>
          </w:p>
        </w:tc>
        <w:tc>
          <w:tcPr>
            <w:tcW w:w="921" w:type="dxa"/>
            <w:gridSpan w:val="2"/>
            <w:noWrap/>
            <w:hideMark/>
          </w:tcPr>
          <w:p w:rsidR="00E664EE" w:rsidRPr="00E664EE" w:rsidRDefault="00E664EE" w:rsidP="00E664EE">
            <w:pPr>
              <w:jc w:val="right"/>
            </w:pPr>
            <w:r w:rsidRPr="00E664EE">
              <w:t xml:space="preserve">7.13 </w:t>
            </w:r>
          </w:p>
        </w:tc>
        <w:tc>
          <w:tcPr>
            <w:tcW w:w="921" w:type="dxa"/>
          </w:tcPr>
          <w:p w:rsidR="00E664EE" w:rsidRPr="00E664EE" w:rsidRDefault="00E664EE" w:rsidP="00E664EE">
            <w:pPr>
              <w:jc w:val="right"/>
            </w:pPr>
            <w:r w:rsidRPr="00E664EE">
              <w:t>(-3.77)</w:t>
            </w:r>
          </w:p>
        </w:tc>
        <w:tc>
          <w:tcPr>
            <w:tcW w:w="921" w:type="dxa"/>
            <w:gridSpan w:val="2"/>
            <w:noWrap/>
            <w:hideMark/>
          </w:tcPr>
          <w:p w:rsidR="00E664EE" w:rsidRPr="00E664EE" w:rsidRDefault="00E664EE" w:rsidP="00E664EE">
            <w:pPr>
              <w:jc w:val="right"/>
            </w:pPr>
            <w:r w:rsidRPr="00E664EE">
              <w:t xml:space="preserve">3.06 </w:t>
            </w:r>
          </w:p>
        </w:tc>
        <w:tc>
          <w:tcPr>
            <w:tcW w:w="922" w:type="dxa"/>
          </w:tcPr>
          <w:p w:rsidR="00E664EE" w:rsidRPr="00E664EE" w:rsidRDefault="00E664EE" w:rsidP="00E664EE">
            <w:pPr>
              <w:jc w:val="right"/>
            </w:pPr>
            <w:r w:rsidRPr="00E664EE">
              <w:t>(-0.02)</w:t>
            </w:r>
          </w:p>
        </w:tc>
        <w:tc>
          <w:tcPr>
            <w:tcW w:w="1564" w:type="dxa"/>
            <w:noWrap/>
            <w:hideMark/>
          </w:tcPr>
          <w:p w:rsidR="00E664EE" w:rsidRPr="00E664EE" w:rsidRDefault="00E664EE" w:rsidP="00E664EE">
            <w:pPr>
              <w:jc w:val="right"/>
            </w:pPr>
            <w:r w:rsidRPr="00E664EE">
              <w:t>14.20</w:t>
            </w:r>
          </w:p>
        </w:tc>
        <w:tc>
          <w:tcPr>
            <w:tcW w:w="1644" w:type="dxa"/>
            <w:noWrap/>
            <w:hideMark/>
          </w:tcPr>
          <w:p w:rsidR="00E664EE" w:rsidRPr="00E664EE" w:rsidRDefault="00E664EE" w:rsidP="00E664EE">
            <w:pPr>
              <w:jc w:val="right"/>
            </w:pPr>
            <w:r w:rsidRPr="00E664EE">
              <w:t>7.35</w:t>
            </w:r>
          </w:p>
        </w:tc>
      </w:tr>
      <w:tr w:rsidR="00E664EE" w:rsidRPr="00FE2F44" w:rsidTr="006E76B9">
        <w:trPr>
          <w:trHeight w:val="300"/>
        </w:trPr>
        <w:tc>
          <w:tcPr>
            <w:tcW w:w="2235" w:type="dxa"/>
            <w:noWrap/>
            <w:hideMark/>
          </w:tcPr>
          <w:p w:rsidR="00E664EE" w:rsidRPr="00E664EE" w:rsidRDefault="00E664EE" w:rsidP="00E664EE">
            <w:pPr>
              <w:rPr>
                <w:b/>
              </w:rPr>
            </w:pPr>
            <w:r w:rsidRPr="00E664EE">
              <w:t>Diamond Energy</w:t>
            </w:r>
          </w:p>
        </w:tc>
        <w:tc>
          <w:tcPr>
            <w:tcW w:w="921" w:type="dxa"/>
            <w:gridSpan w:val="2"/>
            <w:noWrap/>
            <w:hideMark/>
          </w:tcPr>
          <w:p w:rsidR="00E664EE" w:rsidRPr="00E664EE" w:rsidRDefault="00E664EE" w:rsidP="00E664EE">
            <w:pPr>
              <w:jc w:val="right"/>
              <w:rPr>
                <w:bCs/>
              </w:rPr>
            </w:pPr>
            <w:r w:rsidRPr="00E664EE">
              <w:rPr>
                <w:bCs/>
              </w:rPr>
              <w:t xml:space="preserve">0.86 </w:t>
            </w:r>
          </w:p>
        </w:tc>
        <w:tc>
          <w:tcPr>
            <w:tcW w:w="921" w:type="dxa"/>
          </w:tcPr>
          <w:p w:rsidR="00E664EE" w:rsidRPr="00E664EE" w:rsidRDefault="00E664EE" w:rsidP="00E664EE">
            <w:pPr>
              <w:jc w:val="right"/>
              <w:rPr>
                <w:bCs/>
              </w:rPr>
            </w:pPr>
            <w:r w:rsidRPr="00E664EE">
              <w:rPr>
                <w:bCs/>
              </w:rPr>
              <w:t>(+0.13)</w:t>
            </w: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r w:rsidRPr="00E664EE">
              <w:rPr>
                <w:bCs/>
              </w:rPr>
              <w:t>-</w:t>
            </w:r>
          </w:p>
        </w:tc>
        <w:tc>
          <w:tcPr>
            <w:tcW w:w="1564" w:type="dxa"/>
            <w:noWrap/>
            <w:hideMark/>
          </w:tcPr>
          <w:p w:rsidR="00E664EE" w:rsidRPr="00E664EE" w:rsidRDefault="00E664EE" w:rsidP="00E664EE">
            <w:pPr>
              <w:jc w:val="right"/>
              <w:rPr>
                <w:bCs/>
              </w:rPr>
            </w:pPr>
            <w:r w:rsidRPr="00E664EE">
              <w:rPr>
                <w:bCs/>
              </w:rPr>
              <w:t>0.00</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EnergyAustralia</w:t>
            </w:r>
          </w:p>
        </w:tc>
        <w:tc>
          <w:tcPr>
            <w:tcW w:w="921" w:type="dxa"/>
            <w:gridSpan w:val="2"/>
            <w:noWrap/>
            <w:hideMark/>
          </w:tcPr>
          <w:p w:rsidR="00E664EE" w:rsidRPr="00E664EE" w:rsidRDefault="00E664EE" w:rsidP="00E664EE">
            <w:pPr>
              <w:jc w:val="right"/>
            </w:pPr>
            <w:r w:rsidRPr="00E664EE">
              <w:t xml:space="preserve">10.04 </w:t>
            </w:r>
          </w:p>
        </w:tc>
        <w:tc>
          <w:tcPr>
            <w:tcW w:w="921" w:type="dxa"/>
          </w:tcPr>
          <w:p w:rsidR="00E664EE" w:rsidRPr="00E664EE" w:rsidRDefault="00E664EE" w:rsidP="00E664EE">
            <w:pPr>
              <w:jc w:val="right"/>
            </w:pPr>
            <w:r w:rsidRPr="00E664EE">
              <w:t>(-1.02)</w:t>
            </w:r>
          </w:p>
        </w:tc>
        <w:tc>
          <w:tcPr>
            <w:tcW w:w="921" w:type="dxa"/>
            <w:gridSpan w:val="2"/>
            <w:noWrap/>
            <w:hideMark/>
          </w:tcPr>
          <w:p w:rsidR="00E664EE" w:rsidRPr="00E664EE" w:rsidRDefault="00E664EE" w:rsidP="00E664EE">
            <w:pPr>
              <w:jc w:val="right"/>
            </w:pPr>
            <w:r w:rsidRPr="00E664EE">
              <w:t xml:space="preserve">7.47 </w:t>
            </w:r>
          </w:p>
        </w:tc>
        <w:tc>
          <w:tcPr>
            <w:tcW w:w="922" w:type="dxa"/>
          </w:tcPr>
          <w:p w:rsidR="00E664EE" w:rsidRPr="00E664EE" w:rsidRDefault="00E664EE" w:rsidP="00E664EE">
            <w:pPr>
              <w:jc w:val="right"/>
            </w:pPr>
            <w:r w:rsidRPr="00E664EE">
              <w:t>(-0.07)</w:t>
            </w:r>
          </w:p>
        </w:tc>
        <w:tc>
          <w:tcPr>
            <w:tcW w:w="1564" w:type="dxa"/>
            <w:noWrap/>
            <w:hideMark/>
          </w:tcPr>
          <w:p w:rsidR="00E664EE" w:rsidRPr="00E664EE" w:rsidRDefault="00E664EE" w:rsidP="00E664EE">
            <w:pPr>
              <w:jc w:val="right"/>
            </w:pPr>
            <w:r w:rsidRPr="00E664EE">
              <w:t>13.92</w:t>
            </w:r>
          </w:p>
        </w:tc>
        <w:tc>
          <w:tcPr>
            <w:tcW w:w="1644" w:type="dxa"/>
            <w:noWrap/>
            <w:hideMark/>
          </w:tcPr>
          <w:p w:rsidR="00E664EE" w:rsidRPr="00E664EE" w:rsidRDefault="00E664EE" w:rsidP="00E664EE">
            <w:pPr>
              <w:jc w:val="right"/>
            </w:pPr>
            <w:r w:rsidRPr="00E664EE">
              <w:t>9.77</w:t>
            </w:r>
          </w:p>
        </w:tc>
      </w:tr>
      <w:tr w:rsidR="00E664EE" w:rsidRPr="00FE2F44" w:rsidTr="006E76B9">
        <w:trPr>
          <w:trHeight w:val="300"/>
        </w:trPr>
        <w:tc>
          <w:tcPr>
            <w:tcW w:w="2235" w:type="dxa"/>
            <w:noWrap/>
            <w:hideMark/>
          </w:tcPr>
          <w:p w:rsidR="00E664EE" w:rsidRPr="00E664EE" w:rsidRDefault="00E664EE" w:rsidP="00E664EE">
            <w:pPr>
              <w:rPr>
                <w:b/>
              </w:rPr>
            </w:pPr>
            <w:r w:rsidRPr="00E664EE">
              <w:t>Lumo Energy</w:t>
            </w:r>
          </w:p>
        </w:tc>
        <w:tc>
          <w:tcPr>
            <w:tcW w:w="921" w:type="dxa"/>
            <w:gridSpan w:val="2"/>
            <w:noWrap/>
            <w:hideMark/>
          </w:tcPr>
          <w:p w:rsidR="00E664EE" w:rsidRPr="00E664EE" w:rsidRDefault="00E664EE" w:rsidP="00E664EE">
            <w:pPr>
              <w:jc w:val="right"/>
              <w:rPr>
                <w:bCs/>
              </w:rPr>
            </w:pPr>
            <w:r w:rsidRPr="00E664EE">
              <w:rPr>
                <w:bCs/>
              </w:rPr>
              <w:t xml:space="preserve">3.44 </w:t>
            </w:r>
          </w:p>
        </w:tc>
        <w:tc>
          <w:tcPr>
            <w:tcW w:w="921" w:type="dxa"/>
          </w:tcPr>
          <w:p w:rsidR="00E664EE" w:rsidRPr="00E664EE" w:rsidRDefault="00E664EE" w:rsidP="00E664EE">
            <w:pPr>
              <w:jc w:val="right"/>
              <w:rPr>
                <w:bCs/>
              </w:rPr>
            </w:pPr>
            <w:r w:rsidRPr="00E664EE">
              <w:rPr>
                <w:bCs/>
              </w:rPr>
              <w:t>(-0.50)</w:t>
            </w: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r w:rsidRPr="00E664EE">
              <w:rPr>
                <w:bCs/>
              </w:rPr>
              <w:t>-</w:t>
            </w:r>
          </w:p>
        </w:tc>
        <w:tc>
          <w:tcPr>
            <w:tcW w:w="1564" w:type="dxa"/>
            <w:noWrap/>
            <w:hideMark/>
          </w:tcPr>
          <w:p w:rsidR="00E664EE" w:rsidRPr="00E664EE" w:rsidRDefault="00E664EE" w:rsidP="00E664EE">
            <w:pPr>
              <w:jc w:val="right"/>
              <w:rPr>
                <w:bCs/>
              </w:rPr>
            </w:pPr>
            <w:r w:rsidRPr="00E664EE">
              <w:rPr>
                <w:bCs/>
              </w:rPr>
              <w:t>0.66</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Momentum Energy</w:t>
            </w:r>
          </w:p>
        </w:tc>
        <w:tc>
          <w:tcPr>
            <w:tcW w:w="921" w:type="dxa"/>
            <w:gridSpan w:val="2"/>
            <w:noWrap/>
            <w:hideMark/>
          </w:tcPr>
          <w:p w:rsidR="00E664EE" w:rsidRPr="00E664EE" w:rsidRDefault="00E664EE" w:rsidP="00E664EE">
            <w:pPr>
              <w:jc w:val="right"/>
            </w:pPr>
            <w:r w:rsidRPr="00E664EE">
              <w:t xml:space="preserve">6.41 </w:t>
            </w:r>
          </w:p>
        </w:tc>
        <w:tc>
          <w:tcPr>
            <w:tcW w:w="921" w:type="dxa"/>
          </w:tcPr>
          <w:p w:rsidR="00E664EE" w:rsidRPr="00E664EE" w:rsidRDefault="00E664EE" w:rsidP="00E664EE">
            <w:pPr>
              <w:jc w:val="right"/>
            </w:pPr>
            <w:r w:rsidRPr="00E664EE">
              <w:t>(+5.46)</w:t>
            </w: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r w:rsidRPr="00E664EE">
              <w:rPr>
                <w:bCs/>
              </w:rPr>
              <w:t>-</w:t>
            </w:r>
          </w:p>
        </w:tc>
        <w:tc>
          <w:tcPr>
            <w:tcW w:w="1564" w:type="dxa"/>
            <w:noWrap/>
            <w:hideMark/>
          </w:tcPr>
          <w:p w:rsidR="00E664EE" w:rsidRPr="00E664EE" w:rsidRDefault="00E664EE" w:rsidP="00E664EE">
            <w:pPr>
              <w:jc w:val="right"/>
            </w:pPr>
            <w:r w:rsidRPr="00E664EE">
              <w:t>6.70</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 xml:space="preserve">Origin Energy </w:t>
            </w:r>
          </w:p>
        </w:tc>
        <w:tc>
          <w:tcPr>
            <w:tcW w:w="921" w:type="dxa"/>
            <w:gridSpan w:val="2"/>
            <w:noWrap/>
            <w:hideMark/>
          </w:tcPr>
          <w:p w:rsidR="00E664EE" w:rsidRPr="00E664EE" w:rsidRDefault="00E664EE" w:rsidP="00E664EE">
            <w:pPr>
              <w:jc w:val="right"/>
              <w:rPr>
                <w:bCs/>
              </w:rPr>
            </w:pPr>
            <w:r w:rsidRPr="00E664EE">
              <w:rPr>
                <w:bCs/>
              </w:rPr>
              <w:t xml:space="preserve">4.54 </w:t>
            </w:r>
          </w:p>
        </w:tc>
        <w:tc>
          <w:tcPr>
            <w:tcW w:w="921" w:type="dxa"/>
          </w:tcPr>
          <w:p w:rsidR="00E664EE" w:rsidRPr="00E664EE" w:rsidRDefault="00E664EE" w:rsidP="00E664EE">
            <w:pPr>
              <w:jc w:val="right"/>
              <w:rPr>
                <w:bCs/>
              </w:rPr>
            </w:pPr>
            <w:r w:rsidRPr="00E664EE">
              <w:rPr>
                <w:bCs/>
              </w:rPr>
              <w:t>(+2.95)</w:t>
            </w:r>
          </w:p>
        </w:tc>
        <w:tc>
          <w:tcPr>
            <w:tcW w:w="921" w:type="dxa"/>
            <w:gridSpan w:val="2"/>
            <w:noWrap/>
            <w:hideMark/>
          </w:tcPr>
          <w:p w:rsidR="00E664EE" w:rsidRPr="00E664EE" w:rsidRDefault="00E664EE" w:rsidP="00E664EE">
            <w:pPr>
              <w:jc w:val="right"/>
              <w:rPr>
                <w:bCs/>
              </w:rPr>
            </w:pPr>
            <w:r w:rsidRPr="00E664EE">
              <w:rPr>
                <w:bCs/>
              </w:rPr>
              <w:t xml:space="preserve">2.24 </w:t>
            </w:r>
          </w:p>
        </w:tc>
        <w:tc>
          <w:tcPr>
            <w:tcW w:w="922" w:type="dxa"/>
          </w:tcPr>
          <w:p w:rsidR="00E664EE" w:rsidRPr="00E664EE" w:rsidRDefault="00E664EE" w:rsidP="00E664EE">
            <w:pPr>
              <w:jc w:val="right"/>
              <w:rPr>
                <w:bCs/>
              </w:rPr>
            </w:pPr>
            <w:r w:rsidRPr="00E664EE">
              <w:rPr>
                <w:bCs/>
              </w:rPr>
              <w:t>(+1.69)</w:t>
            </w:r>
          </w:p>
        </w:tc>
        <w:tc>
          <w:tcPr>
            <w:tcW w:w="1564" w:type="dxa"/>
            <w:noWrap/>
            <w:hideMark/>
          </w:tcPr>
          <w:p w:rsidR="00E664EE" w:rsidRPr="00E664EE" w:rsidRDefault="00E664EE" w:rsidP="00E664EE">
            <w:pPr>
              <w:jc w:val="right"/>
              <w:rPr>
                <w:bCs/>
              </w:rPr>
            </w:pPr>
            <w:r w:rsidRPr="00E664EE">
              <w:rPr>
                <w:bCs/>
              </w:rPr>
              <w:t>4.38</w:t>
            </w:r>
          </w:p>
        </w:tc>
        <w:tc>
          <w:tcPr>
            <w:tcW w:w="1644" w:type="dxa"/>
            <w:noWrap/>
            <w:hideMark/>
          </w:tcPr>
          <w:p w:rsidR="00E664EE" w:rsidRPr="00E664EE" w:rsidRDefault="00E664EE" w:rsidP="00E664EE">
            <w:pPr>
              <w:jc w:val="right"/>
              <w:rPr>
                <w:bCs/>
              </w:rPr>
            </w:pPr>
            <w:r w:rsidRPr="00E664EE">
              <w:rPr>
                <w:bCs/>
              </w:rPr>
              <w:t>2.11</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Powerdirect</w:t>
            </w:r>
          </w:p>
        </w:tc>
        <w:tc>
          <w:tcPr>
            <w:tcW w:w="921" w:type="dxa"/>
            <w:gridSpan w:val="2"/>
            <w:noWrap/>
            <w:hideMark/>
          </w:tcPr>
          <w:p w:rsidR="00E664EE" w:rsidRPr="00E664EE" w:rsidRDefault="00E664EE" w:rsidP="00E664EE">
            <w:pPr>
              <w:jc w:val="right"/>
            </w:pPr>
            <w:r w:rsidRPr="00E664EE">
              <w:t xml:space="preserve">1.29 </w:t>
            </w:r>
          </w:p>
        </w:tc>
        <w:tc>
          <w:tcPr>
            <w:tcW w:w="921" w:type="dxa"/>
          </w:tcPr>
          <w:p w:rsidR="00E664EE" w:rsidRPr="00E664EE" w:rsidRDefault="00E664EE" w:rsidP="00E664EE">
            <w:pPr>
              <w:jc w:val="right"/>
            </w:pPr>
            <w:r w:rsidRPr="00E664EE">
              <w:t>(+0.21)</w:t>
            </w: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r w:rsidRPr="00E664EE">
              <w:rPr>
                <w:bCs/>
              </w:rPr>
              <w:t>-</w:t>
            </w:r>
          </w:p>
        </w:tc>
        <w:tc>
          <w:tcPr>
            <w:tcW w:w="1564" w:type="dxa"/>
            <w:noWrap/>
            <w:hideMark/>
          </w:tcPr>
          <w:p w:rsidR="00E664EE" w:rsidRPr="00E664EE" w:rsidRDefault="00E664EE" w:rsidP="00E664EE">
            <w:pPr>
              <w:jc w:val="right"/>
            </w:pPr>
            <w:r w:rsidRPr="00E664EE">
              <w:t>0.10</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Red Energy</w:t>
            </w:r>
          </w:p>
        </w:tc>
        <w:tc>
          <w:tcPr>
            <w:tcW w:w="921" w:type="dxa"/>
            <w:gridSpan w:val="2"/>
            <w:noWrap/>
            <w:hideMark/>
          </w:tcPr>
          <w:p w:rsidR="00E664EE" w:rsidRPr="00E664EE" w:rsidRDefault="00E664EE" w:rsidP="00E664EE">
            <w:pPr>
              <w:jc w:val="right"/>
              <w:rPr>
                <w:bCs/>
              </w:rPr>
            </w:pPr>
            <w:r w:rsidRPr="00E664EE">
              <w:rPr>
                <w:bCs/>
              </w:rPr>
              <w:t xml:space="preserve">5.98 </w:t>
            </w:r>
          </w:p>
        </w:tc>
        <w:tc>
          <w:tcPr>
            <w:tcW w:w="921" w:type="dxa"/>
          </w:tcPr>
          <w:p w:rsidR="00E664EE" w:rsidRPr="00E664EE" w:rsidRDefault="00E664EE" w:rsidP="00E664EE">
            <w:pPr>
              <w:jc w:val="right"/>
              <w:rPr>
                <w:bCs/>
              </w:rPr>
            </w:pPr>
            <w:r w:rsidRPr="00E664EE">
              <w:rPr>
                <w:bCs/>
              </w:rPr>
              <w:t>(-1.37)</w:t>
            </w: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r w:rsidRPr="00E664EE">
              <w:rPr>
                <w:bCs/>
              </w:rPr>
              <w:t>-</w:t>
            </w:r>
          </w:p>
        </w:tc>
        <w:tc>
          <w:tcPr>
            <w:tcW w:w="1564" w:type="dxa"/>
            <w:noWrap/>
            <w:hideMark/>
          </w:tcPr>
          <w:p w:rsidR="00E664EE" w:rsidRPr="00E664EE" w:rsidRDefault="00E664EE" w:rsidP="00E664EE">
            <w:pPr>
              <w:jc w:val="right"/>
              <w:rPr>
                <w:bCs/>
              </w:rPr>
            </w:pPr>
            <w:r w:rsidRPr="00E664EE">
              <w:rPr>
                <w:bCs/>
              </w:rPr>
              <w:t>7.28</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Sanctuary Energy</w:t>
            </w:r>
          </w:p>
        </w:tc>
        <w:tc>
          <w:tcPr>
            <w:tcW w:w="921" w:type="dxa"/>
            <w:gridSpan w:val="2"/>
            <w:noWrap/>
            <w:hideMark/>
          </w:tcPr>
          <w:p w:rsidR="00E664EE" w:rsidRPr="00E664EE" w:rsidRDefault="00E664EE" w:rsidP="00E664EE">
            <w:pPr>
              <w:jc w:val="right"/>
            </w:pPr>
            <w:r w:rsidRPr="00E664EE">
              <w:t xml:space="preserve">0.47 </w:t>
            </w:r>
          </w:p>
        </w:tc>
        <w:tc>
          <w:tcPr>
            <w:tcW w:w="921" w:type="dxa"/>
          </w:tcPr>
          <w:p w:rsidR="00E664EE" w:rsidRPr="00E664EE" w:rsidRDefault="00E664EE" w:rsidP="00E664EE">
            <w:pPr>
              <w:jc w:val="right"/>
            </w:pPr>
            <w:r w:rsidRPr="00E664EE">
              <w:t>(-0.77)</w:t>
            </w: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r w:rsidRPr="00E664EE">
              <w:rPr>
                <w:bCs/>
              </w:rPr>
              <w:t>-</w:t>
            </w:r>
          </w:p>
        </w:tc>
        <w:tc>
          <w:tcPr>
            <w:tcW w:w="1564" w:type="dxa"/>
            <w:noWrap/>
            <w:hideMark/>
          </w:tcPr>
          <w:p w:rsidR="00E664EE" w:rsidRPr="00E664EE" w:rsidRDefault="00E664EE" w:rsidP="00E664EE">
            <w:pPr>
              <w:jc w:val="right"/>
            </w:pPr>
            <w:r w:rsidRPr="00E664EE">
              <w:t>2.02</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Simply Energy</w:t>
            </w:r>
          </w:p>
        </w:tc>
        <w:tc>
          <w:tcPr>
            <w:tcW w:w="921" w:type="dxa"/>
            <w:gridSpan w:val="2"/>
            <w:noWrap/>
            <w:hideMark/>
          </w:tcPr>
          <w:p w:rsidR="00E664EE" w:rsidRPr="00E664EE" w:rsidRDefault="00E664EE" w:rsidP="00E664EE">
            <w:pPr>
              <w:jc w:val="right"/>
              <w:rPr>
                <w:bCs/>
              </w:rPr>
            </w:pPr>
            <w:r w:rsidRPr="00E664EE">
              <w:rPr>
                <w:bCs/>
              </w:rPr>
              <w:t xml:space="preserve">3.27 </w:t>
            </w:r>
          </w:p>
        </w:tc>
        <w:tc>
          <w:tcPr>
            <w:tcW w:w="921" w:type="dxa"/>
          </w:tcPr>
          <w:p w:rsidR="00E664EE" w:rsidRPr="00E664EE" w:rsidRDefault="00E664EE" w:rsidP="00E664EE">
            <w:pPr>
              <w:jc w:val="right"/>
              <w:rPr>
                <w:bCs/>
              </w:rPr>
            </w:pPr>
            <w:r w:rsidRPr="00E664EE">
              <w:rPr>
                <w:bCs/>
              </w:rPr>
              <w:t>(-0.86)</w:t>
            </w:r>
          </w:p>
        </w:tc>
        <w:tc>
          <w:tcPr>
            <w:tcW w:w="921" w:type="dxa"/>
            <w:gridSpan w:val="2"/>
            <w:noWrap/>
            <w:hideMark/>
          </w:tcPr>
          <w:p w:rsidR="00E664EE" w:rsidRPr="00E664EE" w:rsidRDefault="00E664EE" w:rsidP="00E664EE">
            <w:pPr>
              <w:jc w:val="right"/>
              <w:rPr>
                <w:bCs/>
              </w:rPr>
            </w:pPr>
            <w:r w:rsidRPr="00E664EE">
              <w:rPr>
                <w:bCs/>
              </w:rPr>
              <w:t xml:space="preserve">2.11 </w:t>
            </w:r>
          </w:p>
        </w:tc>
        <w:tc>
          <w:tcPr>
            <w:tcW w:w="922" w:type="dxa"/>
          </w:tcPr>
          <w:p w:rsidR="00E664EE" w:rsidRPr="00E664EE" w:rsidRDefault="00E664EE" w:rsidP="00E664EE">
            <w:pPr>
              <w:jc w:val="right"/>
              <w:rPr>
                <w:bCs/>
              </w:rPr>
            </w:pPr>
            <w:r w:rsidRPr="00E664EE">
              <w:rPr>
                <w:bCs/>
              </w:rPr>
              <w:t>(-0.21)</w:t>
            </w:r>
          </w:p>
        </w:tc>
        <w:tc>
          <w:tcPr>
            <w:tcW w:w="1564" w:type="dxa"/>
            <w:noWrap/>
            <w:hideMark/>
          </w:tcPr>
          <w:p w:rsidR="00E664EE" w:rsidRPr="00E664EE" w:rsidRDefault="00E664EE" w:rsidP="00E664EE">
            <w:pPr>
              <w:jc w:val="right"/>
              <w:rPr>
                <w:bCs/>
              </w:rPr>
            </w:pPr>
            <w:r w:rsidRPr="00E664EE">
              <w:rPr>
                <w:bCs/>
              </w:rPr>
              <w:t>9.17</w:t>
            </w:r>
          </w:p>
        </w:tc>
        <w:tc>
          <w:tcPr>
            <w:tcW w:w="1644" w:type="dxa"/>
            <w:noWrap/>
            <w:hideMark/>
          </w:tcPr>
          <w:p w:rsidR="00E664EE" w:rsidRPr="00E664EE" w:rsidRDefault="00E664EE" w:rsidP="00E664EE">
            <w:pPr>
              <w:jc w:val="right"/>
              <w:rPr>
                <w:bCs/>
              </w:rPr>
            </w:pPr>
            <w:r w:rsidRPr="00E664EE">
              <w:rPr>
                <w:bCs/>
              </w:rPr>
              <w:t>5.35</w:t>
            </w:r>
          </w:p>
        </w:tc>
      </w:tr>
      <w:tr w:rsidR="00827E6F"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tcPr>
          <w:p w:rsidR="00827E6F" w:rsidRPr="00827E6F" w:rsidRDefault="00827E6F" w:rsidP="00E664EE">
            <w:pPr>
              <w:rPr>
                <w:rStyle w:val="Strong"/>
              </w:rPr>
            </w:pPr>
            <w:r w:rsidRPr="00827E6F">
              <w:rPr>
                <w:rStyle w:val="Strong"/>
              </w:rPr>
              <w:t>TOTAL SA</w:t>
            </w:r>
          </w:p>
        </w:tc>
        <w:tc>
          <w:tcPr>
            <w:tcW w:w="921" w:type="dxa"/>
            <w:gridSpan w:val="2"/>
            <w:noWrap/>
          </w:tcPr>
          <w:p w:rsidR="00827E6F" w:rsidRPr="00CE32E9" w:rsidRDefault="00827E6F" w:rsidP="00E664EE">
            <w:pPr>
              <w:jc w:val="right"/>
              <w:rPr>
                <w:b/>
                <w:bCs/>
              </w:rPr>
            </w:pPr>
            <w:r w:rsidRPr="00CE32E9">
              <w:rPr>
                <w:b/>
                <w:bCs/>
              </w:rPr>
              <w:t>1.16</w:t>
            </w:r>
          </w:p>
        </w:tc>
        <w:tc>
          <w:tcPr>
            <w:tcW w:w="921" w:type="dxa"/>
          </w:tcPr>
          <w:p w:rsidR="00827E6F" w:rsidRPr="00CE32E9" w:rsidRDefault="00827E6F" w:rsidP="00E664EE">
            <w:pPr>
              <w:jc w:val="right"/>
              <w:rPr>
                <w:b/>
                <w:bCs/>
              </w:rPr>
            </w:pPr>
            <w:r w:rsidRPr="00CE32E9">
              <w:rPr>
                <w:b/>
                <w:bCs/>
              </w:rPr>
              <w:t>(+0.28)</w:t>
            </w:r>
          </w:p>
        </w:tc>
        <w:tc>
          <w:tcPr>
            <w:tcW w:w="921" w:type="dxa"/>
            <w:gridSpan w:val="2"/>
            <w:noWrap/>
          </w:tcPr>
          <w:p w:rsidR="00827E6F" w:rsidRPr="00CE32E9" w:rsidRDefault="00827E6F" w:rsidP="00E664EE">
            <w:pPr>
              <w:jc w:val="right"/>
              <w:rPr>
                <w:b/>
                <w:bCs/>
              </w:rPr>
            </w:pPr>
            <w:r w:rsidRPr="00CE32E9">
              <w:rPr>
                <w:b/>
                <w:bCs/>
              </w:rPr>
              <w:t>2.33</w:t>
            </w:r>
          </w:p>
        </w:tc>
        <w:tc>
          <w:tcPr>
            <w:tcW w:w="922" w:type="dxa"/>
          </w:tcPr>
          <w:p w:rsidR="00827E6F" w:rsidRPr="00CE32E9" w:rsidRDefault="00827E6F" w:rsidP="00E664EE">
            <w:pPr>
              <w:jc w:val="right"/>
              <w:rPr>
                <w:b/>
                <w:bCs/>
              </w:rPr>
            </w:pPr>
            <w:r w:rsidRPr="00CE32E9">
              <w:rPr>
                <w:b/>
                <w:bCs/>
              </w:rPr>
              <w:t>(+0.83)</w:t>
            </w:r>
          </w:p>
        </w:tc>
        <w:tc>
          <w:tcPr>
            <w:tcW w:w="1564" w:type="dxa"/>
            <w:noWrap/>
          </w:tcPr>
          <w:p w:rsidR="00827E6F" w:rsidRPr="00CE32E9" w:rsidRDefault="00CE32E9" w:rsidP="00E664EE">
            <w:pPr>
              <w:jc w:val="right"/>
              <w:rPr>
                <w:b/>
                <w:bCs/>
              </w:rPr>
            </w:pPr>
            <w:r>
              <w:rPr>
                <w:b/>
                <w:bCs/>
              </w:rPr>
              <w:t>5.30</w:t>
            </w:r>
          </w:p>
        </w:tc>
        <w:tc>
          <w:tcPr>
            <w:tcW w:w="1644" w:type="dxa"/>
            <w:noWrap/>
          </w:tcPr>
          <w:p w:rsidR="00827E6F" w:rsidRPr="00CE32E9" w:rsidRDefault="00CE32E9" w:rsidP="00E664EE">
            <w:pPr>
              <w:jc w:val="right"/>
              <w:rPr>
                <w:b/>
                <w:bCs/>
              </w:rPr>
            </w:pPr>
            <w:r>
              <w:rPr>
                <w:b/>
                <w:bCs/>
              </w:rPr>
              <w:t>3.42</w:t>
            </w:r>
          </w:p>
        </w:tc>
      </w:tr>
      <w:tr w:rsidR="00E664EE" w:rsidRPr="00FE2F44" w:rsidTr="006E76B9">
        <w:trPr>
          <w:trHeight w:val="300"/>
        </w:trPr>
        <w:tc>
          <w:tcPr>
            <w:tcW w:w="2235" w:type="dxa"/>
            <w:noWrap/>
            <w:hideMark/>
          </w:tcPr>
          <w:p w:rsidR="00E664EE" w:rsidRPr="00922B9E" w:rsidRDefault="00E664EE" w:rsidP="00E664EE">
            <w:pPr>
              <w:rPr>
                <w:b/>
                <w:i/>
              </w:rPr>
            </w:pPr>
            <w:r w:rsidRPr="00922B9E">
              <w:rPr>
                <w:b/>
                <w:i/>
              </w:rPr>
              <w:t>ACT</w:t>
            </w:r>
          </w:p>
        </w:tc>
        <w:tc>
          <w:tcPr>
            <w:tcW w:w="921" w:type="dxa"/>
            <w:gridSpan w:val="2"/>
            <w:noWrap/>
            <w:hideMark/>
          </w:tcPr>
          <w:p w:rsidR="00E664EE" w:rsidRPr="00E664EE" w:rsidRDefault="00E664EE" w:rsidP="00E664EE">
            <w:pPr>
              <w:jc w:val="right"/>
            </w:pP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p>
        </w:tc>
        <w:tc>
          <w:tcPr>
            <w:tcW w:w="1644" w:type="dxa"/>
            <w:noWrap/>
            <w:hideMark/>
          </w:tcPr>
          <w:p w:rsidR="00E664EE" w:rsidRPr="00E664EE" w:rsidRDefault="00E664EE" w:rsidP="00E664EE">
            <w:pPr>
              <w:jc w:val="right"/>
            </w:pP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ActewAGL</w:t>
            </w:r>
          </w:p>
        </w:tc>
        <w:tc>
          <w:tcPr>
            <w:tcW w:w="921" w:type="dxa"/>
            <w:gridSpan w:val="2"/>
            <w:noWrap/>
            <w:hideMark/>
          </w:tcPr>
          <w:p w:rsidR="00E664EE" w:rsidRPr="00E664EE" w:rsidRDefault="00E664EE" w:rsidP="00E664EE">
            <w:pPr>
              <w:jc w:val="right"/>
              <w:rPr>
                <w:bCs/>
              </w:rPr>
            </w:pPr>
            <w:r w:rsidRPr="00E664EE">
              <w:rPr>
                <w:bCs/>
              </w:rPr>
              <w:t xml:space="preserve">0.17 </w:t>
            </w:r>
          </w:p>
        </w:tc>
        <w:tc>
          <w:tcPr>
            <w:tcW w:w="921" w:type="dxa"/>
          </w:tcPr>
          <w:p w:rsidR="00E664EE" w:rsidRPr="00E664EE" w:rsidRDefault="00E664EE" w:rsidP="00E664EE">
            <w:pPr>
              <w:jc w:val="right"/>
              <w:rPr>
                <w:bCs/>
              </w:rPr>
            </w:pPr>
            <w:r w:rsidRPr="00E664EE">
              <w:rPr>
                <w:bCs/>
              </w:rPr>
              <w:t>(-0.07)</w:t>
            </w:r>
          </w:p>
        </w:tc>
        <w:tc>
          <w:tcPr>
            <w:tcW w:w="921" w:type="dxa"/>
            <w:gridSpan w:val="2"/>
            <w:noWrap/>
            <w:hideMark/>
          </w:tcPr>
          <w:p w:rsidR="00E664EE" w:rsidRPr="00E664EE" w:rsidRDefault="00E664EE" w:rsidP="00E664EE">
            <w:pPr>
              <w:jc w:val="right"/>
              <w:rPr>
                <w:bCs/>
              </w:rPr>
            </w:pPr>
            <w:r w:rsidRPr="00E664EE">
              <w:rPr>
                <w:bCs/>
              </w:rPr>
              <w:t xml:space="preserve">0.12 </w:t>
            </w:r>
          </w:p>
        </w:tc>
        <w:tc>
          <w:tcPr>
            <w:tcW w:w="922" w:type="dxa"/>
          </w:tcPr>
          <w:p w:rsidR="00E664EE" w:rsidRPr="00E664EE" w:rsidRDefault="00A5777A" w:rsidP="00E664EE">
            <w:pPr>
              <w:jc w:val="right"/>
              <w:rPr>
                <w:bCs/>
              </w:rPr>
            </w:pPr>
            <w:r>
              <w:rPr>
                <w:bCs/>
              </w:rPr>
              <w:t>(-</w:t>
            </w:r>
            <w:r w:rsidR="00E664EE" w:rsidRPr="00E664EE">
              <w:rPr>
                <w:bCs/>
              </w:rPr>
              <w:t>)</w:t>
            </w:r>
          </w:p>
        </w:tc>
        <w:tc>
          <w:tcPr>
            <w:tcW w:w="1564" w:type="dxa"/>
            <w:noWrap/>
            <w:hideMark/>
          </w:tcPr>
          <w:p w:rsidR="00E664EE" w:rsidRPr="00E664EE" w:rsidRDefault="00E664EE" w:rsidP="00E664EE">
            <w:pPr>
              <w:jc w:val="right"/>
              <w:rPr>
                <w:bCs/>
              </w:rPr>
            </w:pPr>
            <w:r w:rsidRPr="00E664EE">
              <w:rPr>
                <w:bCs/>
              </w:rPr>
              <w:t>1.96</w:t>
            </w:r>
          </w:p>
        </w:tc>
        <w:tc>
          <w:tcPr>
            <w:tcW w:w="1644" w:type="dxa"/>
            <w:noWrap/>
            <w:hideMark/>
          </w:tcPr>
          <w:p w:rsidR="00E664EE" w:rsidRPr="00E664EE" w:rsidRDefault="00E664EE" w:rsidP="00E664EE">
            <w:pPr>
              <w:jc w:val="right"/>
              <w:rPr>
                <w:bCs/>
              </w:rPr>
            </w:pPr>
            <w:r w:rsidRPr="00E664EE">
              <w:rPr>
                <w:bCs/>
              </w:rPr>
              <w:t>1.25</w:t>
            </w:r>
          </w:p>
        </w:tc>
      </w:tr>
      <w:tr w:rsidR="00E664EE" w:rsidRPr="00FE2F44" w:rsidTr="006E76B9">
        <w:trPr>
          <w:trHeight w:val="300"/>
        </w:trPr>
        <w:tc>
          <w:tcPr>
            <w:tcW w:w="2235" w:type="dxa"/>
            <w:noWrap/>
            <w:hideMark/>
          </w:tcPr>
          <w:p w:rsidR="00E664EE" w:rsidRPr="00E664EE" w:rsidRDefault="00E664EE" w:rsidP="00E664EE">
            <w:pPr>
              <w:rPr>
                <w:b/>
              </w:rPr>
            </w:pPr>
            <w:r w:rsidRPr="00E664EE">
              <w:t>EnergyAustralia</w:t>
            </w:r>
          </w:p>
        </w:tc>
        <w:tc>
          <w:tcPr>
            <w:tcW w:w="921" w:type="dxa"/>
            <w:gridSpan w:val="2"/>
            <w:noWrap/>
            <w:hideMark/>
          </w:tcPr>
          <w:p w:rsidR="00E664EE" w:rsidRPr="00E664EE" w:rsidRDefault="00E664EE" w:rsidP="00E664EE">
            <w:pPr>
              <w:jc w:val="right"/>
            </w:pPr>
            <w:r w:rsidRPr="00E664EE">
              <w:t xml:space="preserve">5.63 </w:t>
            </w:r>
          </w:p>
        </w:tc>
        <w:tc>
          <w:tcPr>
            <w:tcW w:w="921" w:type="dxa"/>
          </w:tcPr>
          <w:p w:rsidR="00E664EE" w:rsidRPr="00E664EE" w:rsidRDefault="00E664EE" w:rsidP="00E664EE">
            <w:pPr>
              <w:jc w:val="right"/>
            </w:pPr>
            <w:r w:rsidRPr="00E664EE">
              <w:t>(+1.37)</w:t>
            </w:r>
          </w:p>
        </w:tc>
        <w:tc>
          <w:tcPr>
            <w:tcW w:w="921" w:type="dxa"/>
            <w:gridSpan w:val="2"/>
            <w:noWrap/>
            <w:hideMark/>
          </w:tcPr>
          <w:p w:rsidR="00E664EE" w:rsidRPr="00E664EE" w:rsidRDefault="00E664EE" w:rsidP="00E664EE">
            <w:pPr>
              <w:jc w:val="right"/>
            </w:pPr>
            <w:r w:rsidRPr="00E664EE">
              <w:t xml:space="preserve">3.76 </w:t>
            </w:r>
          </w:p>
        </w:tc>
        <w:tc>
          <w:tcPr>
            <w:tcW w:w="922" w:type="dxa"/>
          </w:tcPr>
          <w:p w:rsidR="00E664EE" w:rsidRPr="00E664EE" w:rsidRDefault="00E664EE" w:rsidP="00E664EE">
            <w:pPr>
              <w:jc w:val="right"/>
            </w:pPr>
            <w:r w:rsidRPr="00E664EE">
              <w:t>(+1.12)</w:t>
            </w:r>
          </w:p>
        </w:tc>
        <w:tc>
          <w:tcPr>
            <w:tcW w:w="1564" w:type="dxa"/>
            <w:noWrap/>
            <w:hideMark/>
          </w:tcPr>
          <w:p w:rsidR="00E664EE" w:rsidRPr="00E664EE" w:rsidRDefault="00E664EE" w:rsidP="00E664EE">
            <w:pPr>
              <w:jc w:val="right"/>
            </w:pPr>
            <w:r w:rsidRPr="00E664EE">
              <w:t>5.81</w:t>
            </w:r>
          </w:p>
        </w:tc>
        <w:tc>
          <w:tcPr>
            <w:tcW w:w="1644" w:type="dxa"/>
            <w:noWrap/>
            <w:hideMark/>
          </w:tcPr>
          <w:p w:rsidR="00E664EE" w:rsidRPr="00E664EE" w:rsidRDefault="00E664EE" w:rsidP="00E664EE">
            <w:pPr>
              <w:jc w:val="right"/>
            </w:pPr>
            <w:r w:rsidRPr="00E664EE">
              <w:t>3.25</w:t>
            </w:r>
          </w:p>
        </w:tc>
      </w:tr>
      <w:tr w:rsidR="00827E6F"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tcPr>
          <w:p w:rsidR="00827E6F" w:rsidRPr="00827E6F" w:rsidRDefault="00827E6F" w:rsidP="00E664EE">
            <w:pPr>
              <w:rPr>
                <w:rStyle w:val="Strong"/>
              </w:rPr>
            </w:pPr>
            <w:r w:rsidRPr="00827E6F">
              <w:rPr>
                <w:rStyle w:val="Strong"/>
              </w:rPr>
              <w:t>TOTAL ACT</w:t>
            </w:r>
          </w:p>
        </w:tc>
        <w:tc>
          <w:tcPr>
            <w:tcW w:w="921" w:type="dxa"/>
            <w:gridSpan w:val="2"/>
            <w:noWrap/>
          </w:tcPr>
          <w:p w:rsidR="00827E6F" w:rsidRPr="00CE32E9" w:rsidRDefault="00827E6F" w:rsidP="00E664EE">
            <w:pPr>
              <w:jc w:val="right"/>
              <w:rPr>
                <w:b/>
              </w:rPr>
            </w:pPr>
            <w:r w:rsidRPr="00CE32E9">
              <w:rPr>
                <w:b/>
              </w:rPr>
              <w:t>0.36</w:t>
            </w:r>
          </w:p>
        </w:tc>
        <w:tc>
          <w:tcPr>
            <w:tcW w:w="921" w:type="dxa"/>
          </w:tcPr>
          <w:p w:rsidR="00827E6F" w:rsidRPr="00CE32E9" w:rsidRDefault="00827E6F" w:rsidP="00E664EE">
            <w:pPr>
              <w:jc w:val="right"/>
              <w:rPr>
                <w:b/>
              </w:rPr>
            </w:pPr>
            <w:r w:rsidRPr="00CE32E9">
              <w:rPr>
                <w:b/>
              </w:rPr>
              <w:t>(-0.02)</w:t>
            </w:r>
          </w:p>
        </w:tc>
        <w:tc>
          <w:tcPr>
            <w:tcW w:w="921" w:type="dxa"/>
            <w:gridSpan w:val="2"/>
            <w:noWrap/>
          </w:tcPr>
          <w:p w:rsidR="00827E6F" w:rsidRPr="00CE32E9" w:rsidRDefault="00827E6F" w:rsidP="00E664EE">
            <w:pPr>
              <w:jc w:val="right"/>
              <w:rPr>
                <w:b/>
              </w:rPr>
            </w:pPr>
            <w:r w:rsidRPr="00CE32E9">
              <w:rPr>
                <w:b/>
              </w:rPr>
              <w:t>0.26</w:t>
            </w:r>
          </w:p>
        </w:tc>
        <w:tc>
          <w:tcPr>
            <w:tcW w:w="922" w:type="dxa"/>
          </w:tcPr>
          <w:p w:rsidR="00827E6F" w:rsidRPr="00CE32E9" w:rsidRDefault="00827E6F" w:rsidP="00E664EE">
            <w:pPr>
              <w:jc w:val="right"/>
              <w:rPr>
                <w:b/>
              </w:rPr>
            </w:pPr>
            <w:r w:rsidRPr="00CE32E9">
              <w:rPr>
                <w:b/>
              </w:rPr>
              <w:t>(+0.04)</w:t>
            </w:r>
          </w:p>
        </w:tc>
        <w:tc>
          <w:tcPr>
            <w:tcW w:w="1564" w:type="dxa"/>
            <w:noWrap/>
          </w:tcPr>
          <w:p w:rsidR="00827E6F" w:rsidRPr="00CE32E9" w:rsidRDefault="00CE32E9" w:rsidP="00E664EE">
            <w:pPr>
              <w:jc w:val="right"/>
              <w:rPr>
                <w:b/>
              </w:rPr>
            </w:pPr>
            <w:r>
              <w:rPr>
                <w:b/>
              </w:rPr>
              <w:t>2.10</w:t>
            </w:r>
          </w:p>
        </w:tc>
        <w:tc>
          <w:tcPr>
            <w:tcW w:w="1644" w:type="dxa"/>
            <w:noWrap/>
          </w:tcPr>
          <w:p w:rsidR="00827E6F" w:rsidRPr="00CE32E9" w:rsidRDefault="00CE32E9" w:rsidP="00E664EE">
            <w:pPr>
              <w:jc w:val="right"/>
              <w:rPr>
                <w:b/>
              </w:rPr>
            </w:pPr>
            <w:r>
              <w:rPr>
                <w:b/>
              </w:rPr>
              <w:t>1.33</w:t>
            </w:r>
          </w:p>
        </w:tc>
      </w:tr>
      <w:tr w:rsidR="00E664EE" w:rsidRPr="00FE2F44" w:rsidTr="006E76B9">
        <w:trPr>
          <w:trHeight w:val="300"/>
        </w:trPr>
        <w:tc>
          <w:tcPr>
            <w:tcW w:w="2920" w:type="dxa"/>
            <w:gridSpan w:val="2"/>
            <w:noWrap/>
            <w:hideMark/>
          </w:tcPr>
          <w:p w:rsidR="00E664EE" w:rsidRPr="00922B9E" w:rsidRDefault="00E664EE" w:rsidP="00E664EE">
            <w:pPr>
              <w:rPr>
                <w:b/>
                <w:i/>
              </w:rPr>
            </w:pPr>
            <w:r w:rsidRPr="00922B9E">
              <w:rPr>
                <w:b/>
                <w:i/>
              </w:rPr>
              <w:t>Tasmania</w:t>
            </w:r>
          </w:p>
        </w:tc>
        <w:tc>
          <w:tcPr>
            <w:tcW w:w="1460" w:type="dxa"/>
            <w:gridSpan w:val="3"/>
          </w:tcPr>
          <w:p w:rsidR="00E664EE" w:rsidRPr="00E664EE" w:rsidRDefault="00E664EE" w:rsidP="00E664EE">
            <w:pPr>
              <w:jc w:val="right"/>
              <w:rPr>
                <w:i/>
              </w:rPr>
            </w:pPr>
          </w:p>
        </w:tc>
        <w:tc>
          <w:tcPr>
            <w:tcW w:w="1540" w:type="dxa"/>
            <w:gridSpan w:val="2"/>
          </w:tcPr>
          <w:p w:rsidR="00E664EE" w:rsidRPr="00E664EE" w:rsidRDefault="00E664EE" w:rsidP="00E664EE">
            <w:pPr>
              <w:jc w:val="right"/>
              <w:rPr>
                <w:i/>
              </w:rPr>
            </w:pPr>
          </w:p>
        </w:tc>
        <w:tc>
          <w:tcPr>
            <w:tcW w:w="1564" w:type="dxa"/>
            <w:noWrap/>
            <w:hideMark/>
          </w:tcPr>
          <w:p w:rsidR="00E664EE" w:rsidRPr="00E664EE" w:rsidRDefault="00E664EE" w:rsidP="00E664EE">
            <w:pPr>
              <w:jc w:val="right"/>
              <w:rPr>
                <w:i/>
              </w:rPr>
            </w:pPr>
          </w:p>
        </w:tc>
        <w:tc>
          <w:tcPr>
            <w:tcW w:w="1644" w:type="dxa"/>
            <w:noWrap/>
            <w:hideMark/>
          </w:tcPr>
          <w:p w:rsidR="00E664EE" w:rsidRPr="00E664EE" w:rsidRDefault="00E664EE" w:rsidP="00E664EE">
            <w:pPr>
              <w:jc w:val="right"/>
              <w:rPr>
                <w:i/>
              </w:rPr>
            </w:pP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Aurora</w:t>
            </w:r>
          </w:p>
        </w:tc>
        <w:tc>
          <w:tcPr>
            <w:tcW w:w="921" w:type="dxa"/>
            <w:gridSpan w:val="2"/>
            <w:noWrap/>
            <w:hideMark/>
          </w:tcPr>
          <w:p w:rsidR="00E664EE" w:rsidRPr="00E664EE" w:rsidRDefault="00E664EE" w:rsidP="00E664EE">
            <w:pPr>
              <w:jc w:val="right"/>
            </w:pPr>
            <w:r w:rsidRPr="00E664EE">
              <w:t xml:space="preserve">1.28 </w:t>
            </w:r>
          </w:p>
        </w:tc>
        <w:tc>
          <w:tcPr>
            <w:tcW w:w="921" w:type="dxa"/>
          </w:tcPr>
          <w:p w:rsidR="00E664EE" w:rsidRPr="00E664EE" w:rsidRDefault="00E664EE" w:rsidP="00E664EE">
            <w:pPr>
              <w:jc w:val="right"/>
            </w:pPr>
            <w:r w:rsidRPr="00E664EE">
              <w:t>(-0.30)</w:t>
            </w: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r w:rsidRPr="00E664EE">
              <w:t>-</w:t>
            </w:r>
          </w:p>
        </w:tc>
        <w:tc>
          <w:tcPr>
            <w:tcW w:w="1564" w:type="dxa"/>
            <w:noWrap/>
            <w:hideMark/>
          </w:tcPr>
          <w:p w:rsidR="00E664EE" w:rsidRPr="00E664EE" w:rsidRDefault="00E664EE" w:rsidP="00E664EE">
            <w:pPr>
              <w:jc w:val="right"/>
            </w:pPr>
            <w:r w:rsidRPr="00E664EE">
              <w:t>1.91</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922B9E" w:rsidRDefault="00E664EE" w:rsidP="00E664EE">
            <w:pPr>
              <w:rPr>
                <w:b/>
                <w:i/>
              </w:rPr>
            </w:pPr>
            <w:r w:rsidRPr="00922B9E">
              <w:rPr>
                <w:b/>
                <w:i/>
              </w:rPr>
              <w:t>NSW</w:t>
            </w:r>
          </w:p>
        </w:tc>
        <w:tc>
          <w:tcPr>
            <w:tcW w:w="1842" w:type="dxa"/>
            <w:gridSpan w:val="3"/>
            <w:noWrap/>
            <w:hideMark/>
          </w:tcPr>
          <w:p w:rsidR="00E664EE" w:rsidRPr="00E664EE" w:rsidRDefault="00E664EE" w:rsidP="00E664EE">
            <w:pPr>
              <w:jc w:val="right"/>
              <w:rPr>
                <w:bCs/>
              </w:rPr>
            </w:pPr>
          </w:p>
        </w:tc>
        <w:tc>
          <w:tcPr>
            <w:tcW w:w="1843" w:type="dxa"/>
            <w:gridSpan w:val="3"/>
            <w:noWrap/>
            <w:hideMark/>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p>
        </w:tc>
        <w:tc>
          <w:tcPr>
            <w:tcW w:w="1644" w:type="dxa"/>
            <w:noWrap/>
            <w:hideMark/>
          </w:tcPr>
          <w:p w:rsidR="00E664EE" w:rsidRPr="00E664EE" w:rsidRDefault="00E664EE" w:rsidP="00E664EE">
            <w:pPr>
              <w:jc w:val="right"/>
              <w:rPr>
                <w:bCs/>
              </w:rPr>
            </w:pP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ActewAGL</w:t>
            </w:r>
          </w:p>
        </w:tc>
        <w:tc>
          <w:tcPr>
            <w:tcW w:w="921" w:type="dxa"/>
            <w:gridSpan w:val="2"/>
            <w:noWrap/>
            <w:hideMark/>
          </w:tcPr>
          <w:p w:rsidR="00E664EE" w:rsidRPr="00E664EE" w:rsidRDefault="00E664EE" w:rsidP="00E664EE">
            <w:pPr>
              <w:jc w:val="right"/>
            </w:pPr>
            <w:r w:rsidRPr="00E664EE">
              <w:t>0.45</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0.19</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4.94</w:t>
            </w:r>
          </w:p>
        </w:tc>
        <w:tc>
          <w:tcPr>
            <w:tcW w:w="1644" w:type="dxa"/>
            <w:noWrap/>
            <w:hideMark/>
          </w:tcPr>
          <w:p w:rsidR="00E664EE" w:rsidRPr="00E664EE" w:rsidRDefault="00E664EE" w:rsidP="00E664EE">
            <w:pPr>
              <w:jc w:val="right"/>
            </w:pPr>
            <w:r w:rsidRPr="00E664EE">
              <w:t>1.87</w:t>
            </w:r>
          </w:p>
        </w:tc>
      </w:tr>
      <w:tr w:rsidR="00E664EE" w:rsidRPr="00FE2F44" w:rsidTr="006E76B9">
        <w:trPr>
          <w:trHeight w:val="300"/>
        </w:trPr>
        <w:tc>
          <w:tcPr>
            <w:tcW w:w="2235" w:type="dxa"/>
            <w:noWrap/>
            <w:hideMark/>
          </w:tcPr>
          <w:p w:rsidR="00E664EE" w:rsidRPr="00E664EE" w:rsidRDefault="00E664EE" w:rsidP="00E664EE">
            <w:pPr>
              <w:rPr>
                <w:b/>
              </w:rPr>
            </w:pPr>
            <w:r w:rsidRPr="00E664EE">
              <w:t>AGL</w:t>
            </w:r>
          </w:p>
        </w:tc>
        <w:tc>
          <w:tcPr>
            <w:tcW w:w="921" w:type="dxa"/>
            <w:gridSpan w:val="2"/>
            <w:noWrap/>
            <w:hideMark/>
          </w:tcPr>
          <w:p w:rsidR="00E664EE" w:rsidRPr="00E664EE" w:rsidRDefault="00E664EE" w:rsidP="00E664EE">
            <w:pPr>
              <w:jc w:val="right"/>
              <w:rPr>
                <w:bCs/>
              </w:rPr>
            </w:pPr>
            <w:r w:rsidRPr="00E664EE">
              <w:rPr>
                <w:bCs/>
              </w:rPr>
              <w:t>0.60</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0.17</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3.13</w:t>
            </w:r>
          </w:p>
        </w:tc>
        <w:tc>
          <w:tcPr>
            <w:tcW w:w="1644" w:type="dxa"/>
            <w:noWrap/>
            <w:hideMark/>
          </w:tcPr>
          <w:p w:rsidR="00E664EE" w:rsidRPr="00E664EE" w:rsidRDefault="00E664EE" w:rsidP="00E664EE">
            <w:pPr>
              <w:jc w:val="right"/>
              <w:rPr>
                <w:bCs/>
              </w:rPr>
            </w:pPr>
            <w:r w:rsidRPr="00E664EE">
              <w:rPr>
                <w:bCs/>
              </w:rPr>
              <w:t>0.91</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lastRenderedPageBreak/>
              <w:t>Click Energy</w:t>
            </w:r>
          </w:p>
        </w:tc>
        <w:tc>
          <w:tcPr>
            <w:tcW w:w="921" w:type="dxa"/>
            <w:gridSpan w:val="2"/>
            <w:noWrap/>
            <w:hideMark/>
          </w:tcPr>
          <w:p w:rsidR="00E664EE" w:rsidRPr="00E664EE" w:rsidRDefault="00E664EE" w:rsidP="00E664EE">
            <w:pPr>
              <w:jc w:val="right"/>
            </w:pPr>
            <w:r w:rsidRPr="00E664EE">
              <w:t>0.16</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0.83</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Diamond Energy</w:t>
            </w:r>
          </w:p>
        </w:tc>
        <w:tc>
          <w:tcPr>
            <w:tcW w:w="921" w:type="dxa"/>
            <w:gridSpan w:val="2"/>
            <w:noWrap/>
            <w:hideMark/>
          </w:tcPr>
          <w:p w:rsidR="00E664EE" w:rsidRPr="00E664EE" w:rsidRDefault="00E664EE" w:rsidP="00E664EE">
            <w:pPr>
              <w:jc w:val="right"/>
              <w:rPr>
                <w:bCs/>
              </w:rPr>
            </w:pPr>
            <w:r w:rsidRPr="00E664EE">
              <w:rPr>
                <w:bCs/>
              </w:rPr>
              <w:t>0.31</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0.00</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Dodo Power &amp; Gas</w:t>
            </w:r>
          </w:p>
        </w:tc>
        <w:tc>
          <w:tcPr>
            <w:tcW w:w="921" w:type="dxa"/>
            <w:gridSpan w:val="2"/>
            <w:noWrap/>
            <w:hideMark/>
          </w:tcPr>
          <w:p w:rsidR="00E664EE" w:rsidRPr="00E664EE" w:rsidRDefault="00E664EE" w:rsidP="00E664EE">
            <w:pPr>
              <w:jc w:val="right"/>
            </w:pPr>
            <w:r w:rsidRPr="00E664EE">
              <w:t>0.04</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0.02</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EnergyAustralia</w:t>
            </w:r>
          </w:p>
        </w:tc>
        <w:tc>
          <w:tcPr>
            <w:tcW w:w="921" w:type="dxa"/>
            <w:gridSpan w:val="2"/>
            <w:noWrap/>
            <w:hideMark/>
          </w:tcPr>
          <w:p w:rsidR="00E664EE" w:rsidRPr="00E664EE" w:rsidRDefault="00E664EE" w:rsidP="00E664EE">
            <w:pPr>
              <w:jc w:val="right"/>
              <w:rPr>
                <w:bCs/>
              </w:rPr>
            </w:pPr>
            <w:r w:rsidRPr="00E664EE">
              <w:rPr>
                <w:bCs/>
              </w:rPr>
              <w:t>1.85</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1.57</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3.32</w:t>
            </w:r>
          </w:p>
        </w:tc>
        <w:tc>
          <w:tcPr>
            <w:tcW w:w="1644" w:type="dxa"/>
            <w:noWrap/>
            <w:hideMark/>
          </w:tcPr>
          <w:p w:rsidR="00E664EE" w:rsidRPr="00E664EE" w:rsidRDefault="00E664EE" w:rsidP="00E664EE">
            <w:pPr>
              <w:jc w:val="right"/>
              <w:rPr>
                <w:bCs/>
              </w:rPr>
            </w:pPr>
            <w:r w:rsidRPr="00E664EE">
              <w:rPr>
                <w:bCs/>
              </w:rPr>
              <w:t>2.79</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Lumo Energy</w:t>
            </w:r>
          </w:p>
        </w:tc>
        <w:tc>
          <w:tcPr>
            <w:tcW w:w="921" w:type="dxa"/>
            <w:gridSpan w:val="2"/>
            <w:noWrap/>
            <w:hideMark/>
          </w:tcPr>
          <w:p w:rsidR="00E664EE" w:rsidRPr="00E664EE" w:rsidRDefault="00E664EE" w:rsidP="00E664EE">
            <w:pPr>
              <w:jc w:val="right"/>
            </w:pPr>
            <w:r w:rsidRPr="00E664EE">
              <w:t>3.13</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2.72</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0.81</w:t>
            </w:r>
          </w:p>
        </w:tc>
        <w:tc>
          <w:tcPr>
            <w:tcW w:w="1644" w:type="dxa"/>
            <w:noWrap/>
            <w:hideMark/>
          </w:tcPr>
          <w:p w:rsidR="00E664EE" w:rsidRPr="00E664EE" w:rsidRDefault="00E664EE" w:rsidP="00E664EE">
            <w:pPr>
              <w:jc w:val="right"/>
            </w:pPr>
            <w:r w:rsidRPr="00E664EE">
              <w:t>0.53</w:t>
            </w:r>
          </w:p>
        </w:tc>
      </w:tr>
      <w:tr w:rsidR="00E664EE" w:rsidRPr="00FE2F44" w:rsidTr="006E76B9">
        <w:trPr>
          <w:trHeight w:val="300"/>
        </w:trPr>
        <w:tc>
          <w:tcPr>
            <w:tcW w:w="2235" w:type="dxa"/>
            <w:noWrap/>
            <w:hideMark/>
          </w:tcPr>
          <w:p w:rsidR="00E664EE" w:rsidRPr="00E664EE" w:rsidRDefault="00E664EE" w:rsidP="00E664EE">
            <w:pPr>
              <w:rPr>
                <w:b/>
              </w:rPr>
            </w:pPr>
            <w:r w:rsidRPr="00E664EE">
              <w:t>Momentum Energy</w:t>
            </w:r>
          </w:p>
        </w:tc>
        <w:tc>
          <w:tcPr>
            <w:tcW w:w="921" w:type="dxa"/>
            <w:gridSpan w:val="2"/>
            <w:noWrap/>
            <w:hideMark/>
          </w:tcPr>
          <w:p w:rsidR="00E664EE" w:rsidRPr="00E664EE" w:rsidRDefault="00E664EE" w:rsidP="00E664EE">
            <w:pPr>
              <w:jc w:val="right"/>
              <w:rPr>
                <w:bCs/>
              </w:rPr>
            </w:pPr>
            <w:r w:rsidRPr="00E664EE">
              <w:rPr>
                <w:bCs/>
              </w:rPr>
              <w:t>4.49</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3.97</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Origin Energy</w:t>
            </w:r>
          </w:p>
        </w:tc>
        <w:tc>
          <w:tcPr>
            <w:tcW w:w="921" w:type="dxa"/>
            <w:gridSpan w:val="2"/>
            <w:noWrap/>
            <w:hideMark/>
          </w:tcPr>
          <w:p w:rsidR="00E664EE" w:rsidRPr="00E664EE" w:rsidRDefault="00E664EE" w:rsidP="00E664EE">
            <w:pPr>
              <w:jc w:val="right"/>
            </w:pPr>
            <w:r w:rsidRPr="00E664EE">
              <w:t>3.16</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2.30</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2.57</w:t>
            </w:r>
          </w:p>
        </w:tc>
        <w:tc>
          <w:tcPr>
            <w:tcW w:w="1644" w:type="dxa"/>
            <w:noWrap/>
            <w:hideMark/>
          </w:tcPr>
          <w:p w:rsidR="00E664EE" w:rsidRPr="00E664EE" w:rsidRDefault="00E664EE" w:rsidP="00E664EE">
            <w:pPr>
              <w:jc w:val="right"/>
            </w:pPr>
            <w:r w:rsidRPr="00E664EE">
              <w:t>1.97</w:t>
            </w:r>
          </w:p>
        </w:tc>
      </w:tr>
      <w:tr w:rsidR="00E664EE" w:rsidRPr="00FE2F44" w:rsidTr="006E76B9">
        <w:trPr>
          <w:trHeight w:val="300"/>
        </w:trPr>
        <w:tc>
          <w:tcPr>
            <w:tcW w:w="2235" w:type="dxa"/>
            <w:noWrap/>
            <w:hideMark/>
          </w:tcPr>
          <w:p w:rsidR="00E664EE" w:rsidRPr="00E664EE" w:rsidRDefault="00E664EE" w:rsidP="00E664EE">
            <w:pPr>
              <w:rPr>
                <w:b/>
              </w:rPr>
            </w:pPr>
            <w:r w:rsidRPr="00E664EE">
              <w:t>Powerdirect</w:t>
            </w:r>
          </w:p>
        </w:tc>
        <w:tc>
          <w:tcPr>
            <w:tcW w:w="921" w:type="dxa"/>
            <w:gridSpan w:val="2"/>
            <w:noWrap/>
            <w:hideMark/>
          </w:tcPr>
          <w:p w:rsidR="00E664EE" w:rsidRPr="00E664EE" w:rsidRDefault="00E664EE" w:rsidP="00E664EE">
            <w:pPr>
              <w:jc w:val="right"/>
              <w:rPr>
                <w:bCs/>
              </w:rPr>
            </w:pPr>
            <w:r w:rsidRPr="00E664EE">
              <w:rPr>
                <w:bCs/>
              </w:rPr>
              <w:t>1.12</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0.08</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QEnergy</w:t>
            </w:r>
          </w:p>
        </w:tc>
        <w:tc>
          <w:tcPr>
            <w:tcW w:w="921" w:type="dxa"/>
            <w:gridSpan w:val="2"/>
            <w:noWrap/>
            <w:hideMark/>
          </w:tcPr>
          <w:p w:rsidR="00E664EE" w:rsidRPr="00E664EE" w:rsidRDefault="00E664EE" w:rsidP="00E664EE">
            <w:pPr>
              <w:jc w:val="right"/>
            </w:pPr>
            <w:r w:rsidRPr="00E664EE">
              <w:t>2.54</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0.00</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Red Energy</w:t>
            </w:r>
          </w:p>
        </w:tc>
        <w:tc>
          <w:tcPr>
            <w:tcW w:w="921" w:type="dxa"/>
            <w:gridSpan w:val="2"/>
            <w:noWrap/>
            <w:hideMark/>
          </w:tcPr>
          <w:p w:rsidR="00E664EE" w:rsidRPr="00E664EE" w:rsidRDefault="00E664EE" w:rsidP="00E664EE">
            <w:pPr>
              <w:jc w:val="right"/>
              <w:rPr>
                <w:bCs/>
              </w:rPr>
            </w:pPr>
            <w:r w:rsidRPr="00E664EE">
              <w:rPr>
                <w:bCs/>
              </w:rPr>
              <w:t>3.68</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5.74</w:t>
            </w:r>
          </w:p>
        </w:tc>
        <w:tc>
          <w:tcPr>
            <w:tcW w:w="1644" w:type="dxa"/>
            <w:noWrap/>
            <w:hideMark/>
          </w:tcPr>
          <w:p w:rsidR="00E664EE" w:rsidRPr="00E664EE" w:rsidRDefault="00E664EE" w:rsidP="00E664EE">
            <w:pPr>
              <w:jc w:val="right"/>
              <w:rPr>
                <w:bCs/>
              </w:rPr>
            </w:pPr>
            <w:r w:rsidRPr="00E664EE">
              <w:rPr>
                <w:bCs/>
              </w:rPr>
              <w:t>-</w:t>
            </w:r>
          </w:p>
        </w:tc>
      </w:tr>
      <w:tr w:rsidR="00E664EE"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E664EE" w:rsidRPr="00E664EE" w:rsidRDefault="00E664EE" w:rsidP="00E664EE">
            <w:pPr>
              <w:rPr>
                <w:b/>
              </w:rPr>
            </w:pPr>
            <w:r w:rsidRPr="00E664EE">
              <w:t>Sanctuary Energy</w:t>
            </w:r>
          </w:p>
        </w:tc>
        <w:tc>
          <w:tcPr>
            <w:tcW w:w="921" w:type="dxa"/>
            <w:gridSpan w:val="2"/>
            <w:noWrap/>
            <w:hideMark/>
          </w:tcPr>
          <w:p w:rsidR="00E664EE" w:rsidRPr="00E664EE" w:rsidRDefault="00E664EE" w:rsidP="00E664EE">
            <w:pPr>
              <w:jc w:val="right"/>
            </w:pPr>
            <w:r w:rsidRPr="00E664EE">
              <w:t>0.56</w:t>
            </w:r>
          </w:p>
        </w:tc>
        <w:tc>
          <w:tcPr>
            <w:tcW w:w="921" w:type="dxa"/>
          </w:tcPr>
          <w:p w:rsidR="00E664EE" w:rsidRPr="00E664EE" w:rsidRDefault="00E664EE" w:rsidP="00E664EE">
            <w:pPr>
              <w:jc w:val="right"/>
            </w:pPr>
          </w:p>
        </w:tc>
        <w:tc>
          <w:tcPr>
            <w:tcW w:w="921" w:type="dxa"/>
            <w:gridSpan w:val="2"/>
            <w:noWrap/>
            <w:hideMark/>
          </w:tcPr>
          <w:p w:rsidR="00E664EE" w:rsidRPr="00E664EE" w:rsidRDefault="00E664EE" w:rsidP="00E664EE">
            <w:pPr>
              <w:jc w:val="right"/>
            </w:pPr>
            <w:r w:rsidRPr="00E664EE">
              <w:t>-</w:t>
            </w:r>
          </w:p>
        </w:tc>
        <w:tc>
          <w:tcPr>
            <w:tcW w:w="922" w:type="dxa"/>
          </w:tcPr>
          <w:p w:rsidR="00E664EE" w:rsidRPr="00E664EE" w:rsidRDefault="00E664EE" w:rsidP="00E664EE">
            <w:pPr>
              <w:jc w:val="right"/>
            </w:pPr>
          </w:p>
        </w:tc>
        <w:tc>
          <w:tcPr>
            <w:tcW w:w="1564" w:type="dxa"/>
            <w:noWrap/>
            <w:hideMark/>
          </w:tcPr>
          <w:p w:rsidR="00E664EE" w:rsidRPr="00E664EE" w:rsidRDefault="00E664EE" w:rsidP="00E664EE">
            <w:pPr>
              <w:jc w:val="right"/>
            </w:pPr>
            <w:r w:rsidRPr="00E664EE">
              <w:t>1.70</w:t>
            </w:r>
          </w:p>
        </w:tc>
        <w:tc>
          <w:tcPr>
            <w:tcW w:w="1644" w:type="dxa"/>
            <w:noWrap/>
            <w:hideMark/>
          </w:tcPr>
          <w:p w:rsidR="00E664EE" w:rsidRPr="00E664EE" w:rsidRDefault="00E664EE" w:rsidP="00E664EE">
            <w:pPr>
              <w:jc w:val="right"/>
            </w:pPr>
            <w:r w:rsidRPr="00E664EE">
              <w:t>-</w:t>
            </w:r>
          </w:p>
        </w:tc>
      </w:tr>
      <w:tr w:rsidR="00E664EE" w:rsidRPr="00FE2F44" w:rsidTr="006E76B9">
        <w:trPr>
          <w:trHeight w:val="300"/>
        </w:trPr>
        <w:tc>
          <w:tcPr>
            <w:tcW w:w="2235" w:type="dxa"/>
            <w:noWrap/>
            <w:hideMark/>
          </w:tcPr>
          <w:p w:rsidR="00E664EE" w:rsidRPr="00E664EE" w:rsidRDefault="00E664EE" w:rsidP="00E664EE">
            <w:pPr>
              <w:rPr>
                <w:b/>
              </w:rPr>
            </w:pPr>
            <w:r w:rsidRPr="00E664EE">
              <w:t>Simply Energy</w:t>
            </w:r>
          </w:p>
        </w:tc>
        <w:tc>
          <w:tcPr>
            <w:tcW w:w="921" w:type="dxa"/>
            <w:gridSpan w:val="2"/>
            <w:noWrap/>
            <w:hideMark/>
          </w:tcPr>
          <w:p w:rsidR="00E664EE" w:rsidRPr="00E664EE" w:rsidRDefault="00E664EE" w:rsidP="00E664EE">
            <w:pPr>
              <w:jc w:val="right"/>
              <w:rPr>
                <w:bCs/>
              </w:rPr>
            </w:pPr>
            <w:r w:rsidRPr="00E664EE">
              <w:rPr>
                <w:bCs/>
              </w:rPr>
              <w:t>1.67</w:t>
            </w:r>
          </w:p>
        </w:tc>
        <w:tc>
          <w:tcPr>
            <w:tcW w:w="921" w:type="dxa"/>
          </w:tcPr>
          <w:p w:rsidR="00E664EE" w:rsidRPr="00E664EE" w:rsidRDefault="00E664EE" w:rsidP="00E664EE">
            <w:pPr>
              <w:jc w:val="right"/>
              <w:rPr>
                <w:bCs/>
              </w:rPr>
            </w:pPr>
          </w:p>
        </w:tc>
        <w:tc>
          <w:tcPr>
            <w:tcW w:w="921" w:type="dxa"/>
            <w:gridSpan w:val="2"/>
            <w:noWrap/>
            <w:hideMark/>
          </w:tcPr>
          <w:p w:rsidR="00E664EE" w:rsidRPr="00E664EE" w:rsidRDefault="00E664EE" w:rsidP="00E664EE">
            <w:pPr>
              <w:jc w:val="right"/>
              <w:rPr>
                <w:bCs/>
              </w:rPr>
            </w:pPr>
            <w:r w:rsidRPr="00E664EE">
              <w:rPr>
                <w:bCs/>
              </w:rPr>
              <w:t>-</w:t>
            </w:r>
          </w:p>
        </w:tc>
        <w:tc>
          <w:tcPr>
            <w:tcW w:w="922" w:type="dxa"/>
          </w:tcPr>
          <w:p w:rsidR="00E664EE" w:rsidRPr="00E664EE" w:rsidRDefault="00E664EE" w:rsidP="00E664EE">
            <w:pPr>
              <w:jc w:val="right"/>
              <w:rPr>
                <w:bCs/>
              </w:rPr>
            </w:pPr>
          </w:p>
        </w:tc>
        <w:tc>
          <w:tcPr>
            <w:tcW w:w="1564" w:type="dxa"/>
            <w:noWrap/>
            <w:hideMark/>
          </w:tcPr>
          <w:p w:rsidR="00E664EE" w:rsidRPr="00E664EE" w:rsidRDefault="00E664EE" w:rsidP="00E664EE">
            <w:pPr>
              <w:jc w:val="right"/>
              <w:rPr>
                <w:bCs/>
              </w:rPr>
            </w:pPr>
            <w:r w:rsidRPr="00E664EE">
              <w:rPr>
                <w:bCs/>
              </w:rPr>
              <w:t>0.62</w:t>
            </w:r>
          </w:p>
        </w:tc>
        <w:tc>
          <w:tcPr>
            <w:tcW w:w="1644" w:type="dxa"/>
            <w:noWrap/>
            <w:hideMark/>
          </w:tcPr>
          <w:p w:rsidR="00E664EE" w:rsidRPr="00E664EE" w:rsidRDefault="00E664EE" w:rsidP="00E664EE">
            <w:pPr>
              <w:jc w:val="right"/>
              <w:rPr>
                <w:bCs/>
              </w:rPr>
            </w:pPr>
            <w:r w:rsidRPr="00E664EE">
              <w:rPr>
                <w:bCs/>
              </w:rPr>
              <w:t>-</w:t>
            </w:r>
          </w:p>
        </w:tc>
      </w:tr>
      <w:tr w:rsidR="00827E6F"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tcPr>
          <w:p w:rsidR="00827E6F" w:rsidRPr="00827E6F" w:rsidRDefault="00827E6F" w:rsidP="00E664EE">
            <w:pPr>
              <w:rPr>
                <w:rStyle w:val="Strong"/>
              </w:rPr>
            </w:pPr>
            <w:r>
              <w:rPr>
                <w:rStyle w:val="Strong"/>
              </w:rPr>
              <w:t>TOTAL NSW</w:t>
            </w:r>
          </w:p>
        </w:tc>
        <w:tc>
          <w:tcPr>
            <w:tcW w:w="921" w:type="dxa"/>
            <w:gridSpan w:val="2"/>
            <w:noWrap/>
          </w:tcPr>
          <w:p w:rsidR="00827E6F" w:rsidRPr="00CE32E9" w:rsidRDefault="00827E6F" w:rsidP="00E664EE">
            <w:pPr>
              <w:jc w:val="right"/>
              <w:rPr>
                <w:b/>
                <w:bCs/>
              </w:rPr>
            </w:pPr>
            <w:r w:rsidRPr="00CE32E9">
              <w:rPr>
                <w:b/>
                <w:bCs/>
              </w:rPr>
              <w:t>2.02</w:t>
            </w:r>
          </w:p>
        </w:tc>
        <w:tc>
          <w:tcPr>
            <w:tcW w:w="921" w:type="dxa"/>
          </w:tcPr>
          <w:p w:rsidR="00827E6F" w:rsidRPr="00CE32E9" w:rsidRDefault="00827E6F" w:rsidP="00E664EE">
            <w:pPr>
              <w:jc w:val="right"/>
              <w:rPr>
                <w:b/>
                <w:bCs/>
              </w:rPr>
            </w:pPr>
          </w:p>
        </w:tc>
        <w:tc>
          <w:tcPr>
            <w:tcW w:w="921" w:type="dxa"/>
            <w:gridSpan w:val="2"/>
            <w:noWrap/>
          </w:tcPr>
          <w:p w:rsidR="00827E6F" w:rsidRPr="00CE32E9" w:rsidRDefault="00827E6F" w:rsidP="00E664EE">
            <w:pPr>
              <w:jc w:val="right"/>
              <w:rPr>
                <w:b/>
                <w:bCs/>
              </w:rPr>
            </w:pPr>
            <w:r w:rsidRPr="00CE32E9">
              <w:rPr>
                <w:b/>
                <w:bCs/>
              </w:rPr>
              <w:t>0.88</w:t>
            </w:r>
          </w:p>
        </w:tc>
        <w:tc>
          <w:tcPr>
            <w:tcW w:w="922" w:type="dxa"/>
          </w:tcPr>
          <w:p w:rsidR="00827E6F" w:rsidRPr="00CE32E9" w:rsidRDefault="00827E6F" w:rsidP="00E664EE">
            <w:pPr>
              <w:jc w:val="right"/>
              <w:rPr>
                <w:b/>
                <w:bCs/>
              </w:rPr>
            </w:pPr>
          </w:p>
        </w:tc>
        <w:tc>
          <w:tcPr>
            <w:tcW w:w="1564" w:type="dxa"/>
            <w:noWrap/>
          </w:tcPr>
          <w:p w:rsidR="00827E6F" w:rsidRPr="00CE32E9" w:rsidRDefault="00CE32E9" w:rsidP="00E664EE">
            <w:pPr>
              <w:jc w:val="right"/>
              <w:rPr>
                <w:b/>
                <w:bCs/>
              </w:rPr>
            </w:pPr>
            <w:r>
              <w:rPr>
                <w:b/>
                <w:bCs/>
              </w:rPr>
              <w:t>2.92</w:t>
            </w:r>
          </w:p>
        </w:tc>
        <w:tc>
          <w:tcPr>
            <w:tcW w:w="1644" w:type="dxa"/>
            <w:noWrap/>
          </w:tcPr>
          <w:p w:rsidR="00827E6F" w:rsidRPr="00CE32E9" w:rsidRDefault="00CE32E9" w:rsidP="00E664EE">
            <w:pPr>
              <w:jc w:val="right"/>
              <w:rPr>
                <w:b/>
                <w:bCs/>
              </w:rPr>
            </w:pPr>
            <w:r>
              <w:rPr>
                <w:b/>
                <w:bCs/>
              </w:rPr>
              <w:t>1.52</w:t>
            </w:r>
          </w:p>
        </w:tc>
      </w:tr>
    </w:tbl>
    <w:p w:rsidR="00BB3998" w:rsidRDefault="00BB3998" w:rsidP="00666A48"/>
    <w:p w:rsidR="00666A48" w:rsidRDefault="00666A48" w:rsidP="00666A48">
      <w:r>
        <w:t>In South Australia, a significant number of Origin Energy and Momentum Energy customers began using payment plans to repay debt in 2013-14.</w:t>
      </w:r>
    </w:p>
    <w:p w:rsidR="00666A48" w:rsidRDefault="00666A48" w:rsidP="009C613C">
      <w:r>
        <w:t xml:space="preserve">EnergyAustralia has a large proportion of customers on payment plans (over 10 per cent of electricity customers and 7 per cent of gas customers in South Australia).However, a greater number of customers had payment plans cancelled by EnergyAustralia in 2013-14. Similarly, </w:t>
      </w:r>
      <w:r w:rsidR="00110BBB">
        <w:t>Alinta Energy has a large proportion of customers on payment plans (7 per cent for electricity and 3 per cent for gas)</w:t>
      </w:r>
      <w:r>
        <w:t>;</w:t>
      </w:r>
      <w:r w:rsidR="00110BBB">
        <w:t xml:space="preserve"> however during 2013-14 they cancelled around twice this </w:t>
      </w:r>
      <w:r>
        <w:t>number</w:t>
      </w:r>
      <w:r w:rsidR="00110BBB">
        <w:t xml:space="preserve"> of payment plans. </w:t>
      </w:r>
      <w:r>
        <w:t>This suggests that many customers are agreeing to unrealistic payment terms, and may benefit from additional assistance through a hardship program.</w:t>
      </w:r>
    </w:p>
    <w:p w:rsidR="00980FDB" w:rsidRDefault="00980FDB" w:rsidP="00980FDB">
      <w:r>
        <w:br w:type="page"/>
      </w:r>
    </w:p>
    <w:p w:rsidR="00980FDB" w:rsidRPr="001C2483" w:rsidRDefault="00980FDB" w:rsidP="00AA3437">
      <w:pPr>
        <w:pStyle w:val="Headingnumbered11"/>
        <w:spacing w:after="240"/>
        <w:rPr>
          <w:rFonts w:ascii="Lucida Fax" w:hAnsi="Lucida Fax"/>
          <w:sz w:val="32"/>
          <w:szCs w:val="32"/>
        </w:rPr>
      </w:pPr>
      <w:bookmarkStart w:id="33" w:name="_Toc402961394"/>
      <w:r>
        <w:lastRenderedPageBreak/>
        <w:t>Hardship programs</w:t>
      </w:r>
      <w:bookmarkEnd w:id="33"/>
    </w:p>
    <w:p w:rsidR="00FF36C0" w:rsidRDefault="00980FDB" w:rsidP="00980FDB">
      <w:pPr>
        <w:spacing w:before="0" w:after="200"/>
      </w:pPr>
      <w:r>
        <w:t>The Retail Law requires energy retailers to offer hardship programs to customers experiencing financial difficulty.</w:t>
      </w:r>
      <w:r>
        <w:rPr>
          <w:rStyle w:val="FootnoteReference"/>
        </w:rPr>
        <w:footnoteReference w:id="18"/>
      </w:r>
      <w:r>
        <w:t xml:space="preserve"> The assistance provided by a hardship program should be tailored to the circumstances of each customer. Under the Retail Law, all retailers must have their hardship policy approved by the AER before they can sell energy to residential customers. </w:t>
      </w:r>
    </w:p>
    <w:p w:rsidR="00FF36C0" w:rsidRDefault="00FF36C0" w:rsidP="00110BBB">
      <w:pPr>
        <w:spacing w:before="0" w:after="200"/>
      </w:pPr>
      <w:r>
        <w:t>Hardship programs must include:</w:t>
      </w:r>
      <w:r>
        <w:rPr>
          <w:rStyle w:val="FootnoteReference"/>
        </w:rPr>
        <w:footnoteReference w:id="19"/>
      </w:r>
    </w:p>
    <w:p w:rsidR="00FF36C0" w:rsidRDefault="00233D98" w:rsidP="00110BBB">
      <w:pPr>
        <w:pStyle w:val="ListParagraph"/>
        <w:numPr>
          <w:ilvl w:val="0"/>
          <w:numId w:val="11"/>
        </w:numPr>
        <w:spacing w:before="0" w:after="200"/>
      </w:pPr>
      <w:r>
        <w:t>p</w:t>
      </w:r>
      <w:r w:rsidR="00FF36C0">
        <w:t>rocesses for early response where residential customers are identified as experiencing payment difficulties due to hardship</w:t>
      </w:r>
    </w:p>
    <w:p w:rsidR="00FF36C0" w:rsidRDefault="00233D98" w:rsidP="00110BBB">
      <w:pPr>
        <w:pStyle w:val="ListParagraph"/>
        <w:numPr>
          <w:ilvl w:val="0"/>
          <w:numId w:val="11"/>
        </w:numPr>
        <w:spacing w:before="0" w:after="200"/>
      </w:pPr>
      <w:r>
        <w:t>f</w:t>
      </w:r>
      <w:r w:rsidR="00FF36C0">
        <w:t>lexible payment options including payment plans and Centrepay</w:t>
      </w:r>
    </w:p>
    <w:p w:rsidR="00FF36C0" w:rsidRDefault="00233D98" w:rsidP="00110BBB">
      <w:pPr>
        <w:pStyle w:val="ListParagraph"/>
        <w:numPr>
          <w:ilvl w:val="0"/>
          <w:numId w:val="11"/>
        </w:numPr>
        <w:spacing w:before="0" w:after="200"/>
      </w:pPr>
      <w:r>
        <w:t>a</w:t>
      </w:r>
      <w:r w:rsidR="00FF36C0">
        <w:t>ssistance in identifying government concessions and rebates</w:t>
      </w:r>
    </w:p>
    <w:p w:rsidR="00FF36C0" w:rsidRDefault="00233D98" w:rsidP="00110BBB">
      <w:pPr>
        <w:pStyle w:val="ListParagraph"/>
        <w:numPr>
          <w:ilvl w:val="0"/>
          <w:numId w:val="11"/>
        </w:numPr>
        <w:spacing w:before="0" w:after="200"/>
      </w:pPr>
      <w:r>
        <w:t>r</w:t>
      </w:r>
      <w:r w:rsidR="00FF36C0">
        <w:t>eferrals to financial counselling services</w:t>
      </w:r>
    </w:p>
    <w:p w:rsidR="00FF36C0" w:rsidRDefault="00233D98" w:rsidP="00110BBB">
      <w:pPr>
        <w:pStyle w:val="ListParagraph"/>
        <w:numPr>
          <w:ilvl w:val="0"/>
          <w:numId w:val="11"/>
        </w:numPr>
        <w:spacing w:before="0" w:after="200"/>
      </w:pPr>
      <w:r>
        <w:t>e</w:t>
      </w:r>
      <w:r w:rsidR="00FF36C0">
        <w:t>nergy efficiency advice.</w:t>
      </w:r>
      <w:r w:rsidR="00FF36C0">
        <w:rPr>
          <w:rStyle w:val="FootnoteReference"/>
        </w:rPr>
        <w:footnoteReference w:id="20"/>
      </w:r>
    </w:p>
    <w:p w:rsidR="00980FDB" w:rsidRDefault="00FF4BB4" w:rsidP="00980FDB">
      <w:pPr>
        <w:spacing w:before="0" w:after="200"/>
      </w:pPr>
      <w:r>
        <w:t>In 2014 t</w:t>
      </w:r>
      <w:r w:rsidR="00980FDB">
        <w:t>he AER commenced a targeted review of the operation of retailers’ hardship policies and practices</w:t>
      </w:r>
      <w:r>
        <w:t>.</w:t>
      </w:r>
      <w:r w:rsidR="00980FDB">
        <w:t xml:space="preserve"> The purpose of the review is to understand how retailers identify and assist customers experiencing financial difficulty and to share examples of good practice across industry. Three areas of focus are customer access to retailers’ hardship programs, ‘capacity to pay’ assessments and Centrepay. The review findings report will be released in early 2015.</w:t>
      </w:r>
    </w:p>
    <w:p w:rsidR="00FF4BB4" w:rsidRDefault="00FF4BB4" w:rsidP="00FF4BB4">
      <w:pPr>
        <w:spacing w:before="0" w:after="200"/>
      </w:pPr>
      <w:r>
        <w:t>Retailers report annually on the types of assistance offered under their hardship programs and on</w:t>
      </w:r>
      <w:r w:rsidR="00233D98">
        <w:t>:</w:t>
      </w:r>
      <w:r>
        <w:t xml:space="preserve"> </w:t>
      </w:r>
    </w:p>
    <w:p w:rsidR="00980FDB" w:rsidRDefault="00980FDB" w:rsidP="009E4964">
      <w:pPr>
        <w:pStyle w:val="ListParagraph"/>
        <w:numPr>
          <w:ilvl w:val="0"/>
          <w:numId w:val="11"/>
        </w:numPr>
        <w:spacing w:before="0" w:after="200"/>
      </w:pPr>
      <w:r>
        <w:t xml:space="preserve">the number of customers that each retailer has on hardship programs </w:t>
      </w:r>
    </w:p>
    <w:p w:rsidR="00980FDB" w:rsidRDefault="00980FDB" w:rsidP="009E4964">
      <w:pPr>
        <w:pStyle w:val="ListParagraph"/>
        <w:numPr>
          <w:ilvl w:val="0"/>
          <w:numId w:val="11"/>
        </w:numPr>
        <w:spacing w:before="0" w:after="200"/>
      </w:pPr>
      <w:r>
        <w:t>the payment methods used by these customers</w:t>
      </w:r>
    </w:p>
    <w:p w:rsidR="00980FDB" w:rsidRDefault="00980FDB" w:rsidP="009E4964">
      <w:pPr>
        <w:pStyle w:val="ListParagraph"/>
        <w:numPr>
          <w:ilvl w:val="0"/>
          <w:numId w:val="11"/>
        </w:numPr>
        <w:spacing w:before="0" w:after="200"/>
      </w:pPr>
      <w:r>
        <w:t>the level of debt that customers on hardship programs hold</w:t>
      </w:r>
    </w:p>
    <w:p w:rsidR="00980FDB" w:rsidRDefault="00980FDB" w:rsidP="009E4964">
      <w:pPr>
        <w:pStyle w:val="ListParagraph"/>
        <w:numPr>
          <w:ilvl w:val="0"/>
          <w:numId w:val="11"/>
        </w:numPr>
        <w:spacing w:before="0" w:after="200"/>
      </w:pPr>
      <w:r>
        <w:t xml:space="preserve">the reasons for customers exiting hardship programs. </w:t>
      </w:r>
    </w:p>
    <w:p w:rsidR="00FF36C0" w:rsidRDefault="00FF36C0" w:rsidP="00FF36C0">
      <w:pPr>
        <w:spacing w:before="0" w:after="200"/>
      </w:pPr>
      <w:r>
        <w:t>This section also includes a number of case studies provided by retailers to illustrate how they assist customers in financial hardship.</w:t>
      </w:r>
    </w:p>
    <w:p w:rsidR="00980FDB" w:rsidRPr="00F45BC3" w:rsidRDefault="00980FDB" w:rsidP="009E4964">
      <w:pPr>
        <w:pStyle w:val="ListParagraph"/>
        <w:numPr>
          <w:ilvl w:val="0"/>
          <w:numId w:val="13"/>
        </w:numPr>
        <w:spacing w:before="240" w:after="240" w:line="240" w:lineRule="auto"/>
        <w:outlineLvl w:val="3"/>
        <w:rPr>
          <w:vanish/>
          <w:sz w:val="24"/>
          <w:szCs w:val="24"/>
        </w:rPr>
      </w:pPr>
    </w:p>
    <w:p w:rsidR="00980FDB" w:rsidRPr="00F45BC3" w:rsidRDefault="00980FDB" w:rsidP="009E4964">
      <w:pPr>
        <w:pStyle w:val="ListParagraph"/>
        <w:numPr>
          <w:ilvl w:val="0"/>
          <w:numId w:val="13"/>
        </w:numPr>
        <w:spacing w:before="240" w:after="240" w:line="240" w:lineRule="auto"/>
        <w:outlineLvl w:val="3"/>
        <w:rPr>
          <w:vanish/>
          <w:sz w:val="24"/>
          <w:szCs w:val="24"/>
        </w:rPr>
      </w:pPr>
    </w:p>
    <w:p w:rsidR="00980FDB" w:rsidRPr="00F45BC3" w:rsidRDefault="00980FDB" w:rsidP="009E4964">
      <w:pPr>
        <w:pStyle w:val="ListParagraph"/>
        <w:numPr>
          <w:ilvl w:val="1"/>
          <w:numId w:val="13"/>
        </w:numPr>
        <w:spacing w:before="240" w:after="240" w:line="240" w:lineRule="auto"/>
        <w:outlineLvl w:val="3"/>
        <w:rPr>
          <w:vanish/>
          <w:sz w:val="24"/>
          <w:szCs w:val="24"/>
        </w:rPr>
      </w:pPr>
    </w:p>
    <w:p w:rsidR="00980FDB" w:rsidRPr="00F45BC3" w:rsidRDefault="00980FDB" w:rsidP="009E4964">
      <w:pPr>
        <w:pStyle w:val="ListParagraph"/>
        <w:numPr>
          <w:ilvl w:val="1"/>
          <w:numId w:val="13"/>
        </w:numPr>
        <w:spacing w:before="240" w:after="240" w:line="240" w:lineRule="auto"/>
        <w:outlineLvl w:val="3"/>
        <w:rPr>
          <w:vanish/>
          <w:sz w:val="24"/>
          <w:szCs w:val="24"/>
        </w:rPr>
      </w:pPr>
    </w:p>
    <w:p w:rsidR="00980FDB" w:rsidRPr="00F45BC3" w:rsidRDefault="00980FDB" w:rsidP="009E4964">
      <w:pPr>
        <w:pStyle w:val="ListParagraph"/>
        <w:numPr>
          <w:ilvl w:val="1"/>
          <w:numId w:val="13"/>
        </w:numPr>
        <w:spacing w:before="240" w:after="240" w:line="240" w:lineRule="auto"/>
        <w:outlineLvl w:val="3"/>
        <w:rPr>
          <w:vanish/>
          <w:sz w:val="24"/>
          <w:szCs w:val="24"/>
        </w:rPr>
      </w:pPr>
    </w:p>
    <w:p w:rsidR="00980FDB" w:rsidRPr="00F45BC3" w:rsidRDefault="00980FDB" w:rsidP="009E4964">
      <w:pPr>
        <w:pStyle w:val="ListParagraph"/>
        <w:numPr>
          <w:ilvl w:val="1"/>
          <w:numId w:val="13"/>
        </w:numPr>
        <w:spacing w:before="240" w:after="240" w:line="240" w:lineRule="auto"/>
        <w:outlineLvl w:val="3"/>
        <w:rPr>
          <w:vanish/>
          <w:sz w:val="24"/>
          <w:szCs w:val="24"/>
        </w:rPr>
      </w:pPr>
    </w:p>
    <w:p w:rsidR="00980FDB" w:rsidRPr="00F45BC3" w:rsidRDefault="00980FDB" w:rsidP="009E4964">
      <w:pPr>
        <w:pStyle w:val="ListParagraph"/>
        <w:numPr>
          <w:ilvl w:val="1"/>
          <w:numId w:val="13"/>
        </w:numPr>
        <w:spacing w:before="240" w:after="240" w:line="240" w:lineRule="auto"/>
        <w:outlineLvl w:val="3"/>
        <w:rPr>
          <w:vanish/>
          <w:sz w:val="24"/>
          <w:szCs w:val="24"/>
        </w:rPr>
      </w:pPr>
    </w:p>
    <w:p w:rsidR="00980FDB" w:rsidRDefault="009E1DC6" w:rsidP="009E1DC6">
      <w:pPr>
        <w:pStyle w:val="Headingnumbered11"/>
        <w:numPr>
          <w:ilvl w:val="2"/>
          <w:numId w:val="10"/>
        </w:numPr>
      </w:pPr>
      <w:bookmarkStart w:id="34" w:name="_Toc402959237"/>
      <w:bookmarkStart w:id="35" w:name="_Toc402959723"/>
      <w:bookmarkStart w:id="36" w:name="_Toc402961395"/>
      <w:r>
        <w:t xml:space="preserve"> </w:t>
      </w:r>
      <w:r w:rsidR="00980FDB">
        <w:t>Customers on hardship programs</w:t>
      </w:r>
      <w:bookmarkEnd w:id="34"/>
      <w:bookmarkEnd w:id="35"/>
      <w:bookmarkEnd w:id="36"/>
    </w:p>
    <w:p w:rsidR="00980FDB" w:rsidRDefault="00980FDB" w:rsidP="00980FDB">
      <w:pPr>
        <w:spacing w:before="0" w:after="200"/>
      </w:pPr>
      <w:r w:rsidRPr="007F080F">
        <w:t>Figure 2.6 shows the number of electricity and gas customers on hardship programs in each jurisdiction. As with payment plans, proportionally more customers in South Australia are on hardship programs than in the other jurisdictions. The number of customers on hardship programs has notably increased i</w:t>
      </w:r>
      <w:r>
        <w:t>n South Australia and Tasmania in</w:t>
      </w:r>
      <w:r w:rsidRPr="007F080F">
        <w:t xml:space="preserve"> recent quarters. </w:t>
      </w:r>
    </w:p>
    <w:p w:rsidR="00980FDB" w:rsidRDefault="00980FDB" w:rsidP="00980FDB">
      <w:pPr>
        <w:spacing w:before="0" w:after="200"/>
        <w:rPr>
          <w:b/>
        </w:rPr>
      </w:pPr>
      <w:r>
        <w:rPr>
          <w:b/>
        </w:rPr>
        <w:br w:type="page"/>
      </w:r>
    </w:p>
    <w:p w:rsidR="00980FDB" w:rsidRDefault="00980FDB" w:rsidP="00980FDB">
      <w:pPr>
        <w:spacing w:before="0"/>
        <w:rPr>
          <w:noProof/>
          <w:lang w:eastAsia="en-AU"/>
        </w:rPr>
      </w:pPr>
      <w:r>
        <w:rPr>
          <w:b/>
        </w:rPr>
        <w:lastRenderedPageBreak/>
        <w:t>Figure 2.6: Number of residential customers on a hardship program in each jurisdiction</w:t>
      </w:r>
    </w:p>
    <w:p w:rsidR="00980FDB" w:rsidRDefault="00980FDB" w:rsidP="00980FDB">
      <w:pPr>
        <w:spacing w:before="0"/>
        <w:rPr>
          <w:b/>
        </w:rPr>
      </w:pPr>
      <w:r>
        <w:rPr>
          <w:b/>
          <w:noProof/>
          <w:lang w:eastAsia="en-AU"/>
        </w:rPr>
        <w:drawing>
          <wp:inline distT="0" distB="0" distL="0" distR="0" wp14:anchorId="4E567ED6" wp14:editId="674CC8A8">
            <wp:extent cx="5878800" cy="7200000"/>
            <wp:effectExtent l="0" t="0" r="8255" b="1270"/>
            <wp:docPr id="28" name="Picture 28" descr="South Australia had the most electricity customers (1.2 per cent) and gas customers (0.7 per cent) on hardship customers of all the jurisdictions at the end of 2013-14. In New South Wales 0.6 per cent of electricity customers and 0.3 per cent of gas customers are on hardship programs. In Tasmania, the number of electricity customers on hardship programs more than doubled in 2013-14 to be 0.43 per cent of customers. In the ACT, around 0.4 per 100 electricity customers and 0.3 per 100 gas customers were on hardship programs in 2013-14, changing little from 2013-14."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8800" cy="7200000"/>
                    </a:xfrm>
                    <a:prstGeom prst="rect">
                      <a:avLst/>
                    </a:prstGeom>
                    <a:noFill/>
                  </pic:spPr>
                </pic:pic>
              </a:graphicData>
            </a:graphic>
          </wp:inline>
        </w:drawing>
      </w:r>
    </w:p>
    <w:p w:rsidR="00980FDB" w:rsidRDefault="00980FDB" w:rsidP="00980FDB">
      <w:pPr>
        <w:spacing w:before="0" w:after="200"/>
      </w:pPr>
      <w:r>
        <w:rPr>
          <w:b/>
        </w:rPr>
        <w:br w:type="page"/>
      </w:r>
      <w:r>
        <w:lastRenderedPageBreak/>
        <w:t xml:space="preserve">Table 2.6 shows the number of electricity and gas customers who were on retailer hardship programs as at 30 June 2014. It shows that the number of customers on hardship programs varies significantly between retailers and even between the same retailers in different jurisdictions. </w:t>
      </w:r>
    </w:p>
    <w:p w:rsidR="00980FDB" w:rsidRPr="00020540" w:rsidRDefault="00980FDB" w:rsidP="00980FDB">
      <w:pPr>
        <w:spacing w:before="0" w:after="200"/>
      </w:pPr>
      <w:r>
        <w:t xml:space="preserve">In South Australia, AGL and Simply Energy reported similar, and high, proportions of electricity and gas customers on hardship programs (between 1 and 1.5 per cent of customers). </w:t>
      </w:r>
      <w:r w:rsidR="00F173D5">
        <w:t xml:space="preserve">For most </w:t>
      </w:r>
      <w:r w:rsidR="00FF4BB4">
        <w:t xml:space="preserve">South Australian </w:t>
      </w:r>
      <w:r w:rsidR="00F173D5">
        <w:t>retailers</w:t>
      </w:r>
      <w:r w:rsidR="00FF4BB4">
        <w:t xml:space="preserve">, </w:t>
      </w:r>
      <w:r w:rsidR="00F173D5">
        <w:t xml:space="preserve">the proportion of customers on hardship programs increased in 2013-14. The number of Alinta customers on hardship programs is notably low – only a tenth of the average number in South Australia. </w:t>
      </w:r>
      <w:r>
        <w:t xml:space="preserve">The number of customers on Aurora’s hardship programs more than doubled in 2013-14, which was a </w:t>
      </w:r>
      <w:r w:rsidR="00453620">
        <w:t xml:space="preserve">significant </w:t>
      </w:r>
      <w:r>
        <w:t>development given the high debt levels of their customers.</w:t>
      </w:r>
    </w:p>
    <w:p w:rsidR="00980FDB" w:rsidRPr="00FE2F44" w:rsidRDefault="00980FDB" w:rsidP="00980FDB">
      <w:pPr>
        <w:spacing w:before="0" w:after="200"/>
        <w:rPr>
          <w:b/>
        </w:rPr>
      </w:pPr>
      <w:r>
        <w:rPr>
          <w:b/>
        </w:rPr>
        <w:t xml:space="preserve">Table 2.6: Customers on hardship programs as at June 30 2014 (change since 2013) </w:t>
      </w:r>
    </w:p>
    <w:tbl>
      <w:tblPr>
        <w:tblStyle w:val="AERTable-Text"/>
        <w:tblW w:w="0" w:type="auto"/>
        <w:tblLayout w:type="fixed"/>
        <w:tblLook w:val="04A0" w:firstRow="1" w:lastRow="0" w:firstColumn="1" w:lastColumn="0" w:noHBand="0" w:noVBand="1"/>
      </w:tblPr>
      <w:tblGrid>
        <w:gridCol w:w="2235"/>
        <w:gridCol w:w="252"/>
        <w:gridCol w:w="1055"/>
        <w:gridCol w:w="189"/>
        <w:gridCol w:w="1118"/>
        <w:gridCol w:w="126"/>
        <w:gridCol w:w="1181"/>
        <w:gridCol w:w="1307"/>
      </w:tblGrid>
      <w:tr w:rsidR="00980FDB" w:rsidRPr="00FE2F44" w:rsidTr="006E76B9">
        <w:trPr>
          <w:cnfStyle w:val="100000000000" w:firstRow="1" w:lastRow="0" w:firstColumn="0" w:lastColumn="0" w:oddVBand="0" w:evenVBand="0" w:oddHBand="0" w:evenHBand="0" w:firstRowFirstColumn="0" w:firstRowLastColumn="0" w:lastRowFirstColumn="0" w:lastRowLastColumn="0"/>
          <w:trHeight w:val="300"/>
        </w:trPr>
        <w:tc>
          <w:tcPr>
            <w:tcW w:w="2235" w:type="dxa"/>
            <w:noWrap/>
            <w:hideMark/>
          </w:tcPr>
          <w:p w:rsidR="00980FDB" w:rsidRPr="00FE2F44" w:rsidRDefault="00980FDB" w:rsidP="00980FDB">
            <w:pPr>
              <w:spacing w:after="200" w:line="276" w:lineRule="auto"/>
            </w:pPr>
            <w:r w:rsidRPr="00FE2F44">
              <w:t>Retailer</w:t>
            </w:r>
          </w:p>
        </w:tc>
        <w:tc>
          <w:tcPr>
            <w:tcW w:w="5228" w:type="dxa"/>
            <w:gridSpan w:val="7"/>
            <w:noWrap/>
            <w:hideMark/>
          </w:tcPr>
          <w:p w:rsidR="00980FDB" w:rsidRPr="00FE2F44" w:rsidRDefault="00980FDB" w:rsidP="00980FDB">
            <w:pPr>
              <w:spacing w:after="200" w:line="276" w:lineRule="auto"/>
              <w:jc w:val="center"/>
            </w:pPr>
            <w:r w:rsidRPr="00FE2F44">
              <w:t xml:space="preserve">Customers on </w:t>
            </w:r>
            <w:r>
              <w:t>hardship programs</w:t>
            </w:r>
            <w:r w:rsidRPr="00FE2F44">
              <w:t xml:space="preserve"> (per 100)</w:t>
            </w:r>
            <w:r w:rsidR="005A319D">
              <w:br/>
              <w:t>(Change since 2012-13)</w:t>
            </w:r>
          </w:p>
        </w:tc>
      </w:tr>
      <w:tr w:rsidR="00980FDB" w:rsidRPr="00FE2F44" w:rsidTr="006E76B9">
        <w:trPr>
          <w:trHeight w:val="300"/>
        </w:trPr>
        <w:tc>
          <w:tcPr>
            <w:tcW w:w="2235" w:type="dxa"/>
            <w:noWrap/>
            <w:hideMark/>
          </w:tcPr>
          <w:p w:rsidR="00980FDB" w:rsidRPr="00980FDB" w:rsidRDefault="00980FDB" w:rsidP="00980FDB"/>
        </w:tc>
        <w:tc>
          <w:tcPr>
            <w:tcW w:w="2614" w:type="dxa"/>
            <w:gridSpan w:val="4"/>
            <w:noWrap/>
            <w:hideMark/>
          </w:tcPr>
          <w:p w:rsidR="00980FDB" w:rsidRPr="00980FDB" w:rsidRDefault="00980FDB" w:rsidP="00980FDB">
            <w:pPr>
              <w:jc w:val="center"/>
              <w:rPr>
                <w:b/>
                <w:bCs/>
              </w:rPr>
            </w:pPr>
            <w:r w:rsidRPr="00980FDB">
              <w:rPr>
                <w:b/>
                <w:bCs/>
              </w:rPr>
              <w:t>Electricity</w:t>
            </w:r>
          </w:p>
        </w:tc>
        <w:tc>
          <w:tcPr>
            <w:tcW w:w="2614" w:type="dxa"/>
            <w:gridSpan w:val="3"/>
            <w:noWrap/>
            <w:hideMark/>
          </w:tcPr>
          <w:p w:rsidR="00980FDB" w:rsidRPr="00980FDB" w:rsidRDefault="00980FDB" w:rsidP="00980FDB">
            <w:pPr>
              <w:jc w:val="center"/>
              <w:rPr>
                <w:b/>
                <w:bCs/>
              </w:rPr>
            </w:pPr>
            <w:r w:rsidRPr="00980FDB">
              <w:rPr>
                <w:b/>
                <w:bCs/>
              </w:rPr>
              <w:t>Gas</w:t>
            </w: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3731" w:type="dxa"/>
            <w:gridSpan w:val="4"/>
            <w:noWrap/>
            <w:hideMark/>
          </w:tcPr>
          <w:p w:rsidR="00980FDB" w:rsidRPr="006452DD" w:rsidRDefault="00980FDB" w:rsidP="00980FDB">
            <w:pPr>
              <w:rPr>
                <w:b/>
                <w:i/>
              </w:rPr>
            </w:pPr>
            <w:r w:rsidRPr="006452DD">
              <w:rPr>
                <w:b/>
                <w:i/>
              </w:rPr>
              <w:t>South Australia</w:t>
            </w:r>
          </w:p>
        </w:tc>
        <w:tc>
          <w:tcPr>
            <w:tcW w:w="3732" w:type="dxa"/>
            <w:gridSpan w:val="4"/>
            <w:noWrap/>
            <w:hideMark/>
          </w:tcPr>
          <w:p w:rsidR="00980FDB" w:rsidRPr="00980FDB" w:rsidRDefault="00980FDB" w:rsidP="00980FDB">
            <w:pPr>
              <w:spacing w:after="200" w:line="276" w:lineRule="auto"/>
              <w:rPr>
                <w:b/>
                <w:bCs/>
                <w:i/>
              </w:rPr>
            </w:pPr>
          </w:p>
        </w:tc>
      </w:tr>
      <w:tr w:rsidR="00980FDB" w:rsidRPr="00FE2F44" w:rsidTr="006E76B9">
        <w:trPr>
          <w:trHeight w:val="300"/>
        </w:trPr>
        <w:tc>
          <w:tcPr>
            <w:tcW w:w="2235" w:type="dxa"/>
            <w:noWrap/>
            <w:hideMark/>
          </w:tcPr>
          <w:p w:rsidR="00980FDB" w:rsidRPr="00980FDB" w:rsidRDefault="00980FDB" w:rsidP="00980FDB">
            <w:pPr>
              <w:rPr>
                <w:b/>
              </w:rPr>
            </w:pPr>
            <w:r w:rsidRPr="00980FDB">
              <w:t>AGL</w:t>
            </w:r>
          </w:p>
        </w:tc>
        <w:tc>
          <w:tcPr>
            <w:tcW w:w="1307" w:type="dxa"/>
            <w:gridSpan w:val="2"/>
            <w:noWrap/>
            <w:hideMark/>
          </w:tcPr>
          <w:p w:rsidR="00980FDB" w:rsidRPr="00980FDB" w:rsidRDefault="00980FDB" w:rsidP="00980FDB">
            <w:pPr>
              <w:jc w:val="right"/>
            </w:pPr>
            <w:r w:rsidRPr="00980FDB">
              <w:t>1.14</w:t>
            </w:r>
          </w:p>
        </w:tc>
        <w:tc>
          <w:tcPr>
            <w:tcW w:w="1307" w:type="dxa"/>
            <w:gridSpan w:val="2"/>
          </w:tcPr>
          <w:p w:rsidR="00980FDB" w:rsidRPr="00980FDB" w:rsidRDefault="00980FDB" w:rsidP="00980FDB">
            <w:pPr>
              <w:jc w:val="right"/>
            </w:pPr>
            <w:r w:rsidRPr="00980FDB">
              <w:t>(+0.13)</w:t>
            </w:r>
          </w:p>
        </w:tc>
        <w:tc>
          <w:tcPr>
            <w:tcW w:w="1307" w:type="dxa"/>
            <w:gridSpan w:val="2"/>
            <w:noWrap/>
            <w:hideMark/>
          </w:tcPr>
          <w:p w:rsidR="00980FDB" w:rsidRPr="00980FDB" w:rsidRDefault="00980FDB" w:rsidP="00980FDB">
            <w:pPr>
              <w:jc w:val="right"/>
            </w:pPr>
            <w:r w:rsidRPr="00980FDB">
              <w:t>1.06</w:t>
            </w:r>
          </w:p>
        </w:tc>
        <w:tc>
          <w:tcPr>
            <w:tcW w:w="1307" w:type="dxa"/>
          </w:tcPr>
          <w:p w:rsidR="00980FDB" w:rsidRPr="00980FDB" w:rsidRDefault="00980FDB" w:rsidP="00980FDB">
            <w:pPr>
              <w:jc w:val="right"/>
            </w:pPr>
            <w:r w:rsidRPr="00980FDB">
              <w:t>(+0.21)</w:t>
            </w: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Alinta Energy</w:t>
            </w:r>
          </w:p>
        </w:tc>
        <w:tc>
          <w:tcPr>
            <w:tcW w:w="1307" w:type="dxa"/>
            <w:gridSpan w:val="2"/>
            <w:noWrap/>
            <w:hideMark/>
          </w:tcPr>
          <w:p w:rsidR="00980FDB" w:rsidRPr="00980FDB" w:rsidRDefault="00980FDB" w:rsidP="00980FDB">
            <w:pPr>
              <w:jc w:val="right"/>
            </w:pPr>
            <w:r w:rsidRPr="00980FDB">
              <w:t xml:space="preserve">0.09 </w:t>
            </w:r>
          </w:p>
        </w:tc>
        <w:tc>
          <w:tcPr>
            <w:tcW w:w="1307" w:type="dxa"/>
            <w:gridSpan w:val="2"/>
          </w:tcPr>
          <w:p w:rsidR="00980FDB" w:rsidRPr="00980FDB" w:rsidRDefault="00980FDB" w:rsidP="00980FDB">
            <w:pPr>
              <w:jc w:val="right"/>
            </w:pPr>
            <w:r w:rsidRPr="00980FDB">
              <w:t>(-0.57)</w:t>
            </w:r>
          </w:p>
        </w:tc>
        <w:tc>
          <w:tcPr>
            <w:tcW w:w="1307" w:type="dxa"/>
            <w:gridSpan w:val="2"/>
            <w:noWrap/>
            <w:hideMark/>
          </w:tcPr>
          <w:p w:rsidR="00980FDB" w:rsidRPr="00980FDB" w:rsidRDefault="00980FDB" w:rsidP="00980FDB">
            <w:pPr>
              <w:jc w:val="right"/>
            </w:pPr>
            <w:r w:rsidRPr="00980FDB">
              <w:t xml:space="preserve">0.08 </w:t>
            </w:r>
          </w:p>
        </w:tc>
        <w:tc>
          <w:tcPr>
            <w:tcW w:w="1307" w:type="dxa"/>
          </w:tcPr>
          <w:p w:rsidR="00980FDB" w:rsidRPr="00980FDB" w:rsidRDefault="00980FDB" w:rsidP="00980FDB">
            <w:pPr>
              <w:jc w:val="right"/>
            </w:pPr>
            <w:r w:rsidRPr="00980FDB">
              <w:t>(-0.05)</w:t>
            </w:r>
          </w:p>
        </w:tc>
      </w:tr>
      <w:tr w:rsidR="00980FDB" w:rsidRPr="00FE2F44" w:rsidTr="006E76B9">
        <w:trPr>
          <w:trHeight w:val="300"/>
        </w:trPr>
        <w:tc>
          <w:tcPr>
            <w:tcW w:w="2235" w:type="dxa"/>
            <w:noWrap/>
            <w:hideMark/>
          </w:tcPr>
          <w:p w:rsidR="00980FDB" w:rsidRPr="00980FDB" w:rsidRDefault="00980FDB" w:rsidP="00980FDB">
            <w:pPr>
              <w:rPr>
                <w:b/>
              </w:rPr>
            </w:pPr>
            <w:r w:rsidRPr="00980FDB">
              <w:t>EnergyAustralia</w:t>
            </w:r>
          </w:p>
        </w:tc>
        <w:tc>
          <w:tcPr>
            <w:tcW w:w="1307" w:type="dxa"/>
            <w:gridSpan w:val="2"/>
            <w:noWrap/>
            <w:hideMark/>
          </w:tcPr>
          <w:p w:rsidR="00980FDB" w:rsidRPr="00980FDB" w:rsidRDefault="00980FDB" w:rsidP="00980FDB">
            <w:pPr>
              <w:jc w:val="right"/>
            </w:pPr>
            <w:r w:rsidRPr="00980FDB">
              <w:t xml:space="preserve">0.99 </w:t>
            </w:r>
          </w:p>
        </w:tc>
        <w:tc>
          <w:tcPr>
            <w:tcW w:w="1307" w:type="dxa"/>
            <w:gridSpan w:val="2"/>
          </w:tcPr>
          <w:p w:rsidR="00980FDB" w:rsidRPr="00980FDB" w:rsidRDefault="00980FDB" w:rsidP="00980FDB">
            <w:pPr>
              <w:jc w:val="right"/>
            </w:pPr>
            <w:r w:rsidRPr="00980FDB">
              <w:t>(+0.41)</w:t>
            </w:r>
          </w:p>
        </w:tc>
        <w:tc>
          <w:tcPr>
            <w:tcW w:w="1307" w:type="dxa"/>
            <w:gridSpan w:val="2"/>
            <w:noWrap/>
            <w:hideMark/>
          </w:tcPr>
          <w:p w:rsidR="00980FDB" w:rsidRPr="00980FDB" w:rsidRDefault="00980FDB" w:rsidP="00980FDB">
            <w:pPr>
              <w:jc w:val="right"/>
            </w:pPr>
            <w:r w:rsidRPr="00980FDB">
              <w:t xml:space="preserve">0.44 </w:t>
            </w:r>
          </w:p>
        </w:tc>
        <w:tc>
          <w:tcPr>
            <w:tcW w:w="1307" w:type="dxa"/>
          </w:tcPr>
          <w:p w:rsidR="00980FDB" w:rsidRPr="00980FDB" w:rsidRDefault="00980FDB" w:rsidP="00980FDB">
            <w:pPr>
              <w:jc w:val="right"/>
            </w:pPr>
            <w:r w:rsidRPr="00980FDB">
              <w:t>(+0.20)</w:t>
            </w: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Lumo Energy</w:t>
            </w:r>
          </w:p>
        </w:tc>
        <w:tc>
          <w:tcPr>
            <w:tcW w:w="1307" w:type="dxa"/>
            <w:gridSpan w:val="2"/>
            <w:noWrap/>
            <w:hideMark/>
          </w:tcPr>
          <w:p w:rsidR="00980FDB" w:rsidRPr="00980FDB" w:rsidRDefault="00980FDB" w:rsidP="00980FDB">
            <w:pPr>
              <w:jc w:val="right"/>
              <w:rPr>
                <w:bCs/>
              </w:rPr>
            </w:pPr>
            <w:r w:rsidRPr="00980FDB">
              <w:rPr>
                <w:bCs/>
              </w:rPr>
              <w:t xml:space="preserve">0.61 </w:t>
            </w:r>
          </w:p>
        </w:tc>
        <w:tc>
          <w:tcPr>
            <w:tcW w:w="1307" w:type="dxa"/>
            <w:gridSpan w:val="2"/>
          </w:tcPr>
          <w:p w:rsidR="00980FDB" w:rsidRPr="00980FDB" w:rsidRDefault="00980FDB" w:rsidP="00980FDB">
            <w:pPr>
              <w:jc w:val="right"/>
              <w:rPr>
                <w:bCs/>
              </w:rPr>
            </w:pPr>
            <w:r w:rsidRPr="00980FDB">
              <w:rPr>
                <w:bCs/>
              </w:rPr>
              <w:t>(+0.29)</w:t>
            </w: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rPr>
                <w:bCs/>
              </w:rPr>
            </w:pPr>
          </w:p>
        </w:tc>
      </w:tr>
      <w:tr w:rsidR="00980FDB" w:rsidRPr="00FE2F44" w:rsidTr="006E76B9">
        <w:trPr>
          <w:trHeight w:val="300"/>
        </w:trPr>
        <w:tc>
          <w:tcPr>
            <w:tcW w:w="2235" w:type="dxa"/>
            <w:noWrap/>
            <w:hideMark/>
          </w:tcPr>
          <w:p w:rsidR="00980FDB" w:rsidRPr="00980FDB" w:rsidRDefault="00980FDB" w:rsidP="00980FDB">
            <w:pPr>
              <w:rPr>
                <w:b/>
              </w:rPr>
            </w:pPr>
            <w:r w:rsidRPr="00980FDB">
              <w:t>Momentum Energy</w:t>
            </w:r>
          </w:p>
        </w:tc>
        <w:tc>
          <w:tcPr>
            <w:tcW w:w="1307" w:type="dxa"/>
            <w:gridSpan w:val="2"/>
            <w:noWrap/>
            <w:hideMark/>
          </w:tcPr>
          <w:p w:rsidR="00980FDB" w:rsidRPr="00980FDB" w:rsidRDefault="00980FDB" w:rsidP="00980FDB">
            <w:pPr>
              <w:jc w:val="right"/>
            </w:pPr>
            <w:r w:rsidRPr="00980FDB">
              <w:t xml:space="preserve">1.12 </w:t>
            </w:r>
          </w:p>
        </w:tc>
        <w:tc>
          <w:tcPr>
            <w:tcW w:w="1307" w:type="dxa"/>
            <w:gridSpan w:val="2"/>
          </w:tcPr>
          <w:p w:rsidR="00980FDB" w:rsidRPr="00980FDB" w:rsidRDefault="00980FDB" w:rsidP="00980FDB">
            <w:pPr>
              <w:jc w:val="right"/>
            </w:pPr>
            <w:r w:rsidRPr="00980FDB">
              <w:t>(+0.67)</w:t>
            </w:r>
          </w:p>
        </w:tc>
        <w:tc>
          <w:tcPr>
            <w:tcW w:w="1307" w:type="dxa"/>
            <w:gridSpan w:val="2"/>
            <w:noWrap/>
            <w:hideMark/>
          </w:tcPr>
          <w:p w:rsidR="00980FDB" w:rsidRPr="00980FDB" w:rsidRDefault="00980FDB" w:rsidP="00980FDB">
            <w:pPr>
              <w:jc w:val="right"/>
            </w:pPr>
            <w:r w:rsidRPr="00980FDB">
              <w:t>-</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 xml:space="preserve">Origin Energy </w:t>
            </w:r>
          </w:p>
        </w:tc>
        <w:tc>
          <w:tcPr>
            <w:tcW w:w="1307" w:type="dxa"/>
            <w:gridSpan w:val="2"/>
            <w:noWrap/>
            <w:hideMark/>
          </w:tcPr>
          <w:p w:rsidR="00980FDB" w:rsidRPr="00980FDB" w:rsidRDefault="00980FDB" w:rsidP="00980FDB">
            <w:pPr>
              <w:jc w:val="right"/>
              <w:rPr>
                <w:bCs/>
              </w:rPr>
            </w:pPr>
            <w:r w:rsidRPr="00980FDB">
              <w:rPr>
                <w:bCs/>
              </w:rPr>
              <w:t xml:space="preserve">1.57 </w:t>
            </w:r>
          </w:p>
        </w:tc>
        <w:tc>
          <w:tcPr>
            <w:tcW w:w="1307" w:type="dxa"/>
            <w:gridSpan w:val="2"/>
          </w:tcPr>
          <w:p w:rsidR="00980FDB" w:rsidRPr="00980FDB" w:rsidRDefault="00980FDB" w:rsidP="00980FDB">
            <w:pPr>
              <w:jc w:val="right"/>
              <w:rPr>
                <w:bCs/>
              </w:rPr>
            </w:pPr>
            <w:r w:rsidRPr="00980FDB">
              <w:rPr>
                <w:bCs/>
              </w:rPr>
              <w:t>(+0.55)</w:t>
            </w:r>
          </w:p>
        </w:tc>
        <w:tc>
          <w:tcPr>
            <w:tcW w:w="1307" w:type="dxa"/>
            <w:gridSpan w:val="2"/>
            <w:noWrap/>
            <w:hideMark/>
          </w:tcPr>
          <w:p w:rsidR="00980FDB" w:rsidRPr="00980FDB" w:rsidRDefault="00980FDB" w:rsidP="00980FDB">
            <w:pPr>
              <w:jc w:val="right"/>
              <w:rPr>
                <w:bCs/>
              </w:rPr>
            </w:pPr>
            <w:r w:rsidRPr="00980FDB">
              <w:rPr>
                <w:bCs/>
              </w:rPr>
              <w:t xml:space="preserve">0.43 </w:t>
            </w:r>
          </w:p>
        </w:tc>
        <w:tc>
          <w:tcPr>
            <w:tcW w:w="1307" w:type="dxa"/>
          </w:tcPr>
          <w:p w:rsidR="00980FDB" w:rsidRPr="00980FDB" w:rsidRDefault="00980FDB" w:rsidP="00980FDB">
            <w:pPr>
              <w:jc w:val="right"/>
              <w:rPr>
                <w:bCs/>
              </w:rPr>
            </w:pPr>
            <w:r w:rsidRPr="00980FDB">
              <w:rPr>
                <w:bCs/>
              </w:rPr>
              <w:t>(+0.12)</w:t>
            </w:r>
          </w:p>
        </w:tc>
      </w:tr>
      <w:tr w:rsidR="00980FDB" w:rsidRPr="00FE2F44" w:rsidTr="006E76B9">
        <w:trPr>
          <w:trHeight w:val="300"/>
        </w:trPr>
        <w:tc>
          <w:tcPr>
            <w:tcW w:w="2235" w:type="dxa"/>
            <w:noWrap/>
            <w:hideMark/>
          </w:tcPr>
          <w:p w:rsidR="00980FDB" w:rsidRPr="00980FDB" w:rsidRDefault="00980FDB" w:rsidP="00980FDB">
            <w:pPr>
              <w:rPr>
                <w:b/>
              </w:rPr>
            </w:pPr>
            <w:r w:rsidRPr="00980FDB">
              <w:t>Powerdirect</w:t>
            </w:r>
          </w:p>
        </w:tc>
        <w:tc>
          <w:tcPr>
            <w:tcW w:w="1307" w:type="dxa"/>
            <w:gridSpan w:val="2"/>
            <w:noWrap/>
            <w:hideMark/>
          </w:tcPr>
          <w:p w:rsidR="00980FDB" w:rsidRPr="00980FDB" w:rsidRDefault="00980FDB" w:rsidP="00980FDB">
            <w:pPr>
              <w:jc w:val="right"/>
            </w:pPr>
            <w:r w:rsidRPr="00980FDB">
              <w:t xml:space="preserve">0.50 </w:t>
            </w:r>
          </w:p>
        </w:tc>
        <w:tc>
          <w:tcPr>
            <w:tcW w:w="1307" w:type="dxa"/>
            <w:gridSpan w:val="2"/>
          </w:tcPr>
          <w:p w:rsidR="00980FDB" w:rsidRPr="00980FDB" w:rsidRDefault="00980FDB" w:rsidP="00980FDB">
            <w:pPr>
              <w:jc w:val="right"/>
            </w:pPr>
            <w:r w:rsidRPr="00980FDB">
              <w:t>(-0.09)</w:t>
            </w:r>
          </w:p>
        </w:tc>
        <w:tc>
          <w:tcPr>
            <w:tcW w:w="1307" w:type="dxa"/>
            <w:gridSpan w:val="2"/>
            <w:noWrap/>
            <w:hideMark/>
          </w:tcPr>
          <w:p w:rsidR="00980FDB" w:rsidRPr="00980FDB" w:rsidRDefault="00980FDB" w:rsidP="00980FDB">
            <w:pPr>
              <w:jc w:val="right"/>
            </w:pPr>
            <w:r w:rsidRPr="00980FDB">
              <w:t>-</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Red Energy</w:t>
            </w:r>
          </w:p>
        </w:tc>
        <w:tc>
          <w:tcPr>
            <w:tcW w:w="1307" w:type="dxa"/>
            <w:gridSpan w:val="2"/>
            <w:noWrap/>
            <w:hideMark/>
          </w:tcPr>
          <w:p w:rsidR="00980FDB" w:rsidRPr="00980FDB" w:rsidRDefault="00980FDB" w:rsidP="00980FDB">
            <w:pPr>
              <w:jc w:val="right"/>
              <w:rPr>
                <w:bCs/>
              </w:rPr>
            </w:pPr>
            <w:r w:rsidRPr="00980FDB">
              <w:rPr>
                <w:bCs/>
              </w:rPr>
              <w:t xml:space="preserve">1.10 </w:t>
            </w:r>
          </w:p>
        </w:tc>
        <w:tc>
          <w:tcPr>
            <w:tcW w:w="1307" w:type="dxa"/>
            <w:gridSpan w:val="2"/>
          </w:tcPr>
          <w:p w:rsidR="00980FDB" w:rsidRPr="00980FDB" w:rsidRDefault="00980FDB" w:rsidP="00980FDB">
            <w:pPr>
              <w:jc w:val="right"/>
              <w:rPr>
                <w:bCs/>
              </w:rPr>
            </w:pPr>
            <w:r w:rsidRPr="00980FDB">
              <w:rPr>
                <w:bCs/>
              </w:rPr>
              <w:t>(+0.38)</w:t>
            </w: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rPr>
                <w:bCs/>
              </w:rPr>
            </w:pPr>
          </w:p>
        </w:tc>
      </w:tr>
      <w:tr w:rsidR="00980FDB" w:rsidRPr="00FE2F44" w:rsidTr="006E76B9">
        <w:trPr>
          <w:trHeight w:val="300"/>
        </w:trPr>
        <w:tc>
          <w:tcPr>
            <w:tcW w:w="2235" w:type="dxa"/>
            <w:noWrap/>
            <w:hideMark/>
          </w:tcPr>
          <w:p w:rsidR="00980FDB" w:rsidRPr="00980FDB" w:rsidRDefault="00980FDB" w:rsidP="00980FDB">
            <w:pPr>
              <w:rPr>
                <w:b/>
              </w:rPr>
            </w:pPr>
            <w:r w:rsidRPr="00980FDB">
              <w:t>Simply Energy</w:t>
            </w:r>
          </w:p>
        </w:tc>
        <w:tc>
          <w:tcPr>
            <w:tcW w:w="1307" w:type="dxa"/>
            <w:gridSpan w:val="2"/>
            <w:noWrap/>
            <w:hideMark/>
          </w:tcPr>
          <w:p w:rsidR="00980FDB" w:rsidRPr="00980FDB" w:rsidRDefault="00980FDB" w:rsidP="00980FDB">
            <w:pPr>
              <w:jc w:val="right"/>
              <w:rPr>
                <w:bCs/>
              </w:rPr>
            </w:pPr>
            <w:r w:rsidRPr="00980FDB">
              <w:rPr>
                <w:bCs/>
              </w:rPr>
              <w:t xml:space="preserve">1.47 </w:t>
            </w:r>
          </w:p>
        </w:tc>
        <w:tc>
          <w:tcPr>
            <w:tcW w:w="1307" w:type="dxa"/>
            <w:gridSpan w:val="2"/>
          </w:tcPr>
          <w:p w:rsidR="00980FDB" w:rsidRPr="00980FDB" w:rsidRDefault="00980FDB" w:rsidP="00980FDB">
            <w:pPr>
              <w:jc w:val="right"/>
              <w:rPr>
                <w:bCs/>
              </w:rPr>
            </w:pPr>
            <w:r w:rsidRPr="00980FDB">
              <w:rPr>
                <w:bCs/>
              </w:rPr>
              <w:t>(+0.74)</w:t>
            </w:r>
          </w:p>
        </w:tc>
        <w:tc>
          <w:tcPr>
            <w:tcW w:w="1307" w:type="dxa"/>
            <w:gridSpan w:val="2"/>
            <w:noWrap/>
            <w:hideMark/>
          </w:tcPr>
          <w:p w:rsidR="00980FDB" w:rsidRPr="00980FDB" w:rsidRDefault="00980FDB" w:rsidP="00980FDB">
            <w:pPr>
              <w:jc w:val="right"/>
              <w:rPr>
                <w:bCs/>
              </w:rPr>
            </w:pPr>
            <w:r w:rsidRPr="00980FDB">
              <w:rPr>
                <w:bCs/>
              </w:rPr>
              <w:t xml:space="preserve">1.41 </w:t>
            </w:r>
          </w:p>
        </w:tc>
        <w:tc>
          <w:tcPr>
            <w:tcW w:w="1307" w:type="dxa"/>
          </w:tcPr>
          <w:p w:rsidR="00980FDB" w:rsidRPr="00980FDB" w:rsidRDefault="00980FDB" w:rsidP="00980FDB">
            <w:pPr>
              <w:jc w:val="right"/>
              <w:rPr>
                <w:bCs/>
              </w:rPr>
            </w:pPr>
            <w:r w:rsidRPr="00980FDB">
              <w:rPr>
                <w:bCs/>
              </w:rPr>
              <w:t>(+0.76)</w:t>
            </w:r>
          </w:p>
        </w:tc>
      </w:tr>
      <w:tr w:rsidR="00827E6F"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tcPr>
          <w:p w:rsidR="00827E6F" w:rsidRPr="00827E6F" w:rsidRDefault="00827E6F" w:rsidP="00980FDB">
            <w:pPr>
              <w:rPr>
                <w:b/>
              </w:rPr>
            </w:pPr>
            <w:r w:rsidRPr="00827E6F">
              <w:rPr>
                <w:b/>
              </w:rPr>
              <w:t>TOTAL SA</w:t>
            </w:r>
          </w:p>
        </w:tc>
        <w:tc>
          <w:tcPr>
            <w:tcW w:w="1307" w:type="dxa"/>
            <w:gridSpan w:val="2"/>
            <w:noWrap/>
          </w:tcPr>
          <w:p w:rsidR="00827E6F" w:rsidRPr="00CE32E9" w:rsidRDefault="00827E6F" w:rsidP="00980FDB">
            <w:pPr>
              <w:jc w:val="right"/>
              <w:rPr>
                <w:b/>
                <w:bCs/>
              </w:rPr>
            </w:pPr>
            <w:r w:rsidRPr="00CE32E9">
              <w:rPr>
                <w:b/>
                <w:bCs/>
              </w:rPr>
              <w:t>1.16</w:t>
            </w:r>
          </w:p>
        </w:tc>
        <w:tc>
          <w:tcPr>
            <w:tcW w:w="1307" w:type="dxa"/>
            <w:gridSpan w:val="2"/>
          </w:tcPr>
          <w:p w:rsidR="00827E6F" w:rsidRPr="00CE32E9" w:rsidRDefault="00827E6F" w:rsidP="00980FDB">
            <w:pPr>
              <w:jc w:val="right"/>
              <w:rPr>
                <w:b/>
                <w:bCs/>
              </w:rPr>
            </w:pPr>
            <w:r w:rsidRPr="00CE32E9">
              <w:rPr>
                <w:b/>
                <w:bCs/>
              </w:rPr>
              <w:t>(+0.28)</w:t>
            </w:r>
          </w:p>
        </w:tc>
        <w:tc>
          <w:tcPr>
            <w:tcW w:w="1307" w:type="dxa"/>
            <w:gridSpan w:val="2"/>
            <w:noWrap/>
          </w:tcPr>
          <w:p w:rsidR="00827E6F" w:rsidRPr="00CE32E9" w:rsidRDefault="00827E6F" w:rsidP="00980FDB">
            <w:pPr>
              <w:jc w:val="right"/>
              <w:rPr>
                <w:b/>
                <w:bCs/>
              </w:rPr>
            </w:pPr>
            <w:r w:rsidRPr="00CE32E9">
              <w:rPr>
                <w:b/>
                <w:bCs/>
              </w:rPr>
              <w:t>0.70</w:t>
            </w:r>
          </w:p>
        </w:tc>
        <w:tc>
          <w:tcPr>
            <w:tcW w:w="1307" w:type="dxa"/>
          </w:tcPr>
          <w:p w:rsidR="00827E6F" w:rsidRPr="00CE32E9" w:rsidRDefault="00827E6F" w:rsidP="00980FDB">
            <w:pPr>
              <w:jc w:val="right"/>
              <w:rPr>
                <w:b/>
                <w:bCs/>
              </w:rPr>
            </w:pPr>
            <w:r w:rsidRPr="00CE32E9">
              <w:rPr>
                <w:b/>
                <w:bCs/>
              </w:rPr>
              <w:t>(+0.20)</w:t>
            </w:r>
          </w:p>
        </w:tc>
      </w:tr>
      <w:tr w:rsidR="00980FDB" w:rsidRPr="00FE2F44" w:rsidTr="006E76B9">
        <w:trPr>
          <w:trHeight w:val="300"/>
        </w:trPr>
        <w:tc>
          <w:tcPr>
            <w:tcW w:w="2235" w:type="dxa"/>
            <w:noWrap/>
            <w:hideMark/>
          </w:tcPr>
          <w:p w:rsidR="00980FDB" w:rsidRPr="006452DD" w:rsidRDefault="00980FDB" w:rsidP="00980FDB">
            <w:pPr>
              <w:rPr>
                <w:b/>
                <w:i/>
              </w:rPr>
            </w:pPr>
            <w:r w:rsidRPr="006452DD">
              <w:rPr>
                <w:b/>
                <w:i/>
              </w:rPr>
              <w:t>ACT</w:t>
            </w:r>
          </w:p>
        </w:tc>
        <w:tc>
          <w:tcPr>
            <w:tcW w:w="1307" w:type="dxa"/>
            <w:gridSpan w:val="2"/>
            <w:noWrap/>
            <w:hideMark/>
          </w:tcPr>
          <w:p w:rsidR="00980FDB" w:rsidRPr="00980FDB" w:rsidRDefault="00980FDB" w:rsidP="00980FDB">
            <w:pPr>
              <w:jc w:val="right"/>
            </w:pP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ActewAGL</w:t>
            </w:r>
          </w:p>
        </w:tc>
        <w:tc>
          <w:tcPr>
            <w:tcW w:w="1307" w:type="dxa"/>
            <w:gridSpan w:val="2"/>
            <w:noWrap/>
            <w:hideMark/>
          </w:tcPr>
          <w:p w:rsidR="00980FDB" w:rsidRPr="00980FDB" w:rsidRDefault="00980FDB" w:rsidP="00980FDB">
            <w:pPr>
              <w:jc w:val="right"/>
              <w:rPr>
                <w:bCs/>
              </w:rPr>
            </w:pPr>
            <w:r w:rsidRPr="00980FDB">
              <w:rPr>
                <w:bCs/>
              </w:rPr>
              <w:t xml:space="preserve">0.41 </w:t>
            </w:r>
          </w:p>
        </w:tc>
        <w:tc>
          <w:tcPr>
            <w:tcW w:w="1307" w:type="dxa"/>
            <w:gridSpan w:val="2"/>
          </w:tcPr>
          <w:p w:rsidR="00980FDB" w:rsidRPr="00980FDB" w:rsidRDefault="00A5777A" w:rsidP="00980FDB">
            <w:pPr>
              <w:jc w:val="right"/>
              <w:rPr>
                <w:bCs/>
              </w:rPr>
            </w:pPr>
            <w:r>
              <w:rPr>
                <w:bCs/>
              </w:rPr>
              <w:t>(-</w:t>
            </w:r>
            <w:r w:rsidR="00980FDB" w:rsidRPr="00980FDB">
              <w:rPr>
                <w:bCs/>
              </w:rPr>
              <w:t>)</w:t>
            </w:r>
          </w:p>
        </w:tc>
        <w:tc>
          <w:tcPr>
            <w:tcW w:w="1307" w:type="dxa"/>
            <w:gridSpan w:val="2"/>
            <w:noWrap/>
            <w:hideMark/>
          </w:tcPr>
          <w:p w:rsidR="00980FDB" w:rsidRPr="00980FDB" w:rsidRDefault="00980FDB" w:rsidP="00980FDB">
            <w:pPr>
              <w:jc w:val="right"/>
              <w:rPr>
                <w:bCs/>
              </w:rPr>
            </w:pPr>
            <w:r w:rsidRPr="00980FDB">
              <w:rPr>
                <w:bCs/>
              </w:rPr>
              <w:t xml:space="preserve">0.41 </w:t>
            </w:r>
          </w:p>
        </w:tc>
        <w:tc>
          <w:tcPr>
            <w:tcW w:w="1307" w:type="dxa"/>
          </w:tcPr>
          <w:p w:rsidR="00980FDB" w:rsidRPr="00980FDB" w:rsidRDefault="00980FDB" w:rsidP="00980FDB">
            <w:pPr>
              <w:jc w:val="right"/>
              <w:rPr>
                <w:bCs/>
              </w:rPr>
            </w:pPr>
            <w:r w:rsidRPr="00980FDB">
              <w:rPr>
                <w:bCs/>
              </w:rPr>
              <w:t>(+0.09)</w:t>
            </w:r>
          </w:p>
        </w:tc>
      </w:tr>
      <w:tr w:rsidR="00980FDB" w:rsidRPr="00FE2F44" w:rsidTr="006E76B9">
        <w:trPr>
          <w:trHeight w:val="300"/>
        </w:trPr>
        <w:tc>
          <w:tcPr>
            <w:tcW w:w="2235" w:type="dxa"/>
            <w:noWrap/>
            <w:hideMark/>
          </w:tcPr>
          <w:p w:rsidR="00980FDB" w:rsidRPr="00980FDB" w:rsidRDefault="00980FDB" w:rsidP="00980FDB">
            <w:pPr>
              <w:rPr>
                <w:b/>
              </w:rPr>
            </w:pPr>
            <w:r w:rsidRPr="00980FDB">
              <w:t>EnergyAustralia</w:t>
            </w:r>
          </w:p>
        </w:tc>
        <w:tc>
          <w:tcPr>
            <w:tcW w:w="1307" w:type="dxa"/>
            <w:gridSpan w:val="2"/>
            <w:noWrap/>
            <w:hideMark/>
          </w:tcPr>
          <w:p w:rsidR="00980FDB" w:rsidRPr="00980FDB" w:rsidRDefault="00980FDB" w:rsidP="00980FDB">
            <w:pPr>
              <w:jc w:val="right"/>
            </w:pPr>
            <w:r w:rsidRPr="00980FDB">
              <w:t xml:space="preserve">0.98 </w:t>
            </w:r>
          </w:p>
        </w:tc>
        <w:tc>
          <w:tcPr>
            <w:tcW w:w="1307" w:type="dxa"/>
            <w:gridSpan w:val="2"/>
          </w:tcPr>
          <w:p w:rsidR="00980FDB" w:rsidRPr="00980FDB" w:rsidRDefault="00980FDB" w:rsidP="00980FDB">
            <w:pPr>
              <w:jc w:val="right"/>
            </w:pPr>
            <w:r w:rsidRPr="00980FDB">
              <w:t>(+0.07)</w:t>
            </w:r>
          </w:p>
        </w:tc>
        <w:tc>
          <w:tcPr>
            <w:tcW w:w="1307" w:type="dxa"/>
            <w:gridSpan w:val="2"/>
            <w:noWrap/>
            <w:hideMark/>
          </w:tcPr>
          <w:p w:rsidR="00980FDB" w:rsidRPr="00980FDB" w:rsidRDefault="00980FDB" w:rsidP="00980FDB">
            <w:pPr>
              <w:jc w:val="right"/>
            </w:pPr>
            <w:r w:rsidRPr="00980FDB">
              <w:t xml:space="preserve">0.53 </w:t>
            </w:r>
          </w:p>
        </w:tc>
        <w:tc>
          <w:tcPr>
            <w:tcW w:w="1307" w:type="dxa"/>
          </w:tcPr>
          <w:p w:rsidR="00980FDB" w:rsidRPr="00980FDB" w:rsidRDefault="00980FDB" w:rsidP="00980FDB">
            <w:pPr>
              <w:jc w:val="right"/>
            </w:pPr>
            <w:r w:rsidRPr="00980FDB">
              <w:t>(-0.13)</w:t>
            </w:r>
          </w:p>
        </w:tc>
      </w:tr>
      <w:tr w:rsidR="00827E6F"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tcPr>
          <w:p w:rsidR="00827E6F" w:rsidRPr="00827E6F" w:rsidRDefault="00827E6F" w:rsidP="00980FDB">
            <w:pPr>
              <w:rPr>
                <w:b/>
              </w:rPr>
            </w:pPr>
            <w:r w:rsidRPr="00827E6F">
              <w:rPr>
                <w:b/>
              </w:rPr>
              <w:t>TOTAL ACT</w:t>
            </w:r>
          </w:p>
        </w:tc>
        <w:tc>
          <w:tcPr>
            <w:tcW w:w="1307" w:type="dxa"/>
            <w:gridSpan w:val="2"/>
            <w:noWrap/>
          </w:tcPr>
          <w:p w:rsidR="00827E6F" w:rsidRPr="00CE32E9" w:rsidRDefault="00827E6F" w:rsidP="00980FDB">
            <w:pPr>
              <w:jc w:val="right"/>
              <w:rPr>
                <w:b/>
              </w:rPr>
            </w:pPr>
            <w:r w:rsidRPr="00CE32E9">
              <w:rPr>
                <w:b/>
              </w:rPr>
              <w:t>0.43</w:t>
            </w:r>
          </w:p>
        </w:tc>
        <w:tc>
          <w:tcPr>
            <w:tcW w:w="1307" w:type="dxa"/>
            <w:gridSpan w:val="2"/>
          </w:tcPr>
          <w:p w:rsidR="00827E6F" w:rsidRPr="00CE32E9" w:rsidRDefault="00A5777A" w:rsidP="00980FDB">
            <w:pPr>
              <w:jc w:val="right"/>
              <w:rPr>
                <w:b/>
              </w:rPr>
            </w:pPr>
            <w:r>
              <w:rPr>
                <w:b/>
              </w:rPr>
              <w:t>(-</w:t>
            </w:r>
            <w:r w:rsidR="00CE32E9" w:rsidRPr="00CE32E9">
              <w:rPr>
                <w:b/>
              </w:rPr>
              <w:t>)</w:t>
            </w:r>
          </w:p>
        </w:tc>
        <w:tc>
          <w:tcPr>
            <w:tcW w:w="1307" w:type="dxa"/>
            <w:gridSpan w:val="2"/>
            <w:noWrap/>
          </w:tcPr>
          <w:p w:rsidR="00827E6F" w:rsidRPr="00CE32E9" w:rsidRDefault="00CE32E9" w:rsidP="00980FDB">
            <w:pPr>
              <w:jc w:val="right"/>
              <w:rPr>
                <w:b/>
              </w:rPr>
            </w:pPr>
            <w:r w:rsidRPr="00CE32E9">
              <w:rPr>
                <w:b/>
              </w:rPr>
              <w:t>0.42</w:t>
            </w:r>
          </w:p>
        </w:tc>
        <w:tc>
          <w:tcPr>
            <w:tcW w:w="1307" w:type="dxa"/>
          </w:tcPr>
          <w:p w:rsidR="00827E6F" w:rsidRPr="00CE32E9" w:rsidRDefault="00CE32E9" w:rsidP="00980FDB">
            <w:pPr>
              <w:jc w:val="right"/>
              <w:rPr>
                <w:b/>
              </w:rPr>
            </w:pPr>
            <w:r w:rsidRPr="00CE32E9">
              <w:rPr>
                <w:b/>
              </w:rPr>
              <w:t>(+0.08)</w:t>
            </w:r>
          </w:p>
        </w:tc>
      </w:tr>
      <w:tr w:rsidR="00980FDB" w:rsidRPr="00FE2F44" w:rsidTr="006E76B9">
        <w:trPr>
          <w:trHeight w:val="300"/>
        </w:trPr>
        <w:tc>
          <w:tcPr>
            <w:tcW w:w="2487" w:type="dxa"/>
            <w:gridSpan w:val="2"/>
            <w:noWrap/>
            <w:hideMark/>
          </w:tcPr>
          <w:p w:rsidR="00980FDB" w:rsidRPr="00827E6F" w:rsidRDefault="00980FDB" w:rsidP="00980FDB">
            <w:pPr>
              <w:rPr>
                <w:rStyle w:val="Strong"/>
                <w:b w:val="0"/>
                <w:i/>
              </w:rPr>
            </w:pPr>
            <w:r w:rsidRPr="00827E6F">
              <w:rPr>
                <w:b/>
                <w:bCs/>
                <w:i/>
              </w:rPr>
              <w:t>Tasmania</w:t>
            </w:r>
          </w:p>
        </w:tc>
        <w:tc>
          <w:tcPr>
            <w:tcW w:w="2488" w:type="dxa"/>
            <w:gridSpan w:val="4"/>
          </w:tcPr>
          <w:p w:rsidR="00980FDB" w:rsidRPr="00980FDB" w:rsidRDefault="00980FDB" w:rsidP="00980FDB">
            <w:pPr>
              <w:jc w:val="right"/>
              <w:rPr>
                <w:i/>
              </w:rPr>
            </w:pPr>
          </w:p>
        </w:tc>
        <w:tc>
          <w:tcPr>
            <w:tcW w:w="2488" w:type="dxa"/>
            <w:gridSpan w:val="2"/>
          </w:tcPr>
          <w:p w:rsidR="00980FDB" w:rsidRPr="00980FDB" w:rsidRDefault="00980FDB" w:rsidP="00980FDB">
            <w:pPr>
              <w:jc w:val="right"/>
              <w:rPr>
                <w:i/>
              </w:rPr>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Aurora</w:t>
            </w:r>
          </w:p>
        </w:tc>
        <w:tc>
          <w:tcPr>
            <w:tcW w:w="1307" w:type="dxa"/>
            <w:gridSpan w:val="2"/>
            <w:noWrap/>
            <w:hideMark/>
          </w:tcPr>
          <w:p w:rsidR="00980FDB" w:rsidRPr="00980FDB" w:rsidRDefault="00980FDB" w:rsidP="00980FDB">
            <w:pPr>
              <w:jc w:val="right"/>
            </w:pPr>
            <w:r w:rsidRPr="00980FDB">
              <w:t xml:space="preserve">0.43 </w:t>
            </w:r>
          </w:p>
        </w:tc>
        <w:tc>
          <w:tcPr>
            <w:tcW w:w="1307" w:type="dxa"/>
            <w:gridSpan w:val="2"/>
          </w:tcPr>
          <w:p w:rsidR="00980FDB" w:rsidRPr="00980FDB" w:rsidRDefault="00980FDB" w:rsidP="00980FDB">
            <w:pPr>
              <w:jc w:val="right"/>
            </w:pPr>
            <w:r w:rsidRPr="00980FDB">
              <w:t>(+0.25)</w:t>
            </w:r>
          </w:p>
        </w:tc>
        <w:tc>
          <w:tcPr>
            <w:tcW w:w="1307" w:type="dxa"/>
            <w:gridSpan w:val="2"/>
            <w:noWrap/>
            <w:hideMark/>
          </w:tcPr>
          <w:p w:rsidR="00980FDB" w:rsidRPr="00980FDB" w:rsidRDefault="00980FDB" w:rsidP="00980FDB">
            <w:pPr>
              <w:jc w:val="right"/>
            </w:pPr>
            <w:r w:rsidRPr="00980FDB">
              <w:t>-</w:t>
            </w:r>
          </w:p>
        </w:tc>
        <w:tc>
          <w:tcPr>
            <w:tcW w:w="1307" w:type="dxa"/>
          </w:tcPr>
          <w:p w:rsidR="00980FDB" w:rsidRPr="00980FDB" w:rsidRDefault="00980FDB" w:rsidP="00980FDB">
            <w:pPr>
              <w:jc w:val="right"/>
            </w:pPr>
            <w:r w:rsidRPr="00980FDB">
              <w:t>-</w:t>
            </w:r>
          </w:p>
        </w:tc>
      </w:tr>
      <w:tr w:rsidR="00980FDB" w:rsidRPr="00FE2F44" w:rsidTr="006E76B9">
        <w:trPr>
          <w:trHeight w:val="300"/>
        </w:trPr>
        <w:tc>
          <w:tcPr>
            <w:tcW w:w="2235" w:type="dxa"/>
            <w:noWrap/>
            <w:hideMark/>
          </w:tcPr>
          <w:p w:rsidR="00980FDB" w:rsidRPr="006452DD" w:rsidRDefault="00980FDB" w:rsidP="00980FDB">
            <w:pPr>
              <w:rPr>
                <w:b/>
                <w:i/>
              </w:rPr>
            </w:pPr>
            <w:r w:rsidRPr="006452DD">
              <w:rPr>
                <w:b/>
                <w:i/>
              </w:rPr>
              <w:lastRenderedPageBreak/>
              <w:t>NSW</w:t>
            </w:r>
          </w:p>
        </w:tc>
        <w:tc>
          <w:tcPr>
            <w:tcW w:w="2614" w:type="dxa"/>
            <w:gridSpan w:val="4"/>
            <w:noWrap/>
            <w:hideMark/>
          </w:tcPr>
          <w:p w:rsidR="00980FDB" w:rsidRPr="00980FDB" w:rsidRDefault="00980FDB" w:rsidP="00980FDB">
            <w:pPr>
              <w:jc w:val="right"/>
              <w:rPr>
                <w:bCs/>
              </w:rPr>
            </w:pPr>
          </w:p>
        </w:tc>
        <w:tc>
          <w:tcPr>
            <w:tcW w:w="2614" w:type="dxa"/>
            <w:gridSpan w:val="3"/>
            <w:noWrap/>
            <w:hideMark/>
          </w:tcPr>
          <w:p w:rsidR="00980FDB" w:rsidRPr="00980FDB" w:rsidRDefault="00980FDB" w:rsidP="00980FDB">
            <w:pPr>
              <w:jc w:val="right"/>
              <w:rPr>
                <w:bCs/>
              </w:rPr>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ActewAGL</w:t>
            </w:r>
          </w:p>
        </w:tc>
        <w:tc>
          <w:tcPr>
            <w:tcW w:w="1307" w:type="dxa"/>
            <w:gridSpan w:val="2"/>
            <w:noWrap/>
            <w:hideMark/>
          </w:tcPr>
          <w:p w:rsidR="00980FDB" w:rsidRPr="00980FDB" w:rsidRDefault="00980FDB" w:rsidP="00980FDB">
            <w:pPr>
              <w:jc w:val="right"/>
            </w:pPr>
            <w:r w:rsidRPr="00980FDB">
              <w:t>1.52</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r w:rsidRPr="00980FDB">
              <w:t>0.58</w:t>
            </w:r>
          </w:p>
        </w:tc>
        <w:tc>
          <w:tcPr>
            <w:tcW w:w="1307" w:type="dxa"/>
          </w:tcPr>
          <w:p w:rsidR="00980FDB" w:rsidRPr="00980FDB" w:rsidRDefault="00980FDB" w:rsidP="00980FDB">
            <w:pPr>
              <w:jc w:val="right"/>
            </w:pPr>
          </w:p>
        </w:tc>
      </w:tr>
      <w:tr w:rsidR="00980FDB" w:rsidRPr="00FE2F44" w:rsidTr="006E76B9">
        <w:trPr>
          <w:trHeight w:val="300"/>
        </w:trPr>
        <w:tc>
          <w:tcPr>
            <w:tcW w:w="2235" w:type="dxa"/>
            <w:noWrap/>
            <w:hideMark/>
          </w:tcPr>
          <w:p w:rsidR="00980FDB" w:rsidRPr="00980FDB" w:rsidRDefault="00980FDB" w:rsidP="00980FDB">
            <w:pPr>
              <w:rPr>
                <w:b/>
              </w:rPr>
            </w:pPr>
            <w:r w:rsidRPr="00980FDB">
              <w:t>AGL</w:t>
            </w:r>
          </w:p>
        </w:tc>
        <w:tc>
          <w:tcPr>
            <w:tcW w:w="1307" w:type="dxa"/>
            <w:gridSpan w:val="2"/>
            <w:noWrap/>
            <w:hideMark/>
          </w:tcPr>
          <w:p w:rsidR="00980FDB" w:rsidRPr="00980FDB" w:rsidRDefault="00980FDB" w:rsidP="00980FDB">
            <w:pPr>
              <w:jc w:val="right"/>
              <w:rPr>
                <w:bCs/>
              </w:rPr>
            </w:pPr>
            <w:r w:rsidRPr="00980FDB">
              <w:rPr>
                <w:bCs/>
              </w:rPr>
              <w:t>0.66</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0.29</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Dodo Power &amp; Gas</w:t>
            </w:r>
          </w:p>
        </w:tc>
        <w:tc>
          <w:tcPr>
            <w:tcW w:w="1307" w:type="dxa"/>
            <w:gridSpan w:val="2"/>
            <w:noWrap/>
            <w:hideMark/>
          </w:tcPr>
          <w:p w:rsidR="00980FDB" w:rsidRPr="00980FDB" w:rsidRDefault="00980FDB" w:rsidP="00980FDB">
            <w:pPr>
              <w:jc w:val="right"/>
            </w:pPr>
            <w:r w:rsidRPr="00980FDB">
              <w:t>1.14</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r w:rsidRPr="00980FDB">
              <w:t>-</w:t>
            </w:r>
          </w:p>
        </w:tc>
        <w:tc>
          <w:tcPr>
            <w:tcW w:w="1307" w:type="dxa"/>
          </w:tcPr>
          <w:p w:rsidR="00980FDB" w:rsidRPr="00980FDB" w:rsidRDefault="00980FDB" w:rsidP="00980FDB">
            <w:pPr>
              <w:jc w:val="right"/>
            </w:pPr>
          </w:p>
        </w:tc>
      </w:tr>
      <w:tr w:rsidR="00980FDB" w:rsidRPr="00FE2F44" w:rsidTr="006E76B9">
        <w:trPr>
          <w:trHeight w:val="300"/>
        </w:trPr>
        <w:tc>
          <w:tcPr>
            <w:tcW w:w="2235" w:type="dxa"/>
            <w:noWrap/>
            <w:hideMark/>
          </w:tcPr>
          <w:p w:rsidR="00980FDB" w:rsidRPr="00980FDB" w:rsidRDefault="00980FDB" w:rsidP="00980FDB">
            <w:pPr>
              <w:rPr>
                <w:b/>
              </w:rPr>
            </w:pPr>
            <w:r w:rsidRPr="00980FDB">
              <w:t>EnergyAustralia</w:t>
            </w:r>
          </w:p>
        </w:tc>
        <w:tc>
          <w:tcPr>
            <w:tcW w:w="1307" w:type="dxa"/>
            <w:gridSpan w:val="2"/>
            <w:noWrap/>
            <w:hideMark/>
          </w:tcPr>
          <w:p w:rsidR="00980FDB" w:rsidRPr="00980FDB" w:rsidRDefault="00980FDB" w:rsidP="00980FDB">
            <w:pPr>
              <w:jc w:val="right"/>
              <w:rPr>
                <w:bCs/>
              </w:rPr>
            </w:pPr>
            <w:r w:rsidRPr="00980FDB">
              <w:rPr>
                <w:bCs/>
              </w:rPr>
              <w:t>0.39</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0.37</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Lumo Energy</w:t>
            </w:r>
          </w:p>
        </w:tc>
        <w:tc>
          <w:tcPr>
            <w:tcW w:w="1307" w:type="dxa"/>
            <w:gridSpan w:val="2"/>
            <w:noWrap/>
            <w:hideMark/>
          </w:tcPr>
          <w:p w:rsidR="00980FDB" w:rsidRPr="00980FDB" w:rsidRDefault="00980FDB" w:rsidP="00980FDB">
            <w:pPr>
              <w:jc w:val="right"/>
            </w:pPr>
            <w:r w:rsidRPr="00980FDB">
              <w:t>0.46</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r w:rsidRPr="00980FDB">
              <w:t>0.35</w:t>
            </w:r>
          </w:p>
        </w:tc>
        <w:tc>
          <w:tcPr>
            <w:tcW w:w="1307" w:type="dxa"/>
          </w:tcPr>
          <w:p w:rsidR="00980FDB" w:rsidRPr="00980FDB" w:rsidRDefault="00980FDB" w:rsidP="00980FDB">
            <w:pPr>
              <w:jc w:val="right"/>
            </w:pPr>
          </w:p>
        </w:tc>
      </w:tr>
      <w:tr w:rsidR="00980FDB" w:rsidRPr="00FE2F44" w:rsidTr="006E76B9">
        <w:trPr>
          <w:trHeight w:val="300"/>
        </w:trPr>
        <w:tc>
          <w:tcPr>
            <w:tcW w:w="2235" w:type="dxa"/>
            <w:noWrap/>
            <w:hideMark/>
          </w:tcPr>
          <w:p w:rsidR="00980FDB" w:rsidRPr="00980FDB" w:rsidRDefault="00980FDB" w:rsidP="00980FDB">
            <w:pPr>
              <w:rPr>
                <w:b/>
              </w:rPr>
            </w:pPr>
            <w:r w:rsidRPr="00980FDB">
              <w:t>Momentum Energy</w:t>
            </w:r>
          </w:p>
        </w:tc>
        <w:tc>
          <w:tcPr>
            <w:tcW w:w="1307" w:type="dxa"/>
            <w:gridSpan w:val="2"/>
            <w:noWrap/>
            <w:hideMark/>
          </w:tcPr>
          <w:p w:rsidR="00980FDB" w:rsidRPr="00980FDB" w:rsidRDefault="00980FDB" w:rsidP="00980FDB">
            <w:pPr>
              <w:jc w:val="right"/>
              <w:rPr>
                <w:bCs/>
              </w:rPr>
            </w:pPr>
            <w:r w:rsidRPr="00980FDB">
              <w:rPr>
                <w:bCs/>
              </w:rPr>
              <w:t>0.23</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Origin Energy</w:t>
            </w:r>
          </w:p>
        </w:tc>
        <w:tc>
          <w:tcPr>
            <w:tcW w:w="1307" w:type="dxa"/>
            <w:gridSpan w:val="2"/>
            <w:noWrap/>
            <w:hideMark/>
          </w:tcPr>
          <w:p w:rsidR="00980FDB" w:rsidRPr="00980FDB" w:rsidRDefault="00980FDB" w:rsidP="00980FDB">
            <w:pPr>
              <w:jc w:val="right"/>
            </w:pPr>
            <w:r w:rsidRPr="00980FDB">
              <w:t>0.77</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r w:rsidRPr="00980FDB">
              <w:t>0.35</w:t>
            </w:r>
          </w:p>
        </w:tc>
        <w:tc>
          <w:tcPr>
            <w:tcW w:w="1307" w:type="dxa"/>
          </w:tcPr>
          <w:p w:rsidR="00980FDB" w:rsidRPr="00980FDB" w:rsidRDefault="00980FDB" w:rsidP="00980FDB">
            <w:pPr>
              <w:jc w:val="right"/>
            </w:pPr>
          </w:p>
        </w:tc>
      </w:tr>
      <w:tr w:rsidR="00980FDB" w:rsidRPr="00FE2F44" w:rsidTr="006E76B9">
        <w:trPr>
          <w:trHeight w:val="300"/>
        </w:trPr>
        <w:tc>
          <w:tcPr>
            <w:tcW w:w="2235" w:type="dxa"/>
            <w:noWrap/>
            <w:hideMark/>
          </w:tcPr>
          <w:p w:rsidR="00980FDB" w:rsidRPr="00980FDB" w:rsidRDefault="00980FDB" w:rsidP="00980FDB">
            <w:pPr>
              <w:rPr>
                <w:b/>
              </w:rPr>
            </w:pPr>
            <w:r w:rsidRPr="00980FDB">
              <w:t>Powerdirect</w:t>
            </w:r>
          </w:p>
        </w:tc>
        <w:tc>
          <w:tcPr>
            <w:tcW w:w="1307" w:type="dxa"/>
            <w:gridSpan w:val="2"/>
            <w:noWrap/>
            <w:hideMark/>
          </w:tcPr>
          <w:p w:rsidR="00980FDB" w:rsidRPr="00980FDB" w:rsidRDefault="00980FDB" w:rsidP="00980FDB">
            <w:pPr>
              <w:jc w:val="right"/>
              <w:rPr>
                <w:bCs/>
              </w:rPr>
            </w:pPr>
            <w:r w:rsidRPr="00980FDB">
              <w:rPr>
                <w:bCs/>
              </w:rPr>
              <w:t>0.17</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QEnergy</w:t>
            </w:r>
          </w:p>
        </w:tc>
        <w:tc>
          <w:tcPr>
            <w:tcW w:w="1307" w:type="dxa"/>
            <w:gridSpan w:val="2"/>
            <w:noWrap/>
            <w:hideMark/>
          </w:tcPr>
          <w:p w:rsidR="00980FDB" w:rsidRPr="00980FDB" w:rsidRDefault="00980FDB" w:rsidP="00980FDB">
            <w:pPr>
              <w:jc w:val="right"/>
            </w:pPr>
            <w:r w:rsidRPr="00980FDB">
              <w:t>2.03</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pPr>
            <w:r w:rsidRPr="00980FDB">
              <w:t>-</w:t>
            </w:r>
          </w:p>
        </w:tc>
        <w:tc>
          <w:tcPr>
            <w:tcW w:w="1307" w:type="dxa"/>
          </w:tcPr>
          <w:p w:rsidR="00980FDB" w:rsidRPr="00980FDB" w:rsidRDefault="00980FDB" w:rsidP="00980FDB">
            <w:pPr>
              <w:jc w:val="right"/>
            </w:pPr>
          </w:p>
        </w:tc>
      </w:tr>
      <w:tr w:rsidR="00980FDB" w:rsidRPr="00FE2F44" w:rsidTr="006E76B9">
        <w:trPr>
          <w:trHeight w:val="300"/>
        </w:trPr>
        <w:tc>
          <w:tcPr>
            <w:tcW w:w="2235" w:type="dxa"/>
            <w:noWrap/>
            <w:hideMark/>
          </w:tcPr>
          <w:p w:rsidR="00980FDB" w:rsidRPr="00980FDB" w:rsidRDefault="00980FDB" w:rsidP="00980FDB">
            <w:pPr>
              <w:rPr>
                <w:b/>
              </w:rPr>
            </w:pPr>
            <w:r w:rsidRPr="00980FDB">
              <w:t>Red Energy</w:t>
            </w:r>
          </w:p>
        </w:tc>
        <w:tc>
          <w:tcPr>
            <w:tcW w:w="1307" w:type="dxa"/>
            <w:gridSpan w:val="2"/>
            <w:noWrap/>
            <w:hideMark/>
          </w:tcPr>
          <w:p w:rsidR="00980FDB" w:rsidRPr="00980FDB" w:rsidRDefault="00980FDB" w:rsidP="00980FDB">
            <w:pPr>
              <w:jc w:val="right"/>
              <w:rPr>
                <w:bCs/>
              </w:rPr>
            </w:pPr>
            <w:r w:rsidRPr="00980FDB">
              <w:rPr>
                <w:bCs/>
              </w:rPr>
              <w:t>0.76</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pPr>
          </w:p>
        </w:tc>
      </w:tr>
      <w:tr w:rsidR="00980FDB" w:rsidRPr="00FE2F44" w:rsidTr="006E76B9">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80FDB" w:rsidRDefault="00980FDB" w:rsidP="00980FDB">
            <w:pPr>
              <w:rPr>
                <w:b/>
              </w:rPr>
            </w:pPr>
            <w:r w:rsidRPr="00980FDB">
              <w:t>Simply Energy</w:t>
            </w:r>
          </w:p>
        </w:tc>
        <w:tc>
          <w:tcPr>
            <w:tcW w:w="1307" w:type="dxa"/>
            <w:gridSpan w:val="2"/>
            <w:noWrap/>
            <w:hideMark/>
          </w:tcPr>
          <w:p w:rsidR="00980FDB" w:rsidRPr="00980FDB" w:rsidRDefault="00980FDB" w:rsidP="00980FDB">
            <w:pPr>
              <w:jc w:val="right"/>
              <w:rPr>
                <w:bCs/>
              </w:rPr>
            </w:pPr>
            <w:r w:rsidRPr="00980FDB">
              <w:rPr>
                <w:bCs/>
              </w:rPr>
              <w:t>0.28</w:t>
            </w:r>
          </w:p>
        </w:tc>
        <w:tc>
          <w:tcPr>
            <w:tcW w:w="1307" w:type="dxa"/>
            <w:gridSpan w:val="2"/>
          </w:tcPr>
          <w:p w:rsidR="00980FDB" w:rsidRPr="00980FDB" w:rsidRDefault="00980FDB" w:rsidP="00980FDB">
            <w:pPr>
              <w:jc w:val="right"/>
            </w:pPr>
          </w:p>
        </w:tc>
        <w:tc>
          <w:tcPr>
            <w:tcW w:w="1307" w:type="dxa"/>
            <w:gridSpan w:val="2"/>
            <w:noWrap/>
            <w:hideMark/>
          </w:tcPr>
          <w:p w:rsidR="00980FDB" w:rsidRPr="00980FDB" w:rsidRDefault="00980FDB" w:rsidP="00980FDB">
            <w:pPr>
              <w:jc w:val="right"/>
              <w:rPr>
                <w:bCs/>
              </w:rPr>
            </w:pPr>
            <w:r w:rsidRPr="00980FDB">
              <w:rPr>
                <w:bCs/>
              </w:rPr>
              <w:t>-</w:t>
            </w:r>
          </w:p>
        </w:tc>
        <w:tc>
          <w:tcPr>
            <w:tcW w:w="1307" w:type="dxa"/>
          </w:tcPr>
          <w:p w:rsidR="00980FDB" w:rsidRPr="00980FDB" w:rsidRDefault="00980FDB" w:rsidP="00980FDB">
            <w:pPr>
              <w:jc w:val="right"/>
            </w:pPr>
          </w:p>
        </w:tc>
      </w:tr>
      <w:tr w:rsidR="00827E6F" w:rsidRPr="00FE2F44" w:rsidTr="006E76B9">
        <w:trPr>
          <w:trHeight w:val="300"/>
        </w:trPr>
        <w:tc>
          <w:tcPr>
            <w:tcW w:w="2235" w:type="dxa"/>
            <w:noWrap/>
          </w:tcPr>
          <w:p w:rsidR="00827E6F" w:rsidRPr="00827E6F" w:rsidRDefault="00827E6F" w:rsidP="00980FDB">
            <w:pPr>
              <w:rPr>
                <w:b/>
              </w:rPr>
            </w:pPr>
            <w:r w:rsidRPr="00827E6F">
              <w:rPr>
                <w:b/>
              </w:rPr>
              <w:t>TOTAL NSW</w:t>
            </w:r>
          </w:p>
        </w:tc>
        <w:tc>
          <w:tcPr>
            <w:tcW w:w="1307" w:type="dxa"/>
            <w:gridSpan w:val="2"/>
            <w:noWrap/>
          </w:tcPr>
          <w:p w:rsidR="00827E6F" w:rsidRPr="00CE32E9" w:rsidRDefault="00CE32E9" w:rsidP="00980FDB">
            <w:pPr>
              <w:jc w:val="right"/>
              <w:rPr>
                <w:b/>
                <w:bCs/>
              </w:rPr>
            </w:pPr>
            <w:r w:rsidRPr="00CE32E9">
              <w:rPr>
                <w:b/>
                <w:bCs/>
              </w:rPr>
              <w:t>0.61</w:t>
            </w:r>
          </w:p>
        </w:tc>
        <w:tc>
          <w:tcPr>
            <w:tcW w:w="1307" w:type="dxa"/>
            <w:gridSpan w:val="2"/>
          </w:tcPr>
          <w:p w:rsidR="00827E6F" w:rsidRPr="00CE32E9" w:rsidRDefault="00827E6F" w:rsidP="00980FDB">
            <w:pPr>
              <w:jc w:val="right"/>
              <w:rPr>
                <w:b/>
              </w:rPr>
            </w:pPr>
          </w:p>
        </w:tc>
        <w:tc>
          <w:tcPr>
            <w:tcW w:w="1307" w:type="dxa"/>
            <w:gridSpan w:val="2"/>
            <w:noWrap/>
          </w:tcPr>
          <w:p w:rsidR="00827E6F" w:rsidRPr="00CE32E9" w:rsidRDefault="00CE32E9" w:rsidP="00980FDB">
            <w:pPr>
              <w:jc w:val="right"/>
              <w:rPr>
                <w:b/>
                <w:bCs/>
              </w:rPr>
            </w:pPr>
            <w:r w:rsidRPr="00CE32E9">
              <w:rPr>
                <w:b/>
                <w:bCs/>
              </w:rPr>
              <w:t>0.32</w:t>
            </w:r>
          </w:p>
        </w:tc>
        <w:tc>
          <w:tcPr>
            <w:tcW w:w="1307" w:type="dxa"/>
          </w:tcPr>
          <w:p w:rsidR="00827E6F" w:rsidRPr="00CE32E9" w:rsidRDefault="00827E6F" w:rsidP="00980FDB">
            <w:pPr>
              <w:jc w:val="right"/>
              <w:rPr>
                <w:b/>
              </w:rPr>
            </w:pPr>
          </w:p>
        </w:tc>
      </w:tr>
    </w:tbl>
    <w:p w:rsidR="00980FDB" w:rsidRPr="00980FDB" w:rsidRDefault="00980FDB" w:rsidP="00980FDB">
      <w:pPr>
        <w:spacing w:before="0" w:after="200"/>
        <w:rPr>
          <w:sz w:val="18"/>
          <w:szCs w:val="18"/>
        </w:rPr>
      </w:pPr>
      <w:r w:rsidRPr="00980FDB">
        <w:rPr>
          <w:sz w:val="18"/>
          <w:szCs w:val="18"/>
        </w:rPr>
        <w:t xml:space="preserve">Note: Excludes retailers with zero hardship program customers. </w:t>
      </w:r>
    </w:p>
    <w:p w:rsidR="00980FDB" w:rsidRDefault="009E1DC6" w:rsidP="009E1DC6">
      <w:pPr>
        <w:pStyle w:val="Headingnumbered11"/>
        <w:numPr>
          <w:ilvl w:val="2"/>
          <w:numId w:val="10"/>
        </w:numPr>
      </w:pPr>
      <w:bookmarkStart w:id="37" w:name="_Toc402959238"/>
      <w:bookmarkStart w:id="38" w:name="_Toc402959724"/>
      <w:bookmarkStart w:id="39" w:name="_Toc402961396"/>
      <w:r>
        <w:t xml:space="preserve"> </w:t>
      </w:r>
      <w:r w:rsidR="00980FDB" w:rsidRPr="00F45BC3">
        <w:t>Payment methods of hardship program customers</w:t>
      </w:r>
      <w:bookmarkEnd w:id="37"/>
      <w:bookmarkEnd w:id="38"/>
      <w:bookmarkEnd w:id="39"/>
    </w:p>
    <w:p w:rsidR="00980FDB" w:rsidRDefault="00980FDB" w:rsidP="00980FDB">
      <w:r>
        <w:t>Figures 2.7 and 2.8 show the payment methods of electricity and gas customers on hardship programs respectively. 70 per cent of customers on hardship programs make debt repayments to their energy retailer through an agreed payment plan. 28 per cent of customers use Centrepay</w:t>
      </w:r>
      <w:r w:rsidR="00453620">
        <w:t>—</w:t>
      </w:r>
      <w:r>
        <w:t>a service that allows customers to pay their energy bills (and energy debt owed) as regular deductions from their Centrelink payments</w:t>
      </w:r>
      <w:r w:rsidR="00453620">
        <w:t>—</w:t>
      </w:r>
      <w:r>
        <w:t xml:space="preserve">and can assist customers by making budgeting easier and ensuring that bills are under control. A small number of customers make repayments by other methods, including ad hoc repayments or through government assistance (such as vouchers for energy assistance). </w:t>
      </w:r>
    </w:p>
    <w:p w:rsidR="006E76B9" w:rsidRDefault="006E76B9">
      <w:pPr>
        <w:rPr>
          <w:b/>
        </w:rPr>
      </w:pPr>
      <w:r>
        <w:rPr>
          <w:b/>
        </w:rPr>
        <w:br w:type="page"/>
      </w:r>
    </w:p>
    <w:p w:rsidR="00980FDB" w:rsidRDefault="00980FDB" w:rsidP="00980FDB">
      <w:pPr>
        <w:rPr>
          <w:b/>
        </w:rPr>
      </w:pPr>
      <w:r>
        <w:rPr>
          <w:b/>
        </w:rPr>
        <w:lastRenderedPageBreak/>
        <w:t>Figure 2.7: Payment methods of electricity customers on hardship programs as at 30 June 2014</w:t>
      </w:r>
    </w:p>
    <w:p w:rsidR="00980FDB" w:rsidRDefault="00980FDB" w:rsidP="00980FDB">
      <w:pPr>
        <w:rPr>
          <w:b/>
        </w:rPr>
      </w:pPr>
      <w:r>
        <w:rPr>
          <w:b/>
          <w:noProof/>
          <w:lang w:eastAsia="en-AU"/>
        </w:rPr>
        <w:drawing>
          <wp:inline distT="0" distB="0" distL="0" distR="0" wp14:anchorId="07BACAF9" wp14:editId="24096230">
            <wp:extent cx="5731200" cy="4968000"/>
            <wp:effectExtent l="0" t="0" r="3175" b="4445"/>
            <wp:docPr id="7" name="Picture 7" descr="Around 70 per cent of electricity customers on hardship programs use a payment plan to repay their debt.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200" cy="4968000"/>
                    </a:xfrm>
                    <a:prstGeom prst="rect">
                      <a:avLst/>
                    </a:prstGeom>
                    <a:noFill/>
                  </pic:spPr>
                </pic:pic>
              </a:graphicData>
            </a:graphic>
          </wp:inline>
        </w:drawing>
      </w:r>
    </w:p>
    <w:p w:rsidR="00980FDB" w:rsidRDefault="00980FDB" w:rsidP="00980FDB">
      <w:pPr>
        <w:spacing w:before="0" w:after="200"/>
        <w:rPr>
          <w:b/>
        </w:rPr>
      </w:pPr>
      <w:r>
        <w:rPr>
          <w:b/>
        </w:rPr>
        <w:br w:type="page"/>
      </w:r>
    </w:p>
    <w:p w:rsidR="00980FDB" w:rsidRDefault="00980FDB" w:rsidP="00980FDB">
      <w:pPr>
        <w:rPr>
          <w:b/>
        </w:rPr>
      </w:pPr>
      <w:r>
        <w:rPr>
          <w:b/>
        </w:rPr>
        <w:lastRenderedPageBreak/>
        <w:t xml:space="preserve">Figure 2.8: Payment methods of gas customers on hardship programs as at 30 June 2014 </w:t>
      </w:r>
    </w:p>
    <w:p w:rsidR="00980FDB" w:rsidRDefault="00980FDB" w:rsidP="00980FDB">
      <w:pPr>
        <w:rPr>
          <w:b/>
        </w:rPr>
      </w:pPr>
      <w:r>
        <w:rPr>
          <w:b/>
          <w:noProof/>
          <w:lang w:eastAsia="en-AU"/>
        </w:rPr>
        <w:drawing>
          <wp:inline distT="0" distB="0" distL="0" distR="0" wp14:anchorId="170899F7" wp14:editId="400759FE">
            <wp:extent cx="5731200" cy="3092400"/>
            <wp:effectExtent l="0" t="0" r="3175" b="0"/>
            <wp:docPr id="10" name="Picture 10" descr="Around 70 per cent of gas customers on hardship programs use a payment plan to repay their debt. "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200" cy="3092400"/>
                    </a:xfrm>
                    <a:prstGeom prst="rect">
                      <a:avLst/>
                    </a:prstGeom>
                    <a:noFill/>
                  </pic:spPr>
                </pic:pic>
              </a:graphicData>
            </a:graphic>
          </wp:inline>
        </w:drawing>
      </w:r>
    </w:p>
    <w:p w:rsidR="00980FDB" w:rsidRPr="00144752" w:rsidRDefault="00980FDB" w:rsidP="00980FDB">
      <w:pPr>
        <w:pStyle w:val="Heading3"/>
        <w:shd w:val="clear" w:color="auto" w:fill="D9D9D9" w:themeFill="background1" w:themeFillShade="D9"/>
      </w:pPr>
      <w:bookmarkStart w:id="40" w:name="_Toc402959239"/>
      <w:bookmarkStart w:id="41" w:name="_Toc402959725"/>
      <w:bookmarkStart w:id="42" w:name="_Toc402961397"/>
      <w:r w:rsidRPr="00144752">
        <w:t>Case Study</w:t>
      </w:r>
      <w:bookmarkEnd w:id="40"/>
      <w:bookmarkEnd w:id="41"/>
      <w:bookmarkEnd w:id="42"/>
    </w:p>
    <w:p w:rsidR="00980FDB" w:rsidRDefault="00980FDB" w:rsidP="00980FDB">
      <w:pPr>
        <w:shd w:val="clear" w:color="auto" w:fill="D9D9D9" w:themeFill="background1" w:themeFillShade="D9"/>
      </w:pPr>
      <w:r>
        <w:t xml:space="preserve">A customer of Origin Energy was unable to make the agreed fortnightly repayments under their payment plan. Origin moved the customer onto their ‘Power On’ program and agreed to accept repayments of a lesser amount. They also set up Centrepay arrangements and moved the customer onto a more favourable tariff. </w:t>
      </w:r>
    </w:p>
    <w:p w:rsidR="00980FDB" w:rsidRDefault="00980FDB" w:rsidP="00980FDB">
      <w:pPr>
        <w:shd w:val="clear" w:color="auto" w:fill="D9D9D9" w:themeFill="background1" w:themeFillShade="D9"/>
      </w:pPr>
      <w:r>
        <w:t>After the customer’s circumstances changed, they contacted Origin and agreed to make greater repayments to reduce their debt. Origin placed the customer on an incentive plan, whereby goodwill credits were provided to further reduce their arrears.</w:t>
      </w:r>
    </w:p>
    <w:p w:rsidR="00980FDB" w:rsidRDefault="009E1DC6" w:rsidP="009E1DC6">
      <w:pPr>
        <w:pStyle w:val="Headingnumbered11"/>
        <w:numPr>
          <w:ilvl w:val="2"/>
          <w:numId w:val="10"/>
        </w:numPr>
      </w:pPr>
      <w:bookmarkStart w:id="43" w:name="_Toc402959240"/>
      <w:bookmarkStart w:id="44" w:name="_Toc402959726"/>
      <w:bookmarkStart w:id="45" w:name="_Toc402961398"/>
      <w:r>
        <w:t xml:space="preserve"> </w:t>
      </w:r>
      <w:r w:rsidR="00980FDB">
        <w:t>Debt levels of hardship program customers</w:t>
      </w:r>
      <w:bookmarkEnd w:id="43"/>
      <w:bookmarkEnd w:id="44"/>
      <w:bookmarkEnd w:id="45"/>
    </w:p>
    <w:p w:rsidR="00980FDB" w:rsidRDefault="00980FDB" w:rsidP="00980FDB">
      <w:r>
        <w:t>When a customer enters a hardship program with a low level of debt they have a greater chance of repaying their debt and successfully completing their hardship program. Figure 2.9 shows the debt levels of electricity customers that entered hardship programs in 2013-14.</w:t>
      </w:r>
      <w:r w:rsidR="00A72524">
        <w:rPr>
          <w:rStyle w:val="FootnoteReference"/>
        </w:rPr>
        <w:footnoteReference w:id="21"/>
      </w:r>
      <w:r>
        <w:t xml:space="preserve"> </w:t>
      </w:r>
    </w:p>
    <w:p w:rsidR="00980FDB" w:rsidRPr="00AD1A6B" w:rsidRDefault="00D0524A" w:rsidP="00980FDB">
      <w:r>
        <w:t xml:space="preserve">As in 2012-13, over half of </w:t>
      </w:r>
      <w:r w:rsidR="00980FDB" w:rsidRPr="00AD1A6B">
        <w:t>Red E</w:t>
      </w:r>
      <w:r>
        <w:t>nergy, Lumo Energy and ActewAGL</w:t>
      </w:r>
      <w:r w:rsidR="00980FDB" w:rsidRPr="00AD1A6B">
        <w:t xml:space="preserve"> customers that entered into their hardship programs had less than $500 of electricity debt. </w:t>
      </w:r>
      <w:r w:rsidR="00DC4E46">
        <w:t xml:space="preserve">Compared to 2012-13, a greater proportion of EnergyAustralia customers entered hardship programs with less than $500 of debt in 2013-14. </w:t>
      </w:r>
    </w:p>
    <w:p w:rsidR="00980FDB" w:rsidRPr="00AD1A6B" w:rsidRDefault="00980FDB" w:rsidP="00980FDB">
      <w:r w:rsidRPr="00AD1A6B">
        <w:t xml:space="preserve">As </w:t>
      </w:r>
      <w:r w:rsidR="00D0524A">
        <w:t xml:space="preserve">was also the case </w:t>
      </w:r>
      <w:r w:rsidRPr="00AD1A6B">
        <w:t xml:space="preserve">in 2012-13, over half of the customers entering Aurora’s hardship programs </w:t>
      </w:r>
      <w:r w:rsidR="00D0524A">
        <w:t xml:space="preserve">in 2013-14 </w:t>
      </w:r>
      <w:r w:rsidRPr="00AD1A6B">
        <w:t xml:space="preserve">did so with over $1500 of debt. This was not unexpected given the low number of customers on hardship programs prior to 2013-14.  </w:t>
      </w:r>
    </w:p>
    <w:p w:rsidR="00980FDB" w:rsidRDefault="00980FDB" w:rsidP="00980FDB">
      <w:pPr>
        <w:spacing w:before="0" w:after="200"/>
        <w:rPr>
          <w:b/>
        </w:rPr>
      </w:pPr>
      <w:r>
        <w:rPr>
          <w:b/>
        </w:rPr>
        <w:br w:type="page"/>
      </w:r>
    </w:p>
    <w:p w:rsidR="00980FDB" w:rsidRPr="00434CDF" w:rsidRDefault="00980FDB" w:rsidP="00980FDB">
      <w:pPr>
        <w:rPr>
          <w:b/>
        </w:rPr>
      </w:pPr>
      <w:r>
        <w:rPr>
          <w:b/>
        </w:rPr>
        <w:lastRenderedPageBreak/>
        <w:t>Figure 2.9: Level of electricity debt on entering retailer hardship programs in 2013-14</w:t>
      </w:r>
    </w:p>
    <w:p w:rsidR="00980FDB" w:rsidRDefault="00980FDB" w:rsidP="00894C3D">
      <w:bookmarkStart w:id="46" w:name="_Toc402959241"/>
      <w:bookmarkStart w:id="47" w:name="_Toc402959727"/>
      <w:bookmarkStart w:id="48" w:name="_Toc402961399"/>
      <w:r>
        <w:rPr>
          <w:noProof/>
          <w:lang w:eastAsia="en-AU"/>
        </w:rPr>
        <w:drawing>
          <wp:inline distT="0" distB="0" distL="0" distR="0" wp14:anchorId="05ACD922" wp14:editId="531298F6">
            <wp:extent cx="5731200" cy="3772800"/>
            <wp:effectExtent l="0" t="0" r="3175" b="0"/>
            <wp:docPr id="1" name="Picture 1" descr="Of the electricity customers that entered hardship programs in 2013-14, 41 per cent had less than $500 of debt, 34 per cent had between $500 and $1500 of debt, 13 per cent had between $1500 and $2500 of debt, and 12 per cent had over $2500 of debt."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200" cy="3772800"/>
                    </a:xfrm>
                    <a:prstGeom prst="rect">
                      <a:avLst/>
                    </a:prstGeom>
                    <a:noFill/>
                  </pic:spPr>
                </pic:pic>
              </a:graphicData>
            </a:graphic>
          </wp:inline>
        </w:drawing>
      </w:r>
      <w:bookmarkEnd w:id="46"/>
      <w:bookmarkEnd w:id="47"/>
      <w:bookmarkEnd w:id="48"/>
    </w:p>
    <w:p w:rsidR="00980FDB" w:rsidRPr="00AD1A6B" w:rsidRDefault="00980FDB" w:rsidP="00980FDB">
      <w:pPr>
        <w:spacing w:before="0" w:after="200"/>
        <w:rPr>
          <w:sz w:val="18"/>
          <w:szCs w:val="18"/>
        </w:rPr>
      </w:pPr>
      <w:r>
        <w:rPr>
          <w:sz w:val="18"/>
          <w:szCs w:val="18"/>
        </w:rPr>
        <w:t>Note: Excludes retailers with less than 10 customers entering hardship programs in 2013-14.</w:t>
      </w:r>
      <w:r w:rsidRPr="00A045C5">
        <w:rPr>
          <w:sz w:val="18"/>
          <w:szCs w:val="18"/>
        </w:rPr>
        <w:t xml:space="preserve"> </w:t>
      </w:r>
    </w:p>
    <w:p w:rsidR="00980FDB" w:rsidRDefault="00980FDB" w:rsidP="00980FDB">
      <w:pPr>
        <w:rPr>
          <w:b/>
        </w:rPr>
      </w:pPr>
      <w:r w:rsidRPr="00AD1A6B">
        <w:t>Figure 2.</w:t>
      </w:r>
      <w:r>
        <w:t>10</w:t>
      </w:r>
      <w:r w:rsidRPr="00AD1A6B">
        <w:t xml:space="preserve"> shows debt levels of gas customers entering retailers’ hardship programs in 2013-14.</w:t>
      </w:r>
      <w:r>
        <w:t xml:space="preserve"> Relative to electricity customers, a significantly greater proportion of gas customers enter hardship programs with debt levels below $500. </w:t>
      </w:r>
    </w:p>
    <w:p w:rsidR="00980FDB" w:rsidRPr="00271AF8" w:rsidRDefault="00980FDB" w:rsidP="00980FDB">
      <w:r>
        <w:rPr>
          <w:b/>
        </w:rPr>
        <w:t>Figure 2.10: Level of gas debt on entering retailer hardship programs in 2013-14</w:t>
      </w:r>
    </w:p>
    <w:p w:rsidR="00980FDB" w:rsidRPr="00434CDF" w:rsidRDefault="00980FDB" w:rsidP="00980FDB">
      <w:pPr>
        <w:spacing w:before="0"/>
        <w:rPr>
          <w:b/>
        </w:rPr>
      </w:pPr>
      <w:r>
        <w:rPr>
          <w:b/>
          <w:noProof/>
          <w:lang w:eastAsia="en-AU"/>
        </w:rPr>
        <w:drawing>
          <wp:inline distT="0" distB="0" distL="0" distR="0" wp14:anchorId="7463C604" wp14:editId="32B084BC">
            <wp:extent cx="5731200" cy="2894400"/>
            <wp:effectExtent l="0" t="0" r="3175" b="1270"/>
            <wp:docPr id="15" name="Picture 15" descr="Of the gas customers that entered hardship programs in 2013-14, 57 per cent had less than $500 of debt, 33 per cent had between $500 and $1500 of debt, 6 per cent had between $1500 and $2500 of debt, and 4 per cent had over $2500 of debt."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200" cy="2894400"/>
                    </a:xfrm>
                    <a:prstGeom prst="rect">
                      <a:avLst/>
                    </a:prstGeom>
                    <a:noFill/>
                  </pic:spPr>
                </pic:pic>
              </a:graphicData>
            </a:graphic>
          </wp:inline>
        </w:drawing>
      </w:r>
    </w:p>
    <w:p w:rsidR="00980FDB" w:rsidRDefault="00980FDB" w:rsidP="00980FDB"/>
    <w:p w:rsidR="00980FDB" w:rsidRDefault="00980FDB" w:rsidP="00980FDB">
      <w:r>
        <w:lastRenderedPageBreak/>
        <w:t xml:space="preserve">Figures 2.11 and 2.12 show the average debt levels of customers entering hardship programs in 2013 and 2014 with electricity and gas debt respectively. </w:t>
      </w:r>
    </w:p>
    <w:p w:rsidR="00980FDB" w:rsidRDefault="00980FDB" w:rsidP="00980FDB">
      <w:r>
        <w:t xml:space="preserve">For some </w:t>
      </w:r>
      <w:r w:rsidR="00453620">
        <w:t xml:space="preserve">South Australian </w:t>
      </w:r>
      <w:r>
        <w:t xml:space="preserve">retailers the average level of debt held by electricity customers when entering their hardship programs decreased in the past 12 months. However customers of AGL and EnergyAustralia entered hardship programs with an average of over $1 500 in electricity debt, and the average debt of electricity customers entering Powerdirect’s hardship programs remained over $2 500. As in South Australia, Powerdirect’s NSW customers entered hardship programs with </w:t>
      </w:r>
      <w:r w:rsidR="005B2FD1">
        <w:t xml:space="preserve">relatively </w:t>
      </w:r>
      <w:r>
        <w:t>high debt levels – an average of over $2 000. Average energy debt for gas customers entering hardship programs in South Australia increased for all retailers except Origin Energy. EnergyAustralia</w:t>
      </w:r>
      <w:r w:rsidR="00453620">
        <w:t>’s gas customers</w:t>
      </w:r>
      <w:r>
        <w:t xml:space="preserve"> entered hardship programs with an average of over $1 000 debt – $580 greater than in the June quarter of 2012-13. </w:t>
      </w:r>
    </w:p>
    <w:p w:rsidR="00980FDB" w:rsidRPr="00CF0DD0" w:rsidRDefault="00980FDB" w:rsidP="00980FDB">
      <w:r>
        <w:t xml:space="preserve">In the ACT, debt levels for gas customers entering hardship programs exceeded the debt levels of electricity customers. In Tasmania, the debt level of electricity customers entering Aurora’s hardship programs remained high. </w:t>
      </w:r>
    </w:p>
    <w:p w:rsidR="00980FDB" w:rsidRDefault="00980FDB" w:rsidP="00980FDB">
      <w:pPr>
        <w:rPr>
          <w:b/>
        </w:rPr>
      </w:pPr>
      <w:r>
        <w:rPr>
          <w:b/>
        </w:rPr>
        <w:t>Figure 2.11: Average debt levels for electricity customers entering hardship programs, June quarter 2012-13 and 2013-14</w:t>
      </w:r>
    </w:p>
    <w:p w:rsidR="00980FDB" w:rsidRDefault="00980FDB" w:rsidP="00980FDB">
      <w:pPr>
        <w:rPr>
          <w:b/>
        </w:rPr>
      </w:pPr>
      <w:r>
        <w:rPr>
          <w:b/>
          <w:noProof/>
          <w:lang w:eastAsia="en-AU"/>
        </w:rPr>
        <w:drawing>
          <wp:inline distT="0" distB="0" distL="0" distR="0" wp14:anchorId="38E0EEBF" wp14:editId="2833F60C">
            <wp:extent cx="5731200" cy="3783600"/>
            <wp:effectExtent l="0" t="0" r="3175" b="7620"/>
            <wp:docPr id="3" name="Picture 3" descr="The average level of debt for electricity customers entering hardship programs was highest for customers of Powerdirect (over $2000) and lowest for customers of Red Energy (less than $400). " title="Fig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200" cy="3783600"/>
                    </a:xfrm>
                    <a:prstGeom prst="rect">
                      <a:avLst/>
                    </a:prstGeom>
                    <a:noFill/>
                  </pic:spPr>
                </pic:pic>
              </a:graphicData>
            </a:graphic>
          </wp:inline>
        </w:drawing>
      </w:r>
    </w:p>
    <w:p w:rsidR="00980FDB" w:rsidRDefault="00980FDB" w:rsidP="00980FDB">
      <w:pPr>
        <w:spacing w:before="0" w:after="200"/>
        <w:rPr>
          <w:b/>
        </w:rPr>
      </w:pPr>
      <w:r>
        <w:rPr>
          <w:b/>
        </w:rPr>
        <w:br w:type="page"/>
      </w:r>
    </w:p>
    <w:p w:rsidR="00980FDB" w:rsidRPr="00271AF8" w:rsidRDefault="00980FDB" w:rsidP="00980FDB">
      <w:r>
        <w:rPr>
          <w:b/>
        </w:rPr>
        <w:lastRenderedPageBreak/>
        <w:t>Figure 2.12: Average debt levels for gas customers entering hardship programs, June quarter 2012-13 and 2013-14</w:t>
      </w:r>
    </w:p>
    <w:p w:rsidR="00980FDB" w:rsidRPr="00B16942" w:rsidRDefault="00980FDB" w:rsidP="00980FDB">
      <w:r>
        <w:rPr>
          <w:noProof/>
          <w:lang w:eastAsia="en-AU"/>
        </w:rPr>
        <w:drawing>
          <wp:inline distT="0" distB="0" distL="0" distR="0" wp14:anchorId="6C72E9F9" wp14:editId="0F86D777">
            <wp:extent cx="5731200" cy="3783600"/>
            <wp:effectExtent l="0" t="0" r="3175" b="7620"/>
            <wp:docPr id="4" name="Picture 4" descr="The average level of debt for gas customers entering hardship programs was highest for customers of ActewAGL (over $1400) and lowest for customers of EnergyAustralia in New South Wales (less than $400). " title="Fig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200" cy="3783600"/>
                    </a:xfrm>
                    <a:prstGeom prst="rect">
                      <a:avLst/>
                    </a:prstGeom>
                    <a:noFill/>
                  </pic:spPr>
                </pic:pic>
              </a:graphicData>
            </a:graphic>
          </wp:inline>
        </w:drawing>
      </w:r>
    </w:p>
    <w:p w:rsidR="00980FDB" w:rsidRDefault="009E1DC6" w:rsidP="009E1DC6">
      <w:pPr>
        <w:pStyle w:val="Headingnumbered11"/>
        <w:numPr>
          <w:ilvl w:val="2"/>
          <w:numId w:val="10"/>
        </w:numPr>
      </w:pPr>
      <w:bookmarkStart w:id="49" w:name="_Toc402959242"/>
      <w:bookmarkStart w:id="50" w:name="_Toc402959728"/>
      <w:bookmarkStart w:id="51" w:name="_Toc402961400"/>
      <w:r>
        <w:t xml:space="preserve"> </w:t>
      </w:r>
      <w:r w:rsidR="00980FDB">
        <w:t>Customers exiting a hardship program</w:t>
      </w:r>
      <w:bookmarkEnd w:id="49"/>
      <w:bookmarkEnd w:id="50"/>
      <w:bookmarkEnd w:id="51"/>
    </w:p>
    <w:p w:rsidR="00980FDB" w:rsidRPr="00894C3D" w:rsidRDefault="00980FDB" w:rsidP="00894C3D">
      <w:bookmarkStart w:id="52" w:name="_Toc402959243"/>
      <w:bookmarkStart w:id="53" w:name="_Toc402959729"/>
      <w:bookmarkStart w:id="54" w:name="_Toc402961401"/>
      <w:r w:rsidRPr="00894C3D">
        <w:t>Retailers report the number of customers exiting their hardship programs for each of the following reasons:</w:t>
      </w:r>
      <w:bookmarkEnd w:id="52"/>
      <w:bookmarkEnd w:id="53"/>
      <w:bookmarkEnd w:id="54"/>
    </w:p>
    <w:p w:rsidR="00980FDB" w:rsidRPr="00894C3D" w:rsidRDefault="00980FDB" w:rsidP="00894C3D">
      <w:pPr>
        <w:pStyle w:val="ListParagraph"/>
        <w:numPr>
          <w:ilvl w:val="0"/>
          <w:numId w:val="11"/>
        </w:numPr>
      </w:pPr>
      <w:bookmarkStart w:id="55" w:name="_Toc402959244"/>
      <w:bookmarkStart w:id="56" w:name="_Toc402959730"/>
      <w:bookmarkStart w:id="57" w:name="_Toc402961402"/>
      <w:r w:rsidRPr="00894C3D">
        <w:t>customers who successfully completed the program or exited with the agreement of the retailer</w:t>
      </w:r>
      <w:bookmarkEnd w:id="55"/>
      <w:bookmarkEnd w:id="56"/>
      <w:bookmarkEnd w:id="57"/>
    </w:p>
    <w:p w:rsidR="00980FDB" w:rsidRPr="00894C3D" w:rsidRDefault="00980FDB" w:rsidP="00894C3D">
      <w:pPr>
        <w:pStyle w:val="ListParagraph"/>
        <w:numPr>
          <w:ilvl w:val="0"/>
          <w:numId w:val="11"/>
        </w:numPr>
      </w:pPr>
      <w:bookmarkStart w:id="58" w:name="_Toc402959245"/>
      <w:bookmarkStart w:id="59" w:name="_Toc402959731"/>
      <w:bookmarkStart w:id="60" w:name="_Toc402961403"/>
      <w:r w:rsidRPr="00894C3D">
        <w:t>customers who were excluded or removed from the program, and</w:t>
      </w:r>
      <w:bookmarkEnd w:id="58"/>
      <w:bookmarkEnd w:id="59"/>
      <w:bookmarkEnd w:id="60"/>
    </w:p>
    <w:p w:rsidR="00980FDB" w:rsidRPr="00894C3D" w:rsidRDefault="00980FDB" w:rsidP="00894C3D">
      <w:pPr>
        <w:pStyle w:val="ListParagraph"/>
        <w:numPr>
          <w:ilvl w:val="0"/>
          <w:numId w:val="11"/>
        </w:numPr>
      </w:pPr>
      <w:bookmarkStart w:id="61" w:name="_Toc402959246"/>
      <w:bookmarkStart w:id="62" w:name="_Toc402959732"/>
      <w:bookmarkStart w:id="63" w:name="_Toc402961404"/>
      <w:proofErr w:type="gramStart"/>
      <w:r w:rsidRPr="00894C3D">
        <w:t>customers</w:t>
      </w:r>
      <w:proofErr w:type="gramEnd"/>
      <w:r w:rsidRPr="00894C3D">
        <w:t xml:space="preserve"> who transferred, switched or left the retailer.</w:t>
      </w:r>
      <w:bookmarkEnd w:id="61"/>
      <w:bookmarkEnd w:id="62"/>
      <w:bookmarkEnd w:id="63"/>
    </w:p>
    <w:p w:rsidR="00980FDB" w:rsidRPr="00B16942" w:rsidRDefault="00980FDB" w:rsidP="00980FDB">
      <w:r w:rsidRPr="00B16942">
        <w:t>Figure</w:t>
      </w:r>
      <w:r>
        <w:t>s</w:t>
      </w:r>
      <w:r w:rsidR="009E4964">
        <w:t xml:space="preserve"> 2.13</w:t>
      </w:r>
      <w:r w:rsidRPr="00B16942">
        <w:t xml:space="preserve"> </w:t>
      </w:r>
      <w:r w:rsidR="009E4964">
        <w:t>and 2.14</w:t>
      </w:r>
      <w:r>
        <w:t xml:space="preserve"> show</w:t>
      </w:r>
      <w:r w:rsidRPr="00B16942">
        <w:t xml:space="preserve"> the number of electricity </w:t>
      </w:r>
      <w:r>
        <w:t xml:space="preserve">and gas </w:t>
      </w:r>
      <w:r w:rsidRPr="00B16942">
        <w:t>customers that exited hardship programs for each retailer in 2013-14.</w:t>
      </w:r>
      <w:r>
        <w:t xml:space="preserve"> For both electricity and gas, more customers were excluded from hardship programs (on average 54 per cent of customers) than successfully completed hardship programs (20 per cent). </w:t>
      </w:r>
    </w:p>
    <w:p w:rsidR="00980FDB" w:rsidRPr="00B16942" w:rsidRDefault="00980FDB" w:rsidP="00980FDB">
      <w:r w:rsidRPr="00B16942">
        <w:t xml:space="preserve">Customers of EnergyAustralia (in South Australia) and Lumo Energy (in NSW) </w:t>
      </w:r>
      <w:r>
        <w:t xml:space="preserve">were particularly unsuccessful at completing their hardship programs – </w:t>
      </w:r>
      <w:r w:rsidR="00453620">
        <w:t xml:space="preserve">with </w:t>
      </w:r>
      <w:r>
        <w:t xml:space="preserve">hardship program success rates between 2 and 6 per cent for </w:t>
      </w:r>
      <w:r w:rsidR="00453620">
        <w:t xml:space="preserve">these retailers’ </w:t>
      </w:r>
      <w:r>
        <w:t>electricity and gas customers</w:t>
      </w:r>
      <w:r w:rsidR="00453620">
        <w:t xml:space="preserve">. </w:t>
      </w:r>
      <w:r>
        <w:t xml:space="preserve"> </w:t>
      </w:r>
      <w:r w:rsidRPr="00B16942">
        <w:t>Powerdirect’s rate of exclusion is over 80 per cent in both South Australia and NSW</w:t>
      </w:r>
      <w:r>
        <w:t xml:space="preserve"> (electricity customers)</w:t>
      </w:r>
      <w:r w:rsidRPr="00B16942">
        <w:t>, and is likely due to the high level</w:t>
      </w:r>
      <w:r>
        <w:t>s</w:t>
      </w:r>
      <w:r w:rsidRPr="00B16942">
        <w:t xml:space="preserve"> of debt that customers hold when they enter their hardship programs. </w:t>
      </w:r>
    </w:p>
    <w:p w:rsidR="00980FDB" w:rsidRPr="00B16942" w:rsidRDefault="00980FDB" w:rsidP="00980FDB">
      <w:r w:rsidRPr="00B16942">
        <w:br w:type="page"/>
      </w:r>
    </w:p>
    <w:p w:rsidR="00980FDB" w:rsidRDefault="009E4964" w:rsidP="00980FDB">
      <w:pPr>
        <w:rPr>
          <w:b/>
        </w:rPr>
      </w:pPr>
      <w:r>
        <w:rPr>
          <w:b/>
        </w:rPr>
        <w:lastRenderedPageBreak/>
        <w:t>Figure 2.13</w:t>
      </w:r>
      <w:r w:rsidR="00980FDB">
        <w:rPr>
          <w:b/>
        </w:rPr>
        <w:t>: Electricity customers exiting hardship programs in 2013-14</w:t>
      </w:r>
    </w:p>
    <w:p w:rsidR="00980FDB" w:rsidRPr="005A319D" w:rsidRDefault="005A319D" w:rsidP="00980FDB">
      <w:pPr>
        <w:rPr>
          <w:b/>
        </w:rPr>
      </w:pPr>
      <w:r>
        <w:rPr>
          <w:b/>
          <w:noProof/>
          <w:lang w:eastAsia="en-AU"/>
        </w:rPr>
        <w:drawing>
          <wp:inline distT="0" distB="0" distL="0" distR="0" wp14:anchorId="4304BA2F" wp14:editId="276781A1">
            <wp:extent cx="5731200" cy="5695200"/>
            <wp:effectExtent l="0" t="0" r="3175" b="1270"/>
            <wp:docPr id="6" name="Picture 6" descr="Of the electricity customers that exited hardship programs in 2013-14, 19 per cent were successful and returned to normal billing arrangements, 55 per cent were removed for non-compliance with the program, and 26 per cent transferred to another retailer.  " title="Fig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200" cy="5695200"/>
                    </a:xfrm>
                    <a:prstGeom prst="rect">
                      <a:avLst/>
                    </a:prstGeom>
                    <a:noFill/>
                  </pic:spPr>
                </pic:pic>
              </a:graphicData>
            </a:graphic>
          </wp:inline>
        </w:drawing>
      </w:r>
      <w:r w:rsidR="00980FDB">
        <w:rPr>
          <w:sz w:val="18"/>
          <w:szCs w:val="18"/>
        </w:rPr>
        <w:t xml:space="preserve">Note: AGL acquired Australian Power &amp; Gas in April 2014. </w:t>
      </w:r>
    </w:p>
    <w:p w:rsidR="00980FDB" w:rsidRDefault="00980FDB" w:rsidP="00980FDB">
      <w:pPr>
        <w:spacing w:before="0" w:after="200"/>
        <w:rPr>
          <w:b/>
        </w:rPr>
      </w:pPr>
      <w:r>
        <w:rPr>
          <w:b/>
        </w:rPr>
        <w:br w:type="page"/>
      </w:r>
    </w:p>
    <w:p w:rsidR="00980FDB" w:rsidRDefault="009E4964" w:rsidP="00980FDB">
      <w:pPr>
        <w:rPr>
          <w:b/>
        </w:rPr>
      </w:pPr>
      <w:r>
        <w:rPr>
          <w:b/>
        </w:rPr>
        <w:lastRenderedPageBreak/>
        <w:t>Figure 2.14</w:t>
      </w:r>
      <w:r w:rsidR="00980FDB">
        <w:rPr>
          <w:b/>
        </w:rPr>
        <w:t>: Gas customers exiting hardship programs in 2013-14</w:t>
      </w:r>
    </w:p>
    <w:p w:rsidR="00980FDB" w:rsidRDefault="005A319D" w:rsidP="00980FDB">
      <w:pPr>
        <w:rPr>
          <w:b/>
        </w:rPr>
      </w:pPr>
      <w:r>
        <w:rPr>
          <w:b/>
          <w:noProof/>
          <w:lang w:eastAsia="en-AU"/>
        </w:rPr>
        <w:drawing>
          <wp:inline distT="0" distB="0" distL="0" distR="0" wp14:anchorId="48E4CE30" wp14:editId="0CC6D2F8">
            <wp:extent cx="5731200" cy="3384000"/>
            <wp:effectExtent l="0" t="0" r="3175" b="6985"/>
            <wp:docPr id="11" name="Picture 11" descr="Of the gas customers that exited hardship programs in 2013-14, 19 per cent were successful and returned to normal billing arrangements, 55 per cent were removed for non-compliance with the program, and 26 per cent transferred to another retailer.  " title="Fig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200" cy="3384000"/>
                    </a:xfrm>
                    <a:prstGeom prst="rect">
                      <a:avLst/>
                    </a:prstGeom>
                    <a:noFill/>
                  </pic:spPr>
                </pic:pic>
              </a:graphicData>
            </a:graphic>
          </wp:inline>
        </w:drawing>
      </w:r>
      <w:r w:rsidR="00980FDB">
        <w:rPr>
          <w:sz w:val="18"/>
          <w:szCs w:val="18"/>
        </w:rPr>
        <w:t xml:space="preserve">Note: AGL acquired Australian Power &amp; Gas in April 2014. </w:t>
      </w:r>
    </w:p>
    <w:p w:rsidR="00980FDB" w:rsidRPr="00894C3D" w:rsidRDefault="00980FDB" w:rsidP="00894C3D">
      <w:pPr>
        <w:pStyle w:val="Heading3"/>
        <w:shd w:val="clear" w:color="auto" w:fill="D9D9D9" w:themeFill="background1" w:themeFillShade="D9"/>
      </w:pPr>
      <w:r w:rsidRPr="00894C3D">
        <w:t>Case Study</w:t>
      </w:r>
    </w:p>
    <w:p w:rsidR="00980FDB" w:rsidRDefault="00980FDB" w:rsidP="00980FDB">
      <w:pPr>
        <w:shd w:val="clear" w:color="auto" w:fill="D9D9D9" w:themeFill="background1" w:themeFillShade="D9"/>
      </w:pPr>
      <w:r>
        <w:t xml:space="preserve">A customer of EnergyAustralia was unable to make effective repayments on their hardship program due to high energy use in winter periods. EnergyAustralia’s hardship case manager was able to ascertain that the customer’s high bills were due to their hot water system and central heating. </w:t>
      </w:r>
    </w:p>
    <w:p w:rsidR="00980FDB" w:rsidRDefault="00980FDB" w:rsidP="00980FDB">
      <w:pPr>
        <w:shd w:val="clear" w:color="auto" w:fill="D9D9D9" w:themeFill="background1" w:themeFillShade="D9"/>
      </w:pPr>
      <w:r>
        <w:t xml:space="preserve">EnergyAustralia arranged for a representative from the Home Energy Saver Scheme (HESS) to conduct an in-home energy audit for the customer, which revealed faults in both the hot water system and central heating. The customer immediately arranged to fix the hot water service, and EnergyAustralia worked with HESS to install a new central heating system at no cost to the customer. </w:t>
      </w:r>
    </w:p>
    <w:p w:rsidR="00980FDB" w:rsidRPr="008E2AAA" w:rsidRDefault="00980FDB" w:rsidP="00980FDB">
      <w:pPr>
        <w:shd w:val="clear" w:color="auto" w:fill="D9D9D9" w:themeFill="background1" w:themeFillShade="D9"/>
      </w:pPr>
      <w:r>
        <w:t xml:space="preserve">After receiving goodwill payments from EnergyAustralia to clear their arrears, the customer remained on the hardship program for a further three months to ensure that the payment arrangement was manageable, and also to ensure that energy consumption was reduced. The customer was able to reduce their energy use and returned to normal payment arrangements.    </w:t>
      </w:r>
    </w:p>
    <w:p w:rsidR="009E4964" w:rsidRDefault="009E4964">
      <w:pPr>
        <w:rPr>
          <w:b/>
          <w:color w:val="51626F"/>
          <w:sz w:val="28"/>
          <w:szCs w:val="24"/>
        </w:rPr>
      </w:pPr>
      <w:r>
        <w:br w:type="page"/>
      </w:r>
    </w:p>
    <w:p w:rsidR="00980FDB" w:rsidRPr="000845B8" w:rsidRDefault="00980FDB" w:rsidP="00980FDB">
      <w:pPr>
        <w:pStyle w:val="Headingnumbered11"/>
        <w:rPr>
          <w:rFonts w:ascii="Lucida Fax" w:hAnsi="Lucida Fax"/>
          <w:sz w:val="32"/>
          <w:szCs w:val="32"/>
        </w:rPr>
      </w:pPr>
      <w:bookmarkStart w:id="64" w:name="_Toc402961405"/>
      <w:r>
        <w:lastRenderedPageBreak/>
        <w:t>Disconnections and reconnections</w:t>
      </w:r>
      <w:bookmarkEnd w:id="64"/>
    </w:p>
    <w:p w:rsidR="00980FDB" w:rsidRDefault="00980FDB" w:rsidP="00980FDB">
      <w:r>
        <w:t xml:space="preserve">Disconnection for non-payment of bills should be viewed as a last resort, as energy is an essential service. The number of disconnections may be examined alongside hardship program and energy debt statistics to provide an indication of how retailers balance their obligations to manage customers’ debt while ensuring that customers continue to receive an energy service. </w:t>
      </w:r>
    </w:p>
    <w:p w:rsidR="00980FDB" w:rsidRDefault="009E4964" w:rsidP="00980FDB">
      <w:r>
        <w:t>Figure 2.15</w:t>
      </w:r>
      <w:r w:rsidR="00980FDB">
        <w:t xml:space="preserve"> shows the number of residential customers disconnected for non-payment in each jurisdiction. It shows a </w:t>
      </w:r>
      <w:r w:rsidR="00453620">
        <w:t xml:space="preserve">distinct </w:t>
      </w:r>
      <w:r w:rsidR="00980FDB">
        <w:t xml:space="preserve">pattern of gas disconnections in the ACT – most occur between October and March when households are less reliant on gas for heating. </w:t>
      </w:r>
      <w:r w:rsidR="00DC4E46">
        <w:t>In other jurisdictions there is less variation between quarters</w:t>
      </w:r>
      <w:r w:rsidR="00B21525">
        <w:t>.</w:t>
      </w:r>
    </w:p>
    <w:p w:rsidR="009E4964" w:rsidRDefault="009E4964">
      <w:pPr>
        <w:rPr>
          <w:b/>
        </w:rPr>
      </w:pPr>
      <w:r>
        <w:rPr>
          <w:b/>
        </w:rPr>
        <w:br w:type="page"/>
      </w:r>
    </w:p>
    <w:p w:rsidR="00980FDB" w:rsidRPr="00C662C3" w:rsidRDefault="009E4964" w:rsidP="00980FDB">
      <w:r>
        <w:rPr>
          <w:b/>
        </w:rPr>
        <w:lastRenderedPageBreak/>
        <w:t>Figure 2.15</w:t>
      </w:r>
      <w:r w:rsidR="00980FDB">
        <w:rPr>
          <w:b/>
        </w:rPr>
        <w:t>: Residential customers disconnected for non-payment in 2013-14 by jurisdiction</w:t>
      </w:r>
    </w:p>
    <w:p w:rsidR="00980FDB" w:rsidRDefault="00FC2FC0" w:rsidP="00980FDB">
      <w:pPr>
        <w:rPr>
          <w:b/>
        </w:rPr>
      </w:pPr>
      <w:r>
        <w:rPr>
          <w:b/>
          <w:noProof/>
          <w:lang w:eastAsia="en-AU"/>
        </w:rPr>
        <w:drawing>
          <wp:inline distT="0" distB="0" distL="0" distR="0" wp14:anchorId="42982B2B" wp14:editId="62BCD780">
            <wp:extent cx="5734800" cy="7200000"/>
            <wp:effectExtent l="0" t="0" r="0" b="1270"/>
            <wp:docPr id="9" name="Picture 9" descr="Rates of disconnection for non-payment in each jurisdiction are relatively stable across each quarter in 2013-14. The exception is in the ACT, where almost three times as many gas customers were disconnected in the December quarter, compared with the June quarter. In New South Wales and South Australia around 0.3 to 0.4 per cent of electricity customers are disconnected each quarter." title="Fig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800" cy="7200000"/>
                    </a:xfrm>
                    <a:prstGeom prst="rect">
                      <a:avLst/>
                    </a:prstGeom>
                    <a:noFill/>
                  </pic:spPr>
                </pic:pic>
              </a:graphicData>
            </a:graphic>
          </wp:inline>
        </w:drawing>
      </w:r>
    </w:p>
    <w:p w:rsidR="00980FDB" w:rsidRDefault="009E4964" w:rsidP="00980FDB">
      <w:r>
        <w:lastRenderedPageBreak/>
        <w:t>Tables 2.7 and 2.8</w:t>
      </w:r>
      <w:r w:rsidR="00980FDB">
        <w:t xml:space="preserve"> show the number of disconnected electricity and gas customers respectively. The tables also show the percentage of disconnected customers that were reconnected as well as the percentage of reconnections that occurred within seven days.</w:t>
      </w:r>
      <w:r w:rsidR="00980FDB">
        <w:rPr>
          <w:rStyle w:val="FootnoteReference"/>
        </w:rPr>
        <w:footnoteReference w:id="22"/>
      </w:r>
    </w:p>
    <w:p w:rsidR="00980FDB" w:rsidRDefault="009E4964" w:rsidP="00980FDB">
      <w:pPr>
        <w:spacing w:before="0" w:after="200"/>
        <w:rPr>
          <w:b/>
        </w:rPr>
      </w:pPr>
      <w:r>
        <w:rPr>
          <w:b/>
        </w:rPr>
        <w:t>Table 2.7</w:t>
      </w:r>
      <w:r w:rsidR="00980FDB">
        <w:rPr>
          <w:b/>
        </w:rPr>
        <w:t>: Residential electricity customers (per 100) disconnected and reconnected by each retailer in 2013-14</w:t>
      </w:r>
    </w:p>
    <w:tbl>
      <w:tblPr>
        <w:tblStyle w:val="AERTable-Text"/>
        <w:tblW w:w="9747" w:type="dxa"/>
        <w:tblLook w:val="04A0" w:firstRow="1" w:lastRow="0" w:firstColumn="1" w:lastColumn="0" w:noHBand="0" w:noVBand="1"/>
      </w:tblPr>
      <w:tblGrid>
        <w:gridCol w:w="2235"/>
        <w:gridCol w:w="1204"/>
        <w:gridCol w:w="1205"/>
        <w:gridCol w:w="2552"/>
        <w:gridCol w:w="2551"/>
      </w:tblGrid>
      <w:tr w:rsidR="00980FDB" w:rsidRPr="00913E1A" w:rsidTr="00534288">
        <w:trPr>
          <w:cnfStyle w:val="100000000000" w:firstRow="1" w:lastRow="0" w:firstColumn="0" w:lastColumn="0" w:oddVBand="0" w:evenVBand="0" w:oddHBand="0" w:evenHBand="0" w:firstRowFirstColumn="0" w:firstRowLastColumn="0" w:lastRowFirstColumn="0" w:lastRowLastColumn="0"/>
          <w:trHeight w:val="300"/>
        </w:trPr>
        <w:tc>
          <w:tcPr>
            <w:tcW w:w="2235" w:type="dxa"/>
            <w:noWrap/>
            <w:hideMark/>
          </w:tcPr>
          <w:p w:rsidR="00980FDB" w:rsidRPr="00913E1A" w:rsidRDefault="00980FDB" w:rsidP="00980FDB">
            <w:pPr>
              <w:spacing w:after="200" w:line="276" w:lineRule="auto"/>
            </w:pPr>
            <w:r w:rsidRPr="00913E1A">
              <w:t>Retailer</w:t>
            </w:r>
          </w:p>
        </w:tc>
        <w:tc>
          <w:tcPr>
            <w:tcW w:w="2409" w:type="dxa"/>
            <w:gridSpan w:val="2"/>
            <w:noWrap/>
            <w:hideMark/>
          </w:tcPr>
          <w:p w:rsidR="00980FDB" w:rsidRPr="00913E1A" w:rsidRDefault="00980FDB" w:rsidP="00980FDB">
            <w:pPr>
              <w:spacing w:after="200" w:line="276" w:lineRule="auto"/>
              <w:jc w:val="right"/>
            </w:pPr>
            <w:r w:rsidRPr="00913E1A">
              <w:t xml:space="preserve">Disconnections </w:t>
            </w:r>
            <w:r>
              <w:br/>
            </w:r>
            <w:r w:rsidRPr="00913E1A">
              <w:t>(per 100 customers)</w:t>
            </w:r>
          </w:p>
        </w:tc>
        <w:tc>
          <w:tcPr>
            <w:tcW w:w="2552" w:type="dxa"/>
            <w:noWrap/>
            <w:hideMark/>
          </w:tcPr>
          <w:p w:rsidR="00980FDB" w:rsidRPr="00913E1A" w:rsidRDefault="00980FDB" w:rsidP="00980FDB">
            <w:pPr>
              <w:spacing w:after="200" w:line="276" w:lineRule="auto"/>
              <w:jc w:val="right"/>
            </w:pPr>
            <w:r w:rsidRPr="00913E1A">
              <w:t xml:space="preserve">Reconnections </w:t>
            </w:r>
            <w:r>
              <w:br/>
            </w:r>
            <w:r w:rsidRPr="00913E1A">
              <w:t>(% of disconnections)</w:t>
            </w:r>
          </w:p>
        </w:tc>
        <w:tc>
          <w:tcPr>
            <w:tcW w:w="2551" w:type="dxa"/>
            <w:noWrap/>
            <w:hideMark/>
          </w:tcPr>
          <w:p w:rsidR="00980FDB" w:rsidRPr="00913E1A" w:rsidRDefault="00980FDB" w:rsidP="00980FDB">
            <w:pPr>
              <w:spacing w:after="200" w:line="276" w:lineRule="auto"/>
              <w:jc w:val="right"/>
            </w:pPr>
            <w:r w:rsidRPr="00913E1A">
              <w:t>% of reconnections that occurred within 7 days</w:t>
            </w:r>
          </w:p>
        </w:tc>
      </w:tr>
      <w:tr w:rsidR="00980FDB" w:rsidRPr="00913E1A" w:rsidTr="00534288">
        <w:trPr>
          <w:trHeight w:val="300"/>
        </w:trPr>
        <w:tc>
          <w:tcPr>
            <w:tcW w:w="2235" w:type="dxa"/>
            <w:noWrap/>
            <w:hideMark/>
          </w:tcPr>
          <w:p w:rsidR="00980FDB" w:rsidRPr="006E76B9" w:rsidRDefault="00980FDB" w:rsidP="00980FDB">
            <w:pPr>
              <w:rPr>
                <w:b/>
                <w:i/>
              </w:rPr>
            </w:pPr>
            <w:r w:rsidRPr="006E76B9">
              <w:rPr>
                <w:b/>
                <w:i/>
              </w:rPr>
              <w:t>South Australia</w:t>
            </w:r>
          </w:p>
        </w:tc>
        <w:tc>
          <w:tcPr>
            <w:tcW w:w="2409" w:type="dxa"/>
            <w:gridSpan w:val="2"/>
            <w:noWrap/>
            <w:hideMark/>
          </w:tcPr>
          <w:p w:rsidR="00980FDB" w:rsidRPr="009E4964" w:rsidRDefault="00980FDB" w:rsidP="00980FDB">
            <w:pPr>
              <w:rPr>
                <w:b/>
              </w:rPr>
            </w:pPr>
          </w:p>
        </w:tc>
        <w:tc>
          <w:tcPr>
            <w:tcW w:w="2552" w:type="dxa"/>
            <w:noWrap/>
            <w:hideMark/>
          </w:tcPr>
          <w:p w:rsidR="00980FDB" w:rsidRPr="009E4964" w:rsidRDefault="00980FDB" w:rsidP="00980FDB">
            <w:pPr>
              <w:rPr>
                <w:b/>
              </w:rPr>
            </w:pPr>
          </w:p>
        </w:tc>
        <w:tc>
          <w:tcPr>
            <w:tcW w:w="2551" w:type="dxa"/>
            <w:noWrap/>
            <w:hideMark/>
          </w:tcPr>
          <w:p w:rsidR="00980FDB" w:rsidRPr="009E4964" w:rsidRDefault="00980FDB" w:rsidP="00980FDB">
            <w:pPr>
              <w:rPr>
                <w:b/>
              </w:rPr>
            </w:pP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AGL</w:t>
            </w:r>
          </w:p>
        </w:tc>
        <w:tc>
          <w:tcPr>
            <w:tcW w:w="1204" w:type="dxa"/>
            <w:noWrap/>
            <w:hideMark/>
          </w:tcPr>
          <w:p w:rsidR="00980FDB" w:rsidRPr="009E4964" w:rsidRDefault="00980FDB" w:rsidP="00980FDB">
            <w:pPr>
              <w:jc w:val="right"/>
              <w:rPr>
                <w:bCs/>
              </w:rPr>
            </w:pPr>
            <w:r w:rsidRPr="009E4964">
              <w:rPr>
                <w:bCs/>
              </w:rPr>
              <w:t xml:space="preserve">1.21 </w:t>
            </w:r>
          </w:p>
        </w:tc>
        <w:tc>
          <w:tcPr>
            <w:tcW w:w="1205" w:type="dxa"/>
          </w:tcPr>
          <w:p w:rsidR="00980FDB" w:rsidRPr="009E4964" w:rsidRDefault="00980FDB" w:rsidP="00980FDB">
            <w:pPr>
              <w:jc w:val="right"/>
              <w:rPr>
                <w:bCs/>
              </w:rPr>
            </w:pPr>
            <w:r w:rsidRPr="009E4964">
              <w:rPr>
                <w:bCs/>
              </w:rPr>
              <w:t>(-0.49)</w:t>
            </w:r>
          </w:p>
        </w:tc>
        <w:tc>
          <w:tcPr>
            <w:tcW w:w="2552" w:type="dxa"/>
            <w:noWrap/>
            <w:hideMark/>
          </w:tcPr>
          <w:p w:rsidR="00980FDB" w:rsidRPr="009E4964" w:rsidRDefault="00980FDB" w:rsidP="00980FDB">
            <w:pPr>
              <w:jc w:val="right"/>
              <w:rPr>
                <w:bCs/>
              </w:rPr>
            </w:pPr>
            <w:r w:rsidRPr="009E4964">
              <w:rPr>
                <w:bCs/>
              </w:rPr>
              <w:t>40%</w:t>
            </w:r>
          </w:p>
        </w:tc>
        <w:tc>
          <w:tcPr>
            <w:tcW w:w="2551" w:type="dxa"/>
            <w:noWrap/>
            <w:hideMark/>
          </w:tcPr>
          <w:p w:rsidR="00980FDB" w:rsidRPr="009E4964" w:rsidRDefault="00980FDB" w:rsidP="00980FDB">
            <w:pPr>
              <w:jc w:val="right"/>
              <w:rPr>
                <w:bCs/>
              </w:rPr>
            </w:pPr>
            <w:r w:rsidRPr="009E4964">
              <w:rPr>
                <w:bCs/>
              </w:rPr>
              <w:t>92%</w:t>
            </w:r>
          </w:p>
        </w:tc>
      </w:tr>
      <w:tr w:rsidR="00980FDB" w:rsidRPr="00913E1A" w:rsidTr="00534288">
        <w:trPr>
          <w:trHeight w:val="300"/>
        </w:trPr>
        <w:tc>
          <w:tcPr>
            <w:tcW w:w="2235" w:type="dxa"/>
            <w:noWrap/>
            <w:hideMark/>
          </w:tcPr>
          <w:p w:rsidR="00980FDB" w:rsidRPr="009E4964" w:rsidRDefault="00980FDB" w:rsidP="00980FDB">
            <w:pPr>
              <w:rPr>
                <w:b/>
              </w:rPr>
            </w:pPr>
            <w:r w:rsidRPr="009E4964">
              <w:t>Alinta Energy</w:t>
            </w:r>
          </w:p>
        </w:tc>
        <w:tc>
          <w:tcPr>
            <w:tcW w:w="1204" w:type="dxa"/>
            <w:noWrap/>
            <w:hideMark/>
          </w:tcPr>
          <w:p w:rsidR="00980FDB" w:rsidRPr="009E4964" w:rsidRDefault="00980FDB" w:rsidP="00980FDB">
            <w:pPr>
              <w:jc w:val="right"/>
            </w:pPr>
            <w:r w:rsidRPr="009E4964">
              <w:t xml:space="preserve">4.84 </w:t>
            </w:r>
          </w:p>
        </w:tc>
        <w:tc>
          <w:tcPr>
            <w:tcW w:w="1205" w:type="dxa"/>
          </w:tcPr>
          <w:p w:rsidR="00980FDB" w:rsidRPr="009E4964" w:rsidRDefault="00980FDB" w:rsidP="00980FDB">
            <w:pPr>
              <w:jc w:val="right"/>
            </w:pPr>
            <w:r w:rsidRPr="009E4964">
              <w:t>(-3.02)</w:t>
            </w:r>
          </w:p>
        </w:tc>
        <w:tc>
          <w:tcPr>
            <w:tcW w:w="2552" w:type="dxa"/>
            <w:noWrap/>
            <w:hideMark/>
          </w:tcPr>
          <w:p w:rsidR="00980FDB" w:rsidRPr="009E4964" w:rsidRDefault="00980FDB" w:rsidP="00980FDB">
            <w:pPr>
              <w:jc w:val="right"/>
            </w:pPr>
            <w:r w:rsidRPr="009E4964">
              <w:t>49%</w:t>
            </w:r>
          </w:p>
        </w:tc>
        <w:tc>
          <w:tcPr>
            <w:tcW w:w="2551" w:type="dxa"/>
            <w:noWrap/>
            <w:hideMark/>
          </w:tcPr>
          <w:p w:rsidR="00980FDB" w:rsidRPr="009E4964" w:rsidRDefault="00980FDB" w:rsidP="00980FDB">
            <w:pPr>
              <w:jc w:val="right"/>
            </w:pPr>
            <w:r w:rsidRPr="009E4964">
              <w:t>92%</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Diamond Energy</w:t>
            </w:r>
          </w:p>
        </w:tc>
        <w:tc>
          <w:tcPr>
            <w:tcW w:w="1204" w:type="dxa"/>
            <w:noWrap/>
            <w:hideMark/>
          </w:tcPr>
          <w:p w:rsidR="00980FDB" w:rsidRPr="009E4964" w:rsidRDefault="00980FDB" w:rsidP="00980FDB">
            <w:pPr>
              <w:jc w:val="right"/>
              <w:rPr>
                <w:bCs/>
              </w:rPr>
            </w:pPr>
            <w:r w:rsidRPr="009E4964">
              <w:rPr>
                <w:bCs/>
              </w:rPr>
              <w:t xml:space="preserve">0 </w:t>
            </w:r>
          </w:p>
        </w:tc>
        <w:tc>
          <w:tcPr>
            <w:tcW w:w="1205" w:type="dxa"/>
          </w:tcPr>
          <w:p w:rsidR="00980FDB" w:rsidRPr="009E4964" w:rsidRDefault="00980FDB" w:rsidP="00980FDB">
            <w:pPr>
              <w:jc w:val="right"/>
              <w:rPr>
                <w:bCs/>
              </w:rPr>
            </w:pPr>
            <w:r w:rsidRPr="009E4964">
              <w:rPr>
                <w:bCs/>
              </w:rPr>
              <w:t>(-1.46)</w:t>
            </w:r>
          </w:p>
        </w:tc>
        <w:tc>
          <w:tcPr>
            <w:tcW w:w="2552" w:type="dxa"/>
            <w:noWrap/>
            <w:hideMark/>
          </w:tcPr>
          <w:p w:rsidR="00980FDB" w:rsidRPr="009E4964" w:rsidRDefault="00980FDB" w:rsidP="00980FDB">
            <w:pPr>
              <w:jc w:val="right"/>
              <w:rPr>
                <w:bCs/>
              </w:rPr>
            </w:pPr>
            <w:r w:rsidRPr="009E4964">
              <w:rPr>
                <w:bCs/>
              </w:rPr>
              <w:t>-</w:t>
            </w:r>
          </w:p>
        </w:tc>
        <w:tc>
          <w:tcPr>
            <w:tcW w:w="2551" w:type="dxa"/>
            <w:noWrap/>
            <w:hideMark/>
          </w:tcPr>
          <w:p w:rsidR="00980FDB" w:rsidRPr="009E4964" w:rsidRDefault="00980FDB" w:rsidP="00980FDB">
            <w:pPr>
              <w:jc w:val="right"/>
              <w:rPr>
                <w:bCs/>
              </w:rPr>
            </w:pPr>
            <w:r w:rsidRPr="009E4964">
              <w:rPr>
                <w:bCs/>
              </w:rPr>
              <w:t>-</w:t>
            </w:r>
          </w:p>
        </w:tc>
      </w:tr>
      <w:tr w:rsidR="00980FDB" w:rsidRPr="00913E1A" w:rsidTr="00534288">
        <w:trPr>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pPr>
            <w:r w:rsidRPr="009E4964">
              <w:t xml:space="preserve">0.53 </w:t>
            </w:r>
          </w:p>
        </w:tc>
        <w:tc>
          <w:tcPr>
            <w:tcW w:w="1205" w:type="dxa"/>
          </w:tcPr>
          <w:p w:rsidR="00980FDB" w:rsidRPr="009E4964" w:rsidRDefault="00980FDB" w:rsidP="00980FDB">
            <w:pPr>
              <w:jc w:val="right"/>
            </w:pPr>
            <w:r w:rsidRPr="009E4964">
              <w:t>(+0.32)</w:t>
            </w:r>
          </w:p>
        </w:tc>
        <w:tc>
          <w:tcPr>
            <w:tcW w:w="2552" w:type="dxa"/>
            <w:noWrap/>
            <w:hideMark/>
          </w:tcPr>
          <w:p w:rsidR="00980FDB" w:rsidRPr="009E4964" w:rsidRDefault="00980FDB" w:rsidP="00980FDB">
            <w:pPr>
              <w:jc w:val="right"/>
            </w:pPr>
            <w:r w:rsidRPr="009E4964">
              <w:t>36%</w:t>
            </w:r>
          </w:p>
        </w:tc>
        <w:tc>
          <w:tcPr>
            <w:tcW w:w="2551" w:type="dxa"/>
            <w:noWrap/>
            <w:hideMark/>
          </w:tcPr>
          <w:p w:rsidR="00980FDB" w:rsidRPr="009E4964" w:rsidRDefault="00980FDB" w:rsidP="00980FDB">
            <w:pPr>
              <w:jc w:val="right"/>
            </w:pPr>
            <w:r w:rsidRPr="009E4964">
              <w:t>56%</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Lumo Energy</w:t>
            </w:r>
          </w:p>
        </w:tc>
        <w:tc>
          <w:tcPr>
            <w:tcW w:w="1204" w:type="dxa"/>
            <w:noWrap/>
            <w:hideMark/>
          </w:tcPr>
          <w:p w:rsidR="00980FDB" w:rsidRPr="009E4964" w:rsidRDefault="00980FDB" w:rsidP="00980FDB">
            <w:pPr>
              <w:jc w:val="right"/>
              <w:rPr>
                <w:bCs/>
              </w:rPr>
            </w:pPr>
            <w:r w:rsidRPr="009E4964">
              <w:rPr>
                <w:bCs/>
              </w:rPr>
              <w:t xml:space="preserve">1.23 </w:t>
            </w:r>
          </w:p>
        </w:tc>
        <w:tc>
          <w:tcPr>
            <w:tcW w:w="1205" w:type="dxa"/>
          </w:tcPr>
          <w:p w:rsidR="00980FDB" w:rsidRPr="009E4964" w:rsidRDefault="00980FDB" w:rsidP="00980FDB">
            <w:pPr>
              <w:jc w:val="right"/>
              <w:rPr>
                <w:bCs/>
              </w:rPr>
            </w:pPr>
            <w:r w:rsidRPr="009E4964">
              <w:rPr>
                <w:bCs/>
              </w:rPr>
              <w:t>(+0.23)</w:t>
            </w:r>
          </w:p>
        </w:tc>
        <w:tc>
          <w:tcPr>
            <w:tcW w:w="2552" w:type="dxa"/>
            <w:noWrap/>
            <w:hideMark/>
          </w:tcPr>
          <w:p w:rsidR="00980FDB" w:rsidRPr="009E4964" w:rsidRDefault="00980FDB" w:rsidP="00980FDB">
            <w:pPr>
              <w:jc w:val="right"/>
              <w:rPr>
                <w:bCs/>
              </w:rPr>
            </w:pPr>
            <w:r w:rsidRPr="009E4964">
              <w:rPr>
                <w:bCs/>
              </w:rPr>
              <w:t>25%</w:t>
            </w:r>
          </w:p>
        </w:tc>
        <w:tc>
          <w:tcPr>
            <w:tcW w:w="2551" w:type="dxa"/>
            <w:noWrap/>
            <w:hideMark/>
          </w:tcPr>
          <w:p w:rsidR="00980FDB" w:rsidRPr="009E4964" w:rsidRDefault="00980FDB" w:rsidP="00980FDB">
            <w:pPr>
              <w:jc w:val="right"/>
              <w:rPr>
                <w:bCs/>
              </w:rPr>
            </w:pPr>
            <w:r w:rsidRPr="009E4964">
              <w:rPr>
                <w:bCs/>
              </w:rPr>
              <w:t>98%</w:t>
            </w:r>
          </w:p>
        </w:tc>
      </w:tr>
      <w:tr w:rsidR="00980FDB" w:rsidRPr="00913E1A" w:rsidTr="00534288">
        <w:trPr>
          <w:trHeight w:val="300"/>
        </w:trPr>
        <w:tc>
          <w:tcPr>
            <w:tcW w:w="2235" w:type="dxa"/>
            <w:noWrap/>
            <w:hideMark/>
          </w:tcPr>
          <w:p w:rsidR="00980FDB" w:rsidRPr="009E4964" w:rsidRDefault="00980FDB" w:rsidP="00980FDB">
            <w:pPr>
              <w:rPr>
                <w:b/>
              </w:rPr>
            </w:pPr>
            <w:r w:rsidRPr="009E4964">
              <w:t>Momentum Energy</w:t>
            </w:r>
          </w:p>
        </w:tc>
        <w:tc>
          <w:tcPr>
            <w:tcW w:w="1204" w:type="dxa"/>
            <w:noWrap/>
            <w:hideMark/>
          </w:tcPr>
          <w:p w:rsidR="00980FDB" w:rsidRPr="009E4964" w:rsidRDefault="00980FDB" w:rsidP="00980FDB">
            <w:pPr>
              <w:jc w:val="right"/>
            </w:pPr>
            <w:r w:rsidRPr="009E4964">
              <w:t xml:space="preserve">0.94 </w:t>
            </w:r>
          </w:p>
        </w:tc>
        <w:tc>
          <w:tcPr>
            <w:tcW w:w="1205" w:type="dxa"/>
          </w:tcPr>
          <w:p w:rsidR="00980FDB" w:rsidRPr="009E4964" w:rsidRDefault="00980FDB" w:rsidP="00980FDB">
            <w:pPr>
              <w:jc w:val="right"/>
            </w:pPr>
            <w:r w:rsidRPr="009E4964">
              <w:t>(+0.33)</w:t>
            </w:r>
          </w:p>
        </w:tc>
        <w:tc>
          <w:tcPr>
            <w:tcW w:w="2552" w:type="dxa"/>
            <w:noWrap/>
            <w:hideMark/>
          </w:tcPr>
          <w:p w:rsidR="00980FDB" w:rsidRPr="00FD2F43" w:rsidRDefault="00FD2F43" w:rsidP="00980FDB">
            <w:pPr>
              <w:jc w:val="right"/>
            </w:pPr>
            <w:r w:rsidRPr="00FD2F43">
              <w:t>98</w:t>
            </w:r>
            <w:r w:rsidR="00980FDB" w:rsidRPr="00FD2F43">
              <w:t>%</w:t>
            </w:r>
          </w:p>
        </w:tc>
        <w:tc>
          <w:tcPr>
            <w:tcW w:w="2551" w:type="dxa"/>
            <w:noWrap/>
            <w:hideMark/>
          </w:tcPr>
          <w:p w:rsidR="00980FDB" w:rsidRPr="00FD2F43" w:rsidRDefault="00FD2F43" w:rsidP="00980FDB">
            <w:pPr>
              <w:jc w:val="right"/>
            </w:pPr>
            <w:r w:rsidRPr="00FD2F43">
              <w:t>52</w:t>
            </w:r>
            <w:r w:rsidR="00980FDB" w:rsidRPr="00FD2F43">
              <w:t>%</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Origin Energy</w:t>
            </w:r>
          </w:p>
        </w:tc>
        <w:tc>
          <w:tcPr>
            <w:tcW w:w="1204" w:type="dxa"/>
            <w:noWrap/>
            <w:hideMark/>
          </w:tcPr>
          <w:p w:rsidR="00980FDB" w:rsidRPr="009E4964" w:rsidRDefault="00980FDB" w:rsidP="00980FDB">
            <w:pPr>
              <w:jc w:val="right"/>
              <w:rPr>
                <w:bCs/>
              </w:rPr>
            </w:pPr>
            <w:r w:rsidRPr="009E4964">
              <w:rPr>
                <w:bCs/>
              </w:rPr>
              <w:t xml:space="preserve">1.46 </w:t>
            </w:r>
          </w:p>
        </w:tc>
        <w:tc>
          <w:tcPr>
            <w:tcW w:w="1205" w:type="dxa"/>
          </w:tcPr>
          <w:p w:rsidR="00980FDB" w:rsidRPr="009E4964" w:rsidRDefault="00980FDB" w:rsidP="00980FDB">
            <w:pPr>
              <w:jc w:val="right"/>
              <w:rPr>
                <w:bCs/>
              </w:rPr>
            </w:pPr>
            <w:r w:rsidRPr="009E4964">
              <w:rPr>
                <w:bCs/>
              </w:rPr>
              <w:t>(+0.31)</w:t>
            </w:r>
          </w:p>
        </w:tc>
        <w:tc>
          <w:tcPr>
            <w:tcW w:w="2552" w:type="dxa"/>
            <w:noWrap/>
            <w:hideMark/>
          </w:tcPr>
          <w:p w:rsidR="00980FDB" w:rsidRPr="009E4964" w:rsidRDefault="00980FDB" w:rsidP="00980FDB">
            <w:pPr>
              <w:jc w:val="right"/>
              <w:rPr>
                <w:bCs/>
              </w:rPr>
            </w:pPr>
            <w:r w:rsidRPr="009E4964">
              <w:rPr>
                <w:bCs/>
              </w:rPr>
              <w:t>53%</w:t>
            </w:r>
          </w:p>
        </w:tc>
        <w:tc>
          <w:tcPr>
            <w:tcW w:w="2551" w:type="dxa"/>
            <w:noWrap/>
            <w:hideMark/>
          </w:tcPr>
          <w:p w:rsidR="00980FDB" w:rsidRPr="009E4964" w:rsidRDefault="00980FDB" w:rsidP="00980FDB">
            <w:pPr>
              <w:jc w:val="right"/>
              <w:rPr>
                <w:bCs/>
              </w:rPr>
            </w:pPr>
            <w:r w:rsidRPr="009E4964">
              <w:rPr>
                <w:bCs/>
              </w:rPr>
              <w:t>88%</w:t>
            </w:r>
          </w:p>
        </w:tc>
      </w:tr>
      <w:tr w:rsidR="00980FDB" w:rsidRPr="00913E1A" w:rsidTr="00534288">
        <w:trPr>
          <w:trHeight w:val="300"/>
        </w:trPr>
        <w:tc>
          <w:tcPr>
            <w:tcW w:w="2235" w:type="dxa"/>
            <w:noWrap/>
            <w:hideMark/>
          </w:tcPr>
          <w:p w:rsidR="00980FDB" w:rsidRPr="009E4964" w:rsidRDefault="00980FDB" w:rsidP="00980FDB">
            <w:pPr>
              <w:rPr>
                <w:b/>
              </w:rPr>
            </w:pPr>
            <w:r w:rsidRPr="009E4964">
              <w:t>Powerdirect</w:t>
            </w:r>
          </w:p>
        </w:tc>
        <w:tc>
          <w:tcPr>
            <w:tcW w:w="1204" w:type="dxa"/>
            <w:noWrap/>
            <w:hideMark/>
          </w:tcPr>
          <w:p w:rsidR="00980FDB" w:rsidRPr="009E4964" w:rsidRDefault="00980FDB" w:rsidP="00980FDB">
            <w:pPr>
              <w:jc w:val="right"/>
            </w:pPr>
            <w:r w:rsidRPr="009E4964">
              <w:t xml:space="preserve">0.68 </w:t>
            </w:r>
          </w:p>
        </w:tc>
        <w:tc>
          <w:tcPr>
            <w:tcW w:w="1205" w:type="dxa"/>
          </w:tcPr>
          <w:p w:rsidR="00980FDB" w:rsidRPr="009E4964" w:rsidRDefault="00980FDB" w:rsidP="00980FDB">
            <w:pPr>
              <w:jc w:val="right"/>
            </w:pPr>
            <w:r w:rsidRPr="009E4964">
              <w:t>(+0.11)</w:t>
            </w:r>
          </w:p>
        </w:tc>
        <w:tc>
          <w:tcPr>
            <w:tcW w:w="2552" w:type="dxa"/>
            <w:noWrap/>
            <w:hideMark/>
          </w:tcPr>
          <w:p w:rsidR="00980FDB" w:rsidRPr="009E4964" w:rsidRDefault="00980FDB" w:rsidP="00980FDB">
            <w:pPr>
              <w:jc w:val="right"/>
            </w:pPr>
            <w:r w:rsidRPr="009E4964">
              <w:t>46%</w:t>
            </w:r>
          </w:p>
        </w:tc>
        <w:tc>
          <w:tcPr>
            <w:tcW w:w="2551" w:type="dxa"/>
            <w:noWrap/>
            <w:hideMark/>
          </w:tcPr>
          <w:p w:rsidR="00980FDB" w:rsidRPr="009E4964" w:rsidRDefault="00980FDB" w:rsidP="00980FDB">
            <w:pPr>
              <w:jc w:val="right"/>
            </w:pPr>
            <w:r w:rsidRPr="009E4964">
              <w:t>100%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722C58">
            <w:pPr>
              <w:rPr>
                <w:b/>
              </w:rPr>
            </w:pPr>
            <w:r w:rsidRPr="009E4964">
              <w:t>Q</w:t>
            </w:r>
            <w:r w:rsidR="00722C58">
              <w:t>E</w:t>
            </w:r>
            <w:r w:rsidRPr="009E4964">
              <w:t>nergy</w:t>
            </w:r>
          </w:p>
        </w:tc>
        <w:tc>
          <w:tcPr>
            <w:tcW w:w="1204" w:type="dxa"/>
            <w:noWrap/>
            <w:hideMark/>
          </w:tcPr>
          <w:p w:rsidR="00980FDB" w:rsidRPr="009E4964" w:rsidRDefault="00980FDB" w:rsidP="00980FDB">
            <w:pPr>
              <w:jc w:val="right"/>
              <w:rPr>
                <w:bCs/>
              </w:rPr>
            </w:pPr>
            <w:r w:rsidRPr="009E4964">
              <w:rPr>
                <w:bCs/>
              </w:rPr>
              <w:t xml:space="preserve">0 </w:t>
            </w:r>
          </w:p>
        </w:tc>
        <w:tc>
          <w:tcPr>
            <w:tcW w:w="1205" w:type="dxa"/>
          </w:tcPr>
          <w:p w:rsidR="00980FDB" w:rsidRPr="009E4964" w:rsidRDefault="00980FDB" w:rsidP="00980FDB">
            <w:pPr>
              <w:jc w:val="right"/>
              <w:rPr>
                <w:bCs/>
              </w:rPr>
            </w:pPr>
            <w:r w:rsidRPr="009E4964">
              <w:rPr>
                <w:bCs/>
              </w:rPr>
              <w:t>(-11.11)</w:t>
            </w:r>
          </w:p>
        </w:tc>
        <w:tc>
          <w:tcPr>
            <w:tcW w:w="2552" w:type="dxa"/>
            <w:noWrap/>
            <w:hideMark/>
          </w:tcPr>
          <w:p w:rsidR="00980FDB" w:rsidRPr="009E4964" w:rsidRDefault="00980FDB" w:rsidP="00980FDB">
            <w:pPr>
              <w:jc w:val="right"/>
              <w:rPr>
                <w:bCs/>
              </w:rPr>
            </w:pPr>
            <w:r w:rsidRPr="009E4964">
              <w:rPr>
                <w:bCs/>
              </w:rPr>
              <w:t>-</w:t>
            </w:r>
          </w:p>
        </w:tc>
        <w:tc>
          <w:tcPr>
            <w:tcW w:w="2551" w:type="dxa"/>
            <w:noWrap/>
            <w:hideMark/>
          </w:tcPr>
          <w:p w:rsidR="00980FDB" w:rsidRPr="009E4964" w:rsidRDefault="00980FDB" w:rsidP="00980FDB">
            <w:pPr>
              <w:jc w:val="right"/>
              <w:rPr>
                <w:bCs/>
              </w:rPr>
            </w:pPr>
            <w:r w:rsidRPr="009E4964">
              <w:rPr>
                <w:bCs/>
              </w:rPr>
              <w:t>-</w:t>
            </w:r>
          </w:p>
        </w:tc>
      </w:tr>
      <w:tr w:rsidR="00980FDB" w:rsidRPr="00913E1A" w:rsidTr="00534288">
        <w:trPr>
          <w:trHeight w:val="300"/>
        </w:trPr>
        <w:tc>
          <w:tcPr>
            <w:tcW w:w="2235" w:type="dxa"/>
            <w:noWrap/>
            <w:hideMark/>
          </w:tcPr>
          <w:p w:rsidR="00980FDB" w:rsidRPr="009E4964" w:rsidRDefault="00980FDB" w:rsidP="00980FDB">
            <w:pPr>
              <w:rPr>
                <w:b/>
              </w:rPr>
            </w:pPr>
            <w:r w:rsidRPr="009E4964">
              <w:t>Red Energy</w:t>
            </w:r>
          </w:p>
        </w:tc>
        <w:tc>
          <w:tcPr>
            <w:tcW w:w="1204" w:type="dxa"/>
            <w:noWrap/>
            <w:hideMark/>
          </w:tcPr>
          <w:p w:rsidR="00980FDB" w:rsidRPr="009E4964" w:rsidRDefault="00980FDB" w:rsidP="00980FDB">
            <w:pPr>
              <w:jc w:val="right"/>
            </w:pPr>
            <w:r w:rsidRPr="009E4964">
              <w:t xml:space="preserve">1.14 </w:t>
            </w:r>
          </w:p>
        </w:tc>
        <w:tc>
          <w:tcPr>
            <w:tcW w:w="1205" w:type="dxa"/>
          </w:tcPr>
          <w:p w:rsidR="00980FDB" w:rsidRPr="009E4964" w:rsidRDefault="00980FDB" w:rsidP="00980FDB">
            <w:pPr>
              <w:jc w:val="right"/>
            </w:pPr>
            <w:r w:rsidRPr="009E4964">
              <w:t>(-0.48)</w:t>
            </w:r>
          </w:p>
        </w:tc>
        <w:tc>
          <w:tcPr>
            <w:tcW w:w="2552" w:type="dxa"/>
            <w:noWrap/>
            <w:hideMark/>
          </w:tcPr>
          <w:p w:rsidR="00980FDB" w:rsidRPr="009E4964" w:rsidRDefault="00980FDB" w:rsidP="00980FDB">
            <w:pPr>
              <w:jc w:val="right"/>
            </w:pPr>
            <w:r w:rsidRPr="009E4964">
              <w:t>12%</w:t>
            </w:r>
          </w:p>
        </w:tc>
        <w:tc>
          <w:tcPr>
            <w:tcW w:w="2551" w:type="dxa"/>
            <w:noWrap/>
            <w:hideMark/>
          </w:tcPr>
          <w:p w:rsidR="00980FDB" w:rsidRPr="009E4964" w:rsidRDefault="00980FDB" w:rsidP="00980FDB">
            <w:pPr>
              <w:jc w:val="right"/>
            </w:pPr>
            <w:r w:rsidRPr="009E4964">
              <w:t>100%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Sanctuary Energy</w:t>
            </w:r>
          </w:p>
        </w:tc>
        <w:tc>
          <w:tcPr>
            <w:tcW w:w="1204" w:type="dxa"/>
            <w:noWrap/>
            <w:hideMark/>
          </w:tcPr>
          <w:p w:rsidR="00980FDB" w:rsidRPr="009E4964" w:rsidRDefault="00980FDB" w:rsidP="00980FDB">
            <w:pPr>
              <w:jc w:val="right"/>
              <w:rPr>
                <w:bCs/>
              </w:rPr>
            </w:pPr>
            <w:r w:rsidRPr="009E4964">
              <w:rPr>
                <w:bCs/>
              </w:rPr>
              <w:t xml:space="preserve">0.16 </w:t>
            </w:r>
          </w:p>
        </w:tc>
        <w:tc>
          <w:tcPr>
            <w:tcW w:w="1205" w:type="dxa"/>
          </w:tcPr>
          <w:p w:rsidR="00980FDB" w:rsidRPr="009E4964" w:rsidRDefault="00980FDB" w:rsidP="00980FDB">
            <w:pPr>
              <w:jc w:val="right"/>
              <w:rPr>
                <w:bCs/>
              </w:rPr>
            </w:pPr>
            <w:r w:rsidRPr="009E4964">
              <w:rPr>
                <w:bCs/>
              </w:rPr>
              <w:t>(+0.16)</w:t>
            </w:r>
          </w:p>
        </w:tc>
        <w:tc>
          <w:tcPr>
            <w:tcW w:w="2552" w:type="dxa"/>
            <w:noWrap/>
            <w:hideMark/>
          </w:tcPr>
          <w:p w:rsidR="00980FDB" w:rsidRPr="009E4964" w:rsidRDefault="00980FDB" w:rsidP="00980FDB">
            <w:pPr>
              <w:jc w:val="right"/>
              <w:rPr>
                <w:bCs/>
              </w:rPr>
            </w:pPr>
            <w:r w:rsidRPr="009E4964">
              <w:rPr>
                <w:bCs/>
              </w:rPr>
              <w:t>100%</w:t>
            </w:r>
          </w:p>
        </w:tc>
        <w:tc>
          <w:tcPr>
            <w:tcW w:w="2551" w:type="dxa"/>
            <w:noWrap/>
            <w:hideMark/>
          </w:tcPr>
          <w:p w:rsidR="00980FDB" w:rsidRPr="009E4964" w:rsidRDefault="00980FDB" w:rsidP="00980FDB">
            <w:pPr>
              <w:jc w:val="right"/>
              <w:rPr>
                <w:bCs/>
              </w:rPr>
            </w:pPr>
            <w:r w:rsidRPr="009E4964">
              <w:rPr>
                <w:bCs/>
              </w:rPr>
              <w:t>100%</w:t>
            </w:r>
          </w:p>
        </w:tc>
      </w:tr>
      <w:tr w:rsidR="00980FDB" w:rsidRPr="00913E1A" w:rsidTr="00534288">
        <w:trPr>
          <w:trHeight w:val="300"/>
        </w:trPr>
        <w:tc>
          <w:tcPr>
            <w:tcW w:w="2235" w:type="dxa"/>
            <w:noWrap/>
            <w:hideMark/>
          </w:tcPr>
          <w:p w:rsidR="00980FDB" w:rsidRPr="009E4964" w:rsidRDefault="00980FDB" w:rsidP="00980FDB">
            <w:pPr>
              <w:rPr>
                <w:b/>
              </w:rPr>
            </w:pPr>
            <w:r w:rsidRPr="009E4964">
              <w:t>Simply Energy</w:t>
            </w:r>
          </w:p>
        </w:tc>
        <w:tc>
          <w:tcPr>
            <w:tcW w:w="1204" w:type="dxa"/>
            <w:noWrap/>
            <w:hideMark/>
          </w:tcPr>
          <w:p w:rsidR="00980FDB" w:rsidRPr="009E4964" w:rsidRDefault="00980FDB" w:rsidP="00980FDB">
            <w:pPr>
              <w:jc w:val="right"/>
            </w:pPr>
            <w:r w:rsidRPr="009E4964">
              <w:t xml:space="preserve">2.08 </w:t>
            </w:r>
          </w:p>
        </w:tc>
        <w:tc>
          <w:tcPr>
            <w:tcW w:w="1205" w:type="dxa"/>
          </w:tcPr>
          <w:p w:rsidR="00980FDB" w:rsidRPr="009E4964" w:rsidRDefault="00980FDB" w:rsidP="00980FDB">
            <w:pPr>
              <w:jc w:val="right"/>
            </w:pPr>
            <w:r w:rsidRPr="009E4964">
              <w:t>(+0.36)</w:t>
            </w:r>
          </w:p>
        </w:tc>
        <w:tc>
          <w:tcPr>
            <w:tcW w:w="2552" w:type="dxa"/>
            <w:noWrap/>
            <w:hideMark/>
          </w:tcPr>
          <w:p w:rsidR="00980FDB" w:rsidRPr="009E4964" w:rsidRDefault="00980FDB" w:rsidP="00980FDB">
            <w:pPr>
              <w:jc w:val="right"/>
            </w:pPr>
            <w:r w:rsidRPr="009E4964">
              <w:t>55%</w:t>
            </w:r>
          </w:p>
        </w:tc>
        <w:tc>
          <w:tcPr>
            <w:tcW w:w="2551" w:type="dxa"/>
            <w:noWrap/>
            <w:hideMark/>
          </w:tcPr>
          <w:p w:rsidR="00980FDB" w:rsidRPr="009E4964" w:rsidRDefault="00980FDB" w:rsidP="00980FDB">
            <w:pPr>
              <w:jc w:val="right"/>
            </w:pPr>
            <w:r w:rsidRPr="009E4964">
              <w:t>72%</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6E76B9" w:rsidRDefault="00980FDB" w:rsidP="00980FDB">
            <w:pPr>
              <w:rPr>
                <w:b/>
              </w:rPr>
            </w:pPr>
            <w:r w:rsidRPr="006E76B9">
              <w:rPr>
                <w:b/>
              </w:rPr>
              <w:t>TOTAL SA</w:t>
            </w:r>
          </w:p>
        </w:tc>
        <w:tc>
          <w:tcPr>
            <w:tcW w:w="1204" w:type="dxa"/>
            <w:noWrap/>
            <w:hideMark/>
          </w:tcPr>
          <w:p w:rsidR="00980FDB" w:rsidRPr="009E4964" w:rsidRDefault="00980FDB" w:rsidP="00980FDB">
            <w:pPr>
              <w:jc w:val="right"/>
              <w:rPr>
                <w:b/>
                <w:bCs/>
              </w:rPr>
            </w:pPr>
            <w:r w:rsidRPr="009E4964">
              <w:rPr>
                <w:b/>
                <w:bCs/>
              </w:rPr>
              <w:t>1.37</w:t>
            </w:r>
          </w:p>
        </w:tc>
        <w:tc>
          <w:tcPr>
            <w:tcW w:w="1205" w:type="dxa"/>
          </w:tcPr>
          <w:p w:rsidR="00980FDB" w:rsidRPr="009E4964" w:rsidRDefault="00980FDB" w:rsidP="00980FDB">
            <w:pPr>
              <w:jc w:val="right"/>
              <w:rPr>
                <w:b/>
                <w:bCs/>
              </w:rPr>
            </w:pPr>
            <w:r w:rsidRPr="009E4964">
              <w:rPr>
                <w:b/>
                <w:bCs/>
              </w:rPr>
              <w:t>(-0.10)</w:t>
            </w:r>
          </w:p>
        </w:tc>
        <w:tc>
          <w:tcPr>
            <w:tcW w:w="2552" w:type="dxa"/>
            <w:noWrap/>
            <w:hideMark/>
          </w:tcPr>
          <w:p w:rsidR="00980FDB" w:rsidRPr="00FD2F43" w:rsidRDefault="00FD2F43" w:rsidP="00980FDB">
            <w:pPr>
              <w:jc w:val="right"/>
              <w:rPr>
                <w:b/>
                <w:bCs/>
              </w:rPr>
            </w:pPr>
            <w:r w:rsidRPr="00FD2F43">
              <w:rPr>
                <w:b/>
                <w:bCs/>
              </w:rPr>
              <w:t>45%</w:t>
            </w:r>
          </w:p>
        </w:tc>
        <w:tc>
          <w:tcPr>
            <w:tcW w:w="2551" w:type="dxa"/>
            <w:noWrap/>
            <w:hideMark/>
          </w:tcPr>
          <w:p w:rsidR="00980FDB" w:rsidRPr="00FD2F43" w:rsidRDefault="00FD2F43" w:rsidP="00980FDB">
            <w:pPr>
              <w:jc w:val="right"/>
              <w:rPr>
                <w:b/>
                <w:bCs/>
              </w:rPr>
            </w:pPr>
            <w:r w:rsidRPr="00FD2F43">
              <w:rPr>
                <w:b/>
                <w:bCs/>
              </w:rPr>
              <w:t>86% </w:t>
            </w:r>
          </w:p>
        </w:tc>
      </w:tr>
      <w:tr w:rsidR="00980FDB" w:rsidRPr="00913E1A" w:rsidTr="00534288">
        <w:trPr>
          <w:trHeight w:val="300"/>
        </w:trPr>
        <w:tc>
          <w:tcPr>
            <w:tcW w:w="2235" w:type="dxa"/>
            <w:noWrap/>
            <w:hideMark/>
          </w:tcPr>
          <w:p w:rsidR="00980FDB" w:rsidRPr="006E76B9" w:rsidRDefault="00980FDB" w:rsidP="00980FDB">
            <w:pPr>
              <w:rPr>
                <w:b/>
                <w:i/>
              </w:rPr>
            </w:pPr>
            <w:r w:rsidRPr="006E76B9">
              <w:rPr>
                <w:b/>
                <w:i/>
              </w:rPr>
              <w:t>ACT</w:t>
            </w:r>
          </w:p>
        </w:tc>
        <w:tc>
          <w:tcPr>
            <w:tcW w:w="1204" w:type="dxa"/>
            <w:noWrap/>
            <w:hideMark/>
          </w:tcPr>
          <w:p w:rsidR="00980FDB" w:rsidRPr="009E4964" w:rsidRDefault="00980FDB" w:rsidP="00980FDB">
            <w:pPr>
              <w:jc w:val="right"/>
            </w:pPr>
          </w:p>
        </w:tc>
        <w:tc>
          <w:tcPr>
            <w:tcW w:w="1205" w:type="dxa"/>
          </w:tcPr>
          <w:p w:rsidR="00980FDB" w:rsidRPr="009E4964" w:rsidRDefault="00980FDB" w:rsidP="00980FDB">
            <w:pPr>
              <w:jc w:val="right"/>
            </w:pPr>
          </w:p>
        </w:tc>
        <w:tc>
          <w:tcPr>
            <w:tcW w:w="2552" w:type="dxa"/>
            <w:noWrap/>
            <w:hideMark/>
          </w:tcPr>
          <w:p w:rsidR="00980FDB" w:rsidRPr="009E4964" w:rsidRDefault="00980FDB" w:rsidP="00980FDB">
            <w:pPr>
              <w:jc w:val="right"/>
            </w:pPr>
          </w:p>
        </w:tc>
        <w:tc>
          <w:tcPr>
            <w:tcW w:w="2551" w:type="dxa"/>
            <w:noWrap/>
            <w:hideMark/>
          </w:tcPr>
          <w:p w:rsidR="00980FDB" w:rsidRPr="009E4964" w:rsidRDefault="00980FDB" w:rsidP="00980FDB">
            <w:pPr>
              <w:jc w:val="right"/>
            </w:pP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ActewAGL</w:t>
            </w:r>
          </w:p>
        </w:tc>
        <w:tc>
          <w:tcPr>
            <w:tcW w:w="1204" w:type="dxa"/>
            <w:noWrap/>
            <w:hideMark/>
          </w:tcPr>
          <w:p w:rsidR="00980FDB" w:rsidRPr="009E4964" w:rsidRDefault="00980FDB" w:rsidP="00980FDB">
            <w:pPr>
              <w:jc w:val="right"/>
              <w:rPr>
                <w:bCs/>
              </w:rPr>
            </w:pPr>
            <w:r w:rsidRPr="009E4964">
              <w:rPr>
                <w:bCs/>
              </w:rPr>
              <w:t xml:space="preserve">0.16 </w:t>
            </w:r>
          </w:p>
        </w:tc>
        <w:tc>
          <w:tcPr>
            <w:tcW w:w="1205" w:type="dxa"/>
          </w:tcPr>
          <w:p w:rsidR="00980FDB" w:rsidRPr="009E4964" w:rsidRDefault="00980FDB" w:rsidP="00980FDB">
            <w:pPr>
              <w:jc w:val="right"/>
              <w:rPr>
                <w:bCs/>
              </w:rPr>
            </w:pPr>
            <w:r w:rsidRPr="009E4964">
              <w:rPr>
                <w:bCs/>
              </w:rPr>
              <w:t>(+0.11)</w:t>
            </w:r>
          </w:p>
        </w:tc>
        <w:tc>
          <w:tcPr>
            <w:tcW w:w="2552" w:type="dxa"/>
            <w:noWrap/>
            <w:hideMark/>
          </w:tcPr>
          <w:p w:rsidR="00980FDB" w:rsidRPr="009E4964" w:rsidRDefault="00980FDB" w:rsidP="00980FDB">
            <w:pPr>
              <w:jc w:val="right"/>
              <w:rPr>
                <w:bCs/>
              </w:rPr>
            </w:pPr>
            <w:r w:rsidRPr="009E4964">
              <w:rPr>
                <w:bCs/>
              </w:rPr>
              <w:t>60%</w:t>
            </w:r>
          </w:p>
        </w:tc>
        <w:tc>
          <w:tcPr>
            <w:tcW w:w="2551" w:type="dxa"/>
            <w:noWrap/>
            <w:hideMark/>
          </w:tcPr>
          <w:p w:rsidR="00980FDB" w:rsidRPr="009E4964" w:rsidRDefault="00980FDB" w:rsidP="00980FDB">
            <w:pPr>
              <w:jc w:val="right"/>
              <w:rPr>
                <w:bCs/>
              </w:rPr>
            </w:pPr>
            <w:r w:rsidRPr="009E4964">
              <w:rPr>
                <w:bCs/>
              </w:rPr>
              <w:t>90%</w:t>
            </w:r>
          </w:p>
        </w:tc>
      </w:tr>
      <w:tr w:rsidR="00980FDB" w:rsidRPr="00913E1A" w:rsidTr="00534288">
        <w:trPr>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pPr>
            <w:r w:rsidRPr="009E4964">
              <w:t xml:space="preserve">0.57 </w:t>
            </w:r>
          </w:p>
        </w:tc>
        <w:tc>
          <w:tcPr>
            <w:tcW w:w="1205" w:type="dxa"/>
          </w:tcPr>
          <w:p w:rsidR="00980FDB" w:rsidRPr="009E4964" w:rsidRDefault="00980FDB" w:rsidP="00980FDB">
            <w:pPr>
              <w:jc w:val="right"/>
            </w:pPr>
            <w:r w:rsidRPr="009E4964">
              <w:t>(</w:t>
            </w:r>
            <w:r w:rsidR="001D106B">
              <w:t>+</w:t>
            </w:r>
            <w:r w:rsidRPr="009E4964">
              <w:t>0.37)</w:t>
            </w:r>
          </w:p>
        </w:tc>
        <w:tc>
          <w:tcPr>
            <w:tcW w:w="2552" w:type="dxa"/>
            <w:noWrap/>
            <w:hideMark/>
          </w:tcPr>
          <w:p w:rsidR="00980FDB" w:rsidRPr="009E4964" w:rsidRDefault="00FC2FC0" w:rsidP="00980FDB">
            <w:pPr>
              <w:jc w:val="right"/>
            </w:pPr>
            <w:r>
              <w:t>19</w:t>
            </w:r>
            <w:r w:rsidR="00980FDB" w:rsidRPr="009E4964">
              <w:t>%</w:t>
            </w:r>
          </w:p>
        </w:tc>
        <w:tc>
          <w:tcPr>
            <w:tcW w:w="2551" w:type="dxa"/>
            <w:noWrap/>
            <w:hideMark/>
          </w:tcPr>
          <w:p w:rsidR="00980FDB" w:rsidRPr="009E4964" w:rsidRDefault="00FC2FC0" w:rsidP="00980FDB">
            <w:pPr>
              <w:jc w:val="right"/>
            </w:pPr>
            <w:r>
              <w:t>50</w:t>
            </w:r>
            <w:r w:rsidR="00980FDB" w:rsidRPr="009E4964">
              <w:t>%</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6E76B9" w:rsidRDefault="00980FDB" w:rsidP="00980FDB">
            <w:pPr>
              <w:rPr>
                <w:b/>
              </w:rPr>
            </w:pPr>
            <w:r w:rsidRPr="006E76B9">
              <w:rPr>
                <w:b/>
              </w:rPr>
              <w:t>TOTAL ACT</w:t>
            </w:r>
          </w:p>
        </w:tc>
        <w:tc>
          <w:tcPr>
            <w:tcW w:w="1204" w:type="dxa"/>
            <w:noWrap/>
            <w:hideMark/>
          </w:tcPr>
          <w:p w:rsidR="00980FDB" w:rsidRPr="009E4964" w:rsidRDefault="00980FDB" w:rsidP="00980FDB">
            <w:pPr>
              <w:jc w:val="right"/>
              <w:rPr>
                <w:b/>
              </w:rPr>
            </w:pPr>
            <w:r w:rsidRPr="009E4964">
              <w:rPr>
                <w:b/>
              </w:rPr>
              <w:t>0.17</w:t>
            </w:r>
          </w:p>
        </w:tc>
        <w:tc>
          <w:tcPr>
            <w:tcW w:w="1205" w:type="dxa"/>
          </w:tcPr>
          <w:p w:rsidR="00980FDB" w:rsidRPr="009E4964" w:rsidRDefault="00980FDB" w:rsidP="00980FDB">
            <w:pPr>
              <w:jc w:val="right"/>
              <w:rPr>
                <w:b/>
              </w:rPr>
            </w:pPr>
            <w:r w:rsidRPr="009E4964">
              <w:rPr>
                <w:b/>
              </w:rPr>
              <w:t>(+0.12)</w:t>
            </w:r>
          </w:p>
        </w:tc>
        <w:tc>
          <w:tcPr>
            <w:tcW w:w="2552" w:type="dxa"/>
            <w:noWrap/>
            <w:hideMark/>
          </w:tcPr>
          <w:p w:rsidR="00980FDB" w:rsidRPr="009E4964" w:rsidRDefault="00980FDB" w:rsidP="00980FDB">
            <w:pPr>
              <w:jc w:val="right"/>
              <w:rPr>
                <w:b/>
              </w:rPr>
            </w:pPr>
            <w:r w:rsidRPr="009E4964">
              <w:rPr>
                <w:b/>
              </w:rPr>
              <w:t> 63%</w:t>
            </w:r>
          </w:p>
        </w:tc>
        <w:tc>
          <w:tcPr>
            <w:tcW w:w="2551" w:type="dxa"/>
            <w:noWrap/>
            <w:hideMark/>
          </w:tcPr>
          <w:p w:rsidR="00980FDB" w:rsidRPr="009E4964" w:rsidRDefault="00980FDB" w:rsidP="00980FDB">
            <w:pPr>
              <w:jc w:val="right"/>
              <w:rPr>
                <w:b/>
              </w:rPr>
            </w:pPr>
            <w:r w:rsidRPr="009E4964">
              <w:rPr>
                <w:b/>
              </w:rPr>
              <w:t>78%</w:t>
            </w:r>
          </w:p>
        </w:tc>
      </w:tr>
      <w:tr w:rsidR="00980FDB" w:rsidRPr="00913E1A" w:rsidTr="00534288">
        <w:trPr>
          <w:trHeight w:val="300"/>
        </w:trPr>
        <w:tc>
          <w:tcPr>
            <w:tcW w:w="2235" w:type="dxa"/>
            <w:noWrap/>
            <w:hideMark/>
          </w:tcPr>
          <w:p w:rsidR="00980FDB" w:rsidRPr="006E76B9" w:rsidRDefault="00980FDB" w:rsidP="00980FDB">
            <w:pPr>
              <w:rPr>
                <w:b/>
                <w:i/>
              </w:rPr>
            </w:pPr>
            <w:r w:rsidRPr="006E76B9">
              <w:rPr>
                <w:b/>
                <w:i/>
              </w:rPr>
              <w:t>Tasmania</w:t>
            </w:r>
          </w:p>
        </w:tc>
        <w:tc>
          <w:tcPr>
            <w:tcW w:w="1204" w:type="dxa"/>
            <w:noWrap/>
            <w:hideMark/>
          </w:tcPr>
          <w:p w:rsidR="00980FDB" w:rsidRPr="009E4964" w:rsidRDefault="00980FDB" w:rsidP="00980FDB">
            <w:pPr>
              <w:jc w:val="right"/>
            </w:pPr>
          </w:p>
        </w:tc>
        <w:tc>
          <w:tcPr>
            <w:tcW w:w="1205" w:type="dxa"/>
          </w:tcPr>
          <w:p w:rsidR="00980FDB" w:rsidRPr="009E4964" w:rsidRDefault="00980FDB" w:rsidP="00980FDB">
            <w:pPr>
              <w:jc w:val="right"/>
            </w:pPr>
          </w:p>
        </w:tc>
        <w:tc>
          <w:tcPr>
            <w:tcW w:w="2552" w:type="dxa"/>
            <w:noWrap/>
            <w:hideMark/>
          </w:tcPr>
          <w:p w:rsidR="00980FDB" w:rsidRPr="009E4964" w:rsidRDefault="00980FDB" w:rsidP="00980FDB">
            <w:pPr>
              <w:jc w:val="right"/>
            </w:pPr>
          </w:p>
        </w:tc>
        <w:tc>
          <w:tcPr>
            <w:tcW w:w="2551" w:type="dxa"/>
            <w:noWrap/>
            <w:hideMark/>
          </w:tcPr>
          <w:p w:rsidR="00980FDB" w:rsidRPr="009E4964" w:rsidRDefault="00980FDB" w:rsidP="00980FDB">
            <w:pPr>
              <w:jc w:val="right"/>
            </w:pP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Aurora</w:t>
            </w:r>
          </w:p>
        </w:tc>
        <w:tc>
          <w:tcPr>
            <w:tcW w:w="1204" w:type="dxa"/>
            <w:noWrap/>
            <w:hideMark/>
          </w:tcPr>
          <w:p w:rsidR="00980FDB" w:rsidRPr="009E4964" w:rsidRDefault="00980FDB" w:rsidP="00087E29">
            <w:pPr>
              <w:jc w:val="right"/>
            </w:pPr>
            <w:r w:rsidRPr="009E4964">
              <w:t>0.</w:t>
            </w:r>
            <w:r w:rsidR="00087E29">
              <w:t>68</w:t>
            </w:r>
            <w:r w:rsidR="00087E29" w:rsidRPr="009E4964">
              <w:t xml:space="preserve"> </w:t>
            </w:r>
          </w:p>
        </w:tc>
        <w:tc>
          <w:tcPr>
            <w:tcW w:w="1205" w:type="dxa"/>
          </w:tcPr>
          <w:p w:rsidR="00980FDB" w:rsidRPr="009E4964" w:rsidRDefault="00980FDB" w:rsidP="00087E29">
            <w:pPr>
              <w:jc w:val="right"/>
            </w:pPr>
            <w:r w:rsidRPr="009E4964">
              <w:t>(+0.</w:t>
            </w:r>
            <w:r w:rsidR="00087E29">
              <w:t>22</w:t>
            </w:r>
            <w:r w:rsidRPr="009E4964">
              <w:t>)</w:t>
            </w:r>
          </w:p>
        </w:tc>
        <w:tc>
          <w:tcPr>
            <w:tcW w:w="2552" w:type="dxa"/>
            <w:noWrap/>
            <w:hideMark/>
          </w:tcPr>
          <w:p w:rsidR="00980FDB" w:rsidRPr="009E4964" w:rsidRDefault="00087E29" w:rsidP="00980FDB">
            <w:pPr>
              <w:jc w:val="right"/>
            </w:pPr>
            <w:r>
              <w:t>58</w:t>
            </w:r>
            <w:r w:rsidR="00980FDB" w:rsidRPr="009E4964">
              <w:t>%</w:t>
            </w:r>
          </w:p>
        </w:tc>
        <w:tc>
          <w:tcPr>
            <w:tcW w:w="2551" w:type="dxa"/>
            <w:noWrap/>
            <w:hideMark/>
          </w:tcPr>
          <w:p w:rsidR="00980FDB" w:rsidRPr="009E4964" w:rsidRDefault="00980FDB" w:rsidP="00980FDB">
            <w:pPr>
              <w:jc w:val="right"/>
            </w:pPr>
            <w:r w:rsidRPr="009E4964">
              <w:t>83%</w:t>
            </w:r>
          </w:p>
        </w:tc>
      </w:tr>
      <w:tr w:rsidR="00980FDB" w:rsidRPr="00913E1A" w:rsidTr="00534288">
        <w:trPr>
          <w:trHeight w:val="300"/>
        </w:trPr>
        <w:tc>
          <w:tcPr>
            <w:tcW w:w="2235" w:type="dxa"/>
            <w:noWrap/>
            <w:hideMark/>
          </w:tcPr>
          <w:p w:rsidR="00980FDB" w:rsidRPr="006E76B9" w:rsidRDefault="00980FDB" w:rsidP="00980FDB">
            <w:pPr>
              <w:rPr>
                <w:b/>
                <w:i/>
              </w:rPr>
            </w:pPr>
            <w:r w:rsidRPr="006E76B9">
              <w:rPr>
                <w:b/>
                <w:i/>
              </w:rPr>
              <w:lastRenderedPageBreak/>
              <w:t>NSW</w:t>
            </w:r>
          </w:p>
        </w:tc>
        <w:tc>
          <w:tcPr>
            <w:tcW w:w="1204" w:type="dxa"/>
            <w:noWrap/>
            <w:hideMark/>
          </w:tcPr>
          <w:p w:rsidR="00980FDB" w:rsidRPr="009E4964" w:rsidRDefault="00980FDB" w:rsidP="00980FDB">
            <w:pPr>
              <w:jc w:val="right"/>
            </w:pPr>
          </w:p>
        </w:tc>
        <w:tc>
          <w:tcPr>
            <w:tcW w:w="1205" w:type="dxa"/>
          </w:tcPr>
          <w:p w:rsidR="00980FDB" w:rsidRPr="009E4964" w:rsidRDefault="00980FDB" w:rsidP="00980FDB">
            <w:pPr>
              <w:jc w:val="right"/>
            </w:pPr>
          </w:p>
        </w:tc>
        <w:tc>
          <w:tcPr>
            <w:tcW w:w="2552" w:type="dxa"/>
            <w:noWrap/>
            <w:hideMark/>
          </w:tcPr>
          <w:p w:rsidR="00980FDB" w:rsidRPr="009E4964" w:rsidRDefault="00980FDB" w:rsidP="00980FDB">
            <w:pPr>
              <w:jc w:val="right"/>
            </w:pPr>
          </w:p>
        </w:tc>
        <w:tc>
          <w:tcPr>
            <w:tcW w:w="2551" w:type="dxa"/>
            <w:noWrap/>
            <w:hideMark/>
          </w:tcPr>
          <w:p w:rsidR="00980FDB" w:rsidRPr="009E4964" w:rsidRDefault="00980FDB" w:rsidP="00980FDB">
            <w:pPr>
              <w:jc w:val="right"/>
            </w:pP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ActewAGL</w:t>
            </w:r>
          </w:p>
        </w:tc>
        <w:tc>
          <w:tcPr>
            <w:tcW w:w="1204" w:type="dxa"/>
            <w:noWrap/>
            <w:hideMark/>
          </w:tcPr>
          <w:p w:rsidR="00980FDB" w:rsidRPr="009E4964" w:rsidRDefault="00980FDB" w:rsidP="00980FDB">
            <w:pPr>
              <w:jc w:val="right"/>
            </w:pPr>
            <w:r w:rsidRPr="009E4964">
              <w:t xml:space="preserve">0.31 </w:t>
            </w:r>
          </w:p>
        </w:tc>
        <w:tc>
          <w:tcPr>
            <w:tcW w:w="1205" w:type="dxa"/>
          </w:tcPr>
          <w:p w:rsidR="00980FDB" w:rsidRPr="009E4964" w:rsidRDefault="00980FDB" w:rsidP="00980FDB">
            <w:pPr>
              <w:jc w:val="right"/>
            </w:pPr>
            <w:r w:rsidRPr="009E4964">
              <w:t>(+0.20)</w:t>
            </w:r>
          </w:p>
        </w:tc>
        <w:tc>
          <w:tcPr>
            <w:tcW w:w="2552" w:type="dxa"/>
            <w:noWrap/>
            <w:hideMark/>
          </w:tcPr>
          <w:p w:rsidR="00980FDB" w:rsidRPr="009E4964" w:rsidRDefault="00980FDB" w:rsidP="00980FDB">
            <w:pPr>
              <w:jc w:val="right"/>
            </w:pPr>
            <w:r w:rsidRPr="009E4964">
              <w:t>53%</w:t>
            </w:r>
          </w:p>
        </w:tc>
        <w:tc>
          <w:tcPr>
            <w:tcW w:w="2551" w:type="dxa"/>
            <w:noWrap/>
            <w:hideMark/>
          </w:tcPr>
          <w:p w:rsidR="00980FDB" w:rsidRPr="009E4964" w:rsidRDefault="00980FDB" w:rsidP="00980FDB">
            <w:pPr>
              <w:jc w:val="right"/>
            </w:pPr>
            <w:r w:rsidRPr="009E4964">
              <w:t>96%</w:t>
            </w:r>
          </w:p>
        </w:tc>
      </w:tr>
      <w:tr w:rsidR="00980FDB" w:rsidRPr="00913E1A" w:rsidTr="00534288">
        <w:trPr>
          <w:trHeight w:val="300"/>
        </w:trPr>
        <w:tc>
          <w:tcPr>
            <w:tcW w:w="2235" w:type="dxa"/>
            <w:noWrap/>
            <w:hideMark/>
          </w:tcPr>
          <w:p w:rsidR="00980FDB" w:rsidRPr="009E4964" w:rsidRDefault="00980FDB" w:rsidP="00980FDB">
            <w:pPr>
              <w:rPr>
                <w:b/>
              </w:rPr>
            </w:pPr>
            <w:r w:rsidRPr="009E4964">
              <w:t>AGL</w:t>
            </w:r>
          </w:p>
        </w:tc>
        <w:tc>
          <w:tcPr>
            <w:tcW w:w="1204" w:type="dxa"/>
            <w:noWrap/>
            <w:hideMark/>
          </w:tcPr>
          <w:p w:rsidR="00980FDB" w:rsidRPr="009E4964" w:rsidRDefault="00980FDB" w:rsidP="00980FDB">
            <w:pPr>
              <w:jc w:val="right"/>
            </w:pPr>
            <w:r w:rsidRPr="009E4964">
              <w:t xml:space="preserve">1.51 </w:t>
            </w:r>
          </w:p>
        </w:tc>
        <w:tc>
          <w:tcPr>
            <w:tcW w:w="1205" w:type="dxa"/>
          </w:tcPr>
          <w:p w:rsidR="00980FDB" w:rsidRPr="009E4964" w:rsidRDefault="00980FDB" w:rsidP="00980FDB">
            <w:pPr>
              <w:jc w:val="right"/>
            </w:pPr>
            <w:r w:rsidRPr="009E4964">
              <w:t>(-0.21)</w:t>
            </w:r>
          </w:p>
        </w:tc>
        <w:tc>
          <w:tcPr>
            <w:tcW w:w="2552" w:type="dxa"/>
            <w:noWrap/>
            <w:hideMark/>
          </w:tcPr>
          <w:p w:rsidR="00980FDB" w:rsidRPr="009E4964" w:rsidRDefault="00980FDB" w:rsidP="00980FDB">
            <w:pPr>
              <w:jc w:val="right"/>
            </w:pPr>
            <w:r w:rsidRPr="009E4964">
              <w:t>39%</w:t>
            </w:r>
          </w:p>
        </w:tc>
        <w:tc>
          <w:tcPr>
            <w:tcW w:w="2551" w:type="dxa"/>
            <w:noWrap/>
            <w:hideMark/>
          </w:tcPr>
          <w:p w:rsidR="00980FDB" w:rsidRPr="009E4964" w:rsidRDefault="00980FDB" w:rsidP="00980FDB">
            <w:pPr>
              <w:jc w:val="right"/>
            </w:pPr>
            <w:r w:rsidRPr="009E4964">
              <w:t>96%</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Click Energy</w:t>
            </w:r>
          </w:p>
        </w:tc>
        <w:tc>
          <w:tcPr>
            <w:tcW w:w="1204" w:type="dxa"/>
            <w:noWrap/>
            <w:hideMark/>
          </w:tcPr>
          <w:p w:rsidR="00980FDB" w:rsidRPr="009E4964" w:rsidRDefault="00980FDB" w:rsidP="00980FDB">
            <w:pPr>
              <w:jc w:val="right"/>
            </w:pPr>
            <w:r w:rsidRPr="009E4964">
              <w:t xml:space="preserve">0.63 </w:t>
            </w:r>
          </w:p>
        </w:tc>
        <w:tc>
          <w:tcPr>
            <w:tcW w:w="1205" w:type="dxa"/>
          </w:tcPr>
          <w:p w:rsidR="00980FDB" w:rsidRPr="009E4964" w:rsidRDefault="00980FDB" w:rsidP="00980FDB">
            <w:pPr>
              <w:jc w:val="right"/>
            </w:pPr>
            <w:r w:rsidRPr="009E4964">
              <w:t>(+0.63)</w:t>
            </w:r>
          </w:p>
        </w:tc>
        <w:tc>
          <w:tcPr>
            <w:tcW w:w="2552" w:type="dxa"/>
            <w:noWrap/>
            <w:hideMark/>
          </w:tcPr>
          <w:p w:rsidR="00980FDB" w:rsidRPr="009E4964" w:rsidRDefault="00980FDB" w:rsidP="00980FDB">
            <w:pPr>
              <w:jc w:val="right"/>
            </w:pPr>
            <w:r w:rsidRPr="009E4964">
              <w:t>26%</w:t>
            </w:r>
          </w:p>
        </w:tc>
        <w:tc>
          <w:tcPr>
            <w:tcW w:w="2551" w:type="dxa"/>
            <w:noWrap/>
            <w:hideMark/>
          </w:tcPr>
          <w:p w:rsidR="00980FDB" w:rsidRPr="009E4964" w:rsidRDefault="00980FDB" w:rsidP="00980FDB">
            <w:pPr>
              <w:jc w:val="right"/>
            </w:pPr>
            <w:r w:rsidRPr="009E4964">
              <w:t>100%</w:t>
            </w:r>
          </w:p>
        </w:tc>
      </w:tr>
      <w:tr w:rsidR="00980FDB" w:rsidRPr="00913E1A" w:rsidTr="00534288">
        <w:trPr>
          <w:trHeight w:val="300"/>
        </w:trPr>
        <w:tc>
          <w:tcPr>
            <w:tcW w:w="2235" w:type="dxa"/>
            <w:noWrap/>
            <w:hideMark/>
          </w:tcPr>
          <w:p w:rsidR="00980FDB" w:rsidRPr="009E4964" w:rsidRDefault="00980FDB" w:rsidP="00980FDB">
            <w:pPr>
              <w:rPr>
                <w:b/>
              </w:rPr>
            </w:pPr>
            <w:r w:rsidRPr="009E4964">
              <w:t>Dodo Power &amp; Gas</w:t>
            </w:r>
          </w:p>
        </w:tc>
        <w:tc>
          <w:tcPr>
            <w:tcW w:w="1204" w:type="dxa"/>
            <w:noWrap/>
            <w:hideMark/>
          </w:tcPr>
          <w:p w:rsidR="00980FDB" w:rsidRPr="009E4964" w:rsidRDefault="00980FDB" w:rsidP="00980FDB">
            <w:pPr>
              <w:jc w:val="right"/>
            </w:pPr>
            <w:r w:rsidRPr="009E4964">
              <w:t xml:space="preserve">0.09 </w:t>
            </w:r>
          </w:p>
        </w:tc>
        <w:tc>
          <w:tcPr>
            <w:tcW w:w="1205" w:type="dxa"/>
          </w:tcPr>
          <w:p w:rsidR="00980FDB" w:rsidRPr="009E4964" w:rsidRDefault="00980FDB" w:rsidP="00980FDB">
            <w:pPr>
              <w:jc w:val="right"/>
            </w:pPr>
            <w:r w:rsidRPr="009E4964">
              <w:t>(+0.07)</w:t>
            </w:r>
          </w:p>
        </w:tc>
        <w:tc>
          <w:tcPr>
            <w:tcW w:w="2552" w:type="dxa"/>
            <w:noWrap/>
            <w:hideMark/>
          </w:tcPr>
          <w:p w:rsidR="00980FDB" w:rsidRPr="009E4964" w:rsidRDefault="00980FDB" w:rsidP="00980FDB">
            <w:pPr>
              <w:jc w:val="right"/>
            </w:pPr>
            <w:r w:rsidRPr="009E4964">
              <w:t>30%</w:t>
            </w:r>
          </w:p>
        </w:tc>
        <w:tc>
          <w:tcPr>
            <w:tcW w:w="2551" w:type="dxa"/>
            <w:noWrap/>
            <w:hideMark/>
          </w:tcPr>
          <w:p w:rsidR="00980FDB" w:rsidRPr="009E4964" w:rsidRDefault="00980FDB" w:rsidP="00980FDB">
            <w:pPr>
              <w:jc w:val="right"/>
            </w:pPr>
            <w:r w:rsidRPr="009E4964">
              <w:t>100%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pPr>
            <w:r w:rsidRPr="009E4964">
              <w:t>0.</w:t>
            </w:r>
            <w:r w:rsidR="00FC2FC0">
              <w:t>70</w:t>
            </w:r>
            <w:r w:rsidRPr="009E4964">
              <w:t xml:space="preserve"> </w:t>
            </w:r>
          </w:p>
        </w:tc>
        <w:tc>
          <w:tcPr>
            <w:tcW w:w="1205" w:type="dxa"/>
          </w:tcPr>
          <w:p w:rsidR="00980FDB" w:rsidRPr="009E4964" w:rsidRDefault="00980FDB" w:rsidP="00FC2FC0">
            <w:pPr>
              <w:jc w:val="right"/>
            </w:pPr>
            <w:r w:rsidRPr="009E4964">
              <w:t>(+0.</w:t>
            </w:r>
            <w:r w:rsidR="00FC2FC0">
              <w:t>13</w:t>
            </w:r>
            <w:r w:rsidRPr="009E4964">
              <w:t>)</w:t>
            </w:r>
          </w:p>
        </w:tc>
        <w:tc>
          <w:tcPr>
            <w:tcW w:w="2552" w:type="dxa"/>
            <w:noWrap/>
            <w:hideMark/>
          </w:tcPr>
          <w:p w:rsidR="00980FDB" w:rsidRPr="00FC2FC0" w:rsidRDefault="00FC2FC0" w:rsidP="00980FDB">
            <w:pPr>
              <w:jc w:val="right"/>
            </w:pPr>
            <w:r w:rsidRPr="00FC2FC0">
              <w:t>59</w:t>
            </w:r>
            <w:r w:rsidR="00980FDB" w:rsidRPr="00FC2FC0">
              <w:t>%</w:t>
            </w:r>
          </w:p>
        </w:tc>
        <w:tc>
          <w:tcPr>
            <w:tcW w:w="2551" w:type="dxa"/>
            <w:noWrap/>
            <w:hideMark/>
          </w:tcPr>
          <w:p w:rsidR="00980FDB" w:rsidRPr="00FC2FC0" w:rsidRDefault="00FC2FC0" w:rsidP="00980FDB">
            <w:pPr>
              <w:jc w:val="right"/>
            </w:pPr>
            <w:r w:rsidRPr="00FC2FC0">
              <w:t>100</w:t>
            </w:r>
            <w:r w:rsidR="00980FDB" w:rsidRPr="00FC2FC0">
              <w:t>%</w:t>
            </w:r>
          </w:p>
        </w:tc>
      </w:tr>
      <w:tr w:rsidR="00980FDB" w:rsidRPr="00913E1A" w:rsidTr="00534288">
        <w:trPr>
          <w:trHeight w:val="300"/>
        </w:trPr>
        <w:tc>
          <w:tcPr>
            <w:tcW w:w="2235" w:type="dxa"/>
            <w:noWrap/>
            <w:hideMark/>
          </w:tcPr>
          <w:p w:rsidR="00980FDB" w:rsidRPr="009E4964" w:rsidRDefault="00980FDB" w:rsidP="00980FDB">
            <w:pPr>
              <w:rPr>
                <w:b/>
              </w:rPr>
            </w:pPr>
            <w:r w:rsidRPr="009E4964">
              <w:t>Lumo Energy</w:t>
            </w:r>
          </w:p>
        </w:tc>
        <w:tc>
          <w:tcPr>
            <w:tcW w:w="1204" w:type="dxa"/>
            <w:noWrap/>
            <w:hideMark/>
          </w:tcPr>
          <w:p w:rsidR="00980FDB" w:rsidRPr="009E4964" w:rsidRDefault="00980FDB" w:rsidP="00980FDB">
            <w:pPr>
              <w:jc w:val="right"/>
            </w:pPr>
            <w:r w:rsidRPr="009E4964">
              <w:t xml:space="preserve">1.07 </w:t>
            </w:r>
          </w:p>
        </w:tc>
        <w:tc>
          <w:tcPr>
            <w:tcW w:w="1205" w:type="dxa"/>
          </w:tcPr>
          <w:p w:rsidR="00980FDB" w:rsidRPr="009E4964" w:rsidRDefault="00980FDB" w:rsidP="00980FDB">
            <w:pPr>
              <w:jc w:val="right"/>
            </w:pPr>
            <w:r w:rsidRPr="009E4964">
              <w:t>(+0.62)</w:t>
            </w:r>
          </w:p>
        </w:tc>
        <w:tc>
          <w:tcPr>
            <w:tcW w:w="2552" w:type="dxa"/>
            <w:noWrap/>
            <w:hideMark/>
          </w:tcPr>
          <w:p w:rsidR="00980FDB" w:rsidRPr="009E4964" w:rsidRDefault="00980FDB" w:rsidP="00980FDB">
            <w:pPr>
              <w:jc w:val="right"/>
            </w:pPr>
            <w:r w:rsidRPr="009E4964">
              <w:t>21%</w:t>
            </w:r>
          </w:p>
        </w:tc>
        <w:tc>
          <w:tcPr>
            <w:tcW w:w="2551" w:type="dxa"/>
            <w:noWrap/>
            <w:hideMark/>
          </w:tcPr>
          <w:p w:rsidR="00980FDB" w:rsidRPr="009E4964" w:rsidRDefault="00980FDB" w:rsidP="00980FDB">
            <w:pPr>
              <w:jc w:val="right"/>
            </w:pPr>
            <w:r w:rsidRPr="009E4964">
              <w:t>97%</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Momentum Energy</w:t>
            </w:r>
          </w:p>
        </w:tc>
        <w:tc>
          <w:tcPr>
            <w:tcW w:w="1204" w:type="dxa"/>
            <w:noWrap/>
            <w:hideMark/>
          </w:tcPr>
          <w:p w:rsidR="00980FDB" w:rsidRPr="009E4964" w:rsidRDefault="00980FDB" w:rsidP="00980FDB">
            <w:pPr>
              <w:jc w:val="right"/>
            </w:pPr>
            <w:r w:rsidRPr="009E4964">
              <w:t xml:space="preserve">0.76 </w:t>
            </w:r>
          </w:p>
        </w:tc>
        <w:tc>
          <w:tcPr>
            <w:tcW w:w="1205" w:type="dxa"/>
          </w:tcPr>
          <w:p w:rsidR="00980FDB" w:rsidRPr="009E4964" w:rsidRDefault="00980FDB" w:rsidP="00980FDB">
            <w:pPr>
              <w:jc w:val="right"/>
            </w:pPr>
            <w:r w:rsidRPr="009E4964">
              <w:t>(+0.47)</w:t>
            </w:r>
          </w:p>
        </w:tc>
        <w:tc>
          <w:tcPr>
            <w:tcW w:w="2552" w:type="dxa"/>
            <w:noWrap/>
            <w:hideMark/>
          </w:tcPr>
          <w:p w:rsidR="00980FDB" w:rsidRPr="00FD2F43" w:rsidRDefault="00FD2F43" w:rsidP="00980FDB">
            <w:pPr>
              <w:jc w:val="right"/>
            </w:pPr>
            <w:r w:rsidRPr="00FD2F43">
              <w:t>64</w:t>
            </w:r>
            <w:r w:rsidR="00980FDB" w:rsidRPr="00FD2F43">
              <w:t>%</w:t>
            </w:r>
          </w:p>
        </w:tc>
        <w:tc>
          <w:tcPr>
            <w:tcW w:w="2551" w:type="dxa"/>
            <w:noWrap/>
            <w:hideMark/>
          </w:tcPr>
          <w:p w:rsidR="00980FDB" w:rsidRPr="00FD2F43" w:rsidRDefault="00FD2F43" w:rsidP="00980FDB">
            <w:pPr>
              <w:jc w:val="right"/>
            </w:pPr>
            <w:r w:rsidRPr="00FD2F43">
              <w:t>37</w:t>
            </w:r>
            <w:r w:rsidR="00980FDB" w:rsidRPr="00FD2F43">
              <w:t>%</w:t>
            </w:r>
          </w:p>
        </w:tc>
      </w:tr>
      <w:tr w:rsidR="00980FDB" w:rsidRPr="00913E1A" w:rsidTr="00534288">
        <w:trPr>
          <w:trHeight w:val="300"/>
        </w:trPr>
        <w:tc>
          <w:tcPr>
            <w:tcW w:w="2235" w:type="dxa"/>
            <w:noWrap/>
            <w:hideMark/>
          </w:tcPr>
          <w:p w:rsidR="00980FDB" w:rsidRPr="009E4964" w:rsidRDefault="00980FDB" w:rsidP="00980FDB">
            <w:pPr>
              <w:rPr>
                <w:b/>
              </w:rPr>
            </w:pPr>
            <w:r w:rsidRPr="009E4964">
              <w:t>Origin Energy</w:t>
            </w:r>
          </w:p>
        </w:tc>
        <w:tc>
          <w:tcPr>
            <w:tcW w:w="1204" w:type="dxa"/>
            <w:noWrap/>
            <w:hideMark/>
          </w:tcPr>
          <w:p w:rsidR="00980FDB" w:rsidRPr="009E4964" w:rsidRDefault="00980FDB" w:rsidP="00980FDB">
            <w:pPr>
              <w:jc w:val="right"/>
            </w:pPr>
            <w:r w:rsidRPr="009E4964">
              <w:t xml:space="preserve">1.11 </w:t>
            </w:r>
          </w:p>
        </w:tc>
        <w:tc>
          <w:tcPr>
            <w:tcW w:w="1205" w:type="dxa"/>
          </w:tcPr>
          <w:p w:rsidR="00980FDB" w:rsidRPr="009E4964" w:rsidRDefault="00980FDB" w:rsidP="00980FDB">
            <w:pPr>
              <w:jc w:val="right"/>
            </w:pPr>
            <w:r w:rsidRPr="009E4964">
              <w:t>(+0.56)</w:t>
            </w:r>
          </w:p>
        </w:tc>
        <w:tc>
          <w:tcPr>
            <w:tcW w:w="2552" w:type="dxa"/>
            <w:noWrap/>
            <w:hideMark/>
          </w:tcPr>
          <w:p w:rsidR="00980FDB" w:rsidRPr="009E4964" w:rsidRDefault="00980FDB" w:rsidP="00980FDB">
            <w:pPr>
              <w:jc w:val="right"/>
            </w:pPr>
            <w:r w:rsidRPr="009E4964">
              <w:t>45%</w:t>
            </w:r>
          </w:p>
        </w:tc>
        <w:tc>
          <w:tcPr>
            <w:tcW w:w="2551" w:type="dxa"/>
            <w:noWrap/>
            <w:hideMark/>
          </w:tcPr>
          <w:p w:rsidR="00980FDB" w:rsidRPr="009E4964" w:rsidRDefault="00980FDB" w:rsidP="00980FDB">
            <w:pPr>
              <w:jc w:val="right"/>
            </w:pPr>
            <w:r w:rsidRPr="009E4964">
              <w:t>90%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Powerdirect</w:t>
            </w:r>
          </w:p>
        </w:tc>
        <w:tc>
          <w:tcPr>
            <w:tcW w:w="1204" w:type="dxa"/>
            <w:noWrap/>
            <w:hideMark/>
          </w:tcPr>
          <w:p w:rsidR="00980FDB" w:rsidRPr="009E4964" w:rsidRDefault="00980FDB" w:rsidP="00980FDB">
            <w:pPr>
              <w:jc w:val="right"/>
            </w:pPr>
            <w:r w:rsidRPr="009E4964">
              <w:t xml:space="preserve">0.38 </w:t>
            </w:r>
          </w:p>
        </w:tc>
        <w:tc>
          <w:tcPr>
            <w:tcW w:w="1205" w:type="dxa"/>
          </w:tcPr>
          <w:p w:rsidR="00980FDB" w:rsidRPr="009E4964" w:rsidRDefault="00980FDB" w:rsidP="00980FDB">
            <w:pPr>
              <w:jc w:val="right"/>
            </w:pPr>
            <w:r w:rsidRPr="009E4964">
              <w:t>(-0.26)</w:t>
            </w:r>
          </w:p>
        </w:tc>
        <w:tc>
          <w:tcPr>
            <w:tcW w:w="2552" w:type="dxa"/>
            <w:noWrap/>
            <w:hideMark/>
          </w:tcPr>
          <w:p w:rsidR="00980FDB" w:rsidRPr="009E4964" w:rsidRDefault="00980FDB" w:rsidP="00980FDB">
            <w:pPr>
              <w:jc w:val="right"/>
            </w:pPr>
            <w:r w:rsidRPr="009E4964">
              <w:t>53%</w:t>
            </w:r>
          </w:p>
        </w:tc>
        <w:tc>
          <w:tcPr>
            <w:tcW w:w="2551" w:type="dxa"/>
            <w:noWrap/>
            <w:hideMark/>
          </w:tcPr>
          <w:p w:rsidR="00980FDB" w:rsidRPr="009E4964" w:rsidRDefault="00980FDB" w:rsidP="00980FDB">
            <w:pPr>
              <w:jc w:val="right"/>
            </w:pPr>
            <w:r w:rsidRPr="009E4964">
              <w:t>100%</w:t>
            </w:r>
          </w:p>
        </w:tc>
      </w:tr>
      <w:tr w:rsidR="00980FDB" w:rsidRPr="00913E1A" w:rsidTr="00534288">
        <w:trPr>
          <w:trHeight w:val="300"/>
        </w:trPr>
        <w:tc>
          <w:tcPr>
            <w:tcW w:w="2235" w:type="dxa"/>
            <w:noWrap/>
            <w:hideMark/>
          </w:tcPr>
          <w:p w:rsidR="00980FDB" w:rsidRPr="009E4964" w:rsidRDefault="00980FDB" w:rsidP="00722C58">
            <w:pPr>
              <w:rPr>
                <w:b/>
              </w:rPr>
            </w:pPr>
            <w:r w:rsidRPr="009E4964">
              <w:t>Q</w:t>
            </w:r>
            <w:r w:rsidR="00722C58">
              <w:t>E</w:t>
            </w:r>
            <w:r w:rsidRPr="009E4964">
              <w:t>nergy</w:t>
            </w:r>
          </w:p>
        </w:tc>
        <w:tc>
          <w:tcPr>
            <w:tcW w:w="1204" w:type="dxa"/>
            <w:noWrap/>
            <w:hideMark/>
          </w:tcPr>
          <w:p w:rsidR="00980FDB" w:rsidRPr="009E4964" w:rsidRDefault="00980FDB" w:rsidP="00980FDB">
            <w:pPr>
              <w:jc w:val="right"/>
            </w:pPr>
            <w:r w:rsidRPr="009E4964">
              <w:t xml:space="preserve">2.44 </w:t>
            </w:r>
          </w:p>
        </w:tc>
        <w:tc>
          <w:tcPr>
            <w:tcW w:w="1205" w:type="dxa"/>
          </w:tcPr>
          <w:p w:rsidR="00980FDB" w:rsidRPr="009E4964" w:rsidRDefault="00980FDB" w:rsidP="00980FDB">
            <w:pPr>
              <w:jc w:val="right"/>
            </w:pPr>
            <w:r w:rsidRPr="009E4964">
              <w:t>(+1.57)</w:t>
            </w:r>
          </w:p>
        </w:tc>
        <w:tc>
          <w:tcPr>
            <w:tcW w:w="2552" w:type="dxa"/>
            <w:noWrap/>
            <w:hideMark/>
          </w:tcPr>
          <w:p w:rsidR="00980FDB" w:rsidRPr="009E4964" w:rsidRDefault="00980FDB" w:rsidP="00980FDB">
            <w:pPr>
              <w:jc w:val="right"/>
            </w:pPr>
            <w:r w:rsidRPr="009E4964">
              <w:t>71%</w:t>
            </w:r>
          </w:p>
        </w:tc>
        <w:tc>
          <w:tcPr>
            <w:tcW w:w="2551" w:type="dxa"/>
            <w:noWrap/>
            <w:hideMark/>
          </w:tcPr>
          <w:p w:rsidR="00980FDB" w:rsidRPr="009E4964" w:rsidRDefault="00980FDB" w:rsidP="00980FDB">
            <w:pPr>
              <w:jc w:val="right"/>
            </w:pPr>
            <w:r w:rsidRPr="009E4964">
              <w:t>100%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Red Energy</w:t>
            </w:r>
          </w:p>
        </w:tc>
        <w:tc>
          <w:tcPr>
            <w:tcW w:w="1204" w:type="dxa"/>
            <w:noWrap/>
            <w:hideMark/>
          </w:tcPr>
          <w:p w:rsidR="00980FDB" w:rsidRPr="009E4964" w:rsidRDefault="00980FDB" w:rsidP="00980FDB">
            <w:pPr>
              <w:jc w:val="right"/>
            </w:pPr>
            <w:r w:rsidRPr="009E4964">
              <w:t xml:space="preserve">1.03 </w:t>
            </w:r>
          </w:p>
        </w:tc>
        <w:tc>
          <w:tcPr>
            <w:tcW w:w="1205" w:type="dxa"/>
          </w:tcPr>
          <w:p w:rsidR="00980FDB" w:rsidRPr="009E4964" w:rsidRDefault="00980FDB" w:rsidP="00980FDB">
            <w:pPr>
              <w:jc w:val="right"/>
            </w:pPr>
            <w:r w:rsidRPr="009E4964">
              <w:t>(-0.50)</w:t>
            </w:r>
          </w:p>
        </w:tc>
        <w:tc>
          <w:tcPr>
            <w:tcW w:w="2552" w:type="dxa"/>
            <w:noWrap/>
            <w:hideMark/>
          </w:tcPr>
          <w:p w:rsidR="00980FDB" w:rsidRPr="009E4964" w:rsidRDefault="00980FDB" w:rsidP="00980FDB">
            <w:pPr>
              <w:jc w:val="right"/>
            </w:pPr>
            <w:r w:rsidRPr="009E4964">
              <w:t>34%</w:t>
            </w:r>
          </w:p>
        </w:tc>
        <w:tc>
          <w:tcPr>
            <w:tcW w:w="2551" w:type="dxa"/>
            <w:noWrap/>
            <w:hideMark/>
          </w:tcPr>
          <w:p w:rsidR="00980FDB" w:rsidRPr="009E4964" w:rsidRDefault="00980FDB" w:rsidP="00980FDB">
            <w:pPr>
              <w:jc w:val="right"/>
            </w:pPr>
            <w:r w:rsidRPr="009E4964">
              <w:t>71%</w:t>
            </w:r>
          </w:p>
        </w:tc>
      </w:tr>
      <w:tr w:rsidR="00980FDB" w:rsidRPr="00913E1A" w:rsidTr="00534288">
        <w:trPr>
          <w:trHeight w:val="300"/>
        </w:trPr>
        <w:tc>
          <w:tcPr>
            <w:tcW w:w="2235" w:type="dxa"/>
            <w:noWrap/>
            <w:hideMark/>
          </w:tcPr>
          <w:p w:rsidR="00980FDB" w:rsidRPr="009E4964" w:rsidRDefault="00980FDB" w:rsidP="00980FDB">
            <w:pPr>
              <w:rPr>
                <w:b/>
              </w:rPr>
            </w:pPr>
            <w:r w:rsidRPr="009E4964">
              <w:t>Sanctuary Energy</w:t>
            </w:r>
          </w:p>
        </w:tc>
        <w:tc>
          <w:tcPr>
            <w:tcW w:w="1204" w:type="dxa"/>
            <w:noWrap/>
            <w:hideMark/>
          </w:tcPr>
          <w:p w:rsidR="00980FDB" w:rsidRPr="009E4964" w:rsidRDefault="00980FDB" w:rsidP="00980FDB">
            <w:pPr>
              <w:jc w:val="right"/>
            </w:pPr>
            <w:r w:rsidRPr="009E4964">
              <w:t xml:space="preserve">0.41 </w:t>
            </w:r>
          </w:p>
        </w:tc>
        <w:tc>
          <w:tcPr>
            <w:tcW w:w="1205" w:type="dxa"/>
          </w:tcPr>
          <w:p w:rsidR="00980FDB" w:rsidRPr="009E4964" w:rsidRDefault="00980FDB" w:rsidP="00980FDB">
            <w:pPr>
              <w:jc w:val="right"/>
            </w:pPr>
            <w:r w:rsidRPr="009E4964">
              <w:t>(+0.37)</w:t>
            </w:r>
          </w:p>
        </w:tc>
        <w:tc>
          <w:tcPr>
            <w:tcW w:w="2552" w:type="dxa"/>
            <w:noWrap/>
            <w:hideMark/>
          </w:tcPr>
          <w:p w:rsidR="00980FDB" w:rsidRPr="009E4964" w:rsidRDefault="00980FDB" w:rsidP="00980FDB">
            <w:pPr>
              <w:jc w:val="right"/>
            </w:pPr>
            <w:r w:rsidRPr="009E4964">
              <w:t>62%</w:t>
            </w:r>
          </w:p>
        </w:tc>
        <w:tc>
          <w:tcPr>
            <w:tcW w:w="2551" w:type="dxa"/>
            <w:noWrap/>
            <w:hideMark/>
          </w:tcPr>
          <w:p w:rsidR="00980FDB" w:rsidRPr="009E4964" w:rsidRDefault="00980FDB" w:rsidP="00980FDB">
            <w:pPr>
              <w:jc w:val="right"/>
            </w:pPr>
            <w:r w:rsidRPr="009E4964">
              <w:t>100%</w:t>
            </w:r>
          </w:p>
        </w:tc>
      </w:tr>
      <w:tr w:rsidR="00980FDB" w:rsidRPr="00913E1A"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Simply Energy</w:t>
            </w:r>
          </w:p>
        </w:tc>
        <w:tc>
          <w:tcPr>
            <w:tcW w:w="1204" w:type="dxa"/>
            <w:noWrap/>
            <w:hideMark/>
          </w:tcPr>
          <w:p w:rsidR="00980FDB" w:rsidRPr="009E4964" w:rsidRDefault="00980FDB" w:rsidP="00980FDB">
            <w:pPr>
              <w:jc w:val="right"/>
            </w:pPr>
            <w:r w:rsidRPr="009E4964">
              <w:t xml:space="preserve">0.21 </w:t>
            </w:r>
          </w:p>
        </w:tc>
        <w:tc>
          <w:tcPr>
            <w:tcW w:w="1205" w:type="dxa"/>
          </w:tcPr>
          <w:p w:rsidR="00980FDB" w:rsidRPr="009E4964" w:rsidRDefault="00980FDB" w:rsidP="00980FDB">
            <w:pPr>
              <w:jc w:val="right"/>
            </w:pPr>
            <w:r w:rsidRPr="009E4964">
              <w:t>(+0.21)</w:t>
            </w:r>
          </w:p>
        </w:tc>
        <w:tc>
          <w:tcPr>
            <w:tcW w:w="2552" w:type="dxa"/>
            <w:noWrap/>
            <w:hideMark/>
          </w:tcPr>
          <w:p w:rsidR="00980FDB" w:rsidRPr="009E4964" w:rsidRDefault="00980FDB" w:rsidP="00980FDB">
            <w:pPr>
              <w:jc w:val="right"/>
            </w:pPr>
            <w:r w:rsidRPr="009E4964">
              <w:t>6%</w:t>
            </w:r>
          </w:p>
        </w:tc>
        <w:tc>
          <w:tcPr>
            <w:tcW w:w="2551" w:type="dxa"/>
            <w:noWrap/>
            <w:hideMark/>
          </w:tcPr>
          <w:p w:rsidR="00980FDB" w:rsidRPr="009E4964" w:rsidRDefault="00980FDB" w:rsidP="00980FDB">
            <w:pPr>
              <w:jc w:val="right"/>
            </w:pPr>
            <w:r w:rsidRPr="009E4964">
              <w:t>100%</w:t>
            </w:r>
          </w:p>
        </w:tc>
      </w:tr>
      <w:tr w:rsidR="00980FDB" w:rsidRPr="00913E1A" w:rsidTr="00534288">
        <w:trPr>
          <w:trHeight w:val="300"/>
        </w:trPr>
        <w:tc>
          <w:tcPr>
            <w:tcW w:w="2235" w:type="dxa"/>
            <w:noWrap/>
            <w:hideMark/>
          </w:tcPr>
          <w:p w:rsidR="00980FDB" w:rsidRPr="006E76B9" w:rsidRDefault="00980FDB" w:rsidP="00980FDB">
            <w:pPr>
              <w:rPr>
                <w:b/>
              </w:rPr>
            </w:pPr>
            <w:r w:rsidRPr="006E76B9">
              <w:rPr>
                <w:b/>
              </w:rPr>
              <w:t>TOTAL NSW</w:t>
            </w:r>
          </w:p>
        </w:tc>
        <w:tc>
          <w:tcPr>
            <w:tcW w:w="1204" w:type="dxa"/>
            <w:noWrap/>
            <w:hideMark/>
          </w:tcPr>
          <w:p w:rsidR="00980FDB" w:rsidRPr="009E4964" w:rsidRDefault="00980FDB" w:rsidP="00980FDB">
            <w:pPr>
              <w:jc w:val="right"/>
              <w:rPr>
                <w:b/>
              </w:rPr>
            </w:pPr>
            <w:r w:rsidRPr="009E4964">
              <w:rPr>
                <w:b/>
              </w:rPr>
              <w:t>1.0</w:t>
            </w:r>
            <w:r w:rsidR="00173648">
              <w:rPr>
                <w:b/>
              </w:rPr>
              <w:t>3</w:t>
            </w:r>
          </w:p>
        </w:tc>
        <w:tc>
          <w:tcPr>
            <w:tcW w:w="1205" w:type="dxa"/>
          </w:tcPr>
          <w:p w:rsidR="00980FDB" w:rsidRPr="009E4964" w:rsidRDefault="00980FDB" w:rsidP="00980FDB">
            <w:pPr>
              <w:jc w:val="right"/>
              <w:rPr>
                <w:b/>
              </w:rPr>
            </w:pPr>
            <w:r w:rsidRPr="009E4964">
              <w:rPr>
                <w:b/>
              </w:rPr>
              <w:t>(+0.2</w:t>
            </w:r>
            <w:r w:rsidR="00173648">
              <w:rPr>
                <w:b/>
              </w:rPr>
              <w:t>2</w:t>
            </w:r>
            <w:r w:rsidRPr="009E4964">
              <w:rPr>
                <w:b/>
              </w:rPr>
              <w:t>)</w:t>
            </w:r>
          </w:p>
        </w:tc>
        <w:tc>
          <w:tcPr>
            <w:tcW w:w="2552" w:type="dxa"/>
            <w:noWrap/>
            <w:hideMark/>
          </w:tcPr>
          <w:p w:rsidR="00980FDB" w:rsidRPr="00FD2F43" w:rsidRDefault="00FD2F43" w:rsidP="00980FDB">
            <w:pPr>
              <w:jc w:val="right"/>
              <w:rPr>
                <w:b/>
              </w:rPr>
            </w:pPr>
            <w:r w:rsidRPr="00FD2F43">
              <w:rPr>
                <w:b/>
              </w:rPr>
              <w:t>45%</w:t>
            </w:r>
          </w:p>
        </w:tc>
        <w:tc>
          <w:tcPr>
            <w:tcW w:w="2551" w:type="dxa"/>
            <w:noWrap/>
            <w:hideMark/>
          </w:tcPr>
          <w:p w:rsidR="00980FDB" w:rsidRPr="00FD2F43" w:rsidRDefault="00FD2F43" w:rsidP="00980FDB">
            <w:pPr>
              <w:jc w:val="right"/>
              <w:rPr>
                <w:b/>
              </w:rPr>
            </w:pPr>
            <w:r w:rsidRPr="00FD2F43">
              <w:rPr>
                <w:b/>
              </w:rPr>
              <w:t>94% </w:t>
            </w:r>
          </w:p>
        </w:tc>
      </w:tr>
    </w:tbl>
    <w:p w:rsidR="00980FDB" w:rsidRDefault="00980FDB" w:rsidP="00980FDB">
      <w:pPr>
        <w:spacing w:before="0" w:after="200"/>
        <w:rPr>
          <w:b/>
        </w:rPr>
      </w:pPr>
    </w:p>
    <w:p w:rsidR="00980FDB" w:rsidRDefault="009E4964" w:rsidP="00980FDB">
      <w:pPr>
        <w:spacing w:before="0" w:after="200"/>
        <w:rPr>
          <w:b/>
        </w:rPr>
      </w:pPr>
      <w:r>
        <w:rPr>
          <w:b/>
        </w:rPr>
        <w:t>Table 2.8</w:t>
      </w:r>
      <w:r w:rsidR="00980FDB">
        <w:rPr>
          <w:b/>
        </w:rPr>
        <w:t>: Residential gas customers (per 100) disconnected and reconnected by each retailer in 2013-14</w:t>
      </w:r>
    </w:p>
    <w:tbl>
      <w:tblPr>
        <w:tblStyle w:val="AERTable-Text"/>
        <w:tblW w:w="9747" w:type="dxa"/>
        <w:tblLook w:val="04A0" w:firstRow="1" w:lastRow="0" w:firstColumn="1" w:lastColumn="0" w:noHBand="0" w:noVBand="1"/>
      </w:tblPr>
      <w:tblGrid>
        <w:gridCol w:w="2235"/>
        <w:gridCol w:w="1204"/>
        <w:gridCol w:w="1205"/>
        <w:gridCol w:w="2552"/>
        <w:gridCol w:w="2551"/>
      </w:tblGrid>
      <w:tr w:rsidR="00980FDB" w:rsidRPr="00913E1A" w:rsidTr="00534288">
        <w:trPr>
          <w:cnfStyle w:val="100000000000" w:firstRow="1" w:lastRow="0" w:firstColumn="0" w:lastColumn="0" w:oddVBand="0" w:evenVBand="0" w:oddHBand="0" w:evenHBand="0" w:firstRowFirstColumn="0" w:firstRowLastColumn="0" w:lastRowFirstColumn="0" w:lastRowLastColumn="0"/>
          <w:trHeight w:val="300"/>
        </w:trPr>
        <w:tc>
          <w:tcPr>
            <w:tcW w:w="2235" w:type="dxa"/>
            <w:noWrap/>
            <w:hideMark/>
          </w:tcPr>
          <w:p w:rsidR="00980FDB" w:rsidRPr="00913E1A" w:rsidRDefault="00980FDB" w:rsidP="00980FDB">
            <w:pPr>
              <w:spacing w:after="200" w:line="276" w:lineRule="auto"/>
            </w:pPr>
            <w:r w:rsidRPr="00913E1A">
              <w:t>Retailer</w:t>
            </w:r>
          </w:p>
        </w:tc>
        <w:tc>
          <w:tcPr>
            <w:tcW w:w="2409" w:type="dxa"/>
            <w:gridSpan w:val="2"/>
            <w:noWrap/>
            <w:hideMark/>
          </w:tcPr>
          <w:p w:rsidR="00980FDB" w:rsidRPr="00913E1A" w:rsidRDefault="00980FDB" w:rsidP="00980FDB">
            <w:pPr>
              <w:spacing w:after="200" w:line="276" w:lineRule="auto"/>
              <w:jc w:val="right"/>
            </w:pPr>
            <w:r w:rsidRPr="00913E1A">
              <w:t xml:space="preserve">Disconnections </w:t>
            </w:r>
            <w:r>
              <w:br/>
            </w:r>
            <w:r w:rsidRPr="00913E1A">
              <w:t>(per 100 customers)</w:t>
            </w:r>
          </w:p>
        </w:tc>
        <w:tc>
          <w:tcPr>
            <w:tcW w:w="2552" w:type="dxa"/>
            <w:noWrap/>
            <w:hideMark/>
          </w:tcPr>
          <w:p w:rsidR="00980FDB" w:rsidRPr="00913E1A" w:rsidRDefault="00980FDB" w:rsidP="00980FDB">
            <w:pPr>
              <w:spacing w:after="200" w:line="276" w:lineRule="auto"/>
              <w:jc w:val="right"/>
            </w:pPr>
            <w:r w:rsidRPr="00913E1A">
              <w:t xml:space="preserve">Reconnections </w:t>
            </w:r>
            <w:r>
              <w:br/>
            </w:r>
            <w:r w:rsidRPr="00913E1A">
              <w:t>(% of disconnections)</w:t>
            </w:r>
          </w:p>
        </w:tc>
        <w:tc>
          <w:tcPr>
            <w:tcW w:w="2551" w:type="dxa"/>
            <w:noWrap/>
            <w:hideMark/>
          </w:tcPr>
          <w:p w:rsidR="00980FDB" w:rsidRPr="00913E1A" w:rsidRDefault="00980FDB" w:rsidP="00980FDB">
            <w:pPr>
              <w:spacing w:after="200" w:line="276" w:lineRule="auto"/>
              <w:jc w:val="right"/>
            </w:pPr>
            <w:r w:rsidRPr="00913E1A">
              <w:t>% of reconnections that occurred within 7 days</w:t>
            </w:r>
          </w:p>
        </w:tc>
      </w:tr>
      <w:tr w:rsidR="00980FDB" w:rsidRPr="009E4964" w:rsidTr="00534288">
        <w:trPr>
          <w:trHeight w:val="300"/>
        </w:trPr>
        <w:tc>
          <w:tcPr>
            <w:tcW w:w="2235" w:type="dxa"/>
            <w:noWrap/>
            <w:hideMark/>
          </w:tcPr>
          <w:p w:rsidR="00980FDB" w:rsidRPr="006E76B9" w:rsidRDefault="00980FDB" w:rsidP="00980FDB">
            <w:pPr>
              <w:rPr>
                <w:b/>
                <w:i/>
              </w:rPr>
            </w:pPr>
            <w:r w:rsidRPr="006E76B9">
              <w:rPr>
                <w:b/>
                <w:i/>
              </w:rPr>
              <w:t>South Australia</w:t>
            </w:r>
          </w:p>
        </w:tc>
        <w:tc>
          <w:tcPr>
            <w:tcW w:w="2409" w:type="dxa"/>
            <w:gridSpan w:val="2"/>
            <w:noWrap/>
            <w:hideMark/>
          </w:tcPr>
          <w:p w:rsidR="00980FDB" w:rsidRPr="009E4964" w:rsidRDefault="00980FDB" w:rsidP="00980FDB">
            <w:pPr>
              <w:rPr>
                <w:bCs/>
              </w:rPr>
            </w:pPr>
          </w:p>
        </w:tc>
        <w:tc>
          <w:tcPr>
            <w:tcW w:w="2552" w:type="dxa"/>
            <w:noWrap/>
            <w:hideMark/>
          </w:tcPr>
          <w:p w:rsidR="00980FDB" w:rsidRPr="009E4964" w:rsidRDefault="00980FDB" w:rsidP="00980FDB">
            <w:pPr>
              <w:rPr>
                <w:bCs/>
              </w:rPr>
            </w:pPr>
          </w:p>
        </w:tc>
        <w:tc>
          <w:tcPr>
            <w:tcW w:w="2551" w:type="dxa"/>
            <w:noWrap/>
            <w:hideMark/>
          </w:tcPr>
          <w:p w:rsidR="00980FDB" w:rsidRPr="009E4964" w:rsidRDefault="00980FDB" w:rsidP="00980FDB">
            <w:pPr>
              <w:rPr>
                <w:bCs/>
              </w:rPr>
            </w:pP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AGL</w:t>
            </w:r>
          </w:p>
        </w:tc>
        <w:tc>
          <w:tcPr>
            <w:tcW w:w="1204" w:type="dxa"/>
            <w:noWrap/>
            <w:hideMark/>
          </w:tcPr>
          <w:p w:rsidR="00980FDB" w:rsidRPr="009E4964" w:rsidRDefault="00980FDB" w:rsidP="00980FDB">
            <w:pPr>
              <w:jc w:val="right"/>
            </w:pPr>
            <w:r w:rsidRPr="009E4964">
              <w:t xml:space="preserve">0.95 </w:t>
            </w:r>
          </w:p>
        </w:tc>
        <w:tc>
          <w:tcPr>
            <w:tcW w:w="1205" w:type="dxa"/>
          </w:tcPr>
          <w:p w:rsidR="00980FDB" w:rsidRPr="009E4964" w:rsidRDefault="00980FDB" w:rsidP="00980FDB">
            <w:pPr>
              <w:jc w:val="right"/>
            </w:pPr>
            <w:r w:rsidRPr="009E4964">
              <w:t>(-0.28)</w:t>
            </w:r>
          </w:p>
        </w:tc>
        <w:tc>
          <w:tcPr>
            <w:tcW w:w="2552" w:type="dxa"/>
            <w:noWrap/>
            <w:hideMark/>
          </w:tcPr>
          <w:p w:rsidR="00980FDB" w:rsidRPr="009E4964" w:rsidRDefault="00980FDB" w:rsidP="00980FDB">
            <w:pPr>
              <w:jc w:val="right"/>
            </w:pPr>
            <w:r w:rsidRPr="009E4964">
              <w:t>35%</w:t>
            </w:r>
          </w:p>
        </w:tc>
        <w:tc>
          <w:tcPr>
            <w:tcW w:w="2551" w:type="dxa"/>
            <w:noWrap/>
            <w:hideMark/>
          </w:tcPr>
          <w:p w:rsidR="00980FDB" w:rsidRPr="009E4964" w:rsidRDefault="00980FDB" w:rsidP="00980FDB">
            <w:pPr>
              <w:jc w:val="right"/>
            </w:pPr>
            <w:r w:rsidRPr="009E4964">
              <w:t>80%</w:t>
            </w:r>
          </w:p>
        </w:tc>
      </w:tr>
      <w:tr w:rsidR="00980FDB" w:rsidRPr="009E4964" w:rsidTr="00534288">
        <w:trPr>
          <w:trHeight w:val="300"/>
        </w:trPr>
        <w:tc>
          <w:tcPr>
            <w:tcW w:w="2235" w:type="dxa"/>
            <w:noWrap/>
            <w:hideMark/>
          </w:tcPr>
          <w:p w:rsidR="00980FDB" w:rsidRPr="009E4964" w:rsidRDefault="00980FDB" w:rsidP="00980FDB">
            <w:pPr>
              <w:rPr>
                <w:b/>
              </w:rPr>
            </w:pPr>
            <w:r w:rsidRPr="009E4964">
              <w:t>Alinta Energy</w:t>
            </w:r>
          </w:p>
        </w:tc>
        <w:tc>
          <w:tcPr>
            <w:tcW w:w="1204" w:type="dxa"/>
            <w:noWrap/>
            <w:hideMark/>
          </w:tcPr>
          <w:p w:rsidR="00980FDB" w:rsidRPr="009E4964" w:rsidRDefault="00980FDB" w:rsidP="00980FDB">
            <w:pPr>
              <w:jc w:val="right"/>
              <w:rPr>
                <w:bCs/>
              </w:rPr>
            </w:pPr>
            <w:r w:rsidRPr="009E4964">
              <w:rPr>
                <w:bCs/>
              </w:rPr>
              <w:t xml:space="preserve">2.14 </w:t>
            </w:r>
          </w:p>
        </w:tc>
        <w:tc>
          <w:tcPr>
            <w:tcW w:w="1205" w:type="dxa"/>
          </w:tcPr>
          <w:p w:rsidR="00980FDB" w:rsidRPr="009E4964" w:rsidRDefault="00980FDB" w:rsidP="00980FDB">
            <w:pPr>
              <w:jc w:val="right"/>
              <w:rPr>
                <w:bCs/>
              </w:rPr>
            </w:pPr>
            <w:r w:rsidRPr="009E4964">
              <w:rPr>
                <w:bCs/>
              </w:rPr>
              <w:t>(+1.93)</w:t>
            </w:r>
          </w:p>
        </w:tc>
        <w:tc>
          <w:tcPr>
            <w:tcW w:w="2552" w:type="dxa"/>
            <w:noWrap/>
            <w:hideMark/>
          </w:tcPr>
          <w:p w:rsidR="00980FDB" w:rsidRPr="009E4964" w:rsidRDefault="00980FDB" w:rsidP="00980FDB">
            <w:pPr>
              <w:jc w:val="right"/>
              <w:rPr>
                <w:bCs/>
              </w:rPr>
            </w:pPr>
            <w:r w:rsidRPr="009E4964">
              <w:rPr>
                <w:bCs/>
              </w:rPr>
              <w:t>37%</w:t>
            </w:r>
          </w:p>
        </w:tc>
        <w:tc>
          <w:tcPr>
            <w:tcW w:w="2551" w:type="dxa"/>
            <w:noWrap/>
            <w:hideMark/>
          </w:tcPr>
          <w:p w:rsidR="00980FDB" w:rsidRPr="009E4964" w:rsidRDefault="00980FDB" w:rsidP="00980FDB">
            <w:pPr>
              <w:jc w:val="right"/>
              <w:rPr>
                <w:bCs/>
              </w:rPr>
            </w:pPr>
            <w:r w:rsidRPr="009E4964">
              <w:rPr>
                <w:bCs/>
              </w:rPr>
              <w:t>83%</w:t>
            </w: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pPr>
            <w:r w:rsidRPr="009E4964">
              <w:t xml:space="preserve">0.08 </w:t>
            </w:r>
          </w:p>
        </w:tc>
        <w:tc>
          <w:tcPr>
            <w:tcW w:w="1205" w:type="dxa"/>
          </w:tcPr>
          <w:p w:rsidR="00980FDB" w:rsidRPr="009E4964" w:rsidRDefault="00980FDB" w:rsidP="00980FDB">
            <w:pPr>
              <w:jc w:val="right"/>
            </w:pPr>
            <w:r w:rsidRPr="009E4964">
              <w:t>(-0.01)</w:t>
            </w:r>
          </w:p>
        </w:tc>
        <w:tc>
          <w:tcPr>
            <w:tcW w:w="2552" w:type="dxa"/>
            <w:noWrap/>
            <w:hideMark/>
          </w:tcPr>
          <w:p w:rsidR="00980FDB" w:rsidRPr="00173648" w:rsidRDefault="00173648" w:rsidP="00980FDB">
            <w:pPr>
              <w:jc w:val="right"/>
            </w:pPr>
            <w:r w:rsidRPr="00173648">
              <w:t>100</w:t>
            </w:r>
            <w:r w:rsidR="00980FDB" w:rsidRPr="00173648">
              <w:t>%</w:t>
            </w:r>
          </w:p>
        </w:tc>
        <w:tc>
          <w:tcPr>
            <w:tcW w:w="2551" w:type="dxa"/>
            <w:noWrap/>
            <w:hideMark/>
          </w:tcPr>
          <w:p w:rsidR="00980FDB" w:rsidRPr="00173648" w:rsidRDefault="00173648" w:rsidP="00980FDB">
            <w:pPr>
              <w:jc w:val="right"/>
            </w:pPr>
            <w:r w:rsidRPr="00173648">
              <w:t>21</w:t>
            </w:r>
            <w:r w:rsidR="00980FDB" w:rsidRPr="00173648">
              <w:t>%</w:t>
            </w:r>
          </w:p>
        </w:tc>
      </w:tr>
      <w:tr w:rsidR="00980FDB" w:rsidRPr="009E4964" w:rsidTr="00534288">
        <w:trPr>
          <w:trHeight w:val="300"/>
        </w:trPr>
        <w:tc>
          <w:tcPr>
            <w:tcW w:w="2235" w:type="dxa"/>
            <w:noWrap/>
            <w:hideMark/>
          </w:tcPr>
          <w:p w:rsidR="00980FDB" w:rsidRPr="009E4964" w:rsidRDefault="00980FDB" w:rsidP="00980FDB">
            <w:pPr>
              <w:rPr>
                <w:b/>
              </w:rPr>
            </w:pPr>
            <w:r w:rsidRPr="009E4964">
              <w:t>Origin Energy</w:t>
            </w:r>
          </w:p>
        </w:tc>
        <w:tc>
          <w:tcPr>
            <w:tcW w:w="1204" w:type="dxa"/>
            <w:noWrap/>
            <w:hideMark/>
          </w:tcPr>
          <w:p w:rsidR="00980FDB" w:rsidRPr="009E4964" w:rsidRDefault="00980FDB" w:rsidP="00980FDB">
            <w:pPr>
              <w:jc w:val="right"/>
              <w:rPr>
                <w:bCs/>
              </w:rPr>
            </w:pPr>
            <w:r w:rsidRPr="009E4964">
              <w:rPr>
                <w:bCs/>
              </w:rPr>
              <w:t xml:space="preserve">0.68 </w:t>
            </w:r>
          </w:p>
        </w:tc>
        <w:tc>
          <w:tcPr>
            <w:tcW w:w="1205" w:type="dxa"/>
          </w:tcPr>
          <w:p w:rsidR="00980FDB" w:rsidRPr="009E4964" w:rsidRDefault="00980FDB" w:rsidP="00980FDB">
            <w:pPr>
              <w:jc w:val="right"/>
              <w:rPr>
                <w:bCs/>
              </w:rPr>
            </w:pPr>
            <w:r w:rsidRPr="009E4964">
              <w:rPr>
                <w:bCs/>
              </w:rPr>
              <w:t>(+0.10)</w:t>
            </w:r>
          </w:p>
        </w:tc>
        <w:tc>
          <w:tcPr>
            <w:tcW w:w="2552" w:type="dxa"/>
            <w:noWrap/>
            <w:hideMark/>
          </w:tcPr>
          <w:p w:rsidR="00980FDB" w:rsidRPr="00173648" w:rsidRDefault="00980FDB" w:rsidP="00980FDB">
            <w:pPr>
              <w:jc w:val="right"/>
              <w:rPr>
                <w:bCs/>
              </w:rPr>
            </w:pPr>
            <w:r w:rsidRPr="00173648">
              <w:rPr>
                <w:bCs/>
              </w:rPr>
              <w:t>40%</w:t>
            </w:r>
          </w:p>
        </w:tc>
        <w:tc>
          <w:tcPr>
            <w:tcW w:w="2551" w:type="dxa"/>
            <w:noWrap/>
            <w:hideMark/>
          </w:tcPr>
          <w:p w:rsidR="00980FDB" w:rsidRPr="00087E29" w:rsidRDefault="00980FDB" w:rsidP="00980FDB">
            <w:pPr>
              <w:spacing w:line="276" w:lineRule="auto"/>
              <w:jc w:val="right"/>
              <w:rPr>
                <w:bCs/>
              </w:rPr>
            </w:pPr>
            <w:r w:rsidRPr="00173648">
              <w:rPr>
                <w:bCs/>
              </w:rPr>
              <w:t>72%</w:t>
            </w: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Simply Energy</w:t>
            </w:r>
          </w:p>
        </w:tc>
        <w:tc>
          <w:tcPr>
            <w:tcW w:w="1204" w:type="dxa"/>
            <w:noWrap/>
            <w:hideMark/>
          </w:tcPr>
          <w:p w:rsidR="00980FDB" w:rsidRPr="009E4964" w:rsidRDefault="00980FDB" w:rsidP="00980FDB">
            <w:pPr>
              <w:jc w:val="right"/>
            </w:pPr>
            <w:r w:rsidRPr="009E4964">
              <w:t xml:space="preserve">2.31 </w:t>
            </w:r>
          </w:p>
        </w:tc>
        <w:tc>
          <w:tcPr>
            <w:tcW w:w="1205" w:type="dxa"/>
          </w:tcPr>
          <w:p w:rsidR="00980FDB" w:rsidRPr="009E4964" w:rsidRDefault="00980FDB" w:rsidP="00980FDB">
            <w:pPr>
              <w:jc w:val="right"/>
            </w:pPr>
            <w:r w:rsidRPr="009E4964">
              <w:t>(-8.49)</w:t>
            </w:r>
          </w:p>
        </w:tc>
        <w:tc>
          <w:tcPr>
            <w:tcW w:w="2552" w:type="dxa"/>
            <w:noWrap/>
            <w:hideMark/>
          </w:tcPr>
          <w:p w:rsidR="00980FDB" w:rsidRPr="00173648" w:rsidRDefault="00980FDB" w:rsidP="00980FDB">
            <w:pPr>
              <w:jc w:val="right"/>
            </w:pPr>
            <w:r w:rsidRPr="00173648">
              <w:t>33%</w:t>
            </w:r>
          </w:p>
        </w:tc>
        <w:tc>
          <w:tcPr>
            <w:tcW w:w="2551" w:type="dxa"/>
            <w:noWrap/>
            <w:hideMark/>
          </w:tcPr>
          <w:p w:rsidR="00980FDB" w:rsidRPr="00087E29" w:rsidRDefault="00980FDB" w:rsidP="00980FDB">
            <w:pPr>
              <w:spacing w:line="276" w:lineRule="auto"/>
              <w:jc w:val="right"/>
            </w:pPr>
            <w:r w:rsidRPr="00173648">
              <w:t>63%</w:t>
            </w:r>
          </w:p>
        </w:tc>
      </w:tr>
      <w:tr w:rsidR="00980FDB" w:rsidRPr="009E4964" w:rsidTr="00534288">
        <w:trPr>
          <w:trHeight w:val="420"/>
        </w:trPr>
        <w:tc>
          <w:tcPr>
            <w:tcW w:w="2235" w:type="dxa"/>
            <w:noWrap/>
            <w:hideMark/>
          </w:tcPr>
          <w:p w:rsidR="00980FDB" w:rsidRPr="006E76B9" w:rsidRDefault="00980FDB" w:rsidP="00980FDB">
            <w:pPr>
              <w:rPr>
                <w:b/>
              </w:rPr>
            </w:pPr>
            <w:r w:rsidRPr="006E76B9">
              <w:rPr>
                <w:b/>
              </w:rPr>
              <w:t>TOTAL SA</w:t>
            </w:r>
          </w:p>
        </w:tc>
        <w:tc>
          <w:tcPr>
            <w:tcW w:w="1204" w:type="dxa"/>
            <w:noWrap/>
            <w:hideMark/>
          </w:tcPr>
          <w:p w:rsidR="00980FDB" w:rsidRPr="009E4964" w:rsidRDefault="00980FDB" w:rsidP="00980FDB">
            <w:pPr>
              <w:jc w:val="right"/>
              <w:rPr>
                <w:b/>
                <w:bCs/>
              </w:rPr>
            </w:pPr>
            <w:r w:rsidRPr="009E4964">
              <w:rPr>
                <w:b/>
                <w:bCs/>
              </w:rPr>
              <w:t>0.86</w:t>
            </w:r>
          </w:p>
        </w:tc>
        <w:tc>
          <w:tcPr>
            <w:tcW w:w="1205" w:type="dxa"/>
          </w:tcPr>
          <w:p w:rsidR="00980FDB" w:rsidRPr="009E4964" w:rsidRDefault="00980FDB" w:rsidP="00980FDB">
            <w:pPr>
              <w:jc w:val="right"/>
              <w:rPr>
                <w:b/>
                <w:bCs/>
              </w:rPr>
            </w:pPr>
            <w:r w:rsidRPr="009E4964">
              <w:rPr>
                <w:b/>
                <w:bCs/>
              </w:rPr>
              <w:t>(+0.08)</w:t>
            </w:r>
          </w:p>
        </w:tc>
        <w:tc>
          <w:tcPr>
            <w:tcW w:w="2552" w:type="dxa"/>
            <w:noWrap/>
            <w:hideMark/>
          </w:tcPr>
          <w:p w:rsidR="00980FDB" w:rsidRPr="00173648" w:rsidRDefault="00173648" w:rsidP="00980FDB">
            <w:pPr>
              <w:jc w:val="right"/>
              <w:rPr>
                <w:b/>
                <w:bCs/>
              </w:rPr>
            </w:pPr>
            <w:r w:rsidRPr="00173648">
              <w:rPr>
                <w:b/>
                <w:bCs/>
              </w:rPr>
              <w:t>37%</w:t>
            </w:r>
          </w:p>
        </w:tc>
        <w:tc>
          <w:tcPr>
            <w:tcW w:w="2551" w:type="dxa"/>
            <w:noWrap/>
            <w:hideMark/>
          </w:tcPr>
          <w:p w:rsidR="00980FDB" w:rsidRPr="00173648" w:rsidRDefault="00173648" w:rsidP="00980FDB">
            <w:pPr>
              <w:jc w:val="right"/>
              <w:rPr>
                <w:b/>
                <w:bCs/>
              </w:rPr>
            </w:pPr>
            <w:r w:rsidRPr="00173648">
              <w:rPr>
                <w:b/>
                <w:bCs/>
              </w:rPr>
              <w:t>72%</w:t>
            </w:r>
          </w:p>
        </w:tc>
      </w:tr>
      <w:tr w:rsidR="006F3C6C" w:rsidRPr="009E4964" w:rsidTr="00534288">
        <w:trPr>
          <w:cnfStyle w:val="000000010000" w:firstRow="0" w:lastRow="0" w:firstColumn="0" w:lastColumn="0" w:oddVBand="0" w:evenVBand="0" w:oddHBand="0" w:evenHBand="1" w:firstRowFirstColumn="0" w:firstRowLastColumn="0" w:lastRowFirstColumn="0" w:lastRowLastColumn="0"/>
          <w:trHeight w:val="420"/>
        </w:trPr>
        <w:tc>
          <w:tcPr>
            <w:tcW w:w="2235" w:type="dxa"/>
            <w:noWrap/>
          </w:tcPr>
          <w:p w:rsidR="006F3C6C" w:rsidRPr="006E76B9" w:rsidRDefault="006F3C6C" w:rsidP="00980FDB">
            <w:pPr>
              <w:rPr>
                <w:b/>
              </w:rPr>
            </w:pPr>
          </w:p>
        </w:tc>
        <w:tc>
          <w:tcPr>
            <w:tcW w:w="1204" w:type="dxa"/>
            <w:noWrap/>
          </w:tcPr>
          <w:p w:rsidR="006F3C6C" w:rsidRPr="009E4964" w:rsidRDefault="006F3C6C" w:rsidP="00980FDB">
            <w:pPr>
              <w:jc w:val="right"/>
              <w:rPr>
                <w:b/>
                <w:bCs/>
              </w:rPr>
            </w:pPr>
          </w:p>
        </w:tc>
        <w:tc>
          <w:tcPr>
            <w:tcW w:w="1205" w:type="dxa"/>
          </w:tcPr>
          <w:p w:rsidR="006F3C6C" w:rsidRPr="009E4964" w:rsidRDefault="006F3C6C" w:rsidP="00980FDB">
            <w:pPr>
              <w:jc w:val="right"/>
              <w:rPr>
                <w:b/>
                <w:bCs/>
              </w:rPr>
            </w:pPr>
          </w:p>
        </w:tc>
        <w:tc>
          <w:tcPr>
            <w:tcW w:w="2552" w:type="dxa"/>
            <w:noWrap/>
          </w:tcPr>
          <w:p w:rsidR="006F3C6C" w:rsidRPr="00173648" w:rsidRDefault="006F3C6C" w:rsidP="00980FDB">
            <w:pPr>
              <w:jc w:val="right"/>
              <w:rPr>
                <w:b/>
                <w:bCs/>
              </w:rPr>
            </w:pPr>
          </w:p>
        </w:tc>
        <w:tc>
          <w:tcPr>
            <w:tcW w:w="2551" w:type="dxa"/>
            <w:noWrap/>
          </w:tcPr>
          <w:p w:rsidR="006F3C6C" w:rsidRPr="00173648" w:rsidRDefault="006F3C6C" w:rsidP="00980FDB">
            <w:pPr>
              <w:jc w:val="right"/>
              <w:rPr>
                <w:b/>
                <w:bCs/>
              </w:rPr>
            </w:pPr>
          </w:p>
        </w:tc>
      </w:tr>
      <w:tr w:rsidR="00980FDB" w:rsidRPr="009E4964" w:rsidTr="00534288">
        <w:trPr>
          <w:trHeight w:val="300"/>
        </w:trPr>
        <w:tc>
          <w:tcPr>
            <w:tcW w:w="2235" w:type="dxa"/>
            <w:noWrap/>
            <w:hideMark/>
          </w:tcPr>
          <w:p w:rsidR="00980FDB" w:rsidRPr="006E76B9" w:rsidRDefault="00980FDB" w:rsidP="00980FDB">
            <w:pPr>
              <w:rPr>
                <w:b/>
                <w:i/>
              </w:rPr>
            </w:pPr>
            <w:r w:rsidRPr="006E76B9">
              <w:rPr>
                <w:b/>
                <w:i/>
              </w:rPr>
              <w:lastRenderedPageBreak/>
              <w:t>ACT</w:t>
            </w:r>
          </w:p>
        </w:tc>
        <w:tc>
          <w:tcPr>
            <w:tcW w:w="1204" w:type="dxa"/>
            <w:noWrap/>
            <w:hideMark/>
          </w:tcPr>
          <w:p w:rsidR="00980FDB" w:rsidRPr="009E4964" w:rsidRDefault="00980FDB" w:rsidP="00980FDB">
            <w:pPr>
              <w:jc w:val="right"/>
            </w:pPr>
          </w:p>
        </w:tc>
        <w:tc>
          <w:tcPr>
            <w:tcW w:w="1205" w:type="dxa"/>
          </w:tcPr>
          <w:p w:rsidR="00980FDB" w:rsidRPr="009E4964" w:rsidRDefault="00980FDB" w:rsidP="00980FDB">
            <w:pPr>
              <w:jc w:val="right"/>
            </w:pPr>
          </w:p>
        </w:tc>
        <w:tc>
          <w:tcPr>
            <w:tcW w:w="2552" w:type="dxa"/>
            <w:noWrap/>
            <w:hideMark/>
          </w:tcPr>
          <w:p w:rsidR="00980FDB" w:rsidRPr="009E4964" w:rsidRDefault="00980FDB" w:rsidP="00980FDB">
            <w:pPr>
              <w:jc w:val="right"/>
            </w:pPr>
          </w:p>
        </w:tc>
        <w:tc>
          <w:tcPr>
            <w:tcW w:w="2551" w:type="dxa"/>
            <w:noWrap/>
            <w:hideMark/>
          </w:tcPr>
          <w:p w:rsidR="00980FDB" w:rsidRPr="009E4964" w:rsidRDefault="00980FDB" w:rsidP="00980FDB">
            <w:pPr>
              <w:jc w:val="right"/>
            </w:pP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proofErr w:type="spellStart"/>
            <w:r w:rsidRPr="009E4964">
              <w:t>ActewAGL</w:t>
            </w:r>
            <w:proofErr w:type="spellEnd"/>
          </w:p>
        </w:tc>
        <w:tc>
          <w:tcPr>
            <w:tcW w:w="1204" w:type="dxa"/>
            <w:noWrap/>
            <w:hideMark/>
          </w:tcPr>
          <w:p w:rsidR="00980FDB" w:rsidRPr="009E4964" w:rsidRDefault="00980FDB" w:rsidP="00980FDB">
            <w:pPr>
              <w:jc w:val="right"/>
              <w:rPr>
                <w:bCs/>
              </w:rPr>
            </w:pPr>
            <w:r w:rsidRPr="009E4964">
              <w:rPr>
                <w:bCs/>
              </w:rPr>
              <w:t xml:space="preserve">0.90 </w:t>
            </w:r>
          </w:p>
        </w:tc>
        <w:tc>
          <w:tcPr>
            <w:tcW w:w="1205" w:type="dxa"/>
          </w:tcPr>
          <w:p w:rsidR="00980FDB" w:rsidRPr="009E4964" w:rsidRDefault="00980FDB" w:rsidP="00980FDB">
            <w:pPr>
              <w:jc w:val="right"/>
              <w:rPr>
                <w:bCs/>
              </w:rPr>
            </w:pPr>
            <w:r w:rsidRPr="009E4964">
              <w:rPr>
                <w:bCs/>
              </w:rPr>
              <w:t>(-0.58)</w:t>
            </w:r>
          </w:p>
        </w:tc>
        <w:tc>
          <w:tcPr>
            <w:tcW w:w="2552" w:type="dxa"/>
            <w:noWrap/>
            <w:hideMark/>
          </w:tcPr>
          <w:p w:rsidR="00980FDB" w:rsidRPr="009E4964" w:rsidRDefault="00980FDB" w:rsidP="00980FDB">
            <w:pPr>
              <w:jc w:val="right"/>
              <w:rPr>
                <w:bCs/>
              </w:rPr>
            </w:pPr>
            <w:r w:rsidRPr="009E4964">
              <w:rPr>
                <w:bCs/>
              </w:rPr>
              <w:t>35%</w:t>
            </w:r>
          </w:p>
        </w:tc>
        <w:tc>
          <w:tcPr>
            <w:tcW w:w="2551" w:type="dxa"/>
            <w:noWrap/>
            <w:hideMark/>
          </w:tcPr>
          <w:p w:rsidR="00980FDB" w:rsidRPr="009E4964" w:rsidRDefault="00980FDB" w:rsidP="00980FDB">
            <w:pPr>
              <w:jc w:val="right"/>
              <w:rPr>
                <w:bCs/>
              </w:rPr>
            </w:pPr>
            <w:r w:rsidRPr="009E4964">
              <w:rPr>
                <w:bCs/>
              </w:rPr>
              <w:t>70%</w:t>
            </w:r>
          </w:p>
        </w:tc>
      </w:tr>
      <w:tr w:rsidR="00980FDB" w:rsidRPr="009E4964" w:rsidTr="00534288">
        <w:trPr>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pPr>
            <w:r w:rsidRPr="009E4964">
              <w:t xml:space="preserve">1.89 </w:t>
            </w:r>
          </w:p>
        </w:tc>
        <w:tc>
          <w:tcPr>
            <w:tcW w:w="1205" w:type="dxa"/>
          </w:tcPr>
          <w:p w:rsidR="00980FDB" w:rsidRPr="009E4964" w:rsidRDefault="00980FDB" w:rsidP="00980FDB">
            <w:pPr>
              <w:jc w:val="right"/>
            </w:pPr>
            <w:r w:rsidRPr="009E4964">
              <w:t>(+1.53)</w:t>
            </w:r>
          </w:p>
        </w:tc>
        <w:tc>
          <w:tcPr>
            <w:tcW w:w="2552" w:type="dxa"/>
            <w:noWrap/>
            <w:hideMark/>
          </w:tcPr>
          <w:p w:rsidR="00980FDB" w:rsidRPr="009E4964" w:rsidRDefault="00173648" w:rsidP="00980FDB">
            <w:pPr>
              <w:jc w:val="right"/>
            </w:pPr>
            <w:r>
              <w:t>15</w:t>
            </w:r>
            <w:r w:rsidR="00980FDB" w:rsidRPr="009E4964">
              <w:t>%</w:t>
            </w:r>
          </w:p>
        </w:tc>
        <w:tc>
          <w:tcPr>
            <w:tcW w:w="2551" w:type="dxa"/>
            <w:noWrap/>
            <w:hideMark/>
          </w:tcPr>
          <w:p w:rsidR="00980FDB" w:rsidRPr="009E4964" w:rsidRDefault="00173648" w:rsidP="00980FDB">
            <w:pPr>
              <w:jc w:val="right"/>
            </w:pPr>
            <w:r>
              <w:t>92</w:t>
            </w:r>
            <w:r w:rsidR="00980FDB" w:rsidRPr="009E4964">
              <w:t>%</w:t>
            </w: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6E76B9" w:rsidRDefault="00980FDB" w:rsidP="00980FDB">
            <w:pPr>
              <w:rPr>
                <w:b/>
              </w:rPr>
            </w:pPr>
            <w:r w:rsidRPr="006E76B9">
              <w:rPr>
                <w:b/>
              </w:rPr>
              <w:t>TOTAL ACT</w:t>
            </w:r>
          </w:p>
        </w:tc>
        <w:tc>
          <w:tcPr>
            <w:tcW w:w="1204" w:type="dxa"/>
            <w:noWrap/>
            <w:hideMark/>
          </w:tcPr>
          <w:p w:rsidR="00980FDB" w:rsidRPr="009E4964" w:rsidRDefault="00980FDB" w:rsidP="00980FDB">
            <w:pPr>
              <w:jc w:val="right"/>
              <w:rPr>
                <w:b/>
                <w:bCs/>
              </w:rPr>
            </w:pPr>
            <w:r w:rsidRPr="009E4964">
              <w:rPr>
                <w:b/>
                <w:bCs/>
              </w:rPr>
              <w:t>0.94</w:t>
            </w:r>
          </w:p>
        </w:tc>
        <w:tc>
          <w:tcPr>
            <w:tcW w:w="1205" w:type="dxa"/>
          </w:tcPr>
          <w:p w:rsidR="00980FDB" w:rsidRPr="009E4964" w:rsidRDefault="00980FDB" w:rsidP="00980FDB">
            <w:pPr>
              <w:jc w:val="right"/>
              <w:rPr>
                <w:b/>
                <w:bCs/>
              </w:rPr>
            </w:pPr>
            <w:r w:rsidRPr="009E4964">
              <w:rPr>
                <w:b/>
                <w:bCs/>
              </w:rPr>
              <w:t>(-0.50)</w:t>
            </w:r>
          </w:p>
        </w:tc>
        <w:tc>
          <w:tcPr>
            <w:tcW w:w="2552" w:type="dxa"/>
            <w:noWrap/>
            <w:hideMark/>
          </w:tcPr>
          <w:p w:rsidR="00980FDB" w:rsidRPr="009E4964" w:rsidRDefault="00173648" w:rsidP="00980FDB">
            <w:pPr>
              <w:jc w:val="right"/>
              <w:rPr>
                <w:b/>
                <w:bCs/>
              </w:rPr>
            </w:pPr>
            <w:r>
              <w:rPr>
                <w:b/>
                <w:bCs/>
              </w:rPr>
              <w:t>33</w:t>
            </w:r>
            <w:r w:rsidR="00980FDB" w:rsidRPr="009E4964">
              <w:rPr>
                <w:b/>
                <w:bCs/>
              </w:rPr>
              <w:t>%</w:t>
            </w:r>
          </w:p>
        </w:tc>
        <w:tc>
          <w:tcPr>
            <w:tcW w:w="2551" w:type="dxa"/>
            <w:noWrap/>
            <w:hideMark/>
          </w:tcPr>
          <w:p w:rsidR="00980FDB" w:rsidRPr="009E4964" w:rsidRDefault="00173648" w:rsidP="00980FDB">
            <w:pPr>
              <w:jc w:val="right"/>
              <w:rPr>
                <w:b/>
                <w:bCs/>
              </w:rPr>
            </w:pPr>
            <w:r>
              <w:rPr>
                <w:b/>
                <w:bCs/>
              </w:rPr>
              <w:t>71</w:t>
            </w:r>
            <w:r w:rsidR="00980FDB" w:rsidRPr="009E4964">
              <w:rPr>
                <w:b/>
                <w:bCs/>
              </w:rPr>
              <w:t>%</w:t>
            </w:r>
          </w:p>
        </w:tc>
      </w:tr>
      <w:tr w:rsidR="00980FDB" w:rsidRPr="009E4964" w:rsidTr="00534288">
        <w:trPr>
          <w:trHeight w:val="300"/>
        </w:trPr>
        <w:tc>
          <w:tcPr>
            <w:tcW w:w="2235" w:type="dxa"/>
            <w:noWrap/>
            <w:hideMark/>
          </w:tcPr>
          <w:p w:rsidR="00980FDB" w:rsidRPr="006E76B9" w:rsidRDefault="00980FDB" w:rsidP="00980FDB">
            <w:pPr>
              <w:rPr>
                <w:b/>
                <w:i/>
              </w:rPr>
            </w:pPr>
            <w:r w:rsidRPr="006E76B9">
              <w:rPr>
                <w:b/>
                <w:i/>
              </w:rPr>
              <w:t>NSW</w:t>
            </w:r>
          </w:p>
        </w:tc>
        <w:tc>
          <w:tcPr>
            <w:tcW w:w="1204" w:type="dxa"/>
            <w:noWrap/>
            <w:hideMark/>
          </w:tcPr>
          <w:p w:rsidR="00980FDB" w:rsidRPr="009E4964" w:rsidRDefault="00980FDB" w:rsidP="00980FDB">
            <w:pPr>
              <w:jc w:val="right"/>
            </w:pPr>
          </w:p>
        </w:tc>
        <w:tc>
          <w:tcPr>
            <w:tcW w:w="1205" w:type="dxa"/>
          </w:tcPr>
          <w:p w:rsidR="00980FDB" w:rsidRPr="009E4964" w:rsidRDefault="00980FDB" w:rsidP="00980FDB">
            <w:pPr>
              <w:jc w:val="right"/>
            </w:pPr>
          </w:p>
        </w:tc>
        <w:tc>
          <w:tcPr>
            <w:tcW w:w="2552" w:type="dxa"/>
            <w:noWrap/>
            <w:hideMark/>
          </w:tcPr>
          <w:p w:rsidR="00980FDB" w:rsidRPr="009E4964" w:rsidRDefault="00980FDB" w:rsidP="00980FDB">
            <w:pPr>
              <w:jc w:val="right"/>
            </w:pPr>
          </w:p>
        </w:tc>
        <w:tc>
          <w:tcPr>
            <w:tcW w:w="2551" w:type="dxa"/>
            <w:noWrap/>
            <w:hideMark/>
          </w:tcPr>
          <w:p w:rsidR="00980FDB" w:rsidRPr="009E4964" w:rsidRDefault="00980FDB" w:rsidP="00980FDB">
            <w:pPr>
              <w:jc w:val="right"/>
            </w:pP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ActewAGL</w:t>
            </w:r>
          </w:p>
        </w:tc>
        <w:tc>
          <w:tcPr>
            <w:tcW w:w="1204" w:type="dxa"/>
            <w:noWrap/>
            <w:hideMark/>
          </w:tcPr>
          <w:p w:rsidR="00980FDB" w:rsidRPr="009E4964" w:rsidRDefault="00980FDB" w:rsidP="00980FDB">
            <w:pPr>
              <w:jc w:val="right"/>
              <w:rPr>
                <w:bCs/>
              </w:rPr>
            </w:pPr>
            <w:r w:rsidRPr="009E4964">
              <w:rPr>
                <w:bCs/>
              </w:rPr>
              <w:t xml:space="preserve">1.19 </w:t>
            </w:r>
          </w:p>
        </w:tc>
        <w:tc>
          <w:tcPr>
            <w:tcW w:w="1205" w:type="dxa"/>
          </w:tcPr>
          <w:p w:rsidR="00980FDB" w:rsidRPr="009E4964" w:rsidRDefault="00980FDB" w:rsidP="00980FDB">
            <w:pPr>
              <w:jc w:val="right"/>
              <w:rPr>
                <w:bCs/>
              </w:rPr>
            </w:pPr>
            <w:r w:rsidRPr="009E4964">
              <w:rPr>
                <w:bCs/>
              </w:rPr>
              <w:t>(-0.98)</w:t>
            </w:r>
          </w:p>
        </w:tc>
        <w:tc>
          <w:tcPr>
            <w:tcW w:w="2552" w:type="dxa"/>
            <w:noWrap/>
            <w:hideMark/>
          </w:tcPr>
          <w:p w:rsidR="00980FDB" w:rsidRPr="009E4964" w:rsidRDefault="00980FDB" w:rsidP="00980FDB">
            <w:pPr>
              <w:jc w:val="right"/>
              <w:rPr>
                <w:bCs/>
              </w:rPr>
            </w:pPr>
            <w:r w:rsidRPr="009E4964">
              <w:rPr>
                <w:bCs/>
              </w:rPr>
              <w:t>28%</w:t>
            </w:r>
          </w:p>
        </w:tc>
        <w:tc>
          <w:tcPr>
            <w:tcW w:w="2551" w:type="dxa"/>
            <w:noWrap/>
            <w:hideMark/>
          </w:tcPr>
          <w:p w:rsidR="00980FDB" w:rsidRPr="009E4964" w:rsidRDefault="00980FDB" w:rsidP="00980FDB">
            <w:pPr>
              <w:jc w:val="right"/>
              <w:rPr>
                <w:bCs/>
              </w:rPr>
            </w:pPr>
            <w:r w:rsidRPr="009E4964">
              <w:rPr>
                <w:bCs/>
              </w:rPr>
              <w:t>58%</w:t>
            </w:r>
          </w:p>
        </w:tc>
      </w:tr>
      <w:tr w:rsidR="00980FDB" w:rsidRPr="009E4964" w:rsidTr="00534288">
        <w:trPr>
          <w:trHeight w:val="300"/>
        </w:trPr>
        <w:tc>
          <w:tcPr>
            <w:tcW w:w="2235" w:type="dxa"/>
            <w:noWrap/>
            <w:hideMark/>
          </w:tcPr>
          <w:p w:rsidR="00980FDB" w:rsidRPr="009E4964" w:rsidRDefault="00980FDB" w:rsidP="00980FDB">
            <w:pPr>
              <w:rPr>
                <w:b/>
              </w:rPr>
            </w:pPr>
            <w:r w:rsidRPr="009E4964">
              <w:t xml:space="preserve">AGL </w:t>
            </w:r>
          </w:p>
        </w:tc>
        <w:tc>
          <w:tcPr>
            <w:tcW w:w="1204" w:type="dxa"/>
            <w:noWrap/>
            <w:hideMark/>
          </w:tcPr>
          <w:p w:rsidR="00980FDB" w:rsidRPr="009E4964" w:rsidRDefault="00980FDB" w:rsidP="00980FDB">
            <w:pPr>
              <w:jc w:val="right"/>
            </w:pPr>
            <w:r w:rsidRPr="009E4964">
              <w:t xml:space="preserve">0.51 </w:t>
            </w:r>
          </w:p>
        </w:tc>
        <w:tc>
          <w:tcPr>
            <w:tcW w:w="1205" w:type="dxa"/>
          </w:tcPr>
          <w:p w:rsidR="00980FDB" w:rsidRPr="009E4964" w:rsidRDefault="00980FDB" w:rsidP="00980FDB">
            <w:pPr>
              <w:jc w:val="right"/>
            </w:pPr>
            <w:r w:rsidRPr="009E4964">
              <w:t>(-0.41)</w:t>
            </w:r>
          </w:p>
        </w:tc>
        <w:tc>
          <w:tcPr>
            <w:tcW w:w="2552" w:type="dxa"/>
            <w:noWrap/>
            <w:hideMark/>
          </w:tcPr>
          <w:p w:rsidR="00980FDB" w:rsidRPr="009E4964" w:rsidRDefault="00980FDB" w:rsidP="00980FDB">
            <w:pPr>
              <w:jc w:val="right"/>
            </w:pPr>
            <w:r w:rsidRPr="009E4964">
              <w:t>26%</w:t>
            </w:r>
          </w:p>
        </w:tc>
        <w:tc>
          <w:tcPr>
            <w:tcW w:w="2551" w:type="dxa"/>
            <w:noWrap/>
            <w:hideMark/>
          </w:tcPr>
          <w:p w:rsidR="00980FDB" w:rsidRPr="009E4964" w:rsidRDefault="00980FDB" w:rsidP="00980FDB">
            <w:pPr>
              <w:jc w:val="right"/>
            </w:pPr>
            <w:r w:rsidRPr="009E4964">
              <w:t>76%</w:t>
            </w: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EnergyAustralia</w:t>
            </w:r>
          </w:p>
        </w:tc>
        <w:tc>
          <w:tcPr>
            <w:tcW w:w="1204" w:type="dxa"/>
            <w:noWrap/>
            <w:hideMark/>
          </w:tcPr>
          <w:p w:rsidR="00980FDB" w:rsidRPr="009E4964" w:rsidRDefault="00980FDB" w:rsidP="00980FDB">
            <w:pPr>
              <w:jc w:val="right"/>
              <w:rPr>
                <w:bCs/>
              </w:rPr>
            </w:pPr>
            <w:r w:rsidRPr="009E4964">
              <w:rPr>
                <w:bCs/>
              </w:rPr>
              <w:t xml:space="preserve">0.15 </w:t>
            </w:r>
          </w:p>
        </w:tc>
        <w:tc>
          <w:tcPr>
            <w:tcW w:w="1205" w:type="dxa"/>
          </w:tcPr>
          <w:p w:rsidR="00980FDB" w:rsidRPr="009E4964" w:rsidRDefault="00980FDB" w:rsidP="00980FDB">
            <w:pPr>
              <w:jc w:val="right"/>
              <w:rPr>
                <w:bCs/>
              </w:rPr>
            </w:pPr>
            <w:r w:rsidRPr="009E4964">
              <w:rPr>
                <w:bCs/>
              </w:rPr>
              <w:t>(+0.05)</w:t>
            </w:r>
          </w:p>
        </w:tc>
        <w:tc>
          <w:tcPr>
            <w:tcW w:w="2552" w:type="dxa"/>
            <w:noWrap/>
            <w:hideMark/>
          </w:tcPr>
          <w:p w:rsidR="00980FDB" w:rsidRPr="00670DE0" w:rsidRDefault="00670DE0" w:rsidP="00980FDB">
            <w:pPr>
              <w:jc w:val="right"/>
              <w:rPr>
                <w:bCs/>
              </w:rPr>
            </w:pPr>
            <w:r w:rsidRPr="00670DE0">
              <w:rPr>
                <w:bCs/>
              </w:rPr>
              <w:t>27</w:t>
            </w:r>
            <w:r w:rsidR="00980FDB" w:rsidRPr="00670DE0">
              <w:rPr>
                <w:bCs/>
              </w:rPr>
              <w:t>%</w:t>
            </w:r>
          </w:p>
        </w:tc>
        <w:tc>
          <w:tcPr>
            <w:tcW w:w="2551" w:type="dxa"/>
            <w:noWrap/>
            <w:hideMark/>
          </w:tcPr>
          <w:p w:rsidR="00980FDB" w:rsidRPr="00670DE0" w:rsidRDefault="00980FDB" w:rsidP="00980FDB">
            <w:pPr>
              <w:jc w:val="right"/>
              <w:rPr>
                <w:bCs/>
              </w:rPr>
            </w:pPr>
            <w:r w:rsidRPr="00670DE0">
              <w:rPr>
                <w:bCs/>
              </w:rPr>
              <w:t>10</w:t>
            </w:r>
            <w:r w:rsidR="00670DE0" w:rsidRPr="00670DE0">
              <w:rPr>
                <w:bCs/>
              </w:rPr>
              <w:t>0</w:t>
            </w:r>
            <w:r w:rsidRPr="00670DE0">
              <w:rPr>
                <w:bCs/>
              </w:rPr>
              <w:t>%</w:t>
            </w:r>
          </w:p>
        </w:tc>
      </w:tr>
      <w:tr w:rsidR="00980FDB" w:rsidRPr="009E4964" w:rsidTr="00534288">
        <w:trPr>
          <w:trHeight w:val="300"/>
        </w:trPr>
        <w:tc>
          <w:tcPr>
            <w:tcW w:w="2235" w:type="dxa"/>
            <w:noWrap/>
            <w:hideMark/>
          </w:tcPr>
          <w:p w:rsidR="00980FDB" w:rsidRPr="009E4964" w:rsidRDefault="00980FDB" w:rsidP="00980FDB">
            <w:pPr>
              <w:rPr>
                <w:b/>
              </w:rPr>
            </w:pPr>
            <w:r w:rsidRPr="009E4964">
              <w:t>Lumo Energy</w:t>
            </w:r>
          </w:p>
        </w:tc>
        <w:tc>
          <w:tcPr>
            <w:tcW w:w="1204" w:type="dxa"/>
            <w:noWrap/>
            <w:hideMark/>
          </w:tcPr>
          <w:p w:rsidR="00980FDB" w:rsidRPr="009E4964" w:rsidRDefault="00980FDB" w:rsidP="00980FDB">
            <w:pPr>
              <w:jc w:val="right"/>
            </w:pPr>
            <w:r w:rsidRPr="009E4964">
              <w:t xml:space="preserve">0.67 </w:t>
            </w:r>
          </w:p>
        </w:tc>
        <w:tc>
          <w:tcPr>
            <w:tcW w:w="1205" w:type="dxa"/>
          </w:tcPr>
          <w:p w:rsidR="00980FDB" w:rsidRPr="009E4964" w:rsidRDefault="00980FDB" w:rsidP="00980FDB">
            <w:pPr>
              <w:jc w:val="right"/>
            </w:pPr>
            <w:r w:rsidRPr="009E4964">
              <w:t>(+0.63)</w:t>
            </w:r>
          </w:p>
        </w:tc>
        <w:tc>
          <w:tcPr>
            <w:tcW w:w="2552" w:type="dxa"/>
            <w:noWrap/>
            <w:hideMark/>
          </w:tcPr>
          <w:p w:rsidR="00980FDB" w:rsidRPr="00670DE0" w:rsidRDefault="00980FDB" w:rsidP="00980FDB">
            <w:pPr>
              <w:jc w:val="right"/>
            </w:pPr>
            <w:r w:rsidRPr="00670DE0">
              <w:t>29%</w:t>
            </w:r>
          </w:p>
        </w:tc>
        <w:tc>
          <w:tcPr>
            <w:tcW w:w="2551" w:type="dxa"/>
            <w:noWrap/>
            <w:hideMark/>
          </w:tcPr>
          <w:p w:rsidR="00980FDB" w:rsidRPr="00087E29" w:rsidRDefault="00980FDB" w:rsidP="00980FDB">
            <w:pPr>
              <w:spacing w:line="276" w:lineRule="auto"/>
              <w:jc w:val="right"/>
            </w:pPr>
            <w:r w:rsidRPr="00670DE0">
              <w:t>96%</w:t>
            </w:r>
          </w:p>
        </w:tc>
      </w:tr>
      <w:tr w:rsidR="00980FDB" w:rsidRPr="009E4964" w:rsidTr="00534288">
        <w:trPr>
          <w:cnfStyle w:val="000000010000" w:firstRow="0" w:lastRow="0" w:firstColumn="0" w:lastColumn="0" w:oddVBand="0" w:evenVBand="0" w:oddHBand="0" w:evenHBand="1" w:firstRowFirstColumn="0" w:firstRowLastColumn="0" w:lastRowFirstColumn="0" w:lastRowLastColumn="0"/>
          <w:trHeight w:val="300"/>
        </w:trPr>
        <w:tc>
          <w:tcPr>
            <w:tcW w:w="2235" w:type="dxa"/>
            <w:noWrap/>
            <w:hideMark/>
          </w:tcPr>
          <w:p w:rsidR="00980FDB" w:rsidRPr="009E4964" w:rsidRDefault="00980FDB" w:rsidP="00980FDB">
            <w:pPr>
              <w:rPr>
                <w:b/>
              </w:rPr>
            </w:pPr>
            <w:r w:rsidRPr="009E4964">
              <w:t>Origin Energy</w:t>
            </w:r>
          </w:p>
        </w:tc>
        <w:tc>
          <w:tcPr>
            <w:tcW w:w="1204" w:type="dxa"/>
            <w:noWrap/>
            <w:hideMark/>
          </w:tcPr>
          <w:p w:rsidR="00980FDB" w:rsidRPr="009E4964" w:rsidRDefault="00980FDB" w:rsidP="00980FDB">
            <w:pPr>
              <w:jc w:val="right"/>
              <w:rPr>
                <w:bCs/>
              </w:rPr>
            </w:pPr>
            <w:r w:rsidRPr="009E4964">
              <w:rPr>
                <w:bCs/>
              </w:rPr>
              <w:t xml:space="preserve">0.18 </w:t>
            </w:r>
          </w:p>
        </w:tc>
        <w:tc>
          <w:tcPr>
            <w:tcW w:w="1205" w:type="dxa"/>
          </w:tcPr>
          <w:p w:rsidR="00980FDB" w:rsidRPr="009E4964" w:rsidRDefault="00980FDB" w:rsidP="00980FDB">
            <w:pPr>
              <w:jc w:val="right"/>
              <w:rPr>
                <w:bCs/>
              </w:rPr>
            </w:pPr>
            <w:r w:rsidRPr="009E4964">
              <w:rPr>
                <w:bCs/>
              </w:rPr>
              <w:t>(-0.27)</w:t>
            </w:r>
          </w:p>
        </w:tc>
        <w:tc>
          <w:tcPr>
            <w:tcW w:w="2552" w:type="dxa"/>
            <w:noWrap/>
            <w:hideMark/>
          </w:tcPr>
          <w:p w:rsidR="00980FDB" w:rsidRPr="00670DE0" w:rsidRDefault="00980FDB" w:rsidP="00980FDB">
            <w:pPr>
              <w:jc w:val="right"/>
              <w:rPr>
                <w:bCs/>
              </w:rPr>
            </w:pPr>
            <w:r w:rsidRPr="00670DE0">
              <w:rPr>
                <w:bCs/>
              </w:rPr>
              <w:t>41%</w:t>
            </w:r>
          </w:p>
        </w:tc>
        <w:tc>
          <w:tcPr>
            <w:tcW w:w="2551" w:type="dxa"/>
            <w:noWrap/>
            <w:hideMark/>
          </w:tcPr>
          <w:p w:rsidR="00980FDB" w:rsidRPr="00087E29" w:rsidRDefault="00980FDB" w:rsidP="00980FDB">
            <w:pPr>
              <w:spacing w:line="276" w:lineRule="auto"/>
              <w:jc w:val="right"/>
              <w:rPr>
                <w:bCs/>
              </w:rPr>
            </w:pPr>
            <w:r w:rsidRPr="00670DE0">
              <w:rPr>
                <w:bCs/>
              </w:rPr>
              <w:t>74%</w:t>
            </w:r>
          </w:p>
        </w:tc>
      </w:tr>
      <w:tr w:rsidR="009E4964" w:rsidRPr="009E4964" w:rsidTr="00534288">
        <w:trPr>
          <w:trHeight w:val="300"/>
        </w:trPr>
        <w:tc>
          <w:tcPr>
            <w:tcW w:w="2235" w:type="dxa"/>
            <w:noWrap/>
            <w:hideMark/>
          </w:tcPr>
          <w:p w:rsidR="00980FDB" w:rsidRPr="006E76B9" w:rsidRDefault="00980FDB" w:rsidP="00980FDB">
            <w:pPr>
              <w:rPr>
                <w:b/>
              </w:rPr>
            </w:pPr>
            <w:r w:rsidRPr="006E76B9">
              <w:rPr>
                <w:b/>
              </w:rPr>
              <w:t>TOTAL NSW</w:t>
            </w:r>
          </w:p>
        </w:tc>
        <w:tc>
          <w:tcPr>
            <w:tcW w:w="1204" w:type="dxa"/>
            <w:noWrap/>
            <w:hideMark/>
          </w:tcPr>
          <w:p w:rsidR="00980FDB" w:rsidRPr="009E4964" w:rsidRDefault="00980FDB" w:rsidP="00980FDB">
            <w:pPr>
              <w:jc w:val="right"/>
              <w:rPr>
                <w:b/>
              </w:rPr>
            </w:pPr>
            <w:r w:rsidRPr="009E4964">
              <w:rPr>
                <w:b/>
              </w:rPr>
              <w:t> 0.39</w:t>
            </w:r>
          </w:p>
        </w:tc>
        <w:tc>
          <w:tcPr>
            <w:tcW w:w="1205" w:type="dxa"/>
          </w:tcPr>
          <w:p w:rsidR="00980FDB" w:rsidRPr="009E4964" w:rsidRDefault="00980FDB" w:rsidP="00980FDB">
            <w:pPr>
              <w:jc w:val="right"/>
              <w:rPr>
                <w:b/>
              </w:rPr>
            </w:pPr>
            <w:r w:rsidRPr="009E4964">
              <w:rPr>
                <w:b/>
              </w:rPr>
              <w:t>(-0.29)</w:t>
            </w:r>
          </w:p>
        </w:tc>
        <w:tc>
          <w:tcPr>
            <w:tcW w:w="2552" w:type="dxa"/>
            <w:noWrap/>
            <w:hideMark/>
          </w:tcPr>
          <w:p w:rsidR="00980FDB" w:rsidRPr="00670DE0" w:rsidRDefault="00670DE0" w:rsidP="00980FDB">
            <w:pPr>
              <w:jc w:val="right"/>
              <w:rPr>
                <w:b/>
              </w:rPr>
            </w:pPr>
            <w:r>
              <w:rPr>
                <w:b/>
              </w:rPr>
              <w:t>28%</w:t>
            </w:r>
            <w:r w:rsidRPr="00670DE0">
              <w:rPr>
                <w:b/>
              </w:rPr>
              <w:t> </w:t>
            </w:r>
          </w:p>
        </w:tc>
        <w:tc>
          <w:tcPr>
            <w:tcW w:w="2551" w:type="dxa"/>
            <w:noWrap/>
            <w:hideMark/>
          </w:tcPr>
          <w:p w:rsidR="00980FDB" w:rsidRPr="00670DE0" w:rsidRDefault="00980FDB" w:rsidP="00670DE0">
            <w:pPr>
              <w:jc w:val="right"/>
              <w:rPr>
                <w:b/>
              </w:rPr>
            </w:pPr>
            <w:r w:rsidRPr="00670DE0">
              <w:rPr>
                <w:b/>
              </w:rPr>
              <w:t> </w:t>
            </w:r>
            <w:r w:rsidR="00670DE0">
              <w:rPr>
                <w:b/>
              </w:rPr>
              <w:t>78%</w:t>
            </w:r>
          </w:p>
        </w:tc>
      </w:tr>
    </w:tbl>
    <w:p w:rsidR="00980FDB" w:rsidRPr="00A46837" w:rsidRDefault="00980FDB" w:rsidP="00980FDB">
      <w:pPr>
        <w:spacing w:before="0" w:after="200"/>
        <w:rPr>
          <w:b/>
        </w:rPr>
      </w:pPr>
    </w:p>
    <w:p w:rsidR="00980FDB" w:rsidRDefault="00453620" w:rsidP="00980FDB">
      <w:pPr>
        <w:spacing w:before="0" w:after="200"/>
      </w:pPr>
      <w:r>
        <w:t xml:space="preserve">Most </w:t>
      </w:r>
      <w:r w:rsidR="00980FDB">
        <w:t>retailers disconnected fewer than 2 per cent of their customers in 2013-14</w:t>
      </w:r>
      <w:r>
        <w:t xml:space="preserve">. The exceptions were </w:t>
      </w:r>
      <w:r w:rsidR="00980FDB">
        <w:t xml:space="preserve">Alinta Energy, Simply Energy (in South Australia) and QEnergy (in NSW). Although Simply Energy and QEnergy have a large proportion of customers on hardship programs, Alinta Energy has very few customers receiving this additional form of assistance and may be more subject to a disconnection for non-payment. </w:t>
      </w:r>
      <w:r w:rsidR="00816316">
        <w:t xml:space="preserve">Although Alinta Energy’s rate of disconnection has decreased since 2012-13, it remains more than double the rate of any other retailer. </w:t>
      </w:r>
      <w:r w:rsidR="00A16827">
        <w:t>Click Energy and Sanctuary Energy disconnected a low proportion of their customers; however they also had very few customers on hardship programs during 2013-14.</w:t>
      </w:r>
      <w:r w:rsidR="00A16827">
        <w:rPr>
          <w:rStyle w:val="FootnoteReference"/>
        </w:rPr>
        <w:footnoteReference w:id="23"/>
      </w:r>
      <w:r w:rsidR="00A16827">
        <w:t xml:space="preserve">  </w:t>
      </w:r>
    </w:p>
    <w:p w:rsidR="00FA7EFA" w:rsidRDefault="009E4964" w:rsidP="00980FDB">
      <w:pPr>
        <w:spacing w:before="0" w:after="200"/>
      </w:pPr>
      <w:r>
        <w:t>Tables 2.9 and 2.10</w:t>
      </w:r>
      <w:r w:rsidR="00980FDB">
        <w:t xml:space="preserve"> show the number of residential electricity and gas disconnections in each jurisdiction since 2009-10. Over this time electricity disconnections have more than doubled in NSW and South Australia. In the case of NSW, electricity disconnections increased by 3</w:t>
      </w:r>
      <w:r w:rsidR="00173648">
        <w:t>2</w:t>
      </w:r>
      <w:r w:rsidR="00980FDB">
        <w:t xml:space="preserve"> per cent in the last 12 months. </w:t>
      </w:r>
      <w:r w:rsidR="00FA7EFA">
        <w:t xml:space="preserve">This increase was </w:t>
      </w:r>
      <w:r w:rsidR="00FA7EFA" w:rsidRPr="00FA7EFA">
        <w:t xml:space="preserve">largely due to Origin Energy, which disconnected twice as many customers in 2013-14 as </w:t>
      </w:r>
      <w:r w:rsidR="005B2FD1">
        <w:t>it</w:t>
      </w:r>
      <w:r w:rsidR="005B2FD1" w:rsidRPr="00FA7EFA">
        <w:t xml:space="preserve"> </w:t>
      </w:r>
      <w:r w:rsidR="00FA7EFA" w:rsidRPr="00FA7EFA">
        <w:t xml:space="preserve">did in 2012-13. </w:t>
      </w:r>
      <w:r w:rsidR="00FC31C3">
        <w:t>Origin Energy noted</w:t>
      </w:r>
      <w:r w:rsidR="00FA7EFA" w:rsidRPr="00FA7EFA">
        <w:t xml:space="preserve"> that </w:t>
      </w:r>
      <w:r w:rsidR="00373F5D">
        <w:t xml:space="preserve">in recent years it had scaled back its collections (and disconnection) activity as it introduced a new customer account system. Origin Energy has now </w:t>
      </w:r>
      <w:r w:rsidR="00FA7EFA" w:rsidRPr="00FA7EFA">
        <w:t>return</w:t>
      </w:r>
      <w:r w:rsidR="00373F5D">
        <w:t>ed</w:t>
      </w:r>
      <w:r w:rsidR="00FA7EFA" w:rsidRPr="00FA7EFA">
        <w:t xml:space="preserve"> to business as usual collections activity,</w:t>
      </w:r>
      <w:r w:rsidR="00373F5D">
        <w:t xml:space="preserve"> and </w:t>
      </w:r>
      <w:r w:rsidR="00FA7EFA" w:rsidRPr="00FA7EFA">
        <w:t xml:space="preserve">disconnected an average of </w:t>
      </w:r>
      <w:r w:rsidR="00FA7EFA">
        <w:t xml:space="preserve">just over </w:t>
      </w:r>
      <w:r w:rsidR="00FA7EFA" w:rsidRPr="00FA7EFA">
        <w:t>1 per 100 customers in 2013-14.</w:t>
      </w:r>
      <w:r w:rsidR="00816316">
        <w:t xml:space="preserve"> QEnergy and AGL disconnected a greater proportion of their customers than Origin Energy in 2013-14.</w:t>
      </w:r>
    </w:p>
    <w:p w:rsidR="00980FDB" w:rsidRPr="003413CA" w:rsidRDefault="00980FDB" w:rsidP="00980FDB">
      <w:pPr>
        <w:spacing w:before="0" w:after="200"/>
      </w:pPr>
      <w:r>
        <w:t>In South Australia the number of electricity disconnections</w:t>
      </w:r>
      <w:r w:rsidR="00862702">
        <w:t xml:space="preserve"> has decreased since 2012-13, but</w:t>
      </w:r>
      <w:r>
        <w:t xml:space="preserve"> remain</w:t>
      </w:r>
      <w:r w:rsidR="00862702">
        <w:t>s</w:t>
      </w:r>
      <w:r>
        <w:t xml:space="preserve"> at over ten thousand per year</w:t>
      </w:r>
      <w:r w:rsidR="00862702">
        <w:t xml:space="preserve">. </w:t>
      </w:r>
      <w:r>
        <w:t xml:space="preserve">Residential gas disconnections in NSW and the ACT have decreased since 2009-10. In South Australia the number of gas disconnections peaked in 2011-12 but </w:t>
      </w:r>
      <w:r w:rsidR="00862702">
        <w:t xml:space="preserve">has </w:t>
      </w:r>
      <w:r>
        <w:t xml:space="preserve">since decreased.  </w:t>
      </w:r>
    </w:p>
    <w:p w:rsidR="00980FDB" w:rsidRPr="00B64A21" w:rsidRDefault="009E4964" w:rsidP="00816316">
      <w:r>
        <w:rPr>
          <w:b/>
        </w:rPr>
        <w:lastRenderedPageBreak/>
        <w:t>Table 2.9</w:t>
      </w:r>
      <w:r w:rsidR="00980FDB">
        <w:rPr>
          <w:b/>
        </w:rPr>
        <w:t xml:space="preserve">: Residential electricity disconnections, 2009-10 to 2013-14 </w:t>
      </w:r>
    </w:p>
    <w:tbl>
      <w:tblPr>
        <w:tblStyle w:val="AERTable-Text"/>
        <w:tblW w:w="0" w:type="auto"/>
        <w:tblLook w:val="04A0" w:firstRow="1" w:lastRow="0" w:firstColumn="1" w:lastColumn="0" w:noHBand="0" w:noVBand="1"/>
      </w:tblPr>
      <w:tblGrid>
        <w:gridCol w:w="1668"/>
        <w:gridCol w:w="1559"/>
        <w:gridCol w:w="2317"/>
        <w:gridCol w:w="1849"/>
        <w:gridCol w:w="1504"/>
      </w:tblGrid>
      <w:tr w:rsidR="00980FDB" w:rsidTr="00534288">
        <w:trPr>
          <w:cnfStyle w:val="100000000000" w:firstRow="1" w:lastRow="0" w:firstColumn="0" w:lastColumn="0" w:oddVBand="0" w:evenVBand="0" w:oddHBand="0" w:evenHBand="0" w:firstRowFirstColumn="0" w:firstRowLastColumn="0" w:lastRowFirstColumn="0" w:lastRowLastColumn="0"/>
        </w:trPr>
        <w:tc>
          <w:tcPr>
            <w:tcW w:w="1668" w:type="dxa"/>
          </w:tcPr>
          <w:p w:rsidR="00980FDB" w:rsidRDefault="00980FDB" w:rsidP="00980FDB"/>
        </w:tc>
        <w:tc>
          <w:tcPr>
            <w:tcW w:w="1559" w:type="dxa"/>
          </w:tcPr>
          <w:p w:rsidR="00980FDB" w:rsidRDefault="00980FDB" w:rsidP="00980FDB">
            <w:pPr>
              <w:jc w:val="right"/>
            </w:pPr>
            <w:r>
              <w:t>NSW</w:t>
            </w:r>
          </w:p>
        </w:tc>
        <w:tc>
          <w:tcPr>
            <w:tcW w:w="2317" w:type="dxa"/>
          </w:tcPr>
          <w:p w:rsidR="00980FDB" w:rsidRDefault="00980FDB" w:rsidP="00980FDB">
            <w:pPr>
              <w:jc w:val="right"/>
            </w:pPr>
            <w:r>
              <w:t>South Australia</w:t>
            </w:r>
          </w:p>
        </w:tc>
        <w:tc>
          <w:tcPr>
            <w:tcW w:w="1849" w:type="dxa"/>
          </w:tcPr>
          <w:p w:rsidR="00980FDB" w:rsidRDefault="00980FDB" w:rsidP="00980FDB">
            <w:pPr>
              <w:jc w:val="right"/>
            </w:pPr>
            <w:r>
              <w:t xml:space="preserve">Tasmania </w:t>
            </w:r>
          </w:p>
        </w:tc>
        <w:tc>
          <w:tcPr>
            <w:tcW w:w="1504" w:type="dxa"/>
          </w:tcPr>
          <w:p w:rsidR="00980FDB" w:rsidRDefault="00980FDB" w:rsidP="00980FDB">
            <w:pPr>
              <w:jc w:val="right"/>
            </w:pPr>
            <w:r>
              <w:t>ACT</w:t>
            </w:r>
          </w:p>
        </w:tc>
      </w:tr>
      <w:tr w:rsidR="00980FDB" w:rsidTr="00534288">
        <w:tc>
          <w:tcPr>
            <w:tcW w:w="1668" w:type="dxa"/>
          </w:tcPr>
          <w:p w:rsidR="00980FDB" w:rsidRPr="009E4964" w:rsidRDefault="00980FDB" w:rsidP="00980FDB">
            <w:pPr>
              <w:rPr>
                <w:rStyle w:val="Strong"/>
              </w:rPr>
            </w:pPr>
            <w:r w:rsidRPr="009E4964">
              <w:rPr>
                <w:rStyle w:val="Strong"/>
              </w:rPr>
              <w:t>2009-10</w:t>
            </w:r>
          </w:p>
        </w:tc>
        <w:tc>
          <w:tcPr>
            <w:tcW w:w="1559" w:type="dxa"/>
          </w:tcPr>
          <w:p w:rsidR="00980FDB" w:rsidRPr="009E4964" w:rsidRDefault="00980FDB" w:rsidP="00980FDB">
            <w:pPr>
              <w:jc w:val="right"/>
            </w:pPr>
            <w:r w:rsidRPr="009E4964">
              <w:t>15 835</w:t>
            </w:r>
          </w:p>
        </w:tc>
        <w:tc>
          <w:tcPr>
            <w:tcW w:w="2317" w:type="dxa"/>
          </w:tcPr>
          <w:p w:rsidR="00980FDB" w:rsidRPr="009E4964" w:rsidRDefault="00980FDB" w:rsidP="00980FDB">
            <w:pPr>
              <w:jc w:val="right"/>
            </w:pPr>
            <w:r w:rsidRPr="009E4964">
              <w:t>4 748</w:t>
            </w:r>
          </w:p>
        </w:tc>
        <w:tc>
          <w:tcPr>
            <w:tcW w:w="1849" w:type="dxa"/>
          </w:tcPr>
          <w:p w:rsidR="00980FDB" w:rsidRPr="009E4964" w:rsidRDefault="00980FDB" w:rsidP="00980FDB">
            <w:pPr>
              <w:jc w:val="right"/>
            </w:pPr>
            <w:r w:rsidRPr="009E4964">
              <w:t>1 396</w:t>
            </w:r>
          </w:p>
        </w:tc>
        <w:tc>
          <w:tcPr>
            <w:tcW w:w="1504" w:type="dxa"/>
          </w:tcPr>
          <w:p w:rsidR="00980FDB" w:rsidRPr="009E4964" w:rsidRDefault="00980FDB" w:rsidP="00980FDB">
            <w:pPr>
              <w:jc w:val="right"/>
            </w:pPr>
            <w:r w:rsidRPr="009E4964">
              <w:t>880</w:t>
            </w:r>
          </w:p>
        </w:tc>
      </w:tr>
      <w:tr w:rsidR="00980FDB" w:rsidTr="00534288">
        <w:trPr>
          <w:cnfStyle w:val="000000010000" w:firstRow="0" w:lastRow="0" w:firstColumn="0" w:lastColumn="0" w:oddVBand="0" w:evenVBand="0" w:oddHBand="0" w:evenHBand="1" w:firstRowFirstColumn="0" w:firstRowLastColumn="0" w:lastRowFirstColumn="0" w:lastRowLastColumn="0"/>
        </w:trPr>
        <w:tc>
          <w:tcPr>
            <w:tcW w:w="1668" w:type="dxa"/>
          </w:tcPr>
          <w:p w:rsidR="00980FDB" w:rsidRPr="009E4964" w:rsidRDefault="00980FDB" w:rsidP="00980FDB">
            <w:pPr>
              <w:rPr>
                <w:rStyle w:val="Strong"/>
              </w:rPr>
            </w:pPr>
            <w:r w:rsidRPr="009E4964">
              <w:rPr>
                <w:rStyle w:val="Strong"/>
              </w:rPr>
              <w:t>2010-11</w:t>
            </w:r>
          </w:p>
        </w:tc>
        <w:tc>
          <w:tcPr>
            <w:tcW w:w="1559" w:type="dxa"/>
          </w:tcPr>
          <w:p w:rsidR="00980FDB" w:rsidRPr="009E4964" w:rsidRDefault="00980FDB" w:rsidP="00980FDB">
            <w:pPr>
              <w:jc w:val="right"/>
            </w:pPr>
            <w:r w:rsidRPr="009E4964">
              <w:t>18 561</w:t>
            </w:r>
          </w:p>
        </w:tc>
        <w:tc>
          <w:tcPr>
            <w:tcW w:w="2317" w:type="dxa"/>
          </w:tcPr>
          <w:p w:rsidR="00980FDB" w:rsidRPr="009E4964" w:rsidRDefault="00980FDB" w:rsidP="00980FDB">
            <w:pPr>
              <w:jc w:val="right"/>
            </w:pPr>
            <w:r w:rsidRPr="009E4964">
              <w:t>7 383</w:t>
            </w:r>
          </w:p>
        </w:tc>
        <w:tc>
          <w:tcPr>
            <w:tcW w:w="1849" w:type="dxa"/>
          </w:tcPr>
          <w:p w:rsidR="00980FDB" w:rsidRPr="009E4964" w:rsidRDefault="00980FDB" w:rsidP="00980FDB">
            <w:pPr>
              <w:jc w:val="right"/>
            </w:pPr>
            <w:r w:rsidRPr="009E4964">
              <w:t>958</w:t>
            </w:r>
          </w:p>
        </w:tc>
        <w:tc>
          <w:tcPr>
            <w:tcW w:w="1504" w:type="dxa"/>
          </w:tcPr>
          <w:p w:rsidR="00980FDB" w:rsidRPr="009E4964" w:rsidRDefault="00980FDB" w:rsidP="00980FDB">
            <w:pPr>
              <w:jc w:val="right"/>
            </w:pPr>
            <w:r w:rsidRPr="009E4964">
              <w:t>402</w:t>
            </w:r>
          </w:p>
        </w:tc>
      </w:tr>
      <w:tr w:rsidR="00980FDB" w:rsidTr="00534288">
        <w:tc>
          <w:tcPr>
            <w:tcW w:w="1668" w:type="dxa"/>
          </w:tcPr>
          <w:p w:rsidR="00980FDB" w:rsidRPr="009E4964" w:rsidRDefault="00980FDB" w:rsidP="00980FDB">
            <w:pPr>
              <w:rPr>
                <w:rStyle w:val="Strong"/>
              </w:rPr>
            </w:pPr>
            <w:r w:rsidRPr="009E4964">
              <w:rPr>
                <w:rStyle w:val="Strong"/>
              </w:rPr>
              <w:t>2011-12</w:t>
            </w:r>
          </w:p>
        </w:tc>
        <w:tc>
          <w:tcPr>
            <w:tcW w:w="1559" w:type="dxa"/>
          </w:tcPr>
          <w:p w:rsidR="00980FDB" w:rsidRPr="009E4964" w:rsidRDefault="00980FDB" w:rsidP="00980FDB">
            <w:pPr>
              <w:jc w:val="right"/>
            </w:pPr>
            <w:r w:rsidRPr="009E4964">
              <w:t>23 207</w:t>
            </w:r>
          </w:p>
        </w:tc>
        <w:tc>
          <w:tcPr>
            <w:tcW w:w="2317" w:type="dxa"/>
          </w:tcPr>
          <w:p w:rsidR="00980FDB" w:rsidRPr="009E4964" w:rsidRDefault="00980FDB" w:rsidP="00980FDB">
            <w:pPr>
              <w:jc w:val="right"/>
            </w:pPr>
            <w:r w:rsidRPr="009E4964">
              <w:t>9 893</w:t>
            </w:r>
          </w:p>
        </w:tc>
        <w:tc>
          <w:tcPr>
            <w:tcW w:w="1849" w:type="dxa"/>
          </w:tcPr>
          <w:p w:rsidR="00980FDB" w:rsidRPr="009E4964" w:rsidRDefault="00980FDB" w:rsidP="00980FDB">
            <w:pPr>
              <w:jc w:val="right"/>
            </w:pPr>
            <w:r w:rsidRPr="009E4964">
              <w:t>178</w:t>
            </w:r>
          </w:p>
        </w:tc>
        <w:tc>
          <w:tcPr>
            <w:tcW w:w="1504" w:type="dxa"/>
          </w:tcPr>
          <w:p w:rsidR="00980FDB" w:rsidRPr="009E4964" w:rsidRDefault="00980FDB" w:rsidP="00980FDB">
            <w:pPr>
              <w:jc w:val="right"/>
            </w:pPr>
            <w:r w:rsidRPr="009E4964">
              <w:t>420</w:t>
            </w:r>
          </w:p>
        </w:tc>
      </w:tr>
      <w:tr w:rsidR="00980FDB" w:rsidTr="00534288">
        <w:trPr>
          <w:cnfStyle w:val="000000010000" w:firstRow="0" w:lastRow="0" w:firstColumn="0" w:lastColumn="0" w:oddVBand="0" w:evenVBand="0" w:oddHBand="0" w:evenHBand="1" w:firstRowFirstColumn="0" w:firstRowLastColumn="0" w:lastRowFirstColumn="0" w:lastRowLastColumn="0"/>
        </w:trPr>
        <w:tc>
          <w:tcPr>
            <w:tcW w:w="1668" w:type="dxa"/>
          </w:tcPr>
          <w:p w:rsidR="00980FDB" w:rsidRPr="009E4964" w:rsidRDefault="00980FDB" w:rsidP="00980FDB">
            <w:pPr>
              <w:rPr>
                <w:rStyle w:val="Strong"/>
              </w:rPr>
            </w:pPr>
            <w:r w:rsidRPr="009E4964">
              <w:rPr>
                <w:rStyle w:val="Strong"/>
              </w:rPr>
              <w:t>2012-13</w:t>
            </w:r>
          </w:p>
        </w:tc>
        <w:tc>
          <w:tcPr>
            <w:tcW w:w="1559" w:type="dxa"/>
          </w:tcPr>
          <w:p w:rsidR="00980FDB" w:rsidRPr="009E4964" w:rsidRDefault="00980FDB" w:rsidP="00980FDB">
            <w:pPr>
              <w:jc w:val="right"/>
            </w:pPr>
            <w:r w:rsidRPr="009E4964">
              <w:t>24 888</w:t>
            </w:r>
          </w:p>
        </w:tc>
        <w:tc>
          <w:tcPr>
            <w:tcW w:w="2317" w:type="dxa"/>
          </w:tcPr>
          <w:p w:rsidR="00980FDB" w:rsidRPr="009E4964" w:rsidRDefault="00980FDB" w:rsidP="00980FDB">
            <w:pPr>
              <w:jc w:val="right"/>
            </w:pPr>
            <w:r w:rsidRPr="009E4964">
              <w:t>10 723</w:t>
            </w:r>
          </w:p>
        </w:tc>
        <w:tc>
          <w:tcPr>
            <w:tcW w:w="1849" w:type="dxa"/>
          </w:tcPr>
          <w:p w:rsidR="00980FDB" w:rsidRPr="009E4964" w:rsidRDefault="00980FDB" w:rsidP="00980FDB">
            <w:pPr>
              <w:jc w:val="right"/>
            </w:pPr>
            <w:r w:rsidRPr="009E4964">
              <w:t>1 057</w:t>
            </w:r>
          </w:p>
        </w:tc>
        <w:tc>
          <w:tcPr>
            <w:tcW w:w="1504" w:type="dxa"/>
          </w:tcPr>
          <w:p w:rsidR="00980FDB" w:rsidRPr="009E4964" w:rsidRDefault="00980FDB" w:rsidP="00980FDB">
            <w:pPr>
              <w:jc w:val="right"/>
            </w:pPr>
            <w:r w:rsidRPr="009E4964">
              <w:t>73</w:t>
            </w:r>
          </w:p>
        </w:tc>
      </w:tr>
      <w:tr w:rsidR="00980FDB" w:rsidTr="00534288">
        <w:tc>
          <w:tcPr>
            <w:tcW w:w="1668" w:type="dxa"/>
          </w:tcPr>
          <w:p w:rsidR="00980FDB" w:rsidRPr="009E4964" w:rsidRDefault="00980FDB" w:rsidP="00980FDB">
            <w:pPr>
              <w:rPr>
                <w:rStyle w:val="Strong"/>
              </w:rPr>
            </w:pPr>
            <w:r w:rsidRPr="009E4964">
              <w:rPr>
                <w:rStyle w:val="Strong"/>
              </w:rPr>
              <w:t>2013-14</w:t>
            </w:r>
          </w:p>
        </w:tc>
        <w:tc>
          <w:tcPr>
            <w:tcW w:w="1559" w:type="dxa"/>
          </w:tcPr>
          <w:p w:rsidR="00980FDB" w:rsidRPr="009E4964" w:rsidRDefault="00FC2FC0" w:rsidP="00980FDB">
            <w:pPr>
              <w:jc w:val="right"/>
            </w:pPr>
            <w:r>
              <w:t>32 940</w:t>
            </w:r>
          </w:p>
        </w:tc>
        <w:tc>
          <w:tcPr>
            <w:tcW w:w="2317" w:type="dxa"/>
          </w:tcPr>
          <w:p w:rsidR="00980FDB" w:rsidRPr="009E4964" w:rsidRDefault="00980FDB" w:rsidP="00980FDB">
            <w:pPr>
              <w:jc w:val="right"/>
            </w:pPr>
            <w:r w:rsidRPr="009E4964">
              <w:t xml:space="preserve">10 148 </w:t>
            </w:r>
          </w:p>
        </w:tc>
        <w:tc>
          <w:tcPr>
            <w:tcW w:w="1849" w:type="dxa"/>
          </w:tcPr>
          <w:p w:rsidR="00980FDB" w:rsidRPr="009E4964" w:rsidRDefault="00980FDB" w:rsidP="00980FDB">
            <w:pPr>
              <w:jc w:val="right"/>
            </w:pPr>
            <w:r w:rsidRPr="009E4964">
              <w:t>1 555</w:t>
            </w:r>
          </w:p>
        </w:tc>
        <w:tc>
          <w:tcPr>
            <w:tcW w:w="1504" w:type="dxa"/>
          </w:tcPr>
          <w:p w:rsidR="00980FDB" w:rsidRPr="009E4964" w:rsidRDefault="00980FDB" w:rsidP="00980FDB">
            <w:pPr>
              <w:jc w:val="right"/>
            </w:pPr>
            <w:r w:rsidRPr="009E4964">
              <w:t>269</w:t>
            </w:r>
          </w:p>
        </w:tc>
      </w:tr>
    </w:tbl>
    <w:p w:rsidR="00980FDB" w:rsidRDefault="00980FDB" w:rsidP="00980FDB"/>
    <w:p w:rsidR="00980FDB" w:rsidRPr="00B26F91" w:rsidRDefault="00980FDB" w:rsidP="00980FDB">
      <w:pPr>
        <w:rPr>
          <w:b/>
        </w:rPr>
      </w:pPr>
      <w:r>
        <w:rPr>
          <w:b/>
        </w:rPr>
        <w:t>Table 2.</w:t>
      </w:r>
      <w:r w:rsidR="009E4964">
        <w:rPr>
          <w:b/>
        </w:rPr>
        <w:t>10</w:t>
      </w:r>
      <w:r>
        <w:rPr>
          <w:b/>
        </w:rPr>
        <w:t>: Residential gas disconnections, 2009-10 to 2013-14</w:t>
      </w:r>
    </w:p>
    <w:tbl>
      <w:tblPr>
        <w:tblStyle w:val="AERTable-Text"/>
        <w:tblW w:w="0" w:type="auto"/>
        <w:tblLook w:val="04A0" w:firstRow="1" w:lastRow="0" w:firstColumn="1" w:lastColumn="0" w:noHBand="0" w:noVBand="1"/>
      </w:tblPr>
      <w:tblGrid>
        <w:gridCol w:w="1848"/>
        <w:gridCol w:w="1379"/>
        <w:gridCol w:w="2268"/>
        <w:gridCol w:w="2410"/>
      </w:tblGrid>
      <w:tr w:rsidR="00980FDB" w:rsidTr="006F3C6C">
        <w:trPr>
          <w:cnfStyle w:val="100000000000" w:firstRow="1" w:lastRow="0" w:firstColumn="0" w:lastColumn="0" w:oddVBand="0" w:evenVBand="0" w:oddHBand="0" w:evenHBand="0" w:firstRowFirstColumn="0" w:firstRowLastColumn="0" w:lastRowFirstColumn="0" w:lastRowLastColumn="0"/>
        </w:trPr>
        <w:tc>
          <w:tcPr>
            <w:tcW w:w="1848" w:type="dxa"/>
          </w:tcPr>
          <w:p w:rsidR="00980FDB" w:rsidRDefault="00980FDB" w:rsidP="00980FDB"/>
        </w:tc>
        <w:tc>
          <w:tcPr>
            <w:tcW w:w="1379" w:type="dxa"/>
          </w:tcPr>
          <w:p w:rsidR="00980FDB" w:rsidRDefault="00980FDB" w:rsidP="00980FDB">
            <w:pPr>
              <w:jc w:val="right"/>
            </w:pPr>
            <w:r>
              <w:t>NSW</w:t>
            </w:r>
          </w:p>
        </w:tc>
        <w:tc>
          <w:tcPr>
            <w:tcW w:w="2268" w:type="dxa"/>
          </w:tcPr>
          <w:p w:rsidR="00980FDB" w:rsidRDefault="00980FDB" w:rsidP="00980FDB">
            <w:pPr>
              <w:jc w:val="right"/>
            </w:pPr>
            <w:r>
              <w:t>South Australia</w:t>
            </w:r>
          </w:p>
        </w:tc>
        <w:tc>
          <w:tcPr>
            <w:tcW w:w="2410" w:type="dxa"/>
          </w:tcPr>
          <w:p w:rsidR="00980FDB" w:rsidRDefault="00980FDB" w:rsidP="00980FDB">
            <w:pPr>
              <w:jc w:val="right"/>
            </w:pPr>
            <w:r>
              <w:t>ACT</w:t>
            </w:r>
          </w:p>
        </w:tc>
      </w:tr>
      <w:tr w:rsidR="00980FDB" w:rsidTr="006F3C6C">
        <w:tc>
          <w:tcPr>
            <w:tcW w:w="1848" w:type="dxa"/>
          </w:tcPr>
          <w:p w:rsidR="00980FDB" w:rsidRPr="009E4964" w:rsidRDefault="00980FDB" w:rsidP="00980FDB">
            <w:pPr>
              <w:rPr>
                <w:rStyle w:val="Strong"/>
              </w:rPr>
            </w:pPr>
            <w:r w:rsidRPr="009E4964">
              <w:rPr>
                <w:rStyle w:val="Strong"/>
              </w:rPr>
              <w:t>2009-10</w:t>
            </w:r>
          </w:p>
        </w:tc>
        <w:tc>
          <w:tcPr>
            <w:tcW w:w="1379" w:type="dxa"/>
          </w:tcPr>
          <w:p w:rsidR="00980FDB" w:rsidRPr="009E4964" w:rsidRDefault="00980FDB" w:rsidP="00980FDB">
            <w:pPr>
              <w:jc w:val="right"/>
            </w:pPr>
            <w:r w:rsidRPr="009E4964">
              <w:t>14 811</w:t>
            </w:r>
          </w:p>
        </w:tc>
        <w:tc>
          <w:tcPr>
            <w:tcW w:w="2268" w:type="dxa"/>
          </w:tcPr>
          <w:p w:rsidR="00980FDB" w:rsidRPr="009E4964" w:rsidRDefault="00980FDB" w:rsidP="00980FDB">
            <w:pPr>
              <w:jc w:val="right"/>
            </w:pPr>
            <w:r w:rsidRPr="009E4964">
              <w:t>3 410</w:t>
            </w:r>
          </w:p>
        </w:tc>
        <w:tc>
          <w:tcPr>
            <w:tcW w:w="2410" w:type="dxa"/>
          </w:tcPr>
          <w:p w:rsidR="00980FDB" w:rsidRPr="009E4964" w:rsidRDefault="00980FDB" w:rsidP="00980FDB">
            <w:pPr>
              <w:jc w:val="right"/>
            </w:pPr>
            <w:r w:rsidRPr="009E4964">
              <w:t>1 611</w:t>
            </w:r>
          </w:p>
        </w:tc>
      </w:tr>
      <w:tr w:rsidR="00980FDB" w:rsidTr="006F3C6C">
        <w:trPr>
          <w:cnfStyle w:val="000000010000" w:firstRow="0" w:lastRow="0" w:firstColumn="0" w:lastColumn="0" w:oddVBand="0" w:evenVBand="0" w:oddHBand="0" w:evenHBand="1" w:firstRowFirstColumn="0" w:firstRowLastColumn="0" w:lastRowFirstColumn="0" w:lastRowLastColumn="0"/>
        </w:trPr>
        <w:tc>
          <w:tcPr>
            <w:tcW w:w="1848" w:type="dxa"/>
          </w:tcPr>
          <w:p w:rsidR="00980FDB" w:rsidRPr="009E4964" w:rsidRDefault="00980FDB" w:rsidP="00980FDB">
            <w:pPr>
              <w:rPr>
                <w:rStyle w:val="Strong"/>
              </w:rPr>
            </w:pPr>
            <w:r w:rsidRPr="009E4964">
              <w:rPr>
                <w:rStyle w:val="Strong"/>
              </w:rPr>
              <w:t>2010-11</w:t>
            </w:r>
          </w:p>
        </w:tc>
        <w:tc>
          <w:tcPr>
            <w:tcW w:w="1379" w:type="dxa"/>
          </w:tcPr>
          <w:p w:rsidR="00980FDB" w:rsidRPr="009E4964" w:rsidRDefault="00980FDB" w:rsidP="00980FDB">
            <w:pPr>
              <w:jc w:val="right"/>
            </w:pPr>
            <w:r w:rsidRPr="009E4964">
              <w:t>17 480</w:t>
            </w:r>
          </w:p>
        </w:tc>
        <w:tc>
          <w:tcPr>
            <w:tcW w:w="2268" w:type="dxa"/>
          </w:tcPr>
          <w:p w:rsidR="00980FDB" w:rsidRPr="009E4964" w:rsidRDefault="00980FDB" w:rsidP="00980FDB">
            <w:pPr>
              <w:jc w:val="right"/>
            </w:pPr>
            <w:r w:rsidRPr="009E4964">
              <w:t>2 724</w:t>
            </w:r>
          </w:p>
        </w:tc>
        <w:tc>
          <w:tcPr>
            <w:tcW w:w="2410" w:type="dxa"/>
          </w:tcPr>
          <w:p w:rsidR="00980FDB" w:rsidRPr="009E4964" w:rsidRDefault="00980FDB" w:rsidP="00980FDB">
            <w:pPr>
              <w:jc w:val="right"/>
            </w:pPr>
            <w:r w:rsidRPr="009E4964">
              <w:t>1 411</w:t>
            </w:r>
          </w:p>
        </w:tc>
      </w:tr>
      <w:tr w:rsidR="00980FDB" w:rsidTr="006F3C6C">
        <w:tc>
          <w:tcPr>
            <w:tcW w:w="1848" w:type="dxa"/>
          </w:tcPr>
          <w:p w:rsidR="00980FDB" w:rsidRPr="009E4964" w:rsidRDefault="00980FDB" w:rsidP="00980FDB">
            <w:pPr>
              <w:rPr>
                <w:rStyle w:val="Strong"/>
              </w:rPr>
            </w:pPr>
            <w:r w:rsidRPr="009E4964">
              <w:rPr>
                <w:rStyle w:val="Strong"/>
              </w:rPr>
              <w:t>2011-12</w:t>
            </w:r>
          </w:p>
        </w:tc>
        <w:tc>
          <w:tcPr>
            <w:tcW w:w="1379" w:type="dxa"/>
          </w:tcPr>
          <w:p w:rsidR="00980FDB" w:rsidRPr="009E4964" w:rsidRDefault="00980FDB" w:rsidP="00980FDB">
            <w:pPr>
              <w:jc w:val="right"/>
            </w:pPr>
            <w:r w:rsidRPr="009E4964">
              <w:t>20 118</w:t>
            </w:r>
          </w:p>
        </w:tc>
        <w:tc>
          <w:tcPr>
            <w:tcW w:w="2268" w:type="dxa"/>
          </w:tcPr>
          <w:p w:rsidR="00980FDB" w:rsidRPr="009E4964" w:rsidRDefault="00980FDB" w:rsidP="00980FDB">
            <w:pPr>
              <w:jc w:val="right"/>
            </w:pPr>
            <w:r w:rsidRPr="009E4964">
              <w:t>4 403</w:t>
            </w:r>
          </w:p>
        </w:tc>
        <w:tc>
          <w:tcPr>
            <w:tcW w:w="2410" w:type="dxa"/>
          </w:tcPr>
          <w:p w:rsidR="00980FDB" w:rsidRPr="009E4964" w:rsidRDefault="00980FDB" w:rsidP="00980FDB">
            <w:pPr>
              <w:jc w:val="right"/>
            </w:pPr>
            <w:r w:rsidRPr="009E4964">
              <w:t>2 356</w:t>
            </w:r>
          </w:p>
        </w:tc>
      </w:tr>
      <w:tr w:rsidR="00980FDB" w:rsidTr="006F3C6C">
        <w:trPr>
          <w:cnfStyle w:val="000000010000" w:firstRow="0" w:lastRow="0" w:firstColumn="0" w:lastColumn="0" w:oddVBand="0" w:evenVBand="0" w:oddHBand="0" w:evenHBand="1" w:firstRowFirstColumn="0" w:firstRowLastColumn="0" w:lastRowFirstColumn="0" w:lastRowLastColumn="0"/>
        </w:trPr>
        <w:tc>
          <w:tcPr>
            <w:tcW w:w="1848" w:type="dxa"/>
          </w:tcPr>
          <w:p w:rsidR="00980FDB" w:rsidRPr="009E4964" w:rsidRDefault="00980FDB" w:rsidP="00980FDB">
            <w:pPr>
              <w:rPr>
                <w:rStyle w:val="Strong"/>
              </w:rPr>
            </w:pPr>
            <w:r w:rsidRPr="009E4964">
              <w:rPr>
                <w:rStyle w:val="Strong"/>
              </w:rPr>
              <w:t>2012-13</w:t>
            </w:r>
          </w:p>
        </w:tc>
        <w:tc>
          <w:tcPr>
            <w:tcW w:w="1379" w:type="dxa"/>
          </w:tcPr>
          <w:p w:rsidR="00980FDB" w:rsidRPr="009E4964" w:rsidRDefault="00980FDB" w:rsidP="00980FDB">
            <w:pPr>
              <w:jc w:val="right"/>
            </w:pPr>
            <w:r w:rsidRPr="009E4964">
              <w:t>7 520</w:t>
            </w:r>
          </w:p>
        </w:tc>
        <w:tc>
          <w:tcPr>
            <w:tcW w:w="2268" w:type="dxa"/>
          </w:tcPr>
          <w:p w:rsidR="00980FDB" w:rsidRPr="009E4964" w:rsidRDefault="00980FDB" w:rsidP="00980FDB">
            <w:pPr>
              <w:jc w:val="right"/>
            </w:pPr>
            <w:r w:rsidRPr="009E4964">
              <w:t>3 129</w:t>
            </w:r>
          </w:p>
        </w:tc>
        <w:tc>
          <w:tcPr>
            <w:tcW w:w="2410" w:type="dxa"/>
          </w:tcPr>
          <w:p w:rsidR="00980FDB" w:rsidRPr="009E4964" w:rsidRDefault="00980FDB" w:rsidP="00980FDB">
            <w:pPr>
              <w:jc w:val="right"/>
            </w:pPr>
            <w:r w:rsidRPr="009E4964">
              <w:t>1 572</w:t>
            </w:r>
          </w:p>
        </w:tc>
      </w:tr>
      <w:tr w:rsidR="00980FDB" w:rsidTr="006F3C6C">
        <w:tc>
          <w:tcPr>
            <w:tcW w:w="1848" w:type="dxa"/>
          </w:tcPr>
          <w:p w:rsidR="00980FDB" w:rsidRPr="009E4964" w:rsidRDefault="00980FDB" w:rsidP="00980FDB">
            <w:pPr>
              <w:rPr>
                <w:rStyle w:val="Strong"/>
              </w:rPr>
            </w:pPr>
            <w:r w:rsidRPr="009E4964">
              <w:rPr>
                <w:rStyle w:val="Strong"/>
              </w:rPr>
              <w:t>2013-14</w:t>
            </w:r>
          </w:p>
        </w:tc>
        <w:tc>
          <w:tcPr>
            <w:tcW w:w="1379" w:type="dxa"/>
          </w:tcPr>
          <w:p w:rsidR="00980FDB" w:rsidRPr="009E4964" w:rsidRDefault="00980FDB" w:rsidP="00980FDB">
            <w:pPr>
              <w:jc w:val="right"/>
            </w:pPr>
            <w:r w:rsidRPr="009E4964">
              <w:t>4 92</w:t>
            </w:r>
            <w:r w:rsidR="00FC2FC0">
              <w:t>1</w:t>
            </w:r>
          </w:p>
        </w:tc>
        <w:tc>
          <w:tcPr>
            <w:tcW w:w="2268" w:type="dxa"/>
          </w:tcPr>
          <w:p w:rsidR="00980FDB" w:rsidRPr="009E4964" w:rsidRDefault="00980FDB" w:rsidP="00980FDB">
            <w:pPr>
              <w:jc w:val="right"/>
            </w:pPr>
            <w:r w:rsidRPr="009E4964">
              <w:t>3 418</w:t>
            </w:r>
          </w:p>
        </w:tc>
        <w:tc>
          <w:tcPr>
            <w:tcW w:w="2410" w:type="dxa"/>
          </w:tcPr>
          <w:p w:rsidR="00980FDB" w:rsidRPr="009E4964" w:rsidRDefault="00980FDB" w:rsidP="00980FDB">
            <w:pPr>
              <w:jc w:val="right"/>
            </w:pPr>
            <w:r w:rsidRPr="009E4964">
              <w:t>1 066</w:t>
            </w:r>
          </w:p>
        </w:tc>
      </w:tr>
    </w:tbl>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65" w:name="_Toc402959248"/>
      <w:bookmarkStart w:id="66" w:name="_Toc402959734"/>
      <w:bookmarkStart w:id="67" w:name="_Toc402961406"/>
      <w:bookmarkEnd w:id="65"/>
      <w:bookmarkEnd w:id="66"/>
      <w:bookmarkEnd w:id="67"/>
    </w:p>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68" w:name="_Toc402959249"/>
      <w:bookmarkStart w:id="69" w:name="_Toc402959735"/>
      <w:bookmarkStart w:id="70" w:name="_Toc402961407"/>
      <w:bookmarkEnd w:id="68"/>
      <w:bookmarkEnd w:id="69"/>
      <w:bookmarkEnd w:id="70"/>
    </w:p>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71" w:name="_Toc402959250"/>
      <w:bookmarkStart w:id="72" w:name="_Toc402959736"/>
      <w:bookmarkStart w:id="73" w:name="_Toc402961408"/>
      <w:bookmarkEnd w:id="71"/>
      <w:bookmarkEnd w:id="72"/>
      <w:bookmarkEnd w:id="73"/>
    </w:p>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74" w:name="_Toc402959251"/>
      <w:bookmarkStart w:id="75" w:name="_Toc402959737"/>
      <w:bookmarkStart w:id="76" w:name="_Toc402961409"/>
      <w:bookmarkEnd w:id="74"/>
      <w:bookmarkEnd w:id="75"/>
      <w:bookmarkEnd w:id="76"/>
    </w:p>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77" w:name="_Toc402959252"/>
      <w:bookmarkStart w:id="78" w:name="_Toc402959738"/>
      <w:bookmarkStart w:id="79" w:name="_Toc402961410"/>
      <w:bookmarkEnd w:id="77"/>
      <w:bookmarkEnd w:id="78"/>
      <w:bookmarkEnd w:id="79"/>
    </w:p>
    <w:p w:rsidR="00980FDB" w:rsidRPr="00DD062F" w:rsidRDefault="00980FDB" w:rsidP="009E4964">
      <w:pPr>
        <w:pStyle w:val="ListParagraph"/>
        <w:numPr>
          <w:ilvl w:val="1"/>
          <w:numId w:val="20"/>
        </w:numPr>
        <w:spacing w:before="520" w:after="0" w:line="240" w:lineRule="auto"/>
        <w:outlineLvl w:val="2"/>
        <w:rPr>
          <w:b/>
          <w:vanish/>
          <w:color w:val="51626F"/>
          <w:sz w:val="28"/>
          <w:szCs w:val="24"/>
        </w:rPr>
      </w:pPr>
      <w:bookmarkStart w:id="80" w:name="_Toc402959253"/>
      <w:bookmarkStart w:id="81" w:name="_Toc402959739"/>
      <w:bookmarkStart w:id="82" w:name="_Toc402961411"/>
      <w:bookmarkEnd w:id="80"/>
      <w:bookmarkEnd w:id="81"/>
      <w:bookmarkEnd w:id="82"/>
    </w:p>
    <w:p w:rsidR="00980FDB" w:rsidRPr="002E0625" w:rsidRDefault="00980FDB" w:rsidP="009E4964">
      <w:pPr>
        <w:pStyle w:val="ListParagraph"/>
        <w:numPr>
          <w:ilvl w:val="1"/>
          <w:numId w:val="13"/>
        </w:numPr>
        <w:spacing w:before="240" w:after="240" w:line="240" w:lineRule="auto"/>
        <w:outlineLvl w:val="3"/>
        <w:rPr>
          <w:vanish/>
          <w:sz w:val="24"/>
          <w:szCs w:val="24"/>
        </w:rPr>
      </w:pPr>
    </w:p>
    <w:p w:rsidR="00980FDB" w:rsidRPr="002E0625" w:rsidRDefault="009D7108" w:rsidP="009D7108">
      <w:pPr>
        <w:pStyle w:val="Headingnumbered11"/>
        <w:numPr>
          <w:ilvl w:val="2"/>
          <w:numId w:val="10"/>
        </w:numPr>
      </w:pPr>
      <w:bookmarkStart w:id="83" w:name="_Toc402959254"/>
      <w:bookmarkStart w:id="84" w:name="_Toc402959740"/>
      <w:bookmarkStart w:id="85" w:name="_Toc402961412"/>
      <w:r>
        <w:t xml:space="preserve"> </w:t>
      </w:r>
      <w:r w:rsidR="00980FDB">
        <w:t>Disconnection of customers experiencing financial difficulty</w:t>
      </w:r>
      <w:bookmarkEnd w:id="83"/>
      <w:bookmarkEnd w:id="84"/>
      <w:bookmarkEnd w:id="85"/>
    </w:p>
    <w:p w:rsidR="00980FDB" w:rsidRPr="00685186" w:rsidRDefault="00980FDB" w:rsidP="00980FDB">
      <w:r>
        <w:t xml:space="preserve">In 2013-14, </w:t>
      </w:r>
      <w:r w:rsidRPr="00685186">
        <w:t xml:space="preserve">19 per cent of electricity customers disconnected and 12 per cent of gas customers disconnected had been on a payment plan in the previous 12 months.  </w:t>
      </w:r>
    </w:p>
    <w:p w:rsidR="00980FDB" w:rsidRDefault="00980FDB" w:rsidP="00980FDB">
      <w:r>
        <w:t xml:space="preserve">6 per cent of electricity customers disconnected and 4 per cent of gas customers disconnected in 2013-14 had been disconnected on more than one occasion in the previous 24 months. </w:t>
      </w:r>
    </w:p>
    <w:p w:rsidR="009E4964" w:rsidRDefault="00980FDB">
      <w:pPr>
        <w:rPr>
          <w:b/>
          <w:color w:val="51626F"/>
          <w:sz w:val="28"/>
          <w:szCs w:val="24"/>
        </w:rPr>
      </w:pPr>
      <w:r>
        <w:t xml:space="preserve">As discussed earlier in this report, residential customers on market retail contracts in Tasmania use prepayment meters to manage their electricity account. In 2013-14 there were 2 069 self-disconnection events (relating to 1 728 customers) – a significant increase from </w:t>
      </w:r>
      <w:r>
        <w:br/>
        <w:t>1 068 in 2012-13.</w:t>
      </w:r>
      <w:r>
        <w:rPr>
          <w:rStyle w:val="FootnoteReference"/>
        </w:rPr>
        <w:footnoteReference w:id="24"/>
      </w:r>
      <w:r>
        <w:t xml:space="preserve"> Around half of the customers that use prepayment meters in Tasmania also receive energy concessions. </w:t>
      </w:r>
    </w:p>
    <w:p w:rsidR="00980FDB" w:rsidRPr="002E0625" w:rsidRDefault="00980FDB" w:rsidP="00AA3437">
      <w:pPr>
        <w:pStyle w:val="Headingnumbered11"/>
        <w:spacing w:after="240"/>
        <w:rPr>
          <w:rFonts w:ascii="Lucida Fax" w:hAnsi="Lucida Fax"/>
          <w:sz w:val="32"/>
          <w:szCs w:val="32"/>
        </w:rPr>
      </w:pPr>
      <w:bookmarkStart w:id="86" w:name="_Toc402961413"/>
      <w:r>
        <w:lastRenderedPageBreak/>
        <w:t>Energy concessions</w:t>
      </w:r>
      <w:bookmarkEnd w:id="86"/>
    </w:p>
    <w:p w:rsidR="00980FDB" w:rsidRDefault="00980FDB" w:rsidP="00980FDB">
      <w:pPr>
        <w:spacing w:before="0" w:after="200"/>
      </w:pPr>
      <w:r>
        <w:t>A concession is a reduction, discount, subsidy, rebate, waiver or exemption provided by the government on the value of goods or services. It may be offered to a household, family or individual, and is generally provided on the basis of low income, special needs of disadvantage or some other category such as age or war service.</w:t>
      </w:r>
    </w:p>
    <w:p w:rsidR="00980FDB" w:rsidRDefault="00980FDB" w:rsidP="00980FDB">
      <w:pPr>
        <w:spacing w:before="0" w:after="200"/>
      </w:pPr>
      <w:r>
        <w:t>We use the following indicators to report on energy concessions:</w:t>
      </w:r>
    </w:p>
    <w:p w:rsidR="00980FDB" w:rsidRPr="00144615" w:rsidRDefault="00980FDB" w:rsidP="009E4964">
      <w:pPr>
        <w:pStyle w:val="ListParagraph"/>
        <w:numPr>
          <w:ilvl w:val="0"/>
          <w:numId w:val="11"/>
        </w:numPr>
        <w:spacing w:before="0" w:after="200"/>
        <w:rPr>
          <w:rFonts w:ascii="Lucida Fax" w:hAnsi="Lucida Fax"/>
          <w:color w:val="51626F"/>
          <w:sz w:val="32"/>
          <w:szCs w:val="32"/>
        </w:rPr>
      </w:pPr>
      <w:r>
        <w:t>Number of customers in receipt of energy concessions</w:t>
      </w:r>
    </w:p>
    <w:p w:rsidR="00980FDB" w:rsidRPr="00144615" w:rsidRDefault="00980FDB" w:rsidP="009E4964">
      <w:pPr>
        <w:pStyle w:val="ListParagraph"/>
        <w:numPr>
          <w:ilvl w:val="0"/>
          <w:numId w:val="11"/>
        </w:numPr>
        <w:spacing w:before="0" w:after="200"/>
        <w:rPr>
          <w:rFonts w:ascii="Lucida Fax" w:hAnsi="Lucida Fax"/>
          <w:color w:val="51626F"/>
          <w:sz w:val="32"/>
          <w:szCs w:val="32"/>
        </w:rPr>
      </w:pPr>
      <w:r>
        <w:t>Number of customers in receipt of energy concessions who were disconnected</w:t>
      </w:r>
      <w:r w:rsidR="00457CD5">
        <w:t xml:space="preserve"> for non-payment</w:t>
      </w:r>
    </w:p>
    <w:p w:rsidR="00980FDB" w:rsidRPr="00652351" w:rsidRDefault="00980FDB" w:rsidP="009E4964">
      <w:pPr>
        <w:pStyle w:val="ListParagraph"/>
        <w:numPr>
          <w:ilvl w:val="0"/>
          <w:numId w:val="11"/>
        </w:numPr>
        <w:spacing w:before="0" w:after="200"/>
        <w:rPr>
          <w:rFonts w:ascii="Lucida Fax" w:hAnsi="Lucida Fax"/>
          <w:color w:val="51626F"/>
          <w:sz w:val="32"/>
          <w:szCs w:val="32"/>
        </w:rPr>
      </w:pPr>
      <w:r>
        <w:t>Number of customers in receipt of energy concessions who were on a hardship program.</w:t>
      </w:r>
    </w:p>
    <w:p w:rsidR="00980FDB" w:rsidRPr="00335423" w:rsidRDefault="009E4964" w:rsidP="00980FDB">
      <w:pPr>
        <w:spacing w:before="0"/>
      </w:pPr>
      <w:r>
        <w:rPr>
          <w:b/>
        </w:rPr>
        <w:t>Table 2.11</w:t>
      </w:r>
      <w:r w:rsidR="00980FDB">
        <w:rPr>
          <w:b/>
        </w:rPr>
        <w:t xml:space="preserve">: Customers receiving energy concessions </w:t>
      </w:r>
      <w:r w:rsidR="00EB2FF4">
        <w:rPr>
          <w:b/>
        </w:rPr>
        <w:t xml:space="preserve">and on hardship programs </w:t>
      </w:r>
      <w:r w:rsidR="00980FDB">
        <w:rPr>
          <w:b/>
        </w:rPr>
        <w:t>in 2013-14 by jurisdiction</w:t>
      </w:r>
    </w:p>
    <w:tbl>
      <w:tblPr>
        <w:tblStyle w:val="AERTable-Text"/>
        <w:tblW w:w="0" w:type="auto"/>
        <w:tblLook w:val="04A0" w:firstRow="1" w:lastRow="0" w:firstColumn="1" w:lastColumn="0" w:noHBand="0" w:noVBand="1"/>
      </w:tblPr>
      <w:tblGrid>
        <w:gridCol w:w="2092"/>
        <w:gridCol w:w="850"/>
        <w:gridCol w:w="893"/>
        <w:gridCol w:w="901"/>
        <w:gridCol w:w="902"/>
        <w:gridCol w:w="901"/>
        <w:gridCol w:w="901"/>
        <w:gridCol w:w="901"/>
        <w:gridCol w:w="901"/>
      </w:tblGrid>
      <w:tr w:rsidR="00980FDB" w:rsidTr="00B21525">
        <w:trPr>
          <w:cnfStyle w:val="100000000000" w:firstRow="1" w:lastRow="0" w:firstColumn="0" w:lastColumn="0" w:oddVBand="0" w:evenVBand="0" w:oddHBand="0" w:evenHBand="0" w:firstRowFirstColumn="0" w:firstRowLastColumn="0" w:lastRowFirstColumn="0" w:lastRowLastColumn="0"/>
        </w:trPr>
        <w:tc>
          <w:tcPr>
            <w:tcW w:w="2092" w:type="dxa"/>
          </w:tcPr>
          <w:p w:rsidR="00980FDB" w:rsidRDefault="00980FDB" w:rsidP="00980FDB">
            <w:pPr>
              <w:spacing w:after="200" w:line="276" w:lineRule="auto"/>
            </w:pPr>
          </w:p>
          <w:p w:rsidR="00980FDB" w:rsidRDefault="00980FDB" w:rsidP="00980FDB">
            <w:pPr>
              <w:spacing w:line="276" w:lineRule="auto"/>
            </w:pPr>
            <w:r>
              <w:t xml:space="preserve">Jurisdiction </w:t>
            </w:r>
          </w:p>
        </w:tc>
        <w:tc>
          <w:tcPr>
            <w:tcW w:w="3546" w:type="dxa"/>
            <w:gridSpan w:val="4"/>
          </w:tcPr>
          <w:p w:rsidR="00980FDB" w:rsidRDefault="00980FDB" w:rsidP="00980FDB">
            <w:pPr>
              <w:spacing w:line="276" w:lineRule="auto"/>
              <w:jc w:val="center"/>
            </w:pPr>
            <w:r>
              <w:t xml:space="preserve">Customers receiving energy concessions </w:t>
            </w:r>
            <w:r w:rsidR="00EB2FF4">
              <w:br/>
            </w:r>
            <w:r>
              <w:t>(per 100 customers)</w:t>
            </w:r>
            <w:r w:rsidR="00EB2FF4">
              <w:br/>
              <w:t>(Change since 2012-13)</w:t>
            </w:r>
          </w:p>
        </w:tc>
        <w:tc>
          <w:tcPr>
            <w:tcW w:w="3604" w:type="dxa"/>
            <w:gridSpan w:val="4"/>
          </w:tcPr>
          <w:p w:rsidR="00980FDB" w:rsidRDefault="00980FDB" w:rsidP="00980FDB">
            <w:pPr>
              <w:spacing w:line="276" w:lineRule="auto"/>
              <w:jc w:val="center"/>
            </w:pPr>
            <w:r>
              <w:t>Customers on hardship programs (per 100 concession customers)</w:t>
            </w:r>
            <w:r w:rsidR="00EB2FF4">
              <w:br/>
              <w:t>(Change since 2012-13)</w:t>
            </w:r>
          </w:p>
        </w:tc>
      </w:tr>
      <w:tr w:rsidR="00980FDB" w:rsidTr="00B21525">
        <w:tc>
          <w:tcPr>
            <w:tcW w:w="2092" w:type="dxa"/>
          </w:tcPr>
          <w:p w:rsidR="00980FDB" w:rsidRPr="009E4964" w:rsidRDefault="00980FDB" w:rsidP="00980FDB">
            <w:pPr>
              <w:spacing w:after="200" w:line="276" w:lineRule="auto"/>
              <w:rPr>
                <w:b/>
              </w:rPr>
            </w:pPr>
          </w:p>
        </w:tc>
        <w:tc>
          <w:tcPr>
            <w:tcW w:w="1743" w:type="dxa"/>
            <w:gridSpan w:val="2"/>
          </w:tcPr>
          <w:p w:rsidR="00980FDB" w:rsidRPr="009E4964" w:rsidRDefault="00980FDB" w:rsidP="00B21525">
            <w:pPr>
              <w:jc w:val="center"/>
              <w:rPr>
                <w:b/>
              </w:rPr>
            </w:pPr>
            <w:r w:rsidRPr="009E4964">
              <w:rPr>
                <w:b/>
              </w:rPr>
              <w:t>Electricity</w:t>
            </w:r>
          </w:p>
        </w:tc>
        <w:tc>
          <w:tcPr>
            <w:tcW w:w="1803" w:type="dxa"/>
            <w:gridSpan w:val="2"/>
          </w:tcPr>
          <w:p w:rsidR="00980FDB" w:rsidRPr="009E4964" w:rsidRDefault="00980FDB" w:rsidP="00B21525">
            <w:pPr>
              <w:tabs>
                <w:tab w:val="right" w:pos="1586"/>
              </w:tabs>
              <w:jc w:val="center"/>
              <w:rPr>
                <w:b/>
              </w:rPr>
            </w:pPr>
            <w:r w:rsidRPr="009E4964">
              <w:rPr>
                <w:b/>
              </w:rPr>
              <w:t>Gas</w:t>
            </w:r>
          </w:p>
        </w:tc>
        <w:tc>
          <w:tcPr>
            <w:tcW w:w="1802" w:type="dxa"/>
            <w:gridSpan w:val="2"/>
          </w:tcPr>
          <w:p w:rsidR="00980FDB" w:rsidRPr="009E4964" w:rsidRDefault="00980FDB" w:rsidP="00B21525">
            <w:pPr>
              <w:jc w:val="center"/>
              <w:rPr>
                <w:b/>
              </w:rPr>
            </w:pPr>
            <w:r w:rsidRPr="009E4964">
              <w:rPr>
                <w:b/>
              </w:rPr>
              <w:t>Electricity</w:t>
            </w:r>
          </w:p>
        </w:tc>
        <w:tc>
          <w:tcPr>
            <w:tcW w:w="1802" w:type="dxa"/>
            <w:gridSpan w:val="2"/>
          </w:tcPr>
          <w:p w:rsidR="00980FDB" w:rsidRPr="009E4964" w:rsidRDefault="00980FDB" w:rsidP="00B21525">
            <w:pPr>
              <w:jc w:val="center"/>
              <w:rPr>
                <w:b/>
              </w:rPr>
            </w:pPr>
            <w:r w:rsidRPr="009E4964">
              <w:rPr>
                <w:b/>
              </w:rPr>
              <w:t>Gas</w:t>
            </w:r>
          </w:p>
        </w:tc>
      </w:tr>
      <w:tr w:rsidR="00EB2FF4" w:rsidTr="00FC2FC0">
        <w:trPr>
          <w:cnfStyle w:val="000000010000" w:firstRow="0" w:lastRow="0" w:firstColumn="0" w:lastColumn="0" w:oddVBand="0" w:evenVBand="0" w:oddHBand="0" w:evenHBand="1" w:firstRowFirstColumn="0" w:firstRowLastColumn="0" w:lastRowFirstColumn="0" w:lastRowLastColumn="0"/>
        </w:trPr>
        <w:tc>
          <w:tcPr>
            <w:tcW w:w="2092" w:type="dxa"/>
          </w:tcPr>
          <w:p w:rsidR="00EB2FF4" w:rsidRPr="009E4964" w:rsidRDefault="00EB2FF4" w:rsidP="00980FDB">
            <w:pPr>
              <w:rPr>
                <w:b/>
              </w:rPr>
            </w:pPr>
            <w:r w:rsidRPr="009E4964">
              <w:t>New South Wales</w:t>
            </w:r>
          </w:p>
        </w:tc>
        <w:tc>
          <w:tcPr>
            <w:tcW w:w="850" w:type="dxa"/>
          </w:tcPr>
          <w:p w:rsidR="00EB2FF4" w:rsidRPr="009E4964" w:rsidRDefault="00EB2FF4" w:rsidP="00980FDB">
            <w:pPr>
              <w:jc w:val="right"/>
            </w:pPr>
            <w:r w:rsidRPr="009E4964">
              <w:t>28.73</w:t>
            </w:r>
          </w:p>
        </w:tc>
        <w:tc>
          <w:tcPr>
            <w:tcW w:w="893" w:type="dxa"/>
          </w:tcPr>
          <w:p w:rsidR="00EB2FF4" w:rsidRPr="009E4964" w:rsidRDefault="00EB2FF4" w:rsidP="00980FDB">
            <w:pPr>
              <w:jc w:val="right"/>
            </w:pPr>
            <w:r>
              <w:t>(N/A)</w:t>
            </w:r>
          </w:p>
        </w:tc>
        <w:tc>
          <w:tcPr>
            <w:tcW w:w="901" w:type="dxa"/>
          </w:tcPr>
          <w:p w:rsidR="00EB2FF4" w:rsidRPr="009E4964" w:rsidRDefault="00EB2FF4" w:rsidP="00980FDB">
            <w:pPr>
              <w:jc w:val="right"/>
            </w:pPr>
            <w:r w:rsidRPr="009E4964">
              <w:t>3.90</w:t>
            </w:r>
          </w:p>
        </w:tc>
        <w:tc>
          <w:tcPr>
            <w:tcW w:w="902" w:type="dxa"/>
          </w:tcPr>
          <w:p w:rsidR="00EB2FF4" w:rsidRPr="009E4964" w:rsidRDefault="00EB2FF4" w:rsidP="00980FDB">
            <w:pPr>
              <w:jc w:val="right"/>
            </w:pPr>
            <w:r>
              <w:t>(N/A)</w:t>
            </w:r>
          </w:p>
        </w:tc>
        <w:tc>
          <w:tcPr>
            <w:tcW w:w="901" w:type="dxa"/>
          </w:tcPr>
          <w:p w:rsidR="00EB2FF4" w:rsidRPr="009E4964" w:rsidRDefault="00EB2FF4" w:rsidP="00980FDB">
            <w:pPr>
              <w:jc w:val="right"/>
            </w:pPr>
            <w:r w:rsidRPr="009E4964">
              <w:t>1.50</w:t>
            </w:r>
          </w:p>
        </w:tc>
        <w:tc>
          <w:tcPr>
            <w:tcW w:w="901" w:type="dxa"/>
          </w:tcPr>
          <w:p w:rsidR="00EB2FF4" w:rsidRPr="009E4964" w:rsidRDefault="00EB2FF4" w:rsidP="00980FDB">
            <w:pPr>
              <w:jc w:val="right"/>
            </w:pPr>
            <w:r>
              <w:t>(N/A)</w:t>
            </w:r>
          </w:p>
        </w:tc>
        <w:tc>
          <w:tcPr>
            <w:tcW w:w="901" w:type="dxa"/>
          </w:tcPr>
          <w:p w:rsidR="00EB2FF4" w:rsidRPr="009E4964" w:rsidRDefault="00EB2FF4" w:rsidP="00980FDB">
            <w:pPr>
              <w:jc w:val="right"/>
            </w:pPr>
            <w:r w:rsidRPr="009E4964">
              <w:t>1.44</w:t>
            </w:r>
          </w:p>
        </w:tc>
        <w:tc>
          <w:tcPr>
            <w:tcW w:w="901" w:type="dxa"/>
          </w:tcPr>
          <w:p w:rsidR="00EB2FF4" w:rsidRPr="009E4964" w:rsidRDefault="00EB2FF4" w:rsidP="00980FDB">
            <w:pPr>
              <w:jc w:val="right"/>
            </w:pPr>
            <w:r>
              <w:t>(N/A)</w:t>
            </w:r>
          </w:p>
        </w:tc>
      </w:tr>
      <w:tr w:rsidR="00EB2FF4" w:rsidTr="00FC2FC0">
        <w:tc>
          <w:tcPr>
            <w:tcW w:w="2092" w:type="dxa"/>
          </w:tcPr>
          <w:p w:rsidR="00EB2FF4" w:rsidRPr="009E4964" w:rsidRDefault="00EB2FF4" w:rsidP="00980FDB">
            <w:pPr>
              <w:rPr>
                <w:b/>
              </w:rPr>
            </w:pPr>
            <w:r w:rsidRPr="009E4964">
              <w:t>South Australia</w:t>
            </w:r>
          </w:p>
        </w:tc>
        <w:tc>
          <w:tcPr>
            <w:tcW w:w="850" w:type="dxa"/>
          </w:tcPr>
          <w:p w:rsidR="00EB2FF4" w:rsidRPr="009E4964" w:rsidRDefault="00EB2FF4" w:rsidP="00980FDB">
            <w:pPr>
              <w:jc w:val="right"/>
            </w:pPr>
            <w:r w:rsidRPr="009E4964">
              <w:t>28.70</w:t>
            </w:r>
          </w:p>
        </w:tc>
        <w:tc>
          <w:tcPr>
            <w:tcW w:w="893" w:type="dxa"/>
          </w:tcPr>
          <w:p w:rsidR="00EB2FF4" w:rsidRPr="009E4964" w:rsidRDefault="00EB2FF4" w:rsidP="00980FDB">
            <w:pPr>
              <w:jc w:val="right"/>
            </w:pPr>
            <w:r>
              <w:t>(-0.17)</w:t>
            </w:r>
          </w:p>
        </w:tc>
        <w:tc>
          <w:tcPr>
            <w:tcW w:w="901" w:type="dxa"/>
          </w:tcPr>
          <w:p w:rsidR="00EB2FF4" w:rsidRPr="009E4964" w:rsidRDefault="00EB2FF4" w:rsidP="00980FDB">
            <w:pPr>
              <w:jc w:val="right"/>
            </w:pPr>
            <w:r w:rsidRPr="009E4964">
              <w:t>7.52</w:t>
            </w:r>
          </w:p>
        </w:tc>
        <w:tc>
          <w:tcPr>
            <w:tcW w:w="902" w:type="dxa"/>
          </w:tcPr>
          <w:p w:rsidR="00EB2FF4" w:rsidRPr="009E4964" w:rsidRDefault="00EB2FF4" w:rsidP="00980FDB">
            <w:pPr>
              <w:jc w:val="right"/>
            </w:pPr>
            <w:r>
              <w:t>(-0.13)</w:t>
            </w:r>
          </w:p>
        </w:tc>
        <w:tc>
          <w:tcPr>
            <w:tcW w:w="901" w:type="dxa"/>
          </w:tcPr>
          <w:p w:rsidR="00EB2FF4" w:rsidRPr="009E4964" w:rsidRDefault="00EB2FF4" w:rsidP="00980FDB">
            <w:pPr>
              <w:jc w:val="right"/>
            </w:pPr>
            <w:r w:rsidRPr="009E4964">
              <w:t>1.76</w:t>
            </w:r>
          </w:p>
        </w:tc>
        <w:tc>
          <w:tcPr>
            <w:tcW w:w="901" w:type="dxa"/>
          </w:tcPr>
          <w:p w:rsidR="00EB2FF4" w:rsidRPr="009E4964" w:rsidRDefault="00EB2FF4" w:rsidP="00980FDB">
            <w:pPr>
              <w:jc w:val="right"/>
            </w:pPr>
            <w:r>
              <w:t>(+0.55)</w:t>
            </w:r>
          </w:p>
        </w:tc>
        <w:tc>
          <w:tcPr>
            <w:tcW w:w="901" w:type="dxa"/>
          </w:tcPr>
          <w:p w:rsidR="00EB2FF4" w:rsidRPr="009E4964" w:rsidRDefault="00EB2FF4" w:rsidP="00980FDB">
            <w:pPr>
              <w:jc w:val="right"/>
            </w:pPr>
            <w:r w:rsidRPr="009E4964">
              <w:t>1.07</w:t>
            </w:r>
          </w:p>
        </w:tc>
        <w:tc>
          <w:tcPr>
            <w:tcW w:w="901" w:type="dxa"/>
          </w:tcPr>
          <w:p w:rsidR="00EB2FF4" w:rsidRPr="009E4964" w:rsidRDefault="00EB2FF4" w:rsidP="00980FDB">
            <w:pPr>
              <w:jc w:val="right"/>
            </w:pPr>
            <w:r>
              <w:t>(+0.49)</w:t>
            </w:r>
          </w:p>
        </w:tc>
      </w:tr>
      <w:tr w:rsidR="00EB2FF4" w:rsidTr="00FC2FC0">
        <w:trPr>
          <w:cnfStyle w:val="000000010000" w:firstRow="0" w:lastRow="0" w:firstColumn="0" w:lastColumn="0" w:oddVBand="0" w:evenVBand="0" w:oddHBand="0" w:evenHBand="1" w:firstRowFirstColumn="0" w:firstRowLastColumn="0" w:lastRowFirstColumn="0" w:lastRowLastColumn="0"/>
        </w:trPr>
        <w:tc>
          <w:tcPr>
            <w:tcW w:w="2092" w:type="dxa"/>
          </w:tcPr>
          <w:p w:rsidR="00EB2FF4" w:rsidRPr="009E4964" w:rsidRDefault="00EB2FF4" w:rsidP="00980FDB">
            <w:pPr>
              <w:rPr>
                <w:b/>
              </w:rPr>
            </w:pPr>
            <w:r w:rsidRPr="009E4964">
              <w:t>Tasmania</w:t>
            </w:r>
          </w:p>
        </w:tc>
        <w:tc>
          <w:tcPr>
            <w:tcW w:w="850" w:type="dxa"/>
          </w:tcPr>
          <w:p w:rsidR="00EB2FF4" w:rsidRPr="009E4964" w:rsidRDefault="00EB2FF4" w:rsidP="00980FDB">
            <w:pPr>
              <w:jc w:val="right"/>
            </w:pPr>
            <w:r w:rsidRPr="009E4964">
              <w:t>38.43</w:t>
            </w:r>
          </w:p>
        </w:tc>
        <w:tc>
          <w:tcPr>
            <w:tcW w:w="893" w:type="dxa"/>
          </w:tcPr>
          <w:p w:rsidR="00EB2FF4" w:rsidRPr="009E4964" w:rsidRDefault="00EB2FF4" w:rsidP="00980FDB">
            <w:pPr>
              <w:jc w:val="right"/>
            </w:pPr>
            <w:r>
              <w:t>(-0.06)</w:t>
            </w:r>
          </w:p>
        </w:tc>
        <w:tc>
          <w:tcPr>
            <w:tcW w:w="901" w:type="dxa"/>
          </w:tcPr>
          <w:p w:rsidR="00EB2FF4" w:rsidRPr="009E4964" w:rsidRDefault="00EB2FF4" w:rsidP="00980FDB">
            <w:pPr>
              <w:jc w:val="right"/>
            </w:pPr>
            <w:r w:rsidRPr="009E4964">
              <w:t>-</w:t>
            </w:r>
          </w:p>
        </w:tc>
        <w:tc>
          <w:tcPr>
            <w:tcW w:w="902" w:type="dxa"/>
          </w:tcPr>
          <w:p w:rsidR="00EB2FF4" w:rsidRPr="009E4964" w:rsidRDefault="00EB2FF4" w:rsidP="00980FDB">
            <w:pPr>
              <w:jc w:val="right"/>
            </w:pPr>
            <w:r>
              <w:t>-</w:t>
            </w:r>
          </w:p>
        </w:tc>
        <w:tc>
          <w:tcPr>
            <w:tcW w:w="901" w:type="dxa"/>
          </w:tcPr>
          <w:p w:rsidR="00EB2FF4" w:rsidRPr="009E4964" w:rsidRDefault="00EB2FF4" w:rsidP="00980FDB">
            <w:pPr>
              <w:jc w:val="right"/>
            </w:pPr>
            <w:r w:rsidRPr="009E4964">
              <w:t>0.88</w:t>
            </w:r>
          </w:p>
        </w:tc>
        <w:tc>
          <w:tcPr>
            <w:tcW w:w="901" w:type="dxa"/>
          </w:tcPr>
          <w:p w:rsidR="00EB2FF4" w:rsidRPr="009E4964" w:rsidRDefault="00EB2FF4" w:rsidP="00980FDB">
            <w:pPr>
              <w:jc w:val="right"/>
            </w:pPr>
            <w:r>
              <w:t>(+0.46)</w:t>
            </w:r>
          </w:p>
        </w:tc>
        <w:tc>
          <w:tcPr>
            <w:tcW w:w="901" w:type="dxa"/>
          </w:tcPr>
          <w:p w:rsidR="00EB2FF4" w:rsidRPr="009E4964" w:rsidRDefault="00EB2FF4" w:rsidP="00980FDB">
            <w:pPr>
              <w:jc w:val="right"/>
            </w:pPr>
            <w:r w:rsidRPr="009E4964">
              <w:t>-</w:t>
            </w:r>
          </w:p>
        </w:tc>
        <w:tc>
          <w:tcPr>
            <w:tcW w:w="901" w:type="dxa"/>
          </w:tcPr>
          <w:p w:rsidR="00EB2FF4" w:rsidRPr="009E4964" w:rsidRDefault="00EB2FF4" w:rsidP="00980FDB">
            <w:pPr>
              <w:jc w:val="right"/>
            </w:pPr>
            <w:r>
              <w:t>-</w:t>
            </w:r>
          </w:p>
        </w:tc>
      </w:tr>
      <w:tr w:rsidR="00EB2FF4" w:rsidTr="00FC2FC0">
        <w:tc>
          <w:tcPr>
            <w:tcW w:w="2092" w:type="dxa"/>
          </w:tcPr>
          <w:p w:rsidR="00EB2FF4" w:rsidRPr="009E4964" w:rsidRDefault="00EB2FF4" w:rsidP="00980FDB">
            <w:pPr>
              <w:rPr>
                <w:b/>
              </w:rPr>
            </w:pPr>
            <w:r w:rsidRPr="009E4964">
              <w:t>ACT</w:t>
            </w:r>
          </w:p>
        </w:tc>
        <w:tc>
          <w:tcPr>
            <w:tcW w:w="850" w:type="dxa"/>
          </w:tcPr>
          <w:p w:rsidR="00EB2FF4" w:rsidRPr="009E4964" w:rsidRDefault="00EB2FF4" w:rsidP="00980FDB">
            <w:pPr>
              <w:jc w:val="right"/>
            </w:pPr>
            <w:r w:rsidRPr="009E4964">
              <w:t>16.45</w:t>
            </w:r>
          </w:p>
        </w:tc>
        <w:tc>
          <w:tcPr>
            <w:tcW w:w="893" w:type="dxa"/>
          </w:tcPr>
          <w:p w:rsidR="00EB2FF4" w:rsidRPr="009E4964" w:rsidRDefault="00EB2FF4" w:rsidP="00980FDB">
            <w:pPr>
              <w:jc w:val="right"/>
            </w:pPr>
            <w:r>
              <w:t>(-0.09)</w:t>
            </w:r>
          </w:p>
        </w:tc>
        <w:tc>
          <w:tcPr>
            <w:tcW w:w="901" w:type="dxa"/>
          </w:tcPr>
          <w:p w:rsidR="00EB2FF4" w:rsidRPr="009E4964" w:rsidRDefault="00EB2FF4" w:rsidP="00980FDB">
            <w:pPr>
              <w:jc w:val="right"/>
            </w:pPr>
            <w:r w:rsidRPr="009E4964">
              <w:t>0.53</w:t>
            </w:r>
          </w:p>
        </w:tc>
        <w:tc>
          <w:tcPr>
            <w:tcW w:w="902" w:type="dxa"/>
          </w:tcPr>
          <w:p w:rsidR="00EB2FF4" w:rsidRPr="009E4964" w:rsidRDefault="00EB2FF4" w:rsidP="00980FDB">
            <w:pPr>
              <w:jc w:val="right"/>
            </w:pPr>
            <w:r>
              <w:t>(+0.03)</w:t>
            </w:r>
          </w:p>
        </w:tc>
        <w:tc>
          <w:tcPr>
            <w:tcW w:w="901" w:type="dxa"/>
          </w:tcPr>
          <w:p w:rsidR="00EB2FF4" w:rsidRPr="009E4964" w:rsidRDefault="00EB2FF4" w:rsidP="00980FDB">
            <w:pPr>
              <w:jc w:val="right"/>
            </w:pPr>
            <w:r w:rsidRPr="009E4964">
              <w:t>1.56</w:t>
            </w:r>
          </w:p>
        </w:tc>
        <w:tc>
          <w:tcPr>
            <w:tcW w:w="901" w:type="dxa"/>
          </w:tcPr>
          <w:p w:rsidR="00EB2FF4" w:rsidRPr="009E4964" w:rsidRDefault="00EB2FF4" w:rsidP="00980FDB">
            <w:pPr>
              <w:jc w:val="right"/>
            </w:pPr>
            <w:r>
              <w:t>(-0.05)</w:t>
            </w:r>
          </w:p>
        </w:tc>
        <w:tc>
          <w:tcPr>
            <w:tcW w:w="901" w:type="dxa"/>
          </w:tcPr>
          <w:p w:rsidR="00EB2FF4" w:rsidRPr="009E4964" w:rsidRDefault="00EB2FF4" w:rsidP="00980FDB">
            <w:pPr>
              <w:jc w:val="right"/>
            </w:pPr>
            <w:r w:rsidRPr="009E4964">
              <w:t>2.64</w:t>
            </w:r>
          </w:p>
        </w:tc>
        <w:tc>
          <w:tcPr>
            <w:tcW w:w="901" w:type="dxa"/>
          </w:tcPr>
          <w:p w:rsidR="00EB2FF4" w:rsidRPr="009E4964" w:rsidRDefault="00EB2FF4" w:rsidP="00980FDB">
            <w:pPr>
              <w:jc w:val="right"/>
            </w:pPr>
            <w:r>
              <w:t>(+0.24)</w:t>
            </w:r>
          </w:p>
        </w:tc>
      </w:tr>
    </w:tbl>
    <w:p w:rsidR="00980FDB" w:rsidRDefault="00980FDB" w:rsidP="00980FDB">
      <w:pPr>
        <w:spacing w:before="0" w:after="200"/>
      </w:pPr>
    </w:p>
    <w:p w:rsidR="00457CD5" w:rsidRDefault="00457CD5">
      <w:pPr>
        <w:rPr>
          <w:b/>
        </w:rPr>
      </w:pPr>
      <w:r>
        <w:rPr>
          <w:rStyle w:val="Strong"/>
          <w:b w:val="0"/>
        </w:rPr>
        <w:t xml:space="preserve">Table 2.12 shows that over half of the customers disconnected for non-payment in Tasmania were receiving energy concessions. </w:t>
      </w:r>
      <w:r w:rsidR="005B2FD1">
        <w:rPr>
          <w:rStyle w:val="Strong"/>
          <w:b w:val="0"/>
        </w:rPr>
        <w:t xml:space="preserve">This compares with </w:t>
      </w:r>
      <w:r>
        <w:rPr>
          <w:rStyle w:val="Strong"/>
          <w:b w:val="0"/>
        </w:rPr>
        <w:t>less than 9 per cent of electricity customers</w:t>
      </w:r>
      <w:r w:rsidR="005B2FD1">
        <w:rPr>
          <w:rStyle w:val="Strong"/>
          <w:b w:val="0"/>
        </w:rPr>
        <w:t xml:space="preserve"> on concessions</w:t>
      </w:r>
      <w:r>
        <w:rPr>
          <w:rStyle w:val="Strong"/>
          <w:b w:val="0"/>
        </w:rPr>
        <w:t xml:space="preserve"> disconnected</w:t>
      </w:r>
      <w:r w:rsidR="005B2FD1">
        <w:rPr>
          <w:rStyle w:val="Strong"/>
          <w:b w:val="0"/>
        </w:rPr>
        <w:t xml:space="preserve"> in South Australia</w:t>
      </w:r>
      <w:r>
        <w:rPr>
          <w:rStyle w:val="Strong"/>
          <w:b w:val="0"/>
        </w:rPr>
        <w:t xml:space="preserve">. Although only 16 per cent of customers in the ACT received electricity concessions, these customers represented 36 per cent of the customers disconnected for non-payment.  </w:t>
      </w:r>
      <w:r>
        <w:rPr>
          <w:b/>
        </w:rPr>
        <w:br w:type="page"/>
      </w:r>
    </w:p>
    <w:p w:rsidR="00980FDB" w:rsidRDefault="009E4964" w:rsidP="00980FDB">
      <w:pPr>
        <w:spacing w:before="0"/>
        <w:rPr>
          <w:b/>
        </w:rPr>
      </w:pPr>
      <w:r>
        <w:rPr>
          <w:b/>
        </w:rPr>
        <w:lastRenderedPageBreak/>
        <w:t>Table 2.12</w:t>
      </w:r>
      <w:r w:rsidR="00980FDB">
        <w:rPr>
          <w:b/>
        </w:rPr>
        <w:t>: Concession customers disconnected and reconnected in 2013-14 by jurisdiction</w:t>
      </w:r>
    </w:p>
    <w:tbl>
      <w:tblPr>
        <w:tblStyle w:val="AERTable-Text"/>
        <w:tblW w:w="0" w:type="auto"/>
        <w:tblLook w:val="04A0" w:firstRow="1" w:lastRow="0" w:firstColumn="1" w:lastColumn="0" w:noHBand="0" w:noVBand="1"/>
      </w:tblPr>
      <w:tblGrid>
        <w:gridCol w:w="2235"/>
        <w:gridCol w:w="1601"/>
        <w:gridCol w:w="1802"/>
        <w:gridCol w:w="1802"/>
        <w:gridCol w:w="1802"/>
      </w:tblGrid>
      <w:tr w:rsidR="00980FDB" w:rsidTr="006E76B9">
        <w:trPr>
          <w:cnfStyle w:val="100000000000" w:firstRow="1" w:lastRow="0" w:firstColumn="0" w:lastColumn="0" w:oddVBand="0" w:evenVBand="0" w:oddHBand="0" w:evenHBand="0" w:firstRowFirstColumn="0" w:firstRowLastColumn="0" w:lastRowFirstColumn="0" w:lastRowLastColumn="0"/>
        </w:trPr>
        <w:tc>
          <w:tcPr>
            <w:tcW w:w="2235" w:type="dxa"/>
          </w:tcPr>
          <w:p w:rsidR="00980FDB" w:rsidRDefault="00980FDB" w:rsidP="00980FDB">
            <w:pPr>
              <w:spacing w:after="200" w:line="276" w:lineRule="auto"/>
            </w:pPr>
          </w:p>
          <w:p w:rsidR="00980FDB" w:rsidRDefault="00980FDB" w:rsidP="00980FDB">
            <w:pPr>
              <w:spacing w:after="200" w:line="276" w:lineRule="auto"/>
            </w:pPr>
            <w:r>
              <w:t xml:space="preserve">Jurisdiction </w:t>
            </w:r>
          </w:p>
        </w:tc>
        <w:tc>
          <w:tcPr>
            <w:tcW w:w="3403" w:type="dxa"/>
            <w:gridSpan w:val="2"/>
          </w:tcPr>
          <w:p w:rsidR="00980FDB" w:rsidRDefault="00980FDB" w:rsidP="00980FDB">
            <w:pPr>
              <w:spacing w:line="276" w:lineRule="auto"/>
              <w:jc w:val="center"/>
            </w:pPr>
            <w:r>
              <w:t xml:space="preserve">Concession customers disconnected </w:t>
            </w:r>
            <w:r>
              <w:br/>
              <w:t>(as % of all customers disconnected)</w:t>
            </w:r>
          </w:p>
        </w:tc>
        <w:tc>
          <w:tcPr>
            <w:tcW w:w="3604" w:type="dxa"/>
            <w:gridSpan w:val="2"/>
          </w:tcPr>
          <w:p w:rsidR="00980FDB" w:rsidRDefault="00980FDB" w:rsidP="00980FDB">
            <w:pPr>
              <w:spacing w:line="276" w:lineRule="auto"/>
              <w:jc w:val="center"/>
            </w:pPr>
            <w:r>
              <w:t xml:space="preserve">Concession customers reconnected within 7 days </w:t>
            </w:r>
            <w:r>
              <w:br/>
              <w:t>(as % of concession customers disconnected)</w:t>
            </w:r>
          </w:p>
        </w:tc>
      </w:tr>
      <w:tr w:rsidR="00980FDB" w:rsidTr="006E76B9">
        <w:tc>
          <w:tcPr>
            <w:tcW w:w="2235" w:type="dxa"/>
          </w:tcPr>
          <w:p w:rsidR="00980FDB" w:rsidRPr="009E4964" w:rsidRDefault="00980FDB" w:rsidP="00980FDB">
            <w:pPr>
              <w:spacing w:after="200" w:line="276" w:lineRule="auto"/>
              <w:rPr>
                <w:b/>
              </w:rPr>
            </w:pPr>
          </w:p>
        </w:tc>
        <w:tc>
          <w:tcPr>
            <w:tcW w:w="1601" w:type="dxa"/>
          </w:tcPr>
          <w:p w:rsidR="00980FDB" w:rsidRPr="009E4964" w:rsidRDefault="00980FDB" w:rsidP="00980FDB">
            <w:pPr>
              <w:jc w:val="right"/>
              <w:rPr>
                <w:b/>
              </w:rPr>
            </w:pPr>
            <w:r w:rsidRPr="009E4964">
              <w:rPr>
                <w:b/>
              </w:rPr>
              <w:t>Electricity</w:t>
            </w:r>
          </w:p>
        </w:tc>
        <w:tc>
          <w:tcPr>
            <w:tcW w:w="1802" w:type="dxa"/>
          </w:tcPr>
          <w:p w:rsidR="00980FDB" w:rsidRPr="009E4964" w:rsidRDefault="00980FDB" w:rsidP="00980FDB">
            <w:pPr>
              <w:jc w:val="right"/>
              <w:rPr>
                <w:b/>
              </w:rPr>
            </w:pPr>
            <w:r w:rsidRPr="009E4964">
              <w:rPr>
                <w:b/>
              </w:rPr>
              <w:t>Gas</w:t>
            </w:r>
          </w:p>
        </w:tc>
        <w:tc>
          <w:tcPr>
            <w:tcW w:w="1802" w:type="dxa"/>
          </w:tcPr>
          <w:p w:rsidR="00980FDB" w:rsidRPr="009E4964" w:rsidRDefault="00980FDB" w:rsidP="00980FDB">
            <w:pPr>
              <w:jc w:val="right"/>
              <w:rPr>
                <w:b/>
              </w:rPr>
            </w:pPr>
            <w:r w:rsidRPr="009E4964">
              <w:rPr>
                <w:b/>
              </w:rPr>
              <w:t>Electricity</w:t>
            </w:r>
          </w:p>
        </w:tc>
        <w:tc>
          <w:tcPr>
            <w:tcW w:w="1802" w:type="dxa"/>
          </w:tcPr>
          <w:p w:rsidR="00980FDB" w:rsidRPr="009E4964" w:rsidRDefault="00980FDB" w:rsidP="00980FDB">
            <w:pPr>
              <w:jc w:val="right"/>
              <w:rPr>
                <w:b/>
              </w:rPr>
            </w:pPr>
            <w:r w:rsidRPr="009E4964">
              <w:rPr>
                <w:b/>
              </w:rPr>
              <w:t>Gas</w:t>
            </w:r>
          </w:p>
        </w:tc>
      </w:tr>
      <w:tr w:rsidR="00980FDB" w:rsidTr="006E76B9">
        <w:trPr>
          <w:cnfStyle w:val="000000010000" w:firstRow="0" w:lastRow="0" w:firstColumn="0" w:lastColumn="0" w:oddVBand="0" w:evenVBand="0" w:oddHBand="0" w:evenHBand="1" w:firstRowFirstColumn="0" w:firstRowLastColumn="0" w:lastRowFirstColumn="0" w:lastRowLastColumn="0"/>
        </w:trPr>
        <w:tc>
          <w:tcPr>
            <w:tcW w:w="2235" w:type="dxa"/>
          </w:tcPr>
          <w:p w:rsidR="00980FDB" w:rsidRPr="009E4964" w:rsidRDefault="00980FDB" w:rsidP="00980FDB">
            <w:pPr>
              <w:rPr>
                <w:b/>
              </w:rPr>
            </w:pPr>
            <w:r w:rsidRPr="009E4964">
              <w:t>New South Wales</w:t>
            </w:r>
          </w:p>
        </w:tc>
        <w:tc>
          <w:tcPr>
            <w:tcW w:w="1601" w:type="dxa"/>
          </w:tcPr>
          <w:p w:rsidR="00980FDB" w:rsidRPr="009E4964" w:rsidRDefault="00980FDB" w:rsidP="00980FDB">
            <w:pPr>
              <w:jc w:val="right"/>
            </w:pPr>
            <w:r w:rsidRPr="009E4964">
              <w:t>22.40%</w:t>
            </w:r>
          </w:p>
        </w:tc>
        <w:tc>
          <w:tcPr>
            <w:tcW w:w="1802" w:type="dxa"/>
          </w:tcPr>
          <w:p w:rsidR="00980FDB" w:rsidRPr="009E4964" w:rsidRDefault="00980FDB" w:rsidP="00980FDB">
            <w:pPr>
              <w:jc w:val="right"/>
            </w:pPr>
            <w:r w:rsidRPr="009E4964">
              <w:t>7.11%</w:t>
            </w:r>
          </w:p>
        </w:tc>
        <w:tc>
          <w:tcPr>
            <w:tcW w:w="1802" w:type="dxa"/>
          </w:tcPr>
          <w:p w:rsidR="00980FDB" w:rsidRPr="009E4964" w:rsidRDefault="00980FDB" w:rsidP="00980FDB">
            <w:pPr>
              <w:jc w:val="right"/>
            </w:pPr>
            <w:r w:rsidRPr="009E4964">
              <w:t>45.37%</w:t>
            </w:r>
          </w:p>
        </w:tc>
        <w:tc>
          <w:tcPr>
            <w:tcW w:w="1802" w:type="dxa"/>
          </w:tcPr>
          <w:p w:rsidR="00980FDB" w:rsidRPr="009E4964" w:rsidRDefault="00980FDB" w:rsidP="00980FDB">
            <w:pPr>
              <w:jc w:val="right"/>
            </w:pPr>
            <w:r w:rsidRPr="009E4964">
              <w:t>23.71%</w:t>
            </w:r>
          </w:p>
        </w:tc>
      </w:tr>
      <w:tr w:rsidR="00980FDB" w:rsidTr="006E76B9">
        <w:tc>
          <w:tcPr>
            <w:tcW w:w="2235" w:type="dxa"/>
          </w:tcPr>
          <w:p w:rsidR="00980FDB" w:rsidRPr="009E4964" w:rsidRDefault="00980FDB" w:rsidP="00980FDB">
            <w:pPr>
              <w:rPr>
                <w:b/>
              </w:rPr>
            </w:pPr>
            <w:r w:rsidRPr="009E4964">
              <w:t>South Australia</w:t>
            </w:r>
          </w:p>
        </w:tc>
        <w:tc>
          <w:tcPr>
            <w:tcW w:w="1601" w:type="dxa"/>
          </w:tcPr>
          <w:p w:rsidR="00980FDB" w:rsidRPr="009E4964" w:rsidRDefault="00980FDB" w:rsidP="00980FDB">
            <w:pPr>
              <w:jc w:val="right"/>
            </w:pPr>
            <w:r w:rsidRPr="009E4964">
              <w:t>8.70%</w:t>
            </w:r>
          </w:p>
        </w:tc>
        <w:tc>
          <w:tcPr>
            <w:tcW w:w="1802" w:type="dxa"/>
          </w:tcPr>
          <w:p w:rsidR="00980FDB" w:rsidRPr="009E4964" w:rsidRDefault="00980FDB" w:rsidP="00980FDB">
            <w:pPr>
              <w:jc w:val="right"/>
            </w:pPr>
            <w:r w:rsidRPr="009E4964">
              <w:t>4.36%</w:t>
            </w:r>
          </w:p>
        </w:tc>
        <w:tc>
          <w:tcPr>
            <w:tcW w:w="1802" w:type="dxa"/>
          </w:tcPr>
          <w:p w:rsidR="00980FDB" w:rsidRPr="009E4964" w:rsidRDefault="00980FDB" w:rsidP="00980FDB">
            <w:pPr>
              <w:jc w:val="right"/>
            </w:pPr>
            <w:r w:rsidRPr="009E4964">
              <w:t>48.92%</w:t>
            </w:r>
          </w:p>
        </w:tc>
        <w:tc>
          <w:tcPr>
            <w:tcW w:w="1802" w:type="dxa"/>
          </w:tcPr>
          <w:p w:rsidR="00980FDB" w:rsidRPr="009E4964" w:rsidRDefault="00980FDB" w:rsidP="00980FDB">
            <w:pPr>
              <w:jc w:val="right"/>
            </w:pPr>
            <w:r w:rsidRPr="009E4964">
              <w:t>32.21%</w:t>
            </w:r>
          </w:p>
        </w:tc>
      </w:tr>
      <w:tr w:rsidR="00980FDB" w:rsidTr="006E76B9">
        <w:trPr>
          <w:cnfStyle w:val="000000010000" w:firstRow="0" w:lastRow="0" w:firstColumn="0" w:lastColumn="0" w:oddVBand="0" w:evenVBand="0" w:oddHBand="0" w:evenHBand="1" w:firstRowFirstColumn="0" w:firstRowLastColumn="0" w:lastRowFirstColumn="0" w:lastRowLastColumn="0"/>
        </w:trPr>
        <w:tc>
          <w:tcPr>
            <w:tcW w:w="2235" w:type="dxa"/>
          </w:tcPr>
          <w:p w:rsidR="00980FDB" w:rsidRPr="009E4964" w:rsidRDefault="00980FDB" w:rsidP="00980FDB">
            <w:pPr>
              <w:rPr>
                <w:b/>
              </w:rPr>
            </w:pPr>
            <w:r w:rsidRPr="009E4964">
              <w:t>Tasmania</w:t>
            </w:r>
          </w:p>
        </w:tc>
        <w:tc>
          <w:tcPr>
            <w:tcW w:w="1601" w:type="dxa"/>
          </w:tcPr>
          <w:p w:rsidR="00980FDB" w:rsidRPr="009E4964" w:rsidRDefault="00980FDB" w:rsidP="00980FDB">
            <w:pPr>
              <w:jc w:val="right"/>
            </w:pPr>
            <w:r w:rsidRPr="009E4964">
              <w:t>51.25%</w:t>
            </w:r>
          </w:p>
        </w:tc>
        <w:tc>
          <w:tcPr>
            <w:tcW w:w="1802" w:type="dxa"/>
          </w:tcPr>
          <w:p w:rsidR="00980FDB" w:rsidRPr="009E4964" w:rsidRDefault="00980FDB" w:rsidP="00980FDB">
            <w:pPr>
              <w:jc w:val="right"/>
            </w:pPr>
            <w:r w:rsidRPr="009E4964">
              <w:t>-</w:t>
            </w:r>
          </w:p>
        </w:tc>
        <w:tc>
          <w:tcPr>
            <w:tcW w:w="1802" w:type="dxa"/>
          </w:tcPr>
          <w:p w:rsidR="00980FDB" w:rsidRPr="009E4964" w:rsidRDefault="00980FDB" w:rsidP="00980FDB">
            <w:pPr>
              <w:jc w:val="right"/>
            </w:pPr>
            <w:r w:rsidRPr="009E4964">
              <w:t>46.42%</w:t>
            </w:r>
          </w:p>
        </w:tc>
        <w:tc>
          <w:tcPr>
            <w:tcW w:w="1802" w:type="dxa"/>
          </w:tcPr>
          <w:p w:rsidR="00980FDB" w:rsidRPr="009E4964" w:rsidRDefault="00980FDB" w:rsidP="00980FDB">
            <w:pPr>
              <w:jc w:val="right"/>
            </w:pPr>
            <w:r w:rsidRPr="009E4964">
              <w:t>-</w:t>
            </w:r>
          </w:p>
        </w:tc>
      </w:tr>
      <w:tr w:rsidR="00980FDB" w:rsidTr="006E76B9">
        <w:tc>
          <w:tcPr>
            <w:tcW w:w="2235" w:type="dxa"/>
          </w:tcPr>
          <w:p w:rsidR="00980FDB" w:rsidRPr="009E4964" w:rsidRDefault="00980FDB" w:rsidP="00980FDB">
            <w:pPr>
              <w:rPr>
                <w:b/>
              </w:rPr>
            </w:pPr>
            <w:r w:rsidRPr="009E4964">
              <w:t>ACT</w:t>
            </w:r>
          </w:p>
        </w:tc>
        <w:tc>
          <w:tcPr>
            <w:tcW w:w="1601" w:type="dxa"/>
          </w:tcPr>
          <w:p w:rsidR="00980FDB" w:rsidRPr="009E4964" w:rsidRDefault="00980FDB" w:rsidP="00980FDB">
            <w:pPr>
              <w:jc w:val="right"/>
            </w:pPr>
            <w:r w:rsidRPr="009E4964">
              <w:t>36.06%</w:t>
            </w:r>
          </w:p>
        </w:tc>
        <w:tc>
          <w:tcPr>
            <w:tcW w:w="1802" w:type="dxa"/>
          </w:tcPr>
          <w:p w:rsidR="00980FDB" w:rsidRPr="009E4964" w:rsidRDefault="00980FDB" w:rsidP="00980FDB">
            <w:pPr>
              <w:jc w:val="right"/>
            </w:pPr>
            <w:r w:rsidRPr="009E4964">
              <w:t>0.19%</w:t>
            </w:r>
          </w:p>
        </w:tc>
        <w:tc>
          <w:tcPr>
            <w:tcW w:w="1802" w:type="dxa"/>
          </w:tcPr>
          <w:p w:rsidR="00980FDB" w:rsidRPr="009E4964" w:rsidRDefault="00980FDB" w:rsidP="00980FDB">
            <w:pPr>
              <w:jc w:val="right"/>
            </w:pPr>
            <w:r w:rsidRPr="009E4964">
              <w:t>59.79%</w:t>
            </w:r>
          </w:p>
        </w:tc>
        <w:tc>
          <w:tcPr>
            <w:tcW w:w="1802" w:type="dxa"/>
          </w:tcPr>
          <w:p w:rsidR="00980FDB" w:rsidRPr="009E4964" w:rsidRDefault="00980FDB" w:rsidP="00980FDB">
            <w:pPr>
              <w:jc w:val="right"/>
            </w:pPr>
            <w:r w:rsidRPr="009E4964">
              <w:t>50%</w:t>
            </w:r>
          </w:p>
        </w:tc>
      </w:tr>
    </w:tbl>
    <w:p w:rsidR="00980FDB" w:rsidRPr="0034626E" w:rsidRDefault="00980FDB" w:rsidP="00AA3437">
      <w:pPr>
        <w:pStyle w:val="Headingnumbered11"/>
        <w:spacing w:after="240"/>
        <w:rPr>
          <w:rFonts w:ascii="Lucida Fax" w:hAnsi="Lucida Fax"/>
          <w:sz w:val="32"/>
          <w:szCs w:val="32"/>
        </w:rPr>
      </w:pPr>
      <w:bookmarkStart w:id="87" w:name="_Toc402961414"/>
      <w:r>
        <w:t>Security deposits</w:t>
      </w:r>
      <w:bookmarkEnd w:id="87"/>
    </w:p>
    <w:p w:rsidR="00980FDB" w:rsidRPr="000C09B3" w:rsidRDefault="00980FDB" w:rsidP="00980FDB">
      <w:pPr>
        <w:spacing w:before="0" w:after="200"/>
      </w:pPr>
      <w:r>
        <w:t>Retailers can require small customers to provide security deposits in certain circumstances, for example if the customer owes the retailer money for another account or if the customer has fraudulently acquired energy in the previous two years.</w:t>
      </w:r>
      <w:r>
        <w:rPr>
          <w:rStyle w:val="FootnoteReference"/>
        </w:rPr>
        <w:footnoteReference w:id="25"/>
      </w:r>
      <w:r>
        <w:t xml:space="preserve"> </w:t>
      </w:r>
    </w:p>
    <w:p w:rsidR="00980FDB" w:rsidRDefault="00862702" w:rsidP="00980FDB">
      <w:pPr>
        <w:spacing w:before="0" w:after="200"/>
      </w:pPr>
      <w:r>
        <w:t xml:space="preserve">As with last year, </w:t>
      </w:r>
      <w:r w:rsidR="00980FDB">
        <w:t xml:space="preserve">there were only </w:t>
      </w:r>
      <w:r>
        <w:t>two</w:t>
      </w:r>
      <w:r w:rsidR="00980FDB">
        <w:t xml:space="preserve"> retailers </w:t>
      </w:r>
      <w:r w:rsidR="005B2FD1">
        <w:t xml:space="preserve">in 2013-14 </w:t>
      </w:r>
      <w:r w:rsidR="00980FDB">
        <w:t>holding security deposits (for ele</w:t>
      </w:r>
      <w:r w:rsidR="009E4964">
        <w:t>ctricity accounts). Table 2.13</w:t>
      </w:r>
      <w:r w:rsidR="00980FDB">
        <w:t xml:space="preserve"> shows the number and value of security deposits as at 30 June 2014. </w:t>
      </w:r>
    </w:p>
    <w:p w:rsidR="00980FDB" w:rsidRDefault="009E4964" w:rsidP="00980FDB">
      <w:pPr>
        <w:spacing w:before="0" w:after="200"/>
        <w:rPr>
          <w:b/>
        </w:rPr>
      </w:pPr>
      <w:r>
        <w:rPr>
          <w:b/>
        </w:rPr>
        <w:t>Table 2.13</w:t>
      </w:r>
      <w:r w:rsidR="00980FDB">
        <w:rPr>
          <w:b/>
        </w:rPr>
        <w:t>: Security deposits held by retailers as at 30 June 2014</w:t>
      </w:r>
    </w:p>
    <w:tbl>
      <w:tblPr>
        <w:tblStyle w:val="AERTable-Text"/>
        <w:tblW w:w="0" w:type="auto"/>
        <w:tblLook w:val="04A0" w:firstRow="1" w:lastRow="0" w:firstColumn="1" w:lastColumn="0" w:noHBand="0" w:noVBand="1"/>
      </w:tblPr>
      <w:tblGrid>
        <w:gridCol w:w="3080"/>
        <w:gridCol w:w="3081"/>
        <w:gridCol w:w="3081"/>
      </w:tblGrid>
      <w:tr w:rsidR="00980FDB" w:rsidTr="006E76B9">
        <w:trPr>
          <w:cnfStyle w:val="100000000000" w:firstRow="1" w:lastRow="0" w:firstColumn="0" w:lastColumn="0" w:oddVBand="0" w:evenVBand="0" w:oddHBand="0" w:evenHBand="0" w:firstRowFirstColumn="0" w:firstRowLastColumn="0" w:lastRowFirstColumn="0" w:lastRowLastColumn="0"/>
        </w:trPr>
        <w:tc>
          <w:tcPr>
            <w:tcW w:w="3080" w:type="dxa"/>
          </w:tcPr>
          <w:p w:rsidR="00980FDB" w:rsidRPr="00D178EF" w:rsidRDefault="00980FDB" w:rsidP="00980FDB">
            <w:pPr>
              <w:spacing w:after="200" w:line="276" w:lineRule="auto"/>
            </w:pPr>
            <w:r w:rsidRPr="00D178EF">
              <w:t>Retailer</w:t>
            </w:r>
          </w:p>
        </w:tc>
        <w:tc>
          <w:tcPr>
            <w:tcW w:w="3081" w:type="dxa"/>
          </w:tcPr>
          <w:p w:rsidR="00980FDB" w:rsidRPr="00D178EF" w:rsidRDefault="00980FDB" w:rsidP="00980FDB">
            <w:pPr>
              <w:spacing w:after="200" w:line="276" w:lineRule="auto"/>
              <w:jc w:val="right"/>
            </w:pPr>
            <w:r w:rsidRPr="00D178EF">
              <w:t>Number of customers with security deposits</w:t>
            </w:r>
          </w:p>
        </w:tc>
        <w:tc>
          <w:tcPr>
            <w:tcW w:w="3081" w:type="dxa"/>
          </w:tcPr>
          <w:p w:rsidR="00980FDB" w:rsidRPr="00D178EF" w:rsidRDefault="00980FDB" w:rsidP="00980FDB">
            <w:pPr>
              <w:spacing w:after="200" w:line="276" w:lineRule="auto"/>
              <w:jc w:val="right"/>
            </w:pPr>
            <w:r w:rsidRPr="00D178EF">
              <w:t>Value of security deposits</w:t>
            </w:r>
          </w:p>
        </w:tc>
      </w:tr>
      <w:tr w:rsidR="00980FDB" w:rsidTr="006E76B9">
        <w:tc>
          <w:tcPr>
            <w:tcW w:w="3080" w:type="dxa"/>
          </w:tcPr>
          <w:p w:rsidR="00980FDB" w:rsidRPr="009E4964" w:rsidRDefault="00980FDB" w:rsidP="00980FDB">
            <w:pPr>
              <w:spacing w:after="200" w:line="276" w:lineRule="auto"/>
              <w:rPr>
                <w:b/>
              </w:rPr>
            </w:pPr>
            <w:r w:rsidRPr="009E4964">
              <w:t>Aurora Energy</w:t>
            </w:r>
          </w:p>
        </w:tc>
        <w:tc>
          <w:tcPr>
            <w:tcW w:w="3081" w:type="dxa"/>
          </w:tcPr>
          <w:p w:rsidR="00980FDB" w:rsidRPr="009E4964" w:rsidRDefault="00980FDB" w:rsidP="00980FDB">
            <w:pPr>
              <w:spacing w:after="200" w:line="276" w:lineRule="auto"/>
              <w:jc w:val="right"/>
            </w:pPr>
            <w:r w:rsidRPr="009E4964">
              <w:t>120 (small business)</w:t>
            </w:r>
          </w:p>
        </w:tc>
        <w:tc>
          <w:tcPr>
            <w:tcW w:w="3081" w:type="dxa"/>
          </w:tcPr>
          <w:p w:rsidR="00980FDB" w:rsidRPr="009E4964" w:rsidRDefault="00980FDB" w:rsidP="00980FDB">
            <w:pPr>
              <w:spacing w:after="200" w:line="276" w:lineRule="auto"/>
              <w:jc w:val="right"/>
            </w:pPr>
            <w:r w:rsidRPr="009E4964">
              <w:t>$341 748</w:t>
            </w:r>
          </w:p>
        </w:tc>
      </w:tr>
      <w:tr w:rsidR="00980FDB" w:rsidTr="006E76B9">
        <w:trPr>
          <w:cnfStyle w:val="000000010000" w:firstRow="0" w:lastRow="0" w:firstColumn="0" w:lastColumn="0" w:oddVBand="0" w:evenVBand="0" w:oddHBand="0" w:evenHBand="1" w:firstRowFirstColumn="0" w:firstRowLastColumn="0" w:lastRowFirstColumn="0" w:lastRowLastColumn="0"/>
        </w:trPr>
        <w:tc>
          <w:tcPr>
            <w:tcW w:w="3080" w:type="dxa"/>
          </w:tcPr>
          <w:p w:rsidR="00980FDB" w:rsidRPr="009E4964" w:rsidRDefault="00980FDB" w:rsidP="00980FDB">
            <w:pPr>
              <w:spacing w:after="200" w:line="276" w:lineRule="auto"/>
              <w:rPr>
                <w:b/>
              </w:rPr>
            </w:pPr>
            <w:r w:rsidRPr="009E4964">
              <w:t>Origin Energy</w:t>
            </w:r>
          </w:p>
        </w:tc>
        <w:tc>
          <w:tcPr>
            <w:tcW w:w="3081" w:type="dxa"/>
          </w:tcPr>
          <w:p w:rsidR="00980FDB" w:rsidRPr="009E4964" w:rsidRDefault="00980FDB" w:rsidP="00980FDB">
            <w:pPr>
              <w:spacing w:after="200" w:line="276" w:lineRule="auto"/>
              <w:jc w:val="right"/>
            </w:pPr>
            <w:r w:rsidRPr="009E4964">
              <w:t xml:space="preserve">7 (residential) </w:t>
            </w:r>
          </w:p>
        </w:tc>
        <w:tc>
          <w:tcPr>
            <w:tcW w:w="3081" w:type="dxa"/>
          </w:tcPr>
          <w:p w:rsidR="00980FDB" w:rsidRPr="009E4964" w:rsidRDefault="00980FDB" w:rsidP="00980FDB">
            <w:pPr>
              <w:spacing w:after="200" w:line="276" w:lineRule="auto"/>
              <w:jc w:val="right"/>
            </w:pPr>
            <w:r w:rsidRPr="009E4964">
              <w:t>$890</w:t>
            </w:r>
          </w:p>
        </w:tc>
      </w:tr>
    </w:tbl>
    <w:p w:rsidR="002B5434" w:rsidRDefault="005F20C2" w:rsidP="002B5434">
      <w:pPr>
        <w:pStyle w:val="ChapterTitle"/>
        <w:numPr>
          <w:ilvl w:val="0"/>
          <w:numId w:val="10"/>
        </w:numPr>
      </w:pPr>
      <w:bookmarkStart w:id="88" w:name="_Toc402961415"/>
      <w:r>
        <w:lastRenderedPageBreak/>
        <w:t>Energy a</w:t>
      </w:r>
      <w:r w:rsidR="002B5434">
        <w:t>ffordability</w:t>
      </w:r>
      <w:bookmarkEnd w:id="88"/>
    </w:p>
    <w:p w:rsidR="002B5434" w:rsidRDefault="002B5434" w:rsidP="005F20C2">
      <w:pPr>
        <w:pStyle w:val="Headingnumbered11"/>
      </w:pPr>
      <w:bookmarkStart w:id="89" w:name="_Toc402961416"/>
      <w:r>
        <w:t>Overview</w:t>
      </w:r>
      <w:bookmarkEnd w:id="89"/>
    </w:p>
    <w:p w:rsidR="00FB10F9" w:rsidRDefault="00FB10F9" w:rsidP="00FB10F9">
      <w:bookmarkStart w:id="90" w:name="_Toc402961417"/>
      <w:r>
        <w:t>Electricity and gas are essential services, necessary for a reasonable standard of living. Ongoing community concern about rises in energy prices and other cost of living pressures continues to drive discussions about energy affordability among consumers, industry, government and regulators.</w:t>
      </w:r>
    </w:p>
    <w:p w:rsidR="00FB10F9" w:rsidRDefault="00FB10F9" w:rsidP="00FB10F9">
      <w:r>
        <w:t>This is the AER’s second annual report on energy affordability. We have maintained the approach set out in our first report. Our analysis therefore focuses on the impact of electricity and gas bills</w:t>
      </w:r>
      <w:r>
        <w:rPr>
          <w:rStyle w:val="FootnoteReference"/>
        </w:rPr>
        <w:footnoteReference w:id="26"/>
      </w:r>
      <w:r>
        <w:t xml:space="preserve"> on the budgets of low income households in Queensland, New South Wales, Victoria, South Australia, the ACT and Tasmania.</w:t>
      </w:r>
    </w:p>
    <w:p w:rsidR="00FB10F9" w:rsidRDefault="00FB10F9" w:rsidP="00FB10F9">
      <w:r>
        <w:t>We use the concept of a ‘benchmark’ household as every household has a different level of consumption and income and it is not possible to account for the individual characteristics of every household.</w:t>
      </w:r>
      <w:r>
        <w:rPr>
          <w:rStyle w:val="FootnoteReference"/>
        </w:rPr>
        <w:footnoteReference w:id="27"/>
      </w:r>
      <w:r>
        <w:t xml:space="preserve"> </w:t>
      </w:r>
    </w:p>
    <w:p w:rsidR="00FB10F9" w:rsidRDefault="00FB10F9" w:rsidP="00FB10F9">
      <w:r>
        <w:t>The Retail Law provides key protections for customers experiencing payment difficulties and financial hardship. We will continue to closely monitor retailers’ performance and compliance in these key areas so that customers are getting appropriate access to payment plans and hardship assistance when needed. Throughout 2014 we have been working on a targeted review of retailers’ hardship policies and practices to help us better understand how retailers identify and assist customers experiencing payment difficulties. We expect to publish a report in early 2015 on our review findings and this will also look to highlight examples of good practice so they can be shared across industry.</w:t>
      </w:r>
    </w:p>
    <w:p w:rsidR="00FB10F9" w:rsidRDefault="00FB10F9" w:rsidP="00FB10F9">
      <w:r>
        <w:t>The AER’s strategic priorities include a focus on building consumer confidence and strengthening stakeholder engagement in energy markets so that consumers are paying no more than necessary for their energy services. These areas will continue to be a focus for us throughout 2014-15.</w:t>
      </w:r>
    </w:p>
    <w:p w:rsidR="002B5434" w:rsidRDefault="002B5434" w:rsidP="005F20C2">
      <w:pPr>
        <w:pStyle w:val="Headingnumbered11"/>
      </w:pPr>
      <w:r>
        <w:t>Key findings</w:t>
      </w:r>
      <w:bookmarkEnd w:id="90"/>
    </w:p>
    <w:p w:rsidR="00FB10F9" w:rsidRDefault="00FB10F9" w:rsidP="00FB10F9">
      <w:r>
        <w:t xml:space="preserve">A low income household, in receipt of an energy concession, spent between 3.0 and 7.3 per cent of their income on electricity bills depending on where they live (or between 3.3 and 8.9 per cent, without a concession). Gas bills comprise a lower share of a low income </w:t>
      </w:r>
      <w:r>
        <w:lastRenderedPageBreak/>
        <w:t>household’s disposable income, ranging from 1.9 to 3.4 per cent (or 2.1 to 3.7 per cent without a concession) (figure 3.1).</w:t>
      </w:r>
    </w:p>
    <w:p w:rsidR="00FB10F9" w:rsidRDefault="00FB10F9" w:rsidP="00FB10F9">
      <w:r>
        <w:t>Similar to our findings in 2013, the highest annual electricity bills were in Tasmania ($2518 or $2060 with an energy concession). However Tasmania was the only jurisdiction to see a fall in nominal electricity charges. These annual bills would account for 7.3 per cent of a low income household’s disposable income (or 8.9 per cent without a concession). Tasmania’s relatively high electricity bills are primarily driven by households having the highest electricity consumption</w:t>
      </w:r>
      <w:r>
        <w:rPr>
          <w:rStyle w:val="FootnoteReference"/>
        </w:rPr>
        <w:footnoteReference w:id="28"/>
      </w:r>
      <w:r>
        <w:t xml:space="preserve"> of all jurisdictions as well as lower incomes (figure 3.1 and table 3.1).</w:t>
      </w:r>
    </w:p>
    <w:p w:rsidR="00FB10F9" w:rsidRDefault="00FB10F9" w:rsidP="00FB10F9">
      <w:r>
        <w:t>Electricity bills again comprised the smallest share of disposable income for low income households in the ACT—around 3.3 per cent (or 3.2 per cent without a concession). This results from generally lower electricity charges and relatively higher incomes.</w:t>
      </w:r>
    </w:p>
    <w:p w:rsidR="00FB10F9" w:rsidRDefault="00FB10F9" w:rsidP="00FB10F9">
      <w:r>
        <w:t>When considering changes in energy charges relative to changes in the consumer price index (CPI) real electricity charges fell in Victoria, with electricity bills making up a slightly smaller proportion of a low income household’s disposable income this year than it did last year. The greatest rise was in Queensland where charges rose by 22 per cent. The Queensland Government’s price ‘freeze’</w:t>
      </w:r>
      <w:r>
        <w:rPr>
          <w:rStyle w:val="FootnoteReference"/>
        </w:rPr>
        <w:footnoteReference w:id="29"/>
      </w:r>
      <w:r>
        <w:t xml:space="preserve"> in 2012 only allowed for the pass through of costs associated with the carbon tax in that year, meaning that rising wholesale, network and green scheme costs weren’t reflected in Queensland electricity charges until July 2013.</w:t>
      </w:r>
    </w:p>
    <w:p w:rsidR="00FB10F9" w:rsidRDefault="00FB10F9" w:rsidP="00FB10F9">
      <w:r>
        <w:t>Across all jurisdictions, annual gas bills for low income households in Victoria comprised the highest proportion of disposable income, accounting for 3.7 per cent (annual bill of $1256) consistent with our 2013 report. Again, this is driven by relatively high gas consumption for households in Victoria compared to other jurisdictions, given reliance on gas for space and water heating. With a concession, annual gas bills were $1152 (or 3.4 per cent of disposable income) (figure 3.1).</w:t>
      </w:r>
    </w:p>
    <w:p w:rsidR="00FB10F9" w:rsidRDefault="00FB10F9" w:rsidP="00FB10F9">
      <w:r>
        <w:t xml:space="preserve">Gas charges rose in every jurisdiction by more than CPI when comparing annual bills from June 2013 with those at June 2014. The smallest increase was in NSW (4 per cent) while the greatest increase was in the ACT (11 per cent), making annual gas bills in the ACT most expensive ($1618, or $1428 with a concession). </w:t>
      </w:r>
    </w:p>
    <w:p w:rsidR="00FB10F9" w:rsidRDefault="00FB10F9" w:rsidP="00FB10F9">
      <w:r>
        <w:t>We have assumed our benchmark middle and high income households consume a ‘typical’ amount of electricity and gas for each jurisdiction (a two to three person household). This is higher than for our benchmark low income households which are typically smaller—on average one to two persons.</w:t>
      </w:r>
      <w:r>
        <w:rPr>
          <w:rStyle w:val="FootnoteReference"/>
        </w:rPr>
        <w:footnoteReference w:id="30"/>
      </w:r>
      <w:r>
        <w:t xml:space="preserve"> A middle income household with typical consumption spent between 1 per cent (in the ACT) and 2.6 per cent (in Tasmania) of its annual disposable income on electricity. For a benchmark high income household, expenditure ranged between 0.5 and 1 per cent of disposable income.</w:t>
      </w:r>
    </w:p>
    <w:p w:rsidR="00FB10F9" w:rsidRDefault="00FB10F9" w:rsidP="00FB10F9">
      <w:r>
        <w:t xml:space="preserve">Benchmark middle income households spent between 0.5 per cent (Queensland) and 0.9 per cent (Victoria) of disposable income on annual gas bills. Benchmark high income </w:t>
      </w:r>
      <w:r>
        <w:lastRenderedPageBreak/>
        <w:t>households spent between 0.2 and 0.4 per cent of their disposable income on annual gas bills.</w:t>
      </w:r>
    </w:p>
    <w:p w:rsidR="00FB10F9" w:rsidRDefault="00FB10F9" w:rsidP="00FB10F9">
      <w:pPr>
        <w:rPr>
          <w:b/>
        </w:rPr>
      </w:pPr>
      <w:r w:rsidRPr="006F3C6C">
        <w:rPr>
          <w:b/>
        </w:rPr>
        <w:t>Figure 3.1: Annual electricity and gas bills, and as a share of benchmark low income household’s disposable income (without concession)</w:t>
      </w:r>
      <w:r w:rsidR="006F3C6C" w:rsidRPr="006F3C6C">
        <w:rPr>
          <w:b/>
        </w:rPr>
        <w:t>—</w:t>
      </w:r>
      <w:r w:rsidRPr="006F3C6C">
        <w:rPr>
          <w:b/>
        </w:rPr>
        <w:t>jurisdiction specific ‘low’ consumption levels, June 2013 &amp; 2014</w:t>
      </w:r>
    </w:p>
    <w:p w:rsidR="00E47A1A" w:rsidRPr="006F3C6C" w:rsidRDefault="00E47A1A" w:rsidP="00FB10F9">
      <w:pPr>
        <w:rPr>
          <w:b/>
        </w:rPr>
      </w:pPr>
      <w:r>
        <w:rPr>
          <w:b/>
          <w:noProof/>
          <w:lang w:eastAsia="en-AU"/>
        </w:rPr>
        <w:drawing>
          <wp:inline distT="0" distB="0" distL="0" distR="0" wp14:anchorId="2472AA8A">
            <wp:extent cx="5731200" cy="2782800"/>
            <wp:effectExtent l="0" t="0" r="3175" b="0"/>
            <wp:docPr id="17" name="Picture 17" descr="Low income households in Tasmania had the highest annual electricity bills at $2518 without a concession or 8.9 per cent of disposable income. Low income households in the ACT had the highest annual gas bills at $1618. Gas bills of customers in Victoria were lower, but represented the greatest share of income (3.7 per cent). Annual electricity bills comprised the smallest share of disposable income for benchmark low income households in the ACT—around 3.3 per cent, without a concession applied. Annual gas bills comprised the smallest share of disposable income for benchmark low income households in Queensland—around 2.1 per cent, without a concession applied."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200" cy="2782800"/>
                    </a:xfrm>
                    <a:prstGeom prst="rect">
                      <a:avLst/>
                    </a:prstGeom>
                    <a:noFill/>
                  </pic:spPr>
                </pic:pic>
              </a:graphicData>
            </a:graphic>
          </wp:inline>
        </w:drawing>
      </w:r>
    </w:p>
    <w:p w:rsidR="0016639F" w:rsidRDefault="0016639F" w:rsidP="002B5434"/>
    <w:p w:rsidR="002B5434" w:rsidRDefault="002B5434" w:rsidP="002B5434">
      <w:r>
        <w:t>The two main components of energy bills are the price of energy and how much energy is consumed. To directly compare how energy charges vary across jurisdictions, we have applied the same consumption levels to all jurisdictions—6500 kWh for electricity and 24 000 MJ for gas.</w:t>
      </w:r>
    </w:p>
    <w:p w:rsidR="00FB10F9" w:rsidRPr="00FB10F9" w:rsidRDefault="00FB10F9" w:rsidP="00FB10F9">
      <w:r w:rsidRPr="00FB10F9">
        <w:t>This shows that electricity charges are highest in South Australia (annual bill of $2388) followed by Tasmania ($2090). Electricity charges for Queensland, New South Wales and Victoria were all around $2000. Electricity charges were lowest in the ACT ($1511). There was less variation in gas charges across the jurisdictions—Queensland and South Australia were highest (annual bills around $1050), followed by the ACT and New South Wales, with gas bills cheapest in Victoria ($659) (figure 3.2).</w:t>
      </w:r>
    </w:p>
    <w:p w:rsidR="002B5434" w:rsidRPr="006F3C6C" w:rsidRDefault="002B5434" w:rsidP="002B5434">
      <w:pPr>
        <w:pStyle w:val="ChartHeading"/>
        <w:keepNext/>
        <w:rPr>
          <w:sz w:val="22"/>
          <w:szCs w:val="22"/>
        </w:rPr>
      </w:pPr>
      <w:r w:rsidRPr="006F3C6C">
        <w:rPr>
          <w:sz w:val="22"/>
          <w:szCs w:val="22"/>
        </w:rPr>
        <w:lastRenderedPageBreak/>
        <w:t>Figure 3.2: Annual electricity and gas bills (6500 kWh and 24 000 MJ p</w:t>
      </w:r>
      <w:r w:rsidR="0016639F">
        <w:rPr>
          <w:sz w:val="22"/>
          <w:szCs w:val="22"/>
        </w:rPr>
        <w:t xml:space="preserve">er </w:t>
      </w:r>
      <w:r w:rsidRPr="006F3C6C">
        <w:rPr>
          <w:sz w:val="22"/>
          <w:szCs w:val="22"/>
        </w:rPr>
        <w:t>a</w:t>
      </w:r>
      <w:r w:rsidR="0016639F">
        <w:rPr>
          <w:sz w:val="22"/>
          <w:szCs w:val="22"/>
        </w:rPr>
        <w:t>nnum</w:t>
      </w:r>
      <w:r w:rsidRPr="006F3C6C">
        <w:rPr>
          <w:sz w:val="22"/>
          <w:szCs w:val="22"/>
        </w:rPr>
        <w:t>), June 2013 &amp; 2014</w:t>
      </w:r>
    </w:p>
    <w:p w:rsidR="002B5434" w:rsidRDefault="0016639F" w:rsidP="002B5434">
      <w:r>
        <w:rPr>
          <w:noProof/>
          <w:lang w:eastAsia="en-AU"/>
        </w:rPr>
        <w:drawing>
          <wp:inline distT="0" distB="0" distL="0" distR="0" wp14:anchorId="5973AA07">
            <wp:extent cx="5731200" cy="2786400"/>
            <wp:effectExtent l="0" t="0" r="3175" b="0"/>
            <wp:docPr id="20" name="Picture 20" descr="With constant consumption, the annual electricity bill is highest in South Australia at $2388 followed by Tasmania ($2090). Electricity bills were $1958 in Victoria and $2048 New South Wales, and were cheapest in the ACT ($1595). There was less variation in gas prices across the jurisdictions. Gas charges were highest in Queensland and South Australia (annual bills of $1051 and $1046 respectively), followed by the ACT and New South Wales, and were cheapest in Victoria ($659)."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200" cy="2786400"/>
                    </a:xfrm>
                    <a:prstGeom prst="rect">
                      <a:avLst/>
                    </a:prstGeom>
                    <a:noFill/>
                  </pic:spPr>
                </pic:pic>
              </a:graphicData>
            </a:graphic>
          </wp:inline>
        </w:drawing>
      </w:r>
    </w:p>
    <w:p w:rsidR="00FB10F9" w:rsidRPr="00FB10F9" w:rsidRDefault="00FB10F9" w:rsidP="00FB10F9">
      <w:r w:rsidRPr="00FB10F9">
        <w:t>States and territories often have more than one distribution or pricing zone, and the price of electricity or gas, as well as the number of generally available offers, varies across these zones. Our analysis for each jurisdiction considers the range in offers in each of the zones. This shows that energy charges are often higher in regional and remote areas where the costs of providing and servicing energy infrastructure are higher and typically shared among fewer customers.</w:t>
      </w:r>
    </w:p>
    <w:p w:rsidR="002B5434" w:rsidRDefault="002B5434" w:rsidP="002B5434">
      <w:r>
        <w:t>Typically, for both electricity and gas, the median standing offer was higher than the median market offer in most jurisdictions (except in the ACT and Tasmania). The greatest difference between the median market and standing offer was in Victoria. The range between the cheapest and most expensive electricity offers in Queensland and South Australia also increased between June 2013 and June 2014. Customers may be able to save money by switching from a regulated or standing offer tariff to a market contract that best suits their needs. The AER operates a price comparator website, Energy Made Easy (</w:t>
      </w:r>
      <w:hyperlink r:id="rId36" w:history="1">
        <w:r w:rsidRPr="001B1BF5">
          <w:rPr>
            <w:rStyle w:val="Hyperlink"/>
          </w:rPr>
          <w:t>www.energymadeeasy.gov.au</w:t>
        </w:r>
      </w:hyperlink>
      <w:r w:rsidR="00816316">
        <w:t>), which</w:t>
      </w:r>
      <w:r>
        <w:t xml:space="preserve"> can help customers compare electricity and gas contracts. It’s free to use and provides independent and up to date information on available offers.</w:t>
      </w:r>
    </w:p>
    <w:p w:rsidR="002B5434" w:rsidRDefault="002B5434" w:rsidP="00900E7D">
      <w:pPr>
        <w:pStyle w:val="Headingnumbered11"/>
      </w:pPr>
      <w:bookmarkStart w:id="91" w:name="_Toc402961418"/>
      <w:r>
        <w:t>Background</w:t>
      </w:r>
      <w:bookmarkEnd w:id="91"/>
    </w:p>
    <w:p w:rsidR="00FB10F9" w:rsidRDefault="00FB10F9" w:rsidP="00FB10F9">
      <w:bookmarkStart w:id="92" w:name="_Toc402961419"/>
      <w:r>
        <w:t>Under the Retail Law the AER must include a report on energy affordability in our annual retail market performance report.</w:t>
      </w:r>
      <w:r>
        <w:rPr>
          <w:rStyle w:val="FootnoteReference"/>
        </w:rPr>
        <w:footnoteReference w:id="31"/>
      </w:r>
    </w:p>
    <w:p w:rsidR="00FB10F9" w:rsidRDefault="00FB10F9" w:rsidP="00FB10F9">
      <w:r>
        <w:t xml:space="preserve">Our first annual report established a framework to monitor electricity and gas charges over time as well as the proportion of income benchmark low, middle and high income households spend annually on energy (electricity and gas) bills. This approach was informed </w:t>
      </w:r>
      <w:r>
        <w:lastRenderedPageBreak/>
        <w:t>by the existing research and analysis on energy affordability, feedback from the AER’s Customer Consultative Group (CCG) and public consultation.</w:t>
      </w:r>
    </w:p>
    <w:p w:rsidR="00FB10F9" w:rsidRDefault="00FB10F9" w:rsidP="00FB10F9">
      <w:r>
        <w:t>We have maintained the same approach established in our 2012-13 report. This report provides a snapshot of the cost of annual electricity and gas bills around the country at June 2014, including;</w:t>
      </w:r>
    </w:p>
    <w:p w:rsidR="00FB10F9" w:rsidRDefault="00FB10F9" w:rsidP="00FB10F9">
      <w:pPr>
        <w:pStyle w:val="ListParagraph"/>
        <w:numPr>
          <w:ilvl w:val="0"/>
          <w:numId w:val="22"/>
        </w:numPr>
      </w:pPr>
      <w:r>
        <w:t>the range in charges of electricity and gas offers generally available to residential customers in each distribution (or pricing) zone;</w:t>
      </w:r>
    </w:p>
    <w:p w:rsidR="00FB10F9" w:rsidRDefault="00FB10F9" w:rsidP="00FB10F9">
      <w:pPr>
        <w:pStyle w:val="ListParagraph"/>
        <w:numPr>
          <w:ilvl w:val="0"/>
          <w:numId w:val="22"/>
        </w:numPr>
      </w:pPr>
      <w:r>
        <w:t>estimates of annual electricity and gas bills; and</w:t>
      </w:r>
    </w:p>
    <w:p w:rsidR="00FB10F9" w:rsidRDefault="00FB10F9" w:rsidP="00FB10F9">
      <w:pPr>
        <w:pStyle w:val="ListParagraph"/>
        <w:numPr>
          <w:ilvl w:val="0"/>
          <w:numId w:val="22"/>
        </w:numPr>
      </w:pPr>
      <w:r>
        <w:t>annual expenditure on electricity and gas bills as a share of disposable income for benchmark low, middle and high income households. For low income households, we also consider the impact of energy concessions.</w:t>
      </w:r>
    </w:p>
    <w:p w:rsidR="00FB10F9" w:rsidRDefault="00FB10F9" w:rsidP="00FB10F9">
      <w:r>
        <w:t>It also compares June 2014 data with June 2013. By maintaining a consistent approach to our analysis, we will be able to compare benchmarks from year to year and observe trends as they develop over time.</w:t>
      </w:r>
    </w:p>
    <w:p w:rsidR="00FB10F9" w:rsidRDefault="00FB10F9" w:rsidP="00FB10F9">
      <w:r>
        <w:t>We consider each jurisdiction that has commenced (or intends to commence) the Retail Law—Queensland, New South Wales, Victoria, South Australia, Tasmania, and the ACT.</w:t>
      </w:r>
      <w:r>
        <w:rPr>
          <w:rStyle w:val="FootnoteReference"/>
        </w:rPr>
        <w:footnoteReference w:id="32"/>
      </w:r>
      <w:r>
        <w:t xml:space="preserve"> This provides opportunity to reflect variation in energy charges, household income and energy concessions around the country. </w:t>
      </w:r>
    </w:p>
    <w:p w:rsidR="00FB10F9" w:rsidRDefault="00FB10F9" w:rsidP="00FB10F9">
      <w:r>
        <w:t>Our report considers consumption of reticulated (‘mains’) gas only. It does not consider liquefied petroleum gas or liquefied natural gas as the AER does not have a regulatory role and limited data was available. Further, we did not include gas in our analysis of Tasmania, given that less than five per cent of households have a mains gas connection.</w:t>
      </w:r>
    </w:p>
    <w:p w:rsidR="002B5434" w:rsidRDefault="002B5434" w:rsidP="00900E7D">
      <w:pPr>
        <w:pStyle w:val="Headingnumbered11"/>
      </w:pPr>
      <w:r>
        <w:t>Approach</w:t>
      </w:r>
      <w:bookmarkEnd w:id="92"/>
    </w:p>
    <w:p w:rsidR="006D58B0" w:rsidRDefault="006D58B0" w:rsidP="006D58B0">
      <w:bookmarkStart w:id="93" w:name="_Toc402959262"/>
      <w:bookmarkStart w:id="94" w:name="_Toc402959748"/>
      <w:bookmarkStart w:id="95" w:name="_Toc402961420"/>
      <w:r>
        <w:t xml:space="preserve">Our approach to this report, including the assumptions and generalisations underpinning our analysis is set out in full in </w:t>
      </w:r>
      <w:r w:rsidRPr="004458E1">
        <w:t xml:space="preserve">appendix </w:t>
      </w:r>
      <w:r w:rsidR="00827E6F">
        <w:t>7</w:t>
      </w:r>
      <w:r>
        <w:t>. In summary, the key elements include:</w:t>
      </w:r>
    </w:p>
    <w:p w:rsidR="006D58B0" w:rsidRDefault="006D58B0" w:rsidP="006D58B0">
      <w:pPr>
        <w:pStyle w:val="ListParagraph"/>
        <w:numPr>
          <w:ilvl w:val="0"/>
          <w:numId w:val="23"/>
        </w:numPr>
      </w:pPr>
      <w:r>
        <w:t xml:space="preserve">the estimated annual electricity and gas consumption levels in each state and territory for low, middle and high income households;, </w:t>
      </w:r>
    </w:p>
    <w:p w:rsidR="006D58B0" w:rsidRDefault="006D58B0" w:rsidP="006D58B0">
      <w:pPr>
        <w:pStyle w:val="ListParagraph"/>
        <w:numPr>
          <w:ilvl w:val="0"/>
          <w:numId w:val="23"/>
        </w:numPr>
      </w:pPr>
      <w:r>
        <w:t xml:space="preserve">the collection of retail electricity and gas offers in each distribution or pricing zone; </w:t>
      </w:r>
    </w:p>
    <w:p w:rsidR="006D58B0" w:rsidRDefault="006D58B0" w:rsidP="006D58B0">
      <w:pPr>
        <w:pStyle w:val="ListParagraph"/>
        <w:numPr>
          <w:ilvl w:val="0"/>
          <w:numId w:val="23"/>
        </w:numPr>
      </w:pPr>
      <w:r>
        <w:t xml:space="preserve">the development of estimated annual electricity and gas bills based on our estimated consumption levels and pricing information; and </w:t>
      </w:r>
    </w:p>
    <w:p w:rsidR="006D58B0" w:rsidRDefault="006D58B0" w:rsidP="006D58B0">
      <w:pPr>
        <w:pStyle w:val="ListParagraph"/>
        <w:numPr>
          <w:ilvl w:val="0"/>
          <w:numId w:val="23"/>
        </w:numPr>
      </w:pPr>
      <w:r>
        <w:t>the household disposable income data used.</w:t>
      </w:r>
    </w:p>
    <w:p w:rsidR="006D58B0" w:rsidRDefault="006D58B0" w:rsidP="006D58B0">
      <w:r w:rsidRPr="00296C01">
        <w:t xml:space="preserve">Unless otherwise stated, any reference to ‘market offer’ and ‘standing offer’ refers to the median market and standing offer (respectively). Similarly, unless otherwise stated, any reference to an annual bill or </w:t>
      </w:r>
      <w:r>
        <w:t>charges</w:t>
      </w:r>
      <w:r w:rsidRPr="00296C01">
        <w:t xml:space="preserve"> refers to an estimated annual bill based on a benchmark household’s consumption level. In our electricity analysis we use two benchmark consumption levels: one for low income households and one for middle and high income (typical) households. For gas we use only typical consumption levels. ‘Income’ refers to annual disposable income.</w:t>
      </w:r>
    </w:p>
    <w:p w:rsidR="002B5434" w:rsidRDefault="002B5434" w:rsidP="002B5434">
      <w:pPr>
        <w:pStyle w:val="Heading3"/>
      </w:pPr>
      <w:r>
        <w:lastRenderedPageBreak/>
        <w:t>Annual electricity and gas consumption levels</w:t>
      </w:r>
      <w:bookmarkEnd w:id="93"/>
      <w:bookmarkEnd w:id="94"/>
      <w:bookmarkEnd w:id="95"/>
    </w:p>
    <w:p w:rsidR="002B5434" w:rsidRDefault="002B5434" w:rsidP="002B5434">
      <w:r>
        <w:t xml:space="preserve">The annual household electricity and gas consumption levels we used are summarised in tables 3.1 and 3.2 for benchmark low, middle and high income households. </w:t>
      </w:r>
    </w:p>
    <w:p w:rsidR="002B5434" w:rsidRDefault="002B5434" w:rsidP="002B5434">
      <w:r>
        <w:t>We have used the same consumption estimates as those used in the 2012-13 analysis with the exception of the gas consumption levels for the ACT (revised upwards from 24 000 MJ to 48 000 MJ) and Queensland (revised down from 20 000 MJ to 10 000 MJ). This was based on feedback in response to our 2012-13 report. We have updated our 2012-13 data in this report to reflect this change.</w:t>
      </w:r>
    </w:p>
    <w:p w:rsidR="002B5434" w:rsidRPr="006F3C6C" w:rsidRDefault="002B5434" w:rsidP="002B5434">
      <w:pPr>
        <w:pStyle w:val="ChartHeading"/>
        <w:rPr>
          <w:sz w:val="22"/>
          <w:szCs w:val="22"/>
        </w:rPr>
      </w:pPr>
      <w:r w:rsidRPr="006F3C6C">
        <w:rPr>
          <w:sz w:val="22"/>
          <w:szCs w:val="22"/>
        </w:rPr>
        <w:t>Table 3.1: Benchmark low income households</w:t>
      </w:r>
      <w:r w:rsidR="006F3C6C" w:rsidRPr="006F3C6C">
        <w:rPr>
          <w:sz w:val="22"/>
          <w:szCs w:val="22"/>
        </w:rPr>
        <w:t>—</w:t>
      </w:r>
      <w:r w:rsidRPr="006F3C6C">
        <w:rPr>
          <w:sz w:val="22"/>
          <w:szCs w:val="22"/>
        </w:rPr>
        <w:t>summary of annual electricity and gas consumption levels</w:t>
      </w:r>
    </w:p>
    <w:tbl>
      <w:tblPr>
        <w:tblStyle w:val="AERTable-Text"/>
        <w:tblW w:w="0" w:type="auto"/>
        <w:tblLook w:val="04A0" w:firstRow="1" w:lastRow="0" w:firstColumn="1" w:lastColumn="0" w:noHBand="0" w:noVBand="1"/>
      </w:tblPr>
      <w:tblGrid>
        <w:gridCol w:w="1845"/>
        <w:gridCol w:w="1999"/>
        <w:gridCol w:w="1999"/>
        <w:gridCol w:w="1929"/>
        <w:gridCol w:w="1470"/>
      </w:tblGrid>
      <w:tr w:rsidR="002B5434" w:rsidTr="002B5434">
        <w:trPr>
          <w:cnfStyle w:val="100000000000" w:firstRow="1" w:lastRow="0" w:firstColumn="0" w:lastColumn="0" w:oddVBand="0" w:evenVBand="0" w:oddHBand="0" w:evenHBand="0" w:firstRowFirstColumn="0" w:firstRowLastColumn="0" w:lastRowFirstColumn="0" w:lastRowLastColumn="0"/>
        </w:trPr>
        <w:tc>
          <w:tcPr>
            <w:tcW w:w="1845" w:type="dxa"/>
          </w:tcPr>
          <w:p w:rsidR="002B5434" w:rsidRPr="001A33E9" w:rsidRDefault="002B5434" w:rsidP="002B5434">
            <w:r w:rsidRPr="001A33E9">
              <w:t>Jurisdiction</w:t>
            </w:r>
          </w:p>
        </w:tc>
        <w:tc>
          <w:tcPr>
            <w:tcW w:w="1999" w:type="dxa"/>
          </w:tcPr>
          <w:p w:rsidR="002B5434" w:rsidRPr="001A33E9" w:rsidRDefault="002B5434" w:rsidP="002B5434">
            <w:r w:rsidRPr="001A33E9">
              <w:t xml:space="preserve">Annual electricity consumption (kWh) </w:t>
            </w:r>
          </w:p>
        </w:tc>
        <w:tc>
          <w:tcPr>
            <w:tcW w:w="1999" w:type="dxa"/>
          </w:tcPr>
          <w:p w:rsidR="002B5434" w:rsidRPr="001A33E9" w:rsidRDefault="002B5434" w:rsidP="002B5434">
            <w:r w:rsidRPr="001A33E9">
              <w:t>Annual gas consumption (MJ)</w:t>
            </w:r>
          </w:p>
        </w:tc>
        <w:tc>
          <w:tcPr>
            <w:tcW w:w="1929" w:type="dxa"/>
          </w:tcPr>
          <w:p w:rsidR="002B5434" w:rsidRPr="001A33E9" w:rsidRDefault="002B5434" w:rsidP="002B5434">
            <w:r w:rsidRPr="001A33E9">
              <w:t>Average household size (persons)</w:t>
            </w:r>
          </w:p>
        </w:tc>
        <w:tc>
          <w:tcPr>
            <w:tcW w:w="1470" w:type="dxa"/>
          </w:tcPr>
          <w:p w:rsidR="002B5434" w:rsidRDefault="002B5434" w:rsidP="002B5434">
            <w:r w:rsidRPr="001A33E9">
              <w:t>Annual disposable income ($)</w:t>
            </w:r>
          </w:p>
        </w:tc>
      </w:tr>
      <w:tr w:rsidR="006D58B0" w:rsidTr="002B5434">
        <w:tc>
          <w:tcPr>
            <w:tcW w:w="1845" w:type="dxa"/>
          </w:tcPr>
          <w:p w:rsidR="006D58B0" w:rsidRPr="00A948EF" w:rsidRDefault="006D58B0" w:rsidP="002B5434">
            <w:r w:rsidRPr="00A948EF">
              <w:t>Qld</w:t>
            </w:r>
          </w:p>
        </w:tc>
        <w:tc>
          <w:tcPr>
            <w:tcW w:w="1999" w:type="dxa"/>
          </w:tcPr>
          <w:p w:rsidR="006D58B0" w:rsidRPr="00A948EF" w:rsidRDefault="006D58B0" w:rsidP="0016639F">
            <w:pPr>
              <w:jc w:val="right"/>
            </w:pPr>
            <w:r w:rsidRPr="00A948EF">
              <w:t>5000</w:t>
            </w:r>
          </w:p>
        </w:tc>
        <w:tc>
          <w:tcPr>
            <w:tcW w:w="1999" w:type="dxa"/>
          </w:tcPr>
          <w:p w:rsidR="006D58B0" w:rsidRPr="00A948EF" w:rsidRDefault="006D58B0" w:rsidP="0016639F">
            <w:pPr>
              <w:jc w:val="right"/>
            </w:pPr>
            <w:r>
              <w:t>10</w:t>
            </w:r>
            <w:r w:rsidRPr="00A948EF">
              <w:t xml:space="preserve"> 000</w:t>
            </w:r>
          </w:p>
        </w:tc>
        <w:tc>
          <w:tcPr>
            <w:tcW w:w="1929" w:type="dxa"/>
          </w:tcPr>
          <w:p w:rsidR="006D58B0" w:rsidRPr="00A948EF" w:rsidRDefault="006D58B0" w:rsidP="0016639F">
            <w:pPr>
              <w:jc w:val="right"/>
            </w:pPr>
            <w:r w:rsidRPr="00A948EF">
              <w:t>1.79</w:t>
            </w:r>
          </w:p>
        </w:tc>
        <w:tc>
          <w:tcPr>
            <w:tcW w:w="1470" w:type="dxa"/>
          </w:tcPr>
          <w:p w:rsidR="006D58B0" w:rsidRPr="00A948EF" w:rsidRDefault="006D58B0" w:rsidP="0016639F">
            <w:pPr>
              <w:jc w:val="right"/>
            </w:pPr>
            <w:r w:rsidRPr="00A948EF">
              <w:t>33 306</w:t>
            </w:r>
          </w:p>
        </w:tc>
      </w:tr>
      <w:tr w:rsidR="006D58B0" w:rsidTr="002B5434">
        <w:trPr>
          <w:cnfStyle w:val="000000010000" w:firstRow="0" w:lastRow="0" w:firstColumn="0" w:lastColumn="0" w:oddVBand="0" w:evenVBand="0" w:oddHBand="0" w:evenHBand="1" w:firstRowFirstColumn="0" w:firstRowLastColumn="0" w:lastRowFirstColumn="0" w:lastRowLastColumn="0"/>
        </w:trPr>
        <w:tc>
          <w:tcPr>
            <w:tcW w:w="1845" w:type="dxa"/>
          </w:tcPr>
          <w:p w:rsidR="006D58B0" w:rsidRPr="00A948EF" w:rsidRDefault="006D58B0" w:rsidP="002B5434">
            <w:r w:rsidRPr="00A948EF">
              <w:t>NSW</w:t>
            </w:r>
          </w:p>
        </w:tc>
        <w:tc>
          <w:tcPr>
            <w:tcW w:w="1999" w:type="dxa"/>
          </w:tcPr>
          <w:p w:rsidR="006D58B0" w:rsidRPr="00A948EF" w:rsidRDefault="006D58B0" w:rsidP="0016639F">
            <w:pPr>
              <w:jc w:val="right"/>
            </w:pPr>
            <w:r w:rsidRPr="00A948EF">
              <w:t>5300</w:t>
            </w:r>
          </w:p>
        </w:tc>
        <w:tc>
          <w:tcPr>
            <w:tcW w:w="1999" w:type="dxa"/>
          </w:tcPr>
          <w:p w:rsidR="006D58B0" w:rsidRPr="00A948EF" w:rsidRDefault="006D58B0" w:rsidP="0016639F">
            <w:pPr>
              <w:jc w:val="right"/>
            </w:pPr>
            <w:r w:rsidRPr="00A948EF">
              <w:t>24 000</w:t>
            </w:r>
          </w:p>
        </w:tc>
        <w:tc>
          <w:tcPr>
            <w:tcW w:w="1929" w:type="dxa"/>
          </w:tcPr>
          <w:p w:rsidR="006D58B0" w:rsidRPr="00A948EF" w:rsidRDefault="006D58B0" w:rsidP="0016639F">
            <w:pPr>
              <w:jc w:val="right"/>
            </w:pPr>
            <w:r w:rsidRPr="00A948EF">
              <w:t>1.82</w:t>
            </w:r>
          </w:p>
        </w:tc>
        <w:tc>
          <w:tcPr>
            <w:tcW w:w="1470" w:type="dxa"/>
          </w:tcPr>
          <w:p w:rsidR="006D58B0" w:rsidRPr="00A948EF" w:rsidRDefault="006D58B0" w:rsidP="0016639F">
            <w:pPr>
              <w:jc w:val="right"/>
            </w:pPr>
            <w:r w:rsidRPr="00A948EF">
              <w:t>33 629</w:t>
            </w:r>
          </w:p>
        </w:tc>
      </w:tr>
      <w:tr w:rsidR="006D58B0" w:rsidTr="002B5434">
        <w:tc>
          <w:tcPr>
            <w:tcW w:w="1845" w:type="dxa"/>
          </w:tcPr>
          <w:p w:rsidR="006D58B0" w:rsidRPr="00A948EF" w:rsidRDefault="006D58B0" w:rsidP="002B5434">
            <w:r w:rsidRPr="00A948EF">
              <w:t>Vic</w:t>
            </w:r>
          </w:p>
        </w:tc>
        <w:tc>
          <w:tcPr>
            <w:tcW w:w="1999" w:type="dxa"/>
          </w:tcPr>
          <w:p w:rsidR="006D58B0" w:rsidRPr="00A948EF" w:rsidRDefault="006D58B0" w:rsidP="0016639F">
            <w:pPr>
              <w:jc w:val="right"/>
            </w:pPr>
            <w:r w:rsidRPr="00A948EF">
              <w:t>4700</w:t>
            </w:r>
          </w:p>
        </w:tc>
        <w:tc>
          <w:tcPr>
            <w:tcW w:w="1999" w:type="dxa"/>
          </w:tcPr>
          <w:p w:rsidR="006D58B0" w:rsidRPr="00A948EF" w:rsidRDefault="006D58B0" w:rsidP="0016639F">
            <w:pPr>
              <w:jc w:val="right"/>
            </w:pPr>
            <w:r w:rsidRPr="00A948EF">
              <w:t>63 000</w:t>
            </w:r>
          </w:p>
        </w:tc>
        <w:tc>
          <w:tcPr>
            <w:tcW w:w="1929" w:type="dxa"/>
          </w:tcPr>
          <w:p w:rsidR="006D58B0" w:rsidRPr="00A948EF" w:rsidRDefault="006D58B0" w:rsidP="0016639F">
            <w:pPr>
              <w:jc w:val="right"/>
            </w:pPr>
            <w:r w:rsidRPr="00A948EF">
              <w:t>1.61</w:t>
            </w:r>
          </w:p>
        </w:tc>
        <w:tc>
          <w:tcPr>
            <w:tcW w:w="1470" w:type="dxa"/>
          </w:tcPr>
          <w:p w:rsidR="006D58B0" w:rsidRPr="00A948EF" w:rsidRDefault="006D58B0" w:rsidP="0016639F">
            <w:pPr>
              <w:jc w:val="right"/>
            </w:pPr>
            <w:r w:rsidRPr="00A948EF">
              <w:t>33 628</w:t>
            </w:r>
          </w:p>
        </w:tc>
      </w:tr>
      <w:tr w:rsidR="006D58B0" w:rsidTr="002B5434">
        <w:trPr>
          <w:cnfStyle w:val="000000010000" w:firstRow="0" w:lastRow="0" w:firstColumn="0" w:lastColumn="0" w:oddVBand="0" w:evenVBand="0" w:oddHBand="0" w:evenHBand="1" w:firstRowFirstColumn="0" w:firstRowLastColumn="0" w:lastRowFirstColumn="0" w:lastRowLastColumn="0"/>
        </w:trPr>
        <w:tc>
          <w:tcPr>
            <w:tcW w:w="1845" w:type="dxa"/>
          </w:tcPr>
          <w:p w:rsidR="006D58B0" w:rsidRPr="00A948EF" w:rsidRDefault="006D58B0" w:rsidP="002B5434">
            <w:r w:rsidRPr="00A948EF">
              <w:t>SA</w:t>
            </w:r>
          </w:p>
        </w:tc>
        <w:tc>
          <w:tcPr>
            <w:tcW w:w="1999" w:type="dxa"/>
          </w:tcPr>
          <w:p w:rsidR="006D58B0" w:rsidRPr="00A948EF" w:rsidRDefault="006D58B0" w:rsidP="0016639F">
            <w:pPr>
              <w:jc w:val="right"/>
            </w:pPr>
            <w:r w:rsidRPr="00A948EF">
              <w:t>5000</w:t>
            </w:r>
          </w:p>
        </w:tc>
        <w:tc>
          <w:tcPr>
            <w:tcW w:w="1999" w:type="dxa"/>
          </w:tcPr>
          <w:p w:rsidR="006D58B0" w:rsidRPr="00A948EF" w:rsidRDefault="006D58B0" w:rsidP="0016639F">
            <w:pPr>
              <w:jc w:val="right"/>
            </w:pPr>
            <w:r w:rsidRPr="00A948EF">
              <w:t>21 000</w:t>
            </w:r>
          </w:p>
        </w:tc>
        <w:tc>
          <w:tcPr>
            <w:tcW w:w="1929" w:type="dxa"/>
          </w:tcPr>
          <w:p w:rsidR="006D58B0" w:rsidRPr="00A948EF" w:rsidRDefault="006D58B0" w:rsidP="0016639F">
            <w:pPr>
              <w:jc w:val="right"/>
            </w:pPr>
            <w:r w:rsidRPr="00A948EF">
              <w:t>1.80</w:t>
            </w:r>
          </w:p>
        </w:tc>
        <w:tc>
          <w:tcPr>
            <w:tcW w:w="1470" w:type="dxa"/>
          </w:tcPr>
          <w:p w:rsidR="006D58B0" w:rsidRPr="00A948EF" w:rsidRDefault="006D58B0" w:rsidP="0016639F">
            <w:pPr>
              <w:jc w:val="right"/>
            </w:pPr>
            <w:r w:rsidRPr="00A948EF">
              <w:t>30 364</w:t>
            </w:r>
          </w:p>
        </w:tc>
      </w:tr>
      <w:tr w:rsidR="006D58B0" w:rsidTr="002B5434">
        <w:tc>
          <w:tcPr>
            <w:tcW w:w="1845" w:type="dxa"/>
          </w:tcPr>
          <w:p w:rsidR="006D58B0" w:rsidRPr="00A948EF" w:rsidRDefault="006D58B0" w:rsidP="002B5434">
            <w:r w:rsidRPr="00A948EF">
              <w:t>Tas</w:t>
            </w:r>
          </w:p>
        </w:tc>
        <w:tc>
          <w:tcPr>
            <w:tcW w:w="1999" w:type="dxa"/>
          </w:tcPr>
          <w:p w:rsidR="006D58B0" w:rsidRPr="00A948EF" w:rsidRDefault="006D58B0" w:rsidP="0016639F">
            <w:pPr>
              <w:jc w:val="right"/>
            </w:pPr>
            <w:r w:rsidRPr="00A948EF">
              <w:t>8100</w:t>
            </w:r>
          </w:p>
        </w:tc>
        <w:tc>
          <w:tcPr>
            <w:tcW w:w="1999" w:type="dxa"/>
          </w:tcPr>
          <w:p w:rsidR="006D58B0" w:rsidRPr="00A948EF" w:rsidRDefault="006D58B0" w:rsidP="0016639F">
            <w:pPr>
              <w:jc w:val="right"/>
            </w:pPr>
            <w:r w:rsidRPr="00A948EF">
              <w:t>N/A</w:t>
            </w:r>
          </w:p>
        </w:tc>
        <w:tc>
          <w:tcPr>
            <w:tcW w:w="1929" w:type="dxa"/>
          </w:tcPr>
          <w:p w:rsidR="006D58B0" w:rsidRPr="00A948EF" w:rsidRDefault="006D58B0" w:rsidP="0016639F">
            <w:pPr>
              <w:jc w:val="right"/>
            </w:pPr>
            <w:r w:rsidRPr="00A948EF">
              <w:t>1.64</w:t>
            </w:r>
          </w:p>
        </w:tc>
        <w:tc>
          <w:tcPr>
            <w:tcW w:w="1470" w:type="dxa"/>
          </w:tcPr>
          <w:p w:rsidR="006D58B0" w:rsidRPr="00A948EF" w:rsidRDefault="006D58B0" w:rsidP="0016639F">
            <w:pPr>
              <w:jc w:val="right"/>
            </w:pPr>
            <w:r w:rsidRPr="00A948EF">
              <w:t>28 276</w:t>
            </w:r>
          </w:p>
        </w:tc>
      </w:tr>
      <w:tr w:rsidR="006D58B0" w:rsidTr="002B5434">
        <w:trPr>
          <w:cnfStyle w:val="000000010000" w:firstRow="0" w:lastRow="0" w:firstColumn="0" w:lastColumn="0" w:oddVBand="0" w:evenVBand="0" w:oddHBand="0" w:evenHBand="1" w:firstRowFirstColumn="0" w:firstRowLastColumn="0" w:lastRowFirstColumn="0" w:lastRowLastColumn="0"/>
        </w:trPr>
        <w:tc>
          <w:tcPr>
            <w:tcW w:w="1845" w:type="dxa"/>
          </w:tcPr>
          <w:p w:rsidR="006D58B0" w:rsidRPr="00A948EF" w:rsidRDefault="006D58B0" w:rsidP="002B5434">
            <w:r w:rsidRPr="00A948EF">
              <w:t>ACT</w:t>
            </w:r>
          </w:p>
        </w:tc>
        <w:tc>
          <w:tcPr>
            <w:tcW w:w="1999" w:type="dxa"/>
          </w:tcPr>
          <w:p w:rsidR="006D58B0" w:rsidRPr="00A948EF" w:rsidRDefault="006D58B0" w:rsidP="0016639F">
            <w:pPr>
              <w:jc w:val="right"/>
            </w:pPr>
            <w:r w:rsidRPr="00A948EF">
              <w:t>7000</w:t>
            </w:r>
          </w:p>
        </w:tc>
        <w:tc>
          <w:tcPr>
            <w:tcW w:w="1999" w:type="dxa"/>
          </w:tcPr>
          <w:p w:rsidR="006D58B0" w:rsidRPr="00A948EF" w:rsidRDefault="006D58B0" w:rsidP="0016639F">
            <w:pPr>
              <w:jc w:val="right"/>
            </w:pPr>
            <w:r w:rsidRPr="00A948EF">
              <w:t>48 000</w:t>
            </w:r>
          </w:p>
        </w:tc>
        <w:tc>
          <w:tcPr>
            <w:tcW w:w="1929" w:type="dxa"/>
          </w:tcPr>
          <w:p w:rsidR="006D58B0" w:rsidRPr="00A948EF" w:rsidRDefault="006D58B0" w:rsidP="0016639F">
            <w:pPr>
              <w:jc w:val="right"/>
            </w:pPr>
            <w:r w:rsidRPr="00A948EF">
              <w:t>1.85</w:t>
            </w:r>
          </w:p>
        </w:tc>
        <w:tc>
          <w:tcPr>
            <w:tcW w:w="1470" w:type="dxa"/>
          </w:tcPr>
          <w:p w:rsidR="006D58B0" w:rsidRDefault="006D58B0" w:rsidP="0016639F">
            <w:pPr>
              <w:jc w:val="right"/>
            </w:pPr>
            <w:r w:rsidRPr="00A948EF">
              <w:t>50 636</w:t>
            </w:r>
          </w:p>
        </w:tc>
      </w:tr>
    </w:tbl>
    <w:p w:rsidR="002B5434" w:rsidRPr="006F3C6C" w:rsidRDefault="002B5434" w:rsidP="002B5434">
      <w:pPr>
        <w:pStyle w:val="ChartHeading"/>
        <w:rPr>
          <w:sz w:val="22"/>
          <w:szCs w:val="22"/>
        </w:rPr>
      </w:pPr>
      <w:r w:rsidRPr="006F3C6C">
        <w:rPr>
          <w:sz w:val="22"/>
          <w:szCs w:val="22"/>
        </w:rPr>
        <w:t>Table 3.2: Benchmark middle and high income households</w:t>
      </w:r>
      <w:r w:rsidR="006F3C6C" w:rsidRPr="006F3C6C">
        <w:rPr>
          <w:sz w:val="22"/>
          <w:szCs w:val="22"/>
        </w:rPr>
        <w:t>—</w:t>
      </w:r>
      <w:r w:rsidRPr="006F3C6C">
        <w:rPr>
          <w:sz w:val="22"/>
          <w:szCs w:val="22"/>
        </w:rPr>
        <w:t>summary of annual electricity and gas consumption levels</w:t>
      </w:r>
    </w:p>
    <w:tbl>
      <w:tblPr>
        <w:tblStyle w:val="AERTable-Text"/>
        <w:tblW w:w="9516" w:type="dxa"/>
        <w:tblLook w:val="04A0" w:firstRow="1" w:lastRow="0" w:firstColumn="1" w:lastColumn="0" w:noHBand="0" w:noVBand="1"/>
      </w:tblPr>
      <w:tblGrid>
        <w:gridCol w:w="1585"/>
        <w:gridCol w:w="1784"/>
        <w:gridCol w:w="1723"/>
        <w:gridCol w:w="1430"/>
        <w:gridCol w:w="1524"/>
        <w:gridCol w:w="1470"/>
      </w:tblGrid>
      <w:tr w:rsidR="002B5434" w:rsidTr="002B5434">
        <w:trPr>
          <w:cnfStyle w:val="100000000000" w:firstRow="1" w:lastRow="0" w:firstColumn="0" w:lastColumn="0" w:oddVBand="0" w:evenVBand="0" w:oddHBand="0" w:evenHBand="0" w:firstRowFirstColumn="0" w:firstRowLastColumn="0" w:lastRowFirstColumn="0" w:lastRowLastColumn="0"/>
        </w:trPr>
        <w:tc>
          <w:tcPr>
            <w:tcW w:w="1585" w:type="dxa"/>
          </w:tcPr>
          <w:p w:rsidR="002B5434" w:rsidRPr="005D08FE" w:rsidRDefault="002B5434" w:rsidP="002B5434">
            <w:r w:rsidRPr="005D08FE">
              <w:t>Jurisdiction</w:t>
            </w:r>
          </w:p>
        </w:tc>
        <w:tc>
          <w:tcPr>
            <w:tcW w:w="1784" w:type="dxa"/>
          </w:tcPr>
          <w:p w:rsidR="002B5434" w:rsidRPr="005D08FE" w:rsidRDefault="002B5434" w:rsidP="002B5434">
            <w:r w:rsidRPr="005D08FE">
              <w:t>Annual electricity consumption (kWh)</w:t>
            </w:r>
          </w:p>
        </w:tc>
        <w:tc>
          <w:tcPr>
            <w:tcW w:w="1723" w:type="dxa"/>
          </w:tcPr>
          <w:p w:rsidR="002B5434" w:rsidRPr="005D08FE" w:rsidRDefault="002B5434" w:rsidP="002B5434">
            <w:r w:rsidRPr="005D08FE">
              <w:t>Annual gas consumption (MJ)</w:t>
            </w:r>
          </w:p>
        </w:tc>
        <w:tc>
          <w:tcPr>
            <w:tcW w:w="1430" w:type="dxa"/>
          </w:tcPr>
          <w:p w:rsidR="002B5434" w:rsidRPr="005D08FE" w:rsidRDefault="002B5434" w:rsidP="002B5434">
            <w:r w:rsidRPr="005D08FE">
              <w:t>Average household size (persons)</w:t>
            </w:r>
          </w:p>
        </w:tc>
        <w:tc>
          <w:tcPr>
            <w:tcW w:w="1524" w:type="dxa"/>
          </w:tcPr>
          <w:p w:rsidR="002B5434" w:rsidRPr="005D08FE" w:rsidRDefault="002B5434" w:rsidP="002B5434">
            <w:r w:rsidRPr="005D08FE">
              <w:t>Annual disposable income – middle ($)</w:t>
            </w:r>
          </w:p>
        </w:tc>
        <w:tc>
          <w:tcPr>
            <w:tcW w:w="1470" w:type="dxa"/>
          </w:tcPr>
          <w:p w:rsidR="002B5434" w:rsidRDefault="002B5434" w:rsidP="002B5434">
            <w:r w:rsidRPr="005D08FE">
              <w:t>Annual disposable income – high ($)</w:t>
            </w:r>
          </w:p>
        </w:tc>
      </w:tr>
      <w:tr w:rsidR="002B5434" w:rsidTr="002B5434">
        <w:tc>
          <w:tcPr>
            <w:tcW w:w="1585" w:type="dxa"/>
          </w:tcPr>
          <w:p w:rsidR="002B5434" w:rsidRPr="006E6977" w:rsidRDefault="002B5434" w:rsidP="002B5434">
            <w:r w:rsidRPr="006E6977">
              <w:t>Qld</w:t>
            </w:r>
          </w:p>
        </w:tc>
        <w:tc>
          <w:tcPr>
            <w:tcW w:w="1784" w:type="dxa"/>
          </w:tcPr>
          <w:p w:rsidR="002B5434" w:rsidRPr="006E6977" w:rsidRDefault="002B5434" w:rsidP="002B5434">
            <w:pPr>
              <w:pStyle w:val="TableBodyFigurealignedright"/>
            </w:pPr>
            <w:r w:rsidRPr="006E6977">
              <w:t>6800</w:t>
            </w:r>
          </w:p>
        </w:tc>
        <w:tc>
          <w:tcPr>
            <w:tcW w:w="1723" w:type="dxa"/>
          </w:tcPr>
          <w:p w:rsidR="002B5434" w:rsidRPr="006E6977" w:rsidRDefault="006D58B0" w:rsidP="002B5434">
            <w:pPr>
              <w:pStyle w:val="TableBodyFigurealignedright"/>
            </w:pPr>
            <w:r>
              <w:t xml:space="preserve">10 </w:t>
            </w:r>
            <w:r w:rsidRPr="006E6977">
              <w:t>000</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68 955</w:t>
            </w:r>
          </w:p>
        </w:tc>
        <w:tc>
          <w:tcPr>
            <w:tcW w:w="1470" w:type="dxa"/>
          </w:tcPr>
          <w:p w:rsidR="002B5434" w:rsidRPr="006E6977" w:rsidRDefault="002B5434" w:rsidP="002B5434">
            <w:pPr>
              <w:pStyle w:val="TableBodyFigurealignedright"/>
            </w:pPr>
            <w:r w:rsidRPr="006E6977">
              <w:t>179 906</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1585" w:type="dxa"/>
          </w:tcPr>
          <w:p w:rsidR="002B5434" w:rsidRPr="006E6977" w:rsidRDefault="002B5434" w:rsidP="002B5434">
            <w:r w:rsidRPr="006E6977">
              <w:t>NSW</w:t>
            </w:r>
          </w:p>
        </w:tc>
        <w:tc>
          <w:tcPr>
            <w:tcW w:w="1784" w:type="dxa"/>
          </w:tcPr>
          <w:p w:rsidR="002B5434" w:rsidRPr="006E6977" w:rsidRDefault="002B5434" w:rsidP="002B5434">
            <w:pPr>
              <w:pStyle w:val="TableBodyFigurealignedright"/>
            </w:pPr>
            <w:r w:rsidRPr="006E6977">
              <w:t>6700</w:t>
            </w:r>
          </w:p>
        </w:tc>
        <w:tc>
          <w:tcPr>
            <w:tcW w:w="1723" w:type="dxa"/>
          </w:tcPr>
          <w:p w:rsidR="002B5434" w:rsidRPr="006E6977" w:rsidRDefault="002B5434" w:rsidP="002B5434">
            <w:pPr>
              <w:pStyle w:val="TableBodyFigurealignedright"/>
            </w:pPr>
            <w:r w:rsidRPr="006E6977">
              <w:t>24 000</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71 131</w:t>
            </w:r>
          </w:p>
        </w:tc>
        <w:tc>
          <w:tcPr>
            <w:tcW w:w="1470" w:type="dxa"/>
          </w:tcPr>
          <w:p w:rsidR="002B5434" w:rsidRPr="006E6977" w:rsidRDefault="002B5434" w:rsidP="002B5434">
            <w:pPr>
              <w:pStyle w:val="TableBodyFigurealignedright"/>
            </w:pPr>
            <w:r w:rsidRPr="006E6977">
              <w:t>194 876</w:t>
            </w:r>
          </w:p>
        </w:tc>
      </w:tr>
      <w:tr w:rsidR="002B5434" w:rsidTr="002B5434">
        <w:tc>
          <w:tcPr>
            <w:tcW w:w="1585" w:type="dxa"/>
          </w:tcPr>
          <w:p w:rsidR="002B5434" w:rsidRPr="006E6977" w:rsidRDefault="002B5434" w:rsidP="002B5434">
            <w:r w:rsidRPr="006E6977">
              <w:t>Vic</w:t>
            </w:r>
          </w:p>
        </w:tc>
        <w:tc>
          <w:tcPr>
            <w:tcW w:w="1784" w:type="dxa"/>
          </w:tcPr>
          <w:p w:rsidR="002B5434" w:rsidRPr="006E6977" w:rsidRDefault="002B5434" w:rsidP="002B5434">
            <w:pPr>
              <w:pStyle w:val="TableBodyFigurealignedright"/>
            </w:pPr>
            <w:r w:rsidRPr="006E6977">
              <w:t>5400</w:t>
            </w:r>
          </w:p>
        </w:tc>
        <w:tc>
          <w:tcPr>
            <w:tcW w:w="1723" w:type="dxa"/>
          </w:tcPr>
          <w:p w:rsidR="002B5434" w:rsidRPr="006E6977" w:rsidRDefault="002B5434" w:rsidP="002B5434">
            <w:pPr>
              <w:pStyle w:val="TableBodyFigurealignedright"/>
            </w:pPr>
            <w:r w:rsidRPr="006E6977">
              <w:t>63 000</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70 533</w:t>
            </w:r>
          </w:p>
        </w:tc>
        <w:tc>
          <w:tcPr>
            <w:tcW w:w="1470" w:type="dxa"/>
          </w:tcPr>
          <w:p w:rsidR="002B5434" w:rsidRPr="006E6977" w:rsidRDefault="002B5434" w:rsidP="002B5434">
            <w:pPr>
              <w:pStyle w:val="TableBodyFigurealignedright"/>
            </w:pPr>
            <w:r w:rsidRPr="006E6977">
              <w:t>173 404</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1585" w:type="dxa"/>
          </w:tcPr>
          <w:p w:rsidR="002B5434" w:rsidRPr="006E6977" w:rsidRDefault="002B5434" w:rsidP="002B5434">
            <w:r w:rsidRPr="006E6977">
              <w:t>SA</w:t>
            </w:r>
          </w:p>
        </w:tc>
        <w:tc>
          <w:tcPr>
            <w:tcW w:w="1784" w:type="dxa"/>
          </w:tcPr>
          <w:p w:rsidR="002B5434" w:rsidRPr="006E6977" w:rsidRDefault="002B5434" w:rsidP="002B5434">
            <w:pPr>
              <w:pStyle w:val="TableBodyFigurealignedright"/>
            </w:pPr>
            <w:r w:rsidRPr="006E6977">
              <w:t>6000</w:t>
            </w:r>
          </w:p>
        </w:tc>
        <w:tc>
          <w:tcPr>
            <w:tcW w:w="1723" w:type="dxa"/>
          </w:tcPr>
          <w:p w:rsidR="002B5434" w:rsidRPr="006E6977" w:rsidRDefault="002B5434" w:rsidP="002B5434">
            <w:pPr>
              <w:pStyle w:val="TableBodyFigurealignedright"/>
            </w:pPr>
            <w:r w:rsidRPr="006E6977">
              <w:t>21 000</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63 364</w:t>
            </w:r>
          </w:p>
        </w:tc>
        <w:tc>
          <w:tcPr>
            <w:tcW w:w="1470" w:type="dxa"/>
          </w:tcPr>
          <w:p w:rsidR="002B5434" w:rsidRPr="006E6977" w:rsidRDefault="002B5434" w:rsidP="002B5434">
            <w:pPr>
              <w:pStyle w:val="TableBodyFigurealignedright"/>
            </w:pPr>
            <w:r w:rsidRPr="006E6977">
              <w:t>159 700</w:t>
            </w:r>
          </w:p>
        </w:tc>
      </w:tr>
      <w:tr w:rsidR="002B5434" w:rsidTr="002B5434">
        <w:tc>
          <w:tcPr>
            <w:tcW w:w="1585" w:type="dxa"/>
          </w:tcPr>
          <w:p w:rsidR="002B5434" w:rsidRPr="006E6977" w:rsidRDefault="002B5434" w:rsidP="002B5434">
            <w:r w:rsidRPr="006E6977">
              <w:t>Tas</w:t>
            </w:r>
          </w:p>
        </w:tc>
        <w:tc>
          <w:tcPr>
            <w:tcW w:w="1784" w:type="dxa"/>
          </w:tcPr>
          <w:p w:rsidR="002B5434" w:rsidRPr="006E6977" w:rsidRDefault="002B5434" w:rsidP="002B5434">
            <w:pPr>
              <w:pStyle w:val="TableBodyFigurealignedright"/>
            </w:pPr>
            <w:r w:rsidRPr="006E6977">
              <w:t>9400</w:t>
            </w:r>
          </w:p>
        </w:tc>
        <w:tc>
          <w:tcPr>
            <w:tcW w:w="1723" w:type="dxa"/>
          </w:tcPr>
          <w:p w:rsidR="002B5434" w:rsidRPr="006E6977" w:rsidRDefault="002B5434" w:rsidP="002B5434">
            <w:pPr>
              <w:pStyle w:val="TableBodyFigurealignedright"/>
            </w:pPr>
            <w:r w:rsidRPr="006E6977">
              <w:t>N/A</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57 878</w:t>
            </w:r>
          </w:p>
        </w:tc>
        <w:tc>
          <w:tcPr>
            <w:tcW w:w="1470" w:type="dxa"/>
          </w:tcPr>
          <w:p w:rsidR="002B5434" w:rsidRPr="006E6977" w:rsidRDefault="002B5434" w:rsidP="002B5434">
            <w:pPr>
              <w:pStyle w:val="TableBodyFigurealignedright"/>
            </w:pPr>
            <w:r w:rsidRPr="006E6977">
              <w:t>144 732</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1585" w:type="dxa"/>
          </w:tcPr>
          <w:p w:rsidR="002B5434" w:rsidRPr="006E6977" w:rsidRDefault="002B5434" w:rsidP="002B5434">
            <w:r w:rsidRPr="006E6977">
              <w:t>ACT</w:t>
            </w:r>
          </w:p>
        </w:tc>
        <w:tc>
          <w:tcPr>
            <w:tcW w:w="1784" w:type="dxa"/>
          </w:tcPr>
          <w:p w:rsidR="002B5434" w:rsidRPr="006E6977" w:rsidRDefault="002B5434" w:rsidP="002B5434">
            <w:pPr>
              <w:pStyle w:val="TableBodyFigurealignedright"/>
            </w:pPr>
            <w:r w:rsidRPr="006E6977">
              <w:t>8000</w:t>
            </w:r>
          </w:p>
        </w:tc>
        <w:tc>
          <w:tcPr>
            <w:tcW w:w="1723" w:type="dxa"/>
          </w:tcPr>
          <w:p w:rsidR="002B5434" w:rsidRPr="006E6977" w:rsidRDefault="002B5434" w:rsidP="002B5434">
            <w:pPr>
              <w:pStyle w:val="TableBodyFigurealignedright"/>
            </w:pPr>
            <w:r w:rsidRPr="006E6977">
              <w:t>48 000</w:t>
            </w:r>
          </w:p>
        </w:tc>
        <w:tc>
          <w:tcPr>
            <w:tcW w:w="1430" w:type="dxa"/>
          </w:tcPr>
          <w:p w:rsidR="002B5434" w:rsidRPr="006E6977" w:rsidRDefault="002B5434" w:rsidP="002B5434">
            <w:pPr>
              <w:pStyle w:val="TableBodyFigurealignedright"/>
            </w:pPr>
            <w:r w:rsidRPr="006E6977">
              <w:t>2-3</w:t>
            </w:r>
          </w:p>
        </w:tc>
        <w:tc>
          <w:tcPr>
            <w:tcW w:w="1524" w:type="dxa"/>
          </w:tcPr>
          <w:p w:rsidR="002B5434" w:rsidRPr="006E6977" w:rsidRDefault="002B5434" w:rsidP="002B5434">
            <w:pPr>
              <w:pStyle w:val="TableBodyFigurealignedright"/>
            </w:pPr>
            <w:r w:rsidRPr="006E6977">
              <w:t>96 210</w:t>
            </w:r>
          </w:p>
        </w:tc>
        <w:tc>
          <w:tcPr>
            <w:tcW w:w="1470" w:type="dxa"/>
          </w:tcPr>
          <w:p w:rsidR="002B5434" w:rsidRDefault="002B5434" w:rsidP="002B5434">
            <w:pPr>
              <w:pStyle w:val="TableBodyFigurealignedright"/>
            </w:pPr>
            <w:r w:rsidRPr="006E6977">
              <w:t>212 697</w:t>
            </w:r>
          </w:p>
        </w:tc>
      </w:tr>
    </w:tbl>
    <w:p w:rsidR="002B5434" w:rsidRDefault="002B5434" w:rsidP="002B5434"/>
    <w:p w:rsidR="006D58B0" w:rsidRPr="006D58B0" w:rsidRDefault="006D58B0" w:rsidP="006D58B0">
      <w:pPr>
        <w:keepNext/>
        <w:keepLines/>
        <w:spacing w:before="240"/>
        <w:ind w:left="720" w:hanging="720"/>
        <w:outlineLvl w:val="2"/>
        <w:rPr>
          <w:rFonts w:eastAsiaTheme="majorEastAsia" w:cs="Arial"/>
          <w:b/>
          <w:bCs/>
          <w:color w:val="70635A"/>
          <w:sz w:val="28"/>
          <w:szCs w:val="28"/>
        </w:rPr>
      </w:pPr>
      <w:bookmarkStart w:id="96" w:name="_Toc402959264"/>
      <w:bookmarkStart w:id="97" w:name="_Toc402959750"/>
      <w:bookmarkStart w:id="98" w:name="_Toc402961422"/>
      <w:r w:rsidRPr="006D58B0">
        <w:rPr>
          <w:rFonts w:eastAsiaTheme="majorEastAsia" w:cs="Arial"/>
          <w:b/>
          <w:bCs/>
          <w:color w:val="70635A"/>
          <w:sz w:val="28"/>
          <w:szCs w:val="28"/>
        </w:rPr>
        <w:lastRenderedPageBreak/>
        <w:t>Collection of energy tariff data</w:t>
      </w:r>
    </w:p>
    <w:p w:rsidR="006D58B0" w:rsidRPr="006D58B0" w:rsidRDefault="006D58B0" w:rsidP="006D58B0">
      <w:r w:rsidRPr="006D58B0">
        <w:t>We collected all of the generally available</w:t>
      </w:r>
      <w:r w:rsidRPr="006D58B0">
        <w:rPr>
          <w:color w:val="000000" w:themeColor="accent5"/>
          <w:vertAlign w:val="superscript"/>
        </w:rPr>
        <w:footnoteReference w:id="33"/>
      </w:r>
      <w:r w:rsidRPr="006D58B0">
        <w:t xml:space="preserve"> offers in a given postcode</w:t>
      </w:r>
      <w:r w:rsidRPr="006D58B0">
        <w:rPr>
          <w:color w:val="000000" w:themeColor="accent5"/>
          <w:vertAlign w:val="superscript"/>
        </w:rPr>
        <w:footnoteReference w:id="34"/>
      </w:r>
      <w:r w:rsidRPr="006D58B0">
        <w:t xml:space="preserve"> in each distribution or pricing zone during June 2014. Only single-rate tariffs were collected and any GreenPower-only and solar offers were excluded. Where possible, offer tariffs were sourced from our Energy Made Easy price comparison website. For states and territories that had not commenced the Retail Law by June 2014, offer tariffs were collected from jurisdictional energy regulators’ price comparison websites or directly from energy retailers’ websites.</w:t>
      </w:r>
    </w:p>
    <w:p w:rsidR="002B5434" w:rsidRDefault="002B5434" w:rsidP="002B5434">
      <w:pPr>
        <w:pStyle w:val="Heading3"/>
      </w:pPr>
      <w:r>
        <w:t>Estimating annual energy bills</w:t>
      </w:r>
      <w:bookmarkEnd w:id="96"/>
      <w:bookmarkEnd w:id="97"/>
      <w:bookmarkEnd w:id="98"/>
      <w:r>
        <w:t xml:space="preserve"> </w:t>
      </w:r>
    </w:p>
    <w:p w:rsidR="002B5434" w:rsidRPr="0016639F" w:rsidRDefault="002B5434" w:rsidP="002B5434">
      <w:r>
        <w:t xml:space="preserve">Annual electricity and gas bills for each of the offers in the nominated postcode were calculated using the energy consumption levels in tables 3.1 and 3.2. The estimated bills include key discounts offered by energy retailers (such as discounts for paying on time, paying by direct debit and other cash incentives), but do not include discounts for bundling or dual fuel offers. One-off credits and non-cash incentives are also not included. Seasonal pricing was taken into account when calculating the annual </w:t>
      </w:r>
      <w:r w:rsidR="006D58B0">
        <w:t>bills;</w:t>
      </w:r>
      <w:r>
        <w:t xml:space="preserve"> however we assume a consistent consumption across the year. We used the median market and standing offer to calculate the annual electricity and g</w:t>
      </w:r>
      <w:r w:rsidR="0016639F">
        <w:t xml:space="preserve">as bills in each jurisdiction. </w:t>
      </w:r>
    </w:p>
    <w:p w:rsidR="002B5434" w:rsidRDefault="002B5434" w:rsidP="002B5434">
      <w:pPr>
        <w:pStyle w:val="Heading3"/>
      </w:pPr>
      <w:bookmarkStart w:id="99" w:name="_Toc402959265"/>
      <w:bookmarkStart w:id="100" w:name="_Toc402959751"/>
      <w:bookmarkStart w:id="101" w:name="_Toc402961423"/>
      <w:r>
        <w:t>Annual household disposable income</w:t>
      </w:r>
      <w:bookmarkEnd w:id="99"/>
      <w:bookmarkEnd w:id="100"/>
      <w:bookmarkEnd w:id="101"/>
      <w:r>
        <w:t xml:space="preserve"> </w:t>
      </w:r>
    </w:p>
    <w:p w:rsidR="002B5434" w:rsidRDefault="002B5434" w:rsidP="002B5434">
      <w:r>
        <w:t>Data on disposable household income was obtained from the Australian Bureau of Statistics (ABS). ‘Low income’ households in each state and territory were represented by the second and third income deciles,</w:t>
      </w:r>
      <w:r>
        <w:rPr>
          <w:rStyle w:val="FootnoteReference"/>
        </w:rPr>
        <w:footnoteReference w:id="35"/>
      </w:r>
      <w:r>
        <w:t xml:space="preserve"> ‘middle income’ households represented by the third income quintile and ‘high income’ households represented by the fifth income quintile. The latest available data from the ABS was for 2011-12 and was adjusted to 2013-14 dollars (see tables 3.1 and 3.2).</w:t>
      </w:r>
      <w:r>
        <w:rPr>
          <w:rStyle w:val="FootnoteReference"/>
        </w:rPr>
        <w:footnoteReference w:id="36"/>
      </w:r>
    </w:p>
    <w:p w:rsidR="002B5434" w:rsidRDefault="002B5434" w:rsidP="002B5434">
      <w:r>
        <w:br w:type="page"/>
      </w:r>
    </w:p>
    <w:p w:rsidR="002B5434" w:rsidRDefault="002B5434" w:rsidP="001F2C30">
      <w:pPr>
        <w:pStyle w:val="Headingnumbered11"/>
      </w:pPr>
      <w:bookmarkStart w:id="102" w:name="_Toc402961424"/>
      <w:r>
        <w:lastRenderedPageBreak/>
        <w:t>Queensland</w:t>
      </w:r>
      <w:bookmarkEnd w:id="102"/>
    </w:p>
    <w:p w:rsidR="002B5434" w:rsidRDefault="002B5434" w:rsidP="002B5434">
      <w:r>
        <w:t xml:space="preserve">There are two electricity distribution zones in Queensland: Energex covers south east Queensland and Ergon Energy covers the rest of the state. </w:t>
      </w:r>
    </w:p>
    <w:p w:rsidR="002B5434" w:rsidRDefault="002B5434" w:rsidP="002B5434">
      <w:r>
        <w:t xml:space="preserve">Households in the Energex zone can choose from a range of market and standing offers. Annual electricity bills for these offers ranged between $1388 for the cheapest market offer and $1672 for the most expensive. The range increased from $152 between the cheapest and most expensive in 2013 to $284 in 2014. Annual electricity bills for the median market offer were $1584 (figure 3.3). </w:t>
      </w:r>
    </w:p>
    <w:p w:rsidR="002B5434" w:rsidRDefault="002B5434" w:rsidP="002B5434">
      <w:r>
        <w:t>Ergon Energy—also a government-owned, non-competitive electricity retailer—is only permitted to charge its customers the regulated price. Ergon Energy is not permitted to compete for new customers and once a customer chooses to take up a market contract with another retailer, they cannot return to Ergon Energy.</w:t>
      </w:r>
    </w:p>
    <w:p w:rsidR="002B5434" w:rsidRDefault="002B5434" w:rsidP="002B5434">
      <w:r>
        <w:t>The median standing offer was the same in both the Ergon Energy and Energex zones ($1672). The costs of supplying electricity to customers living in the regional and rural areas of Queensland serviced by Ergon Energy are much greater than for those in the south east. This is due mainly to the higher costs of transporting electricity over long distances and there being fewer customers to share the costs of the infrastructure required. The Queensland Government subsidises these additional costs through payments to Ergon Energy via the Community Service Obligation.</w:t>
      </w:r>
    </w:p>
    <w:p w:rsidR="002B5434" w:rsidRDefault="002B5434" w:rsidP="002B5434">
      <w:r>
        <w:t>In 2014 there were over one million small electricity customers</w:t>
      </w:r>
      <w:r>
        <w:rPr>
          <w:rStyle w:val="FootnoteReference"/>
        </w:rPr>
        <w:footnoteReference w:id="37"/>
      </w:r>
      <w:r>
        <w:t xml:space="preserve"> on standard retail contracts, or around 54 per cent of customers, similar to 2013.</w:t>
      </w:r>
      <w:r>
        <w:rPr>
          <w:rStyle w:val="FootnoteReference"/>
        </w:rPr>
        <w:footnoteReference w:id="38"/>
      </w:r>
      <w:r>
        <w:t xml:space="preserve"> </w:t>
      </w:r>
    </w:p>
    <w:p w:rsidR="002B5434" w:rsidRDefault="002B5434" w:rsidP="002B5434">
      <w:pPr>
        <w:pStyle w:val="ChartHeading"/>
        <w:keepNext/>
        <w:rPr>
          <w:sz w:val="22"/>
          <w:szCs w:val="22"/>
        </w:rPr>
      </w:pPr>
      <w:r w:rsidRPr="006F3C6C">
        <w:rPr>
          <w:sz w:val="22"/>
          <w:szCs w:val="22"/>
        </w:rPr>
        <w:lastRenderedPageBreak/>
        <w:t>Figure 3.3: Range of generally available electricity offers by distribution zone (5000 kWh)</w:t>
      </w:r>
      <w:r w:rsidR="006F3C6C" w:rsidRPr="006F3C6C">
        <w:rPr>
          <w:sz w:val="22"/>
          <w:szCs w:val="22"/>
        </w:rPr>
        <w:t>—</w:t>
      </w:r>
      <w:r w:rsidRPr="006F3C6C">
        <w:rPr>
          <w:sz w:val="22"/>
          <w:szCs w:val="22"/>
        </w:rPr>
        <w:t>June 2014</w:t>
      </w:r>
    </w:p>
    <w:p w:rsidR="0016639F" w:rsidRPr="0016639F" w:rsidRDefault="0016639F" w:rsidP="0016639F">
      <w:r>
        <w:rPr>
          <w:noProof/>
          <w:lang w:eastAsia="en-AU"/>
        </w:rPr>
        <w:drawing>
          <wp:inline distT="0" distB="0" distL="0" distR="0" wp14:anchorId="285B6836">
            <wp:extent cx="5731200" cy="4348800"/>
            <wp:effectExtent l="0" t="0" r="3175" b="0"/>
            <wp:docPr id="24" name="Picture 24" descr="Annual electricity bills for offers in Energex ranged between $1388 for the cheapest market offer and $1672 for the most expensive. The estimated annual bill for the median market offer was $1584. The annual electricity bill for the median standing offer in Energex was $1672. The annual electricity bill for the median standing offer in Ergon was also $1672."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200" cy="4348800"/>
                    </a:xfrm>
                    <a:prstGeom prst="rect">
                      <a:avLst/>
                    </a:prstGeom>
                    <a:noFill/>
                  </pic:spPr>
                </pic:pic>
              </a:graphicData>
            </a:graphic>
          </wp:inline>
        </w:drawing>
      </w:r>
    </w:p>
    <w:p w:rsidR="002B5434" w:rsidRDefault="002B5434" w:rsidP="002B5434">
      <w:r>
        <w:t xml:space="preserve">There are four gas distribution zones in Queensland: Allgas Energy (covering south Brisbane and the Gold Coast), </w:t>
      </w:r>
      <w:r w:rsidR="00CF043B">
        <w:t>Australian Gas Services (AGS)</w:t>
      </w:r>
      <w:r>
        <w:t xml:space="preserve"> (Brisbane North &amp; Ipswich), </w:t>
      </w:r>
      <w:r w:rsidR="00CF043B">
        <w:t>AGS</w:t>
      </w:r>
      <w:r>
        <w:t xml:space="preserve"> (Northern) and </w:t>
      </w:r>
      <w:r w:rsidR="00CF043B">
        <w:t>AGS</w:t>
      </w:r>
      <w:r>
        <w:t xml:space="preserve"> (Wide Bay).</w:t>
      </w:r>
    </w:p>
    <w:p w:rsidR="006D58B0" w:rsidRPr="006D58B0" w:rsidRDefault="006D58B0" w:rsidP="006D58B0">
      <w:r w:rsidRPr="006D58B0">
        <w:t xml:space="preserve">Charges, and the range in charges, varied across the distribution zones (figure 3.4). The median market offer was cheapest in </w:t>
      </w:r>
      <w:r w:rsidR="00CF043B">
        <w:t>AGS</w:t>
      </w:r>
      <w:r w:rsidRPr="006D58B0">
        <w:t xml:space="preserve"> Wide Bay ($456) and most expensive in </w:t>
      </w:r>
      <w:r w:rsidR="00CF043B">
        <w:t>AGS</w:t>
      </w:r>
      <w:r w:rsidRPr="006D58B0">
        <w:t xml:space="preserve"> (Northern) ($740). Overall, charges were much lower in </w:t>
      </w:r>
      <w:r w:rsidR="00CF043B">
        <w:t>AGS</w:t>
      </w:r>
      <w:r w:rsidRPr="006D58B0">
        <w:t xml:space="preserve"> Wide Bay; and in all zones the median standing offer was more expensive than the median market offer. The range between the cheapest and most expensive market offers in each zone was also relatively narrow (around $35 in </w:t>
      </w:r>
      <w:r w:rsidR="00CF043B">
        <w:t>AGS</w:t>
      </w:r>
      <w:r w:rsidRPr="006D58B0">
        <w:t xml:space="preserve"> Wide Bay and </w:t>
      </w:r>
      <w:r w:rsidR="00CF043B">
        <w:t>AGS</w:t>
      </w:r>
      <w:r w:rsidRPr="006D58B0">
        <w:t xml:space="preserve"> Northern and up to $51for Allgas Energy). </w:t>
      </w:r>
    </w:p>
    <w:p w:rsidR="002B5434" w:rsidRDefault="002B5434" w:rsidP="002B5434">
      <w:pPr>
        <w:pStyle w:val="ChartHeading"/>
        <w:keepNext/>
        <w:rPr>
          <w:sz w:val="22"/>
          <w:szCs w:val="22"/>
        </w:rPr>
      </w:pPr>
      <w:r w:rsidRPr="006F3C6C">
        <w:rPr>
          <w:sz w:val="22"/>
          <w:szCs w:val="22"/>
        </w:rPr>
        <w:lastRenderedPageBreak/>
        <w:t>Figure 3.4: Range of generally available gas offers by distribution zone (10 000 MJ)—June 2014</w:t>
      </w:r>
    </w:p>
    <w:p w:rsidR="002B5434" w:rsidRDefault="0016639F" w:rsidP="002B5434">
      <w:r>
        <w:rPr>
          <w:noProof/>
          <w:lang w:eastAsia="en-AU"/>
        </w:rPr>
        <w:drawing>
          <wp:inline distT="0" distB="0" distL="0" distR="0" wp14:anchorId="59481465">
            <wp:extent cx="5731200" cy="4348800"/>
            <wp:effectExtent l="0" t="0" r="3175" b="0"/>
            <wp:docPr id="34" name="Picture 34" descr="Based on the median market offer, annual gas bills were cheapest in Australian Gas Services Wide Bay ($456) and most expensive in Australian Gas Services Northern ($740). In all zones, the annual bill for the median standing offer was within $20 of the annual bill for the most expensive market offer. Australian Gas Services Wide Bay and Australian Gas Services Northern had a very narrow range between the cheapest and most expensive market offers, at $25 and $17 respectively."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200" cy="4348800"/>
                    </a:xfrm>
                    <a:prstGeom prst="rect">
                      <a:avLst/>
                    </a:prstGeom>
                    <a:noFill/>
                  </pic:spPr>
                </pic:pic>
              </a:graphicData>
            </a:graphic>
          </wp:inline>
        </w:drawing>
      </w:r>
    </w:p>
    <w:p w:rsidR="002B5434" w:rsidRDefault="002B5434" w:rsidP="002B5434">
      <w:pPr>
        <w:pStyle w:val="Heading3"/>
      </w:pPr>
      <w:bookmarkStart w:id="103" w:name="_Toc402959267"/>
      <w:bookmarkStart w:id="104" w:name="_Toc402961425"/>
      <w:r>
        <w:t>Electricity and gas bills as a percentage of income</w:t>
      </w:r>
      <w:bookmarkEnd w:id="103"/>
      <w:bookmarkEnd w:id="104"/>
    </w:p>
    <w:p w:rsidR="002B5434" w:rsidRDefault="002B5434" w:rsidP="002B5434">
      <w:r>
        <w:t>The Queensland Government offers two main rebates to eligible customers.</w:t>
      </w:r>
      <w:r>
        <w:rPr>
          <w:rStyle w:val="FootnoteReference"/>
        </w:rPr>
        <w:footnoteReference w:id="39"/>
      </w:r>
      <w:r>
        <w:t xml:space="preserve"> In 2013-14, the Electricity Rebate provides up to $283 per year towards electricity bills. The Reticulated Natural Gas Rebate provides around $65 per year. Figure 3.5 shows the impact of these two rebates on annual gas and electricity bills for a benchmark low income household.</w:t>
      </w:r>
    </w:p>
    <w:p w:rsidR="002B5434" w:rsidRDefault="002B5434" w:rsidP="002B5434">
      <w:pPr>
        <w:pStyle w:val="ChartHeading"/>
        <w:keepNext/>
        <w:rPr>
          <w:sz w:val="22"/>
          <w:szCs w:val="22"/>
        </w:rPr>
      </w:pPr>
      <w:r w:rsidRPr="006F3C6C">
        <w:rPr>
          <w:sz w:val="22"/>
          <w:szCs w:val="22"/>
        </w:rPr>
        <w:lastRenderedPageBreak/>
        <w:t>Figure 3.5: Annual electricity and gas bills, and as a share of disposable income for a benchmark low income household (5000 kWh and 10 000 MJ)</w:t>
      </w:r>
    </w:p>
    <w:p w:rsidR="00DE0E5C" w:rsidRPr="00DE0E5C" w:rsidRDefault="00DE0E5C" w:rsidP="00DE0E5C">
      <w:r>
        <w:rPr>
          <w:noProof/>
          <w:lang w:eastAsia="en-AU"/>
        </w:rPr>
        <w:drawing>
          <wp:inline distT="0" distB="0" distL="0" distR="0" wp14:anchorId="7C24A9A9">
            <wp:extent cx="5731200" cy="3794400"/>
            <wp:effectExtent l="0" t="0" r="3175" b="0"/>
            <wp:docPr id="45" name="Picture 45" descr="For a benchmark low income household, the annual electricity bill was $1584 if on the median market offer (or $1301 with a concession). This would represent 4.8 per cent of income or 3.9 per cent if it received a concession. The annual electricity bill for the median standing offer was $1672 (or $1389 with a concession). This would represent 5 per cent of income or 4.2 if it received a concession. The annual gas bill for a benchmark low income household on the median market offer was $702, or about 2.1 per cent of its annual income. With a concession it would fall to $636. If the household was on the median standing offer, it paid around $10 annually more."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200" cy="3794400"/>
                    </a:xfrm>
                    <a:prstGeom prst="rect">
                      <a:avLst/>
                    </a:prstGeom>
                    <a:noFill/>
                  </pic:spPr>
                </pic:pic>
              </a:graphicData>
            </a:graphic>
          </wp:inline>
        </w:drawing>
      </w:r>
    </w:p>
    <w:p w:rsidR="002B5434" w:rsidRDefault="002B5434" w:rsidP="002B5434">
      <w:r>
        <w:t>For a benchmark low income household, the annual electricity bill was $1584 on the median market offer ($1301 with concession). This is around 4.8 per cent of annual disposable income, or 3.9 per cent with a concession. The annual electricity bill for the median standing offer was around 6 per cent higher than the median market offer, at $1672 (or $1389 with a concession). This would represent 5.0 per cent of a benchmark low income household’s annual income without a concession (or 4.3 per cent with a concession).</w:t>
      </w:r>
    </w:p>
    <w:p w:rsidR="006D58B0" w:rsidRPr="006D58B0" w:rsidRDefault="006D58B0" w:rsidP="006D58B0">
      <w:r w:rsidRPr="006D58B0">
        <w:t>Annual electricity bills increased by 22 per cent from June 2013 to June 2014. This price rise is attributed to the Queensland Government’s decision to ‘freeze’ the main residential tariff (tariff 11) for 12 months commencing on 1 July 2012. As such, increases in wholesale costs, networks costs, green schemes and the carbon tax which was introduced in July 2012, weren’t reflected in electricity prices until July 2013.</w:t>
      </w:r>
      <w:r w:rsidRPr="006D58B0">
        <w:rPr>
          <w:color w:val="000000" w:themeColor="accent5"/>
          <w:vertAlign w:val="superscript"/>
        </w:rPr>
        <w:footnoteReference w:id="40"/>
      </w:r>
      <w:r w:rsidRPr="006D58B0">
        <w:t xml:space="preserve"> As electricity charges have increased by more than the increase in household incomes over the period, electricity bills comprise a greater proportion of household income in 2014 (4.8 per cent) when compared to 2013 (4.0 per cent).</w:t>
      </w:r>
    </w:p>
    <w:p w:rsidR="002B5434" w:rsidRDefault="006D58B0" w:rsidP="006D58B0">
      <w:r w:rsidRPr="006D58B0">
        <w:t xml:space="preserve">Customers may be able to save money by switching from a standing offer to a market offer that best suits their needs. The Queensland Competition Authority (QCA) operates a price comparator website that can help customers compare electricity offers in Queensland. It is free to use and is available on the QCA website: </w:t>
      </w:r>
      <w:hyperlink r:id="rId40" w:history="1">
        <w:r w:rsidRPr="006D58B0">
          <w:rPr>
            <w:color w:val="076A92" w:themeColor="hyperlink"/>
            <w:u w:val="single"/>
          </w:rPr>
          <w:t>http://comparator.qca.org.au/</w:t>
        </w:r>
      </w:hyperlink>
      <w:r w:rsidRPr="006D58B0">
        <w:t xml:space="preserve">. Queensland announced its intention to commence the Retail Law in 2015 and from then customers in </w:t>
      </w:r>
      <w:r w:rsidRPr="006D58B0">
        <w:lastRenderedPageBreak/>
        <w:t>Queensland will be able to use the AER’s Energy Made Easy website to compare energy offers.</w:t>
      </w:r>
    </w:p>
    <w:p w:rsidR="002B5434" w:rsidRDefault="002B5434" w:rsidP="002B5434">
      <w:r>
        <w:t>The annual gas bill for the median market offer was $702, or 2.1 per cent of a low income household's income. With a concession, the annual bill would fall to $636 (or 1.9 per cent). Annual gas bills for the median standing offer were slightly higher.</w:t>
      </w:r>
    </w:p>
    <w:p w:rsidR="002B5434" w:rsidRDefault="002B5434" w:rsidP="002B5434">
      <w:r>
        <w:t>In 2014, the annual gas bill for households on standing offers and market offers increased by around 8 per cent when compared to 2013. Gas bills comprise a similar proportion of household income in 2014 (2.1 per cent) when compared to 2013 (2.0 per cent).</w:t>
      </w:r>
    </w:p>
    <w:p w:rsidR="002B5434" w:rsidRDefault="002B5434" w:rsidP="002B5434">
      <w:r>
        <w:t xml:space="preserve">For a household consuming a typical amount of electricity (6800 kWh), annual bills would comprise around 1.6 per cent of a middle income household’s annual disposable income and only 0.6 per cent of disposable income for a high income household (table 3.3). </w:t>
      </w:r>
    </w:p>
    <w:p w:rsidR="002B5434" w:rsidRDefault="002B5434" w:rsidP="002B5434">
      <w:r>
        <w:t xml:space="preserve">For a middle income household consuming the same amount of gas, this annual bill represents only 0.5 per cent of its disposable income and only 0.2 per cent for a benchmark high income household (table 3.3). </w:t>
      </w:r>
    </w:p>
    <w:p w:rsidR="002B5434" w:rsidRPr="006F3C6C" w:rsidRDefault="002B5434" w:rsidP="002B5434">
      <w:pPr>
        <w:pStyle w:val="ChartHeading"/>
        <w:rPr>
          <w:sz w:val="22"/>
          <w:szCs w:val="22"/>
        </w:rPr>
      </w:pPr>
      <w:r w:rsidRPr="006F3C6C">
        <w:rPr>
          <w:sz w:val="22"/>
          <w:szCs w:val="22"/>
        </w:rPr>
        <w:t>Table 3.3: Summary of annual electricity and gas bills (for the median market offer) and 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5000 kWh</w:t>
            </w:r>
          </w:p>
        </w:tc>
        <w:tc>
          <w:tcPr>
            <w:tcW w:w="1273" w:type="dxa"/>
          </w:tcPr>
          <w:p w:rsidR="002B5434" w:rsidRPr="007F4791" w:rsidRDefault="002B5434" w:rsidP="002B5434">
            <w:pPr>
              <w:pStyle w:val="TableBodyFigurealignedright"/>
            </w:pPr>
            <w:r w:rsidRPr="007F4791">
              <w:t>1301</w:t>
            </w:r>
          </w:p>
        </w:tc>
        <w:tc>
          <w:tcPr>
            <w:tcW w:w="1727" w:type="dxa"/>
          </w:tcPr>
          <w:p w:rsidR="002B5434" w:rsidRPr="007F4791" w:rsidRDefault="002B5434" w:rsidP="002B5434">
            <w:pPr>
              <w:pStyle w:val="TableBodyFigurealignedright"/>
            </w:pPr>
            <w:r w:rsidRPr="007F4791">
              <w:t>3.9</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 xml:space="preserve">Electricity </w:t>
            </w:r>
            <w:r w:rsidRPr="00193D95">
              <w:t>5000 kWh</w:t>
            </w:r>
          </w:p>
        </w:tc>
        <w:tc>
          <w:tcPr>
            <w:tcW w:w="1273" w:type="dxa"/>
          </w:tcPr>
          <w:p w:rsidR="002B5434" w:rsidRPr="007F4791" w:rsidRDefault="002B5434" w:rsidP="002B5434">
            <w:pPr>
              <w:pStyle w:val="TableBodyFigurealignedright"/>
            </w:pPr>
            <w:r w:rsidRPr="007F4791">
              <w:t>1584</w:t>
            </w:r>
          </w:p>
        </w:tc>
        <w:tc>
          <w:tcPr>
            <w:tcW w:w="1727" w:type="dxa"/>
          </w:tcPr>
          <w:p w:rsidR="002B5434" w:rsidRPr="007F4791" w:rsidRDefault="002B5434" w:rsidP="002B5434">
            <w:pPr>
              <w:pStyle w:val="TableBodyFigurealignedright"/>
            </w:pPr>
            <w:r w:rsidRPr="007F4791">
              <w:t>4.8</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 xml:space="preserve">Electricity </w:t>
            </w:r>
            <w:r w:rsidRPr="00193D95">
              <w:t>6800 kWh</w:t>
            </w:r>
          </w:p>
        </w:tc>
        <w:tc>
          <w:tcPr>
            <w:tcW w:w="1273" w:type="dxa"/>
          </w:tcPr>
          <w:p w:rsidR="002B5434" w:rsidRPr="007F4791" w:rsidRDefault="002B5434" w:rsidP="002B5434">
            <w:pPr>
              <w:pStyle w:val="TableBodyFigurealignedright"/>
            </w:pPr>
            <w:r w:rsidRPr="007F4791">
              <w:t>2081</w:t>
            </w:r>
          </w:p>
        </w:tc>
        <w:tc>
          <w:tcPr>
            <w:tcW w:w="1727" w:type="dxa"/>
          </w:tcPr>
          <w:p w:rsidR="002B5434" w:rsidRPr="007F4791" w:rsidRDefault="002B5434" w:rsidP="002B5434">
            <w:pPr>
              <w:pStyle w:val="TableBodyFigurealignedright"/>
            </w:pPr>
            <w:r w:rsidRPr="007F4791">
              <w:t>1.6</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 xml:space="preserve">Electricity </w:t>
            </w:r>
            <w:r w:rsidRPr="00193D95">
              <w:t>6800 kWh</w:t>
            </w:r>
          </w:p>
        </w:tc>
        <w:tc>
          <w:tcPr>
            <w:tcW w:w="1273" w:type="dxa"/>
          </w:tcPr>
          <w:p w:rsidR="002B5434" w:rsidRPr="007F4791" w:rsidRDefault="002B5434" w:rsidP="002B5434">
            <w:pPr>
              <w:pStyle w:val="TableBodyFigurealignedright"/>
            </w:pPr>
            <w:r w:rsidRPr="007F4791">
              <w:t>2081</w:t>
            </w:r>
          </w:p>
        </w:tc>
        <w:tc>
          <w:tcPr>
            <w:tcW w:w="1727" w:type="dxa"/>
          </w:tcPr>
          <w:p w:rsidR="002B5434" w:rsidRPr="007F4791" w:rsidRDefault="002B5434" w:rsidP="002B5434">
            <w:pPr>
              <w:pStyle w:val="TableBodyFigurealignedright"/>
            </w:pPr>
            <w:r w:rsidRPr="007F4791">
              <w:t>0.6</w:t>
            </w:r>
          </w:p>
        </w:tc>
      </w:tr>
      <w:tr w:rsidR="002B5434" w:rsidRPr="007F4791"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 xml:space="preserve">Gas </w:t>
            </w:r>
            <w:r w:rsidRPr="00193D95">
              <w:t>10</w:t>
            </w:r>
            <w:r>
              <w:t xml:space="preserve"> </w:t>
            </w:r>
            <w:r w:rsidRPr="00193D95">
              <w:t>000 MJ</w:t>
            </w:r>
          </w:p>
        </w:tc>
        <w:tc>
          <w:tcPr>
            <w:tcW w:w="1273" w:type="dxa"/>
          </w:tcPr>
          <w:p w:rsidR="002B5434" w:rsidRPr="008B24E4" w:rsidRDefault="002B5434" w:rsidP="002B5434">
            <w:pPr>
              <w:pStyle w:val="TableBodyFigurealignedright"/>
            </w:pPr>
            <w:r w:rsidRPr="008B24E4">
              <w:t>636</w:t>
            </w:r>
          </w:p>
        </w:tc>
        <w:tc>
          <w:tcPr>
            <w:tcW w:w="1727" w:type="dxa"/>
          </w:tcPr>
          <w:p w:rsidR="002B5434" w:rsidRPr="008B24E4" w:rsidRDefault="002B5434" w:rsidP="002B5434">
            <w:pPr>
              <w:pStyle w:val="TableBodyFigurealignedright"/>
            </w:pPr>
            <w:r w:rsidRPr="008B24E4">
              <w:t>1.9</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 xml:space="preserve">Gas </w:t>
            </w:r>
            <w:r w:rsidRPr="00193D95">
              <w:t>10</w:t>
            </w:r>
            <w:r>
              <w:t xml:space="preserve"> </w:t>
            </w:r>
            <w:r w:rsidRPr="00193D95">
              <w:t>000 MJ</w:t>
            </w:r>
          </w:p>
        </w:tc>
        <w:tc>
          <w:tcPr>
            <w:tcW w:w="1273" w:type="dxa"/>
          </w:tcPr>
          <w:p w:rsidR="002B5434" w:rsidRPr="008B24E4" w:rsidRDefault="002B5434" w:rsidP="002B5434">
            <w:pPr>
              <w:pStyle w:val="TableBodyFigurealignedright"/>
            </w:pPr>
            <w:r w:rsidRPr="008B24E4">
              <w:t>702</w:t>
            </w:r>
          </w:p>
        </w:tc>
        <w:tc>
          <w:tcPr>
            <w:tcW w:w="1727" w:type="dxa"/>
          </w:tcPr>
          <w:p w:rsidR="002B5434" w:rsidRPr="008B24E4" w:rsidRDefault="002B5434" w:rsidP="002B5434">
            <w:pPr>
              <w:pStyle w:val="TableBodyFigurealignedright"/>
            </w:pPr>
            <w:r w:rsidRPr="008B24E4">
              <w:t>2.1</w:t>
            </w:r>
          </w:p>
        </w:tc>
      </w:tr>
      <w:tr w:rsidR="002B5434" w:rsidRPr="007F4791"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 xml:space="preserve">Gas </w:t>
            </w:r>
            <w:r w:rsidRPr="00193D95">
              <w:t>10</w:t>
            </w:r>
            <w:r>
              <w:t xml:space="preserve"> </w:t>
            </w:r>
            <w:r w:rsidRPr="00193D95">
              <w:t>000 MJ</w:t>
            </w:r>
          </w:p>
        </w:tc>
        <w:tc>
          <w:tcPr>
            <w:tcW w:w="1273" w:type="dxa"/>
          </w:tcPr>
          <w:p w:rsidR="002B5434" w:rsidRPr="008B24E4" w:rsidRDefault="002B5434" w:rsidP="002B5434">
            <w:pPr>
              <w:pStyle w:val="TableBodyFigurealignedright"/>
            </w:pPr>
            <w:r w:rsidRPr="008B24E4">
              <w:t>702</w:t>
            </w:r>
          </w:p>
        </w:tc>
        <w:tc>
          <w:tcPr>
            <w:tcW w:w="1727" w:type="dxa"/>
          </w:tcPr>
          <w:p w:rsidR="002B5434" w:rsidRPr="008B24E4" w:rsidRDefault="002B5434" w:rsidP="002B5434">
            <w:pPr>
              <w:pStyle w:val="TableBodyFigurealignedright"/>
            </w:pPr>
            <w:r w:rsidRPr="008B24E4">
              <w:t>0.5</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 xml:space="preserve">Gas </w:t>
            </w:r>
            <w:r w:rsidRPr="00193D95">
              <w:t>10</w:t>
            </w:r>
            <w:r>
              <w:t xml:space="preserve"> </w:t>
            </w:r>
            <w:r w:rsidRPr="00193D95">
              <w:t>000 MJ</w:t>
            </w:r>
          </w:p>
        </w:tc>
        <w:tc>
          <w:tcPr>
            <w:tcW w:w="1273" w:type="dxa"/>
          </w:tcPr>
          <w:p w:rsidR="002B5434" w:rsidRPr="008B24E4" w:rsidRDefault="002B5434" w:rsidP="002B5434">
            <w:pPr>
              <w:pStyle w:val="TableBodyFigurealignedright"/>
            </w:pPr>
            <w:r w:rsidRPr="008B24E4">
              <w:t>702</w:t>
            </w:r>
          </w:p>
        </w:tc>
        <w:tc>
          <w:tcPr>
            <w:tcW w:w="1727" w:type="dxa"/>
          </w:tcPr>
          <w:p w:rsidR="002B5434" w:rsidRDefault="002B5434" w:rsidP="002B5434">
            <w:pPr>
              <w:pStyle w:val="TableBodyFigurealignedright"/>
            </w:pPr>
            <w:r w:rsidRPr="008B24E4">
              <w:t>0.2</w:t>
            </w:r>
          </w:p>
        </w:tc>
      </w:tr>
    </w:tbl>
    <w:p w:rsidR="002B5434" w:rsidRDefault="002B5434" w:rsidP="002B5434"/>
    <w:p w:rsidR="002B5434" w:rsidRDefault="002B5434" w:rsidP="002B5434">
      <w:pPr>
        <w:rPr>
          <w:rFonts w:eastAsiaTheme="majorEastAsia" w:cs="Arial"/>
          <w:b/>
          <w:bCs/>
          <w:color w:val="70635A"/>
          <w:sz w:val="32"/>
          <w:szCs w:val="32"/>
        </w:rPr>
      </w:pPr>
      <w:r>
        <w:br w:type="page"/>
      </w:r>
    </w:p>
    <w:p w:rsidR="002B5434" w:rsidRDefault="002B5434" w:rsidP="001F2C30">
      <w:pPr>
        <w:pStyle w:val="Headingnumbered11"/>
      </w:pPr>
      <w:bookmarkStart w:id="105" w:name="_Toc402961426"/>
      <w:r>
        <w:lastRenderedPageBreak/>
        <w:t>New South Wales</w:t>
      </w:r>
      <w:bookmarkEnd w:id="105"/>
    </w:p>
    <w:p w:rsidR="002B5434" w:rsidRDefault="002B5434" w:rsidP="002B5434">
      <w:r>
        <w:t>There are three electricity distribution zones in New South Wales—Ausgrid, Endeavour Energy and Essential Energy. Thirteen retailers had offers generally available to electricity customers in New South Wales.</w:t>
      </w:r>
    </w:p>
    <w:p w:rsidR="006D58B0" w:rsidRPr="006D58B0" w:rsidRDefault="006D58B0" w:rsidP="006D58B0">
      <w:r w:rsidRPr="006D58B0">
        <w:t xml:space="preserve">Essential Energy’s distribution zone had the highest electricity bills ($2405) and also the largest range between the cheapest and the most expensive offers ($364) (figure 3.6). Essential Energy covers most of regional and rural New South Wales and these higher charges reflect the higher network infrastructure costs required to service this area (typically shared among fewer customers). </w:t>
      </w:r>
    </w:p>
    <w:p w:rsidR="006D58B0" w:rsidRPr="006D58B0" w:rsidRDefault="006D58B0" w:rsidP="006D58B0">
      <w:r w:rsidRPr="006D58B0">
        <w:t>The charges and range between the cheapest and most expensive offer in the Ausgrid and Endeavour Energy zones were similar, from $1502 to $1810 or almost $300. Across all three zones the range decreased when compared to 2013 as the cheapest offer increased whilst the most expensive offer remained at a similar level.</w:t>
      </w:r>
    </w:p>
    <w:p w:rsidR="006D58B0" w:rsidRPr="006D58B0" w:rsidRDefault="006D58B0" w:rsidP="006D58B0">
      <w:r w:rsidRPr="006D58B0">
        <w:t xml:space="preserve">The range between offers suggests some customers may be able to make savings by switching to a cheaper market offer, particularly if they are still on the standing offer. In all zones, the standing offer was more expensive than the median market offer. At 30 June 2014, around 64 per cent of electricity customers in New South Wales were on market contracts. </w:t>
      </w:r>
    </w:p>
    <w:p w:rsidR="002B5434" w:rsidRDefault="002B5434" w:rsidP="002B5434">
      <w:pPr>
        <w:pStyle w:val="ChartHeading"/>
        <w:keepNext/>
        <w:rPr>
          <w:sz w:val="22"/>
          <w:szCs w:val="22"/>
        </w:rPr>
      </w:pPr>
      <w:r w:rsidRPr="006F3C6C">
        <w:rPr>
          <w:sz w:val="22"/>
          <w:szCs w:val="22"/>
        </w:rPr>
        <w:t>Figure 3.6: Range of generally available electricity offers by distribution zone (5300 kWh)—June 2014</w:t>
      </w:r>
    </w:p>
    <w:p w:rsidR="009E60CC" w:rsidRPr="009E60CC" w:rsidRDefault="009E60CC" w:rsidP="009E60CC">
      <w:r>
        <w:rPr>
          <w:noProof/>
          <w:lang w:eastAsia="en-AU"/>
        </w:rPr>
        <w:drawing>
          <wp:inline distT="0" distB="0" distL="0" distR="0" wp14:anchorId="5075811A">
            <wp:extent cx="5731200" cy="4345200"/>
            <wp:effectExtent l="0" t="0" r="3175" b="0"/>
            <wp:docPr id="47" name="Picture 47" descr="Essential Energy’s distribution zone had the highest annual electricity bills at $2206 and the largest range between the cheapest and the most expensive offers of $364. The range of offers was narrowest in Ausgrid’s distribution zone with annual bills ranging between $1537 and $1810. In the Endeavour Energy zone annual bills ranged from $1502 to $1794."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200" cy="4345200"/>
                    </a:xfrm>
                    <a:prstGeom prst="rect">
                      <a:avLst/>
                    </a:prstGeom>
                    <a:noFill/>
                  </pic:spPr>
                </pic:pic>
              </a:graphicData>
            </a:graphic>
          </wp:inline>
        </w:drawing>
      </w:r>
    </w:p>
    <w:p w:rsidR="002B5434" w:rsidRDefault="002B5434" w:rsidP="002B5434"/>
    <w:p w:rsidR="002B5434" w:rsidRDefault="002B5434" w:rsidP="002B5434">
      <w:r>
        <w:lastRenderedPageBreak/>
        <w:t xml:space="preserve">There are four gas distribution zones in New South Wales: Jemena, </w:t>
      </w:r>
      <w:r w:rsidR="00820170">
        <w:t>AGS</w:t>
      </w:r>
      <w:r>
        <w:t xml:space="preserve"> (Wagga Wagga), ActewAGL Distribution and </w:t>
      </w:r>
      <w:r w:rsidR="00820170">
        <w:t>AGS</w:t>
      </w:r>
      <w:r>
        <w:t xml:space="preserve"> (Albury). Five retailers had offers generally available to gas customers.</w:t>
      </w:r>
    </w:p>
    <w:p w:rsidR="002B5434" w:rsidRDefault="002B5434" w:rsidP="002B5434">
      <w:r>
        <w:t xml:space="preserve">Gas bills for the median market offer were highest in Jemena’s zone ($907). Jemena’s zone had the most offers as well as the largest range ($212) between the cheapest ($829) and the most expensive ($1041) offers (figure 3.7). Gas bills were cheapest in the </w:t>
      </w:r>
      <w:r w:rsidR="00820170">
        <w:t>AGS</w:t>
      </w:r>
      <w:r>
        <w:t xml:space="preserve"> (Albury) distribution zone ($558). There were no market offers in the ActewAGL’s zone and the annual bill for the standing offer was $888. </w:t>
      </w:r>
    </w:p>
    <w:p w:rsidR="002B5434" w:rsidRDefault="002B5434" w:rsidP="002B5434">
      <w:r>
        <w:t xml:space="preserve">Across the zones there was very little difference between the median standing offers and the median market offers (less than $25). Origin-Country Energy is the only retailer of gas to small customers in </w:t>
      </w:r>
      <w:r w:rsidR="00820170">
        <w:t>AGS</w:t>
      </w:r>
      <w:r>
        <w:t xml:space="preserve"> (Wagga Wagga) offering market offers and a standing offer. The range between the cheapest ($728) and most expensive ($761) market offer in </w:t>
      </w:r>
      <w:r w:rsidR="00820170">
        <w:t>AGS</w:t>
      </w:r>
      <w:r>
        <w:t xml:space="preserve"> (Wagga Wagga) was very narrow at $34. </w:t>
      </w:r>
    </w:p>
    <w:p w:rsidR="002B5434" w:rsidRDefault="002B5434" w:rsidP="002B5434">
      <w:r>
        <w:t xml:space="preserve">Retail gas prices in New South Wales were regulated by IPART during 2013-14, under voluntary pricing arrangements. As at June 2014, 72 per cent of gas customers in New South Wales were on a market contract. </w:t>
      </w:r>
    </w:p>
    <w:p w:rsidR="002B5434" w:rsidRDefault="002B5434" w:rsidP="002B5434">
      <w:pPr>
        <w:pStyle w:val="ChartHeading"/>
        <w:keepNext/>
        <w:rPr>
          <w:sz w:val="22"/>
          <w:szCs w:val="22"/>
        </w:rPr>
      </w:pPr>
      <w:r w:rsidRPr="006F3C6C">
        <w:rPr>
          <w:sz w:val="22"/>
          <w:szCs w:val="22"/>
        </w:rPr>
        <w:t>Figure 3.7: Range of generally available gas offers by distribution zone (24 000 MJ)—June 2014</w:t>
      </w:r>
    </w:p>
    <w:p w:rsidR="009E60CC" w:rsidRPr="009E60CC" w:rsidRDefault="009E60CC" w:rsidP="009E60CC">
      <w:r>
        <w:rPr>
          <w:noProof/>
          <w:lang w:eastAsia="en-AU"/>
        </w:rPr>
        <w:drawing>
          <wp:inline distT="0" distB="0" distL="0" distR="0" wp14:anchorId="1250F545">
            <wp:extent cx="5731200" cy="4348800"/>
            <wp:effectExtent l="0" t="0" r="3175" b="0"/>
            <wp:docPr id="48" name="Picture 48" descr="Annual gas bills for the median market offer were highest in Jemena’s zone at $907. Jemena also had the largest range between the cheapest ($829) and the most expensive ($1041) offers. Across the zones there was very little difference between the median regulated offers and the median market offers (less than $30). There were no market offers in the ActewAGL Distribution zone – the regulated offer had an annual bill of $888. Annual gas bills were cheapest in the Australian Gas Services (Albury) distribution zone ($558)."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200" cy="4348800"/>
                    </a:xfrm>
                    <a:prstGeom prst="rect">
                      <a:avLst/>
                    </a:prstGeom>
                    <a:noFill/>
                  </pic:spPr>
                </pic:pic>
              </a:graphicData>
            </a:graphic>
          </wp:inline>
        </w:drawing>
      </w:r>
    </w:p>
    <w:p w:rsidR="002B5434" w:rsidRDefault="002B5434" w:rsidP="002B5434"/>
    <w:p w:rsidR="002B5434" w:rsidRDefault="002B5434" w:rsidP="002B5434">
      <w:pPr>
        <w:pStyle w:val="Heading3"/>
      </w:pPr>
      <w:bookmarkStart w:id="106" w:name="_Toc402959269"/>
      <w:bookmarkStart w:id="107" w:name="_Toc402961427"/>
      <w:r>
        <w:lastRenderedPageBreak/>
        <w:t>Electricity and gas bills as a percentage of income</w:t>
      </w:r>
      <w:bookmarkEnd w:id="106"/>
      <w:bookmarkEnd w:id="107"/>
    </w:p>
    <w:p w:rsidR="002B5434" w:rsidRDefault="002B5434" w:rsidP="002B5434">
      <w:r>
        <w:t>The Low Income Household Rebate is the primary energy concession available to eligible customers</w:t>
      </w:r>
      <w:r>
        <w:rPr>
          <w:rStyle w:val="FootnoteReference"/>
        </w:rPr>
        <w:footnoteReference w:id="41"/>
      </w:r>
      <w:r>
        <w:t xml:space="preserve"> in New South Wales. It applies only to electricity bills and is capped at $225 per year. </w:t>
      </w:r>
    </w:p>
    <w:p w:rsidR="002B5434" w:rsidRDefault="002B5434" w:rsidP="002B5434">
      <w:r>
        <w:t>Some customers are also eligible</w:t>
      </w:r>
      <w:r>
        <w:rPr>
          <w:rStyle w:val="FootnoteReference"/>
        </w:rPr>
        <w:footnoteReference w:id="42"/>
      </w:r>
      <w:r>
        <w:t xml:space="preserve"> for the Family Energy Rebate, which is capped at $125 per year. For households eligible for both the Low Income Household Rebate and the Family Energy Rebate, the Family Energy Rebate is capped at $25 per year, making the maximum annual electricity concession available $250. The analysis of annual electricity bills in figure 3.8 includes the maximum value of both concessions. There is no concession available in New South Wales for gas bills.</w:t>
      </w:r>
    </w:p>
    <w:p w:rsidR="002B5434" w:rsidRDefault="002B5434" w:rsidP="002B5434">
      <w:pPr>
        <w:pStyle w:val="ChartHeading"/>
        <w:keepNext/>
        <w:rPr>
          <w:sz w:val="22"/>
          <w:szCs w:val="22"/>
        </w:rPr>
      </w:pPr>
      <w:r w:rsidRPr="006F3C6C">
        <w:rPr>
          <w:sz w:val="22"/>
          <w:szCs w:val="22"/>
        </w:rPr>
        <w:t>Figure 3.8: Annual electricity and gas bills, and as a share of disposable income for a benchmark low income household (5300 kWh and 24 000 MJ)</w:t>
      </w:r>
    </w:p>
    <w:p w:rsidR="009E60CC" w:rsidRPr="009E60CC" w:rsidRDefault="009E60CC" w:rsidP="009E60CC">
      <w:r>
        <w:rPr>
          <w:noProof/>
          <w:lang w:eastAsia="en-AU"/>
        </w:rPr>
        <w:drawing>
          <wp:inline distT="0" distB="0" distL="0" distR="0" wp14:anchorId="2FC43D81">
            <wp:extent cx="5731200" cy="3729600"/>
            <wp:effectExtent l="0" t="0" r="3175" b="4445"/>
            <wp:docPr id="49" name="Picture 49" descr="The estimated annual electricity bill was $1718 for a benchmark low income household on the median market offer or $1468 with a concession. This would be 5.1 per cent of a low income household’s disposable income or 4.4 per cent with a concession. The annual bill on the median regulated offer was higher at $1758 or $1508 with a concession.  The estimated annual gas bill was $863 for a household on the median market offer. For a benchmark low income household, this represented 2.6 per cent of its annual disposable income on the median market offer and 2.5 per cent when on the median regulated offer."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200" cy="3729600"/>
                    </a:xfrm>
                    <a:prstGeom prst="rect">
                      <a:avLst/>
                    </a:prstGeom>
                    <a:noFill/>
                  </pic:spPr>
                </pic:pic>
              </a:graphicData>
            </a:graphic>
          </wp:inline>
        </w:drawing>
      </w:r>
    </w:p>
    <w:p w:rsidR="006D58B0" w:rsidRPr="006D58B0" w:rsidRDefault="006D58B0" w:rsidP="006D58B0">
      <w:r w:rsidRPr="006D58B0">
        <w:t>Across New South Wales, a household on the median market offer paid $1718 (or $1468 with a concession). The regulated offer was modestly higher than the market offer, at $1758 (or $1508 with a concession). A benchmark low income household on a market offer, in receipt of a concession, would spend 4.4 per cent of its income on electricity (or 5.1 per cent if it did not receive a concession). If the same household was on the regulated offer, it would spend 4.5 per cent of its income (with a concession), or 5.2 per cent without a concession.</w:t>
      </w:r>
    </w:p>
    <w:p w:rsidR="002B5434" w:rsidRDefault="002B5434" w:rsidP="002B5434">
      <w:r>
        <w:lastRenderedPageBreak/>
        <w:t>Estimated electricity bills increased by 4.3 per cent from June 2013 to June 2014, a greater increase than for CPI (2.8%). Electricity bills as a proportion of income for a benchmark low income household rose from 5.0 per cent in June 2013 to 5.1 per cent in June 2014.</w:t>
      </w:r>
    </w:p>
    <w:p w:rsidR="002B5434" w:rsidRDefault="002B5434" w:rsidP="002B5434">
      <w:r>
        <w:t>Figure 3.8 also shows households in New South Wales spent around twice as much on electricity each year as they did on gas. Annual gas bills were $863 for a household on the median market offer. The median regulated offer was lower than the median market offer in New South Wales due to some zones—</w:t>
      </w:r>
      <w:r w:rsidR="00820170">
        <w:t>AGS</w:t>
      </w:r>
      <w:r>
        <w:t xml:space="preserve"> (Wagga Wagga) and </w:t>
      </w:r>
      <w:r w:rsidR="00820170">
        <w:t>AGS</w:t>
      </w:r>
      <w:r>
        <w:t xml:space="preserve"> (Albury)—only having regulated offers and very few market offers. For a low income household, this represents 2.6 per cent of its income if on the market offer and 2.5 per cent when on the regulated offer.</w:t>
      </w:r>
    </w:p>
    <w:p w:rsidR="002B5434" w:rsidRDefault="002B5434" w:rsidP="002B5434">
      <w:r>
        <w:t>Estimated gas bills increased by 4.5 per cent over the period, similar to the increase in electricity. Gas bills as a proportion of income for a benchmark low income household rose from 2.5 per cent in June 2013 to 2.6 per cent in June 2014.</w:t>
      </w:r>
    </w:p>
    <w:p w:rsidR="002B5434" w:rsidRDefault="002B5434" w:rsidP="002B5434">
      <w:r>
        <w:t xml:space="preserve">A middle income household consuming a typical amount of electricity—6700 kWh in New South Wales—spent 1.5 per cent of its income on electricity bills (table 3.4). For a high income household, it accounted for 0.6 per cent of its income. For a middle income household consuming the same amount of gas (24 000 MJ), this annual bill represented 0.6 per cent of its income, and only 0.2 per cent for a high income household (table 3.4). </w:t>
      </w:r>
    </w:p>
    <w:p w:rsidR="002B5434" w:rsidRPr="006F3C6C" w:rsidRDefault="002B5434" w:rsidP="002B5434">
      <w:pPr>
        <w:pStyle w:val="ChartHeading"/>
        <w:keepNext/>
        <w:rPr>
          <w:sz w:val="22"/>
          <w:szCs w:val="22"/>
        </w:rPr>
      </w:pPr>
      <w:r w:rsidRPr="006F3C6C">
        <w:rPr>
          <w:sz w:val="22"/>
          <w:szCs w:val="22"/>
        </w:rPr>
        <w:t>Table 3.4: Summary of annual electricity and gas bills (for the median market offer) and 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5300 kWh</w:t>
            </w:r>
          </w:p>
        </w:tc>
        <w:tc>
          <w:tcPr>
            <w:tcW w:w="1273" w:type="dxa"/>
          </w:tcPr>
          <w:p w:rsidR="002B5434" w:rsidRPr="00D112B8" w:rsidRDefault="002B5434" w:rsidP="002B5434">
            <w:pPr>
              <w:pStyle w:val="TableBodyFigurealignedright"/>
            </w:pPr>
            <w:r w:rsidRPr="00D112B8">
              <w:t>1468</w:t>
            </w:r>
          </w:p>
        </w:tc>
        <w:tc>
          <w:tcPr>
            <w:tcW w:w="1727" w:type="dxa"/>
          </w:tcPr>
          <w:p w:rsidR="002B5434" w:rsidRPr="00D112B8" w:rsidRDefault="002B5434" w:rsidP="002B5434">
            <w:pPr>
              <w:pStyle w:val="TableBodyFigurealignedright"/>
            </w:pPr>
            <w:r w:rsidRPr="00D112B8">
              <w:t>4.4</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Electricity 53</w:t>
            </w:r>
            <w:r w:rsidRPr="00193D95">
              <w:t>00 kWh</w:t>
            </w:r>
          </w:p>
        </w:tc>
        <w:tc>
          <w:tcPr>
            <w:tcW w:w="1273" w:type="dxa"/>
          </w:tcPr>
          <w:p w:rsidR="002B5434" w:rsidRPr="00D112B8" w:rsidRDefault="002B5434" w:rsidP="002B5434">
            <w:pPr>
              <w:pStyle w:val="TableBodyFigurealignedright"/>
            </w:pPr>
            <w:r w:rsidRPr="00D112B8">
              <w:t>1718</w:t>
            </w:r>
          </w:p>
        </w:tc>
        <w:tc>
          <w:tcPr>
            <w:tcW w:w="1727" w:type="dxa"/>
          </w:tcPr>
          <w:p w:rsidR="002B5434" w:rsidRPr="00D112B8" w:rsidRDefault="002B5434" w:rsidP="002B5434">
            <w:pPr>
              <w:pStyle w:val="TableBodyFigurealignedright"/>
            </w:pPr>
            <w:r w:rsidRPr="00D112B8">
              <w:t>5.1</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Electricity 67</w:t>
            </w:r>
            <w:r w:rsidRPr="00193D95">
              <w:t>00 kWh</w:t>
            </w:r>
          </w:p>
        </w:tc>
        <w:tc>
          <w:tcPr>
            <w:tcW w:w="1273" w:type="dxa"/>
          </w:tcPr>
          <w:p w:rsidR="002B5434" w:rsidRPr="00D112B8" w:rsidRDefault="002B5434" w:rsidP="002B5434">
            <w:pPr>
              <w:pStyle w:val="TableBodyFigurealignedright"/>
            </w:pPr>
            <w:r w:rsidRPr="00D112B8">
              <w:t>2104</w:t>
            </w:r>
          </w:p>
        </w:tc>
        <w:tc>
          <w:tcPr>
            <w:tcW w:w="1727" w:type="dxa"/>
          </w:tcPr>
          <w:p w:rsidR="002B5434" w:rsidRPr="00D112B8" w:rsidRDefault="002B5434" w:rsidP="002B5434">
            <w:pPr>
              <w:pStyle w:val="TableBodyFigurealignedright"/>
            </w:pPr>
            <w:r w:rsidRPr="00D112B8">
              <w:t>1.5</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Electricity 67</w:t>
            </w:r>
            <w:r w:rsidRPr="00193D95">
              <w:t>00 kWh</w:t>
            </w:r>
          </w:p>
        </w:tc>
        <w:tc>
          <w:tcPr>
            <w:tcW w:w="1273" w:type="dxa"/>
          </w:tcPr>
          <w:p w:rsidR="002B5434" w:rsidRPr="00D112B8" w:rsidRDefault="002B5434" w:rsidP="002B5434">
            <w:pPr>
              <w:pStyle w:val="TableBodyFigurealignedright"/>
            </w:pPr>
            <w:r w:rsidRPr="00D112B8">
              <w:t>2104</w:t>
            </w:r>
          </w:p>
        </w:tc>
        <w:tc>
          <w:tcPr>
            <w:tcW w:w="1727" w:type="dxa"/>
          </w:tcPr>
          <w:p w:rsidR="002B5434" w:rsidRDefault="002B5434" w:rsidP="002B5434">
            <w:pPr>
              <w:pStyle w:val="TableBodyFigurealignedright"/>
            </w:pPr>
            <w:r w:rsidRPr="00D112B8">
              <w:t>0.6</w:t>
            </w:r>
          </w:p>
        </w:tc>
      </w:tr>
      <w:tr w:rsidR="002B5434" w:rsidRPr="007F4791"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 xml:space="preserve">Gas 24 </w:t>
            </w:r>
            <w:r w:rsidRPr="00193D95">
              <w:t>000 MJ</w:t>
            </w:r>
          </w:p>
        </w:tc>
        <w:tc>
          <w:tcPr>
            <w:tcW w:w="1273" w:type="dxa"/>
          </w:tcPr>
          <w:p w:rsidR="002B5434" w:rsidRPr="00415252" w:rsidRDefault="002B5434" w:rsidP="002B5434">
            <w:pPr>
              <w:pStyle w:val="TableBodyFigurealignedright"/>
            </w:pPr>
            <w:r w:rsidRPr="00415252">
              <w:t>863</w:t>
            </w:r>
          </w:p>
        </w:tc>
        <w:tc>
          <w:tcPr>
            <w:tcW w:w="1727" w:type="dxa"/>
          </w:tcPr>
          <w:p w:rsidR="002B5434" w:rsidRPr="00415252" w:rsidRDefault="002B5434" w:rsidP="002B5434">
            <w:pPr>
              <w:pStyle w:val="TableBodyFigurealignedright"/>
            </w:pPr>
            <w:r w:rsidRPr="00415252">
              <w:t>2.6</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rsidRPr="007F4791">
              <w:t>Gas 24</w:t>
            </w:r>
            <w:r>
              <w:t xml:space="preserve"> </w:t>
            </w:r>
            <w:r w:rsidRPr="007F4791">
              <w:t>000 MJ</w:t>
            </w:r>
          </w:p>
        </w:tc>
        <w:tc>
          <w:tcPr>
            <w:tcW w:w="1273" w:type="dxa"/>
          </w:tcPr>
          <w:p w:rsidR="002B5434" w:rsidRPr="00415252" w:rsidRDefault="002B5434" w:rsidP="002B5434">
            <w:pPr>
              <w:pStyle w:val="TableBodyFigurealignedright"/>
            </w:pPr>
            <w:r w:rsidRPr="00415252">
              <w:t>863</w:t>
            </w:r>
          </w:p>
        </w:tc>
        <w:tc>
          <w:tcPr>
            <w:tcW w:w="1727" w:type="dxa"/>
          </w:tcPr>
          <w:p w:rsidR="002B5434" w:rsidRPr="00415252" w:rsidRDefault="002B5434" w:rsidP="002B5434">
            <w:pPr>
              <w:pStyle w:val="TableBodyFigurealignedright"/>
            </w:pPr>
            <w:r w:rsidRPr="00415252">
              <w:t>2.6</w:t>
            </w:r>
          </w:p>
        </w:tc>
      </w:tr>
      <w:tr w:rsidR="002B5434" w:rsidRPr="007F4791"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rsidRPr="007F4791">
              <w:t>Gas 24</w:t>
            </w:r>
            <w:r>
              <w:t xml:space="preserve"> </w:t>
            </w:r>
            <w:r w:rsidRPr="007F4791">
              <w:t>000 MJ</w:t>
            </w:r>
          </w:p>
        </w:tc>
        <w:tc>
          <w:tcPr>
            <w:tcW w:w="1273" w:type="dxa"/>
          </w:tcPr>
          <w:p w:rsidR="002B5434" w:rsidRPr="00415252" w:rsidRDefault="002B5434" w:rsidP="002B5434">
            <w:pPr>
              <w:pStyle w:val="TableBodyFigurealignedright"/>
            </w:pPr>
            <w:r w:rsidRPr="00415252">
              <w:t>863</w:t>
            </w:r>
          </w:p>
        </w:tc>
        <w:tc>
          <w:tcPr>
            <w:tcW w:w="1727" w:type="dxa"/>
          </w:tcPr>
          <w:p w:rsidR="002B5434" w:rsidRPr="00415252" w:rsidRDefault="002B5434" w:rsidP="002B5434">
            <w:pPr>
              <w:pStyle w:val="TableBodyFigurealignedright"/>
            </w:pPr>
            <w:r w:rsidRPr="00415252">
              <w:t>0.6</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rsidRPr="007F4791">
              <w:t>Gas 24</w:t>
            </w:r>
            <w:r>
              <w:t xml:space="preserve"> </w:t>
            </w:r>
            <w:r w:rsidRPr="007F4791">
              <w:t>000 MJ</w:t>
            </w:r>
          </w:p>
        </w:tc>
        <w:tc>
          <w:tcPr>
            <w:tcW w:w="1273" w:type="dxa"/>
          </w:tcPr>
          <w:p w:rsidR="002B5434" w:rsidRPr="00415252" w:rsidRDefault="002B5434" w:rsidP="002B5434">
            <w:pPr>
              <w:pStyle w:val="TableBodyFigurealignedright"/>
            </w:pPr>
            <w:r w:rsidRPr="00415252">
              <w:t>863</w:t>
            </w:r>
          </w:p>
        </w:tc>
        <w:tc>
          <w:tcPr>
            <w:tcW w:w="1727" w:type="dxa"/>
          </w:tcPr>
          <w:p w:rsidR="002B5434" w:rsidRDefault="002B5434" w:rsidP="002B5434">
            <w:pPr>
              <w:pStyle w:val="TableBodyFigurealignedright"/>
            </w:pPr>
            <w:r w:rsidRPr="00415252">
              <w:t>0.2</w:t>
            </w:r>
          </w:p>
        </w:tc>
      </w:tr>
    </w:tbl>
    <w:p w:rsidR="002B5434" w:rsidRDefault="002B5434" w:rsidP="002B5434"/>
    <w:p w:rsidR="002B5434" w:rsidRDefault="002B5434" w:rsidP="002B5434">
      <w:r>
        <w:br w:type="page"/>
      </w:r>
    </w:p>
    <w:p w:rsidR="002B5434" w:rsidRDefault="002B5434" w:rsidP="001F2C30">
      <w:pPr>
        <w:pStyle w:val="Headingnumbered11"/>
      </w:pPr>
      <w:bookmarkStart w:id="108" w:name="_Toc402961428"/>
      <w:r>
        <w:lastRenderedPageBreak/>
        <w:t>Victoria</w:t>
      </w:r>
      <w:bookmarkEnd w:id="108"/>
    </w:p>
    <w:p w:rsidR="002B5434" w:rsidRDefault="002B5434" w:rsidP="002B5434">
      <w:r>
        <w:t>There are five electricity distribution zones in Victoria—Powercor, United Energy, CitiPower, Jemena and AusNet Services. Sixteen retailers had offers generally available to electricity customers in Victoria.</w:t>
      </w:r>
    </w:p>
    <w:p w:rsidR="002B5434" w:rsidRDefault="002B5434" w:rsidP="002B5434">
      <w:r>
        <w:t>Households in AusNet Services’ distribution zone—which covers most of the eastern part of Victoria, including some of the eastern suburbs in Melbourne—had the highest electricity bills for the median market offer ($1654) (figure 3.9). AusNet Services also had the largest range ($538) between the cheapest offer ($1420) and the most expensive offer ($1958).</w:t>
      </w:r>
    </w:p>
    <w:p w:rsidR="006D58B0" w:rsidRPr="006D58B0" w:rsidRDefault="006D58B0" w:rsidP="006D58B0">
      <w:r w:rsidRPr="006D58B0">
        <w:t>AusNet Services' zone predominantly covers rural Victoria, where a greater amount of network infrastructure is required to service geographically remote regions. These costs are typically shared over fewer customers, which is reflected in the higher charges. Jemena and Powercor were the next two most expensive zones with annual bills for the median market offer of $1552 and $1526 respectively.</w:t>
      </w:r>
    </w:p>
    <w:p w:rsidR="002B5434" w:rsidRDefault="002B5434" w:rsidP="002B5434">
      <w:r>
        <w:t>Citipower's distribution zone, which covers inner Melbourne, had the cheapest annual electricity bills ($1185), and the narrowest range ($407). In all zones, the median market offer was much cheaper than the median standing offer (by at least $220) and in most instances the standing offer was one of the most expensive. Customers on standing offers are therefore likely to save money by switching to a market offer that best meets their needs.</w:t>
      </w:r>
    </w:p>
    <w:p w:rsidR="002B5434" w:rsidRDefault="002B5434" w:rsidP="002B5434">
      <w:r>
        <w:t xml:space="preserve">Compared to all other states and territories, the range in annual electricity bills, from cheapest to most expensive, was the largest in Victoria. This likely reflects that Victoria had the greatest number of electricity offers available to customers with around 45 electricity offers in each distribution zone in June 2014—much higher than any other jurisdiction. </w:t>
      </w:r>
    </w:p>
    <w:p w:rsidR="002B5434" w:rsidRDefault="002B5434" w:rsidP="002B5434">
      <w:pPr>
        <w:pStyle w:val="ChartHeading"/>
        <w:keepNext/>
        <w:rPr>
          <w:sz w:val="22"/>
          <w:szCs w:val="22"/>
        </w:rPr>
      </w:pPr>
      <w:r w:rsidRPr="006F3C6C">
        <w:rPr>
          <w:sz w:val="22"/>
          <w:szCs w:val="22"/>
        </w:rPr>
        <w:lastRenderedPageBreak/>
        <w:t>Figure 3.9: Range of generally available electricity offers by distribution zone (4700 kWh)—June 2014</w:t>
      </w:r>
    </w:p>
    <w:p w:rsidR="009B2438" w:rsidRPr="009B2438" w:rsidRDefault="009B2438" w:rsidP="009B2438">
      <w:r>
        <w:rPr>
          <w:noProof/>
          <w:lang w:eastAsia="en-AU"/>
        </w:rPr>
        <w:drawing>
          <wp:inline distT="0" distB="0" distL="0" distR="0" wp14:anchorId="7E388008">
            <wp:extent cx="5731200" cy="4348800"/>
            <wp:effectExtent l="0" t="0" r="3175" b="0"/>
            <wp:docPr id="50" name="Picture 50" descr="Households of AusNet Services had the highest annual electricity bill for the median market offer at $1654. AusNet Services also had the largest range between the cheapest offer ($1420) and the most expensive offer ($1958). Annual bills were lower in the Citipower, United Energy, Jemena and Powercor distribution zones and there was also a narrower range between the cheapest and most expensive energy bills. The Citipower distribution zone had the cheapest annual electricity bills ($1185), and the narrowest range ($407). In all zones, the median market offer was cheaper than the median standing offer (by at least $224)."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200" cy="4348800"/>
                    </a:xfrm>
                    <a:prstGeom prst="rect">
                      <a:avLst/>
                    </a:prstGeom>
                    <a:noFill/>
                  </pic:spPr>
                </pic:pic>
              </a:graphicData>
            </a:graphic>
          </wp:inline>
        </w:drawing>
      </w:r>
    </w:p>
    <w:p w:rsidR="002B5434" w:rsidRDefault="002B5434" w:rsidP="002B5434">
      <w:r>
        <w:t>There are eight gas distribution pricing zones—Multinet Main 1, Multinet Main 2, AusNet</w:t>
      </w:r>
      <w:r w:rsidR="00943E0F">
        <w:t xml:space="preserve"> Services</w:t>
      </w:r>
      <w:r>
        <w:t xml:space="preserve"> Central 1, AusNet </w:t>
      </w:r>
      <w:r w:rsidR="00943E0F">
        <w:t xml:space="preserve">Services </w:t>
      </w:r>
      <w:r>
        <w:t xml:space="preserve">Central 2, AusNet </w:t>
      </w:r>
      <w:r w:rsidR="00943E0F">
        <w:t xml:space="preserve">Services </w:t>
      </w:r>
      <w:r>
        <w:t xml:space="preserve">West, </w:t>
      </w:r>
      <w:r w:rsidR="00820170">
        <w:t xml:space="preserve">AGS </w:t>
      </w:r>
      <w:r>
        <w:t xml:space="preserve">Central 1, </w:t>
      </w:r>
      <w:r w:rsidR="00820170">
        <w:t>AGS</w:t>
      </w:r>
      <w:r>
        <w:t xml:space="preserve"> Central 2 and </w:t>
      </w:r>
      <w:r w:rsidR="00820170">
        <w:t>AGS</w:t>
      </w:r>
      <w:r>
        <w:t xml:space="preserve"> North. Six retailers had offers generally available to gas customers in Victoria.</w:t>
      </w:r>
    </w:p>
    <w:p w:rsidR="00C55200" w:rsidRDefault="00C55200" w:rsidP="002B5434">
      <w:r>
        <w:t xml:space="preserve">The most expensive gas bill was the standing offer in the </w:t>
      </w:r>
      <w:r w:rsidR="00820170">
        <w:t>AGS</w:t>
      </w:r>
      <w:r>
        <w:t xml:space="preserve"> North distribution zone ($1459) and the cheapes</w:t>
      </w:r>
      <w:r w:rsidR="00CE32E9">
        <w:t>t was a market offer in the Multi</w:t>
      </w:r>
      <w:r>
        <w:t xml:space="preserve">net Main 2 distribution zone ($1080). Victoria also had the widest range between the most expensive and the cheapest gas bills when compared to all other jurisdictions. This is due to the greater number of gas contracts available and the higher gas consumption in Victoria. The gas distribution zone with the broadest range was </w:t>
      </w:r>
      <w:r w:rsidR="00820170">
        <w:t>AGS</w:t>
      </w:r>
      <w:r>
        <w:t xml:space="preserve"> Central 2 ($285) and the narrowest was AusNet </w:t>
      </w:r>
      <w:r w:rsidR="00943E0F">
        <w:t xml:space="preserve">Services </w:t>
      </w:r>
      <w:r>
        <w:t>West ($162) (figure 3.10).</w:t>
      </w:r>
    </w:p>
    <w:p w:rsidR="002B5434" w:rsidRDefault="002B5434" w:rsidP="002B5434">
      <w:r>
        <w:t>Similar to electricity, the median market gas offer was cheaper than the median standing offer in all zones and in all but one zone the median standing offer was the most expensive. Customers still on standing offers are likely to be able to save money by switching to a market offer that suits their needs. Customers in Victoria can compare electricity offers using the My Power Planner website (</w:t>
      </w:r>
      <w:hyperlink r:id="rId45" w:history="1">
        <w:r w:rsidRPr="001B1BF5">
          <w:rPr>
            <w:rStyle w:val="Hyperlink"/>
          </w:rPr>
          <w:t>https://mpp.switchon.vic.gov.au</w:t>
        </w:r>
      </w:hyperlink>
      <w:r>
        <w:t>) and gas offers using the Your Choice website (</w:t>
      </w:r>
      <w:hyperlink r:id="rId46" w:history="1">
        <w:r w:rsidRPr="001B1BF5">
          <w:rPr>
            <w:rStyle w:val="Hyperlink"/>
          </w:rPr>
          <w:t>www.yourchoice.vic.gov.au</w:t>
        </w:r>
      </w:hyperlink>
      <w:r>
        <w:t>).</w:t>
      </w:r>
    </w:p>
    <w:p w:rsidR="002B5434" w:rsidRDefault="002B5434" w:rsidP="002B5434">
      <w:pPr>
        <w:pStyle w:val="ChartHeading"/>
        <w:keepNext/>
        <w:rPr>
          <w:sz w:val="22"/>
          <w:szCs w:val="22"/>
        </w:rPr>
      </w:pPr>
      <w:r w:rsidRPr="006F3C6C">
        <w:rPr>
          <w:sz w:val="22"/>
          <w:szCs w:val="22"/>
        </w:rPr>
        <w:lastRenderedPageBreak/>
        <w:t>Figure 3.10: Range of generally available gas offers by distribution zone (63 000 MJ)—June 2014</w:t>
      </w:r>
    </w:p>
    <w:p w:rsidR="002B5434" w:rsidRDefault="009B2438" w:rsidP="002B5434">
      <w:r>
        <w:rPr>
          <w:noProof/>
          <w:lang w:eastAsia="en-AU"/>
        </w:rPr>
        <w:drawing>
          <wp:inline distT="0" distB="0" distL="0" distR="0" wp14:anchorId="7BD25154">
            <wp:extent cx="5731200" cy="4345200"/>
            <wp:effectExtent l="0" t="0" r="3175" b="0"/>
            <wp:docPr id="51" name="Picture 51" descr="The most expensive annual gas bill was the standing offer in the Australian Gas Services North distribution zone ($1459). The cheapest offer was in the Mulitnet Main 2 distribution zone ($1080). The gas distribution zone with the broadest range was Australian Gas Services Central 2 ($285) and the narrowest was AusNet Services West ($162). The median market gas offer was cheaper than the median standing offer in all zones."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200" cy="4345200"/>
                    </a:xfrm>
                    <a:prstGeom prst="rect">
                      <a:avLst/>
                    </a:prstGeom>
                    <a:noFill/>
                  </pic:spPr>
                </pic:pic>
              </a:graphicData>
            </a:graphic>
          </wp:inline>
        </w:drawing>
      </w:r>
    </w:p>
    <w:p w:rsidR="002B5434" w:rsidRDefault="002B5434" w:rsidP="002B5434">
      <w:pPr>
        <w:pStyle w:val="Heading3"/>
      </w:pPr>
      <w:bookmarkStart w:id="109" w:name="_Toc402959271"/>
      <w:bookmarkStart w:id="110" w:name="_Toc402961429"/>
      <w:r>
        <w:t>Electricity and gas bills as a percentage of income</w:t>
      </w:r>
      <w:bookmarkEnd w:id="109"/>
      <w:bookmarkEnd w:id="110"/>
    </w:p>
    <w:p w:rsidR="002B5434" w:rsidRDefault="002B5434" w:rsidP="002B5434">
      <w:r>
        <w:t>The Victorian Government offers electricity and gas concessions to eligible households.</w:t>
      </w:r>
      <w:r>
        <w:rPr>
          <w:rStyle w:val="FootnoteReference"/>
        </w:rPr>
        <w:footnoteReference w:id="43"/>
      </w:r>
      <w:r>
        <w:t xml:space="preserve"> The Annual Electricity Concession</w:t>
      </w:r>
      <w:r>
        <w:rPr>
          <w:rStyle w:val="FootnoteReference"/>
        </w:rPr>
        <w:footnoteReference w:id="44"/>
      </w:r>
      <w:r>
        <w:t xml:space="preserve"> provides a 17.5 per cent discount off electricity bills. The discount does not apply to the first $171.60 or automatically to any value above $2763. Concession households with electricity bills of more than $2763 can apply for the Excess Electricity Concession to continue to receive the 17.5 per cent concession on electricity consumed above this amount.</w:t>
      </w:r>
    </w:p>
    <w:p w:rsidR="002B5434" w:rsidRDefault="002B5434" w:rsidP="002B5434">
      <w:r w:rsidRPr="00A50F78">
        <w:t>The Winter Gas Concession</w:t>
      </w:r>
      <w:r>
        <w:rPr>
          <w:rStyle w:val="FootnoteReference"/>
        </w:rPr>
        <w:footnoteReference w:id="45"/>
      </w:r>
      <w:r w:rsidRPr="00A50F78">
        <w:t xml:space="preserve"> also provides a 17.5 per cent discount off gas bills, but only applies to gas services in the six months between 1 May and 31 October each year. It does not apply to the first $62.40 or </w:t>
      </w:r>
      <w:r>
        <w:t xml:space="preserve">automatically to </w:t>
      </w:r>
      <w:r w:rsidRPr="00A50F78">
        <w:t>any value a</w:t>
      </w:r>
      <w:r>
        <w:t>bove</w:t>
      </w:r>
      <w:r w:rsidRPr="00A50F78">
        <w:t xml:space="preserve"> $1462. Concession households with gas bills of more than $1462 during the winter period can apply for the Excess Gas Concession to continue to receive the 17.5 per cent concession on bills in excess of $1462. Figure 3.11 shows the impact of these concessions on annual electricity and gas bills.</w:t>
      </w:r>
    </w:p>
    <w:p w:rsidR="002B5434" w:rsidRPr="006F3C6C" w:rsidRDefault="002B5434" w:rsidP="002B5434">
      <w:pPr>
        <w:pStyle w:val="ChartHeading"/>
        <w:keepNext/>
        <w:rPr>
          <w:sz w:val="22"/>
          <w:szCs w:val="22"/>
        </w:rPr>
      </w:pPr>
      <w:r w:rsidRPr="006F3C6C">
        <w:rPr>
          <w:sz w:val="22"/>
          <w:szCs w:val="22"/>
        </w:rPr>
        <w:lastRenderedPageBreak/>
        <w:t>Figure 3.11: Annual electricity and gas bills, and as a share of disposable income for a benchmark low income household (4700 kWh and 63 000 MJ)</w:t>
      </w:r>
    </w:p>
    <w:p w:rsidR="002B5434" w:rsidRDefault="009B2438" w:rsidP="002B5434">
      <w:r>
        <w:rPr>
          <w:noProof/>
          <w:lang w:eastAsia="en-AU"/>
        </w:rPr>
        <w:drawing>
          <wp:inline distT="0" distB="0" distL="0" distR="0" wp14:anchorId="55ACE0A8">
            <wp:extent cx="5731200" cy="3794400"/>
            <wp:effectExtent l="0" t="0" r="3175" b="0"/>
            <wp:docPr id="52" name="Picture 52" descr="The annual electricity bill for a benchmark low income household on the median market offer was $1515, or $1280 with a concession applied. The electricity bill for the median standing offer was higher, at $1784 or $1502 if the household received a concession. As a percentage of annual disposable income, a benchmark low income household on the median market offer spent 3.8 per cent of its income on electricity bills if it had a concession or 4.5 per cent without the concession. If the household was on the median standing offer, this was 4.5 per cent with a concession (5.3 per cent without a concession).&#10;The annual gas bill for a household on the median market offer, without a concession, was $1256. This was lower than the bill for the median standing offer ($1407). For a benchmark low income household in receipt of the concession and on the market offer, this represented 3.4 per cent of its annual disposable income (or 3.7 per cent without a concession). For a benchmark low income household on the standing offer, this rose to 3.8 per cent of annual disposable income (or 4.2 per cent if it did not receive a concession).&#10;"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200" cy="3794400"/>
                    </a:xfrm>
                    <a:prstGeom prst="rect">
                      <a:avLst/>
                    </a:prstGeom>
                    <a:noFill/>
                  </pic:spPr>
                </pic:pic>
              </a:graphicData>
            </a:graphic>
          </wp:inline>
        </w:drawing>
      </w:r>
    </w:p>
    <w:p w:rsidR="002B5434" w:rsidRDefault="002B5434" w:rsidP="002B5434">
      <w:r>
        <w:t>The electricity bill for a household on the median market offer was $1515, or $1280 with a concession applied. Electricity bills for the standing offer were higher, at $1784 or $1502 if the household received a concession. When considered as a proportion of income, a low income household with a concession on the median market offer spent 3.8 per cent of its disposable income on electricity bills (4.5 per cent without a concession). On the median standing offer, this bill would comprise 4.5 per cent of a benchmark low income household’s income when receiving a concession, or 5.3 per cent without a concession (figure 3.11).</w:t>
      </w:r>
    </w:p>
    <w:p w:rsidR="002B5434" w:rsidRDefault="002B5434" w:rsidP="002B5434">
      <w:r>
        <w:t>Annual electricity bills for the median market offer increased by 0.7 per cent in 2014 when compared to 2013, which was less than CPI (at 2.8 per cent). Bills for the standing offer, however, increased by 3 per cent over the same period. Electricity bills as a proportion of income for a benchmark low income household fell slightly, from 4.6 per cent in 2013 to 4.5 per cent in 2014.</w:t>
      </w:r>
    </w:p>
    <w:p w:rsidR="002B5434" w:rsidRDefault="002B5434" w:rsidP="002B5434">
      <w:r>
        <w:t>Annual gas bills for the median market offer were $1256, or $1152 with a concession (figure 3.11). This was lower than the bill for the median standing offer of $1407, or $1289 with a concession applied. For a low income household with a concession on the market offer, this represents 3.4 per cent of its disposable income (or 3.7 per cent without a concession). If the benchmark low income household was on the standing offer, this would comprise 3.8 per cent of annual disposable income (or 4.2 per cent without a concession).</w:t>
      </w:r>
    </w:p>
    <w:p w:rsidR="002B5434" w:rsidRDefault="002B5434" w:rsidP="002B5434">
      <w:r>
        <w:t xml:space="preserve">Annual gas bills for the median market offer rose by 5.6 per cent from June 2013 to June 2014. Gas bills, as a proportion of income for a benchmark low income household, remained similar in 2014 when compared to 2013 (around 3.7 per cent, or 3.4 per cent with a concession). </w:t>
      </w:r>
    </w:p>
    <w:p w:rsidR="002B5434" w:rsidRDefault="002B5434" w:rsidP="002B5434">
      <w:r>
        <w:lastRenderedPageBreak/>
        <w:t>A benchmark middle income household consuming a typical amount of electricity—5400 kWh in Victoria—spent 1.2 per cent of its disposable income on electricity bills. For a high income household this equates to 0.5 per cent of its income. For a middle income household consuming the same amount of gas, this bill represents 0.9 per cent of its income, and 0.4 per cent for a high income household (table 3.5).</w:t>
      </w:r>
    </w:p>
    <w:p w:rsidR="002B5434" w:rsidRPr="006F3C6C" w:rsidRDefault="002B5434" w:rsidP="002B5434">
      <w:pPr>
        <w:pStyle w:val="ChartHeading"/>
        <w:keepNext/>
        <w:rPr>
          <w:sz w:val="22"/>
          <w:szCs w:val="22"/>
        </w:rPr>
      </w:pPr>
      <w:r w:rsidRPr="006F3C6C">
        <w:rPr>
          <w:sz w:val="22"/>
          <w:szCs w:val="22"/>
        </w:rPr>
        <w:t>Table 3.5: Summary of annual electricity and gas bills (for the median market offer) and 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4700 kWh</w:t>
            </w:r>
          </w:p>
        </w:tc>
        <w:tc>
          <w:tcPr>
            <w:tcW w:w="1273" w:type="dxa"/>
          </w:tcPr>
          <w:p w:rsidR="002B5434" w:rsidRPr="00A17AA2" w:rsidRDefault="002B5434" w:rsidP="002B5434">
            <w:pPr>
              <w:pStyle w:val="TableBodyFigurealignedright"/>
            </w:pPr>
            <w:r w:rsidRPr="00A17AA2">
              <w:t>1280</w:t>
            </w:r>
          </w:p>
        </w:tc>
        <w:tc>
          <w:tcPr>
            <w:tcW w:w="1727" w:type="dxa"/>
          </w:tcPr>
          <w:p w:rsidR="002B5434" w:rsidRPr="00A17AA2" w:rsidRDefault="002B5434" w:rsidP="002B5434">
            <w:pPr>
              <w:pStyle w:val="TableBodyFigurealignedright"/>
            </w:pPr>
            <w:r w:rsidRPr="00A17AA2">
              <w:t>3.8</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Electricity 47</w:t>
            </w:r>
            <w:r w:rsidRPr="00193D95">
              <w:t>00 kWh</w:t>
            </w:r>
          </w:p>
        </w:tc>
        <w:tc>
          <w:tcPr>
            <w:tcW w:w="1273" w:type="dxa"/>
          </w:tcPr>
          <w:p w:rsidR="002B5434" w:rsidRPr="00A17AA2" w:rsidRDefault="002B5434" w:rsidP="002B5434">
            <w:pPr>
              <w:pStyle w:val="TableBodyFigurealignedright"/>
            </w:pPr>
            <w:r w:rsidRPr="00A17AA2">
              <w:t>1515</w:t>
            </w:r>
          </w:p>
        </w:tc>
        <w:tc>
          <w:tcPr>
            <w:tcW w:w="1727" w:type="dxa"/>
          </w:tcPr>
          <w:p w:rsidR="002B5434" w:rsidRPr="00A17AA2" w:rsidRDefault="002B5434" w:rsidP="002B5434">
            <w:pPr>
              <w:pStyle w:val="TableBodyFigurealignedright"/>
            </w:pPr>
            <w:r w:rsidRPr="00A17AA2">
              <w:t>4.5</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Electricity 54</w:t>
            </w:r>
            <w:r w:rsidRPr="00193D95">
              <w:t>00 kWh</w:t>
            </w:r>
          </w:p>
        </w:tc>
        <w:tc>
          <w:tcPr>
            <w:tcW w:w="1273" w:type="dxa"/>
          </w:tcPr>
          <w:p w:rsidR="002B5434" w:rsidRPr="00A17AA2" w:rsidRDefault="002B5434" w:rsidP="002B5434">
            <w:pPr>
              <w:pStyle w:val="TableBodyFigurealignedright"/>
            </w:pPr>
            <w:r w:rsidRPr="00A17AA2">
              <w:t>1689</w:t>
            </w:r>
          </w:p>
        </w:tc>
        <w:tc>
          <w:tcPr>
            <w:tcW w:w="1727" w:type="dxa"/>
          </w:tcPr>
          <w:p w:rsidR="002B5434" w:rsidRPr="00A17AA2" w:rsidRDefault="002B5434" w:rsidP="002B5434">
            <w:pPr>
              <w:pStyle w:val="TableBodyFigurealignedright"/>
            </w:pPr>
            <w:r w:rsidRPr="00A17AA2">
              <w:t>1.2</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Electricity 54</w:t>
            </w:r>
            <w:r w:rsidRPr="00193D95">
              <w:t>00 kWh</w:t>
            </w:r>
          </w:p>
        </w:tc>
        <w:tc>
          <w:tcPr>
            <w:tcW w:w="1273" w:type="dxa"/>
          </w:tcPr>
          <w:p w:rsidR="002B5434" w:rsidRPr="00A17AA2" w:rsidRDefault="002B5434" w:rsidP="002B5434">
            <w:pPr>
              <w:pStyle w:val="TableBodyFigurealignedright"/>
            </w:pPr>
            <w:r w:rsidRPr="00A17AA2">
              <w:t>1689</w:t>
            </w:r>
          </w:p>
        </w:tc>
        <w:tc>
          <w:tcPr>
            <w:tcW w:w="1727" w:type="dxa"/>
          </w:tcPr>
          <w:p w:rsidR="002B5434" w:rsidRDefault="002B5434" w:rsidP="002B5434">
            <w:pPr>
              <w:pStyle w:val="TableBodyFigurealignedright"/>
            </w:pPr>
            <w:r w:rsidRPr="00A17AA2">
              <w:t>0.5</w:t>
            </w:r>
          </w:p>
        </w:tc>
      </w:tr>
      <w:tr w:rsidR="002B5434" w:rsidRPr="007F4791"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 xml:space="preserve">Gas 63 </w:t>
            </w:r>
            <w:r w:rsidRPr="00193D95">
              <w:t>000 MJ</w:t>
            </w:r>
          </w:p>
        </w:tc>
        <w:tc>
          <w:tcPr>
            <w:tcW w:w="1273" w:type="dxa"/>
          </w:tcPr>
          <w:p w:rsidR="002B5434" w:rsidRPr="006A7CEA" w:rsidRDefault="002B5434" w:rsidP="002B5434">
            <w:pPr>
              <w:pStyle w:val="TableBodyFigurealignedright"/>
            </w:pPr>
            <w:r w:rsidRPr="006A7CEA">
              <w:t>1152</w:t>
            </w:r>
          </w:p>
        </w:tc>
        <w:tc>
          <w:tcPr>
            <w:tcW w:w="1727" w:type="dxa"/>
          </w:tcPr>
          <w:p w:rsidR="002B5434" w:rsidRPr="006A7CEA" w:rsidRDefault="002B5434" w:rsidP="002B5434">
            <w:pPr>
              <w:pStyle w:val="TableBodyFigurealignedright"/>
            </w:pPr>
            <w:r w:rsidRPr="006A7CEA">
              <w:t>3.4</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rsidRPr="007F4791">
              <w:t>Gas 63</w:t>
            </w:r>
            <w:r>
              <w:t xml:space="preserve"> </w:t>
            </w:r>
            <w:r w:rsidRPr="007F4791">
              <w:t>000 MJ</w:t>
            </w:r>
          </w:p>
        </w:tc>
        <w:tc>
          <w:tcPr>
            <w:tcW w:w="1273" w:type="dxa"/>
          </w:tcPr>
          <w:p w:rsidR="002B5434" w:rsidRPr="006A7CEA" w:rsidRDefault="002B5434" w:rsidP="002B5434">
            <w:pPr>
              <w:pStyle w:val="TableBodyFigurealignedright"/>
            </w:pPr>
            <w:r w:rsidRPr="006A7CEA">
              <w:t>1256</w:t>
            </w:r>
          </w:p>
        </w:tc>
        <w:tc>
          <w:tcPr>
            <w:tcW w:w="1727" w:type="dxa"/>
          </w:tcPr>
          <w:p w:rsidR="002B5434" w:rsidRPr="006A7CEA" w:rsidRDefault="002B5434" w:rsidP="002B5434">
            <w:pPr>
              <w:pStyle w:val="TableBodyFigurealignedright"/>
            </w:pPr>
            <w:r w:rsidRPr="006A7CEA">
              <w:t>3.7</w:t>
            </w:r>
          </w:p>
        </w:tc>
      </w:tr>
      <w:tr w:rsidR="002B5434" w:rsidRPr="007F4791"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rsidRPr="007F4791">
              <w:t>Gas 63</w:t>
            </w:r>
            <w:r>
              <w:t xml:space="preserve"> </w:t>
            </w:r>
            <w:r w:rsidRPr="007F4791">
              <w:t>000 MJ</w:t>
            </w:r>
          </w:p>
        </w:tc>
        <w:tc>
          <w:tcPr>
            <w:tcW w:w="1273" w:type="dxa"/>
          </w:tcPr>
          <w:p w:rsidR="002B5434" w:rsidRPr="006A7CEA" w:rsidRDefault="002B5434" w:rsidP="002B5434">
            <w:pPr>
              <w:pStyle w:val="TableBodyFigurealignedright"/>
            </w:pPr>
            <w:r w:rsidRPr="006A7CEA">
              <w:t>1256</w:t>
            </w:r>
          </w:p>
        </w:tc>
        <w:tc>
          <w:tcPr>
            <w:tcW w:w="1727" w:type="dxa"/>
          </w:tcPr>
          <w:p w:rsidR="002B5434" w:rsidRPr="006A7CEA" w:rsidRDefault="002B5434" w:rsidP="002B5434">
            <w:pPr>
              <w:pStyle w:val="TableBodyFigurealignedright"/>
            </w:pPr>
            <w:r w:rsidRPr="006A7CEA">
              <w:t>0.9</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rsidRPr="007F4791">
              <w:t>Gas 63</w:t>
            </w:r>
            <w:r>
              <w:t xml:space="preserve"> </w:t>
            </w:r>
            <w:r w:rsidRPr="007F4791">
              <w:t>000 MJ</w:t>
            </w:r>
          </w:p>
        </w:tc>
        <w:tc>
          <w:tcPr>
            <w:tcW w:w="1273" w:type="dxa"/>
          </w:tcPr>
          <w:p w:rsidR="002B5434" w:rsidRPr="006A7CEA" w:rsidRDefault="002B5434" w:rsidP="002B5434">
            <w:pPr>
              <w:pStyle w:val="TableBodyFigurealignedright"/>
            </w:pPr>
            <w:r w:rsidRPr="006A7CEA">
              <w:t>1256</w:t>
            </w:r>
          </w:p>
        </w:tc>
        <w:tc>
          <w:tcPr>
            <w:tcW w:w="1727" w:type="dxa"/>
          </w:tcPr>
          <w:p w:rsidR="002B5434" w:rsidRDefault="002B5434" w:rsidP="002B5434">
            <w:pPr>
              <w:pStyle w:val="TableBodyFigurealignedright"/>
            </w:pPr>
            <w:r w:rsidRPr="006A7CEA">
              <w:t>0.4</w:t>
            </w:r>
          </w:p>
        </w:tc>
      </w:tr>
    </w:tbl>
    <w:p w:rsidR="002B5434" w:rsidRDefault="002B5434" w:rsidP="002B5434"/>
    <w:p w:rsidR="002B5434" w:rsidRDefault="002B5434" w:rsidP="002B5434">
      <w:r>
        <w:br w:type="page"/>
      </w:r>
    </w:p>
    <w:p w:rsidR="002B5434" w:rsidRDefault="002B5434" w:rsidP="001F2C30">
      <w:pPr>
        <w:pStyle w:val="Headingnumbered11"/>
      </w:pPr>
      <w:bookmarkStart w:id="111" w:name="_Toc402961430"/>
      <w:r>
        <w:lastRenderedPageBreak/>
        <w:t>South Australia</w:t>
      </w:r>
      <w:bookmarkEnd w:id="111"/>
    </w:p>
    <w:p w:rsidR="002B5434" w:rsidRDefault="002B5434" w:rsidP="002B5434">
      <w:r>
        <w:t xml:space="preserve">South Australia only has one electricity distribution zone (SA Power Networks). Fourteen retailers had offers generally available to electricity customers in South Australia. Figure 3.12 shows the range in generally available electricity offers. </w:t>
      </w:r>
    </w:p>
    <w:p w:rsidR="002B5434" w:rsidRDefault="002B5434" w:rsidP="002B5434">
      <w:r>
        <w:t xml:space="preserve">The most expensive market offer had an annual bill of $2169 and the cheapest was $1641. This range ($529) is similar to that seen in Victoria and is much wider than in 2013 ($333) (figure 3.12). This is due to the cheapest offer decreasing by around $100 this year and the most expensive offer increasing by around $100. While not the most expensive offer, the median standing offer ($2023) was 8 per cent higher than the median market offer ($1866). </w:t>
      </w:r>
    </w:p>
    <w:p w:rsidR="002B5434" w:rsidRDefault="002B5434" w:rsidP="002B5434">
      <w:r w:rsidRPr="00AF30D0">
        <w:t>The South Australian Government’s decision to deregulate retail electricity prices took effect on 1 February 2013. Alongside this decision, AGL agreed that it would decrease its standing offer prices by 9.1 per cent (when compared to its December 2012 standing contract rates) effective from 1 January 2013 for customers on this offer.</w:t>
      </w:r>
      <w:r>
        <w:rPr>
          <w:rStyle w:val="FootnoteReference"/>
        </w:rPr>
        <w:footnoteReference w:id="46"/>
      </w:r>
      <w:r w:rsidRPr="00AF30D0">
        <w:t xml:space="preserve"> These rates will be fixed for two years—until 31 December 2014—except for changes to network charges, carbon, renewable and energy efficiency scheme costs. </w:t>
      </w:r>
    </w:p>
    <w:p w:rsidR="002B5434" w:rsidRDefault="002B5434" w:rsidP="002B5434">
      <w:r>
        <w:t xml:space="preserve">At 30 June 2014, around 84 per cent of residential customers in South Australia were on market contracts, a relatively high proportion when compared to other jurisdictions. </w:t>
      </w:r>
    </w:p>
    <w:p w:rsidR="002B5434" w:rsidRDefault="002B5434" w:rsidP="002B5434">
      <w:pPr>
        <w:pStyle w:val="ChartHeading"/>
        <w:keepNext/>
        <w:rPr>
          <w:sz w:val="22"/>
          <w:szCs w:val="22"/>
        </w:rPr>
      </w:pPr>
      <w:r w:rsidRPr="006F3C6C">
        <w:rPr>
          <w:sz w:val="22"/>
          <w:szCs w:val="22"/>
        </w:rPr>
        <w:lastRenderedPageBreak/>
        <w:t>Figure 3.12: Range of generally available electricity offers by distribution zone (5000 kWh)—June 2014</w:t>
      </w:r>
    </w:p>
    <w:p w:rsidR="009B2438" w:rsidRPr="009B2438" w:rsidRDefault="009B2438" w:rsidP="009B2438">
      <w:r>
        <w:rPr>
          <w:noProof/>
          <w:lang w:eastAsia="en-AU"/>
        </w:rPr>
        <w:drawing>
          <wp:inline distT="0" distB="0" distL="0" distR="0" wp14:anchorId="363FF99F">
            <wp:extent cx="5731200" cy="4345200"/>
            <wp:effectExtent l="0" t="0" r="3175" b="0"/>
            <wp:docPr id="53" name="Picture 53" descr="In the SA Power Networks distribution zone – the only zone – the range between the cheapest offer ($1641) and the most expensive offer ($2169) was $528. The median standing offer ($2023) was higher than the median market offer ($1866)."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200" cy="4345200"/>
                    </a:xfrm>
                    <a:prstGeom prst="rect">
                      <a:avLst/>
                    </a:prstGeom>
                    <a:noFill/>
                  </pic:spPr>
                </pic:pic>
              </a:graphicData>
            </a:graphic>
          </wp:inline>
        </w:drawing>
      </w:r>
    </w:p>
    <w:p w:rsidR="002B5434" w:rsidRDefault="00820170" w:rsidP="002B5434">
      <w:r>
        <w:t>AGS</w:t>
      </w:r>
      <w:r w:rsidR="002B5434">
        <w:t xml:space="preserve"> has five gas pricing zones in South Australia: Metro Area, Mount Gambier, Port Pirie, Riverland and Whyalla. Four retailers had offers generally available to gas customers.</w:t>
      </w:r>
    </w:p>
    <w:p w:rsidR="002B5434" w:rsidRDefault="00C55200" w:rsidP="002B5434">
      <w:r w:rsidRPr="00C55200">
        <w:t>Among the pricing zones, the median offer charges and range in the Metro and Riverland zones were similar. Mount Gambier, Port Pirie and Whyal</w:t>
      </w:r>
      <w:r w:rsidR="0039772F">
        <w:t>l</w:t>
      </w:r>
      <w:r w:rsidRPr="00C55200">
        <w:t>a were also broadly consistent in charges and range (figure 3.13). The range in charges of offers was greater in Metro and Riverland ($196) than the other three zones—from the cheapest (annual bill of around $940) and the most expensive offer (around $1130). The range in the other three zones was smaller, around $86, between the cheapest (around $950) and the most expensive offer (around $1035).</w:t>
      </w:r>
    </w:p>
    <w:p w:rsidR="002B5434" w:rsidRDefault="002B5434" w:rsidP="002B5434">
      <w:r>
        <w:t xml:space="preserve">At June 2014, the median standing offer was </w:t>
      </w:r>
      <w:r w:rsidR="006D6101">
        <w:t>3</w:t>
      </w:r>
      <w:r>
        <w:t xml:space="preserve"> to </w:t>
      </w:r>
      <w:r w:rsidR="006D6101">
        <w:t>6</w:t>
      </w:r>
      <w:r>
        <w:t xml:space="preserve"> per cent higher than the median market offer depending on the pricing zone, while in 2013 the standing offer was only </w:t>
      </w:r>
      <w:r w:rsidR="006D6101">
        <w:t>1 to 2</w:t>
      </w:r>
      <w:r>
        <w:t xml:space="preserve"> per cent higher. This is likely due to an increase in the number of standing offers available and the increase in the price range of available offers.</w:t>
      </w:r>
    </w:p>
    <w:p w:rsidR="002B5434" w:rsidRDefault="002B5434" w:rsidP="002B5434">
      <w:r>
        <w:t xml:space="preserve">At 30 June 2014, around 84 per cent of residential gas customers in South Australia were on market contracts. Similar to electricity, this is a relatively high proportion when compared to other jurisdictions. </w:t>
      </w:r>
    </w:p>
    <w:p w:rsidR="002B5434" w:rsidRDefault="002B5434" w:rsidP="002B5434">
      <w:pPr>
        <w:pStyle w:val="ChartHeading"/>
        <w:keepNext/>
        <w:rPr>
          <w:sz w:val="22"/>
          <w:szCs w:val="22"/>
        </w:rPr>
      </w:pPr>
      <w:r w:rsidRPr="006F3C6C">
        <w:rPr>
          <w:sz w:val="22"/>
          <w:szCs w:val="22"/>
        </w:rPr>
        <w:lastRenderedPageBreak/>
        <w:t>Figure 3.13: Range of generally available gas offers by distribution zone (21 000 MJ)—June 2014</w:t>
      </w:r>
    </w:p>
    <w:p w:rsidR="002B5434" w:rsidRDefault="009B2438" w:rsidP="002B5434">
      <w:r>
        <w:rPr>
          <w:noProof/>
          <w:lang w:eastAsia="en-AU"/>
        </w:rPr>
        <w:drawing>
          <wp:inline distT="0" distB="0" distL="0" distR="0" wp14:anchorId="43763298">
            <wp:extent cx="5731200" cy="4345200"/>
            <wp:effectExtent l="0" t="0" r="3175" b="0"/>
            <wp:docPr id="54" name="Picture 54" descr="There was little variation in prices both within and across the five gas pricing zones in South Australia. The most expensive was around $1134 and the cheapest offer was around $939. The difference between median market offers and median standing offers was between $30 and $60 per year."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200" cy="4345200"/>
                    </a:xfrm>
                    <a:prstGeom prst="rect">
                      <a:avLst/>
                    </a:prstGeom>
                    <a:noFill/>
                  </pic:spPr>
                </pic:pic>
              </a:graphicData>
            </a:graphic>
          </wp:inline>
        </w:drawing>
      </w:r>
    </w:p>
    <w:p w:rsidR="002B5434" w:rsidRDefault="002B5434" w:rsidP="002B5434">
      <w:pPr>
        <w:pStyle w:val="Heading3"/>
      </w:pPr>
      <w:bookmarkStart w:id="112" w:name="_Toc402959273"/>
      <w:bookmarkStart w:id="113" w:name="_Toc402961431"/>
      <w:r>
        <w:t>Electricity and gas bills as a percentage of income</w:t>
      </w:r>
      <w:bookmarkEnd w:id="112"/>
      <w:bookmarkEnd w:id="113"/>
    </w:p>
    <w:p w:rsidR="002B5434" w:rsidRDefault="002B5434" w:rsidP="002B5434">
      <w:r>
        <w:t>Eligible households in South Australia can receive a concession of up to $165 (in total) on their annual household ener</w:t>
      </w:r>
      <w:r w:rsidR="00C55200">
        <w:t>gy (gas and electricity) bills.</w:t>
      </w:r>
      <w:r>
        <w:rPr>
          <w:rStyle w:val="FootnoteReference"/>
        </w:rPr>
        <w:footnoteReference w:id="47"/>
      </w:r>
      <w:r>
        <w:t xml:space="preserve"> In our analysis, we applied a concession of $82.50 each to the annual electricity and gas bills (figure 3.14).</w:t>
      </w:r>
    </w:p>
    <w:p w:rsidR="002B5434" w:rsidRDefault="002B5434" w:rsidP="002B5434">
      <w:pPr>
        <w:pStyle w:val="ChartHeading"/>
        <w:keepNext/>
        <w:rPr>
          <w:sz w:val="22"/>
          <w:szCs w:val="22"/>
        </w:rPr>
      </w:pPr>
      <w:r w:rsidRPr="006F3C6C">
        <w:rPr>
          <w:sz w:val="22"/>
          <w:szCs w:val="22"/>
        </w:rPr>
        <w:lastRenderedPageBreak/>
        <w:t>Figure 3.14: Annual electricity and gas bills, and as a share of disposable income for a benchmark low income household (5000 kWh, 21000 MJ)</w:t>
      </w:r>
    </w:p>
    <w:p w:rsidR="00E75F42" w:rsidRPr="00E75F42" w:rsidRDefault="00E75F42" w:rsidP="00E75F42">
      <w:r>
        <w:rPr>
          <w:noProof/>
          <w:lang w:eastAsia="en-AU"/>
        </w:rPr>
        <w:drawing>
          <wp:inline distT="0" distB="0" distL="0" distR="0" wp14:anchorId="0A8543AD">
            <wp:extent cx="5731200" cy="3801600"/>
            <wp:effectExtent l="0" t="0" r="3175" b="8890"/>
            <wp:docPr id="55" name="Picture 55" descr="The annual electricity bill was $1866 for a benchmark low income household on the median market offer (or $1783 with a concession applied). The electricity bill on the median standing offer was slightly higher, at $2023 (or $1940 with the concession). A benchmark low income household on this market offer, in receipt of a concession, spent 5.9 per cent of its annual disposable income on electricity bills (6.1 per cent if it did not receive a concession). If on the median standing offer, it spent 6.4 per cent of its income on electricity bills (6.7 per cent if it did not receive a concession).&#10;The annual gas bill was $996 for a benchmark low income household on the median market offer (or $914 if it received the concession). This represents 3.3 per cent of its annual disposable income (or 3 per cent with the concession).&#10;"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200" cy="3801600"/>
                    </a:xfrm>
                    <a:prstGeom prst="rect">
                      <a:avLst/>
                    </a:prstGeom>
                    <a:noFill/>
                  </pic:spPr>
                </pic:pic>
              </a:graphicData>
            </a:graphic>
          </wp:inline>
        </w:drawing>
      </w:r>
    </w:p>
    <w:p w:rsidR="002B5434" w:rsidRDefault="002B5434" w:rsidP="002B5434">
      <w:r>
        <w:t xml:space="preserve">The electricity bill was $1866 for a low income household on the median market offer (or $1783 with a concession). Annual electricity bills for the median standing offer were higher, at $2023 (or $1940 with the concession). The median electricity market offer in South Australia rose by 3 per cent from June 2013 to June 2014. </w:t>
      </w:r>
    </w:p>
    <w:p w:rsidR="002B5434" w:rsidRDefault="002B5434" w:rsidP="002B5434">
      <w:r>
        <w:t xml:space="preserve">A benchmark low income household on this market offer, with a concession, spent 5.9 per cent of its disposable income on electricity bills (6.1 per cent if it did not receive a concession) (table 3.6). If the same household was on the median standing offer, this would account for around 6.4 per cent of its disposable income (6.7 per cent if it did not receive a concession). Overall, electricity bills as a proportion of income for a benchmark low income household remained the same in 2014 when compared to 2013. </w:t>
      </w:r>
    </w:p>
    <w:p w:rsidR="002B5434" w:rsidRDefault="002B5434" w:rsidP="002B5434">
      <w:r>
        <w:t xml:space="preserve">The annual gas bill was $996 for a benchmark low income household on the median market offer (or $914 with a concession). This represents 3.3 per cent of its annual disposable income (or 3.0 per cent with a concession). There was little difference between the median market and standing offers for gas. Gas bills as a proportion of income for a benchmark low income household rose from 3.1 per cent in 2013 to 3.3 per cent in 2014. The annual gas bill for the median market offer increased by around 10 per cent between June 2013 and June 2014. </w:t>
      </w:r>
    </w:p>
    <w:p w:rsidR="002B5434" w:rsidRDefault="002B5434" w:rsidP="002B5434">
      <w:r>
        <w:t xml:space="preserve">A middle income household consuming 6000 kWh spent 1.8 per cent of its disposable income on electricity bills. For a high income household, this accounts for 0.7 per cent of its income. For a middle income household consuming the same amount of gas (21 000 MJ), this bill represents 0.8 per cent of its income and only 0.3 per cent for a high income household (table 3.6). </w:t>
      </w:r>
    </w:p>
    <w:p w:rsidR="002B5434" w:rsidRPr="006F3C6C" w:rsidRDefault="002B5434" w:rsidP="002B5434">
      <w:pPr>
        <w:pStyle w:val="ChartHeading"/>
        <w:keepNext/>
        <w:rPr>
          <w:sz w:val="22"/>
          <w:szCs w:val="22"/>
        </w:rPr>
      </w:pPr>
      <w:r w:rsidRPr="006F3C6C">
        <w:rPr>
          <w:sz w:val="22"/>
          <w:szCs w:val="22"/>
        </w:rPr>
        <w:lastRenderedPageBreak/>
        <w:t>Table 3.6: Summary of annual electricity and gas bills (for the median market offer) and 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5000 kWh</w:t>
            </w:r>
          </w:p>
        </w:tc>
        <w:tc>
          <w:tcPr>
            <w:tcW w:w="1273" w:type="dxa"/>
          </w:tcPr>
          <w:p w:rsidR="002B5434" w:rsidRPr="000C5309" w:rsidRDefault="002B5434" w:rsidP="002B5434">
            <w:pPr>
              <w:pStyle w:val="TableBodyFigurealignedright"/>
            </w:pPr>
            <w:r w:rsidRPr="000C5309">
              <w:t>1783</w:t>
            </w:r>
          </w:p>
        </w:tc>
        <w:tc>
          <w:tcPr>
            <w:tcW w:w="1727" w:type="dxa"/>
          </w:tcPr>
          <w:p w:rsidR="002B5434" w:rsidRPr="000C5309" w:rsidRDefault="002B5434" w:rsidP="002B5434">
            <w:pPr>
              <w:pStyle w:val="TableBodyFigurealignedright"/>
            </w:pPr>
            <w:r w:rsidRPr="000C5309">
              <w:t>5.9</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Electricity 50</w:t>
            </w:r>
            <w:r w:rsidRPr="00193D95">
              <w:t>00 kWh</w:t>
            </w:r>
          </w:p>
        </w:tc>
        <w:tc>
          <w:tcPr>
            <w:tcW w:w="1273" w:type="dxa"/>
          </w:tcPr>
          <w:p w:rsidR="002B5434" w:rsidRPr="000C5309" w:rsidRDefault="002B5434" w:rsidP="002B5434">
            <w:pPr>
              <w:pStyle w:val="TableBodyFigurealignedright"/>
            </w:pPr>
            <w:r w:rsidRPr="000C5309">
              <w:t>1866</w:t>
            </w:r>
          </w:p>
        </w:tc>
        <w:tc>
          <w:tcPr>
            <w:tcW w:w="1727" w:type="dxa"/>
          </w:tcPr>
          <w:p w:rsidR="002B5434" w:rsidRPr="000C5309" w:rsidRDefault="002B5434" w:rsidP="002B5434">
            <w:pPr>
              <w:pStyle w:val="TableBodyFigurealignedright"/>
            </w:pPr>
            <w:r w:rsidRPr="000C5309">
              <w:t>6.1</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Electricity 60</w:t>
            </w:r>
            <w:r w:rsidRPr="00193D95">
              <w:t>00 kWh</w:t>
            </w:r>
          </w:p>
        </w:tc>
        <w:tc>
          <w:tcPr>
            <w:tcW w:w="1273" w:type="dxa"/>
          </w:tcPr>
          <w:p w:rsidR="002B5434" w:rsidRPr="000C5309" w:rsidRDefault="002B5434" w:rsidP="002B5434">
            <w:pPr>
              <w:pStyle w:val="TableBodyFigurealignedright"/>
            </w:pPr>
            <w:r w:rsidRPr="000C5309">
              <w:t>2210</w:t>
            </w:r>
          </w:p>
        </w:tc>
        <w:tc>
          <w:tcPr>
            <w:tcW w:w="1727" w:type="dxa"/>
          </w:tcPr>
          <w:p w:rsidR="002B5434" w:rsidRPr="000C5309" w:rsidRDefault="002B5434" w:rsidP="002B5434">
            <w:pPr>
              <w:pStyle w:val="TableBodyFigurealignedright"/>
            </w:pPr>
            <w:r w:rsidRPr="000C5309">
              <w:t>1.8</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Electricity 60</w:t>
            </w:r>
            <w:r w:rsidRPr="00193D95">
              <w:t>00 kWh</w:t>
            </w:r>
          </w:p>
        </w:tc>
        <w:tc>
          <w:tcPr>
            <w:tcW w:w="1273" w:type="dxa"/>
          </w:tcPr>
          <w:p w:rsidR="002B5434" w:rsidRPr="000C5309" w:rsidRDefault="002B5434" w:rsidP="002B5434">
            <w:pPr>
              <w:pStyle w:val="TableBodyFigurealignedright"/>
            </w:pPr>
            <w:r w:rsidRPr="000C5309">
              <w:t>2210</w:t>
            </w:r>
          </w:p>
        </w:tc>
        <w:tc>
          <w:tcPr>
            <w:tcW w:w="1727" w:type="dxa"/>
          </w:tcPr>
          <w:p w:rsidR="002B5434" w:rsidRDefault="002B5434" w:rsidP="002B5434">
            <w:pPr>
              <w:pStyle w:val="TableBodyFigurealignedright"/>
            </w:pPr>
            <w:r w:rsidRPr="000C5309">
              <w:t>0.7</w:t>
            </w:r>
          </w:p>
        </w:tc>
      </w:tr>
      <w:tr w:rsidR="002B5434" w:rsidRPr="007F4791"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 xml:space="preserve">Gas 21 </w:t>
            </w:r>
            <w:r w:rsidRPr="00193D95">
              <w:t>000 MJ</w:t>
            </w:r>
          </w:p>
        </w:tc>
        <w:tc>
          <w:tcPr>
            <w:tcW w:w="1273" w:type="dxa"/>
          </w:tcPr>
          <w:p w:rsidR="002B5434" w:rsidRPr="003401E9" w:rsidRDefault="002B5434" w:rsidP="002B5434">
            <w:pPr>
              <w:pStyle w:val="TableBodyFigurealignedright"/>
            </w:pPr>
            <w:r w:rsidRPr="003401E9">
              <w:t>914</w:t>
            </w:r>
          </w:p>
        </w:tc>
        <w:tc>
          <w:tcPr>
            <w:tcW w:w="1727" w:type="dxa"/>
          </w:tcPr>
          <w:p w:rsidR="002B5434" w:rsidRPr="003401E9" w:rsidRDefault="002B5434" w:rsidP="002B5434">
            <w:pPr>
              <w:pStyle w:val="TableBodyFigurealignedright"/>
            </w:pPr>
            <w:r w:rsidRPr="003401E9">
              <w:t>3.0</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rsidRPr="00B12198">
              <w:t>Gas 21</w:t>
            </w:r>
            <w:r>
              <w:t xml:space="preserve"> </w:t>
            </w:r>
            <w:r w:rsidRPr="00B12198">
              <w:t>000 MJ</w:t>
            </w:r>
          </w:p>
        </w:tc>
        <w:tc>
          <w:tcPr>
            <w:tcW w:w="1273" w:type="dxa"/>
          </w:tcPr>
          <w:p w:rsidR="002B5434" w:rsidRPr="003401E9" w:rsidRDefault="002B5434" w:rsidP="002B5434">
            <w:pPr>
              <w:pStyle w:val="TableBodyFigurealignedright"/>
            </w:pPr>
            <w:r w:rsidRPr="003401E9">
              <w:t>996</w:t>
            </w:r>
          </w:p>
        </w:tc>
        <w:tc>
          <w:tcPr>
            <w:tcW w:w="1727" w:type="dxa"/>
          </w:tcPr>
          <w:p w:rsidR="002B5434" w:rsidRPr="003401E9" w:rsidRDefault="002B5434" w:rsidP="002B5434">
            <w:pPr>
              <w:pStyle w:val="TableBodyFigurealignedright"/>
            </w:pPr>
            <w:r w:rsidRPr="003401E9">
              <w:t>3.3</w:t>
            </w:r>
          </w:p>
        </w:tc>
      </w:tr>
      <w:tr w:rsidR="002B5434" w:rsidRPr="007F4791"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rsidRPr="00B12198">
              <w:t>Gas 21</w:t>
            </w:r>
            <w:r>
              <w:t xml:space="preserve"> </w:t>
            </w:r>
            <w:r w:rsidRPr="00B12198">
              <w:t>000 MJ</w:t>
            </w:r>
          </w:p>
        </w:tc>
        <w:tc>
          <w:tcPr>
            <w:tcW w:w="1273" w:type="dxa"/>
          </w:tcPr>
          <w:p w:rsidR="002B5434" w:rsidRPr="003401E9" w:rsidRDefault="002B5434" w:rsidP="002B5434">
            <w:pPr>
              <w:pStyle w:val="TableBodyFigurealignedright"/>
            </w:pPr>
            <w:r w:rsidRPr="003401E9">
              <w:t>996</w:t>
            </w:r>
          </w:p>
        </w:tc>
        <w:tc>
          <w:tcPr>
            <w:tcW w:w="1727" w:type="dxa"/>
          </w:tcPr>
          <w:p w:rsidR="002B5434" w:rsidRPr="003401E9" w:rsidRDefault="002B5434" w:rsidP="002B5434">
            <w:pPr>
              <w:pStyle w:val="TableBodyFigurealignedright"/>
            </w:pPr>
            <w:r w:rsidRPr="003401E9">
              <w:t>0.8</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rsidRPr="00B12198">
              <w:t>Gas 21</w:t>
            </w:r>
            <w:r>
              <w:t xml:space="preserve"> </w:t>
            </w:r>
            <w:r w:rsidRPr="00B12198">
              <w:t>000 MJ</w:t>
            </w:r>
          </w:p>
        </w:tc>
        <w:tc>
          <w:tcPr>
            <w:tcW w:w="1273" w:type="dxa"/>
          </w:tcPr>
          <w:p w:rsidR="002B5434" w:rsidRPr="003401E9" w:rsidRDefault="002B5434" w:rsidP="002B5434">
            <w:pPr>
              <w:pStyle w:val="TableBodyFigurealignedright"/>
            </w:pPr>
            <w:r w:rsidRPr="003401E9">
              <w:t>996</w:t>
            </w:r>
          </w:p>
        </w:tc>
        <w:tc>
          <w:tcPr>
            <w:tcW w:w="1727" w:type="dxa"/>
          </w:tcPr>
          <w:p w:rsidR="002B5434" w:rsidRDefault="002B5434" w:rsidP="002B5434">
            <w:pPr>
              <w:pStyle w:val="TableBodyFigurealignedright"/>
            </w:pPr>
            <w:r w:rsidRPr="003401E9">
              <w:t>0.3</w:t>
            </w:r>
          </w:p>
        </w:tc>
      </w:tr>
    </w:tbl>
    <w:p w:rsidR="002B5434" w:rsidRDefault="002B5434" w:rsidP="002B5434"/>
    <w:p w:rsidR="002B5434" w:rsidRDefault="002B5434" w:rsidP="002B5434">
      <w:r>
        <w:br w:type="page"/>
      </w:r>
    </w:p>
    <w:p w:rsidR="002B5434" w:rsidRDefault="002B5434" w:rsidP="001F2C30">
      <w:pPr>
        <w:pStyle w:val="Headingnumbered11"/>
      </w:pPr>
      <w:bookmarkStart w:id="114" w:name="_Toc402961432"/>
      <w:r>
        <w:lastRenderedPageBreak/>
        <w:t>Tasmania</w:t>
      </w:r>
      <w:bookmarkEnd w:id="114"/>
    </w:p>
    <w:p w:rsidR="002B5434" w:rsidRDefault="002B5434" w:rsidP="002B5434">
      <w:pPr>
        <w:pStyle w:val="Heading3"/>
      </w:pPr>
      <w:bookmarkStart w:id="115" w:name="_Toc402959275"/>
      <w:bookmarkStart w:id="116" w:name="_Toc402961433"/>
      <w:r>
        <w:t>Annual electricity bills and as a percentage of income</w:t>
      </w:r>
      <w:bookmarkEnd w:id="115"/>
      <w:bookmarkEnd w:id="116"/>
    </w:p>
    <w:p w:rsidR="002B5434" w:rsidRDefault="002B5434" w:rsidP="002B5434">
      <w:r>
        <w:t xml:space="preserve">There is only one electricity distribution zone in Tasmania. Until 30 June 2014, the Tasmanian Government owned Aurora Energy (Aurora) was the only electricity retailer available to residential customers. It had only one offer and the price was approved by the Office of the Tasmanian Economic Regulator (OTTER). Figure 3.15 shows the only available offer for small customers in Tasmania at June 2014. The estimated annual electricity bill for this offer was $2518, based on a consumption of 8100 kWh per year. </w:t>
      </w:r>
    </w:p>
    <w:p w:rsidR="00C55200" w:rsidRPr="00C55200" w:rsidRDefault="00C55200" w:rsidP="00C55200">
      <w:r w:rsidRPr="00C55200">
        <w:t xml:space="preserve">As of 1 July 2014, all customers on mainland Tasmania have the option of entering into a market retail contract with Aurora or a new entrant retailer. Customers can also choose to remain on the regulated standard retail contract. As of 30 September, no new retailer had entered the Tasmanian electricity market and there were no market offers available to residential customers. </w:t>
      </w:r>
    </w:p>
    <w:p w:rsidR="002B5434" w:rsidRDefault="002B5434" w:rsidP="002B5434">
      <w:pPr>
        <w:pStyle w:val="ChartHeading"/>
        <w:keepNext/>
        <w:rPr>
          <w:sz w:val="22"/>
          <w:szCs w:val="22"/>
        </w:rPr>
      </w:pPr>
      <w:r w:rsidRPr="006F3C6C">
        <w:rPr>
          <w:sz w:val="22"/>
          <w:szCs w:val="22"/>
        </w:rPr>
        <w:t>Figure 3.15 Annual electricity, and as a share of disposable income for a benchmark low income household (8100 kWh)—June 2014</w:t>
      </w:r>
    </w:p>
    <w:p w:rsidR="00E75F42" w:rsidRPr="00E75F42" w:rsidRDefault="00E75F42" w:rsidP="00E75F42">
      <w:r>
        <w:rPr>
          <w:noProof/>
          <w:lang w:eastAsia="en-AU"/>
        </w:rPr>
        <w:drawing>
          <wp:inline distT="0" distB="0" distL="0" distR="0" wp14:anchorId="63D5E8C6">
            <wp:extent cx="5731200" cy="4168800"/>
            <wp:effectExtent l="0" t="0" r="3175" b="3175"/>
            <wp:docPr id="56" name="Picture 56" descr="The estimated annual electricity bill for the generally available offer was $2518. The estimated annual electricity bill fell to around $2060 for a benchmark low income household that received a concession. Electricity bills represented 8.9 per cent of a low income household’s disposable income or around 7.3 per cent if it received a concession. "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200" cy="4168800"/>
                    </a:xfrm>
                    <a:prstGeom prst="rect">
                      <a:avLst/>
                    </a:prstGeom>
                    <a:noFill/>
                  </pic:spPr>
                </pic:pic>
              </a:graphicData>
            </a:graphic>
          </wp:inline>
        </w:drawing>
      </w:r>
    </w:p>
    <w:p w:rsidR="002B5434" w:rsidRDefault="002B5434" w:rsidP="002B5434">
      <w:r>
        <w:t>Eligible customers can receive a rebate of 125.71 cents per day towards their electricity bills.</w:t>
      </w:r>
      <w:r>
        <w:rPr>
          <w:rStyle w:val="FootnoteReference"/>
        </w:rPr>
        <w:footnoteReference w:id="48"/>
      </w:r>
      <w:r>
        <w:t xml:space="preserve"> Annual electricity bills fell to around $2060 for a low income household that received this concession (figure 3.15). Electricity bills represented a relatively high proportion of a </w:t>
      </w:r>
      <w:r>
        <w:lastRenderedPageBreak/>
        <w:t>benchmark low income household’s disposable income at around 8.9 per cent, or around 7.3 per cent if it received a concession (figure 3.15). While this is relatively high compared to other jurisdictions, given the cooler climate and that less than 5 per cent of Tasmanian households are connected to gas, it is reasonable to expect households will consume (and therefore spend) more on electricity than similar households in other states and territories.</w:t>
      </w:r>
    </w:p>
    <w:p w:rsidR="00C55200" w:rsidRPr="00C55200" w:rsidRDefault="00C55200" w:rsidP="00C55200">
      <w:r w:rsidRPr="00C55200">
        <w:t>Tasmania was the only jurisdiction in our analysis that saw a fall in electricity charges. The regulated electricity bill in Tasmania fell by 3.5 per cent from June 2013. According to the Tasmanian Government</w:t>
      </w:r>
      <w:r w:rsidRPr="00C55200">
        <w:rPr>
          <w:color w:val="000000" w:themeColor="accent5"/>
          <w:vertAlign w:val="superscript"/>
        </w:rPr>
        <w:footnoteReference w:id="49"/>
      </w:r>
      <w:r w:rsidRPr="00C55200">
        <w:t xml:space="preserve"> the new Retail Standing Offer Price Determination was established to coincide with the planned commencement of full retail competition (FRC) and the planned but not completed divestment of Aurora’s retail customer base on 1 January 2014. Electricity bills as a proportion of income for a low income household fell from 9.5 per cent at June 2013 to 8.9 per cent at June 2014 (or from 7.8 per cent to 7.3 per cent with a concession).</w:t>
      </w:r>
    </w:p>
    <w:p w:rsidR="002B5434" w:rsidRDefault="002B5434" w:rsidP="002B5434">
      <w:r>
        <w:t xml:space="preserve">A middle income household consuming 9400 kWh per annum in Tasmania spent 2.6 per cent of its disposable income on electricity bills. For a high income household, this would account for only 1.0 per cent of its disposable income (table 3.7). </w:t>
      </w:r>
    </w:p>
    <w:p w:rsidR="002B5434" w:rsidRPr="006F3C6C" w:rsidRDefault="002B5434" w:rsidP="002B5434">
      <w:pPr>
        <w:pStyle w:val="ChartHeading"/>
        <w:keepNext/>
        <w:rPr>
          <w:sz w:val="22"/>
          <w:szCs w:val="22"/>
        </w:rPr>
      </w:pPr>
      <w:r w:rsidRPr="006F3C6C">
        <w:rPr>
          <w:sz w:val="22"/>
          <w:szCs w:val="22"/>
        </w:rPr>
        <w:t xml:space="preserve">Table 3.7: Summary of annual electricity and gas bills (for the median market offer) and </w:t>
      </w:r>
      <w:r w:rsidR="006F3C6C">
        <w:rPr>
          <w:sz w:val="22"/>
          <w:szCs w:val="22"/>
        </w:rPr>
        <w:t>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8100 kWh</w:t>
            </w:r>
          </w:p>
        </w:tc>
        <w:tc>
          <w:tcPr>
            <w:tcW w:w="1273" w:type="dxa"/>
          </w:tcPr>
          <w:p w:rsidR="002B5434" w:rsidRPr="002B7A40" w:rsidRDefault="002B5434" w:rsidP="002B5434">
            <w:pPr>
              <w:pStyle w:val="TableBodyFigurealignedright"/>
            </w:pPr>
            <w:r w:rsidRPr="002B7A40">
              <w:t>2060</w:t>
            </w:r>
          </w:p>
        </w:tc>
        <w:tc>
          <w:tcPr>
            <w:tcW w:w="1727" w:type="dxa"/>
          </w:tcPr>
          <w:p w:rsidR="002B5434" w:rsidRPr="002B7A40" w:rsidRDefault="002B5434" w:rsidP="002B5434">
            <w:pPr>
              <w:pStyle w:val="TableBodyFigurealignedright"/>
            </w:pPr>
            <w:r w:rsidRPr="002B7A40">
              <w:t>7.3</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Electricity 81</w:t>
            </w:r>
            <w:r w:rsidRPr="00193D95">
              <w:t>00 kWh</w:t>
            </w:r>
          </w:p>
        </w:tc>
        <w:tc>
          <w:tcPr>
            <w:tcW w:w="1273" w:type="dxa"/>
          </w:tcPr>
          <w:p w:rsidR="002B5434" w:rsidRPr="002B7A40" w:rsidRDefault="002B5434" w:rsidP="002B5434">
            <w:pPr>
              <w:pStyle w:val="TableBodyFigurealignedright"/>
            </w:pPr>
            <w:r w:rsidRPr="002B7A40">
              <w:t>2518</w:t>
            </w:r>
          </w:p>
        </w:tc>
        <w:tc>
          <w:tcPr>
            <w:tcW w:w="1727" w:type="dxa"/>
          </w:tcPr>
          <w:p w:rsidR="002B5434" w:rsidRPr="002B7A40" w:rsidRDefault="002B5434" w:rsidP="002B5434">
            <w:pPr>
              <w:pStyle w:val="TableBodyFigurealignedright"/>
            </w:pPr>
            <w:r w:rsidRPr="002B7A40">
              <w:t>8.9</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Electricity 94</w:t>
            </w:r>
            <w:r w:rsidRPr="00193D95">
              <w:t>00 kWh</w:t>
            </w:r>
          </w:p>
        </w:tc>
        <w:tc>
          <w:tcPr>
            <w:tcW w:w="1273" w:type="dxa"/>
          </w:tcPr>
          <w:p w:rsidR="002B5434" w:rsidRPr="002B7A40" w:rsidRDefault="002B5434" w:rsidP="002B5434">
            <w:pPr>
              <w:pStyle w:val="TableBodyFigurealignedright"/>
            </w:pPr>
            <w:r w:rsidRPr="002B7A40">
              <w:t>2867</w:t>
            </w:r>
          </w:p>
        </w:tc>
        <w:tc>
          <w:tcPr>
            <w:tcW w:w="1727" w:type="dxa"/>
          </w:tcPr>
          <w:p w:rsidR="002B5434" w:rsidRPr="002B7A40" w:rsidRDefault="002B5434" w:rsidP="002B5434">
            <w:pPr>
              <w:pStyle w:val="TableBodyFigurealignedright"/>
            </w:pPr>
            <w:r w:rsidRPr="002B7A40">
              <w:t>2.6</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Electricity 94</w:t>
            </w:r>
            <w:r w:rsidRPr="00193D95">
              <w:t>00 kWh</w:t>
            </w:r>
          </w:p>
        </w:tc>
        <w:tc>
          <w:tcPr>
            <w:tcW w:w="1273" w:type="dxa"/>
          </w:tcPr>
          <w:p w:rsidR="002B5434" w:rsidRPr="002B7A40" w:rsidRDefault="002B5434" w:rsidP="002B5434">
            <w:pPr>
              <w:pStyle w:val="TableBodyFigurealignedright"/>
            </w:pPr>
            <w:r w:rsidRPr="002B7A40">
              <w:t>2867</w:t>
            </w:r>
          </w:p>
        </w:tc>
        <w:tc>
          <w:tcPr>
            <w:tcW w:w="1727" w:type="dxa"/>
          </w:tcPr>
          <w:p w:rsidR="002B5434" w:rsidRDefault="002B5434" w:rsidP="002B5434">
            <w:pPr>
              <w:pStyle w:val="TableBodyFigurealignedright"/>
            </w:pPr>
            <w:r w:rsidRPr="002B7A40">
              <w:t>1.0</w:t>
            </w:r>
          </w:p>
        </w:tc>
      </w:tr>
    </w:tbl>
    <w:p w:rsidR="002B5434" w:rsidRDefault="002B5434" w:rsidP="002B5434"/>
    <w:p w:rsidR="002B5434" w:rsidRDefault="002B5434" w:rsidP="002B5434">
      <w:r>
        <w:br w:type="page"/>
      </w:r>
    </w:p>
    <w:p w:rsidR="002B5434" w:rsidRDefault="002B5434" w:rsidP="001F2C30">
      <w:pPr>
        <w:pStyle w:val="Headingnumbered11"/>
      </w:pPr>
      <w:bookmarkStart w:id="117" w:name="_Toc402961434"/>
      <w:r>
        <w:lastRenderedPageBreak/>
        <w:t>ACT</w:t>
      </w:r>
      <w:bookmarkEnd w:id="117"/>
    </w:p>
    <w:p w:rsidR="002B5434" w:rsidRDefault="002B5434" w:rsidP="002B5434">
      <w:r>
        <w:t xml:space="preserve">The ACT covers a small geographic area and has one electricity and one gas distribution zone (both ActewAGL Distribution). ActewAGL Retail is the ACT’s incumbent retailer for energy, water and telecommunications. While there are currently three retailers offering energy contracts to residential customers in the ACT, ActewAGL supplies over 95 per cent of gas and electricity residential customers. </w:t>
      </w:r>
    </w:p>
    <w:p w:rsidR="002B5434" w:rsidRDefault="00862702" w:rsidP="002B5434">
      <w:r>
        <w:t xml:space="preserve">As noted in Chapter 1, the </w:t>
      </w:r>
      <w:r w:rsidR="002B5434">
        <w:t>AEMC</w:t>
      </w:r>
      <w:r>
        <w:t xml:space="preserve">’s recent review </w:t>
      </w:r>
      <w:r w:rsidR="002B5434">
        <w:t>of competition in ele</w:t>
      </w:r>
      <w:r w:rsidR="006D6101">
        <w:t>ctricity and gas retail markets</w:t>
      </w:r>
      <w:r w:rsidR="002B5434">
        <w:t xml:space="preserve"> found that in the ACT 43 per cent of residential electricity customers and 64 per cent of gas customers surveyed were unaware they could switch their retailer or energy plan. The review also found that retailers considered entry into the ACT retail market difficult due to ActewAGL's dominance, the small customer base and the way in which prices are regulated.</w:t>
      </w:r>
    </w:p>
    <w:p w:rsidR="002B5434" w:rsidRDefault="002B5434" w:rsidP="002B5434">
      <w:r>
        <w:t>Figure 3.16 shows the range in the generally available electricity and gas offers in the ACT. The annual bill was $1741 for the most expensive electricity market offer, while the cheapest market offer resulted in an annual bill of $1621 ($120 cheaper). There was almost no difference between the median market offer and the median standing offer. As at 30 June 2014, 82 per cent of small electricity customers in the ACT remain on standard retail contracts.</w:t>
      </w:r>
    </w:p>
    <w:p w:rsidR="002B5434" w:rsidRDefault="002B5434" w:rsidP="002B5434">
      <w:r>
        <w:t>Figure 3.16 also shows a range of $78 between the cheapest ($1551) and most expensive ($1629) gas bills. As the ACT has cold winter periods, gas heating (where available) can contribute a significant proportion to household energy costs. At 30 June 2014, around 79 per cent of gas customers in the ACT were on standard retail contracts.</w:t>
      </w:r>
    </w:p>
    <w:p w:rsidR="002B5434" w:rsidRDefault="002B5434" w:rsidP="002B5434">
      <w:pPr>
        <w:pStyle w:val="ChartHeading"/>
        <w:keepNext/>
        <w:rPr>
          <w:sz w:val="22"/>
          <w:szCs w:val="22"/>
        </w:rPr>
      </w:pPr>
      <w:r w:rsidRPr="006F3C6C">
        <w:rPr>
          <w:sz w:val="22"/>
          <w:szCs w:val="22"/>
        </w:rPr>
        <w:lastRenderedPageBreak/>
        <w:t>Figure 3.16: Range of generally available electricity and gas offers by distribution zone (7000 kWh and 48 000 MJ)—June 2014</w:t>
      </w:r>
    </w:p>
    <w:p w:rsidR="002B5434" w:rsidRDefault="00E75F42" w:rsidP="002B5434">
      <w:r>
        <w:rPr>
          <w:noProof/>
          <w:lang w:eastAsia="en-AU"/>
        </w:rPr>
        <w:drawing>
          <wp:inline distT="0" distB="0" distL="0" distR="0" wp14:anchorId="1B91E0BC">
            <wp:extent cx="5731200" cy="4348800"/>
            <wp:effectExtent l="0" t="0" r="3175" b="0"/>
            <wp:docPr id="57" name="Picture 57" descr="The range in the generally available electricity and gas offers in the ACT is relatively narrow. For electricity, on the most expensive (market) offer, the annual bill was $1741, whilst the market cheapest offer was $1621 ($120 cheaper). The median standing electricity offer was $33 cheaper than the market offer. The range between the cheapest ($1551) and most expensive ($1629) annual gas bills is narrower."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200" cy="4348800"/>
                    </a:xfrm>
                    <a:prstGeom prst="rect">
                      <a:avLst/>
                    </a:prstGeom>
                    <a:noFill/>
                  </pic:spPr>
                </pic:pic>
              </a:graphicData>
            </a:graphic>
          </wp:inline>
        </w:drawing>
      </w:r>
    </w:p>
    <w:p w:rsidR="002B5434" w:rsidRDefault="002B5434" w:rsidP="002B5434">
      <w:pPr>
        <w:pStyle w:val="Heading3"/>
      </w:pPr>
      <w:bookmarkStart w:id="118" w:name="_Toc402959277"/>
      <w:bookmarkStart w:id="119" w:name="_Toc402959763"/>
      <w:bookmarkStart w:id="120" w:name="_Toc402961435"/>
      <w:r>
        <w:t>Electricity and gas bills as a percentage of income</w:t>
      </w:r>
      <w:bookmarkEnd w:id="118"/>
      <w:bookmarkEnd w:id="119"/>
      <w:bookmarkEnd w:id="120"/>
    </w:p>
    <w:p w:rsidR="002B5434" w:rsidRDefault="002B5434" w:rsidP="002B5434">
      <w:r>
        <w:t>The main energy concession available in the ACT is for both electricity and gas, and is calculated daily, with rates depending on the season.</w:t>
      </w:r>
      <w:r>
        <w:rPr>
          <w:rStyle w:val="FootnoteReference"/>
        </w:rPr>
        <w:footnoteReference w:id="50"/>
      </w:r>
      <w:r>
        <w:t xml:space="preserve"> The maximum amount available is $322.10 per year. There is also the Utility Concession that can be used towards electricity, gas and water bills. This has an annual maximum value of $84.05 per year.</w:t>
      </w:r>
      <w:r>
        <w:rPr>
          <w:rStyle w:val="FootnoteReference"/>
        </w:rPr>
        <w:footnoteReference w:id="51"/>
      </w:r>
      <w:r>
        <w:t xml:space="preserve"> </w:t>
      </w:r>
    </w:p>
    <w:p w:rsidR="002B5434" w:rsidRDefault="002B5434" w:rsidP="002B5434">
      <w:r>
        <w:t>Our analysis assumed that customers eligible for this concession applied half towards their electricity bill and half towards their gas bill. Furthermore, we assumed that the utility concession was equally divided across a customer’s electricity, gas and water bills. We therefore deducted $189.07 from both the estimated electricity and gas bill in our analysis to show the impact of concessions (figure 3.17). While there were additional rebates available to customers with life support equipment, these were not included.</w:t>
      </w:r>
    </w:p>
    <w:p w:rsidR="006F3C6C" w:rsidRDefault="006F3C6C" w:rsidP="002B5434">
      <w:pPr>
        <w:pStyle w:val="ChartHeading"/>
        <w:rPr>
          <w:sz w:val="22"/>
          <w:szCs w:val="22"/>
        </w:rPr>
      </w:pPr>
    </w:p>
    <w:p w:rsidR="002B5434" w:rsidRDefault="002B5434" w:rsidP="002B5434">
      <w:pPr>
        <w:pStyle w:val="ChartHeading"/>
        <w:rPr>
          <w:sz w:val="22"/>
          <w:szCs w:val="22"/>
        </w:rPr>
      </w:pPr>
      <w:r w:rsidRPr="006F3C6C">
        <w:rPr>
          <w:sz w:val="22"/>
          <w:szCs w:val="22"/>
        </w:rPr>
        <w:lastRenderedPageBreak/>
        <w:t>Figure 3.17: Annual electricity and gas bills, and as a share of disposable income for a benchmark low income household (7000 kWh, 48 000 MJ)</w:t>
      </w:r>
    </w:p>
    <w:p w:rsidR="002B5434" w:rsidRDefault="00E75F42" w:rsidP="002B5434">
      <w:r>
        <w:rPr>
          <w:noProof/>
          <w:lang w:eastAsia="en-AU"/>
        </w:rPr>
        <w:drawing>
          <wp:inline distT="0" distB="0" distL="0" distR="0" wp14:anchorId="02361D7E">
            <wp:extent cx="5731200" cy="3805200"/>
            <wp:effectExtent l="0" t="0" r="3175" b="5080"/>
            <wp:docPr id="58" name="Picture 58" descr="The estimated annual electricity bill was $1696 for a benchmark low income household on the median market offer (or $1507 with a concession applied). At the same consumption level, the electricity bill on the median standing offer was lower—$1663 without a concession or $1474 with a concession. A benchmark low income household on the median market offer that received a concession spent 2.9 per cent of its annual disposable income on electricity bills, or 3.3 per cent if it did not receive a concession. &#10;The annual gas bill was $1618 for a benchmark low income household on the median market offer (or $1428 with a concession applied). This represents 2.8 per cent of its annual disposable income (or 3.2 per cent without the concession applied). The standing offer was lower, at $1495 without a concession (3 per cent of income) and $1306 with a concession (2.6 per cent of income)."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200" cy="3805200"/>
                    </a:xfrm>
                    <a:prstGeom prst="rect">
                      <a:avLst/>
                    </a:prstGeom>
                    <a:noFill/>
                  </pic:spPr>
                </pic:pic>
              </a:graphicData>
            </a:graphic>
          </wp:inline>
        </w:drawing>
      </w:r>
    </w:p>
    <w:p w:rsidR="002B5434" w:rsidRDefault="002B5434" w:rsidP="002B5434">
      <w:r>
        <w:t xml:space="preserve">The annual electricity bill was $1696 for a benchmark low income household on the median market offer (or $1507 with a concession applied). The annual bill on the median standing offer was marginally lower—$1663 or $1474 with a concession (figure 3.17). For a low income household with a concession, this represents 3.0 per cent of disposable income if on the median market offer or 3.3 per cent without a concession. </w:t>
      </w:r>
    </w:p>
    <w:p w:rsidR="002B5434" w:rsidRDefault="002B5434" w:rsidP="002B5434">
      <w:r>
        <w:t>The June 2014 median market offer bill increased by 6.2 per cent in ACT whilst the median standing offer increased by 4 per cent. This difference may result from an increased number of market offers available in the ACT in 2014 compared to 2013 and as some of these offers were more expensive than the standing offer. The proportion of income a benchmark low income household with a concession spent on electricity rose slightly from 2.9 per cent in 2013 to 3.0 per cent in 2014.</w:t>
      </w:r>
    </w:p>
    <w:p w:rsidR="002B5434" w:rsidRDefault="002B5434" w:rsidP="002B5434">
      <w:r>
        <w:t>The annual gas bill was $1618 for a benchmark low income household on the median market offer (or $1428 with a concession).This represents 2.8 per cent of its disposable income (or 3.2 per cent without a concession). Similar to electricity, the gas standing offer ($1495 or $1306 with concession) was cheaper than the median market offer (figure 3.17).</w:t>
      </w:r>
    </w:p>
    <w:p w:rsidR="002B5434" w:rsidRDefault="002B5434" w:rsidP="002B5434">
      <w:r>
        <w:t>Annual gas bills for the median market offer in 2014 increased by 12.4 per cent when compared to 2013. The proportion of income a benchmark low income household with a concession spent on gas rose from 2.6 per cent in 2013 to 2.8 per cent in 2014.</w:t>
      </w:r>
    </w:p>
    <w:p w:rsidR="002B5434" w:rsidRDefault="002B5434" w:rsidP="002B5434">
      <w:r>
        <w:t xml:space="preserve">A middle income household consuming 8000 kWh in the ACT spent 1.0 per cent of its disposable income on electricity bills (table 3.8). For a high income household, annual electricity bills accounted for 0.5 per cent of its disposable income. For a middle income </w:t>
      </w:r>
      <w:r>
        <w:lastRenderedPageBreak/>
        <w:t xml:space="preserve">household consuming the same amount of gas, this bill represented only 0.9 per cent of its income and only 0.4 per cent for a high income household (table 3.8). </w:t>
      </w:r>
    </w:p>
    <w:p w:rsidR="002B5434" w:rsidRPr="006F3C6C" w:rsidRDefault="002B5434" w:rsidP="002B5434">
      <w:pPr>
        <w:pStyle w:val="ChartHeading"/>
        <w:keepNext/>
        <w:rPr>
          <w:sz w:val="22"/>
          <w:szCs w:val="22"/>
        </w:rPr>
      </w:pPr>
      <w:r w:rsidRPr="006F3C6C">
        <w:rPr>
          <w:sz w:val="22"/>
          <w:szCs w:val="22"/>
        </w:rPr>
        <w:t xml:space="preserve">Table 3.8: Summary of annual electricity and gas bills (for the median market offer) and </w:t>
      </w:r>
      <w:r w:rsidR="006F3C6C">
        <w:rPr>
          <w:sz w:val="22"/>
          <w:szCs w:val="22"/>
        </w:rPr>
        <w:t>as a share of disposable income</w:t>
      </w:r>
      <w:r w:rsidR="006F3C6C" w:rsidRPr="006F3C6C">
        <w:rPr>
          <w:sz w:val="22"/>
          <w:szCs w:val="22"/>
        </w:rPr>
        <w:t>—</w:t>
      </w:r>
      <w:r w:rsidRPr="006F3C6C">
        <w:rPr>
          <w:sz w:val="22"/>
          <w:szCs w:val="22"/>
        </w:rPr>
        <w:t>June 2014</w:t>
      </w:r>
    </w:p>
    <w:tbl>
      <w:tblPr>
        <w:tblStyle w:val="AERTable-Text"/>
        <w:tblW w:w="8497" w:type="dxa"/>
        <w:tblLook w:val="04A0" w:firstRow="1" w:lastRow="0" w:firstColumn="1" w:lastColumn="0" w:noHBand="0" w:noVBand="1"/>
      </w:tblPr>
      <w:tblGrid>
        <w:gridCol w:w="3262"/>
        <w:gridCol w:w="2235"/>
        <w:gridCol w:w="1273"/>
        <w:gridCol w:w="1727"/>
      </w:tblGrid>
      <w:tr w:rsidR="002B5434" w:rsidTr="002B5434">
        <w:trPr>
          <w:cnfStyle w:val="100000000000" w:firstRow="1" w:lastRow="0" w:firstColumn="0" w:lastColumn="0" w:oddVBand="0" w:evenVBand="0" w:oddHBand="0" w:evenHBand="0" w:firstRowFirstColumn="0" w:firstRowLastColumn="0" w:lastRowFirstColumn="0" w:lastRowLastColumn="0"/>
        </w:trPr>
        <w:tc>
          <w:tcPr>
            <w:tcW w:w="3262" w:type="dxa"/>
          </w:tcPr>
          <w:p w:rsidR="002B5434" w:rsidRPr="000811DF" w:rsidRDefault="002B5434" w:rsidP="002B5434">
            <w:r w:rsidRPr="000811DF">
              <w:t xml:space="preserve">Income level </w:t>
            </w:r>
          </w:p>
        </w:tc>
        <w:tc>
          <w:tcPr>
            <w:tcW w:w="2235" w:type="dxa"/>
          </w:tcPr>
          <w:p w:rsidR="002B5434" w:rsidRPr="000811DF" w:rsidRDefault="002B5434" w:rsidP="002B5434">
            <w:r w:rsidRPr="000811DF">
              <w:t>Annual consumption</w:t>
            </w:r>
          </w:p>
        </w:tc>
        <w:tc>
          <w:tcPr>
            <w:tcW w:w="1273" w:type="dxa"/>
          </w:tcPr>
          <w:p w:rsidR="002B5434" w:rsidRPr="000811DF" w:rsidRDefault="002B5434" w:rsidP="002B5434">
            <w:r w:rsidRPr="000811DF">
              <w:t>Annual bill ($)</w:t>
            </w:r>
          </w:p>
        </w:tc>
        <w:tc>
          <w:tcPr>
            <w:tcW w:w="1727" w:type="dxa"/>
          </w:tcPr>
          <w:p w:rsidR="002B5434" w:rsidRPr="000811DF" w:rsidRDefault="002B5434" w:rsidP="002B5434">
            <w:r w:rsidRPr="000811DF">
              <w:t>Proportion of annual income (%)</w:t>
            </w:r>
          </w:p>
        </w:tc>
      </w:tr>
      <w:tr w:rsidR="002B5434"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Electricity 7000 kWh</w:t>
            </w:r>
          </w:p>
        </w:tc>
        <w:tc>
          <w:tcPr>
            <w:tcW w:w="1273" w:type="dxa"/>
          </w:tcPr>
          <w:p w:rsidR="002B5434" w:rsidRPr="005C286A" w:rsidRDefault="002B5434" w:rsidP="002B5434">
            <w:pPr>
              <w:jc w:val="right"/>
            </w:pPr>
            <w:r w:rsidRPr="005C286A">
              <w:t>1507</w:t>
            </w:r>
          </w:p>
        </w:tc>
        <w:tc>
          <w:tcPr>
            <w:tcW w:w="1727" w:type="dxa"/>
          </w:tcPr>
          <w:p w:rsidR="002B5434" w:rsidRPr="005C286A" w:rsidRDefault="002B5434" w:rsidP="002B5434">
            <w:pPr>
              <w:jc w:val="right"/>
            </w:pPr>
            <w:r w:rsidRPr="005C286A">
              <w:t>3.0</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t>Electricity 70</w:t>
            </w:r>
            <w:r w:rsidRPr="00193D95">
              <w:t>00 kWh</w:t>
            </w:r>
          </w:p>
        </w:tc>
        <w:tc>
          <w:tcPr>
            <w:tcW w:w="1273" w:type="dxa"/>
          </w:tcPr>
          <w:p w:rsidR="002B5434" w:rsidRPr="005C286A" w:rsidRDefault="002B5434" w:rsidP="002B5434">
            <w:pPr>
              <w:jc w:val="right"/>
            </w:pPr>
            <w:r w:rsidRPr="005C286A">
              <w:t>1696</w:t>
            </w:r>
          </w:p>
        </w:tc>
        <w:tc>
          <w:tcPr>
            <w:tcW w:w="1727" w:type="dxa"/>
          </w:tcPr>
          <w:p w:rsidR="002B5434" w:rsidRPr="005C286A" w:rsidRDefault="002B5434" w:rsidP="002B5434">
            <w:pPr>
              <w:jc w:val="right"/>
            </w:pPr>
            <w:r w:rsidRPr="005C286A">
              <w:t>3.3</w:t>
            </w:r>
          </w:p>
        </w:tc>
      </w:tr>
      <w:tr w:rsidR="002B5434"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t>Electricity 80</w:t>
            </w:r>
            <w:r w:rsidRPr="00193D95">
              <w:t>00 kWh</w:t>
            </w:r>
          </w:p>
        </w:tc>
        <w:tc>
          <w:tcPr>
            <w:tcW w:w="1273" w:type="dxa"/>
          </w:tcPr>
          <w:p w:rsidR="002B5434" w:rsidRPr="005C286A" w:rsidRDefault="002B5434" w:rsidP="002B5434">
            <w:pPr>
              <w:jc w:val="right"/>
            </w:pPr>
            <w:r w:rsidRPr="005C286A">
              <w:t>1879</w:t>
            </w:r>
          </w:p>
        </w:tc>
        <w:tc>
          <w:tcPr>
            <w:tcW w:w="1727" w:type="dxa"/>
          </w:tcPr>
          <w:p w:rsidR="002B5434" w:rsidRPr="005C286A" w:rsidRDefault="002B5434" w:rsidP="002B5434">
            <w:pPr>
              <w:jc w:val="right"/>
            </w:pPr>
            <w:r w:rsidRPr="005C286A">
              <w:t>1.0</w:t>
            </w:r>
          </w:p>
        </w:tc>
      </w:tr>
      <w:tr w:rsidR="002B5434"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t>Electricity 80</w:t>
            </w:r>
            <w:r w:rsidRPr="00193D95">
              <w:t>00 kWh</w:t>
            </w:r>
          </w:p>
        </w:tc>
        <w:tc>
          <w:tcPr>
            <w:tcW w:w="1273" w:type="dxa"/>
          </w:tcPr>
          <w:p w:rsidR="002B5434" w:rsidRPr="005C286A" w:rsidRDefault="002B5434" w:rsidP="002B5434">
            <w:pPr>
              <w:jc w:val="right"/>
            </w:pPr>
            <w:r w:rsidRPr="005C286A">
              <w:t>1879</w:t>
            </w:r>
          </w:p>
        </w:tc>
        <w:tc>
          <w:tcPr>
            <w:tcW w:w="1727" w:type="dxa"/>
          </w:tcPr>
          <w:p w:rsidR="002B5434" w:rsidRDefault="002B5434" w:rsidP="002B5434">
            <w:pPr>
              <w:jc w:val="right"/>
            </w:pPr>
            <w:r w:rsidRPr="005C286A">
              <w:t>0.5</w:t>
            </w:r>
          </w:p>
        </w:tc>
      </w:tr>
      <w:tr w:rsidR="002B5434" w:rsidRPr="007F4791" w:rsidTr="002B5434">
        <w:tc>
          <w:tcPr>
            <w:tcW w:w="3262" w:type="dxa"/>
          </w:tcPr>
          <w:p w:rsidR="002B5434" w:rsidRPr="00193D95" w:rsidRDefault="002B5434" w:rsidP="002B5434">
            <w:r w:rsidRPr="00193D95">
              <w:t>Low income - with concession</w:t>
            </w:r>
          </w:p>
        </w:tc>
        <w:tc>
          <w:tcPr>
            <w:tcW w:w="2235" w:type="dxa"/>
          </w:tcPr>
          <w:p w:rsidR="002B5434" w:rsidRPr="00193D95" w:rsidRDefault="002B5434" w:rsidP="002B5434">
            <w:r>
              <w:t xml:space="preserve">Gas 48 </w:t>
            </w:r>
            <w:r w:rsidRPr="00193D95">
              <w:t>000 MJ</w:t>
            </w:r>
          </w:p>
        </w:tc>
        <w:tc>
          <w:tcPr>
            <w:tcW w:w="1273" w:type="dxa"/>
          </w:tcPr>
          <w:p w:rsidR="002B5434" w:rsidRPr="002E1584" w:rsidRDefault="002B5434" w:rsidP="002B5434">
            <w:pPr>
              <w:jc w:val="right"/>
            </w:pPr>
            <w:r w:rsidRPr="002E1584">
              <w:t>1428</w:t>
            </w:r>
          </w:p>
        </w:tc>
        <w:tc>
          <w:tcPr>
            <w:tcW w:w="1727" w:type="dxa"/>
          </w:tcPr>
          <w:p w:rsidR="002B5434" w:rsidRPr="002E1584" w:rsidRDefault="002B5434" w:rsidP="002B5434">
            <w:pPr>
              <w:jc w:val="right"/>
            </w:pPr>
            <w:r w:rsidRPr="002E1584">
              <w:t>2.8</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Low income - without concession</w:t>
            </w:r>
          </w:p>
        </w:tc>
        <w:tc>
          <w:tcPr>
            <w:tcW w:w="2235" w:type="dxa"/>
          </w:tcPr>
          <w:p w:rsidR="002B5434" w:rsidRPr="00193D95" w:rsidRDefault="002B5434" w:rsidP="002B5434">
            <w:r w:rsidRPr="006109CD">
              <w:t>Gas 48</w:t>
            </w:r>
            <w:r>
              <w:t xml:space="preserve"> </w:t>
            </w:r>
            <w:r w:rsidRPr="006109CD">
              <w:t>000 MJ</w:t>
            </w:r>
          </w:p>
        </w:tc>
        <w:tc>
          <w:tcPr>
            <w:tcW w:w="1273" w:type="dxa"/>
          </w:tcPr>
          <w:p w:rsidR="002B5434" w:rsidRPr="002E1584" w:rsidRDefault="002B5434" w:rsidP="002B5434">
            <w:pPr>
              <w:jc w:val="right"/>
            </w:pPr>
            <w:r w:rsidRPr="002E1584">
              <w:t>1618</w:t>
            </w:r>
          </w:p>
        </w:tc>
        <w:tc>
          <w:tcPr>
            <w:tcW w:w="1727" w:type="dxa"/>
          </w:tcPr>
          <w:p w:rsidR="002B5434" w:rsidRPr="002E1584" w:rsidRDefault="002B5434" w:rsidP="002B5434">
            <w:pPr>
              <w:jc w:val="right"/>
            </w:pPr>
            <w:r w:rsidRPr="002E1584">
              <w:t>3.2</w:t>
            </w:r>
          </w:p>
        </w:tc>
      </w:tr>
      <w:tr w:rsidR="002B5434" w:rsidRPr="007F4791" w:rsidTr="002B5434">
        <w:tc>
          <w:tcPr>
            <w:tcW w:w="3262" w:type="dxa"/>
          </w:tcPr>
          <w:p w:rsidR="002B5434" w:rsidRPr="00193D95" w:rsidRDefault="002B5434" w:rsidP="002B5434">
            <w:r w:rsidRPr="00193D95">
              <w:t>Middle income</w:t>
            </w:r>
          </w:p>
        </w:tc>
        <w:tc>
          <w:tcPr>
            <w:tcW w:w="2235" w:type="dxa"/>
          </w:tcPr>
          <w:p w:rsidR="002B5434" w:rsidRPr="00193D95" w:rsidRDefault="002B5434" w:rsidP="002B5434">
            <w:r w:rsidRPr="006109CD">
              <w:t>Gas 48</w:t>
            </w:r>
            <w:r>
              <w:t xml:space="preserve"> </w:t>
            </w:r>
            <w:r w:rsidRPr="006109CD">
              <w:t>000 MJ</w:t>
            </w:r>
          </w:p>
        </w:tc>
        <w:tc>
          <w:tcPr>
            <w:tcW w:w="1273" w:type="dxa"/>
          </w:tcPr>
          <w:p w:rsidR="002B5434" w:rsidRPr="002E1584" w:rsidRDefault="002B5434" w:rsidP="002B5434">
            <w:pPr>
              <w:jc w:val="right"/>
            </w:pPr>
            <w:r w:rsidRPr="002E1584">
              <w:t>1618</w:t>
            </w:r>
          </w:p>
        </w:tc>
        <w:tc>
          <w:tcPr>
            <w:tcW w:w="1727" w:type="dxa"/>
          </w:tcPr>
          <w:p w:rsidR="002B5434" w:rsidRPr="002E1584" w:rsidRDefault="002B5434" w:rsidP="002B5434">
            <w:pPr>
              <w:jc w:val="right"/>
            </w:pPr>
            <w:r w:rsidRPr="002E1584">
              <w:t>0.9</w:t>
            </w:r>
          </w:p>
        </w:tc>
      </w:tr>
      <w:tr w:rsidR="002B5434" w:rsidRPr="007F4791" w:rsidTr="002B5434">
        <w:trPr>
          <w:cnfStyle w:val="000000010000" w:firstRow="0" w:lastRow="0" w:firstColumn="0" w:lastColumn="0" w:oddVBand="0" w:evenVBand="0" w:oddHBand="0" w:evenHBand="1" w:firstRowFirstColumn="0" w:firstRowLastColumn="0" w:lastRowFirstColumn="0" w:lastRowLastColumn="0"/>
        </w:trPr>
        <w:tc>
          <w:tcPr>
            <w:tcW w:w="3262" w:type="dxa"/>
          </w:tcPr>
          <w:p w:rsidR="002B5434" w:rsidRPr="00193D95" w:rsidRDefault="002B5434" w:rsidP="002B5434">
            <w:r w:rsidRPr="00193D95">
              <w:t>High income</w:t>
            </w:r>
          </w:p>
        </w:tc>
        <w:tc>
          <w:tcPr>
            <w:tcW w:w="2235" w:type="dxa"/>
          </w:tcPr>
          <w:p w:rsidR="002B5434" w:rsidRPr="00193D95" w:rsidRDefault="002B5434" w:rsidP="002B5434">
            <w:r w:rsidRPr="006109CD">
              <w:t>Gas 48</w:t>
            </w:r>
            <w:r>
              <w:t xml:space="preserve"> </w:t>
            </w:r>
            <w:r w:rsidRPr="006109CD">
              <w:t>000 MJ</w:t>
            </w:r>
          </w:p>
        </w:tc>
        <w:tc>
          <w:tcPr>
            <w:tcW w:w="1273" w:type="dxa"/>
          </w:tcPr>
          <w:p w:rsidR="002B5434" w:rsidRPr="002E1584" w:rsidRDefault="002B5434" w:rsidP="002B5434">
            <w:pPr>
              <w:jc w:val="right"/>
            </w:pPr>
            <w:r w:rsidRPr="002E1584">
              <w:t>1618</w:t>
            </w:r>
          </w:p>
        </w:tc>
        <w:tc>
          <w:tcPr>
            <w:tcW w:w="1727" w:type="dxa"/>
          </w:tcPr>
          <w:p w:rsidR="002B5434" w:rsidRDefault="002B5434" w:rsidP="002B5434">
            <w:pPr>
              <w:jc w:val="right"/>
            </w:pPr>
            <w:r w:rsidRPr="002E1584">
              <w:t>0.4</w:t>
            </w:r>
          </w:p>
        </w:tc>
      </w:tr>
    </w:tbl>
    <w:p w:rsidR="002B5434" w:rsidRDefault="002B5434" w:rsidP="002B5434"/>
    <w:p w:rsidR="002B5434" w:rsidRDefault="002B5434">
      <w:pPr>
        <w:rPr>
          <w:b/>
        </w:rPr>
      </w:pPr>
      <w:r>
        <w:rPr>
          <w:b/>
        </w:rPr>
        <w:br w:type="page"/>
      </w:r>
    </w:p>
    <w:p w:rsidR="005F20C2" w:rsidRDefault="005F20C2" w:rsidP="005F20C2">
      <w:pPr>
        <w:pStyle w:val="ChapterTitle"/>
        <w:numPr>
          <w:ilvl w:val="0"/>
          <w:numId w:val="10"/>
        </w:numPr>
      </w:pPr>
      <w:bookmarkStart w:id="121" w:name="_Toc402961436"/>
      <w:r>
        <w:lastRenderedPageBreak/>
        <w:t>Appendices</w:t>
      </w:r>
      <w:bookmarkEnd w:id="121"/>
    </w:p>
    <w:p w:rsidR="005F20C2" w:rsidRDefault="005F20C2">
      <w:pPr>
        <w:rPr>
          <w:rFonts w:eastAsiaTheme="majorEastAsia" w:cs="Arial"/>
          <w:b/>
          <w:bCs/>
          <w:color w:val="70635A"/>
          <w:sz w:val="36"/>
          <w:szCs w:val="36"/>
        </w:rPr>
      </w:pPr>
      <w:r>
        <w:rPr>
          <w:rFonts w:eastAsiaTheme="majorEastAsia" w:cs="Arial"/>
          <w:b/>
          <w:bCs/>
          <w:color w:val="70635A"/>
          <w:sz w:val="36"/>
          <w:szCs w:val="36"/>
        </w:rPr>
        <w:br w:type="page"/>
      </w:r>
    </w:p>
    <w:p w:rsidR="00980FDB" w:rsidRPr="00E17DEC" w:rsidRDefault="00980FDB" w:rsidP="00E17DEC">
      <w:pPr>
        <w:pStyle w:val="Headingnumbered11"/>
        <w:numPr>
          <w:ilvl w:val="0"/>
          <w:numId w:val="0"/>
        </w:numPr>
      </w:pPr>
      <w:bookmarkStart w:id="122" w:name="_Toc402959765"/>
      <w:bookmarkStart w:id="123" w:name="_Toc402961437"/>
      <w:r w:rsidRPr="00E17DEC">
        <w:lastRenderedPageBreak/>
        <w:t>Appendix 1: Customer profile of retailers in this report</w:t>
      </w:r>
      <w:bookmarkEnd w:id="122"/>
      <w:bookmarkEnd w:id="123"/>
    </w:p>
    <w:tbl>
      <w:tblPr>
        <w:tblStyle w:val="AERTable-Text"/>
        <w:tblW w:w="0" w:type="auto"/>
        <w:tblLook w:val="04A0" w:firstRow="1" w:lastRow="0" w:firstColumn="1" w:lastColumn="0" w:noHBand="0" w:noVBand="1"/>
      </w:tblPr>
      <w:tblGrid>
        <w:gridCol w:w="3402"/>
        <w:gridCol w:w="1228"/>
        <w:gridCol w:w="1228"/>
        <w:gridCol w:w="1228"/>
        <w:gridCol w:w="1228"/>
      </w:tblGrid>
      <w:tr w:rsidR="00980FDB" w:rsidTr="007311C3">
        <w:trPr>
          <w:cnfStyle w:val="100000000000" w:firstRow="1" w:lastRow="0" w:firstColumn="0" w:lastColumn="0" w:oddVBand="0" w:evenVBand="0" w:oddHBand="0" w:evenHBand="0" w:firstRowFirstColumn="0" w:firstRowLastColumn="0" w:lastRowFirstColumn="0" w:lastRowLastColumn="0"/>
        </w:trPr>
        <w:tc>
          <w:tcPr>
            <w:tcW w:w="3402" w:type="dxa"/>
          </w:tcPr>
          <w:p w:rsidR="00980FDB" w:rsidRPr="007D6D1E" w:rsidRDefault="00E17DEC" w:rsidP="00980FDB">
            <w:r>
              <w:t>New South Wales</w:t>
            </w:r>
          </w:p>
        </w:tc>
        <w:tc>
          <w:tcPr>
            <w:tcW w:w="2456" w:type="dxa"/>
            <w:gridSpan w:val="2"/>
          </w:tcPr>
          <w:p w:rsidR="00980FDB" w:rsidRPr="007D6D1E" w:rsidRDefault="00980FDB" w:rsidP="00980FDB">
            <w:pPr>
              <w:jc w:val="center"/>
            </w:pPr>
            <w:r w:rsidRPr="007D6D1E">
              <w:t>Electricity</w:t>
            </w:r>
          </w:p>
        </w:tc>
        <w:tc>
          <w:tcPr>
            <w:tcW w:w="2456" w:type="dxa"/>
            <w:gridSpan w:val="2"/>
          </w:tcPr>
          <w:p w:rsidR="00980FDB" w:rsidRPr="007D6D1E" w:rsidRDefault="00980FDB" w:rsidP="00980FDB">
            <w:pPr>
              <w:jc w:val="center"/>
            </w:pPr>
            <w:r w:rsidRPr="007D6D1E">
              <w:t>Gas</w:t>
            </w:r>
          </w:p>
        </w:tc>
      </w:tr>
      <w:tr w:rsidR="00980FDB" w:rsidTr="007311C3">
        <w:tc>
          <w:tcPr>
            <w:tcW w:w="3402" w:type="dxa"/>
          </w:tcPr>
          <w:p w:rsidR="00980FDB" w:rsidRPr="006E76B9" w:rsidRDefault="00980FDB" w:rsidP="00980FDB">
            <w:pPr>
              <w:rPr>
                <w:b/>
              </w:rPr>
            </w:pPr>
            <w:r w:rsidRPr="006E76B9">
              <w:rPr>
                <w:b/>
              </w:rPr>
              <w:t>Retailer</w:t>
            </w:r>
          </w:p>
        </w:tc>
        <w:tc>
          <w:tcPr>
            <w:tcW w:w="1228" w:type="dxa"/>
          </w:tcPr>
          <w:p w:rsidR="00980FDB" w:rsidRPr="009E4964" w:rsidRDefault="00980FDB" w:rsidP="00980FDB">
            <w:pPr>
              <w:jc w:val="center"/>
              <w:rPr>
                <w:b/>
              </w:rPr>
            </w:pPr>
            <w:r w:rsidRPr="009E4964">
              <w:rPr>
                <w:b/>
              </w:rPr>
              <w:t>Small customers</w:t>
            </w:r>
          </w:p>
        </w:tc>
        <w:tc>
          <w:tcPr>
            <w:tcW w:w="1228" w:type="dxa"/>
          </w:tcPr>
          <w:p w:rsidR="00980FDB" w:rsidRPr="009E4964" w:rsidRDefault="00980FDB" w:rsidP="00980FDB">
            <w:pPr>
              <w:jc w:val="center"/>
              <w:rPr>
                <w:b/>
              </w:rPr>
            </w:pPr>
            <w:r w:rsidRPr="009E4964">
              <w:rPr>
                <w:b/>
              </w:rPr>
              <w:t>Large customers</w:t>
            </w:r>
          </w:p>
        </w:tc>
        <w:tc>
          <w:tcPr>
            <w:tcW w:w="1228" w:type="dxa"/>
          </w:tcPr>
          <w:p w:rsidR="00980FDB" w:rsidRPr="009E4964" w:rsidRDefault="00980FDB" w:rsidP="00980FDB">
            <w:pPr>
              <w:jc w:val="center"/>
              <w:rPr>
                <w:b/>
              </w:rPr>
            </w:pPr>
            <w:r w:rsidRPr="009E4964">
              <w:rPr>
                <w:b/>
              </w:rPr>
              <w:t>Small customers</w:t>
            </w:r>
          </w:p>
        </w:tc>
        <w:tc>
          <w:tcPr>
            <w:tcW w:w="1228" w:type="dxa"/>
          </w:tcPr>
          <w:p w:rsidR="00980FDB" w:rsidRPr="009E4964" w:rsidRDefault="00980FDB" w:rsidP="00980FDB">
            <w:pPr>
              <w:jc w:val="center"/>
              <w:rPr>
                <w:b/>
              </w:rPr>
            </w:pPr>
            <w:r w:rsidRPr="009E4964">
              <w:rPr>
                <w:b/>
              </w:rPr>
              <w:t>Large customers</w:t>
            </w: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proofErr w:type="spellStart"/>
            <w:r w:rsidRPr="009E4964">
              <w:t>ActewAGL</w:t>
            </w:r>
            <w:proofErr w:type="spellEnd"/>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r>
      <w:tr w:rsidR="00980FDB" w:rsidTr="007311C3">
        <w:tc>
          <w:tcPr>
            <w:tcW w:w="3402" w:type="dxa"/>
          </w:tcPr>
          <w:p w:rsidR="00980FDB" w:rsidRPr="009E4964" w:rsidRDefault="001F2C30" w:rsidP="001F2C30">
            <w:pPr>
              <w:rPr>
                <w:b/>
              </w:rPr>
            </w:pPr>
            <w:r>
              <w:t>AGL</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Alinta Energy</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Aurora Energy</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Blue NRG</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Click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CovaU</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Diamond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Dodo Power &amp; Gas</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EnergyAustralia</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EnergyAustralia Yallourn</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ERM Power Retail</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GoEnergy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Infigen Energy Markets</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Lumo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r>
      <w:tr w:rsidR="00980FDB" w:rsidTr="007311C3">
        <w:tc>
          <w:tcPr>
            <w:tcW w:w="3402" w:type="dxa"/>
          </w:tcPr>
          <w:p w:rsidR="00980FDB" w:rsidRPr="009E4964" w:rsidRDefault="00980FDB" w:rsidP="00980FDB">
            <w:pPr>
              <w:rPr>
                <w:b/>
              </w:rPr>
            </w:pPr>
            <w:r w:rsidRPr="009E4964">
              <w:t>Momentum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Origin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r>
      <w:tr w:rsidR="00980FDB" w:rsidTr="007311C3">
        <w:tc>
          <w:tcPr>
            <w:tcW w:w="3402" w:type="dxa"/>
          </w:tcPr>
          <w:p w:rsidR="00980FDB" w:rsidRPr="009E4964" w:rsidRDefault="00980FDB" w:rsidP="00980FDB">
            <w:pPr>
              <w:rPr>
                <w:b/>
              </w:rPr>
            </w:pPr>
            <w:r w:rsidRPr="009E4964">
              <w:t>Powerdirect</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Progressive Green</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QEnergy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Red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c>
          <w:tcPr>
            <w:tcW w:w="3402" w:type="dxa"/>
          </w:tcPr>
          <w:p w:rsidR="00980FDB" w:rsidRPr="009E4964" w:rsidRDefault="00980FDB" w:rsidP="00980FDB">
            <w:pPr>
              <w:rPr>
                <w:b/>
              </w:rPr>
            </w:pPr>
            <w:r w:rsidRPr="009E4964">
              <w:t>Sanctuary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980FDB"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980FDB" w:rsidRPr="009E4964" w:rsidRDefault="00980FDB" w:rsidP="00980FDB">
            <w:pPr>
              <w:rPr>
                <w:b/>
              </w:rPr>
            </w:pPr>
            <w:r w:rsidRPr="009E4964">
              <w:t>Simply Energy</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r w:rsidRPr="009E4964">
              <w:t>X</w:t>
            </w:r>
          </w:p>
        </w:tc>
        <w:tc>
          <w:tcPr>
            <w:tcW w:w="1228" w:type="dxa"/>
          </w:tcPr>
          <w:p w:rsidR="00980FDB" w:rsidRPr="009E4964" w:rsidRDefault="00980FDB" w:rsidP="00980FDB">
            <w:pPr>
              <w:jc w:val="center"/>
            </w:pPr>
          </w:p>
        </w:tc>
        <w:tc>
          <w:tcPr>
            <w:tcW w:w="1228" w:type="dxa"/>
          </w:tcPr>
          <w:p w:rsidR="00980FDB" w:rsidRPr="009E4964" w:rsidRDefault="00980FDB" w:rsidP="00980FDB">
            <w:pPr>
              <w:jc w:val="center"/>
            </w:pPr>
          </w:p>
        </w:tc>
      </w:tr>
      <w:tr w:rsidR="00E17DEC" w:rsidTr="007311C3">
        <w:tc>
          <w:tcPr>
            <w:tcW w:w="3402" w:type="dxa"/>
          </w:tcPr>
          <w:p w:rsidR="00E17DEC" w:rsidRPr="00C42C6E" w:rsidRDefault="00E17DEC" w:rsidP="00E17DEC">
            <w:r w:rsidRPr="00C42C6E">
              <w:t>Stanwell</w:t>
            </w:r>
          </w:p>
        </w:tc>
        <w:tc>
          <w:tcPr>
            <w:tcW w:w="1228" w:type="dxa"/>
          </w:tcPr>
          <w:p w:rsidR="00E17DEC" w:rsidRPr="00C42C6E" w:rsidRDefault="00E17DEC" w:rsidP="00E17DEC">
            <w:pPr>
              <w:jc w:val="center"/>
            </w:pPr>
          </w:p>
        </w:tc>
        <w:tc>
          <w:tcPr>
            <w:tcW w:w="1228" w:type="dxa"/>
          </w:tcPr>
          <w:p w:rsidR="00E17DEC" w:rsidRPr="00C42C6E" w:rsidRDefault="00E17DEC" w:rsidP="00E17DEC">
            <w:pPr>
              <w:jc w:val="center"/>
            </w:pPr>
            <w:r w:rsidRPr="00C42C6E">
              <w:t>X</w:t>
            </w:r>
          </w:p>
        </w:tc>
        <w:tc>
          <w:tcPr>
            <w:tcW w:w="1228" w:type="dxa"/>
          </w:tcPr>
          <w:p w:rsidR="00E17DEC" w:rsidRPr="00C42C6E" w:rsidRDefault="00E17DEC" w:rsidP="00E17DEC"/>
        </w:tc>
        <w:tc>
          <w:tcPr>
            <w:tcW w:w="1228" w:type="dxa"/>
          </w:tcPr>
          <w:p w:rsidR="00E17DEC" w:rsidRPr="00C42C6E" w:rsidRDefault="00E17DEC" w:rsidP="00E17DEC"/>
        </w:tc>
      </w:tr>
      <w:tr w:rsidR="00E17DEC"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E17DEC" w:rsidRPr="00C42C6E" w:rsidRDefault="00E17DEC" w:rsidP="00E17DEC">
            <w:proofErr w:type="spellStart"/>
            <w:r w:rsidRPr="00C42C6E">
              <w:t>WINenergy</w:t>
            </w:r>
            <w:proofErr w:type="spellEnd"/>
          </w:p>
        </w:tc>
        <w:tc>
          <w:tcPr>
            <w:tcW w:w="1228" w:type="dxa"/>
          </w:tcPr>
          <w:p w:rsidR="00E17DEC" w:rsidRPr="00C42C6E" w:rsidRDefault="00E17DEC" w:rsidP="00E17DEC">
            <w:pPr>
              <w:jc w:val="center"/>
            </w:pPr>
            <w:r w:rsidRPr="00C42C6E">
              <w:t>X</w:t>
            </w:r>
          </w:p>
        </w:tc>
        <w:tc>
          <w:tcPr>
            <w:tcW w:w="1228" w:type="dxa"/>
          </w:tcPr>
          <w:p w:rsidR="00E17DEC" w:rsidRPr="00C42C6E" w:rsidRDefault="00E17DEC" w:rsidP="00E17DEC">
            <w:pPr>
              <w:jc w:val="center"/>
            </w:pPr>
            <w:r w:rsidRPr="00C42C6E">
              <w:t>X</w:t>
            </w:r>
          </w:p>
        </w:tc>
        <w:tc>
          <w:tcPr>
            <w:tcW w:w="1228" w:type="dxa"/>
          </w:tcPr>
          <w:p w:rsidR="00E17DEC" w:rsidRPr="00C42C6E" w:rsidRDefault="00E17DEC" w:rsidP="00E17DEC"/>
        </w:tc>
        <w:tc>
          <w:tcPr>
            <w:tcW w:w="1228" w:type="dxa"/>
          </w:tcPr>
          <w:p w:rsidR="00E17DEC" w:rsidRDefault="00E17DEC" w:rsidP="00E17DEC"/>
        </w:tc>
      </w:tr>
    </w:tbl>
    <w:tbl>
      <w:tblPr>
        <w:tblStyle w:val="AERTable-Text"/>
        <w:tblpPr w:leftFromText="180" w:rightFromText="180" w:vertAnchor="text" w:horzAnchor="margin" w:tblpY="2"/>
        <w:tblW w:w="0" w:type="auto"/>
        <w:tblLook w:val="04A0" w:firstRow="1" w:lastRow="0" w:firstColumn="1" w:lastColumn="0" w:noHBand="0" w:noVBand="1"/>
      </w:tblPr>
      <w:tblGrid>
        <w:gridCol w:w="3402"/>
        <w:gridCol w:w="1329"/>
        <w:gridCol w:w="1329"/>
        <w:gridCol w:w="1329"/>
        <w:gridCol w:w="1329"/>
      </w:tblGrid>
      <w:tr w:rsidR="007311C3" w:rsidTr="007311C3">
        <w:trPr>
          <w:cnfStyle w:val="100000000000" w:firstRow="1" w:lastRow="0" w:firstColumn="0" w:lastColumn="0" w:oddVBand="0" w:evenVBand="0" w:oddHBand="0" w:evenHBand="0" w:firstRowFirstColumn="0" w:firstRowLastColumn="0" w:lastRowFirstColumn="0" w:lastRowLastColumn="0"/>
        </w:trPr>
        <w:tc>
          <w:tcPr>
            <w:tcW w:w="3402" w:type="dxa"/>
          </w:tcPr>
          <w:p w:rsidR="007311C3" w:rsidRDefault="00E17DEC" w:rsidP="007311C3">
            <w:r>
              <w:lastRenderedPageBreak/>
              <w:t>South Australia</w:t>
            </w:r>
          </w:p>
        </w:tc>
        <w:tc>
          <w:tcPr>
            <w:tcW w:w="2658" w:type="dxa"/>
            <w:gridSpan w:val="2"/>
          </w:tcPr>
          <w:p w:rsidR="007311C3" w:rsidRPr="00AD1A6B" w:rsidRDefault="007311C3" w:rsidP="007311C3">
            <w:pPr>
              <w:jc w:val="center"/>
            </w:pPr>
            <w:r w:rsidRPr="00AD1A6B">
              <w:t>Electricity</w:t>
            </w:r>
          </w:p>
        </w:tc>
        <w:tc>
          <w:tcPr>
            <w:tcW w:w="2658" w:type="dxa"/>
            <w:gridSpan w:val="2"/>
          </w:tcPr>
          <w:p w:rsidR="007311C3" w:rsidRPr="00AD1A6B" w:rsidRDefault="007311C3" w:rsidP="007311C3">
            <w:pPr>
              <w:jc w:val="center"/>
            </w:pPr>
            <w:r w:rsidRPr="00AD1A6B">
              <w:t>Gas</w:t>
            </w:r>
          </w:p>
        </w:tc>
      </w:tr>
      <w:tr w:rsidR="007311C3" w:rsidTr="007311C3">
        <w:tc>
          <w:tcPr>
            <w:tcW w:w="3402" w:type="dxa"/>
          </w:tcPr>
          <w:p w:rsidR="007311C3" w:rsidRPr="006E76B9" w:rsidRDefault="007311C3" w:rsidP="007311C3">
            <w:pPr>
              <w:rPr>
                <w:b/>
              </w:rPr>
            </w:pPr>
            <w:r w:rsidRPr="006E76B9">
              <w:rPr>
                <w:b/>
              </w:rPr>
              <w:t>Retailer</w:t>
            </w:r>
          </w:p>
        </w:tc>
        <w:tc>
          <w:tcPr>
            <w:tcW w:w="1329" w:type="dxa"/>
          </w:tcPr>
          <w:p w:rsidR="007311C3" w:rsidRPr="009E4964" w:rsidRDefault="007311C3" w:rsidP="007311C3">
            <w:pPr>
              <w:jc w:val="center"/>
              <w:rPr>
                <w:b/>
              </w:rPr>
            </w:pPr>
            <w:r w:rsidRPr="009E4964">
              <w:rPr>
                <w:b/>
              </w:rPr>
              <w:t>Small customers</w:t>
            </w:r>
          </w:p>
        </w:tc>
        <w:tc>
          <w:tcPr>
            <w:tcW w:w="1329" w:type="dxa"/>
          </w:tcPr>
          <w:p w:rsidR="007311C3" w:rsidRPr="009E4964" w:rsidRDefault="007311C3" w:rsidP="007311C3">
            <w:pPr>
              <w:jc w:val="center"/>
              <w:rPr>
                <w:b/>
              </w:rPr>
            </w:pPr>
            <w:r w:rsidRPr="009E4964">
              <w:rPr>
                <w:b/>
              </w:rPr>
              <w:t>Large customers</w:t>
            </w:r>
          </w:p>
        </w:tc>
        <w:tc>
          <w:tcPr>
            <w:tcW w:w="1329" w:type="dxa"/>
          </w:tcPr>
          <w:p w:rsidR="007311C3" w:rsidRPr="009E4964" w:rsidRDefault="007311C3" w:rsidP="007311C3">
            <w:pPr>
              <w:jc w:val="center"/>
              <w:rPr>
                <w:b/>
              </w:rPr>
            </w:pPr>
            <w:r w:rsidRPr="009E4964">
              <w:rPr>
                <w:b/>
              </w:rPr>
              <w:t>Small customers</w:t>
            </w:r>
          </w:p>
        </w:tc>
        <w:tc>
          <w:tcPr>
            <w:tcW w:w="1329" w:type="dxa"/>
          </w:tcPr>
          <w:p w:rsidR="007311C3" w:rsidRPr="009E4964" w:rsidRDefault="007311C3" w:rsidP="007311C3">
            <w:pPr>
              <w:jc w:val="center"/>
              <w:rPr>
                <w:b/>
              </w:rPr>
            </w:pPr>
            <w:r w:rsidRPr="009E4964">
              <w:rPr>
                <w:b/>
              </w:rPr>
              <w:t>Large customers</w:t>
            </w: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 xml:space="preserve">AGL </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r>
      <w:tr w:rsidR="007311C3" w:rsidTr="007311C3">
        <w:tc>
          <w:tcPr>
            <w:tcW w:w="3402" w:type="dxa"/>
          </w:tcPr>
          <w:p w:rsidR="007311C3" w:rsidRPr="009E4964" w:rsidRDefault="007311C3" w:rsidP="007311C3">
            <w:pPr>
              <w:rPr>
                <w:b/>
              </w:rPr>
            </w:pPr>
            <w:proofErr w:type="spellStart"/>
            <w:r w:rsidRPr="009E4964">
              <w:t>Alinta</w:t>
            </w:r>
            <w:proofErr w:type="spellEnd"/>
            <w:r w:rsidRPr="009E4964">
              <w:t xml:space="preserve">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Diamond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r w:rsidRPr="009E4964">
              <w:t>Dodo Power &amp; Gas</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proofErr w:type="spellStart"/>
            <w:r w:rsidRPr="009E4964">
              <w:t>EnergyAustralia</w:t>
            </w:r>
            <w:proofErr w:type="spellEnd"/>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r>
      <w:tr w:rsidR="007311C3" w:rsidTr="007311C3">
        <w:tc>
          <w:tcPr>
            <w:tcW w:w="3402" w:type="dxa"/>
          </w:tcPr>
          <w:p w:rsidR="007311C3" w:rsidRPr="009E4964" w:rsidRDefault="007311C3" w:rsidP="007311C3">
            <w:pPr>
              <w:rPr>
                <w:b/>
              </w:rPr>
            </w:pPr>
            <w:proofErr w:type="spellStart"/>
            <w:r w:rsidRPr="009E4964">
              <w:t>EnergyAustralia</w:t>
            </w:r>
            <w:proofErr w:type="spellEnd"/>
            <w:r w:rsidRPr="009E4964">
              <w:t xml:space="preserve"> Yallourn</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ERM Power Retail</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proofErr w:type="spellStart"/>
            <w:r w:rsidRPr="009E4964">
              <w:t>Lumo</w:t>
            </w:r>
            <w:proofErr w:type="spellEnd"/>
            <w:r w:rsidRPr="009E4964">
              <w:t xml:space="preserve">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Momentum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r w:rsidRPr="009E4964">
              <w:t>Origin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Pacific Hydro</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proofErr w:type="spellStart"/>
            <w:r w:rsidRPr="009E4964">
              <w:t>Powerdirect</w:t>
            </w:r>
            <w:proofErr w:type="spellEnd"/>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Progressive Green</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proofErr w:type="spellStart"/>
            <w:r w:rsidRPr="009E4964">
              <w:t>QEnergy</w:t>
            </w:r>
            <w:proofErr w:type="spellEnd"/>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Red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c>
          <w:tcPr>
            <w:tcW w:w="3402" w:type="dxa"/>
          </w:tcPr>
          <w:p w:rsidR="007311C3" w:rsidRPr="009E4964" w:rsidRDefault="007311C3" w:rsidP="007311C3">
            <w:pPr>
              <w:rPr>
                <w:b/>
              </w:rPr>
            </w:pPr>
            <w:r w:rsidRPr="009E4964">
              <w:t>Sanctuary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r w:rsidR="007311C3" w:rsidTr="007311C3">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7311C3">
            <w:pPr>
              <w:rPr>
                <w:b/>
              </w:rPr>
            </w:pPr>
            <w:r w:rsidRPr="009E4964">
              <w:t>Simply Energy</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r w:rsidRPr="009E4964">
              <w:t>X</w:t>
            </w:r>
          </w:p>
        </w:tc>
      </w:tr>
      <w:tr w:rsidR="007311C3" w:rsidTr="007311C3">
        <w:tc>
          <w:tcPr>
            <w:tcW w:w="3402" w:type="dxa"/>
          </w:tcPr>
          <w:p w:rsidR="007311C3" w:rsidRPr="009E4964" w:rsidRDefault="007311C3" w:rsidP="007311C3">
            <w:pPr>
              <w:rPr>
                <w:b/>
              </w:rPr>
            </w:pPr>
            <w:proofErr w:type="spellStart"/>
            <w:r w:rsidRPr="009E4964">
              <w:t>WINenergy</w:t>
            </w:r>
            <w:proofErr w:type="spellEnd"/>
          </w:p>
        </w:tc>
        <w:tc>
          <w:tcPr>
            <w:tcW w:w="1329" w:type="dxa"/>
          </w:tcPr>
          <w:p w:rsidR="007311C3" w:rsidRPr="009E4964" w:rsidRDefault="007311C3" w:rsidP="007311C3">
            <w:pPr>
              <w:jc w:val="center"/>
            </w:pPr>
            <w:r w:rsidRPr="009E4964">
              <w:t>X</w:t>
            </w: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c>
          <w:tcPr>
            <w:tcW w:w="1329" w:type="dxa"/>
          </w:tcPr>
          <w:p w:rsidR="007311C3" w:rsidRPr="009E4964" w:rsidRDefault="007311C3" w:rsidP="007311C3">
            <w:pPr>
              <w:jc w:val="center"/>
            </w:pPr>
          </w:p>
        </w:tc>
      </w:tr>
    </w:tbl>
    <w:p w:rsidR="009E4964" w:rsidRDefault="009E4964"/>
    <w:p w:rsidR="00E17DEC" w:rsidRDefault="00E17DEC">
      <w:r>
        <w:rPr>
          <w:b/>
        </w:rPr>
        <w:br w:type="page"/>
      </w:r>
    </w:p>
    <w:tbl>
      <w:tblPr>
        <w:tblStyle w:val="AERTable-Text"/>
        <w:tblpPr w:leftFromText="180" w:rightFromText="180" w:vertAnchor="text" w:horzAnchor="margin" w:tblpY="2"/>
        <w:tblW w:w="0" w:type="auto"/>
        <w:tblLook w:val="04A0" w:firstRow="1" w:lastRow="0" w:firstColumn="1" w:lastColumn="0" w:noHBand="0" w:noVBand="1"/>
      </w:tblPr>
      <w:tblGrid>
        <w:gridCol w:w="3402"/>
        <w:gridCol w:w="1329"/>
        <w:gridCol w:w="1329"/>
        <w:gridCol w:w="1329"/>
        <w:gridCol w:w="1329"/>
      </w:tblGrid>
      <w:tr w:rsidR="007311C3" w:rsidRPr="00AD1A6B" w:rsidTr="00E17DEC">
        <w:trPr>
          <w:cnfStyle w:val="100000000000" w:firstRow="1" w:lastRow="0" w:firstColumn="0" w:lastColumn="0" w:oddVBand="0" w:evenVBand="0" w:oddHBand="0" w:evenHBand="0" w:firstRowFirstColumn="0" w:firstRowLastColumn="0" w:lastRowFirstColumn="0" w:lastRowLastColumn="0"/>
        </w:trPr>
        <w:tc>
          <w:tcPr>
            <w:tcW w:w="3402" w:type="dxa"/>
          </w:tcPr>
          <w:p w:rsidR="007311C3" w:rsidRDefault="00E17DEC" w:rsidP="00E17DEC">
            <w:r>
              <w:lastRenderedPageBreak/>
              <w:t>ACT</w:t>
            </w:r>
          </w:p>
        </w:tc>
        <w:tc>
          <w:tcPr>
            <w:tcW w:w="2658" w:type="dxa"/>
            <w:gridSpan w:val="2"/>
          </w:tcPr>
          <w:p w:rsidR="007311C3" w:rsidRPr="00AD1A6B" w:rsidRDefault="007311C3" w:rsidP="00E17DEC">
            <w:pPr>
              <w:jc w:val="center"/>
            </w:pPr>
            <w:r w:rsidRPr="00AD1A6B">
              <w:t>Electricity</w:t>
            </w:r>
          </w:p>
        </w:tc>
        <w:tc>
          <w:tcPr>
            <w:tcW w:w="2658" w:type="dxa"/>
            <w:gridSpan w:val="2"/>
          </w:tcPr>
          <w:p w:rsidR="007311C3" w:rsidRPr="00AD1A6B" w:rsidRDefault="007311C3" w:rsidP="00E17DEC">
            <w:pPr>
              <w:jc w:val="center"/>
            </w:pPr>
            <w:r w:rsidRPr="00AD1A6B">
              <w:t>Gas</w:t>
            </w:r>
          </w:p>
        </w:tc>
      </w:tr>
      <w:tr w:rsidR="007311C3" w:rsidRPr="009E4964" w:rsidTr="00E17DEC">
        <w:tc>
          <w:tcPr>
            <w:tcW w:w="3402" w:type="dxa"/>
          </w:tcPr>
          <w:p w:rsidR="007311C3" w:rsidRPr="006E76B9" w:rsidRDefault="007311C3" w:rsidP="00E17DEC">
            <w:pPr>
              <w:rPr>
                <w:b/>
              </w:rPr>
            </w:pPr>
            <w:r w:rsidRPr="006E76B9">
              <w:rPr>
                <w:b/>
              </w:rPr>
              <w:t>Retailer</w:t>
            </w:r>
          </w:p>
        </w:tc>
        <w:tc>
          <w:tcPr>
            <w:tcW w:w="1329" w:type="dxa"/>
          </w:tcPr>
          <w:p w:rsidR="007311C3" w:rsidRPr="009E4964" w:rsidRDefault="007311C3" w:rsidP="00E17DEC">
            <w:pPr>
              <w:jc w:val="center"/>
              <w:rPr>
                <w:b/>
              </w:rPr>
            </w:pPr>
            <w:r w:rsidRPr="009E4964">
              <w:rPr>
                <w:b/>
              </w:rPr>
              <w:t>Small customers</w:t>
            </w:r>
          </w:p>
        </w:tc>
        <w:tc>
          <w:tcPr>
            <w:tcW w:w="1329" w:type="dxa"/>
          </w:tcPr>
          <w:p w:rsidR="007311C3" w:rsidRPr="009E4964" w:rsidRDefault="007311C3" w:rsidP="00E17DEC">
            <w:pPr>
              <w:jc w:val="center"/>
              <w:rPr>
                <w:b/>
              </w:rPr>
            </w:pPr>
            <w:r w:rsidRPr="009E4964">
              <w:rPr>
                <w:b/>
              </w:rPr>
              <w:t>Large customers</w:t>
            </w:r>
          </w:p>
        </w:tc>
        <w:tc>
          <w:tcPr>
            <w:tcW w:w="1329" w:type="dxa"/>
          </w:tcPr>
          <w:p w:rsidR="007311C3" w:rsidRPr="009E4964" w:rsidRDefault="007311C3" w:rsidP="00E17DEC">
            <w:pPr>
              <w:jc w:val="center"/>
              <w:rPr>
                <w:b/>
              </w:rPr>
            </w:pPr>
            <w:r w:rsidRPr="009E4964">
              <w:rPr>
                <w:b/>
              </w:rPr>
              <w:t>Small customers</w:t>
            </w:r>
          </w:p>
        </w:tc>
        <w:tc>
          <w:tcPr>
            <w:tcW w:w="1329" w:type="dxa"/>
          </w:tcPr>
          <w:p w:rsidR="007311C3" w:rsidRPr="009E4964" w:rsidRDefault="007311C3" w:rsidP="00E17DEC">
            <w:pPr>
              <w:jc w:val="center"/>
              <w:rPr>
                <w:b/>
              </w:rPr>
            </w:pPr>
            <w:r w:rsidRPr="009E4964">
              <w:rPr>
                <w:b/>
              </w:rPr>
              <w:t>Large customers</w:t>
            </w:r>
          </w:p>
        </w:tc>
      </w:tr>
      <w:tr w:rsidR="00FE0E47" w:rsidRPr="009E4964" w:rsidTr="00E17DEC">
        <w:trPr>
          <w:cnfStyle w:val="000000010000" w:firstRow="0" w:lastRow="0" w:firstColumn="0" w:lastColumn="0" w:oddVBand="0" w:evenVBand="0" w:oddHBand="0" w:evenHBand="1" w:firstRowFirstColumn="0" w:firstRowLastColumn="0" w:lastRowFirstColumn="0" w:lastRowLastColumn="0"/>
        </w:trPr>
        <w:tc>
          <w:tcPr>
            <w:tcW w:w="3402" w:type="dxa"/>
          </w:tcPr>
          <w:p w:rsidR="00FE0E47" w:rsidRPr="00415608" w:rsidRDefault="00FE0E47" w:rsidP="003A1E40">
            <w:proofErr w:type="spellStart"/>
            <w:r w:rsidRPr="00415608">
              <w:t>ActewAGL</w:t>
            </w:r>
            <w:proofErr w:type="spellEnd"/>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r>
      <w:tr w:rsidR="00FE0E47" w:rsidRPr="009E4964" w:rsidTr="00E17DEC">
        <w:tc>
          <w:tcPr>
            <w:tcW w:w="3402" w:type="dxa"/>
          </w:tcPr>
          <w:p w:rsidR="00FE0E47" w:rsidRPr="00415608" w:rsidRDefault="00FE0E47" w:rsidP="003A1E40">
            <w:r w:rsidRPr="00415608">
              <w:t>AGL</w:t>
            </w: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p>
        </w:tc>
        <w:tc>
          <w:tcPr>
            <w:tcW w:w="1329" w:type="dxa"/>
          </w:tcPr>
          <w:p w:rsidR="00FE0E47" w:rsidRPr="00415608" w:rsidRDefault="00FE0E47" w:rsidP="00FE0E47">
            <w:pPr>
              <w:jc w:val="center"/>
            </w:pPr>
          </w:p>
        </w:tc>
      </w:tr>
      <w:tr w:rsidR="00FE0E47" w:rsidRPr="009E4964" w:rsidTr="00E17DEC">
        <w:trPr>
          <w:cnfStyle w:val="000000010000" w:firstRow="0" w:lastRow="0" w:firstColumn="0" w:lastColumn="0" w:oddVBand="0" w:evenVBand="0" w:oddHBand="0" w:evenHBand="1" w:firstRowFirstColumn="0" w:firstRowLastColumn="0" w:lastRowFirstColumn="0" w:lastRowLastColumn="0"/>
        </w:trPr>
        <w:tc>
          <w:tcPr>
            <w:tcW w:w="3402" w:type="dxa"/>
          </w:tcPr>
          <w:p w:rsidR="00FE0E47" w:rsidRPr="00415608" w:rsidRDefault="00FE0E47" w:rsidP="003A1E40">
            <w:proofErr w:type="spellStart"/>
            <w:r w:rsidRPr="00415608">
              <w:t>Alinta</w:t>
            </w:r>
            <w:proofErr w:type="spellEnd"/>
            <w:r w:rsidRPr="00415608">
              <w:t xml:space="preserve"> Energy</w:t>
            </w:r>
          </w:p>
        </w:tc>
        <w:tc>
          <w:tcPr>
            <w:tcW w:w="1329" w:type="dxa"/>
          </w:tcPr>
          <w:p w:rsidR="00FE0E47" w:rsidRPr="00415608" w:rsidRDefault="00FE0E47" w:rsidP="00FE0E47">
            <w:pPr>
              <w:jc w:val="center"/>
            </w:pP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p>
        </w:tc>
        <w:tc>
          <w:tcPr>
            <w:tcW w:w="1329" w:type="dxa"/>
          </w:tcPr>
          <w:p w:rsidR="00FE0E47" w:rsidRPr="00415608" w:rsidRDefault="00FE0E47" w:rsidP="00FE0E47">
            <w:pPr>
              <w:jc w:val="center"/>
            </w:pPr>
          </w:p>
        </w:tc>
      </w:tr>
      <w:tr w:rsidR="00FE0E47" w:rsidRPr="009E4964" w:rsidTr="00E17DEC">
        <w:tc>
          <w:tcPr>
            <w:tcW w:w="3402" w:type="dxa"/>
          </w:tcPr>
          <w:p w:rsidR="00FE0E47" w:rsidRPr="00415608" w:rsidRDefault="00FE0E47" w:rsidP="003A1E40">
            <w:proofErr w:type="spellStart"/>
            <w:r w:rsidRPr="00415608">
              <w:t>EnergyAustralia</w:t>
            </w:r>
            <w:proofErr w:type="spellEnd"/>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c>
          <w:tcPr>
            <w:tcW w:w="1329" w:type="dxa"/>
          </w:tcPr>
          <w:p w:rsidR="00FE0E47" w:rsidRPr="00415608" w:rsidRDefault="00FE0E47" w:rsidP="00FE0E47">
            <w:pPr>
              <w:jc w:val="center"/>
            </w:pPr>
            <w:r w:rsidRPr="00415608">
              <w:t>X</w:t>
            </w:r>
          </w:p>
        </w:tc>
        <w:tc>
          <w:tcPr>
            <w:tcW w:w="1329" w:type="dxa"/>
          </w:tcPr>
          <w:p w:rsidR="00FE0E47" w:rsidRDefault="00FE0E47" w:rsidP="00FE0E47">
            <w:pPr>
              <w:jc w:val="center"/>
            </w:pPr>
            <w:r w:rsidRPr="00415608">
              <w:t>X</w:t>
            </w:r>
          </w:p>
        </w:tc>
      </w:tr>
      <w:tr w:rsidR="007311C3" w:rsidRPr="009E4964" w:rsidTr="00E17DEC">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E17DEC">
            <w:pPr>
              <w:rPr>
                <w:b/>
              </w:rPr>
            </w:pPr>
            <w:proofErr w:type="spellStart"/>
            <w:r w:rsidRPr="009E4964">
              <w:t>EnergyAustralia</w:t>
            </w:r>
            <w:proofErr w:type="spellEnd"/>
            <w:r w:rsidRPr="009E4964">
              <w:t xml:space="preserve"> Yallourn</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p>
        </w:tc>
      </w:tr>
      <w:tr w:rsidR="007311C3" w:rsidRPr="009E4964" w:rsidTr="00E17DEC">
        <w:tc>
          <w:tcPr>
            <w:tcW w:w="3402" w:type="dxa"/>
          </w:tcPr>
          <w:p w:rsidR="007311C3" w:rsidRPr="009E4964" w:rsidRDefault="007311C3" w:rsidP="00E17DEC">
            <w:pPr>
              <w:rPr>
                <w:b/>
              </w:rPr>
            </w:pPr>
            <w:r w:rsidRPr="009E4964">
              <w:t>ERM Power Retail</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p>
        </w:tc>
      </w:tr>
      <w:tr w:rsidR="007311C3" w:rsidRPr="009E4964" w:rsidTr="00E17DEC">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E17DEC">
            <w:pPr>
              <w:rPr>
                <w:b/>
              </w:rPr>
            </w:pPr>
            <w:r w:rsidRPr="009E4964">
              <w:t>Momentum</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p>
        </w:tc>
      </w:tr>
      <w:tr w:rsidR="007311C3" w:rsidRPr="009E4964" w:rsidTr="00E17DEC">
        <w:tc>
          <w:tcPr>
            <w:tcW w:w="3402" w:type="dxa"/>
          </w:tcPr>
          <w:p w:rsidR="007311C3" w:rsidRPr="009E4964" w:rsidRDefault="007311C3" w:rsidP="00E17DEC">
            <w:pPr>
              <w:rPr>
                <w:b/>
              </w:rPr>
            </w:pPr>
            <w:r w:rsidRPr="009E4964">
              <w:t>Origin Energy</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r>
      <w:tr w:rsidR="007311C3" w:rsidRPr="009E4964" w:rsidTr="00E17DEC">
        <w:trPr>
          <w:cnfStyle w:val="000000010000" w:firstRow="0" w:lastRow="0" w:firstColumn="0" w:lastColumn="0" w:oddVBand="0" w:evenVBand="0" w:oddHBand="0" w:evenHBand="1" w:firstRowFirstColumn="0" w:firstRowLastColumn="0" w:lastRowFirstColumn="0" w:lastRowLastColumn="0"/>
        </w:trPr>
        <w:tc>
          <w:tcPr>
            <w:tcW w:w="3402" w:type="dxa"/>
          </w:tcPr>
          <w:p w:rsidR="007311C3" w:rsidRPr="009E4964" w:rsidRDefault="007311C3" w:rsidP="00E17DEC">
            <w:pPr>
              <w:rPr>
                <w:b/>
              </w:rPr>
            </w:pPr>
            <w:proofErr w:type="spellStart"/>
            <w:r w:rsidRPr="009E4964">
              <w:t>Powerdirect</w:t>
            </w:r>
            <w:proofErr w:type="spellEnd"/>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p>
        </w:tc>
      </w:tr>
      <w:tr w:rsidR="007311C3" w:rsidRPr="009E4964" w:rsidTr="00E17DEC">
        <w:tc>
          <w:tcPr>
            <w:tcW w:w="3402" w:type="dxa"/>
          </w:tcPr>
          <w:p w:rsidR="007311C3" w:rsidRPr="009E4964" w:rsidRDefault="007311C3" w:rsidP="00E17DEC">
            <w:pPr>
              <w:rPr>
                <w:b/>
              </w:rPr>
            </w:pPr>
            <w:r w:rsidRPr="009E4964">
              <w:t>Red Energy</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r w:rsidRPr="009E4964">
              <w:t>X</w:t>
            </w:r>
          </w:p>
        </w:tc>
        <w:tc>
          <w:tcPr>
            <w:tcW w:w="1329" w:type="dxa"/>
          </w:tcPr>
          <w:p w:rsidR="007311C3" w:rsidRPr="009E4964" w:rsidRDefault="007311C3" w:rsidP="00E17DEC">
            <w:pPr>
              <w:jc w:val="center"/>
            </w:pPr>
          </w:p>
        </w:tc>
        <w:tc>
          <w:tcPr>
            <w:tcW w:w="1329" w:type="dxa"/>
          </w:tcPr>
          <w:p w:rsidR="007311C3" w:rsidRPr="009E4964" w:rsidRDefault="007311C3" w:rsidP="00E17DEC">
            <w:pPr>
              <w:jc w:val="center"/>
            </w:pPr>
          </w:p>
        </w:tc>
      </w:tr>
    </w:tbl>
    <w:p w:rsidR="00FE0E47" w:rsidRDefault="00FE0E47" w:rsidP="009E4964"/>
    <w:tbl>
      <w:tblPr>
        <w:tblStyle w:val="AERTable-Text"/>
        <w:tblpPr w:leftFromText="180" w:rightFromText="180" w:vertAnchor="text" w:horzAnchor="margin" w:tblpY="2"/>
        <w:tblW w:w="0" w:type="auto"/>
        <w:tblLook w:val="04A0" w:firstRow="1" w:lastRow="0" w:firstColumn="1" w:lastColumn="0" w:noHBand="0" w:noVBand="1"/>
      </w:tblPr>
      <w:tblGrid>
        <w:gridCol w:w="3402"/>
        <w:gridCol w:w="1329"/>
        <w:gridCol w:w="1329"/>
        <w:gridCol w:w="1329"/>
        <w:gridCol w:w="1329"/>
      </w:tblGrid>
      <w:tr w:rsidR="00FE0E47" w:rsidRPr="00AD1A6B" w:rsidTr="003A1E40">
        <w:trPr>
          <w:cnfStyle w:val="100000000000" w:firstRow="1" w:lastRow="0" w:firstColumn="0" w:lastColumn="0" w:oddVBand="0" w:evenVBand="0" w:oddHBand="0" w:evenHBand="0" w:firstRowFirstColumn="0" w:firstRowLastColumn="0" w:lastRowFirstColumn="0" w:lastRowLastColumn="0"/>
        </w:trPr>
        <w:tc>
          <w:tcPr>
            <w:tcW w:w="3402" w:type="dxa"/>
          </w:tcPr>
          <w:p w:rsidR="00FE0E47" w:rsidRDefault="00FE0E47" w:rsidP="003A1E40">
            <w:r>
              <w:t>Tasmania</w:t>
            </w:r>
          </w:p>
        </w:tc>
        <w:tc>
          <w:tcPr>
            <w:tcW w:w="2658" w:type="dxa"/>
            <w:gridSpan w:val="2"/>
          </w:tcPr>
          <w:p w:rsidR="00FE0E47" w:rsidRPr="00AD1A6B" w:rsidRDefault="00FE0E47" w:rsidP="003A1E40">
            <w:pPr>
              <w:jc w:val="center"/>
            </w:pPr>
            <w:r w:rsidRPr="00AD1A6B">
              <w:t>Electricity</w:t>
            </w:r>
          </w:p>
        </w:tc>
        <w:tc>
          <w:tcPr>
            <w:tcW w:w="2658" w:type="dxa"/>
            <w:gridSpan w:val="2"/>
          </w:tcPr>
          <w:p w:rsidR="00FE0E47" w:rsidRPr="00AD1A6B" w:rsidRDefault="00FE0E47" w:rsidP="003A1E40">
            <w:pPr>
              <w:jc w:val="center"/>
            </w:pPr>
            <w:r w:rsidRPr="00AD1A6B">
              <w:t>Gas</w:t>
            </w:r>
          </w:p>
        </w:tc>
      </w:tr>
      <w:tr w:rsidR="00FE0E47" w:rsidRPr="009E4964" w:rsidTr="003A1E40">
        <w:tc>
          <w:tcPr>
            <w:tcW w:w="3402" w:type="dxa"/>
          </w:tcPr>
          <w:p w:rsidR="00FE0E47" w:rsidRPr="006E76B9" w:rsidRDefault="00FE0E47" w:rsidP="003A1E40">
            <w:pPr>
              <w:rPr>
                <w:b/>
              </w:rPr>
            </w:pPr>
            <w:r w:rsidRPr="006E76B9">
              <w:rPr>
                <w:b/>
              </w:rPr>
              <w:t>Retailer</w:t>
            </w:r>
          </w:p>
        </w:tc>
        <w:tc>
          <w:tcPr>
            <w:tcW w:w="1329" w:type="dxa"/>
          </w:tcPr>
          <w:p w:rsidR="00FE0E47" w:rsidRPr="009E4964" w:rsidRDefault="00FE0E47" w:rsidP="003A1E40">
            <w:pPr>
              <w:jc w:val="center"/>
              <w:rPr>
                <w:b/>
              </w:rPr>
            </w:pPr>
            <w:r w:rsidRPr="009E4964">
              <w:rPr>
                <w:b/>
              </w:rPr>
              <w:t>Small customers</w:t>
            </w:r>
          </w:p>
        </w:tc>
        <w:tc>
          <w:tcPr>
            <w:tcW w:w="1329" w:type="dxa"/>
          </w:tcPr>
          <w:p w:rsidR="00FE0E47" w:rsidRPr="009E4964" w:rsidRDefault="00FE0E47" w:rsidP="003A1E40">
            <w:pPr>
              <w:jc w:val="center"/>
              <w:rPr>
                <w:b/>
              </w:rPr>
            </w:pPr>
            <w:r w:rsidRPr="009E4964">
              <w:rPr>
                <w:b/>
              </w:rPr>
              <w:t>Large customers</w:t>
            </w:r>
          </w:p>
        </w:tc>
        <w:tc>
          <w:tcPr>
            <w:tcW w:w="1329" w:type="dxa"/>
          </w:tcPr>
          <w:p w:rsidR="00FE0E47" w:rsidRPr="009E4964" w:rsidRDefault="00FE0E47" w:rsidP="003A1E40">
            <w:pPr>
              <w:jc w:val="center"/>
              <w:rPr>
                <w:b/>
              </w:rPr>
            </w:pPr>
            <w:r w:rsidRPr="009E4964">
              <w:rPr>
                <w:b/>
              </w:rPr>
              <w:t>Small customers</w:t>
            </w:r>
          </w:p>
        </w:tc>
        <w:tc>
          <w:tcPr>
            <w:tcW w:w="1329" w:type="dxa"/>
          </w:tcPr>
          <w:p w:rsidR="00FE0E47" w:rsidRPr="009E4964" w:rsidRDefault="00FE0E47" w:rsidP="003A1E40">
            <w:pPr>
              <w:jc w:val="center"/>
              <w:rPr>
                <w:b/>
              </w:rPr>
            </w:pPr>
            <w:r w:rsidRPr="009E4964">
              <w:rPr>
                <w:b/>
              </w:rPr>
              <w:t>Large customers</w:t>
            </w:r>
          </w:p>
        </w:tc>
      </w:tr>
      <w:tr w:rsidR="00FE0E47" w:rsidRPr="009E4964" w:rsidTr="003A1E40">
        <w:trPr>
          <w:cnfStyle w:val="000000010000" w:firstRow="0" w:lastRow="0" w:firstColumn="0" w:lastColumn="0" w:oddVBand="0" w:evenVBand="0" w:oddHBand="0" w:evenHBand="1" w:firstRowFirstColumn="0" w:firstRowLastColumn="0" w:lastRowFirstColumn="0" w:lastRowLastColumn="0"/>
        </w:trPr>
        <w:tc>
          <w:tcPr>
            <w:tcW w:w="3402" w:type="dxa"/>
          </w:tcPr>
          <w:p w:rsidR="00FE0E47" w:rsidRPr="009E4964" w:rsidRDefault="00FE0E47" w:rsidP="003A1E40">
            <w:pPr>
              <w:rPr>
                <w:b/>
              </w:rPr>
            </w:pPr>
            <w:r w:rsidRPr="009E4964">
              <w:t>Aurora</w:t>
            </w:r>
          </w:p>
        </w:tc>
        <w:tc>
          <w:tcPr>
            <w:tcW w:w="1329" w:type="dxa"/>
          </w:tcPr>
          <w:p w:rsidR="00FE0E47" w:rsidRPr="009E4964" w:rsidRDefault="00FE0E47" w:rsidP="003A1E40">
            <w:pPr>
              <w:jc w:val="center"/>
            </w:pPr>
            <w:r w:rsidRPr="009E4964">
              <w:t>X</w:t>
            </w:r>
          </w:p>
        </w:tc>
        <w:tc>
          <w:tcPr>
            <w:tcW w:w="1329" w:type="dxa"/>
          </w:tcPr>
          <w:p w:rsidR="00FE0E47" w:rsidRPr="009E4964" w:rsidRDefault="00FE0E47" w:rsidP="003A1E40">
            <w:pPr>
              <w:jc w:val="center"/>
            </w:pPr>
            <w:r w:rsidRPr="009E4964">
              <w:t>X</w:t>
            </w:r>
          </w:p>
        </w:tc>
        <w:tc>
          <w:tcPr>
            <w:tcW w:w="1329" w:type="dxa"/>
          </w:tcPr>
          <w:p w:rsidR="00FE0E47" w:rsidRPr="009E4964" w:rsidRDefault="00FE0E47" w:rsidP="003A1E40">
            <w:pPr>
              <w:jc w:val="center"/>
            </w:pPr>
          </w:p>
        </w:tc>
        <w:tc>
          <w:tcPr>
            <w:tcW w:w="1329" w:type="dxa"/>
          </w:tcPr>
          <w:p w:rsidR="00FE0E47" w:rsidRPr="009E4964" w:rsidRDefault="00FE0E47" w:rsidP="003A1E40">
            <w:pPr>
              <w:jc w:val="center"/>
            </w:pPr>
          </w:p>
        </w:tc>
      </w:tr>
      <w:tr w:rsidR="00FE0E47" w:rsidRPr="009E4964" w:rsidTr="003A1E40">
        <w:tc>
          <w:tcPr>
            <w:tcW w:w="3402" w:type="dxa"/>
          </w:tcPr>
          <w:p w:rsidR="00FE0E47" w:rsidRPr="009E4964" w:rsidRDefault="00FE0E47" w:rsidP="003A1E40">
            <w:pPr>
              <w:rPr>
                <w:b/>
              </w:rPr>
            </w:pPr>
            <w:r w:rsidRPr="009E4964">
              <w:t>ERM Power Retail</w:t>
            </w:r>
          </w:p>
        </w:tc>
        <w:tc>
          <w:tcPr>
            <w:tcW w:w="1329" w:type="dxa"/>
          </w:tcPr>
          <w:p w:rsidR="00FE0E47" w:rsidRPr="009E4964" w:rsidRDefault="00FE0E47" w:rsidP="003A1E40">
            <w:pPr>
              <w:jc w:val="center"/>
            </w:pPr>
          </w:p>
        </w:tc>
        <w:tc>
          <w:tcPr>
            <w:tcW w:w="1329" w:type="dxa"/>
          </w:tcPr>
          <w:p w:rsidR="00FE0E47" w:rsidRPr="009E4964" w:rsidRDefault="00FE0E47" w:rsidP="003A1E40">
            <w:pPr>
              <w:jc w:val="center"/>
            </w:pPr>
            <w:r w:rsidRPr="009E4964">
              <w:t>X</w:t>
            </w:r>
          </w:p>
        </w:tc>
        <w:tc>
          <w:tcPr>
            <w:tcW w:w="1329" w:type="dxa"/>
          </w:tcPr>
          <w:p w:rsidR="00FE0E47" w:rsidRPr="009E4964" w:rsidRDefault="00FE0E47" w:rsidP="003A1E40">
            <w:pPr>
              <w:jc w:val="center"/>
            </w:pPr>
          </w:p>
        </w:tc>
        <w:tc>
          <w:tcPr>
            <w:tcW w:w="1329" w:type="dxa"/>
          </w:tcPr>
          <w:p w:rsidR="00FE0E47" w:rsidRPr="009E4964" w:rsidRDefault="00FE0E47" w:rsidP="003A1E40">
            <w:pPr>
              <w:jc w:val="center"/>
            </w:pPr>
          </w:p>
        </w:tc>
      </w:tr>
      <w:tr w:rsidR="00FE0E47" w:rsidRPr="009E4964" w:rsidTr="003A1E40">
        <w:trPr>
          <w:cnfStyle w:val="000000010000" w:firstRow="0" w:lastRow="0" w:firstColumn="0" w:lastColumn="0" w:oddVBand="0" w:evenVBand="0" w:oddHBand="0" w:evenHBand="1" w:firstRowFirstColumn="0" w:firstRowLastColumn="0" w:lastRowFirstColumn="0" w:lastRowLastColumn="0"/>
        </w:trPr>
        <w:tc>
          <w:tcPr>
            <w:tcW w:w="3402" w:type="dxa"/>
          </w:tcPr>
          <w:p w:rsidR="00FE0E47" w:rsidRPr="009E4964" w:rsidRDefault="00FE0E47" w:rsidP="003A1E40">
            <w:pPr>
              <w:rPr>
                <w:b/>
              </w:rPr>
            </w:pPr>
            <w:r w:rsidRPr="009E4964">
              <w:t>Progressive Green</w:t>
            </w:r>
          </w:p>
        </w:tc>
        <w:tc>
          <w:tcPr>
            <w:tcW w:w="1329" w:type="dxa"/>
          </w:tcPr>
          <w:p w:rsidR="00FE0E47" w:rsidRPr="009E4964" w:rsidRDefault="00FE0E47" w:rsidP="003A1E40">
            <w:pPr>
              <w:jc w:val="center"/>
            </w:pPr>
          </w:p>
        </w:tc>
        <w:tc>
          <w:tcPr>
            <w:tcW w:w="1329" w:type="dxa"/>
          </w:tcPr>
          <w:p w:rsidR="00FE0E47" w:rsidRPr="009E4964" w:rsidRDefault="00FE0E47" w:rsidP="003A1E40">
            <w:pPr>
              <w:jc w:val="center"/>
            </w:pPr>
            <w:r w:rsidRPr="009E4964">
              <w:t>X</w:t>
            </w:r>
          </w:p>
        </w:tc>
        <w:tc>
          <w:tcPr>
            <w:tcW w:w="1329" w:type="dxa"/>
          </w:tcPr>
          <w:p w:rsidR="00FE0E47" w:rsidRPr="009E4964" w:rsidRDefault="00FE0E47" w:rsidP="003A1E40">
            <w:pPr>
              <w:jc w:val="center"/>
            </w:pPr>
          </w:p>
        </w:tc>
        <w:tc>
          <w:tcPr>
            <w:tcW w:w="1329" w:type="dxa"/>
          </w:tcPr>
          <w:p w:rsidR="00FE0E47" w:rsidRPr="009E4964" w:rsidRDefault="00FE0E47" w:rsidP="003A1E40">
            <w:pPr>
              <w:jc w:val="center"/>
            </w:pPr>
          </w:p>
        </w:tc>
      </w:tr>
    </w:tbl>
    <w:p w:rsidR="009E4964" w:rsidRDefault="009E4964" w:rsidP="009E4964">
      <w:pPr>
        <w:rPr>
          <w:rFonts w:ascii="Lucida Fax" w:hAnsi="Lucida Fax"/>
          <w:color w:val="51626F"/>
          <w:sz w:val="32"/>
          <w:szCs w:val="32"/>
        </w:rPr>
      </w:pPr>
      <w:r>
        <w:br w:type="page"/>
      </w:r>
    </w:p>
    <w:p w:rsidR="00980FDB" w:rsidRPr="00E17DEC" w:rsidRDefault="00980FDB" w:rsidP="00E17DEC">
      <w:pPr>
        <w:pStyle w:val="Headingnumbered11"/>
        <w:numPr>
          <w:ilvl w:val="0"/>
          <w:numId w:val="0"/>
        </w:numPr>
      </w:pPr>
      <w:bookmarkStart w:id="124" w:name="_Toc402959766"/>
      <w:bookmarkStart w:id="125" w:name="_Toc402961438"/>
      <w:r w:rsidRPr="00E17DEC">
        <w:lastRenderedPageBreak/>
        <w:t>Appendix 2: South Australian service standards</w:t>
      </w:r>
      <w:bookmarkEnd w:id="124"/>
      <w:bookmarkEnd w:id="125"/>
    </w:p>
    <w:p w:rsidR="00980FDB" w:rsidRDefault="00980FDB" w:rsidP="00980FDB">
      <w:r>
        <w:t>Clause 7 of the National Energy Retail (Local Provisions) Regulations imposes minimum service standards on retailers selling energy to small customers in South Australia. The service standards require retailers to use best endeavours to respond to 95 per cent of written enquiries within five business days, and to answer 85 per cent of telephone calls within 30 seconds between 8am and 6pm from Monday to Friday.</w:t>
      </w:r>
    </w:p>
    <w:p w:rsidR="00980FDB" w:rsidRDefault="00980FDB" w:rsidP="00980FDB">
      <w:r>
        <w:t xml:space="preserve">Retailers must report to the AER on their compliance with these standards and give reasons for any non-compliance as well as information on strategies to improve compliance in the future. </w:t>
      </w:r>
    </w:p>
    <w:tbl>
      <w:tblPr>
        <w:tblStyle w:val="AERTable-Text"/>
        <w:tblW w:w="0" w:type="auto"/>
        <w:tblLook w:val="04A0" w:firstRow="1" w:lastRow="0" w:firstColumn="1" w:lastColumn="0" w:noHBand="0" w:noVBand="1"/>
      </w:tblPr>
      <w:tblGrid>
        <w:gridCol w:w="2235"/>
        <w:gridCol w:w="3543"/>
        <w:gridCol w:w="3464"/>
      </w:tblGrid>
      <w:tr w:rsidR="00980FDB" w:rsidTr="002A0992">
        <w:trPr>
          <w:cnfStyle w:val="100000000000" w:firstRow="1" w:lastRow="0" w:firstColumn="0" w:lastColumn="0" w:oddVBand="0" w:evenVBand="0" w:oddHBand="0" w:evenHBand="0" w:firstRowFirstColumn="0" w:firstRowLastColumn="0" w:lastRowFirstColumn="0" w:lastRowLastColumn="0"/>
          <w:trHeight w:hRule="exact" w:val="1393"/>
        </w:trPr>
        <w:tc>
          <w:tcPr>
            <w:tcW w:w="2235" w:type="dxa"/>
          </w:tcPr>
          <w:p w:rsidR="00980FDB" w:rsidRDefault="00980FDB" w:rsidP="00980FDB"/>
          <w:p w:rsidR="00980FDB" w:rsidRDefault="00980FDB" w:rsidP="00980FDB">
            <w:r>
              <w:t>Retailer</w:t>
            </w:r>
          </w:p>
        </w:tc>
        <w:tc>
          <w:tcPr>
            <w:tcW w:w="3543" w:type="dxa"/>
          </w:tcPr>
          <w:p w:rsidR="00980FDB" w:rsidRDefault="00980FDB" w:rsidP="00656F19">
            <w:pPr>
              <w:jc w:val="right"/>
            </w:pPr>
            <w:r>
              <w:t xml:space="preserve">% of written enquiries responded to within 5 business days </w:t>
            </w:r>
            <w:r>
              <w:br/>
              <w:t>(change since 2012-13)</w:t>
            </w:r>
          </w:p>
        </w:tc>
        <w:tc>
          <w:tcPr>
            <w:tcW w:w="3464" w:type="dxa"/>
          </w:tcPr>
          <w:p w:rsidR="00980FDB" w:rsidRDefault="00980FDB" w:rsidP="00656F19">
            <w:pPr>
              <w:jc w:val="right"/>
            </w:pPr>
            <w:r>
              <w:t xml:space="preserve">% of telephone calls responded to within 30 seconds </w:t>
            </w:r>
            <w:r>
              <w:br/>
              <w:t>(change since 2012-13)</w:t>
            </w:r>
          </w:p>
        </w:tc>
      </w:tr>
      <w:tr w:rsidR="00980FDB" w:rsidTr="00E17DEC">
        <w:trPr>
          <w:trHeight w:hRule="exact" w:val="397"/>
        </w:trPr>
        <w:tc>
          <w:tcPr>
            <w:tcW w:w="2235" w:type="dxa"/>
          </w:tcPr>
          <w:p w:rsidR="00980FDB" w:rsidRPr="00D0524A" w:rsidRDefault="00980FDB" w:rsidP="00980FDB">
            <w:r w:rsidRPr="00D0524A">
              <w:t xml:space="preserve">AGL </w:t>
            </w:r>
          </w:p>
        </w:tc>
        <w:tc>
          <w:tcPr>
            <w:tcW w:w="3543" w:type="dxa"/>
          </w:tcPr>
          <w:p w:rsidR="00980FDB" w:rsidRPr="009E4964" w:rsidRDefault="00980FDB" w:rsidP="00980FDB">
            <w:pPr>
              <w:jc w:val="right"/>
            </w:pPr>
            <w:r w:rsidRPr="009E4964">
              <w:t>97% (</w:t>
            </w:r>
            <w:r w:rsidR="00C2421F">
              <w:rPr>
                <w:rFonts w:cs="Arial"/>
              </w:rPr>
              <w:t>+</w:t>
            </w:r>
            <w:r w:rsidRPr="009E4964">
              <w:t>17)</w:t>
            </w:r>
          </w:p>
        </w:tc>
        <w:tc>
          <w:tcPr>
            <w:tcW w:w="3464" w:type="dxa"/>
          </w:tcPr>
          <w:p w:rsidR="00980FDB" w:rsidRPr="009E4964" w:rsidRDefault="00980FDB" w:rsidP="00980FDB">
            <w:pPr>
              <w:jc w:val="right"/>
            </w:pPr>
            <w:r w:rsidRPr="009E4964">
              <w:t>93% (</w:t>
            </w:r>
            <w:r w:rsidR="00C2421F">
              <w:rPr>
                <w:rFonts w:cs="Arial"/>
              </w:rPr>
              <w:t>+</w:t>
            </w:r>
            <w:r w:rsidRPr="009E4964">
              <w:t>4)</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Alinta Energy</w:t>
            </w:r>
          </w:p>
        </w:tc>
        <w:tc>
          <w:tcPr>
            <w:tcW w:w="3543" w:type="dxa"/>
          </w:tcPr>
          <w:p w:rsidR="00980FDB" w:rsidRPr="009E4964" w:rsidRDefault="00980FDB" w:rsidP="00980FDB">
            <w:pPr>
              <w:jc w:val="right"/>
            </w:pPr>
            <w:r w:rsidRPr="009E4964">
              <w:t>100% (</w:t>
            </w:r>
            <w:r w:rsidR="00C2421F">
              <w:rPr>
                <w:rFonts w:cs="Arial"/>
              </w:rPr>
              <w:t>+</w:t>
            </w:r>
            <w:r w:rsidRPr="009E4964">
              <w:t>3)</w:t>
            </w:r>
          </w:p>
        </w:tc>
        <w:tc>
          <w:tcPr>
            <w:tcW w:w="3464" w:type="dxa"/>
          </w:tcPr>
          <w:p w:rsidR="00980FDB" w:rsidRPr="009E4964" w:rsidRDefault="00980FDB" w:rsidP="00980FDB">
            <w:pPr>
              <w:jc w:val="right"/>
            </w:pPr>
            <w:r w:rsidRPr="009E4964">
              <w:t>77% (</w:t>
            </w:r>
            <w:r w:rsidR="00C2421F">
              <w:rPr>
                <w:rFonts w:cs="Arial"/>
              </w:rPr>
              <w:t>+</w:t>
            </w:r>
            <w:r w:rsidRPr="009E4964">
              <w:rPr>
                <w:rFonts w:cs="Arial"/>
              </w:rPr>
              <w:t>1)</w:t>
            </w:r>
          </w:p>
        </w:tc>
      </w:tr>
      <w:tr w:rsidR="00980FDB" w:rsidTr="00E17DEC">
        <w:trPr>
          <w:trHeight w:hRule="exact" w:val="397"/>
        </w:trPr>
        <w:tc>
          <w:tcPr>
            <w:tcW w:w="2235" w:type="dxa"/>
          </w:tcPr>
          <w:p w:rsidR="00980FDB" w:rsidRPr="00D0524A" w:rsidRDefault="00980FDB" w:rsidP="00980FDB">
            <w:r w:rsidRPr="00D0524A">
              <w:t>Diamond Energy</w:t>
            </w:r>
          </w:p>
        </w:tc>
        <w:tc>
          <w:tcPr>
            <w:tcW w:w="3543" w:type="dxa"/>
          </w:tcPr>
          <w:p w:rsidR="00980FDB" w:rsidRPr="009E4964" w:rsidRDefault="00C2421F" w:rsidP="00980FDB">
            <w:pPr>
              <w:jc w:val="right"/>
            </w:pPr>
            <w:r>
              <w:t>100% (0</w:t>
            </w:r>
            <w:r w:rsidR="00980FDB" w:rsidRPr="009E4964">
              <w:t>)</w:t>
            </w:r>
          </w:p>
        </w:tc>
        <w:tc>
          <w:tcPr>
            <w:tcW w:w="3464" w:type="dxa"/>
          </w:tcPr>
          <w:p w:rsidR="00980FDB" w:rsidRPr="009E4964" w:rsidRDefault="00980FDB" w:rsidP="00980FDB">
            <w:pPr>
              <w:jc w:val="right"/>
            </w:pPr>
            <w:r w:rsidRPr="009E4964">
              <w:t>100% (</w:t>
            </w:r>
            <w:r w:rsidR="00C2421F">
              <w:rPr>
                <w:rFonts w:cs="Arial"/>
              </w:rPr>
              <w:t>+</w:t>
            </w:r>
            <w:r w:rsidRPr="009E4964">
              <w:rPr>
                <w:rFonts w:cs="Arial"/>
              </w:rPr>
              <w:t>2)</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Dodo Power &amp; Gas</w:t>
            </w:r>
          </w:p>
        </w:tc>
        <w:tc>
          <w:tcPr>
            <w:tcW w:w="3543" w:type="dxa"/>
          </w:tcPr>
          <w:p w:rsidR="00980FDB" w:rsidRPr="009E4964" w:rsidRDefault="00980FDB" w:rsidP="00980FDB">
            <w:pPr>
              <w:jc w:val="right"/>
            </w:pPr>
            <w:r w:rsidRPr="009E4964">
              <w:t>100% (N/A)</w:t>
            </w:r>
          </w:p>
        </w:tc>
        <w:tc>
          <w:tcPr>
            <w:tcW w:w="3464" w:type="dxa"/>
          </w:tcPr>
          <w:p w:rsidR="00980FDB" w:rsidRPr="009E4964" w:rsidRDefault="00980FDB" w:rsidP="00980FDB">
            <w:pPr>
              <w:jc w:val="right"/>
            </w:pPr>
            <w:r w:rsidRPr="009E4964">
              <w:t>70% (N/A)</w:t>
            </w:r>
          </w:p>
        </w:tc>
      </w:tr>
      <w:tr w:rsidR="00980FDB" w:rsidTr="00E17DEC">
        <w:trPr>
          <w:trHeight w:hRule="exact" w:val="397"/>
        </w:trPr>
        <w:tc>
          <w:tcPr>
            <w:tcW w:w="2235" w:type="dxa"/>
          </w:tcPr>
          <w:p w:rsidR="00980FDB" w:rsidRPr="00D0524A" w:rsidRDefault="00980FDB" w:rsidP="00980FDB">
            <w:r w:rsidRPr="00D0524A">
              <w:t>EnergyAustralia</w:t>
            </w:r>
          </w:p>
        </w:tc>
        <w:tc>
          <w:tcPr>
            <w:tcW w:w="3543" w:type="dxa"/>
          </w:tcPr>
          <w:p w:rsidR="00980FDB" w:rsidRPr="009E4964" w:rsidRDefault="00980FDB" w:rsidP="00980FDB">
            <w:pPr>
              <w:jc w:val="right"/>
            </w:pPr>
            <w:r w:rsidRPr="009E4964">
              <w:t>100% (</w:t>
            </w:r>
            <w:r w:rsidR="00C2421F">
              <w:rPr>
                <w:rFonts w:cs="Arial"/>
              </w:rPr>
              <w:t>+</w:t>
            </w:r>
            <w:r w:rsidRPr="009E4964">
              <w:rPr>
                <w:rFonts w:cs="Arial"/>
              </w:rPr>
              <w:t>26)</w:t>
            </w:r>
          </w:p>
        </w:tc>
        <w:tc>
          <w:tcPr>
            <w:tcW w:w="3464" w:type="dxa"/>
          </w:tcPr>
          <w:p w:rsidR="00980FDB" w:rsidRPr="009E4964" w:rsidRDefault="00980FDB" w:rsidP="00980FDB">
            <w:pPr>
              <w:jc w:val="right"/>
            </w:pPr>
            <w:r w:rsidRPr="009E4964">
              <w:t>71% (</w:t>
            </w:r>
            <w:r w:rsidR="00C2421F">
              <w:rPr>
                <w:rFonts w:cs="Arial"/>
              </w:rPr>
              <w:t>+</w:t>
            </w:r>
            <w:r w:rsidRPr="009E4964">
              <w:rPr>
                <w:rFonts w:cs="Arial"/>
              </w:rPr>
              <w:t>11)</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ERM Power Retail</w:t>
            </w:r>
          </w:p>
        </w:tc>
        <w:tc>
          <w:tcPr>
            <w:tcW w:w="3543" w:type="dxa"/>
          </w:tcPr>
          <w:p w:rsidR="00980FDB" w:rsidRPr="009E4964" w:rsidRDefault="00980FDB" w:rsidP="00980FDB">
            <w:pPr>
              <w:jc w:val="right"/>
            </w:pPr>
            <w:r w:rsidRPr="009E4964">
              <w:t>100% (N/A)</w:t>
            </w:r>
          </w:p>
        </w:tc>
        <w:tc>
          <w:tcPr>
            <w:tcW w:w="3464" w:type="dxa"/>
          </w:tcPr>
          <w:p w:rsidR="00980FDB" w:rsidRPr="009E4964" w:rsidRDefault="00980FDB" w:rsidP="00980FDB">
            <w:pPr>
              <w:jc w:val="right"/>
            </w:pPr>
            <w:r w:rsidRPr="009E4964">
              <w:t>100% (N/A)</w:t>
            </w:r>
          </w:p>
        </w:tc>
      </w:tr>
      <w:tr w:rsidR="00980FDB" w:rsidTr="00E17DEC">
        <w:trPr>
          <w:trHeight w:hRule="exact" w:val="397"/>
        </w:trPr>
        <w:tc>
          <w:tcPr>
            <w:tcW w:w="2235" w:type="dxa"/>
          </w:tcPr>
          <w:p w:rsidR="00980FDB" w:rsidRPr="00D0524A" w:rsidRDefault="00980FDB" w:rsidP="00980FDB">
            <w:r w:rsidRPr="00D0524A">
              <w:t>Lumo Energy</w:t>
            </w:r>
          </w:p>
        </w:tc>
        <w:tc>
          <w:tcPr>
            <w:tcW w:w="3543" w:type="dxa"/>
          </w:tcPr>
          <w:p w:rsidR="00980FDB" w:rsidRPr="009E4964" w:rsidRDefault="00980FDB" w:rsidP="00980FDB">
            <w:pPr>
              <w:jc w:val="right"/>
            </w:pPr>
            <w:r w:rsidRPr="009E4964">
              <w:t>92% (</w:t>
            </w:r>
            <w:r w:rsidR="00C2421F">
              <w:rPr>
                <w:rFonts w:cs="Arial"/>
              </w:rPr>
              <w:t>-</w:t>
            </w:r>
            <w:r w:rsidRPr="009E4964">
              <w:t>1)</w:t>
            </w:r>
          </w:p>
        </w:tc>
        <w:tc>
          <w:tcPr>
            <w:tcW w:w="3464" w:type="dxa"/>
          </w:tcPr>
          <w:p w:rsidR="00980FDB" w:rsidRPr="009E4964" w:rsidRDefault="00980FDB" w:rsidP="00980FDB">
            <w:pPr>
              <w:jc w:val="right"/>
            </w:pPr>
            <w:r w:rsidRPr="009E4964">
              <w:t>88% (</w:t>
            </w:r>
            <w:r w:rsidR="00C2421F">
              <w:rPr>
                <w:rFonts w:cs="Arial"/>
              </w:rPr>
              <w:t>+</w:t>
            </w:r>
            <w:r w:rsidRPr="009E4964">
              <w:rPr>
                <w:rFonts w:cs="Arial"/>
              </w:rPr>
              <w:t>3)</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Momentum Energy</w:t>
            </w:r>
          </w:p>
        </w:tc>
        <w:tc>
          <w:tcPr>
            <w:tcW w:w="3543" w:type="dxa"/>
          </w:tcPr>
          <w:p w:rsidR="00980FDB" w:rsidRPr="009E4964" w:rsidRDefault="00980FDB" w:rsidP="00980FDB">
            <w:pPr>
              <w:jc w:val="right"/>
            </w:pPr>
            <w:r w:rsidRPr="009E4964">
              <w:t>100% (</w:t>
            </w:r>
            <w:r w:rsidR="00C2421F">
              <w:rPr>
                <w:rFonts w:cs="Arial"/>
              </w:rPr>
              <w:t>+</w:t>
            </w:r>
            <w:r w:rsidRPr="009E4964">
              <w:rPr>
                <w:rFonts w:cs="Arial"/>
              </w:rPr>
              <w:t>2)</w:t>
            </w:r>
          </w:p>
        </w:tc>
        <w:tc>
          <w:tcPr>
            <w:tcW w:w="3464" w:type="dxa"/>
          </w:tcPr>
          <w:p w:rsidR="00980FDB" w:rsidRPr="009E4964" w:rsidRDefault="00980FDB" w:rsidP="00980FDB">
            <w:pPr>
              <w:jc w:val="right"/>
            </w:pPr>
            <w:r w:rsidRPr="009E4964">
              <w:t>72% (</w:t>
            </w:r>
            <w:r w:rsidR="00C2421F">
              <w:rPr>
                <w:rFonts w:cs="Arial"/>
              </w:rPr>
              <w:t>-</w:t>
            </w:r>
            <w:r w:rsidRPr="009E4964">
              <w:t>5)</w:t>
            </w:r>
          </w:p>
        </w:tc>
      </w:tr>
      <w:tr w:rsidR="00980FDB" w:rsidTr="00E17DEC">
        <w:trPr>
          <w:trHeight w:hRule="exact" w:val="397"/>
        </w:trPr>
        <w:tc>
          <w:tcPr>
            <w:tcW w:w="2235" w:type="dxa"/>
          </w:tcPr>
          <w:p w:rsidR="00980FDB" w:rsidRPr="00D0524A" w:rsidRDefault="00980FDB" w:rsidP="00980FDB">
            <w:r w:rsidRPr="00D0524A">
              <w:t>Origin Energy</w:t>
            </w:r>
          </w:p>
        </w:tc>
        <w:tc>
          <w:tcPr>
            <w:tcW w:w="3543" w:type="dxa"/>
          </w:tcPr>
          <w:p w:rsidR="00980FDB" w:rsidRPr="009E4964" w:rsidRDefault="00980FDB" w:rsidP="00980FDB">
            <w:pPr>
              <w:jc w:val="right"/>
            </w:pPr>
            <w:r w:rsidRPr="009E4964">
              <w:t>97% (</w:t>
            </w:r>
            <w:r w:rsidR="00C2421F">
              <w:rPr>
                <w:rFonts w:cs="Arial"/>
              </w:rPr>
              <w:t>+</w:t>
            </w:r>
            <w:r w:rsidRPr="009E4964">
              <w:rPr>
                <w:rFonts w:cs="Arial"/>
              </w:rPr>
              <w:t>50)</w:t>
            </w:r>
          </w:p>
        </w:tc>
        <w:tc>
          <w:tcPr>
            <w:tcW w:w="3464" w:type="dxa"/>
          </w:tcPr>
          <w:p w:rsidR="00980FDB" w:rsidRPr="009E4964" w:rsidRDefault="00980FDB" w:rsidP="00980FDB">
            <w:pPr>
              <w:jc w:val="right"/>
            </w:pPr>
            <w:r w:rsidRPr="009E4964">
              <w:t>93% (</w:t>
            </w:r>
            <w:r w:rsidR="00C2421F">
              <w:rPr>
                <w:rFonts w:cs="Arial"/>
              </w:rPr>
              <w:t>+</w:t>
            </w:r>
            <w:r w:rsidRPr="009E4964">
              <w:rPr>
                <w:rFonts w:cs="Arial"/>
              </w:rPr>
              <w:t>9)</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Pacific Hydro</w:t>
            </w:r>
          </w:p>
        </w:tc>
        <w:tc>
          <w:tcPr>
            <w:tcW w:w="3543" w:type="dxa"/>
          </w:tcPr>
          <w:p w:rsidR="00980FDB" w:rsidRPr="009E4964" w:rsidRDefault="00980FDB" w:rsidP="00980FDB">
            <w:pPr>
              <w:jc w:val="right"/>
            </w:pPr>
            <w:r w:rsidRPr="009E4964">
              <w:t>N/A</w:t>
            </w:r>
          </w:p>
        </w:tc>
        <w:tc>
          <w:tcPr>
            <w:tcW w:w="3464" w:type="dxa"/>
          </w:tcPr>
          <w:p w:rsidR="00980FDB" w:rsidRPr="009E4964" w:rsidRDefault="00980FDB" w:rsidP="00980FDB">
            <w:pPr>
              <w:jc w:val="right"/>
            </w:pPr>
            <w:r w:rsidRPr="009E4964">
              <w:t>100% (N/A)</w:t>
            </w:r>
          </w:p>
        </w:tc>
      </w:tr>
      <w:tr w:rsidR="00980FDB" w:rsidTr="00E17DEC">
        <w:trPr>
          <w:trHeight w:hRule="exact" w:val="397"/>
        </w:trPr>
        <w:tc>
          <w:tcPr>
            <w:tcW w:w="2235" w:type="dxa"/>
          </w:tcPr>
          <w:p w:rsidR="00980FDB" w:rsidRPr="00D0524A" w:rsidRDefault="00980FDB" w:rsidP="00980FDB">
            <w:r w:rsidRPr="00D0524A">
              <w:t>Powerdirect</w:t>
            </w:r>
          </w:p>
        </w:tc>
        <w:tc>
          <w:tcPr>
            <w:tcW w:w="3543" w:type="dxa"/>
          </w:tcPr>
          <w:p w:rsidR="00980FDB" w:rsidRPr="009E4964" w:rsidRDefault="00980FDB" w:rsidP="00980FDB">
            <w:pPr>
              <w:jc w:val="right"/>
            </w:pPr>
            <w:r w:rsidRPr="009E4964">
              <w:t>95% (</w:t>
            </w:r>
            <w:r w:rsidR="00C2421F">
              <w:rPr>
                <w:rFonts w:cs="Arial"/>
              </w:rPr>
              <w:t>+</w:t>
            </w:r>
            <w:r w:rsidRPr="009E4964">
              <w:rPr>
                <w:rFonts w:cs="Arial"/>
              </w:rPr>
              <w:t>22)</w:t>
            </w:r>
          </w:p>
        </w:tc>
        <w:tc>
          <w:tcPr>
            <w:tcW w:w="3464" w:type="dxa"/>
          </w:tcPr>
          <w:p w:rsidR="00980FDB" w:rsidRPr="009E4964" w:rsidRDefault="00980FDB" w:rsidP="00980FDB">
            <w:pPr>
              <w:jc w:val="right"/>
            </w:pPr>
            <w:r w:rsidRPr="009E4964">
              <w:t>65% (</w:t>
            </w:r>
            <w:r w:rsidR="00C2421F">
              <w:rPr>
                <w:rFonts w:cs="Arial"/>
              </w:rPr>
              <w:t>-</w:t>
            </w:r>
            <w:r w:rsidRPr="009E4964">
              <w:t>1)</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 xml:space="preserve">QEnergy </w:t>
            </w:r>
          </w:p>
        </w:tc>
        <w:tc>
          <w:tcPr>
            <w:tcW w:w="3543" w:type="dxa"/>
          </w:tcPr>
          <w:p w:rsidR="00980FDB" w:rsidRPr="009E4964" w:rsidRDefault="00980FDB" w:rsidP="00980FDB">
            <w:pPr>
              <w:jc w:val="right"/>
            </w:pPr>
            <w:r w:rsidRPr="009E4964">
              <w:t>97% (</w:t>
            </w:r>
            <w:r w:rsidR="00C2421F">
              <w:rPr>
                <w:rFonts w:cs="Arial"/>
              </w:rPr>
              <w:t>+</w:t>
            </w:r>
            <w:r w:rsidRPr="009E4964">
              <w:rPr>
                <w:rFonts w:cs="Arial"/>
              </w:rPr>
              <w:t>57)</w:t>
            </w:r>
          </w:p>
        </w:tc>
        <w:tc>
          <w:tcPr>
            <w:tcW w:w="3464" w:type="dxa"/>
          </w:tcPr>
          <w:p w:rsidR="00980FDB" w:rsidRPr="009E4964" w:rsidRDefault="00980FDB" w:rsidP="00980FDB">
            <w:pPr>
              <w:jc w:val="right"/>
            </w:pPr>
            <w:r w:rsidRPr="009E4964">
              <w:t>98% (</w:t>
            </w:r>
            <w:r w:rsidR="00C2421F">
              <w:rPr>
                <w:rFonts w:cs="Arial"/>
              </w:rPr>
              <w:t>+</w:t>
            </w:r>
            <w:r w:rsidRPr="009E4964">
              <w:t>11)</w:t>
            </w:r>
          </w:p>
        </w:tc>
      </w:tr>
      <w:tr w:rsidR="00980FDB" w:rsidTr="00E17DEC">
        <w:trPr>
          <w:trHeight w:hRule="exact" w:val="397"/>
        </w:trPr>
        <w:tc>
          <w:tcPr>
            <w:tcW w:w="2235" w:type="dxa"/>
          </w:tcPr>
          <w:p w:rsidR="00980FDB" w:rsidRPr="00D0524A" w:rsidRDefault="00980FDB" w:rsidP="00980FDB">
            <w:r w:rsidRPr="00D0524A">
              <w:t>Red Energy</w:t>
            </w:r>
          </w:p>
        </w:tc>
        <w:tc>
          <w:tcPr>
            <w:tcW w:w="3543" w:type="dxa"/>
          </w:tcPr>
          <w:p w:rsidR="00980FDB" w:rsidRPr="009E4964" w:rsidRDefault="00A5777A" w:rsidP="00980FDB">
            <w:pPr>
              <w:jc w:val="right"/>
            </w:pPr>
            <w:r>
              <w:t>100% (-</w:t>
            </w:r>
            <w:r w:rsidR="00980FDB" w:rsidRPr="009E4964">
              <w:t>)</w:t>
            </w:r>
          </w:p>
        </w:tc>
        <w:tc>
          <w:tcPr>
            <w:tcW w:w="3464" w:type="dxa"/>
          </w:tcPr>
          <w:p w:rsidR="00980FDB" w:rsidRPr="009E4964" w:rsidRDefault="00980FDB" w:rsidP="00980FDB">
            <w:pPr>
              <w:jc w:val="right"/>
            </w:pPr>
            <w:r w:rsidRPr="009E4964">
              <w:t>96% (</w:t>
            </w:r>
            <w:r w:rsidR="00C2421F">
              <w:rPr>
                <w:rFonts w:cs="Arial"/>
              </w:rPr>
              <w:t>+</w:t>
            </w:r>
            <w:r w:rsidRPr="009E4964">
              <w:rPr>
                <w:rFonts w:cs="Arial"/>
              </w:rPr>
              <w:t>3)</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Sanctuary Energy</w:t>
            </w:r>
          </w:p>
        </w:tc>
        <w:tc>
          <w:tcPr>
            <w:tcW w:w="3543" w:type="dxa"/>
          </w:tcPr>
          <w:p w:rsidR="00980FDB" w:rsidRPr="009E4964" w:rsidRDefault="00980FDB" w:rsidP="00980FDB">
            <w:pPr>
              <w:jc w:val="right"/>
            </w:pPr>
            <w:r w:rsidRPr="009E4964">
              <w:t>100% (</w:t>
            </w:r>
            <w:r w:rsidR="00C2421F">
              <w:rPr>
                <w:rFonts w:cs="Arial"/>
              </w:rPr>
              <w:t>+</w:t>
            </w:r>
            <w:r w:rsidRPr="009E4964">
              <w:rPr>
                <w:rFonts w:cs="Arial"/>
              </w:rPr>
              <w:t>17)</w:t>
            </w:r>
          </w:p>
        </w:tc>
        <w:tc>
          <w:tcPr>
            <w:tcW w:w="3464" w:type="dxa"/>
          </w:tcPr>
          <w:p w:rsidR="00980FDB" w:rsidRPr="009E4964" w:rsidRDefault="00980FDB" w:rsidP="00980FDB">
            <w:pPr>
              <w:jc w:val="right"/>
            </w:pPr>
            <w:r w:rsidRPr="009E4964">
              <w:t>77% (</w:t>
            </w:r>
            <w:r w:rsidR="00C2421F">
              <w:t>-</w:t>
            </w:r>
            <w:r w:rsidRPr="009E4964">
              <w:t>1)</w:t>
            </w:r>
          </w:p>
        </w:tc>
      </w:tr>
      <w:tr w:rsidR="00980FDB" w:rsidTr="00E17DEC">
        <w:trPr>
          <w:trHeight w:hRule="exact" w:val="397"/>
        </w:trPr>
        <w:tc>
          <w:tcPr>
            <w:tcW w:w="2235" w:type="dxa"/>
          </w:tcPr>
          <w:p w:rsidR="00980FDB" w:rsidRPr="00D0524A" w:rsidRDefault="00980FDB" w:rsidP="00980FDB">
            <w:r w:rsidRPr="00D0524A">
              <w:t>Simply Energy</w:t>
            </w:r>
          </w:p>
        </w:tc>
        <w:tc>
          <w:tcPr>
            <w:tcW w:w="3543" w:type="dxa"/>
          </w:tcPr>
          <w:p w:rsidR="00980FDB" w:rsidRPr="009E4964" w:rsidRDefault="00980FDB" w:rsidP="00980FDB">
            <w:pPr>
              <w:jc w:val="right"/>
            </w:pPr>
            <w:r w:rsidRPr="009E4964">
              <w:t>78% (</w:t>
            </w:r>
            <w:r w:rsidR="00C2421F">
              <w:rPr>
                <w:rFonts w:cs="Arial"/>
              </w:rPr>
              <w:t>-</w:t>
            </w:r>
            <w:r w:rsidRPr="009E4964">
              <w:t>22)</w:t>
            </w:r>
          </w:p>
        </w:tc>
        <w:tc>
          <w:tcPr>
            <w:tcW w:w="3464" w:type="dxa"/>
          </w:tcPr>
          <w:p w:rsidR="00980FDB" w:rsidRPr="009E4964" w:rsidRDefault="00980FDB" w:rsidP="00980FDB">
            <w:pPr>
              <w:jc w:val="right"/>
            </w:pPr>
            <w:r w:rsidRPr="009E4964">
              <w:t>93% (</w:t>
            </w:r>
            <w:r w:rsidR="00C2421F">
              <w:rPr>
                <w:rFonts w:cs="Arial"/>
              </w:rPr>
              <w:t>+</w:t>
            </w:r>
            <w:r w:rsidRPr="009E4964">
              <w:rPr>
                <w:rFonts w:cs="Arial"/>
              </w:rPr>
              <w:t>8)</w:t>
            </w:r>
          </w:p>
        </w:tc>
      </w:tr>
      <w:tr w:rsidR="00980FDB" w:rsidTr="00E17DEC">
        <w:trPr>
          <w:cnfStyle w:val="000000010000" w:firstRow="0" w:lastRow="0" w:firstColumn="0" w:lastColumn="0" w:oddVBand="0" w:evenVBand="0" w:oddHBand="0" w:evenHBand="1" w:firstRowFirstColumn="0" w:firstRowLastColumn="0" w:lastRowFirstColumn="0" w:lastRowLastColumn="0"/>
          <w:trHeight w:hRule="exact" w:val="397"/>
        </w:trPr>
        <w:tc>
          <w:tcPr>
            <w:tcW w:w="2235" w:type="dxa"/>
          </w:tcPr>
          <w:p w:rsidR="00980FDB" w:rsidRPr="00D0524A" w:rsidRDefault="00980FDB" w:rsidP="00980FDB">
            <w:r w:rsidRPr="00D0524A">
              <w:t xml:space="preserve">WINenergy </w:t>
            </w:r>
          </w:p>
        </w:tc>
        <w:tc>
          <w:tcPr>
            <w:tcW w:w="3543" w:type="dxa"/>
          </w:tcPr>
          <w:p w:rsidR="00980FDB" w:rsidRPr="009E4964" w:rsidRDefault="00980FDB" w:rsidP="00980FDB">
            <w:pPr>
              <w:jc w:val="right"/>
            </w:pPr>
            <w:r w:rsidRPr="009E4964">
              <w:t>N/A</w:t>
            </w:r>
          </w:p>
        </w:tc>
        <w:tc>
          <w:tcPr>
            <w:tcW w:w="3464" w:type="dxa"/>
          </w:tcPr>
          <w:p w:rsidR="00980FDB" w:rsidRPr="009E4964" w:rsidRDefault="00980FDB" w:rsidP="00980FDB">
            <w:pPr>
              <w:jc w:val="right"/>
            </w:pPr>
            <w:r w:rsidRPr="009E4964">
              <w:t>N/A</w:t>
            </w:r>
          </w:p>
        </w:tc>
      </w:tr>
    </w:tbl>
    <w:p w:rsidR="00980FDB" w:rsidRDefault="00980FDB" w:rsidP="00980FDB">
      <w:r>
        <w:t xml:space="preserve">In 2012-13 fewer than half of South Australia’s retailers met these service standards. For the most part, performance against these standards has notably increased in 2013-14.  </w:t>
      </w:r>
    </w:p>
    <w:p w:rsidR="00980FDB" w:rsidRDefault="00980FDB" w:rsidP="00980FDB">
      <w:r>
        <w:t>In 2013-14 only Lumo Energy and Simply Energy did not meet the written enquiry response standard. There were six retailers that did not meet the telephone call response standard: Alinta Energy, Dodo Power &amp; Gas, EnergyAustralia, Momentum Energy, Powerdirect and Sanctuary Energy. Of these, the performance of Momentum Energy and Powerdirect slightly declined in 2013-14.</w:t>
      </w:r>
    </w:p>
    <w:p w:rsidR="00980FDB" w:rsidRDefault="00980FDB" w:rsidP="00980FDB">
      <w:r>
        <w:t xml:space="preserve">Retailers who failed to meet the standards have provided us with explanations and outlined strategies for improving their performance.  </w:t>
      </w:r>
    </w:p>
    <w:p w:rsidR="00980FDB" w:rsidRPr="00E17DEC" w:rsidRDefault="00980FDB" w:rsidP="00E17DEC">
      <w:pPr>
        <w:pStyle w:val="Headingnumbered11"/>
        <w:numPr>
          <w:ilvl w:val="0"/>
          <w:numId w:val="0"/>
        </w:numPr>
      </w:pPr>
      <w:bookmarkStart w:id="126" w:name="_Toc402959767"/>
      <w:bookmarkStart w:id="127" w:name="_Toc402961439"/>
      <w:r w:rsidRPr="00E17DEC">
        <w:lastRenderedPageBreak/>
        <w:t>Appendix 3: Distribution service standards, associated GSL schemes and small claims compensation regimes</w:t>
      </w:r>
      <w:bookmarkEnd w:id="126"/>
      <w:bookmarkEnd w:id="127"/>
    </w:p>
    <w:p w:rsidR="00980FDB" w:rsidRDefault="00980FDB" w:rsidP="00980FDB">
      <w:r>
        <w:t>Section 285 of the Retail Law specifies that a retail market performance report must include, amongst other things, a report on the performance of distributors by reference to distributor service standards and associated Guaranteed Service Level (GSL) schemes.</w:t>
      </w:r>
      <w:r>
        <w:rPr>
          <w:rStyle w:val="FootnoteReference"/>
        </w:rPr>
        <w:footnoteReference w:id="52"/>
      </w:r>
      <w:r>
        <w:t xml:space="preserve"> The Retail Law defines distributor service standards as service standards imposed on distributors by or under energy laws</w:t>
      </w:r>
      <w:r>
        <w:rPr>
          <w:rStyle w:val="FootnoteReference"/>
        </w:rPr>
        <w:footnoteReference w:id="53"/>
      </w:r>
      <w:r>
        <w:t>, including, for example, service standards relating to the following:</w:t>
      </w:r>
      <w:r>
        <w:rPr>
          <w:rStyle w:val="FootnoteReference"/>
        </w:rPr>
        <w:footnoteReference w:id="54"/>
      </w:r>
    </w:p>
    <w:p w:rsidR="00980FDB" w:rsidRDefault="00980FDB" w:rsidP="009E4964">
      <w:pPr>
        <w:pStyle w:val="ListParagraph"/>
        <w:numPr>
          <w:ilvl w:val="0"/>
          <w:numId w:val="21"/>
        </w:numPr>
        <w:spacing w:after="0" w:line="240" w:lineRule="auto"/>
      </w:pPr>
      <w:r>
        <w:t>the frequency and duration of supply interruptions;</w:t>
      </w:r>
    </w:p>
    <w:p w:rsidR="00980FDB" w:rsidRDefault="00980FDB" w:rsidP="009E4964">
      <w:pPr>
        <w:pStyle w:val="ListParagraph"/>
        <w:numPr>
          <w:ilvl w:val="0"/>
          <w:numId w:val="21"/>
        </w:numPr>
        <w:spacing w:after="0" w:line="240" w:lineRule="auto"/>
      </w:pPr>
      <w:r>
        <w:t>the timely notice of planned interruptions;</w:t>
      </w:r>
    </w:p>
    <w:p w:rsidR="00980FDB" w:rsidRDefault="00980FDB" w:rsidP="009E4964">
      <w:pPr>
        <w:pStyle w:val="ListParagraph"/>
        <w:numPr>
          <w:ilvl w:val="0"/>
          <w:numId w:val="21"/>
        </w:numPr>
        <w:spacing w:after="0" w:line="240" w:lineRule="auto"/>
      </w:pPr>
      <w:r>
        <w:t>the quality of supply (excluding frequency) for electricity (including voltage variations);</w:t>
      </w:r>
    </w:p>
    <w:p w:rsidR="00980FDB" w:rsidRDefault="00980FDB" w:rsidP="009E4964">
      <w:pPr>
        <w:pStyle w:val="ListParagraph"/>
        <w:numPr>
          <w:ilvl w:val="0"/>
          <w:numId w:val="21"/>
        </w:numPr>
        <w:spacing w:after="0" w:line="240" w:lineRule="auto"/>
      </w:pPr>
      <w:r>
        <w:t>wrongful de-energisation;</w:t>
      </w:r>
    </w:p>
    <w:p w:rsidR="00980FDB" w:rsidRDefault="00980FDB" w:rsidP="009E4964">
      <w:pPr>
        <w:pStyle w:val="ListParagraph"/>
        <w:numPr>
          <w:ilvl w:val="0"/>
          <w:numId w:val="21"/>
        </w:numPr>
        <w:spacing w:after="0" w:line="240" w:lineRule="auto"/>
      </w:pPr>
      <w:r>
        <w:t>timeframes for de-energisation and re-energisation;</w:t>
      </w:r>
    </w:p>
    <w:p w:rsidR="00980FDB" w:rsidRDefault="00980FDB" w:rsidP="009E4964">
      <w:pPr>
        <w:pStyle w:val="ListParagraph"/>
        <w:numPr>
          <w:ilvl w:val="0"/>
          <w:numId w:val="21"/>
        </w:numPr>
        <w:spacing w:after="0" w:line="240" w:lineRule="auto"/>
      </w:pPr>
      <w:r>
        <w:t>being on time for appointments;</w:t>
      </w:r>
    </w:p>
    <w:p w:rsidR="00980FDB" w:rsidRDefault="00980FDB" w:rsidP="009E4964">
      <w:pPr>
        <w:pStyle w:val="ListParagraph"/>
        <w:numPr>
          <w:ilvl w:val="0"/>
          <w:numId w:val="21"/>
        </w:numPr>
        <w:spacing w:after="0" w:line="240" w:lineRule="auto"/>
      </w:pPr>
      <w:r>
        <w:t>response times for fault calls;</w:t>
      </w:r>
    </w:p>
    <w:p w:rsidR="00980FDB" w:rsidRDefault="00980FDB" w:rsidP="009E4964">
      <w:pPr>
        <w:pStyle w:val="ListParagraph"/>
        <w:numPr>
          <w:ilvl w:val="0"/>
          <w:numId w:val="21"/>
        </w:numPr>
        <w:spacing w:after="0" w:line="240" w:lineRule="auto"/>
      </w:pPr>
      <w:r>
        <w:t xml:space="preserve">the provision of fault information. </w:t>
      </w:r>
    </w:p>
    <w:p w:rsidR="00980FDB" w:rsidRDefault="00980FDB" w:rsidP="00980FDB">
      <w:r>
        <w:t xml:space="preserve">A number of the service standards are set by the individual jurisdictions and therefore differ between individual states and territories. The following tables summarise distributors’ performance against their respective jurisdictional service standards and GSL schemes.  </w:t>
      </w:r>
    </w:p>
    <w:p w:rsidR="00980FDB" w:rsidRDefault="00980FDB" w:rsidP="00980FDB">
      <w:pPr>
        <w:spacing w:before="0" w:after="200"/>
        <w:rPr>
          <w:rFonts w:asciiTheme="minorHAnsi" w:hAnsiTheme="minorHAnsi" w:cstheme="minorHAnsi"/>
        </w:rPr>
      </w:pPr>
      <w:r>
        <w:rPr>
          <w:rFonts w:asciiTheme="minorHAnsi" w:hAnsiTheme="minorHAnsi" w:cstheme="minorHAnsi"/>
        </w:rPr>
        <w:br w:type="page"/>
      </w:r>
    </w:p>
    <w:p w:rsidR="006E76B9" w:rsidRDefault="00141B36" w:rsidP="006E76B9">
      <w:pPr>
        <w:rPr>
          <w:b/>
        </w:rPr>
      </w:pPr>
      <w:r>
        <w:rPr>
          <w:b/>
        </w:rPr>
        <w:lastRenderedPageBreak/>
        <w:t>Table A.1</w:t>
      </w:r>
      <w:r w:rsidR="006E76B9">
        <w:rPr>
          <w:b/>
        </w:rPr>
        <w:t>: NSW electricity distributor performance, 2013-14</w:t>
      </w:r>
    </w:p>
    <w:tbl>
      <w:tblPr>
        <w:tblStyle w:val="AERTable-Text"/>
        <w:tblW w:w="10173" w:type="dxa"/>
        <w:tblLook w:val="04A0" w:firstRow="1" w:lastRow="0" w:firstColumn="1" w:lastColumn="0" w:noHBand="0" w:noVBand="1"/>
      </w:tblPr>
      <w:tblGrid>
        <w:gridCol w:w="6345"/>
        <w:gridCol w:w="1134"/>
        <w:gridCol w:w="1418"/>
        <w:gridCol w:w="1276"/>
      </w:tblGrid>
      <w:tr w:rsidR="006E76B9" w:rsidTr="0022226B">
        <w:trPr>
          <w:cnfStyle w:val="100000000000" w:firstRow="1" w:lastRow="0" w:firstColumn="0" w:lastColumn="0" w:oddVBand="0" w:evenVBand="0" w:oddHBand="0" w:evenHBand="0" w:firstRowFirstColumn="0" w:firstRowLastColumn="0" w:lastRowFirstColumn="0" w:lastRowLastColumn="0"/>
        </w:trPr>
        <w:tc>
          <w:tcPr>
            <w:tcW w:w="6345" w:type="dxa"/>
          </w:tcPr>
          <w:p w:rsidR="006E76B9" w:rsidRDefault="006E76B9" w:rsidP="006E76B9">
            <w:pPr>
              <w:rPr>
                <w:rFonts w:asciiTheme="minorHAnsi" w:hAnsiTheme="minorHAnsi" w:cstheme="minorHAnsi"/>
              </w:rPr>
            </w:pPr>
          </w:p>
        </w:tc>
        <w:tc>
          <w:tcPr>
            <w:tcW w:w="1134" w:type="dxa"/>
          </w:tcPr>
          <w:p w:rsidR="006E76B9" w:rsidRPr="006E76B9" w:rsidRDefault="006E76B9" w:rsidP="006E76B9">
            <w:pPr>
              <w:jc w:val="right"/>
              <w:rPr>
                <w:rStyle w:val="Strong"/>
                <w:b/>
              </w:rPr>
            </w:pPr>
            <w:r w:rsidRPr="006E76B9">
              <w:rPr>
                <w:rStyle w:val="Strong"/>
                <w:b/>
              </w:rPr>
              <w:t>Ausgrid</w:t>
            </w:r>
          </w:p>
        </w:tc>
        <w:tc>
          <w:tcPr>
            <w:tcW w:w="1418" w:type="dxa"/>
          </w:tcPr>
          <w:p w:rsidR="006E76B9" w:rsidRPr="006E76B9" w:rsidRDefault="006E76B9" w:rsidP="006E76B9">
            <w:pPr>
              <w:jc w:val="right"/>
              <w:rPr>
                <w:rStyle w:val="Strong"/>
                <w:b/>
              </w:rPr>
            </w:pPr>
            <w:r w:rsidRPr="006E76B9">
              <w:rPr>
                <w:rStyle w:val="Strong"/>
                <w:b/>
              </w:rPr>
              <w:t>Endeavour Energy</w:t>
            </w:r>
          </w:p>
        </w:tc>
        <w:tc>
          <w:tcPr>
            <w:tcW w:w="1276" w:type="dxa"/>
          </w:tcPr>
          <w:p w:rsidR="006E76B9" w:rsidRPr="006E76B9" w:rsidRDefault="006E76B9" w:rsidP="006E76B9">
            <w:pPr>
              <w:jc w:val="right"/>
              <w:rPr>
                <w:rStyle w:val="Strong"/>
                <w:b/>
              </w:rPr>
            </w:pPr>
            <w:r w:rsidRPr="006E76B9">
              <w:rPr>
                <w:rStyle w:val="Strong"/>
                <w:b/>
              </w:rPr>
              <w:t>Essential Energy</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Customers</w:t>
            </w:r>
          </w:p>
        </w:tc>
        <w:tc>
          <w:tcPr>
            <w:tcW w:w="1134" w:type="dxa"/>
          </w:tcPr>
          <w:p w:rsidR="006E76B9" w:rsidRPr="009D7ABF" w:rsidRDefault="006E76B9" w:rsidP="006E76B9"/>
        </w:tc>
        <w:tc>
          <w:tcPr>
            <w:tcW w:w="1418" w:type="dxa"/>
          </w:tcPr>
          <w:p w:rsidR="006E76B9" w:rsidRPr="009D7ABF" w:rsidRDefault="006E76B9" w:rsidP="006E76B9"/>
        </w:tc>
        <w:tc>
          <w:tcPr>
            <w:tcW w:w="1276" w:type="dxa"/>
          </w:tcPr>
          <w:p w:rsidR="006E76B9" w:rsidRDefault="006E76B9" w:rsidP="006E76B9"/>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Total number of customers</w:t>
            </w:r>
          </w:p>
        </w:tc>
        <w:tc>
          <w:tcPr>
            <w:tcW w:w="1134" w:type="dxa"/>
          </w:tcPr>
          <w:p w:rsidR="006E76B9" w:rsidRPr="009D7ABF" w:rsidRDefault="006E76B9" w:rsidP="006E76B9">
            <w:pPr>
              <w:jc w:val="right"/>
            </w:pPr>
            <w:r>
              <w:t xml:space="preserve">1 660 </w:t>
            </w:r>
            <w:r w:rsidRPr="009D7ABF">
              <w:t xml:space="preserve">156 </w:t>
            </w:r>
          </w:p>
        </w:tc>
        <w:tc>
          <w:tcPr>
            <w:tcW w:w="1418" w:type="dxa"/>
          </w:tcPr>
          <w:p w:rsidR="006E76B9" w:rsidRPr="009D7ABF" w:rsidRDefault="006E76B9" w:rsidP="006E76B9">
            <w:pPr>
              <w:jc w:val="right"/>
            </w:pPr>
            <w:r>
              <w:t xml:space="preserve">922 </w:t>
            </w:r>
            <w:r w:rsidRPr="009D0C1A">
              <w:t>205</w:t>
            </w:r>
          </w:p>
        </w:tc>
        <w:tc>
          <w:tcPr>
            <w:tcW w:w="1276" w:type="dxa"/>
          </w:tcPr>
          <w:p w:rsidR="006E76B9" w:rsidRDefault="006E76B9" w:rsidP="006E76B9">
            <w:pPr>
              <w:jc w:val="right"/>
            </w:pPr>
            <w:r>
              <w:t xml:space="preserve">822 </w:t>
            </w:r>
            <w:r w:rsidRPr="001A38D6">
              <w:t>413</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Residential customers</w:t>
            </w:r>
          </w:p>
        </w:tc>
        <w:tc>
          <w:tcPr>
            <w:tcW w:w="1134" w:type="dxa"/>
          </w:tcPr>
          <w:p w:rsidR="006E76B9" w:rsidRDefault="006E76B9" w:rsidP="006E76B9">
            <w:pPr>
              <w:jc w:val="right"/>
              <w:rPr>
                <w:rFonts w:asciiTheme="minorHAnsi" w:hAnsiTheme="minorHAnsi" w:cstheme="minorHAnsi"/>
              </w:rPr>
            </w:pPr>
            <w:r>
              <w:t xml:space="preserve">1 472 </w:t>
            </w:r>
            <w:r w:rsidRPr="009D7ABF">
              <w:t>080</w:t>
            </w:r>
          </w:p>
        </w:tc>
        <w:tc>
          <w:tcPr>
            <w:tcW w:w="1418" w:type="dxa"/>
          </w:tcPr>
          <w:p w:rsidR="006E76B9" w:rsidRDefault="006E76B9" w:rsidP="006E76B9">
            <w:pPr>
              <w:jc w:val="right"/>
              <w:rPr>
                <w:rFonts w:asciiTheme="minorHAnsi" w:hAnsiTheme="minorHAnsi" w:cstheme="minorHAnsi"/>
              </w:rPr>
            </w:pPr>
            <w:r>
              <w:t xml:space="preserve">837 </w:t>
            </w:r>
            <w:r w:rsidRPr="009D0C1A">
              <w:t>594</w:t>
            </w:r>
          </w:p>
        </w:tc>
        <w:tc>
          <w:tcPr>
            <w:tcW w:w="1276" w:type="dxa"/>
          </w:tcPr>
          <w:p w:rsidR="006E76B9" w:rsidRDefault="006E76B9" w:rsidP="006E76B9">
            <w:pPr>
              <w:jc w:val="right"/>
              <w:rPr>
                <w:rFonts w:asciiTheme="minorHAnsi" w:hAnsiTheme="minorHAnsi" w:cstheme="minorHAnsi"/>
              </w:rPr>
            </w:pPr>
            <w:r>
              <w:t xml:space="preserve">724 </w:t>
            </w:r>
            <w:r w:rsidRPr="001A38D6">
              <w:t>788</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Small non-residential customers</w:t>
            </w:r>
          </w:p>
        </w:tc>
        <w:tc>
          <w:tcPr>
            <w:tcW w:w="1134" w:type="dxa"/>
          </w:tcPr>
          <w:p w:rsidR="006E76B9" w:rsidRDefault="006E76B9" w:rsidP="006E76B9">
            <w:pPr>
              <w:jc w:val="right"/>
              <w:rPr>
                <w:rFonts w:asciiTheme="minorHAnsi" w:hAnsiTheme="minorHAnsi" w:cstheme="minorHAnsi"/>
              </w:rPr>
            </w:pPr>
            <w:r>
              <w:t xml:space="preserve">174 </w:t>
            </w:r>
            <w:r w:rsidRPr="009D7ABF">
              <w:t>438</w:t>
            </w:r>
          </w:p>
        </w:tc>
        <w:tc>
          <w:tcPr>
            <w:tcW w:w="1418" w:type="dxa"/>
          </w:tcPr>
          <w:p w:rsidR="006E76B9" w:rsidRDefault="006E76B9" w:rsidP="006E76B9">
            <w:pPr>
              <w:jc w:val="right"/>
              <w:rPr>
                <w:rFonts w:asciiTheme="minorHAnsi" w:hAnsiTheme="minorHAnsi" w:cstheme="minorHAnsi"/>
              </w:rPr>
            </w:pPr>
            <w:r>
              <w:t xml:space="preserve">80 </w:t>
            </w:r>
            <w:r w:rsidRPr="009D0C1A">
              <w:t>016</w:t>
            </w:r>
          </w:p>
        </w:tc>
        <w:tc>
          <w:tcPr>
            <w:tcW w:w="1276" w:type="dxa"/>
          </w:tcPr>
          <w:p w:rsidR="006E76B9" w:rsidRDefault="006E76B9" w:rsidP="006E76B9">
            <w:pPr>
              <w:jc w:val="right"/>
              <w:rPr>
                <w:rFonts w:asciiTheme="minorHAnsi" w:hAnsiTheme="minorHAnsi" w:cstheme="minorHAnsi"/>
              </w:rPr>
            </w:pPr>
            <w:r>
              <w:t xml:space="preserve">93 </w:t>
            </w:r>
            <w:r w:rsidRPr="001A38D6">
              <w:t>285</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Complaints</w:t>
            </w:r>
          </w:p>
        </w:tc>
        <w:tc>
          <w:tcPr>
            <w:tcW w:w="1134" w:type="dxa"/>
          </w:tcPr>
          <w:p w:rsidR="006E76B9" w:rsidRPr="001A38D6" w:rsidRDefault="006E76B9" w:rsidP="006E76B9">
            <w:pPr>
              <w:jc w:val="right"/>
            </w:pPr>
          </w:p>
        </w:tc>
        <w:tc>
          <w:tcPr>
            <w:tcW w:w="1418" w:type="dxa"/>
          </w:tcPr>
          <w:p w:rsidR="006E76B9" w:rsidRPr="001A38D6" w:rsidRDefault="006E76B9" w:rsidP="006E76B9">
            <w:pPr>
              <w:jc w:val="right"/>
            </w:pPr>
          </w:p>
        </w:tc>
        <w:tc>
          <w:tcPr>
            <w:tcW w:w="1276" w:type="dxa"/>
          </w:tcPr>
          <w:p w:rsidR="006E76B9" w:rsidRDefault="006E76B9" w:rsidP="006E76B9">
            <w:pPr>
              <w:jc w:val="right"/>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Total complaints received</w:t>
            </w:r>
          </w:p>
        </w:tc>
        <w:tc>
          <w:tcPr>
            <w:tcW w:w="1134" w:type="dxa"/>
          </w:tcPr>
          <w:p w:rsidR="006E76B9" w:rsidRPr="003B7758" w:rsidRDefault="006E76B9" w:rsidP="006E76B9">
            <w:pPr>
              <w:jc w:val="right"/>
            </w:pPr>
            <w:r>
              <w:t xml:space="preserve">1 </w:t>
            </w:r>
            <w:r w:rsidRPr="003B7758">
              <w:t>351</w:t>
            </w:r>
            <w:r>
              <w:rPr>
                <w:rStyle w:val="FootnoteReference"/>
              </w:rPr>
              <w:footnoteReference w:id="55"/>
            </w:r>
          </w:p>
        </w:tc>
        <w:tc>
          <w:tcPr>
            <w:tcW w:w="1418" w:type="dxa"/>
          </w:tcPr>
          <w:p w:rsidR="006E76B9" w:rsidRPr="003B7758" w:rsidRDefault="006E76B9" w:rsidP="006E76B9">
            <w:pPr>
              <w:jc w:val="right"/>
            </w:pPr>
            <w:r>
              <w:t xml:space="preserve">2 </w:t>
            </w:r>
            <w:r w:rsidRPr="00581641">
              <w:t>852</w:t>
            </w:r>
          </w:p>
        </w:tc>
        <w:tc>
          <w:tcPr>
            <w:tcW w:w="1276" w:type="dxa"/>
          </w:tcPr>
          <w:p w:rsidR="006E76B9" w:rsidRDefault="006E76B9" w:rsidP="006E76B9">
            <w:pPr>
              <w:jc w:val="right"/>
            </w:pPr>
            <w:r>
              <w:t xml:space="preserve">2 </w:t>
            </w:r>
            <w:r w:rsidRPr="00D34CCF">
              <w:t>781</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Residential (%)</w:t>
            </w:r>
          </w:p>
        </w:tc>
        <w:tc>
          <w:tcPr>
            <w:tcW w:w="1134" w:type="dxa"/>
          </w:tcPr>
          <w:p w:rsidR="006E76B9" w:rsidRDefault="006E76B9" w:rsidP="006E76B9">
            <w:pPr>
              <w:jc w:val="right"/>
              <w:rPr>
                <w:rFonts w:asciiTheme="minorHAnsi" w:hAnsiTheme="minorHAnsi" w:cstheme="minorHAnsi"/>
              </w:rPr>
            </w:pPr>
            <w:r>
              <w:t>50%</w:t>
            </w:r>
          </w:p>
        </w:tc>
        <w:tc>
          <w:tcPr>
            <w:tcW w:w="1418" w:type="dxa"/>
          </w:tcPr>
          <w:p w:rsidR="006E76B9" w:rsidRPr="008B6D39" w:rsidRDefault="006E76B9" w:rsidP="006E76B9">
            <w:pPr>
              <w:jc w:val="right"/>
            </w:pPr>
            <w:r w:rsidRPr="008B6D39">
              <w:t>92%</w:t>
            </w:r>
          </w:p>
        </w:tc>
        <w:tc>
          <w:tcPr>
            <w:tcW w:w="1276" w:type="dxa"/>
          </w:tcPr>
          <w:p w:rsidR="006E76B9" w:rsidRPr="008B6D39" w:rsidRDefault="006E76B9" w:rsidP="006E76B9">
            <w:pPr>
              <w:jc w:val="right"/>
            </w:pPr>
            <w:r w:rsidRPr="008B6D39">
              <w:t>85%</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Small non-residential (%)</w:t>
            </w:r>
          </w:p>
        </w:tc>
        <w:tc>
          <w:tcPr>
            <w:tcW w:w="1134" w:type="dxa"/>
          </w:tcPr>
          <w:p w:rsidR="006E76B9" w:rsidRDefault="006E76B9" w:rsidP="006E76B9">
            <w:pPr>
              <w:jc w:val="right"/>
              <w:rPr>
                <w:rFonts w:asciiTheme="minorHAnsi" w:hAnsiTheme="minorHAnsi" w:cstheme="minorHAnsi"/>
              </w:rPr>
            </w:pPr>
            <w:r>
              <w:t>9%</w:t>
            </w:r>
          </w:p>
        </w:tc>
        <w:tc>
          <w:tcPr>
            <w:tcW w:w="1418" w:type="dxa"/>
          </w:tcPr>
          <w:p w:rsidR="006E76B9" w:rsidRPr="008B6D39" w:rsidRDefault="006E76B9" w:rsidP="006E76B9">
            <w:pPr>
              <w:jc w:val="right"/>
            </w:pPr>
            <w:r w:rsidRPr="008B6D39">
              <w:t>8%</w:t>
            </w:r>
          </w:p>
        </w:tc>
        <w:tc>
          <w:tcPr>
            <w:tcW w:w="1276" w:type="dxa"/>
          </w:tcPr>
          <w:p w:rsidR="006E76B9" w:rsidRPr="008B6D39" w:rsidRDefault="006E76B9" w:rsidP="006E76B9">
            <w:pPr>
              <w:jc w:val="right"/>
            </w:pPr>
            <w:r w:rsidRPr="008B6D39">
              <w:t>15%</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Telephone services</w:t>
            </w:r>
          </w:p>
        </w:tc>
        <w:tc>
          <w:tcPr>
            <w:tcW w:w="1134" w:type="dxa"/>
          </w:tcPr>
          <w:p w:rsidR="006E76B9" w:rsidRPr="00D34CCF" w:rsidRDefault="006E76B9" w:rsidP="006E76B9">
            <w:pPr>
              <w:jc w:val="right"/>
            </w:pPr>
          </w:p>
        </w:tc>
        <w:tc>
          <w:tcPr>
            <w:tcW w:w="1418" w:type="dxa"/>
          </w:tcPr>
          <w:p w:rsidR="006E76B9" w:rsidRPr="00D34CCF" w:rsidRDefault="006E76B9" w:rsidP="006E76B9">
            <w:pPr>
              <w:jc w:val="right"/>
            </w:pPr>
          </w:p>
        </w:tc>
        <w:tc>
          <w:tcPr>
            <w:tcW w:w="1276" w:type="dxa"/>
          </w:tcPr>
          <w:p w:rsidR="006E76B9" w:rsidRDefault="006E76B9" w:rsidP="006E76B9">
            <w:pPr>
              <w:jc w:val="right"/>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Total calls received</w:t>
            </w:r>
          </w:p>
        </w:tc>
        <w:tc>
          <w:tcPr>
            <w:tcW w:w="1134" w:type="dxa"/>
          </w:tcPr>
          <w:p w:rsidR="006E76B9" w:rsidRPr="00952D12" w:rsidRDefault="006E76B9" w:rsidP="006E76B9">
            <w:pPr>
              <w:jc w:val="right"/>
            </w:pPr>
            <w:r>
              <w:t xml:space="preserve">438 </w:t>
            </w:r>
            <w:r w:rsidRPr="00952D12">
              <w:t>085</w:t>
            </w:r>
          </w:p>
        </w:tc>
        <w:tc>
          <w:tcPr>
            <w:tcW w:w="1418" w:type="dxa"/>
          </w:tcPr>
          <w:p w:rsidR="006E76B9" w:rsidRDefault="006E76B9" w:rsidP="006E76B9">
            <w:pPr>
              <w:jc w:val="right"/>
              <w:rPr>
                <w:rFonts w:asciiTheme="minorHAnsi" w:hAnsiTheme="minorHAnsi" w:cstheme="minorHAnsi"/>
              </w:rPr>
            </w:pPr>
            <w:r>
              <w:t xml:space="preserve">238 </w:t>
            </w:r>
            <w:r w:rsidRPr="00952D12">
              <w:t>249</w:t>
            </w:r>
          </w:p>
        </w:tc>
        <w:tc>
          <w:tcPr>
            <w:tcW w:w="1276" w:type="dxa"/>
          </w:tcPr>
          <w:p w:rsidR="006E76B9" w:rsidRDefault="006E76B9" w:rsidP="006E76B9">
            <w:pPr>
              <w:jc w:val="right"/>
              <w:rPr>
                <w:rFonts w:asciiTheme="minorHAnsi" w:hAnsiTheme="minorHAnsi" w:cstheme="minorHAnsi"/>
              </w:rPr>
            </w:pPr>
            <w:r>
              <w:t xml:space="preserve">366 </w:t>
            </w:r>
            <w:r w:rsidRPr="00952D12">
              <w:t>615</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Calls answered within 30 seconds (%)</w:t>
            </w:r>
          </w:p>
        </w:tc>
        <w:tc>
          <w:tcPr>
            <w:tcW w:w="1134" w:type="dxa"/>
          </w:tcPr>
          <w:p w:rsidR="006E76B9" w:rsidRPr="00952D12" w:rsidRDefault="006E76B9" w:rsidP="006E76B9">
            <w:pPr>
              <w:jc w:val="right"/>
            </w:pPr>
            <w:r>
              <w:t>39%</w:t>
            </w:r>
          </w:p>
        </w:tc>
        <w:tc>
          <w:tcPr>
            <w:tcW w:w="1418" w:type="dxa"/>
          </w:tcPr>
          <w:p w:rsidR="006E76B9" w:rsidRPr="008B6D39" w:rsidRDefault="006E76B9" w:rsidP="006E76B9">
            <w:pPr>
              <w:jc w:val="right"/>
            </w:pPr>
            <w:r w:rsidRPr="008B6D39">
              <w:t>73%</w:t>
            </w:r>
          </w:p>
        </w:tc>
        <w:tc>
          <w:tcPr>
            <w:tcW w:w="1276" w:type="dxa"/>
          </w:tcPr>
          <w:p w:rsidR="006E76B9" w:rsidRPr="008B6D39" w:rsidRDefault="006E76B9" w:rsidP="006E76B9">
            <w:pPr>
              <w:jc w:val="right"/>
            </w:pPr>
            <w:r w:rsidRPr="008B6D39">
              <w:t>52%</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Calls abandoned (%)</w:t>
            </w:r>
          </w:p>
        </w:tc>
        <w:tc>
          <w:tcPr>
            <w:tcW w:w="1134" w:type="dxa"/>
          </w:tcPr>
          <w:p w:rsidR="006E76B9" w:rsidRDefault="006E76B9" w:rsidP="006E76B9">
            <w:pPr>
              <w:jc w:val="right"/>
            </w:pPr>
            <w:r>
              <w:t>3%</w:t>
            </w:r>
          </w:p>
        </w:tc>
        <w:tc>
          <w:tcPr>
            <w:tcW w:w="1418" w:type="dxa"/>
          </w:tcPr>
          <w:p w:rsidR="006E76B9" w:rsidRPr="008B6D39" w:rsidRDefault="006E76B9" w:rsidP="006E76B9">
            <w:pPr>
              <w:jc w:val="right"/>
            </w:pPr>
            <w:r w:rsidRPr="008B6D39">
              <w:t>7%</w:t>
            </w:r>
          </w:p>
        </w:tc>
        <w:tc>
          <w:tcPr>
            <w:tcW w:w="1276" w:type="dxa"/>
          </w:tcPr>
          <w:p w:rsidR="006E76B9" w:rsidRPr="008B6D39" w:rsidRDefault="006E76B9" w:rsidP="006E76B9">
            <w:pPr>
              <w:jc w:val="right"/>
            </w:pPr>
            <w:r w:rsidRPr="008B6D39">
              <w:t>18%</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Promptness of connection</w:t>
            </w:r>
          </w:p>
        </w:tc>
        <w:tc>
          <w:tcPr>
            <w:tcW w:w="1134" w:type="dxa"/>
          </w:tcPr>
          <w:p w:rsidR="006E76B9" w:rsidRDefault="006E76B9" w:rsidP="006E76B9">
            <w:pPr>
              <w:rPr>
                <w:rFonts w:asciiTheme="minorHAnsi" w:hAnsiTheme="minorHAnsi" w:cstheme="minorHAnsi"/>
              </w:rPr>
            </w:pPr>
          </w:p>
        </w:tc>
        <w:tc>
          <w:tcPr>
            <w:tcW w:w="1418" w:type="dxa"/>
          </w:tcPr>
          <w:p w:rsidR="006E76B9" w:rsidRDefault="006E76B9" w:rsidP="006E76B9">
            <w:pPr>
              <w:rPr>
                <w:rFonts w:asciiTheme="minorHAnsi" w:hAnsiTheme="minorHAnsi" w:cstheme="minorHAnsi"/>
              </w:rPr>
            </w:pPr>
          </w:p>
        </w:tc>
        <w:tc>
          <w:tcPr>
            <w:tcW w:w="1276" w:type="dxa"/>
          </w:tcPr>
          <w:p w:rsidR="006E76B9" w:rsidRDefault="006E76B9" w:rsidP="006E76B9">
            <w:pPr>
              <w:rPr>
                <w:rFonts w:asciiTheme="minorHAnsi" w:hAnsiTheme="minorHAnsi" w:cstheme="minorHAnsi"/>
              </w:rPr>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New supply addresses connected</w:t>
            </w:r>
          </w:p>
        </w:tc>
        <w:tc>
          <w:tcPr>
            <w:tcW w:w="1134" w:type="dxa"/>
          </w:tcPr>
          <w:p w:rsidR="006E76B9" w:rsidRPr="005838EB" w:rsidRDefault="006E76B9" w:rsidP="006E76B9">
            <w:pPr>
              <w:jc w:val="right"/>
            </w:pPr>
            <w:r w:rsidRPr="005838EB">
              <w:t>338</w:t>
            </w:r>
          </w:p>
        </w:tc>
        <w:tc>
          <w:tcPr>
            <w:tcW w:w="1418" w:type="dxa"/>
          </w:tcPr>
          <w:p w:rsidR="006E76B9" w:rsidRDefault="006E76B9" w:rsidP="006E76B9">
            <w:pPr>
              <w:jc w:val="right"/>
              <w:rPr>
                <w:rFonts w:asciiTheme="minorHAnsi" w:hAnsiTheme="minorHAnsi" w:cstheme="minorHAnsi"/>
              </w:rPr>
            </w:pPr>
            <w:r>
              <w:t xml:space="preserve">111 </w:t>
            </w:r>
            <w:r w:rsidRPr="005838EB">
              <w:t>745</w:t>
            </w:r>
          </w:p>
        </w:tc>
        <w:tc>
          <w:tcPr>
            <w:tcW w:w="1276" w:type="dxa"/>
          </w:tcPr>
          <w:p w:rsidR="006E76B9" w:rsidRDefault="006E76B9" w:rsidP="006E76B9">
            <w:pPr>
              <w:jc w:val="right"/>
              <w:rPr>
                <w:rFonts w:asciiTheme="minorHAnsi" w:hAnsiTheme="minorHAnsi" w:cstheme="minorHAnsi"/>
              </w:rPr>
            </w:pPr>
            <w:r>
              <w:t xml:space="preserve">148 </w:t>
            </w:r>
            <w:r w:rsidRPr="005838EB">
              <w:t>178</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Connections not provided on or before agreed time</w:t>
            </w:r>
          </w:p>
        </w:tc>
        <w:tc>
          <w:tcPr>
            <w:tcW w:w="1134" w:type="dxa"/>
          </w:tcPr>
          <w:p w:rsidR="006E76B9" w:rsidRPr="005838EB" w:rsidRDefault="006E76B9" w:rsidP="006E76B9">
            <w:pPr>
              <w:jc w:val="right"/>
            </w:pPr>
            <w:r>
              <w:t>0</w:t>
            </w:r>
          </w:p>
        </w:tc>
        <w:tc>
          <w:tcPr>
            <w:tcW w:w="1418" w:type="dxa"/>
          </w:tcPr>
          <w:p w:rsidR="006E76B9" w:rsidRPr="003857B8" w:rsidRDefault="006E76B9" w:rsidP="006E76B9">
            <w:pPr>
              <w:jc w:val="right"/>
            </w:pPr>
            <w:r w:rsidRPr="003857B8">
              <w:t>0</w:t>
            </w:r>
          </w:p>
        </w:tc>
        <w:tc>
          <w:tcPr>
            <w:tcW w:w="1276" w:type="dxa"/>
          </w:tcPr>
          <w:p w:rsidR="006E76B9" w:rsidRPr="003857B8" w:rsidRDefault="006E76B9" w:rsidP="006E76B9">
            <w:pPr>
              <w:jc w:val="right"/>
            </w:pPr>
            <w:r w:rsidRPr="003857B8">
              <w:t>17</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Compensation paid for failing to provide connections on time</w:t>
            </w:r>
          </w:p>
        </w:tc>
        <w:tc>
          <w:tcPr>
            <w:tcW w:w="1134" w:type="dxa"/>
          </w:tcPr>
          <w:p w:rsidR="006E76B9" w:rsidRDefault="006E76B9" w:rsidP="006E76B9">
            <w:pPr>
              <w:jc w:val="right"/>
            </w:pPr>
            <w:r>
              <w:t>0</w:t>
            </w:r>
          </w:p>
        </w:tc>
        <w:tc>
          <w:tcPr>
            <w:tcW w:w="1418" w:type="dxa"/>
          </w:tcPr>
          <w:p w:rsidR="006E76B9" w:rsidRPr="003857B8" w:rsidRDefault="006E76B9" w:rsidP="006E76B9">
            <w:pPr>
              <w:jc w:val="right"/>
            </w:pPr>
            <w:r w:rsidRPr="003857B8">
              <w:t>0</w:t>
            </w:r>
          </w:p>
        </w:tc>
        <w:tc>
          <w:tcPr>
            <w:tcW w:w="1276" w:type="dxa"/>
          </w:tcPr>
          <w:p w:rsidR="006E76B9" w:rsidRPr="003857B8" w:rsidRDefault="006E76B9" w:rsidP="006E76B9">
            <w:pPr>
              <w:jc w:val="right"/>
            </w:pPr>
            <w:r w:rsidRPr="003857B8">
              <w:t>$1 020</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Faulty street lights</w:t>
            </w:r>
          </w:p>
        </w:tc>
        <w:tc>
          <w:tcPr>
            <w:tcW w:w="1134" w:type="dxa"/>
          </w:tcPr>
          <w:p w:rsidR="006E76B9" w:rsidRDefault="006E76B9" w:rsidP="006E76B9">
            <w:pPr>
              <w:jc w:val="right"/>
              <w:rPr>
                <w:rFonts w:asciiTheme="minorHAnsi" w:hAnsiTheme="minorHAnsi" w:cstheme="minorHAnsi"/>
              </w:rPr>
            </w:pPr>
          </w:p>
        </w:tc>
        <w:tc>
          <w:tcPr>
            <w:tcW w:w="1418" w:type="dxa"/>
          </w:tcPr>
          <w:p w:rsidR="006E76B9" w:rsidRDefault="006E76B9" w:rsidP="006E76B9">
            <w:pPr>
              <w:jc w:val="right"/>
              <w:rPr>
                <w:rFonts w:asciiTheme="minorHAnsi" w:hAnsiTheme="minorHAnsi" w:cstheme="minorHAnsi"/>
              </w:rPr>
            </w:pPr>
          </w:p>
        </w:tc>
        <w:tc>
          <w:tcPr>
            <w:tcW w:w="1276" w:type="dxa"/>
          </w:tcPr>
          <w:p w:rsidR="006E76B9" w:rsidRDefault="006E76B9" w:rsidP="006E76B9">
            <w:pPr>
              <w:jc w:val="right"/>
              <w:rPr>
                <w:rFonts w:asciiTheme="minorHAnsi" w:hAnsiTheme="minorHAnsi" w:cstheme="minorHAnsi"/>
              </w:rPr>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Number of reported street light faults</w:t>
            </w:r>
          </w:p>
        </w:tc>
        <w:tc>
          <w:tcPr>
            <w:tcW w:w="1134" w:type="dxa"/>
          </w:tcPr>
          <w:p w:rsidR="006E76B9" w:rsidRPr="00DA6F38" w:rsidRDefault="006E76B9" w:rsidP="006E76B9">
            <w:pPr>
              <w:jc w:val="right"/>
            </w:pPr>
            <w:r>
              <w:t xml:space="preserve">18 </w:t>
            </w:r>
            <w:r w:rsidRPr="00DA6F38">
              <w:t>639</w:t>
            </w:r>
          </w:p>
        </w:tc>
        <w:tc>
          <w:tcPr>
            <w:tcW w:w="1418" w:type="dxa"/>
          </w:tcPr>
          <w:p w:rsidR="006E76B9" w:rsidRDefault="006E76B9" w:rsidP="006E76B9">
            <w:pPr>
              <w:jc w:val="right"/>
              <w:rPr>
                <w:rFonts w:asciiTheme="minorHAnsi" w:hAnsiTheme="minorHAnsi" w:cstheme="minorHAnsi"/>
              </w:rPr>
            </w:pPr>
            <w:r>
              <w:t xml:space="preserve">16 </w:t>
            </w:r>
            <w:r w:rsidRPr="00DA6F38">
              <w:t>549</w:t>
            </w:r>
          </w:p>
        </w:tc>
        <w:tc>
          <w:tcPr>
            <w:tcW w:w="1276" w:type="dxa"/>
          </w:tcPr>
          <w:p w:rsidR="006E76B9" w:rsidRDefault="006E76B9" w:rsidP="006E76B9">
            <w:pPr>
              <w:jc w:val="right"/>
              <w:rPr>
                <w:rFonts w:asciiTheme="minorHAnsi" w:hAnsiTheme="minorHAnsi" w:cstheme="minorHAnsi"/>
              </w:rPr>
            </w:pPr>
            <w:r>
              <w:t xml:space="preserve">7 </w:t>
            </w:r>
            <w:r w:rsidRPr="00DA6F38">
              <w:t>489</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Occasions where repairs not completed on or before agreed date</w:t>
            </w:r>
          </w:p>
        </w:tc>
        <w:tc>
          <w:tcPr>
            <w:tcW w:w="1134" w:type="dxa"/>
          </w:tcPr>
          <w:p w:rsidR="006E76B9" w:rsidRPr="009D59ED" w:rsidRDefault="006E76B9" w:rsidP="006E76B9">
            <w:pPr>
              <w:jc w:val="right"/>
            </w:pPr>
            <w:r w:rsidRPr="009D59ED">
              <w:t>64</w:t>
            </w:r>
          </w:p>
        </w:tc>
        <w:tc>
          <w:tcPr>
            <w:tcW w:w="1418" w:type="dxa"/>
          </w:tcPr>
          <w:p w:rsidR="006E76B9" w:rsidRDefault="006E76B9" w:rsidP="006E76B9">
            <w:pPr>
              <w:jc w:val="right"/>
              <w:rPr>
                <w:rFonts w:asciiTheme="minorHAnsi" w:hAnsiTheme="minorHAnsi" w:cstheme="minorHAnsi"/>
              </w:rPr>
            </w:pPr>
            <w:r w:rsidRPr="009D59ED">
              <w:t>673</w:t>
            </w:r>
          </w:p>
        </w:tc>
        <w:tc>
          <w:tcPr>
            <w:tcW w:w="1276" w:type="dxa"/>
          </w:tcPr>
          <w:p w:rsidR="006E76B9" w:rsidRDefault="006E76B9" w:rsidP="006E76B9">
            <w:pPr>
              <w:jc w:val="right"/>
              <w:rPr>
                <w:rFonts w:asciiTheme="minorHAnsi" w:hAnsiTheme="minorHAnsi" w:cstheme="minorHAnsi"/>
              </w:rPr>
            </w:pPr>
            <w:r w:rsidRPr="009D59ED">
              <w:t>21</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Compensation paid to customers</w:t>
            </w:r>
          </w:p>
        </w:tc>
        <w:tc>
          <w:tcPr>
            <w:tcW w:w="1134" w:type="dxa"/>
          </w:tcPr>
          <w:p w:rsidR="006E76B9" w:rsidRPr="00C40C5A" w:rsidRDefault="006E76B9" w:rsidP="006E76B9">
            <w:pPr>
              <w:jc w:val="right"/>
            </w:pPr>
            <w:r w:rsidRPr="00C40C5A">
              <w:t>$960</w:t>
            </w:r>
          </w:p>
        </w:tc>
        <w:tc>
          <w:tcPr>
            <w:tcW w:w="1418" w:type="dxa"/>
          </w:tcPr>
          <w:p w:rsidR="006E76B9" w:rsidRDefault="006E76B9" w:rsidP="006E76B9">
            <w:pPr>
              <w:jc w:val="right"/>
              <w:rPr>
                <w:rFonts w:asciiTheme="minorHAnsi" w:hAnsiTheme="minorHAnsi" w:cstheme="minorHAnsi"/>
              </w:rPr>
            </w:pPr>
            <w:r w:rsidRPr="00C40C5A">
              <w:t>$2</w:t>
            </w:r>
            <w:r>
              <w:t xml:space="preserve"> </w:t>
            </w:r>
            <w:r w:rsidRPr="00C40C5A">
              <w:t>475</w:t>
            </w:r>
          </w:p>
        </w:tc>
        <w:tc>
          <w:tcPr>
            <w:tcW w:w="1276" w:type="dxa"/>
          </w:tcPr>
          <w:p w:rsidR="006E76B9" w:rsidRDefault="006E76B9" w:rsidP="006E76B9">
            <w:pPr>
              <w:jc w:val="right"/>
              <w:rPr>
                <w:rFonts w:asciiTheme="minorHAnsi" w:hAnsiTheme="minorHAnsi" w:cstheme="minorHAnsi"/>
              </w:rPr>
            </w:pPr>
            <w:r w:rsidRPr="00C40C5A">
              <w:t>$315</w:t>
            </w:r>
          </w:p>
        </w:tc>
      </w:tr>
      <w:tr w:rsidR="006E76B9" w:rsidTr="00656F19">
        <w:trPr>
          <w:trHeight w:hRule="exact" w:val="425"/>
        </w:trPr>
        <w:tc>
          <w:tcPr>
            <w:tcW w:w="6345" w:type="dxa"/>
          </w:tcPr>
          <w:p w:rsidR="006E76B9" w:rsidRPr="003857B8" w:rsidRDefault="006E76B9" w:rsidP="006E76B9">
            <w:pPr>
              <w:rPr>
                <w:rFonts w:cs="Arial"/>
                <w:b/>
              </w:rPr>
            </w:pPr>
            <w:r w:rsidRPr="003857B8">
              <w:rPr>
                <w:rFonts w:cs="Arial"/>
                <w:b/>
              </w:rPr>
              <w:t>Planned interruptions</w:t>
            </w:r>
          </w:p>
        </w:tc>
        <w:tc>
          <w:tcPr>
            <w:tcW w:w="1134" w:type="dxa"/>
          </w:tcPr>
          <w:p w:rsidR="006E76B9" w:rsidRPr="00C40C5A" w:rsidRDefault="006E76B9" w:rsidP="006E76B9"/>
        </w:tc>
        <w:tc>
          <w:tcPr>
            <w:tcW w:w="1418" w:type="dxa"/>
          </w:tcPr>
          <w:p w:rsidR="006E76B9" w:rsidRDefault="006E76B9" w:rsidP="006E76B9">
            <w:pPr>
              <w:jc w:val="right"/>
              <w:rPr>
                <w:rFonts w:asciiTheme="minorHAnsi" w:hAnsiTheme="minorHAnsi" w:cstheme="minorHAnsi"/>
              </w:rPr>
            </w:pPr>
          </w:p>
        </w:tc>
        <w:tc>
          <w:tcPr>
            <w:tcW w:w="1276" w:type="dxa"/>
          </w:tcPr>
          <w:p w:rsidR="006E76B9" w:rsidRDefault="006E76B9" w:rsidP="006E76B9">
            <w:pPr>
              <w:jc w:val="right"/>
              <w:rPr>
                <w:rFonts w:asciiTheme="minorHAnsi" w:hAnsiTheme="minorHAnsi" w:cstheme="minorHAnsi"/>
              </w:rPr>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6345" w:type="dxa"/>
          </w:tcPr>
          <w:p w:rsidR="006E76B9" w:rsidRPr="003857B8" w:rsidRDefault="006E76B9" w:rsidP="006E76B9">
            <w:pPr>
              <w:rPr>
                <w:rFonts w:cs="Arial"/>
              </w:rPr>
            </w:pPr>
            <w:r w:rsidRPr="003857B8">
              <w:rPr>
                <w:rFonts w:cs="Arial"/>
              </w:rPr>
              <w:t>Number of planned interruptions</w:t>
            </w:r>
          </w:p>
        </w:tc>
        <w:tc>
          <w:tcPr>
            <w:tcW w:w="1134" w:type="dxa"/>
          </w:tcPr>
          <w:p w:rsidR="006E76B9" w:rsidRPr="0084410B" w:rsidRDefault="006E76B9" w:rsidP="006E76B9">
            <w:pPr>
              <w:jc w:val="right"/>
            </w:pPr>
            <w:r>
              <w:t xml:space="preserve">7 </w:t>
            </w:r>
            <w:r w:rsidRPr="0084410B">
              <w:t>454</w:t>
            </w:r>
          </w:p>
        </w:tc>
        <w:tc>
          <w:tcPr>
            <w:tcW w:w="1418" w:type="dxa"/>
          </w:tcPr>
          <w:p w:rsidR="006E76B9" w:rsidRDefault="006E76B9" w:rsidP="006E76B9">
            <w:pPr>
              <w:jc w:val="right"/>
              <w:rPr>
                <w:rFonts w:asciiTheme="minorHAnsi" w:hAnsiTheme="minorHAnsi" w:cstheme="minorHAnsi"/>
              </w:rPr>
            </w:pPr>
            <w:r>
              <w:t xml:space="preserve">5 </w:t>
            </w:r>
            <w:r w:rsidRPr="0084410B">
              <w:t>783</w:t>
            </w:r>
          </w:p>
        </w:tc>
        <w:tc>
          <w:tcPr>
            <w:tcW w:w="1276" w:type="dxa"/>
          </w:tcPr>
          <w:p w:rsidR="006E76B9" w:rsidRDefault="006E76B9" w:rsidP="006E76B9">
            <w:pPr>
              <w:jc w:val="right"/>
              <w:rPr>
                <w:rFonts w:asciiTheme="minorHAnsi" w:hAnsiTheme="minorHAnsi" w:cstheme="minorHAnsi"/>
              </w:rPr>
            </w:pPr>
            <w:r>
              <w:t xml:space="preserve">15 </w:t>
            </w:r>
            <w:r w:rsidRPr="0084410B">
              <w:t>345</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Occasions where there was insufficient notice of the interruption</w:t>
            </w:r>
          </w:p>
        </w:tc>
        <w:tc>
          <w:tcPr>
            <w:tcW w:w="1134" w:type="dxa"/>
          </w:tcPr>
          <w:p w:rsidR="006E76B9" w:rsidRPr="00155FDB" w:rsidRDefault="006E76B9" w:rsidP="006E76B9">
            <w:pPr>
              <w:jc w:val="right"/>
            </w:pPr>
            <w:r w:rsidRPr="00155FDB">
              <w:t>74</w:t>
            </w:r>
          </w:p>
        </w:tc>
        <w:tc>
          <w:tcPr>
            <w:tcW w:w="1418" w:type="dxa"/>
          </w:tcPr>
          <w:p w:rsidR="006E76B9" w:rsidRDefault="006E76B9" w:rsidP="006E76B9">
            <w:pPr>
              <w:jc w:val="right"/>
              <w:rPr>
                <w:rFonts w:asciiTheme="minorHAnsi" w:hAnsiTheme="minorHAnsi" w:cstheme="minorHAnsi"/>
              </w:rPr>
            </w:pPr>
            <w:r w:rsidRPr="00155FDB">
              <w:t>94</w:t>
            </w:r>
          </w:p>
        </w:tc>
        <w:tc>
          <w:tcPr>
            <w:tcW w:w="1276" w:type="dxa"/>
          </w:tcPr>
          <w:p w:rsidR="006E76B9" w:rsidRDefault="006E76B9" w:rsidP="006E76B9">
            <w:pPr>
              <w:jc w:val="right"/>
              <w:rPr>
                <w:rFonts w:asciiTheme="minorHAnsi" w:hAnsiTheme="minorHAnsi" w:cstheme="minorHAnsi"/>
              </w:rPr>
            </w:pPr>
            <w:r w:rsidRPr="00155FDB">
              <w:t>312</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680"/>
        </w:trPr>
        <w:tc>
          <w:tcPr>
            <w:tcW w:w="6345" w:type="dxa"/>
          </w:tcPr>
          <w:p w:rsidR="006E76B9" w:rsidRPr="003857B8" w:rsidRDefault="006E76B9" w:rsidP="006E76B9">
            <w:pPr>
              <w:rPr>
                <w:rFonts w:cs="Arial"/>
              </w:rPr>
            </w:pPr>
            <w:r w:rsidRPr="003857B8">
              <w:rPr>
                <w:rFonts w:cs="Arial"/>
              </w:rPr>
              <w:t xml:space="preserve">Occasions where the planned interruption was for longer than the time indicated on the notice  </w:t>
            </w:r>
          </w:p>
        </w:tc>
        <w:tc>
          <w:tcPr>
            <w:tcW w:w="1134" w:type="dxa"/>
          </w:tcPr>
          <w:p w:rsidR="006E76B9" w:rsidRPr="00155FDB" w:rsidRDefault="006E76B9" w:rsidP="006E76B9">
            <w:pPr>
              <w:jc w:val="right"/>
            </w:pPr>
            <w:r>
              <w:t>N/A</w:t>
            </w:r>
          </w:p>
        </w:tc>
        <w:tc>
          <w:tcPr>
            <w:tcW w:w="1418" w:type="dxa"/>
          </w:tcPr>
          <w:p w:rsidR="006E76B9" w:rsidRPr="002907C6" w:rsidRDefault="006E76B9" w:rsidP="006E76B9">
            <w:pPr>
              <w:jc w:val="right"/>
            </w:pPr>
            <w:r w:rsidRPr="002907C6">
              <w:t>76</w:t>
            </w:r>
          </w:p>
        </w:tc>
        <w:tc>
          <w:tcPr>
            <w:tcW w:w="1276" w:type="dxa"/>
          </w:tcPr>
          <w:p w:rsidR="006E76B9" w:rsidRDefault="006E76B9" w:rsidP="006E76B9">
            <w:pPr>
              <w:jc w:val="right"/>
              <w:rPr>
                <w:rFonts w:asciiTheme="minorHAnsi" w:hAnsiTheme="minorHAnsi" w:cstheme="minorHAnsi"/>
              </w:rPr>
            </w:pPr>
            <w:r>
              <w:t xml:space="preserve">1 </w:t>
            </w:r>
            <w:r w:rsidRPr="002907C6">
              <w:t>760</w:t>
            </w:r>
          </w:p>
        </w:tc>
      </w:tr>
      <w:tr w:rsidR="006E76B9" w:rsidTr="00656F19">
        <w:trPr>
          <w:trHeight w:hRule="exact" w:val="425"/>
        </w:trPr>
        <w:tc>
          <w:tcPr>
            <w:tcW w:w="6345" w:type="dxa"/>
          </w:tcPr>
          <w:p w:rsidR="006E76B9" w:rsidRPr="003857B8" w:rsidRDefault="006E76B9" w:rsidP="006E76B9">
            <w:pPr>
              <w:rPr>
                <w:rFonts w:cs="Arial"/>
              </w:rPr>
            </w:pPr>
            <w:r w:rsidRPr="003857B8">
              <w:rPr>
                <w:rFonts w:cs="Arial"/>
              </w:rPr>
              <w:t>Compensation paid to customers</w:t>
            </w:r>
            <w:r w:rsidRPr="003857B8">
              <w:rPr>
                <w:rStyle w:val="FootnoteReference"/>
                <w:rFonts w:cs="Arial"/>
              </w:rPr>
              <w:footnoteReference w:id="56"/>
            </w:r>
          </w:p>
        </w:tc>
        <w:tc>
          <w:tcPr>
            <w:tcW w:w="1134" w:type="dxa"/>
          </w:tcPr>
          <w:p w:rsidR="006E76B9" w:rsidRDefault="006E76B9" w:rsidP="006E76B9">
            <w:pPr>
              <w:jc w:val="right"/>
            </w:pPr>
            <w:r>
              <w:t>N/A</w:t>
            </w:r>
          </w:p>
        </w:tc>
        <w:tc>
          <w:tcPr>
            <w:tcW w:w="1418" w:type="dxa"/>
          </w:tcPr>
          <w:p w:rsidR="006E76B9" w:rsidRDefault="006E76B9" w:rsidP="006E76B9">
            <w:pPr>
              <w:jc w:val="right"/>
            </w:pPr>
            <w:r>
              <w:t>$320</w:t>
            </w:r>
          </w:p>
        </w:tc>
        <w:tc>
          <w:tcPr>
            <w:tcW w:w="1276" w:type="dxa"/>
          </w:tcPr>
          <w:p w:rsidR="006E76B9" w:rsidRPr="003857B8" w:rsidRDefault="006E76B9" w:rsidP="006E76B9">
            <w:pPr>
              <w:jc w:val="right"/>
            </w:pPr>
            <w:r w:rsidRPr="003857B8">
              <w:t>$0</w:t>
            </w:r>
          </w:p>
        </w:tc>
      </w:tr>
    </w:tbl>
    <w:p w:rsidR="006E76B9" w:rsidRDefault="00141B36" w:rsidP="006E76B9">
      <w:pPr>
        <w:rPr>
          <w:b/>
        </w:rPr>
      </w:pPr>
      <w:r>
        <w:rPr>
          <w:b/>
        </w:rPr>
        <w:lastRenderedPageBreak/>
        <w:t>Table A.2</w:t>
      </w:r>
      <w:r w:rsidR="006E76B9">
        <w:rPr>
          <w:b/>
        </w:rPr>
        <w:t>: SA electricity distributor performance, 2013-14 (SA Power Networks)</w:t>
      </w:r>
    </w:p>
    <w:tbl>
      <w:tblPr>
        <w:tblStyle w:val="AERTable-Text"/>
        <w:tblW w:w="0" w:type="auto"/>
        <w:tblLook w:val="04A0" w:firstRow="1" w:lastRow="0" w:firstColumn="1" w:lastColumn="0" w:noHBand="0" w:noVBand="1"/>
      </w:tblPr>
      <w:tblGrid>
        <w:gridCol w:w="7479"/>
        <w:gridCol w:w="1418"/>
      </w:tblGrid>
      <w:tr w:rsidR="006E76B9" w:rsidTr="00CC1694">
        <w:trPr>
          <w:cnfStyle w:val="100000000000" w:firstRow="1" w:lastRow="0" w:firstColumn="0" w:lastColumn="0" w:oddVBand="0" w:evenVBand="0" w:oddHBand="0" w:evenHBand="0" w:firstRowFirstColumn="0" w:firstRowLastColumn="0" w:lastRowFirstColumn="0" w:lastRowLastColumn="0"/>
        </w:trPr>
        <w:tc>
          <w:tcPr>
            <w:tcW w:w="7479" w:type="dxa"/>
          </w:tcPr>
          <w:p w:rsidR="006E76B9" w:rsidRDefault="006E76B9" w:rsidP="006E76B9">
            <w:pPr>
              <w:rPr>
                <w:rFonts w:asciiTheme="minorHAnsi" w:hAnsiTheme="minorHAnsi" w:cstheme="minorHAnsi"/>
              </w:rPr>
            </w:pPr>
          </w:p>
        </w:tc>
        <w:tc>
          <w:tcPr>
            <w:tcW w:w="1418" w:type="dxa"/>
          </w:tcPr>
          <w:p w:rsidR="006E76B9" w:rsidRPr="006E76B9" w:rsidRDefault="006E76B9" w:rsidP="006E76B9">
            <w:pPr>
              <w:jc w:val="right"/>
              <w:rPr>
                <w:rFonts w:cs="Arial"/>
              </w:rPr>
            </w:pPr>
            <w:r w:rsidRPr="006E76B9">
              <w:rPr>
                <w:rFonts w:cs="Arial"/>
              </w:rPr>
              <w:t>SAPN</w:t>
            </w:r>
          </w:p>
        </w:tc>
      </w:tr>
      <w:tr w:rsidR="006E76B9" w:rsidTr="00CC1694">
        <w:tc>
          <w:tcPr>
            <w:tcW w:w="7479" w:type="dxa"/>
          </w:tcPr>
          <w:p w:rsidR="006E76B9" w:rsidRPr="00966C18" w:rsidRDefault="006E76B9" w:rsidP="006E76B9">
            <w:pPr>
              <w:rPr>
                <w:rFonts w:cs="Arial"/>
                <w:b/>
              </w:rPr>
            </w:pPr>
            <w:r w:rsidRPr="00966C18">
              <w:rPr>
                <w:rFonts w:cs="Arial"/>
                <w:b/>
              </w:rPr>
              <w:t>Customers</w:t>
            </w:r>
          </w:p>
        </w:tc>
        <w:tc>
          <w:tcPr>
            <w:tcW w:w="1418" w:type="dxa"/>
          </w:tcPr>
          <w:p w:rsidR="006E76B9" w:rsidRPr="00966C18" w:rsidRDefault="006E76B9" w:rsidP="006E76B9"/>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966C18" w:rsidRDefault="006E76B9" w:rsidP="006E76B9">
            <w:pPr>
              <w:rPr>
                <w:rFonts w:cs="Arial"/>
              </w:rPr>
            </w:pPr>
            <w:r w:rsidRPr="00966C18">
              <w:rPr>
                <w:rFonts w:cs="Arial"/>
              </w:rPr>
              <w:t>Total number of customers</w:t>
            </w:r>
          </w:p>
        </w:tc>
        <w:tc>
          <w:tcPr>
            <w:tcW w:w="1418" w:type="dxa"/>
          </w:tcPr>
          <w:p w:rsidR="006E76B9" w:rsidRPr="00966C18" w:rsidRDefault="006E76B9" w:rsidP="006E76B9">
            <w:pPr>
              <w:jc w:val="right"/>
            </w:pPr>
            <w:r w:rsidRPr="00966C18">
              <w:t xml:space="preserve">842 876 </w:t>
            </w:r>
          </w:p>
        </w:tc>
      </w:tr>
      <w:tr w:rsidR="006E76B9" w:rsidTr="00CC1694">
        <w:tc>
          <w:tcPr>
            <w:tcW w:w="7479" w:type="dxa"/>
          </w:tcPr>
          <w:p w:rsidR="006E76B9" w:rsidRPr="00966C18" w:rsidRDefault="006E76B9" w:rsidP="006E76B9">
            <w:pPr>
              <w:rPr>
                <w:rFonts w:cs="Arial"/>
              </w:rPr>
            </w:pPr>
            <w:r w:rsidRPr="00966C18">
              <w:rPr>
                <w:rFonts w:cs="Arial"/>
              </w:rPr>
              <w:t>Residential customers</w:t>
            </w:r>
          </w:p>
        </w:tc>
        <w:tc>
          <w:tcPr>
            <w:tcW w:w="1418" w:type="dxa"/>
          </w:tcPr>
          <w:p w:rsidR="006E76B9" w:rsidRPr="00966C18" w:rsidRDefault="006E76B9" w:rsidP="006E76B9">
            <w:pPr>
              <w:jc w:val="right"/>
              <w:rPr>
                <w:rFonts w:asciiTheme="minorHAnsi" w:hAnsiTheme="minorHAnsi" w:cstheme="minorHAnsi"/>
              </w:rPr>
            </w:pPr>
            <w:r w:rsidRPr="00966C18">
              <w:t>743 918</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966C18" w:rsidRDefault="006E76B9" w:rsidP="006E76B9">
            <w:pPr>
              <w:rPr>
                <w:rFonts w:cs="Arial"/>
              </w:rPr>
            </w:pPr>
            <w:r w:rsidRPr="00966C18">
              <w:rPr>
                <w:rFonts w:cs="Arial"/>
              </w:rPr>
              <w:t>Small non-residential customers</w:t>
            </w:r>
          </w:p>
        </w:tc>
        <w:tc>
          <w:tcPr>
            <w:tcW w:w="1418" w:type="dxa"/>
          </w:tcPr>
          <w:p w:rsidR="006E76B9" w:rsidRPr="00966C18" w:rsidRDefault="006E76B9" w:rsidP="006E76B9">
            <w:pPr>
              <w:jc w:val="right"/>
              <w:rPr>
                <w:rFonts w:asciiTheme="minorHAnsi" w:hAnsiTheme="minorHAnsi" w:cstheme="minorHAnsi"/>
              </w:rPr>
            </w:pPr>
            <w:r w:rsidRPr="00966C18">
              <w:t>98 958</w:t>
            </w:r>
          </w:p>
        </w:tc>
      </w:tr>
      <w:tr w:rsidR="006E76B9" w:rsidTr="00CC1694">
        <w:tc>
          <w:tcPr>
            <w:tcW w:w="7479" w:type="dxa"/>
          </w:tcPr>
          <w:p w:rsidR="006E76B9" w:rsidRPr="00F0617A" w:rsidRDefault="006E76B9" w:rsidP="006E76B9">
            <w:pPr>
              <w:rPr>
                <w:rFonts w:cs="Arial"/>
                <w:b/>
              </w:rPr>
            </w:pPr>
            <w:r w:rsidRPr="00F0617A">
              <w:rPr>
                <w:rFonts w:cs="Arial"/>
                <w:b/>
              </w:rPr>
              <w:t>Complaints</w:t>
            </w:r>
          </w:p>
        </w:tc>
        <w:tc>
          <w:tcPr>
            <w:tcW w:w="1418" w:type="dxa"/>
          </w:tcPr>
          <w:p w:rsidR="006E76B9" w:rsidRPr="00F0617A" w:rsidRDefault="006E76B9" w:rsidP="006E76B9">
            <w:pPr>
              <w:jc w:val="right"/>
            </w:pP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F0617A" w:rsidRDefault="006E76B9" w:rsidP="006E76B9">
            <w:pPr>
              <w:rPr>
                <w:rFonts w:cs="Arial"/>
              </w:rPr>
            </w:pPr>
            <w:r w:rsidRPr="00F0617A">
              <w:rPr>
                <w:rFonts w:cs="Arial"/>
              </w:rPr>
              <w:t>Total complaints received</w:t>
            </w:r>
          </w:p>
        </w:tc>
        <w:tc>
          <w:tcPr>
            <w:tcW w:w="1418" w:type="dxa"/>
          </w:tcPr>
          <w:p w:rsidR="006E76B9" w:rsidRPr="00F0617A" w:rsidRDefault="006E76B9" w:rsidP="006E76B9">
            <w:pPr>
              <w:jc w:val="right"/>
            </w:pPr>
            <w:r w:rsidRPr="00F0617A">
              <w:t>2 197</w:t>
            </w:r>
          </w:p>
        </w:tc>
      </w:tr>
      <w:tr w:rsidR="006E76B9" w:rsidTr="00CC1694">
        <w:tc>
          <w:tcPr>
            <w:tcW w:w="7479" w:type="dxa"/>
          </w:tcPr>
          <w:p w:rsidR="006E76B9" w:rsidRPr="003857B8" w:rsidRDefault="006E76B9" w:rsidP="006E76B9">
            <w:pPr>
              <w:rPr>
                <w:rFonts w:cs="Arial"/>
                <w:b/>
              </w:rPr>
            </w:pPr>
            <w:r>
              <w:rPr>
                <w:rFonts w:cs="Arial"/>
                <w:b/>
              </w:rPr>
              <w:t>Customer service</w:t>
            </w:r>
          </w:p>
        </w:tc>
        <w:tc>
          <w:tcPr>
            <w:tcW w:w="1418" w:type="dxa"/>
          </w:tcPr>
          <w:p w:rsidR="006E76B9" w:rsidRPr="00D34CCF" w:rsidRDefault="006E76B9" w:rsidP="006E76B9">
            <w:pPr>
              <w:jc w:val="right"/>
            </w:pP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3857B8" w:rsidRDefault="006E76B9" w:rsidP="006E76B9">
            <w:pPr>
              <w:rPr>
                <w:rFonts w:cs="Arial"/>
              </w:rPr>
            </w:pPr>
            <w:r w:rsidRPr="003857B8">
              <w:rPr>
                <w:rFonts w:cs="Arial"/>
              </w:rPr>
              <w:t>Total calls received</w:t>
            </w:r>
          </w:p>
        </w:tc>
        <w:tc>
          <w:tcPr>
            <w:tcW w:w="1418" w:type="dxa"/>
          </w:tcPr>
          <w:p w:rsidR="006E76B9" w:rsidRPr="00952D12" w:rsidRDefault="006E76B9" w:rsidP="006E76B9">
            <w:pPr>
              <w:jc w:val="right"/>
            </w:pPr>
            <w:r>
              <w:t xml:space="preserve">656 </w:t>
            </w:r>
            <w:r w:rsidRPr="00F0617A">
              <w:t>524</w:t>
            </w:r>
          </w:p>
        </w:tc>
      </w:tr>
      <w:tr w:rsidR="006E76B9" w:rsidTr="00CC1694">
        <w:tc>
          <w:tcPr>
            <w:tcW w:w="7479" w:type="dxa"/>
          </w:tcPr>
          <w:p w:rsidR="006E76B9" w:rsidRPr="003857B8" w:rsidRDefault="006E76B9" w:rsidP="006E76B9">
            <w:pPr>
              <w:rPr>
                <w:rFonts w:cs="Arial"/>
              </w:rPr>
            </w:pPr>
            <w:r w:rsidRPr="003857B8">
              <w:rPr>
                <w:rFonts w:cs="Arial"/>
              </w:rPr>
              <w:t>Calls answered within 30 seconds (%)</w:t>
            </w:r>
          </w:p>
        </w:tc>
        <w:tc>
          <w:tcPr>
            <w:tcW w:w="1418" w:type="dxa"/>
          </w:tcPr>
          <w:p w:rsidR="006E76B9" w:rsidRPr="00952D12" w:rsidRDefault="006E76B9" w:rsidP="006E76B9">
            <w:pPr>
              <w:jc w:val="right"/>
            </w:pPr>
            <w:r>
              <w:t>88%</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3857B8" w:rsidRDefault="006E76B9" w:rsidP="006E76B9">
            <w:pPr>
              <w:rPr>
                <w:rFonts w:cs="Arial"/>
              </w:rPr>
            </w:pPr>
            <w:r w:rsidRPr="003857B8">
              <w:rPr>
                <w:rFonts w:cs="Arial"/>
              </w:rPr>
              <w:t>Calls abandoned (%)</w:t>
            </w:r>
          </w:p>
        </w:tc>
        <w:tc>
          <w:tcPr>
            <w:tcW w:w="1418" w:type="dxa"/>
          </w:tcPr>
          <w:p w:rsidR="006E76B9" w:rsidRDefault="006E76B9" w:rsidP="006E76B9">
            <w:pPr>
              <w:jc w:val="right"/>
            </w:pPr>
            <w:r>
              <w:t>6%</w:t>
            </w:r>
          </w:p>
        </w:tc>
      </w:tr>
      <w:tr w:rsidR="006E76B9" w:rsidTr="00CC1694">
        <w:tc>
          <w:tcPr>
            <w:tcW w:w="7479" w:type="dxa"/>
          </w:tcPr>
          <w:p w:rsidR="006E76B9" w:rsidRPr="008B0237" w:rsidRDefault="006E76B9" w:rsidP="006E76B9">
            <w:pPr>
              <w:rPr>
                <w:rFonts w:cs="Arial"/>
                <w:b/>
              </w:rPr>
            </w:pPr>
            <w:r w:rsidRPr="008B0237">
              <w:rPr>
                <w:rFonts w:cs="Arial"/>
                <w:b/>
              </w:rPr>
              <w:t>Promptness of connection</w:t>
            </w:r>
          </w:p>
        </w:tc>
        <w:tc>
          <w:tcPr>
            <w:tcW w:w="1418" w:type="dxa"/>
          </w:tcPr>
          <w:p w:rsidR="006E76B9" w:rsidRPr="008B0237" w:rsidRDefault="006E76B9" w:rsidP="006E76B9">
            <w:pPr>
              <w:rPr>
                <w:rFonts w:asciiTheme="minorHAnsi" w:hAnsiTheme="minorHAnsi" w:cstheme="minorHAnsi"/>
              </w:rPr>
            </w:pP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New supply addresses connected</w:t>
            </w:r>
          </w:p>
        </w:tc>
        <w:tc>
          <w:tcPr>
            <w:tcW w:w="1418" w:type="dxa"/>
          </w:tcPr>
          <w:p w:rsidR="006E76B9" w:rsidRPr="008B0237" w:rsidRDefault="006E76B9" w:rsidP="006E76B9">
            <w:pPr>
              <w:jc w:val="right"/>
            </w:pPr>
            <w:r w:rsidRPr="008B0237">
              <w:t>10 721</w:t>
            </w:r>
          </w:p>
        </w:tc>
      </w:tr>
      <w:tr w:rsidR="006E76B9" w:rsidTr="00CC1694">
        <w:tc>
          <w:tcPr>
            <w:tcW w:w="7479" w:type="dxa"/>
          </w:tcPr>
          <w:p w:rsidR="006E76B9" w:rsidRPr="008B0237" w:rsidRDefault="006E76B9" w:rsidP="006E76B9">
            <w:pPr>
              <w:rPr>
                <w:rFonts w:cs="Arial"/>
              </w:rPr>
            </w:pPr>
            <w:r w:rsidRPr="008B0237">
              <w:rPr>
                <w:rFonts w:cs="Arial"/>
              </w:rPr>
              <w:t>Connections not provided on or before agreed time</w:t>
            </w:r>
          </w:p>
        </w:tc>
        <w:tc>
          <w:tcPr>
            <w:tcW w:w="1418" w:type="dxa"/>
          </w:tcPr>
          <w:p w:rsidR="006E76B9" w:rsidRPr="008B0237" w:rsidRDefault="006E76B9" w:rsidP="006E76B9">
            <w:pPr>
              <w:jc w:val="right"/>
            </w:pPr>
            <w:r w:rsidRPr="008B0237">
              <w:t>121</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Compensation paid for failing to provide connections on time</w:t>
            </w:r>
          </w:p>
        </w:tc>
        <w:tc>
          <w:tcPr>
            <w:tcW w:w="1418" w:type="dxa"/>
          </w:tcPr>
          <w:p w:rsidR="006E76B9" w:rsidRPr="008B0237" w:rsidRDefault="006E76B9" w:rsidP="006E76B9">
            <w:pPr>
              <w:jc w:val="right"/>
            </w:pPr>
            <w:r w:rsidRPr="008B0237">
              <w:t>$30 840</w:t>
            </w:r>
          </w:p>
        </w:tc>
      </w:tr>
      <w:tr w:rsidR="006E76B9" w:rsidTr="00CC1694">
        <w:tc>
          <w:tcPr>
            <w:tcW w:w="7479" w:type="dxa"/>
          </w:tcPr>
          <w:p w:rsidR="006E76B9" w:rsidRPr="008B0237" w:rsidRDefault="006E76B9" w:rsidP="006E76B9">
            <w:pPr>
              <w:rPr>
                <w:rFonts w:cs="Arial"/>
                <w:b/>
              </w:rPr>
            </w:pPr>
            <w:r w:rsidRPr="008B0237">
              <w:rPr>
                <w:rFonts w:cs="Arial"/>
                <w:b/>
              </w:rPr>
              <w:t>Faulty street lights – Adelaide Business Area, Adelaide Metropolitan Area and Major Regional Areas</w:t>
            </w:r>
          </w:p>
        </w:tc>
        <w:tc>
          <w:tcPr>
            <w:tcW w:w="1418" w:type="dxa"/>
          </w:tcPr>
          <w:p w:rsidR="006E76B9" w:rsidRPr="008B0237" w:rsidRDefault="006E76B9" w:rsidP="006E76B9">
            <w:pPr>
              <w:jc w:val="right"/>
              <w:rPr>
                <w:rFonts w:asciiTheme="minorHAnsi" w:hAnsiTheme="minorHAnsi" w:cstheme="minorHAnsi"/>
              </w:rPr>
            </w:pP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Number of reported street light faults</w:t>
            </w:r>
          </w:p>
        </w:tc>
        <w:tc>
          <w:tcPr>
            <w:tcW w:w="1418" w:type="dxa"/>
          </w:tcPr>
          <w:p w:rsidR="006E76B9" w:rsidRPr="008B0237" w:rsidRDefault="006E76B9" w:rsidP="006E76B9">
            <w:pPr>
              <w:jc w:val="right"/>
            </w:pPr>
            <w:r w:rsidRPr="008B0237">
              <w:t>25 648</w:t>
            </w:r>
          </w:p>
        </w:tc>
      </w:tr>
      <w:tr w:rsidR="006E76B9" w:rsidTr="00CC1694">
        <w:tc>
          <w:tcPr>
            <w:tcW w:w="7479" w:type="dxa"/>
          </w:tcPr>
          <w:p w:rsidR="006E76B9" w:rsidRPr="008B0237" w:rsidRDefault="006E76B9" w:rsidP="006E76B9">
            <w:pPr>
              <w:rPr>
                <w:rFonts w:cs="Arial"/>
              </w:rPr>
            </w:pPr>
            <w:r w:rsidRPr="008B0237">
              <w:rPr>
                <w:rFonts w:cs="Arial"/>
              </w:rPr>
              <w:t>Occasions where repairs not completed on or before agreed date (within 5 days)</w:t>
            </w:r>
          </w:p>
        </w:tc>
        <w:tc>
          <w:tcPr>
            <w:tcW w:w="1418" w:type="dxa"/>
          </w:tcPr>
          <w:p w:rsidR="006E76B9" w:rsidRPr="008B0237" w:rsidRDefault="006E76B9" w:rsidP="006E76B9">
            <w:pPr>
              <w:jc w:val="right"/>
            </w:pPr>
            <w:r w:rsidRPr="008B0237">
              <w:t>906</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Compensation paid to customers</w:t>
            </w:r>
          </w:p>
        </w:tc>
        <w:tc>
          <w:tcPr>
            <w:tcW w:w="1418" w:type="dxa"/>
          </w:tcPr>
          <w:p w:rsidR="006E76B9" w:rsidRPr="008B0237" w:rsidRDefault="006E76B9" w:rsidP="006E76B9">
            <w:pPr>
              <w:jc w:val="right"/>
            </w:pPr>
            <w:r w:rsidRPr="008B0237">
              <w:t>$71 975</w:t>
            </w:r>
          </w:p>
        </w:tc>
      </w:tr>
      <w:tr w:rsidR="006E76B9" w:rsidTr="00CC1694">
        <w:tc>
          <w:tcPr>
            <w:tcW w:w="7479" w:type="dxa"/>
          </w:tcPr>
          <w:p w:rsidR="006E76B9" w:rsidRPr="008B0237" w:rsidRDefault="006E76B9" w:rsidP="006E76B9">
            <w:pPr>
              <w:rPr>
                <w:rFonts w:cs="Arial"/>
                <w:b/>
              </w:rPr>
            </w:pPr>
            <w:r w:rsidRPr="008B0237">
              <w:rPr>
                <w:rFonts w:cs="Arial"/>
                <w:b/>
              </w:rPr>
              <w:t xml:space="preserve">Faulty street lights – </w:t>
            </w:r>
            <w:r>
              <w:rPr>
                <w:rFonts w:cs="Arial"/>
                <w:b/>
              </w:rPr>
              <w:t>Country Areas</w:t>
            </w:r>
          </w:p>
        </w:tc>
        <w:tc>
          <w:tcPr>
            <w:tcW w:w="1418" w:type="dxa"/>
          </w:tcPr>
          <w:p w:rsidR="006E76B9" w:rsidRPr="008B0237" w:rsidRDefault="006E76B9" w:rsidP="006E76B9">
            <w:pPr>
              <w:jc w:val="right"/>
              <w:rPr>
                <w:rFonts w:asciiTheme="minorHAnsi" w:hAnsiTheme="minorHAnsi" w:cstheme="minorHAnsi"/>
              </w:rPr>
            </w:pP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Number of reported street light faults</w:t>
            </w:r>
          </w:p>
        </w:tc>
        <w:tc>
          <w:tcPr>
            <w:tcW w:w="1418" w:type="dxa"/>
          </w:tcPr>
          <w:p w:rsidR="006E76B9" w:rsidRPr="008B0237" w:rsidRDefault="006E76B9" w:rsidP="006E76B9">
            <w:pPr>
              <w:jc w:val="right"/>
            </w:pPr>
            <w:r>
              <w:t>3 657</w:t>
            </w:r>
          </w:p>
        </w:tc>
      </w:tr>
      <w:tr w:rsidR="006E76B9" w:rsidTr="00CC1694">
        <w:tc>
          <w:tcPr>
            <w:tcW w:w="7479" w:type="dxa"/>
          </w:tcPr>
          <w:p w:rsidR="006E76B9" w:rsidRPr="008B0237" w:rsidRDefault="006E76B9" w:rsidP="006E76B9">
            <w:pPr>
              <w:rPr>
                <w:rFonts w:cs="Arial"/>
              </w:rPr>
            </w:pPr>
            <w:r w:rsidRPr="008B0237">
              <w:rPr>
                <w:rFonts w:cs="Arial"/>
              </w:rPr>
              <w:t>Occasions where repairs not completed on or before agreed date</w:t>
            </w:r>
            <w:r>
              <w:rPr>
                <w:rFonts w:cs="Arial"/>
              </w:rPr>
              <w:t xml:space="preserve"> (within 10</w:t>
            </w:r>
            <w:r w:rsidRPr="008B0237">
              <w:rPr>
                <w:rFonts w:cs="Arial"/>
              </w:rPr>
              <w:t xml:space="preserve"> days)</w:t>
            </w:r>
          </w:p>
        </w:tc>
        <w:tc>
          <w:tcPr>
            <w:tcW w:w="1418" w:type="dxa"/>
          </w:tcPr>
          <w:p w:rsidR="006E76B9" w:rsidRPr="008B0237" w:rsidRDefault="006E76B9" w:rsidP="006E76B9">
            <w:pPr>
              <w:jc w:val="right"/>
            </w:pPr>
            <w:r>
              <w:t>26</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8B0237" w:rsidRDefault="006E76B9" w:rsidP="006E76B9">
            <w:pPr>
              <w:rPr>
                <w:rFonts w:cs="Arial"/>
              </w:rPr>
            </w:pPr>
            <w:r w:rsidRPr="008B0237">
              <w:rPr>
                <w:rFonts w:cs="Arial"/>
              </w:rPr>
              <w:t>Compensation paid to customers</w:t>
            </w:r>
          </w:p>
        </w:tc>
        <w:tc>
          <w:tcPr>
            <w:tcW w:w="1418" w:type="dxa"/>
          </w:tcPr>
          <w:p w:rsidR="006E76B9" w:rsidRPr="008B0237" w:rsidRDefault="006E76B9" w:rsidP="006E76B9">
            <w:pPr>
              <w:jc w:val="right"/>
            </w:pPr>
            <w:r w:rsidRPr="008B0237">
              <w:t>$</w:t>
            </w:r>
            <w:r>
              <w:t>800</w:t>
            </w:r>
          </w:p>
        </w:tc>
      </w:tr>
      <w:tr w:rsidR="006E76B9" w:rsidTr="00CC1694">
        <w:tc>
          <w:tcPr>
            <w:tcW w:w="7479" w:type="dxa"/>
          </w:tcPr>
          <w:p w:rsidR="006E76B9" w:rsidRPr="009117CE" w:rsidRDefault="006E76B9" w:rsidP="006E76B9">
            <w:pPr>
              <w:rPr>
                <w:rFonts w:cs="Arial"/>
                <w:b/>
              </w:rPr>
            </w:pPr>
            <w:r w:rsidRPr="009117CE">
              <w:rPr>
                <w:rFonts w:cs="Arial"/>
                <w:b/>
              </w:rPr>
              <w:t>Timeliness of appointments</w:t>
            </w:r>
          </w:p>
        </w:tc>
        <w:tc>
          <w:tcPr>
            <w:tcW w:w="1418" w:type="dxa"/>
          </w:tcPr>
          <w:p w:rsidR="006E76B9" w:rsidRPr="009117CE" w:rsidRDefault="006E76B9" w:rsidP="006E76B9"/>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9117CE" w:rsidRDefault="006E76B9" w:rsidP="006E76B9">
            <w:pPr>
              <w:rPr>
                <w:rFonts w:cs="Arial"/>
              </w:rPr>
            </w:pPr>
            <w:r w:rsidRPr="009117CE">
              <w:rPr>
                <w:rFonts w:cs="Arial"/>
              </w:rPr>
              <w:t>Total number of appointments</w:t>
            </w:r>
          </w:p>
        </w:tc>
        <w:tc>
          <w:tcPr>
            <w:tcW w:w="1418" w:type="dxa"/>
          </w:tcPr>
          <w:p w:rsidR="006E76B9" w:rsidRPr="009117CE" w:rsidRDefault="006E76B9" w:rsidP="006E76B9">
            <w:pPr>
              <w:jc w:val="right"/>
            </w:pPr>
            <w:r w:rsidRPr="009117CE">
              <w:t>45 931</w:t>
            </w:r>
          </w:p>
        </w:tc>
      </w:tr>
      <w:tr w:rsidR="006E76B9" w:rsidTr="00CC1694">
        <w:tc>
          <w:tcPr>
            <w:tcW w:w="7479" w:type="dxa"/>
          </w:tcPr>
          <w:p w:rsidR="006E76B9" w:rsidRPr="009117CE" w:rsidRDefault="006E76B9" w:rsidP="006E76B9">
            <w:pPr>
              <w:rPr>
                <w:rFonts w:cs="Arial"/>
              </w:rPr>
            </w:pPr>
            <w:r w:rsidRPr="009117CE">
              <w:rPr>
                <w:rFonts w:cs="Arial"/>
              </w:rPr>
              <w:t>Total number of appointments with customers where a representative of SAPN is more than 15 minutes late</w:t>
            </w:r>
          </w:p>
        </w:tc>
        <w:tc>
          <w:tcPr>
            <w:tcW w:w="1418" w:type="dxa"/>
          </w:tcPr>
          <w:p w:rsidR="006E76B9" w:rsidRPr="009117CE" w:rsidRDefault="006E76B9" w:rsidP="006E76B9">
            <w:pPr>
              <w:jc w:val="right"/>
            </w:pPr>
            <w:r w:rsidRPr="009117CE">
              <w:t>1</w:t>
            </w:r>
          </w:p>
        </w:tc>
      </w:tr>
      <w:tr w:rsidR="006E76B9" w:rsidTr="00CC1694">
        <w:trPr>
          <w:cnfStyle w:val="000000010000" w:firstRow="0" w:lastRow="0" w:firstColumn="0" w:lastColumn="0" w:oddVBand="0" w:evenVBand="0" w:oddHBand="0" w:evenHBand="1" w:firstRowFirstColumn="0" w:firstRowLastColumn="0" w:lastRowFirstColumn="0" w:lastRowLastColumn="0"/>
        </w:trPr>
        <w:tc>
          <w:tcPr>
            <w:tcW w:w="7479" w:type="dxa"/>
          </w:tcPr>
          <w:p w:rsidR="006E76B9" w:rsidRPr="009117CE" w:rsidRDefault="006E76B9" w:rsidP="006E76B9">
            <w:pPr>
              <w:rPr>
                <w:rFonts w:cs="Arial"/>
              </w:rPr>
            </w:pPr>
            <w:r w:rsidRPr="009117CE">
              <w:rPr>
                <w:rFonts w:cs="Arial"/>
              </w:rPr>
              <w:t xml:space="preserve">Compensation paid to customers  </w:t>
            </w:r>
          </w:p>
        </w:tc>
        <w:tc>
          <w:tcPr>
            <w:tcW w:w="1418" w:type="dxa"/>
          </w:tcPr>
          <w:p w:rsidR="006E76B9" w:rsidRPr="009117CE" w:rsidRDefault="006E76B9" w:rsidP="006E76B9">
            <w:pPr>
              <w:jc w:val="right"/>
            </w:pPr>
            <w:r w:rsidRPr="009117CE">
              <w:t>$25</w:t>
            </w:r>
          </w:p>
        </w:tc>
      </w:tr>
    </w:tbl>
    <w:p w:rsidR="006E76B9" w:rsidRDefault="00254D8F" w:rsidP="006E76B9">
      <w:pPr>
        <w:spacing w:before="0" w:after="200"/>
        <w:rPr>
          <w:b/>
        </w:rPr>
      </w:pPr>
      <w:r>
        <w:rPr>
          <w:b/>
        </w:rPr>
        <w:lastRenderedPageBreak/>
        <w:t>Table A.3</w:t>
      </w:r>
      <w:r w:rsidR="006E76B9">
        <w:rPr>
          <w:b/>
        </w:rPr>
        <w:t>: Duration of supply interruptions, 2013-14 (SA Power Networks)</w:t>
      </w:r>
    </w:p>
    <w:tbl>
      <w:tblPr>
        <w:tblStyle w:val="AERTable-Text"/>
        <w:tblW w:w="0" w:type="auto"/>
        <w:tblLook w:val="04A0" w:firstRow="1" w:lastRow="0" w:firstColumn="1" w:lastColumn="0" w:noHBand="0" w:noVBand="1"/>
      </w:tblPr>
      <w:tblGrid>
        <w:gridCol w:w="6912"/>
        <w:gridCol w:w="1418"/>
      </w:tblGrid>
      <w:tr w:rsidR="006E76B9" w:rsidTr="006E76B9">
        <w:trPr>
          <w:cnfStyle w:val="100000000000" w:firstRow="1" w:lastRow="0" w:firstColumn="0" w:lastColumn="0" w:oddVBand="0" w:evenVBand="0" w:oddHBand="0" w:evenHBand="0" w:firstRowFirstColumn="0" w:firstRowLastColumn="0" w:lastRowFirstColumn="0" w:lastRowLastColumn="0"/>
        </w:trPr>
        <w:tc>
          <w:tcPr>
            <w:tcW w:w="6912" w:type="dxa"/>
          </w:tcPr>
          <w:p w:rsidR="006E76B9" w:rsidRPr="009937C8" w:rsidRDefault="006E76B9" w:rsidP="006E76B9">
            <w:pPr>
              <w:rPr>
                <w:rFonts w:asciiTheme="minorHAnsi" w:hAnsiTheme="minorHAnsi" w:cstheme="minorHAnsi"/>
                <w:color w:val="auto"/>
              </w:rPr>
            </w:pPr>
          </w:p>
        </w:tc>
        <w:tc>
          <w:tcPr>
            <w:tcW w:w="1418" w:type="dxa"/>
          </w:tcPr>
          <w:p w:rsidR="006E76B9" w:rsidRPr="006E76B9" w:rsidRDefault="006E76B9" w:rsidP="006E76B9">
            <w:pPr>
              <w:jc w:val="right"/>
              <w:rPr>
                <w:rFonts w:cs="Arial"/>
                <w:color w:val="auto"/>
              </w:rPr>
            </w:pPr>
            <w:r w:rsidRPr="006E76B9">
              <w:rPr>
                <w:rFonts w:cs="Arial"/>
              </w:rPr>
              <w:t>SAPN</w:t>
            </w:r>
          </w:p>
        </w:tc>
      </w:tr>
      <w:tr w:rsidR="006E76B9" w:rsidTr="006E76B9">
        <w:tc>
          <w:tcPr>
            <w:tcW w:w="6912" w:type="dxa"/>
          </w:tcPr>
          <w:p w:rsidR="006E76B9" w:rsidRPr="009937C8" w:rsidRDefault="006E76B9" w:rsidP="006E76B9">
            <w:pPr>
              <w:rPr>
                <w:rFonts w:cs="Arial"/>
                <w:b/>
              </w:rPr>
            </w:pPr>
            <w:r w:rsidRPr="009937C8">
              <w:rPr>
                <w:rFonts w:cs="Arial"/>
                <w:b/>
              </w:rPr>
              <w:t>System Average Interruption Duration Index (SAIDI)</w:t>
            </w:r>
          </w:p>
        </w:tc>
        <w:tc>
          <w:tcPr>
            <w:tcW w:w="1418" w:type="dxa"/>
          </w:tcPr>
          <w:p w:rsidR="006E76B9" w:rsidRPr="009937C8" w:rsidRDefault="006E76B9" w:rsidP="006E76B9"/>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Adelaide Business Area</w:t>
            </w:r>
          </w:p>
        </w:tc>
        <w:tc>
          <w:tcPr>
            <w:tcW w:w="1418" w:type="dxa"/>
          </w:tcPr>
          <w:p w:rsidR="006E76B9" w:rsidRPr="009937C8" w:rsidRDefault="006E76B9" w:rsidP="006E76B9">
            <w:pPr>
              <w:jc w:val="right"/>
            </w:pPr>
            <w:r w:rsidRPr="009937C8">
              <w:t>9.0</w:t>
            </w:r>
          </w:p>
        </w:tc>
      </w:tr>
      <w:tr w:rsidR="006E76B9" w:rsidTr="006E76B9">
        <w:tc>
          <w:tcPr>
            <w:tcW w:w="6912" w:type="dxa"/>
          </w:tcPr>
          <w:p w:rsidR="006E76B9" w:rsidRPr="009937C8" w:rsidRDefault="006E76B9" w:rsidP="006E76B9">
            <w:pPr>
              <w:rPr>
                <w:rFonts w:cs="Arial"/>
              </w:rPr>
            </w:pPr>
            <w:r w:rsidRPr="009937C8">
              <w:rPr>
                <w:rFonts w:cs="Arial"/>
              </w:rPr>
              <w:t>Major Metropolitan Areas</w:t>
            </w:r>
          </w:p>
        </w:tc>
        <w:tc>
          <w:tcPr>
            <w:tcW w:w="1418" w:type="dxa"/>
          </w:tcPr>
          <w:p w:rsidR="006E76B9" w:rsidRPr="009937C8" w:rsidRDefault="006E76B9" w:rsidP="006E76B9">
            <w:pPr>
              <w:jc w:val="right"/>
            </w:pPr>
            <w:r w:rsidRPr="009937C8">
              <w:t>265.0</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 xml:space="preserve">Barossa/Mid-North &amp; Yorke Peninsula/Riverland/Murraylands  </w:t>
            </w:r>
          </w:p>
        </w:tc>
        <w:tc>
          <w:tcPr>
            <w:tcW w:w="1418" w:type="dxa"/>
          </w:tcPr>
          <w:p w:rsidR="006E76B9" w:rsidRPr="009937C8" w:rsidRDefault="006E76B9" w:rsidP="006E76B9">
            <w:pPr>
              <w:jc w:val="right"/>
            </w:pPr>
            <w:r w:rsidRPr="009937C8">
              <w:t>242.2</w:t>
            </w:r>
          </w:p>
        </w:tc>
      </w:tr>
      <w:tr w:rsidR="006E76B9" w:rsidTr="006E76B9">
        <w:tc>
          <w:tcPr>
            <w:tcW w:w="6912" w:type="dxa"/>
          </w:tcPr>
          <w:p w:rsidR="006E76B9" w:rsidRPr="009937C8" w:rsidRDefault="006E76B9" w:rsidP="006E76B9">
            <w:pPr>
              <w:rPr>
                <w:rFonts w:cs="Arial"/>
              </w:rPr>
            </w:pPr>
            <w:r w:rsidRPr="009937C8">
              <w:rPr>
                <w:rFonts w:cs="Arial"/>
              </w:rPr>
              <w:t>Eastern Hills/Fleurieu Peninsula</w:t>
            </w:r>
          </w:p>
        </w:tc>
        <w:tc>
          <w:tcPr>
            <w:tcW w:w="1418" w:type="dxa"/>
          </w:tcPr>
          <w:p w:rsidR="006E76B9" w:rsidRPr="009937C8" w:rsidRDefault="006E76B9" w:rsidP="006E76B9">
            <w:pPr>
              <w:jc w:val="right"/>
            </w:pPr>
            <w:r w:rsidRPr="009937C8">
              <w:t>425.1</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Upper North &amp; Eyre Peninsula</w:t>
            </w:r>
          </w:p>
        </w:tc>
        <w:tc>
          <w:tcPr>
            <w:tcW w:w="1418" w:type="dxa"/>
          </w:tcPr>
          <w:p w:rsidR="006E76B9" w:rsidRPr="009937C8" w:rsidRDefault="006E76B9" w:rsidP="006E76B9">
            <w:pPr>
              <w:jc w:val="right"/>
            </w:pPr>
            <w:r w:rsidRPr="009937C8">
              <w:t>390.1</w:t>
            </w:r>
          </w:p>
        </w:tc>
      </w:tr>
      <w:tr w:rsidR="006E76B9" w:rsidTr="006E76B9">
        <w:tc>
          <w:tcPr>
            <w:tcW w:w="6912" w:type="dxa"/>
          </w:tcPr>
          <w:p w:rsidR="006E76B9" w:rsidRPr="009937C8" w:rsidRDefault="006E76B9" w:rsidP="006E76B9">
            <w:pPr>
              <w:rPr>
                <w:rFonts w:cs="Arial"/>
              </w:rPr>
            </w:pPr>
            <w:r w:rsidRPr="009937C8">
              <w:rPr>
                <w:rFonts w:cs="Arial"/>
              </w:rPr>
              <w:t>South East</w:t>
            </w:r>
          </w:p>
        </w:tc>
        <w:tc>
          <w:tcPr>
            <w:tcW w:w="1418" w:type="dxa"/>
          </w:tcPr>
          <w:p w:rsidR="006E76B9" w:rsidRPr="009937C8" w:rsidRDefault="006E76B9" w:rsidP="006E76B9">
            <w:pPr>
              <w:jc w:val="right"/>
            </w:pPr>
            <w:r w:rsidRPr="009937C8">
              <w:t>427.5</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Kangaroo Island</w:t>
            </w:r>
          </w:p>
        </w:tc>
        <w:tc>
          <w:tcPr>
            <w:tcW w:w="1418" w:type="dxa"/>
          </w:tcPr>
          <w:p w:rsidR="006E76B9" w:rsidRPr="009937C8" w:rsidRDefault="006E76B9" w:rsidP="006E76B9">
            <w:pPr>
              <w:jc w:val="right"/>
            </w:pPr>
            <w:r w:rsidRPr="009937C8">
              <w:t>384.9</w:t>
            </w:r>
          </w:p>
        </w:tc>
      </w:tr>
      <w:tr w:rsidR="006E76B9" w:rsidTr="006E76B9">
        <w:tc>
          <w:tcPr>
            <w:tcW w:w="6912" w:type="dxa"/>
          </w:tcPr>
          <w:p w:rsidR="006E76B9" w:rsidRPr="009937C8" w:rsidRDefault="006E76B9" w:rsidP="006E76B9">
            <w:pPr>
              <w:rPr>
                <w:rFonts w:cs="Arial"/>
                <w:b/>
              </w:rPr>
            </w:pPr>
            <w:r w:rsidRPr="009937C8">
              <w:rPr>
                <w:rFonts w:cs="Arial"/>
                <w:b/>
              </w:rPr>
              <w:t>SAIDI TOTAL</w:t>
            </w:r>
          </w:p>
        </w:tc>
        <w:tc>
          <w:tcPr>
            <w:tcW w:w="1418" w:type="dxa"/>
          </w:tcPr>
          <w:p w:rsidR="006E76B9" w:rsidRPr="009937C8" w:rsidRDefault="006E76B9" w:rsidP="006E76B9">
            <w:pPr>
              <w:jc w:val="right"/>
              <w:rPr>
                <w:b/>
              </w:rPr>
            </w:pPr>
            <w:r w:rsidRPr="009937C8">
              <w:rPr>
                <w:b/>
              </w:rPr>
              <w:t>287.0</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 contribution of planned interruptions to state-wide SAIDI</w:t>
            </w:r>
          </w:p>
        </w:tc>
        <w:tc>
          <w:tcPr>
            <w:tcW w:w="1418" w:type="dxa"/>
          </w:tcPr>
          <w:p w:rsidR="006E76B9" w:rsidRPr="009937C8" w:rsidRDefault="006E76B9" w:rsidP="006E76B9">
            <w:pPr>
              <w:jc w:val="right"/>
            </w:pPr>
            <w:r w:rsidRPr="009937C8">
              <w:t>20%</w:t>
            </w:r>
          </w:p>
        </w:tc>
      </w:tr>
      <w:tr w:rsidR="006E76B9" w:rsidTr="006E76B9">
        <w:tc>
          <w:tcPr>
            <w:tcW w:w="6912" w:type="dxa"/>
          </w:tcPr>
          <w:p w:rsidR="006E76B9" w:rsidRPr="009937C8" w:rsidRDefault="006E76B9" w:rsidP="006E76B9">
            <w:pPr>
              <w:rPr>
                <w:rFonts w:cs="Arial"/>
              </w:rPr>
            </w:pPr>
            <w:r w:rsidRPr="009937C8">
              <w:rPr>
                <w:rFonts w:cs="Arial"/>
              </w:rPr>
              <w:t>Number of customers who experienced a supply interruption greater than 12 hours but less than or equal to 15 hours</w:t>
            </w:r>
          </w:p>
        </w:tc>
        <w:tc>
          <w:tcPr>
            <w:tcW w:w="1418" w:type="dxa"/>
          </w:tcPr>
          <w:p w:rsidR="006E76B9" w:rsidRPr="009937C8" w:rsidRDefault="006E76B9" w:rsidP="006E76B9">
            <w:pPr>
              <w:jc w:val="right"/>
            </w:pPr>
            <w:r w:rsidRPr="009937C8">
              <w:t>15 235</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Compensation paid to customers who experienced a supply interruption greater than 12 hours but less than or equal to 15 hours</w:t>
            </w:r>
          </w:p>
        </w:tc>
        <w:tc>
          <w:tcPr>
            <w:tcW w:w="1418" w:type="dxa"/>
          </w:tcPr>
          <w:p w:rsidR="006E76B9" w:rsidRPr="009937C8" w:rsidRDefault="006E76B9" w:rsidP="006E76B9">
            <w:pPr>
              <w:jc w:val="right"/>
            </w:pPr>
            <w:r w:rsidRPr="009937C8">
              <w:t>$1 371 150</w:t>
            </w:r>
          </w:p>
        </w:tc>
      </w:tr>
      <w:tr w:rsidR="006E76B9" w:rsidTr="006E76B9">
        <w:tc>
          <w:tcPr>
            <w:tcW w:w="6912" w:type="dxa"/>
          </w:tcPr>
          <w:p w:rsidR="006E76B9" w:rsidRPr="009937C8" w:rsidRDefault="006E76B9" w:rsidP="006E76B9">
            <w:pPr>
              <w:rPr>
                <w:rFonts w:cs="Arial"/>
              </w:rPr>
            </w:pPr>
            <w:r w:rsidRPr="009937C8">
              <w:rPr>
                <w:rFonts w:cs="Arial"/>
              </w:rPr>
              <w:t>Number of customers who experienced a supply interruption greater than 15 hours but less than or equal to 18 hours</w:t>
            </w:r>
          </w:p>
        </w:tc>
        <w:tc>
          <w:tcPr>
            <w:tcW w:w="1418" w:type="dxa"/>
          </w:tcPr>
          <w:p w:rsidR="006E76B9" w:rsidRPr="009937C8" w:rsidRDefault="006E76B9" w:rsidP="006E76B9">
            <w:pPr>
              <w:jc w:val="right"/>
            </w:pPr>
            <w:r w:rsidRPr="009937C8">
              <w:t>9 829</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Compensation paid to customers who experienced a supply interruption greater than 15 hours but less than or equal to 18 hours</w:t>
            </w:r>
          </w:p>
        </w:tc>
        <w:tc>
          <w:tcPr>
            <w:tcW w:w="1418" w:type="dxa"/>
          </w:tcPr>
          <w:p w:rsidR="006E76B9" w:rsidRPr="009937C8" w:rsidRDefault="006E76B9" w:rsidP="006E76B9">
            <w:pPr>
              <w:jc w:val="right"/>
            </w:pPr>
            <w:r w:rsidRPr="009937C8">
              <w:t>$1 376 060</w:t>
            </w:r>
          </w:p>
        </w:tc>
      </w:tr>
      <w:tr w:rsidR="006E76B9" w:rsidTr="006E76B9">
        <w:tc>
          <w:tcPr>
            <w:tcW w:w="6912" w:type="dxa"/>
          </w:tcPr>
          <w:p w:rsidR="006E76B9" w:rsidRPr="009937C8" w:rsidRDefault="006E76B9" w:rsidP="006E76B9">
            <w:pPr>
              <w:rPr>
                <w:rFonts w:cs="Arial"/>
              </w:rPr>
            </w:pPr>
            <w:r w:rsidRPr="009937C8">
              <w:rPr>
                <w:rFonts w:cs="Arial"/>
              </w:rPr>
              <w:t>Number of customers who experienced a supply interruption greater than 18 hours but less than or equal to 24 hours</w:t>
            </w:r>
          </w:p>
        </w:tc>
        <w:tc>
          <w:tcPr>
            <w:tcW w:w="1418" w:type="dxa"/>
          </w:tcPr>
          <w:p w:rsidR="006E76B9" w:rsidRPr="009937C8" w:rsidRDefault="006E76B9" w:rsidP="006E76B9">
            <w:pPr>
              <w:jc w:val="right"/>
            </w:pPr>
            <w:r w:rsidRPr="009937C8">
              <w:t>14 457</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Compensation paid to customers who experienced a supply interruption greater than 18 hours but less than or equal to 24 hours</w:t>
            </w:r>
          </w:p>
        </w:tc>
        <w:tc>
          <w:tcPr>
            <w:tcW w:w="1418" w:type="dxa"/>
          </w:tcPr>
          <w:p w:rsidR="006E76B9" w:rsidRPr="009937C8" w:rsidRDefault="006E76B9" w:rsidP="006E76B9">
            <w:pPr>
              <w:jc w:val="right"/>
            </w:pPr>
            <w:r w:rsidRPr="009937C8">
              <w:t>$2 674 545</w:t>
            </w:r>
          </w:p>
        </w:tc>
      </w:tr>
      <w:tr w:rsidR="006E76B9" w:rsidTr="006E76B9">
        <w:tc>
          <w:tcPr>
            <w:tcW w:w="6912" w:type="dxa"/>
          </w:tcPr>
          <w:p w:rsidR="006E76B9" w:rsidRPr="009937C8" w:rsidRDefault="006E76B9" w:rsidP="006E76B9">
            <w:pPr>
              <w:rPr>
                <w:rFonts w:cs="Arial"/>
              </w:rPr>
            </w:pPr>
            <w:r w:rsidRPr="009937C8">
              <w:rPr>
                <w:rFonts w:cs="Arial"/>
              </w:rPr>
              <w:t>Number of customers who experienced a supply interruption greater than 24 hours</w:t>
            </w:r>
          </w:p>
        </w:tc>
        <w:tc>
          <w:tcPr>
            <w:tcW w:w="1418" w:type="dxa"/>
          </w:tcPr>
          <w:p w:rsidR="006E76B9" w:rsidRPr="009937C8" w:rsidRDefault="006E76B9" w:rsidP="006E76B9">
            <w:pPr>
              <w:jc w:val="right"/>
            </w:pPr>
            <w:r w:rsidRPr="009937C8">
              <w:t>9 310</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6912" w:type="dxa"/>
          </w:tcPr>
          <w:p w:rsidR="006E76B9" w:rsidRPr="009937C8" w:rsidRDefault="006E76B9" w:rsidP="006E76B9">
            <w:pPr>
              <w:rPr>
                <w:rFonts w:cs="Arial"/>
              </w:rPr>
            </w:pPr>
            <w:r w:rsidRPr="009937C8">
              <w:rPr>
                <w:rFonts w:cs="Arial"/>
              </w:rPr>
              <w:t>Compensation paid to customers who experienced a supply interruption greater than 24 hours</w:t>
            </w:r>
          </w:p>
        </w:tc>
        <w:tc>
          <w:tcPr>
            <w:tcW w:w="1418" w:type="dxa"/>
          </w:tcPr>
          <w:p w:rsidR="006E76B9" w:rsidRPr="009937C8" w:rsidRDefault="006E76B9" w:rsidP="006E76B9">
            <w:pPr>
              <w:jc w:val="right"/>
            </w:pPr>
            <w:r w:rsidRPr="009937C8">
              <w:t>$3 444 700</w:t>
            </w:r>
          </w:p>
        </w:tc>
      </w:tr>
      <w:tr w:rsidR="006E76B9" w:rsidTr="006E76B9">
        <w:tc>
          <w:tcPr>
            <w:tcW w:w="6912" w:type="dxa"/>
          </w:tcPr>
          <w:p w:rsidR="006E76B9" w:rsidRPr="00312AD1" w:rsidRDefault="006E76B9" w:rsidP="006E76B9">
            <w:pPr>
              <w:rPr>
                <w:rFonts w:cs="Arial"/>
                <w:b/>
              </w:rPr>
            </w:pPr>
            <w:r w:rsidRPr="00312AD1">
              <w:rPr>
                <w:rFonts w:cs="Arial"/>
                <w:b/>
              </w:rPr>
              <w:t>Total amounts paid to customers for duration of supply interruptions exceeding the threshold amount</w:t>
            </w:r>
          </w:p>
        </w:tc>
        <w:tc>
          <w:tcPr>
            <w:tcW w:w="1418" w:type="dxa"/>
          </w:tcPr>
          <w:p w:rsidR="006E76B9" w:rsidRPr="00312AD1" w:rsidRDefault="006E76B9" w:rsidP="006E76B9">
            <w:pPr>
              <w:jc w:val="right"/>
              <w:rPr>
                <w:b/>
              </w:rPr>
            </w:pPr>
            <w:r w:rsidRPr="00312AD1">
              <w:rPr>
                <w:b/>
              </w:rPr>
              <w:t>$8 866 455</w:t>
            </w:r>
          </w:p>
        </w:tc>
      </w:tr>
    </w:tbl>
    <w:p w:rsidR="006E76B9" w:rsidRDefault="006E76B9" w:rsidP="006E76B9">
      <w:pPr>
        <w:spacing w:before="0" w:after="200"/>
        <w:rPr>
          <w:b/>
        </w:rPr>
      </w:pPr>
      <w:r>
        <w:rPr>
          <w:b/>
        </w:rPr>
        <w:br w:type="page"/>
      </w:r>
    </w:p>
    <w:p w:rsidR="006E76B9" w:rsidRDefault="006E76B9" w:rsidP="006E76B9">
      <w:pPr>
        <w:rPr>
          <w:b/>
        </w:rPr>
      </w:pPr>
      <w:r>
        <w:rPr>
          <w:b/>
        </w:rPr>
        <w:lastRenderedPageBreak/>
        <w:t>Tab</w:t>
      </w:r>
      <w:r w:rsidR="00254D8F">
        <w:rPr>
          <w:b/>
        </w:rPr>
        <w:t>le A.4</w:t>
      </w:r>
      <w:r>
        <w:rPr>
          <w:b/>
        </w:rPr>
        <w:t>: Frequency of supply interruptions, 2013-14 (SA Power Networks)</w:t>
      </w:r>
    </w:p>
    <w:tbl>
      <w:tblPr>
        <w:tblStyle w:val="AERTable-Text"/>
        <w:tblW w:w="0" w:type="auto"/>
        <w:tblLook w:val="04A0" w:firstRow="1" w:lastRow="0" w:firstColumn="1" w:lastColumn="0" w:noHBand="0" w:noVBand="1"/>
      </w:tblPr>
      <w:tblGrid>
        <w:gridCol w:w="7054"/>
        <w:gridCol w:w="1276"/>
      </w:tblGrid>
      <w:tr w:rsidR="006E76B9" w:rsidTr="006E76B9">
        <w:trPr>
          <w:cnfStyle w:val="100000000000" w:firstRow="1" w:lastRow="0" w:firstColumn="0" w:lastColumn="0" w:oddVBand="0" w:evenVBand="0" w:oddHBand="0" w:evenHBand="0" w:firstRowFirstColumn="0" w:firstRowLastColumn="0" w:lastRowFirstColumn="0" w:lastRowLastColumn="0"/>
        </w:trPr>
        <w:tc>
          <w:tcPr>
            <w:tcW w:w="7054" w:type="dxa"/>
          </w:tcPr>
          <w:p w:rsidR="006E76B9" w:rsidRDefault="006E76B9" w:rsidP="006E76B9">
            <w:pPr>
              <w:rPr>
                <w:rFonts w:asciiTheme="minorHAnsi" w:hAnsiTheme="minorHAnsi" w:cstheme="minorHAnsi"/>
              </w:rPr>
            </w:pPr>
          </w:p>
        </w:tc>
        <w:tc>
          <w:tcPr>
            <w:tcW w:w="1276" w:type="dxa"/>
          </w:tcPr>
          <w:p w:rsidR="006E76B9" w:rsidRPr="006E76B9" w:rsidRDefault="006E76B9" w:rsidP="006E76B9">
            <w:pPr>
              <w:jc w:val="right"/>
              <w:rPr>
                <w:rFonts w:cs="Arial"/>
              </w:rPr>
            </w:pPr>
            <w:r w:rsidRPr="006E76B9">
              <w:rPr>
                <w:rFonts w:cs="Arial"/>
              </w:rPr>
              <w:t>SAPN</w:t>
            </w:r>
          </w:p>
        </w:tc>
      </w:tr>
      <w:tr w:rsidR="006E76B9" w:rsidTr="006E76B9">
        <w:tc>
          <w:tcPr>
            <w:tcW w:w="7054" w:type="dxa"/>
          </w:tcPr>
          <w:p w:rsidR="006E76B9" w:rsidRPr="009937C8" w:rsidRDefault="006E76B9" w:rsidP="006E76B9">
            <w:pPr>
              <w:rPr>
                <w:rFonts w:cs="Arial"/>
                <w:b/>
              </w:rPr>
            </w:pPr>
            <w:r w:rsidRPr="009937C8">
              <w:rPr>
                <w:rFonts w:cs="Arial"/>
                <w:b/>
              </w:rPr>
              <w:t>System Average Interruption Frequency Index (SAIFI)</w:t>
            </w:r>
          </w:p>
        </w:tc>
        <w:tc>
          <w:tcPr>
            <w:tcW w:w="1276" w:type="dxa"/>
          </w:tcPr>
          <w:p w:rsidR="006E76B9" w:rsidRPr="009937C8" w:rsidRDefault="006E76B9" w:rsidP="006E76B9">
            <w:pPr>
              <w:jc w:val="right"/>
            </w:pP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9937C8" w:rsidRDefault="006E76B9" w:rsidP="006E76B9">
            <w:pPr>
              <w:rPr>
                <w:rFonts w:cs="Arial"/>
              </w:rPr>
            </w:pPr>
            <w:r w:rsidRPr="009937C8">
              <w:rPr>
                <w:rFonts w:cs="Arial"/>
              </w:rPr>
              <w:t>Adelaide Business Area</w:t>
            </w:r>
          </w:p>
        </w:tc>
        <w:tc>
          <w:tcPr>
            <w:tcW w:w="1276" w:type="dxa"/>
          </w:tcPr>
          <w:p w:rsidR="006E76B9" w:rsidRPr="009937C8" w:rsidRDefault="006E76B9" w:rsidP="006E76B9">
            <w:pPr>
              <w:jc w:val="right"/>
            </w:pPr>
            <w:r w:rsidRPr="009937C8">
              <w:t>0.115</w:t>
            </w:r>
          </w:p>
        </w:tc>
      </w:tr>
      <w:tr w:rsidR="006E76B9" w:rsidTr="006E76B9">
        <w:tc>
          <w:tcPr>
            <w:tcW w:w="7054" w:type="dxa"/>
          </w:tcPr>
          <w:p w:rsidR="006E76B9" w:rsidRPr="009937C8" w:rsidRDefault="006E76B9" w:rsidP="006E76B9">
            <w:pPr>
              <w:rPr>
                <w:rFonts w:cs="Arial"/>
              </w:rPr>
            </w:pPr>
            <w:r w:rsidRPr="009937C8">
              <w:rPr>
                <w:rFonts w:cs="Arial"/>
              </w:rPr>
              <w:t>Major Metropolitan Areas</w:t>
            </w:r>
          </w:p>
        </w:tc>
        <w:tc>
          <w:tcPr>
            <w:tcW w:w="1276" w:type="dxa"/>
          </w:tcPr>
          <w:p w:rsidR="006E76B9" w:rsidRPr="009937C8" w:rsidRDefault="006E76B9" w:rsidP="006E76B9">
            <w:pPr>
              <w:jc w:val="right"/>
            </w:pPr>
            <w:r w:rsidRPr="009937C8">
              <w:t>1.719</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9937C8" w:rsidRDefault="006E76B9" w:rsidP="006E76B9">
            <w:pPr>
              <w:rPr>
                <w:rFonts w:cs="Arial"/>
              </w:rPr>
            </w:pPr>
            <w:r w:rsidRPr="009937C8">
              <w:rPr>
                <w:rFonts w:cs="Arial"/>
              </w:rPr>
              <w:t xml:space="preserve">Barossa/Mid-North &amp; Yorke Peninsula/Riverland/Murraylands  </w:t>
            </w:r>
          </w:p>
        </w:tc>
        <w:tc>
          <w:tcPr>
            <w:tcW w:w="1276" w:type="dxa"/>
          </w:tcPr>
          <w:p w:rsidR="006E76B9" w:rsidRPr="009937C8" w:rsidRDefault="006E76B9" w:rsidP="006E76B9">
            <w:pPr>
              <w:jc w:val="right"/>
            </w:pPr>
            <w:r w:rsidRPr="009937C8">
              <w:t>1.593</w:t>
            </w:r>
          </w:p>
        </w:tc>
      </w:tr>
      <w:tr w:rsidR="006E76B9" w:rsidTr="006E76B9">
        <w:tc>
          <w:tcPr>
            <w:tcW w:w="7054" w:type="dxa"/>
          </w:tcPr>
          <w:p w:rsidR="006E76B9" w:rsidRPr="009937C8" w:rsidRDefault="006E76B9" w:rsidP="006E76B9">
            <w:pPr>
              <w:rPr>
                <w:rFonts w:cs="Arial"/>
              </w:rPr>
            </w:pPr>
            <w:r w:rsidRPr="009937C8">
              <w:rPr>
                <w:rFonts w:cs="Arial"/>
              </w:rPr>
              <w:t>Eastern Hills/Fleurieu Peninsula</w:t>
            </w:r>
          </w:p>
        </w:tc>
        <w:tc>
          <w:tcPr>
            <w:tcW w:w="1276" w:type="dxa"/>
          </w:tcPr>
          <w:p w:rsidR="006E76B9" w:rsidRPr="009937C8" w:rsidRDefault="006E76B9" w:rsidP="006E76B9">
            <w:pPr>
              <w:jc w:val="right"/>
            </w:pPr>
            <w:r w:rsidRPr="009937C8">
              <w:t>2.901</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9937C8" w:rsidRDefault="006E76B9" w:rsidP="006E76B9">
            <w:pPr>
              <w:rPr>
                <w:rFonts w:cs="Arial"/>
              </w:rPr>
            </w:pPr>
            <w:r w:rsidRPr="009937C8">
              <w:rPr>
                <w:rFonts w:cs="Arial"/>
              </w:rPr>
              <w:t>Upper North &amp; Eyre Peninsula</w:t>
            </w:r>
          </w:p>
        </w:tc>
        <w:tc>
          <w:tcPr>
            <w:tcW w:w="1276" w:type="dxa"/>
          </w:tcPr>
          <w:p w:rsidR="006E76B9" w:rsidRPr="009937C8" w:rsidRDefault="006E76B9" w:rsidP="006E76B9">
            <w:pPr>
              <w:jc w:val="right"/>
            </w:pPr>
            <w:r w:rsidRPr="009937C8">
              <w:t>1.691</w:t>
            </w:r>
          </w:p>
        </w:tc>
      </w:tr>
      <w:tr w:rsidR="006E76B9" w:rsidTr="006E76B9">
        <w:tc>
          <w:tcPr>
            <w:tcW w:w="7054" w:type="dxa"/>
          </w:tcPr>
          <w:p w:rsidR="006E76B9" w:rsidRPr="009937C8" w:rsidRDefault="006E76B9" w:rsidP="006E76B9">
            <w:pPr>
              <w:rPr>
                <w:rFonts w:cs="Arial"/>
              </w:rPr>
            </w:pPr>
            <w:r w:rsidRPr="009937C8">
              <w:rPr>
                <w:rFonts w:cs="Arial"/>
              </w:rPr>
              <w:t>South East</w:t>
            </w:r>
          </w:p>
        </w:tc>
        <w:tc>
          <w:tcPr>
            <w:tcW w:w="1276" w:type="dxa"/>
          </w:tcPr>
          <w:p w:rsidR="006E76B9" w:rsidRPr="009937C8" w:rsidRDefault="006E76B9" w:rsidP="006E76B9">
            <w:pPr>
              <w:jc w:val="right"/>
            </w:pPr>
            <w:r w:rsidRPr="009937C8">
              <w:t>2.445</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9937C8" w:rsidRDefault="006E76B9" w:rsidP="006E76B9">
            <w:pPr>
              <w:rPr>
                <w:rFonts w:cs="Arial"/>
              </w:rPr>
            </w:pPr>
            <w:r w:rsidRPr="009937C8">
              <w:rPr>
                <w:rFonts w:cs="Arial"/>
              </w:rPr>
              <w:t>Kangaroo Island</w:t>
            </w:r>
          </w:p>
        </w:tc>
        <w:tc>
          <w:tcPr>
            <w:tcW w:w="1276" w:type="dxa"/>
          </w:tcPr>
          <w:p w:rsidR="006E76B9" w:rsidRPr="009937C8" w:rsidRDefault="006E76B9" w:rsidP="006E76B9">
            <w:pPr>
              <w:jc w:val="right"/>
            </w:pPr>
            <w:r w:rsidRPr="009937C8">
              <w:t>2.851</w:t>
            </w:r>
          </w:p>
        </w:tc>
      </w:tr>
      <w:tr w:rsidR="006E76B9" w:rsidTr="006E76B9">
        <w:tc>
          <w:tcPr>
            <w:tcW w:w="7054" w:type="dxa"/>
          </w:tcPr>
          <w:p w:rsidR="006E76B9" w:rsidRPr="009937C8" w:rsidRDefault="006E76B9" w:rsidP="006E76B9">
            <w:pPr>
              <w:rPr>
                <w:rFonts w:cs="Arial"/>
              </w:rPr>
            </w:pPr>
            <w:r w:rsidRPr="009937C8">
              <w:rPr>
                <w:rFonts w:cs="Arial"/>
                <w:b/>
              </w:rPr>
              <w:t>SAIFI TOTAL</w:t>
            </w:r>
          </w:p>
        </w:tc>
        <w:tc>
          <w:tcPr>
            <w:tcW w:w="1276" w:type="dxa"/>
          </w:tcPr>
          <w:p w:rsidR="006E76B9" w:rsidRPr="009937C8" w:rsidRDefault="006E76B9" w:rsidP="006E76B9">
            <w:pPr>
              <w:jc w:val="right"/>
              <w:rPr>
                <w:b/>
              </w:rPr>
            </w:pPr>
            <w:r w:rsidRPr="009937C8">
              <w:rPr>
                <w:b/>
              </w:rPr>
              <w:t>1.828</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312AD1" w:rsidRDefault="006E76B9" w:rsidP="006E76B9">
            <w:pPr>
              <w:rPr>
                <w:rFonts w:cs="Arial"/>
              </w:rPr>
            </w:pPr>
            <w:r w:rsidRPr="00312AD1">
              <w:rPr>
                <w:rFonts w:cs="Arial"/>
              </w:rPr>
              <w:t>Number of customers with greater than 9 but less than or equal to 12 interruptions</w:t>
            </w:r>
          </w:p>
        </w:tc>
        <w:tc>
          <w:tcPr>
            <w:tcW w:w="1276" w:type="dxa"/>
          </w:tcPr>
          <w:p w:rsidR="006E76B9" w:rsidRPr="00312AD1" w:rsidRDefault="006E76B9" w:rsidP="006E76B9">
            <w:pPr>
              <w:jc w:val="right"/>
            </w:pPr>
            <w:r w:rsidRPr="00312AD1">
              <w:t>3 258*</w:t>
            </w:r>
          </w:p>
        </w:tc>
      </w:tr>
      <w:tr w:rsidR="006E76B9" w:rsidTr="006E76B9">
        <w:tc>
          <w:tcPr>
            <w:tcW w:w="7054" w:type="dxa"/>
          </w:tcPr>
          <w:p w:rsidR="006E76B9" w:rsidRPr="00312AD1" w:rsidRDefault="006E76B9" w:rsidP="006E76B9">
            <w:pPr>
              <w:rPr>
                <w:rFonts w:cs="Arial"/>
              </w:rPr>
            </w:pPr>
            <w:r w:rsidRPr="00312AD1">
              <w:rPr>
                <w:rFonts w:cs="Arial"/>
              </w:rPr>
              <w:t>Compensation paid to customers with greater than 9 but less than or equal to 12 interruptions</w:t>
            </w:r>
          </w:p>
        </w:tc>
        <w:tc>
          <w:tcPr>
            <w:tcW w:w="1276" w:type="dxa"/>
          </w:tcPr>
          <w:p w:rsidR="006E76B9" w:rsidRPr="00312AD1" w:rsidRDefault="006E76B9" w:rsidP="006E76B9">
            <w:pPr>
              <w:jc w:val="right"/>
            </w:pPr>
            <w:r w:rsidRPr="00312AD1">
              <w:t>$293 220</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312AD1" w:rsidRDefault="006E76B9" w:rsidP="006E76B9">
            <w:pPr>
              <w:rPr>
                <w:rFonts w:cs="Arial"/>
              </w:rPr>
            </w:pPr>
            <w:r w:rsidRPr="00312AD1">
              <w:rPr>
                <w:rFonts w:cs="Arial"/>
              </w:rPr>
              <w:t>Number of customers with greater than 12 but less than or equal to 15 interruptions</w:t>
            </w:r>
          </w:p>
        </w:tc>
        <w:tc>
          <w:tcPr>
            <w:tcW w:w="1276" w:type="dxa"/>
          </w:tcPr>
          <w:p w:rsidR="006E76B9" w:rsidRPr="00312AD1" w:rsidRDefault="006E76B9" w:rsidP="006E76B9">
            <w:pPr>
              <w:jc w:val="right"/>
            </w:pPr>
            <w:r w:rsidRPr="00312AD1">
              <w:t>368*</w:t>
            </w:r>
          </w:p>
        </w:tc>
      </w:tr>
      <w:tr w:rsidR="006E76B9" w:rsidTr="006E76B9">
        <w:tc>
          <w:tcPr>
            <w:tcW w:w="7054" w:type="dxa"/>
          </w:tcPr>
          <w:p w:rsidR="006E76B9" w:rsidRPr="00312AD1" w:rsidRDefault="006E76B9" w:rsidP="006E76B9">
            <w:pPr>
              <w:rPr>
                <w:rFonts w:cs="Arial"/>
              </w:rPr>
            </w:pPr>
            <w:r w:rsidRPr="00312AD1">
              <w:rPr>
                <w:rFonts w:cs="Arial"/>
              </w:rPr>
              <w:t>Compensation paid to customers with greater than 12 but less than or equal to 15 interruptions</w:t>
            </w:r>
          </w:p>
        </w:tc>
        <w:tc>
          <w:tcPr>
            <w:tcW w:w="1276" w:type="dxa"/>
          </w:tcPr>
          <w:p w:rsidR="006E76B9" w:rsidRPr="00312AD1" w:rsidRDefault="006E76B9" w:rsidP="006E76B9">
            <w:pPr>
              <w:jc w:val="right"/>
            </w:pPr>
            <w:r w:rsidRPr="00312AD1">
              <w:t>$51 520</w:t>
            </w:r>
          </w:p>
        </w:tc>
      </w:tr>
      <w:tr w:rsidR="006E76B9"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312AD1" w:rsidRDefault="006E76B9" w:rsidP="006E76B9">
            <w:pPr>
              <w:rPr>
                <w:rFonts w:cs="Arial"/>
              </w:rPr>
            </w:pPr>
            <w:r w:rsidRPr="00312AD1">
              <w:rPr>
                <w:rFonts w:cs="Arial"/>
              </w:rPr>
              <w:t>Number of customers with greater than 15 interruptions</w:t>
            </w:r>
          </w:p>
        </w:tc>
        <w:tc>
          <w:tcPr>
            <w:tcW w:w="1276" w:type="dxa"/>
          </w:tcPr>
          <w:p w:rsidR="006E76B9" w:rsidRPr="00312AD1" w:rsidRDefault="006E76B9" w:rsidP="006E76B9">
            <w:pPr>
              <w:jc w:val="right"/>
            </w:pPr>
            <w:r w:rsidRPr="00312AD1">
              <w:t>3*</w:t>
            </w:r>
          </w:p>
        </w:tc>
      </w:tr>
      <w:tr w:rsidR="006E76B9" w:rsidTr="006E76B9">
        <w:tc>
          <w:tcPr>
            <w:tcW w:w="7054" w:type="dxa"/>
          </w:tcPr>
          <w:p w:rsidR="006E76B9" w:rsidRPr="00312AD1" w:rsidRDefault="006E76B9" w:rsidP="006E76B9">
            <w:pPr>
              <w:rPr>
                <w:rFonts w:cs="Arial"/>
              </w:rPr>
            </w:pPr>
            <w:r w:rsidRPr="00312AD1">
              <w:rPr>
                <w:rFonts w:cs="Arial"/>
              </w:rPr>
              <w:t>Compensation paid to customers with greater than 15 interruptions</w:t>
            </w:r>
          </w:p>
        </w:tc>
        <w:tc>
          <w:tcPr>
            <w:tcW w:w="1276" w:type="dxa"/>
          </w:tcPr>
          <w:p w:rsidR="006E76B9" w:rsidRPr="00312AD1" w:rsidRDefault="006E76B9" w:rsidP="006E76B9">
            <w:pPr>
              <w:jc w:val="right"/>
            </w:pPr>
            <w:r w:rsidRPr="00312AD1">
              <w:t>$555</w:t>
            </w:r>
          </w:p>
        </w:tc>
      </w:tr>
      <w:tr w:rsidR="006E76B9" w:rsidRPr="00312AD1" w:rsidTr="006E76B9">
        <w:trPr>
          <w:cnfStyle w:val="000000010000" w:firstRow="0" w:lastRow="0" w:firstColumn="0" w:lastColumn="0" w:oddVBand="0" w:evenVBand="0" w:oddHBand="0" w:evenHBand="1" w:firstRowFirstColumn="0" w:firstRowLastColumn="0" w:lastRowFirstColumn="0" w:lastRowLastColumn="0"/>
        </w:trPr>
        <w:tc>
          <w:tcPr>
            <w:tcW w:w="7054" w:type="dxa"/>
          </w:tcPr>
          <w:p w:rsidR="006E76B9" w:rsidRPr="00312AD1" w:rsidRDefault="006E76B9" w:rsidP="006E76B9">
            <w:pPr>
              <w:rPr>
                <w:rFonts w:cs="Arial"/>
                <w:b/>
              </w:rPr>
            </w:pPr>
            <w:r w:rsidRPr="00312AD1">
              <w:rPr>
                <w:rFonts w:cs="Arial"/>
                <w:b/>
              </w:rPr>
              <w:t xml:space="preserve">Total amounts paid to customers for </w:t>
            </w:r>
            <w:r>
              <w:rPr>
                <w:rFonts w:cs="Arial"/>
                <w:b/>
              </w:rPr>
              <w:t>frequency</w:t>
            </w:r>
            <w:r w:rsidRPr="00312AD1">
              <w:rPr>
                <w:rFonts w:cs="Arial"/>
                <w:b/>
              </w:rPr>
              <w:t xml:space="preserve"> of supply interruptions exceeding the threshold amount</w:t>
            </w:r>
          </w:p>
        </w:tc>
        <w:tc>
          <w:tcPr>
            <w:tcW w:w="1276" w:type="dxa"/>
          </w:tcPr>
          <w:p w:rsidR="006E76B9" w:rsidRPr="00312AD1" w:rsidRDefault="006E76B9" w:rsidP="006E76B9">
            <w:pPr>
              <w:jc w:val="right"/>
              <w:rPr>
                <w:b/>
              </w:rPr>
            </w:pPr>
            <w:r w:rsidRPr="00312AD1">
              <w:rPr>
                <w:b/>
              </w:rPr>
              <w:t>$</w:t>
            </w:r>
            <w:r>
              <w:rPr>
                <w:b/>
              </w:rPr>
              <w:t>345 295</w:t>
            </w:r>
          </w:p>
        </w:tc>
      </w:tr>
    </w:tbl>
    <w:p w:rsidR="006E76B9" w:rsidRPr="00312AD1" w:rsidRDefault="006E76B9" w:rsidP="006E76B9">
      <w:pPr>
        <w:rPr>
          <w:sz w:val="18"/>
          <w:szCs w:val="18"/>
        </w:rPr>
      </w:pPr>
      <w:r w:rsidRPr="00312AD1">
        <w:rPr>
          <w:sz w:val="18"/>
          <w:szCs w:val="18"/>
        </w:rPr>
        <w:t>*Preliminary estimates</w:t>
      </w:r>
    </w:p>
    <w:p w:rsidR="006E76B9" w:rsidRDefault="006E76B9" w:rsidP="006E76B9">
      <w:pPr>
        <w:rPr>
          <w:rFonts w:asciiTheme="minorHAnsi" w:hAnsiTheme="minorHAnsi" w:cstheme="minorHAnsi"/>
        </w:rPr>
      </w:pPr>
    </w:p>
    <w:p w:rsidR="006E76B9" w:rsidRDefault="006E76B9" w:rsidP="006E76B9">
      <w:pPr>
        <w:spacing w:before="0" w:after="200"/>
        <w:rPr>
          <w:b/>
        </w:rPr>
      </w:pPr>
      <w:r>
        <w:rPr>
          <w:b/>
        </w:rPr>
        <w:br w:type="page"/>
      </w:r>
    </w:p>
    <w:p w:rsidR="006E76B9" w:rsidRDefault="00254D8F" w:rsidP="006E76B9">
      <w:pPr>
        <w:rPr>
          <w:b/>
        </w:rPr>
      </w:pPr>
      <w:r>
        <w:rPr>
          <w:b/>
        </w:rPr>
        <w:lastRenderedPageBreak/>
        <w:t>Table A.5</w:t>
      </w:r>
      <w:r w:rsidR="006E76B9">
        <w:rPr>
          <w:b/>
        </w:rPr>
        <w:t>: ACT electricity distributor performance, 2013-14 (ActewAGL)</w:t>
      </w:r>
    </w:p>
    <w:tbl>
      <w:tblPr>
        <w:tblStyle w:val="AERTable-Text"/>
        <w:tblW w:w="0" w:type="auto"/>
        <w:tblLayout w:type="fixed"/>
        <w:tblLook w:val="04A0" w:firstRow="1" w:lastRow="0" w:firstColumn="1" w:lastColumn="0" w:noHBand="0" w:noVBand="1"/>
      </w:tblPr>
      <w:tblGrid>
        <w:gridCol w:w="7479"/>
        <w:gridCol w:w="1701"/>
      </w:tblGrid>
      <w:tr w:rsidR="006E76B9" w:rsidTr="00656F19">
        <w:trPr>
          <w:cnfStyle w:val="100000000000" w:firstRow="1" w:lastRow="0" w:firstColumn="0" w:lastColumn="0" w:oddVBand="0" w:evenVBand="0" w:oddHBand="0" w:evenHBand="0" w:firstRowFirstColumn="0" w:firstRowLastColumn="0" w:lastRowFirstColumn="0" w:lastRowLastColumn="0"/>
        </w:trPr>
        <w:tc>
          <w:tcPr>
            <w:tcW w:w="7479" w:type="dxa"/>
          </w:tcPr>
          <w:p w:rsidR="006E76B9" w:rsidRPr="00451E5C" w:rsidRDefault="006E76B9" w:rsidP="006E76B9">
            <w:pPr>
              <w:rPr>
                <w:rFonts w:asciiTheme="minorHAnsi" w:hAnsiTheme="minorHAnsi" w:cstheme="minorHAnsi"/>
                <w:color w:val="FF0000"/>
              </w:rPr>
            </w:pPr>
          </w:p>
        </w:tc>
        <w:tc>
          <w:tcPr>
            <w:tcW w:w="1701" w:type="dxa"/>
          </w:tcPr>
          <w:p w:rsidR="006E76B9" w:rsidRPr="006E76B9" w:rsidRDefault="006E76B9" w:rsidP="006E76B9">
            <w:pPr>
              <w:jc w:val="right"/>
              <w:rPr>
                <w:rFonts w:cs="Arial"/>
                <w:color w:val="FF0000"/>
              </w:rPr>
            </w:pPr>
            <w:r w:rsidRPr="006E76B9">
              <w:rPr>
                <w:rFonts w:cs="Arial"/>
              </w:rPr>
              <w:t>ActewAGL</w:t>
            </w:r>
          </w:p>
        </w:tc>
      </w:tr>
      <w:tr w:rsidR="006E76B9" w:rsidTr="00656F19">
        <w:trPr>
          <w:trHeight w:hRule="exact" w:val="425"/>
        </w:trPr>
        <w:tc>
          <w:tcPr>
            <w:tcW w:w="7479" w:type="dxa"/>
          </w:tcPr>
          <w:p w:rsidR="006E76B9" w:rsidRPr="003464C8" w:rsidRDefault="006E76B9" w:rsidP="006E76B9">
            <w:pPr>
              <w:rPr>
                <w:rFonts w:cs="Arial"/>
                <w:b/>
              </w:rPr>
            </w:pPr>
            <w:r w:rsidRPr="003464C8">
              <w:rPr>
                <w:rFonts w:cs="Arial"/>
                <w:b/>
              </w:rPr>
              <w:t>Complaints</w:t>
            </w:r>
          </w:p>
        </w:tc>
        <w:tc>
          <w:tcPr>
            <w:tcW w:w="1701" w:type="dxa"/>
          </w:tcPr>
          <w:p w:rsidR="006E76B9" w:rsidRPr="003464C8" w:rsidRDefault="006E76B9" w:rsidP="006E76B9">
            <w:pPr>
              <w:jc w:val="right"/>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3464C8" w:rsidRDefault="006E76B9" w:rsidP="006E76B9">
            <w:pPr>
              <w:rPr>
                <w:rFonts w:cs="Arial"/>
              </w:rPr>
            </w:pPr>
            <w:r w:rsidRPr="003464C8">
              <w:rPr>
                <w:rFonts w:cs="Arial"/>
              </w:rPr>
              <w:t>Total complaints received</w:t>
            </w:r>
          </w:p>
        </w:tc>
        <w:tc>
          <w:tcPr>
            <w:tcW w:w="1701" w:type="dxa"/>
          </w:tcPr>
          <w:p w:rsidR="006E76B9" w:rsidRPr="003464C8" w:rsidRDefault="006E76B9" w:rsidP="006E76B9">
            <w:pPr>
              <w:jc w:val="right"/>
            </w:pPr>
            <w:r w:rsidRPr="003464C8">
              <w:t>444</w:t>
            </w:r>
          </w:p>
        </w:tc>
      </w:tr>
      <w:tr w:rsidR="006E76B9" w:rsidTr="00656F19">
        <w:trPr>
          <w:trHeight w:hRule="exact" w:val="425"/>
        </w:trPr>
        <w:tc>
          <w:tcPr>
            <w:tcW w:w="7479" w:type="dxa"/>
          </w:tcPr>
          <w:p w:rsidR="006E76B9" w:rsidRPr="003464C8" w:rsidRDefault="006E76B9" w:rsidP="006E76B9">
            <w:pPr>
              <w:rPr>
                <w:rFonts w:cs="Arial"/>
              </w:rPr>
            </w:pPr>
            <w:r w:rsidRPr="003464C8">
              <w:rPr>
                <w:rFonts w:cs="Arial"/>
              </w:rPr>
              <w:t>Complaints responded to within 20 business days</w:t>
            </w:r>
          </w:p>
        </w:tc>
        <w:tc>
          <w:tcPr>
            <w:tcW w:w="1701" w:type="dxa"/>
          </w:tcPr>
          <w:p w:rsidR="006E76B9" w:rsidRPr="003464C8" w:rsidRDefault="006E76B9" w:rsidP="006E76B9">
            <w:pPr>
              <w:jc w:val="right"/>
            </w:pPr>
            <w:r w:rsidRPr="003464C8">
              <w:t>430</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3464C8" w:rsidRDefault="006E76B9" w:rsidP="006E76B9">
            <w:pPr>
              <w:rPr>
                <w:rFonts w:cs="Arial"/>
                <w:b/>
              </w:rPr>
            </w:pPr>
            <w:r w:rsidRPr="003464C8">
              <w:rPr>
                <w:rFonts w:cs="Arial"/>
                <w:b/>
              </w:rPr>
              <w:t>Planned interruptions</w:t>
            </w:r>
          </w:p>
        </w:tc>
        <w:tc>
          <w:tcPr>
            <w:tcW w:w="1701" w:type="dxa"/>
          </w:tcPr>
          <w:p w:rsidR="006E76B9" w:rsidRPr="003464C8" w:rsidRDefault="006E76B9" w:rsidP="006E76B9">
            <w:pPr>
              <w:jc w:val="right"/>
              <w:rPr>
                <w:rFonts w:asciiTheme="minorHAnsi" w:hAnsiTheme="minorHAnsi" w:cstheme="minorHAnsi"/>
              </w:rPr>
            </w:pPr>
          </w:p>
        </w:tc>
      </w:tr>
      <w:tr w:rsidR="006E76B9" w:rsidTr="00656F19">
        <w:trPr>
          <w:trHeight w:hRule="exact" w:val="425"/>
        </w:trPr>
        <w:tc>
          <w:tcPr>
            <w:tcW w:w="7479" w:type="dxa"/>
          </w:tcPr>
          <w:p w:rsidR="006E76B9" w:rsidRPr="003464C8" w:rsidRDefault="006E76B9" w:rsidP="006E76B9">
            <w:pPr>
              <w:rPr>
                <w:rFonts w:cs="Arial"/>
              </w:rPr>
            </w:pPr>
            <w:r w:rsidRPr="003464C8">
              <w:rPr>
                <w:rFonts w:cs="Arial"/>
              </w:rPr>
              <w:t>Number of planned interruptions</w:t>
            </w:r>
          </w:p>
        </w:tc>
        <w:tc>
          <w:tcPr>
            <w:tcW w:w="1701" w:type="dxa"/>
          </w:tcPr>
          <w:p w:rsidR="006E76B9" w:rsidRPr="003464C8" w:rsidRDefault="006E76B9" w:rsidP="006E76B9">
            <w:pPr>
              <w:jc w:val="right"/>
            </w:pPr>
            <w:r w:rsidRPr="003464C8">
              <w:t>1 330</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3464C8" w:rsidRDefault="006E76B9" w:rsidP="006E76B9">
            <w:pPr>
              <w:rPr>
                <w:rFonts w:cs="Arial"/>
              </w:rPr>
            </w:pPr>
            <w:r w:rsidRPr="003464C8">
              <w:rPr>
                <w:rFonts w:cs="Arial"/>
              </w:rPr>
              <w:t>Instances where notice of at least 4 business days was not provided to customers</w:t>
            </w:r>
          </w:p>
        </w:tc>
        <w:tc>
          <w:tcPr>
            <w:tcW w:w="1701" w:type="dxa"/>
          </w:tcPr>
          <w:p w:rsidR="006E76B9" w:rsidRPr="003464C8" w:rsidRDefault="006E76B9" w:rsidP="006E76B9">
            <w:pPr>
              <w:jc w:val="right"/>
            </w:pPr>
            <w:r w:rsidRPr="003464C8">
              <w:t>377</w:t>
            </w:r>
          </w:p>
        </w:tc>
      </w:tr>
      <w:tr w:rsidR="006E76B9" w:rsidTr="00656F19">
        <w:trPr>
          <w:trHeight w:hRule="exact" w:val="425"/>
        </w:trPr>
        <w:tc>
          <w:tcPr>
            <w:tcW w:w="7479" w:type="dxa"/>
          </w:tcPr>
          <w:p w:rsidR="006E76B9" w:rsidRPr="003464C8" w:rsidRDefault="006E76B9" w:rsidP="006E76B9">
            <w:pPr>
              <w:rPr>
                <w:rFonts w:cs="Arial"/>
              </w:rPr>
            </w:pPr>
            <w:r w:rsidRPr="003464C8">
              <w:rPr>
                <w:rFonts w:cs="Arial"/>
              </w:rPr>
              <w:t>Instances where supply was not restored within 12 hours of the initial interruption</w:t>
            </w:r>
          </w:p>
        </w:tc>
        <w:tc>
          <w:tcPr>
            <w:tcW w:w="1701" w:type="dxa"/>
          </w:tcPr>
          <w:p w:rsidR="006E76B9" w:rsidRPr="003464C8" w:rsidRDefault="006E76B9" w:rsidP="006E76B9">
            <w:pPr>
              <w:jc w:val="right"/>
            </w:pPr>
            <w:r w:rsidRPr="003464C8">
              <w:t>2</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3464C8" w:rsidRDefault="006E76B9" w:rsidP="006E76B9">
            <w:pPr>
              <w:rPr>
                <w:rFonts w:cs="Arial"/>
              </w:rPr>
            </w:pPr>
            <w:r>
              <w:rPr>
                <w:rFonts w:cs="Arial"/>
              </w:rPr>
              <w:t>Number of customers that received compensation</w:t>
            </w:r>
          </w:p>
        </w:tc>
        <w:tc>
          <w:tcPr>
            <w:tcW w:w="1701" w:type="dxa"/>
          </w:tcPr>
          <w:p w:rsidR="006E76B9" w:rsidRPr="003464C8" w:rsidRDefault="006E76B9" w:rsidP="006E76B9">
            <w:pPr>
              <w:jc w:val="right"/>
            </w:pPr>
            <w:r>
              <w:t>56</w:t>
            </w:r>
          </w:p>
        </w:tc>
      </w:tr>
      <w:tr w:rsidR="006E76B9" w:rsidTr="00656F19">
        <w:trPr>
          <w:trHeight w:hRule="exact" w:val="425"/>
        </w:trPr>
        <w:tc>
          <w:tcPr>
            <w:tcW w:w="7479" w:type="dxa"/>
          </w:tcPr>
          <w:p w:rsidR="006E76B9" w:rsidRPr="003464C8" w:rsidRDefault="006E76B9" w:rsidP="006E76B9">
            <w:pPr>
              <w:rPr>
                <w:rFonts w:cs="Arial"/>
              </w:rPr>
            </w:pPr>
            <w:r>
              <w:rPr>
                <w:rFonts w:cs="Arial"/>
              </w:rPr>
              <w:t>Compensation paid</w:t>
            </w:r>
          </w:p>
        </w:tc>
        <w:tc>
          <w:tcPr>
            <w:tcW w:w="1701" w:type="dxa"/>
          </w:tcPr>
          <w:p w:rsidR="006E76B9" w:rsidRPr="003464C8" w:rsidRDefault="006E76B9" w:rsidP="006E76B9">
            <w:pPr>
              <w:jc w:val="right"/>
            </w:pPr>
            <w:r>
              <w:t>$2 800</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EA0C43" w:rsidRDefault="006E76B9" w:rsidP="006E76B9">
            <w:pPr>
              <w:rPr>
                <w:rFonts w:cs="Arial"/>
                <w:b/>
              </w:rPr>
            </w:pPr>
            <w:r w:rsidRPr="00EA0C43">
              <w:rPr>
                <w:rFonts w:cs="Arial"/>
                <w:b/>
              </w:rPr>
              <w:t>Unplanned interruptions</w:t>
            </w:r>
          </w:p>
        </w:tc>
        <w:tc>
          <w:tcPr>
            <w:tcW w:w="1701" w:type="dxa"/>
          </w:tcPr>
          <w:p w:rsidR="006E76B9" w:rsidRPr="00EA0C43" w:rsidRDefault="006E76B9" w:rsidP="006E76B9">
            <w:pPr>
              <w:jc w:val="right"/>
              <w:rPr>
                <w:rFonts w:asciiTheme="minorHAnsi" w:hAnsiTheme="minorHAnsi" w:cstheme="minorHAnsi"/>
              </w:rPr>
            </w:pPr>
          </w:p>
        </w:tc>
      </w:tr>
      <w:tr w:rsidR="006E76B9" w:rsidTr="00656F19">
        <w:trPr>
          <w:trHeight w:hRule="exact" w:val="425"/>
        </w:trPr>
        <w:tc>
          <w:tcPr>
            <w:tcW w:w="7479" w:type="dxa"/>
          </w:tcPr>
          <w:p w:rsidR="006E76B9" w:rsidRPr="00EA0C43" w:rsidRDefault="006E76B9" w:rsidP="006E76B9">
            <w:pPr>
              <w:rPr>
                <w:rFonts w:cs="Arial"/>
              </w:rPr>
            </w:pPr>
            <w:r w:rsidRPr="00EA0C43">
              <w:rPr>
                <w:rFonts w:cs="Arial"/>
              </w:rPr>
              <w:t>Number of unplanned interruptions</w:t>
            </w:r>
          </w:p>
        </w:tc>
        <w:tc>
          <w:tcPr>
            <w:tcW w:w="1701" w:type="dxa"/>
          </w:tcPr>
          <w:p w:rsidR="006E76B9" w:rsidRPr="00EA0C43" w:rsidRDefault="006E76B9" w:rsidP="006E76B9">
            <w:pPr>
              <w:jc w:val="right"/>
            </w:pPr>
            <w:r w:rsidRPr="00EA0C43">
              <w:t>2 365</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EA0C43" w:rsidRDefault="006E76B9" w:rsidP="006E76B9">
            <w:pPr>
              <w:rPr>
                <w:rFonts w:cs="Arial"/>
              </w:rPr>
            </w:pPr>
            <w:r w:rsidRPr="00EA0C43">
              <w:rPr>
                <w:rFonts w:cs="Arial"/>
              </w:rPr>
              <w:t>Instances where supply was not restored within 12 hours of the initial interruption</w:t>
            </w:r>
          </w:p>
        </w:tc>
        <w:tc>
          <w:tcPr>
            <w:tcW w:w="1701" w:type="dxa"/>
          </w:tcPr>
          <w:p w:rsidR="006E76B9" w:rsidRPr="00EA0C43" w:rsidRDefault="006E76B9" w:rsidP="006E76B9">
            <w:pPr>
              <w:jc w:val="right"/>
            </w:pPr>
            <w:r w:rsidRPr="00EA0C43">
              <w:t>18</w:t>
            </w:r>
          </w:p>
        </w:tc>
      </w:tr>
      <w:tr w:rsidR="006E76B9" w:rsidTr="00656F19">
        <w:trPr>
          <w:trHeight w:hRule="exact" w:val="425"/>
        </w:trPr>
        <w:tc>
          <w:tcPr>
            <w:tcW w:w="7479" w:type="dxa"/>
          </w:tcPr>
          <w:p w:rsidR="006E76B9" w:rsidRPr="007754E8" w:rsidRDefault="006E76B9" w:rsidP="006E76B9">
            <w:pPr>
              <w:rPr>
                <w:rFonts w:cs="Arial"/>
              </w:rPr>
            </w:pPr>
            <w:r w:rsidRPr="007754E8">
              <w:rPr>
                <w:rFonts w:cs="Arial"/>
              </w:rPr>
              <w:t>Compensation paid to customers</w:t>
            </w:r>
          </w:p>
        </w:tc>
        <w:tc>
          <w:tcPr>
            <w:tcW w:w="1701" w:type="dxa"/>
          </w:tcPr>
          <w:p w:rsidR="006E76B9" w:rsidRPr="007754E8" w:rsidRDefault="006E76B9" w:rsidP="006E76B9">
            <w:pPr>
              <w:jc w:val="right"/>
            </w:pPr>
            <w:r w:rsidRPr="007754E8">
              <w:t>$800</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451E5C" w:rsidRDefault="006E76B9" w:rsidP="006E76B9">
            <w:pPr>
              <w:rPr>
                <w:rFonts w:cs="Arial"/>
                <w:b/>
                <w:color w:val="FF0000"/>
              </w:rPr>
            </w:pPr>
            <w:r w:rsidRPr="009937C8">
              <w:rPr>
                <w:rFonts w:cs="Arial"/>
                <w:b/>
              </w:rPr>
              <w:t>System Average Interruption Duration Index (SAIDI)</w:t>
            </w:r>
          </w:p>
        </w:tc>
        <w:tc>
          <w:tcPr>
            <w:tcW w:w="1701" w:type="dxa"/>
          </w:tcPr>
          <w:p w:rsidR="006E76B9" w:rsidRPr="00451E5C" w:rsidRDefault="006E76B9" w:rsidP="006E76B9">
            <w:pPr>
              <w:rPr>
                <w:color w:val="FF0000"/>
              </w:rPr>
            </w:pPr>
          </w:p>
        </w:tc>
      </w:tr>
      <w:tr w:rsidR="006E76B9" w:rsidTr="00656F19">
        <w:trPr>
          <w:trHeight w:hRule="exact" w:val="425"/>
        </w:trPr>
        <w:tc>
          <w:tcPr>
            <w:tcW w:w="7479" w:type="dxa"/>
          </w:tcPr>
          <w:p w:rsidR="006E76B9" w:rsidRPr="007754E8" w:rsidRDefault="006E76B9" w:rsidP="006E76B9">
            <w:pPr>
              <w:rPr>
                <w:rFonts w:cs="Arial"/>
              </w:rPr>
            </w:pPr>
            <w:r w:rsidRPr="007754E8">
              <w:rPr>
                <w:rFonts w:cs="Arial"/>
              </w:rPr>
              <w:t>Overall</w:t>
            </w:r>
          </w:p>
        </w:tc>
        <w:tc>
          <w:tcPr>
            <w:tcW w:w="1701" w:type="dxa"/>
          </w:tcPr>
          <w:p w:rsidR="006E76B9" w:rsidRPr="006F3BEE" w:rsidRDefault="006E76B9" w:rsidP="006E76B9">
            <w:pPr>
              <w:jc w:val="right"/>
            </w:pPr>
            <w:r w:rsidRPr="006F3BEE">
              <w:t>67.84</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7754E8" w:rsidRDefault="006E76B9" w:rsidP="006E76B9">
            <w:pPr>
              <w:rPr>
                <w:rFonts w:cs="Arial"/>
              </w:rPr>
            </w:pPr>
            <w:r w:rsidRPr="007754E8">
              <w:rPr>
                <w:rFonts w:cs="Arial"/>
              </w:rPr>
              <w:t xml:space="preserve">Distribution network – planned </w:t>
            </w:r>
          </w:p>
        </w:tc>
        <w:tc>
          <w:tcPr>
            <w:tcW w:w="1701" w:type="dxa"/>
          </w:tcPr>
          <w:p w:rsidR="006E76B9" w:rsidRPr="006F3BEE" w:rsidRDefault="006E76B9" w:rsidP="006E76B9">
            <w:pPr>
              <w:jc w:val="right"/>
            </w:pPr>
            <w:r w:rsidRPr="006F3BEE">
              <w:t>39.35</w:t>
            </w:r>
          </w:p>
        </w:tc>
      </w:tr>
      <w:tr w:rsidR="006E76B9" w:rsidTr="00656F19">
        <w:trPr>
          <w:trHeight w:hRule="exact" w:val="425"/>
        </w:trPr>
        <w:tc>
          <w:tcPr>
            <w:tcW w:w="7479" w:type="dxa"/>
          </w:tcPr>
          <w:p w:rsidR="006E76B9" w:rsidRPr="007754E8" w:rsidRDefault="006E76B9" w:rsidP="006E76B9">
            <w:pPr>
              <w:rPr>
                <w:rFonts w:cs="Arial"/>
              </w:rPr>
            </w:pPr>
            <w:r w:rsidRPr="007754E8">
              <w:rPr>
                <w:rFonts w:cs="Arial"/>
              </w:rPr>
              <w:t>Distribution network – unplanned</w:t>
            </w:r>
          </w:p>
        </w:tc>
        <w:tc>
          <w:tcPr>
            <w:tcW w:w="1701" w:type="dxa"/>
          </w:tcPr>
          <w:p w:rsidR="006E76B9" w:rsidRPr="006F3BEE" w:rsidRDefault="006E76B9" w:rsidP="006E76B9">
            <w:pPr>
              <w:jc w:val="right"/>
            </w:pPr>
            <w:r w:rsidRPr="006F3BEE">
              <w:t>28.49</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7754E8" w:rsidRDefault="006E76B9" w:rsidP="006E76B9">
            <w:pPr>
              <w:rPr>
                <w:rFonts w:cs="Arial"/>
              </w:rPr>
            </w:pPr>
            <w:r w:rsidRPr="007754E8">
              <w:rPr>
                <w:rFonts w:cs="Arial"/>
              </w:rPr>
              <w:t xml:space="preserve">Normalised distribution network – unplanned </w:t>
            </w:r>
          </w:p>
        </w:tc>
        <w:tc>
          <w:tcPr>
            <w:tcW w:w="1701" w:type="dxa"/>
          </w:tcPr>
          <w:p w:rsidR="006E76B9" w:rsidRPr="006F3BEE" w:rsidRDefault="006E76B9" w:rsidP="006E76B9">
            <w:pPr>
              <w:jc w:val="right"/>
            </w:pPr>
            <w:r w:rsidRPr="006F3BEE">
              <w:t>26.81</w:t>
            </w:r>
          </w:p>
        </w:tc>
      </w:tr>
      <w:tr w:rsidR="006E76B9" w:rsidTr="00656F19">
        <w:trPr>
          <w:trHeight w:hRule="exact" w:val="425"/>
        </w:trPr>
        <w:tc>
          <w:tcPr>
            <w:tcW w:w="7479" w:type="dxa"/>
          </w:tcPr>
          <w:p w:rsidR="006E76B9" w:rsidRPr="00451E5C" w:rsidRDefault="006E76B9" w:rsidP="006E76B9">
            <w:pPr>
              <w:rPr>
                <w:rFonts w:cs="Arial"/>
                <w:color w:val="FF0000"/>
              </w:rPr>
            </w:pPr>
            <w:r w:rsidRPr="009937C8">
              <w:rPr>
                <w:rFonts w:cs="Arial"/>
                <w:b/>
              </w:rPr>
              <w:t>System Average Interruption Frequency Index (SAIFI)</w:t>
            </w:r>
          </w:p>
        </w:tc>
        <w:tc>
          <w:tcPr>
            <w:tcW w:w="1701" w:type="dxa"/>
          </w:tcPr>
          <w:p w:rsidR="006E76B9" w:rsidRPr="006F3BEE" w:rsidRDefault="006E76B9" w:rsidP="006E76B9">
            <w:pPr>
              <w:jc w:val="right"/>
            </w:pP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7754E8" w:rsidRDefault="006E76B9" w:rsidP="006E76B9">
            <w:pPr>
              <w:rPr>
                <w:rFonts w:cs="Arial"/>
              </w:rPr>
            </w:pPr>
            <w:r w:rsidRPr="007754E8">
              <w:rPr>
                <w:rFonts w:cs="Arial"/>
              </w:rPr>
              <w:t>Overall</w:t>
            </w:r>
          </w:p>
        </w:tc>
        <w:tc>
          <w:tcPr>
            <w:tcW w:w="1701" w:type="dxa"/>
          </w:tcPr>
          <w:p w:rsidR="006E76B9" w:rsidRPr="006F3BEE" w:rsidRDefault="006E76B9" w:rsidP="006E76B9">
            <w:pPr>
              <w:jc w:val="right"/>
            </w:pPr>
            <w:r w:rsidRPr="006F3BEE">
              <w:t>0.69</w:t>
            </w:r>
          </w:p>
        </w:tc>
      </w:tr>
      <w:tr w:rsidR="006E76B9" w:rsidTr="00656F19">
        <w:trPr>
          <w:trHeight w:hRule="exact" w:val="425"/>
        </w:trPr>
        <w:tc>
          <w:tcPr>
            <w:tcW w:w="7479" w:type="dxa"/>
          </w:tcPr>
          <w:p w:rsidR="006E76B9" w:rsidRPr="007754E8" w:rsidRDefault="006E76B9" w:rsidP="006E76B9">
            <w:pPr>
              <w:rPr>
                <w:rFonts w:cs="Arial"/>
              </w:rPr>
            </w:pPr>
            <w:r w:rsidRPr="007754E8">
              <w:rPr>
                <w:rFonts w:cs="Arial"/>
              </w:rPr>
              <w:t xml:space="preserve">Distribution network – planned </w:t>
            </w:r>
          </w:p>
        </w:tc>
        <w:tc>
          <w:tcPr>
            <w:tcW w:w="1701" w:type="dxa"/>
          </w:tcPr>
          <w:p w:rsidR="006E76B9" w:rsidRPr="006F3BEE" w:rsidRDefault="006E76B9" w:rsidP="006E76B9">
            <w:pPr>
              <w:jc w:val="right"/>
            </w:pPr>
            <w:r w:rsidRPr="006F3BEE">
              <w:t>0.17</w:t>
            </w:r>
          </w:p>
        </w:tc>
      </w:tr>
      <w:tr w:rsidR="006E76B9"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6E76B9" w:rsidRPr="007754E8" w:rsidRDefault="006E76B9" w:rsidP="006E76B9">
            <w:pPr>
              <w:rPr>
                <w:rFonts w:cs="Arial"/>
              </w:rPr>
            </w:pPr>
            <w:r w:rsidRPr="007754E8">
              <w:rPr>
                <w:rFonts w:cs="Arial"/>
              </w:rPr>
              <w:t>Distribution network – unplanned</w:t>
            </w:r>
          </w:p>
        </w:tc>
        <w:tc>
          <w:tcPr>
            <w:tcW w:w="1701" w:type="dxa"/>
          </w:tcPr>
          <w:p w:rsidR="006E76B9" w:rsidRPr="006F3BEE" w:rsidRDefault="006E76B9" w:rsidP="006E76B9">
            <w:pPr>
              <w:jc w:val="right"/>
            </w:pPr>
            <w:r w:rsidRPr="006F3BEE">
              <w:t>0.51</w:t>
            </w:r>
          </w:p>
        </w:tc>
      </w:tr>
      <w:tr w:rsidR="006E76B9" w:rsidTr="00656F19">
        <w:trPr>
          <w:trHeight w:hRule="exact" w:val="425"/>
        </w:trPr>
        <w:tc>
          <w:tcPr>
            <w:tcW w:w="7479" w:type="dxa"/>
          </w:tcPr>
          <w:p w:rsidR="006E76B9" w:rsidRPr="007754E8" w:rsidRDefault="006E76B9" w:rsidP="006E76B9">
            <w:pPr>
              <w:rPr>
                <w:rFonts w:cs="Arial"/>
              </w:rPr>
            </w:pPr>
            <w:r w:rsidRPr="007754E8">
              <w:rPr>
                <w:rFonts w:cs="Arial"/>
              </w:rPr>
              <w:t xml:space="preserve">Normalised distribution network – unplanned </w:t>
            </w:r>
          </w:p>
        </w:tc>
        <w:tc>
          <w:tcPr>
            <w:tcW w:w="1701" w:type="dxa"/>
          </w:tcPr>
          <w:p w:rsidR="006E76B9" w:rsidRDefault="006E76B9" w:rsidP="006E76B9">
            <w:pPr>
              <w:jc w:val="right"/>
            </w:pPr>
            <w:r w:rsidRPr="006F3BEE">
              <w:t>0.50</w:t>
            </w:r>
          </w:p>
        </w:tc>
      </w:tr>
      <w:tr w:rsidR="00277304" w:rsidRPr="006F3BEE"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277304" w:rsidRPr="00451E5C" w:rsidRDefault="00277304" w:rsidP="00277304">
            <w:pPr>
              <w:rPr>
                <w:rFonts w:cs="Arial"/>
                <w:color w:val="FF0000"/>
              </w:rPr>
            </w:pPr>
            <w:r>
              <w:rPr>
                <w:rFonts w:cs="Arial"/>
                <w:b/>
              </w:rPr>
              <w:t>Customer Average Interruption Duration Index</w:t>
            </w:r>
            <w:r w:rsidRPr="009937C8">
              <w:rPr>
                <w:rFonts w:cs="Arial"/>
                <w:b/>
              </w:rPr>
              <w:t xml:space="preserve"> (</w:t>
            </w:r>
            <w:r>
              <w:rPr>
                <w:rFonts w:cs="Arial"/>
                <w:b/>
              </w:rPr>
              <w:t>CAIDI</w:t>
            </w:r>
            <w:r w:rsidRPr="009937C8">
              <w:rPr>
                <w:rFonts w:cs="Arial"/>
                <w:b/>
              </w:rPr>
              <w:t>)</w:t>
            </w:r>
          </w:p>
        </w:tc>
        <w:tc>
          <w:tcPr>
            <w:tcW w:w="1701" w:type="dxa"/>
          </w:tcPr>
          <w:p w:rsidR="00277304" w:rsidRPr="006F3BEE" w:rsidRDefault="00277304" w:rsidP="00277304">
            <w:pPr>
              <w:jc w:val="right"/>
            </w:pPr>
          </w:p>
        </w:tc>
      </w:tr>
      <w:tr w:rsidR="00277304" w:rsidRPr="006F3BEE" w:rsidTr="00656F19">
        <w:trPr>
          <w:trHeight w:hRule="exact" w:val="425"/>
        </w:trPr>
        <w:tc>
          <w:tcPr>
            <w:tcW w:w="7479" w:type="dxa"/>
          </w:tcPr>
          <w:p w:rsidR="00277304" w:rsidRPr="007754E8" w:rsidRDefault="00277304" w:rsidP="00277304">
            <w:pPr>
              <w:rPr>
                <w:rFonts w:cs="Arial"/>
              </w:rPr>
            </w:pPr>
            <w:r w:rsidRPr="007754E8">
              <w:rPr>
                <w:rFonts w:cs="Arial"/>
              </w:rPr>
              <w:t>Overall</w:t>
            </w:r>
          </w:p>
        </w:tc>
        <w:tc>
          <w:tcPr>
            <w:tcW w:w="1701" w:type="dxa"/>
          </w:tcPr>
          <w:p w:rsidR="00277304" w:rsidRPr="006F3BEE" w:rsidRDefault="00277304" w:rsidP="00277304">
            <w:pPr>
              <w:jc w:val="right"/>
            </w:pPr>
            <w:r>
              <w:t>98.89</w:t>
            </w:r>
          </w:p>
        </w:tc>
      </w:tr>
      <w:tr w:rsidR="00277304" w:rsidRPr="006F3BEE"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277304" w:rsidRPr="007754E8" w:rsidRDefault="00277304" w:rsidP="00277304">
            <w:pPr>
              <w:rPr>
                <w:rFonts w:cs="Arial"/>
              </w:rPr>
            </w:pPr>
            <w:r w:rsidRPr="007754E8">
              <w:rPr>
                <w:rFonts w:cs="Arial"/>
              </w:rPr>
              <w:t xml:space="preserve">Distribution network – planned </w:t>
            </w:r>
          </w:p>
        </w:tc>
        <w:tc>
          <w:tcPr>
            <w:tcW w:w="1701" w:type="dxa"/>
          </w:tcPr>
          <w:p w:rsidR="00277304" w:rsidRPr="006F3BEE" w:rsidRDefault="00277304" w:rsidP="00277304">
            <w:pPr>
              <w:jc w:val="right"/>
            </w:pPr>
            <w:r>
              <w:t>226.54</w:t>
            </w:r>
          </w:p>
        </w:tc>
      </w:tr>
      <w:tr w:rsidR="00277304" w:rsidRPr="006F3BEE" w:rsidTr="00656F19">
        <w:trPr>
          <w:trHeight w:hRule="exact" w:val="425"/>
        </w:trPr>
        <w:tc>
          <w:tcPr>
            <w:tcW w:w="7479" w:type="dxa"/>
          </w:tcPr>
          <w:p w:rsidR="00277304" w:rsidRPr="007754E8" w:rsidRDefault="00277304" w:rsidP="00277304">
            <w:pPr>
              <w:rPr>
                <w:rFonts w:cs="Arial"/>
              </w:rPr>
            </w:pPr>
            <w:r w:rsidRPr="007754E8">
              <w:rPr>
                <w:rFonts w:cs="Arial"/>
              </w:rPr>
              <w:t>Distribution network – unplanned</w:t>
            </w:r>
          </w:p>
        </w:tc>
        <w:tc>
          <w:tcPr>
            <w:tcW w:w="1701" w:type="dxa"/>
          </w:tcPr>
          <w:p w:rsidR="00277304" w:rsidRPr="006F3BEE" w:rsidRDefault="00277304" w:rsidP="00277304">
            <w:pPr>
              <w:jc w:val="right"/>
            </w:pPr>
            <w:r>
              <w:t>55.64</w:t>
            </w:r>
          </w:p>
        </w:tc>
      </w:tr>
      <w:tr w:rsidR="00277304"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7479" w:type="dxa"/>
          </w:tcPr>
          <w:p w:rsidR="00277304" w:rsidRPr="007754E8" w:rsidRDefault="00277304" w:rsidP="00277304">
            <w:pPr>
              <w:rPr>
                <w:rFonts w:cs="Arial"/>
              </w:rPr>
            </w:pPr>
            <w:r w:rsidRPr="007754E8">
              <w:rPr>
                <w:rFonts w:cs="Arial"/>
              </w:rPr>
              <w:t xml:space="preserve">Normalised distribution network – unplanned </w:t>
            </w:r>
          </w:p>
        </w:tc>
        <w:tc>
          <w:tcPr>
            <w:tcW w:w="1701" w:type="dxa"/>
          </w:tcPr>
          <w:p w:rsidR="00277304" w:rsidRDefault="00277304" w:rsidP="00277304">
            <w:pPr>
              <w:jc w:val="right"/>
            </w:pPr>
            <w:r>
              <w:t>53.84</w:t>
            </w:r>
          </w:p>
        </w:tc>
      </w:tr>
    </w:tbl>
    <w:p w:rsidR="000867F8" w:rsidRDefault="000867F8" w:rsidP="00141B36">
      <w:pPr>
        <w:rPr>
          <w:b/>
        </w:rPr>
      </w:pPr>
    </w:p>
    <w:p w:rsidR="000867F8" w:rsidRDefault="000867F8" w:rsidP="00141B36">
      <w:pPr>
        <w:rPr>
          <w:b/>
        </w:rPr>
      </w:pPr>
    </w:p>
    <w:p w:rsidR="00141B36" w:rsidRDefault="00254D8F" w:rsidP="00141B36">
      <w:pPr>
        <w:rPr>
          <w:b/>
        </w:rPr>
      </w:pPr>
      <w:r>
        <w:rPr>
          <w:b/>
        </w:rPr>
        <w:lastRenderedPageBreak/>
        <w:t>Table A.6</w:t>
      </w:r>
      <w:r w:rsidR="00141B36">
        <w:rPr>
          <w:b/>
        </w:rPr>
        <w:t>: Tasmania electricity distributor performance, 2013-14 (TasNetworks)</w:t>
      </w:r>
    </w:p>
    <w:tbl>
      <w:tblPr>
        <w:tblStyle w:val="AERTable-Text"/>
        <w:tblW w:w="0" w:type="auto"/>
        <w:tblLook w:val="04A0" w:firstRow="1" w:lastRow="0" w:firstColumn="1" w:lastColumn="0" w:noHBand="0" w:noVBand="1"/>
      </w:tblPr>
      <w:tblGrid>
        <w:gridCol w:w="6629"/>
        <w:gridCol w:w="1710"/>
      </w:tblGrid>
      <w:tr w:rsidR="00141B36" w:rsidTr="00141B36">
        <w:trPr>
          <w:cnfStyle w:val="100000000000" w:firstRow="1" w:lastRow="0" w:firstColumn="0" w:lastColumn="0" w:oddVBand="0" w:evenVBand="0" w:oddHBand="0" w:evenHBand="0" w:firstRowFirstColumn="0" w:firstRowLastColumn="0" w:lastRowFirstColumn="0" w:lastRowLastColumn="0"/>
        </w:trPr>
        <w:tc>
          <w:tcPr>
            <w:tcW w:w="6629" w:type="dxa"/>
          </w:tcPr>
          <w:p w:rsidR="00141B36" w:rsidRPr="00451E5C" w:rsidRDefault="00141B36" w:rsidP="005A319D">
            <w:pPr>
              <w:rPr>
                <w:rFonts w:asciiTheme="minorHAnsi" w:hAnsiTheme="minorHAnsi" w:cstheme="minorHAnsi"/>
                <w:color w:val="FF0000"/>
              </w:rPr>
            </w:pPr>
          </w:p>
        </w:tc>
        <w:tc>
          <w:tcPr>
            <w:tcW w:w="1710" w:type="dxa"/>
          </w:tcPr>
          <w:p w:rsidR="00141B36" w:rsidRPr="006E76B9" w:rsidRDefault="00141B36" w:rsidP="005A319D">
            <w:pPr>
              <w:jc w:val="right"/>
              <w:rPr>
                <w:rFonts w:cs="Arial"/>
                <w:color w:val="FF0000"/>
              </w:rPr>
            </w:pPr>
            <w:r>
              <w:rPr>
                <w:rFonts w:cs="Arial"/>
              </w:rPr>
              <w:t>TasNetworks</w:t>
            </w:r>
          </w:p>
        </w:tc>
      </w:tr>
      <w:tr w:rsidR="00141B36" w:rsidTr="00141B36">
        <w:tc>
          <w:tcPr>
            <w:tcW w:w="6629" w:type="dxa"/>
          </w:tcPr>
          <w:p w:rsidR="00141B36" w:rsidRPr="003464C8" w:rsidRDefault="00141B36" w:rsidP="005A319D">
            <w:pPr>
              <w:rPr>
                <w:rFonts w:cs="Arial"/>
                <w:b/>
              </w:rPr>
            </w:pPr>
            <w:r w:rsidRPr="003464C8">
              <w:rPr>
                <w:rFonts w:cs="Arial"/>
                <w:b/>
              </w:rPr>
              <w:t>Complaints</w:t>
            </w:r>
          </w:p>
        </w:tc>
        <w:tc>
          <w:tcPr>
            <w:tcW w:w="1710" w:type="dxa"/>
          </w:tcPr>
          <w:p w:rsidR="00141B36" w:rsidRPr="003464C8" w:rsidRDefault="00141B36" w:rsidP="005A319D">
            <w:pPr>
              <w:jc w:val="right"/>
            </w:pP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3464C8" w:rsidRDefault="00141B36" w:rsidP="005A319D">
            <w:pPr>
              <w:rPr>
                <w:rFonts w:cs="Arial"/>
              </w:rPr>
            </w:pPr>
            <w:r w:rsidRPr="003464C8">
              <w:rPr>
                <w:rFonts w:cs="Arial"/>
              </w:rPr>
              <w:t>Total complaints received</w:t>
            </w:r>
          </w:p>
        </w:tc>
        <w:tc>
          <w:tcPr>
            <w:tcW w:w="1710" w:type="dxa"/>
          </w:tcPr>
          <w:p w:rsidR="00141B36" w:rsidRPr="003464C8" w:rsidRDefault="00141B36" w:rsidP="005A319D">
            <w:pPr>
              <w:jc w:val="right"/>
            </w:pPr>
            <w:r>
              <w:t>712</w:t>
            </w:r>
          </w:p>
        </w:tc>
      </w:tr>
      <w:tr w:rsidR="00141B36" w:rsidTr="00141B36">
        <w:tc>
          <w:tcPr>
            <w:tcW w:w="6629" w:type="dxa"/>
          </w:tcPr>
          <w:p w:rsidR="00141B36" w:rsidRPr="003464C8" w:rsidRDefault="00141B36" w:rsidP="005A319D">
            <w:pPr>
              <w:rPr>
                <w:rFonts w:cs="Arial"/>
                <w:b/>
              </w:rPr>
            </w:pPr>
            <w:r w:rsidRPr="003464C8">
              <w:rPr>
                <w:rFonts w:cs="Arial"/>
                <w:b/>
              </w:rPr>
              <w:t>Planned interruptions</w:t>
            </w:r>
          </w:p>
        </w:tc>
        <w:tc>
          <w:tcPr>
            <w:tcW w:w="1710" w:type="dxa"/>
          </w:tcPr>
          <w:p w:rsidR="00141B36" w:rsidRPr="003464C8" w:rsidRDefault="00141B36" w:rsidP="005A319D">
            <w:pPr>
              <w:jc w:val="right"/>
              <w:rPr>
                <w:rFonts w:asciiTheme="minorHAnsi" w:hAnsiTheme="minorHAnsi" w:cstheme="minorHAnsi"/>
              </w:rPr>
            </w:pP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3464C8" w:rsidRDefault="00141B36" w:rsidP="005A319D">
            <w:pPr>
              <w:rPr>
                <w:rFonts w:cs="Arial"/>
              </w:rPr>
            </w:pPr>
            <w:r w:rsidRPr="003464C8">
              <w:rPr>
                <w:rFonts w:cs="Arial"/>
              </w:rPr>
              <w:t>Number of planned interruptions</w:t>
            </w:r>
          </w:p>
        </w:tc>
        <w:tc>
          <w:tcPr>
            <w:tcW w:w="1710" w:type="dxa"/>
          </w:tcPr>
          <w:p w:rsidR="00141B36" w:rsidRPr="003464C8" w:rsidRDefault="00141B36" w:rsidP="005A319D">
            <w:pPr>
              <w:jc w:val="right"/>
            </w:pPr>
            <w:r>
              <w:t>3 728</w:t>
            </w:r>
          </w:p>
        </w:tc>
      </w:tr>
      <w:tr w:rsidR="003E7846" w:rsidTr="00141B36">
        <w:tc>
          <w:tcPr>
            <w:tcW w:w="6629" w:type="dxa"/>
          </w:tcPr>
          <w:p w:rsidR="003E7846" w:rsidRPr="003464C8" w:rsidRDefault="003E7846" w:rsidP="005A319D">
            <w:pPr>
              <w:rPr>
                <w:rFonts w:cs="Arial"/>
              </w:rPr>
            </w:pPr>
            <w:r>
              <w:rPr>
                <w:rFonts w:cs="Arial"/>
              </w:rPr>
              <w:t>Number of customers not notified of planned interruptions</w:t>
            </w:r>
          </w:p>
        </w:tc>
        <w:tc>
          <w:tcPr>
            <w:tcW w:w="1710" w:type="dxa"/>
          </w:tcPr>
          <w:p w:rsidR="003E7846" w:rsidRDefault="003E7846" w:rsidP="005A319D">
            <w:pPr>
              <w:jc w:val="right"/>
            </w:pPr>
            <w:r>
              <w:t>30</w:t>
            </w:r>
          </w:p>
        </w:tc>
      </w:tr>
      <w:tr w:rsidR="003E784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3E7846" w:rsidRPr="003464C8" w:rsidRDefault="003E7846" w:rsidP="005A319D">
            <w:pPr>
              <w:rPr>
                <w:rFonts w:cs="Arial"/>
              </w:rPr>
            </w:pPr>
            <w:r>
              <w:rPr>
                <w:rFonts w:cs="Arial"/>
              </w:rPr>
              <w:t>Compensation paid to customers not notified of planned interruptions</w:t>
            </w:r>
          </w:p>
        </w:tc>
        <w:tc>
          <w:tcPr>
            <w:tcW w:w="1710" w:type="dxa"/>
          </w:tcPr>
          <w:p w:rsidR="003E7846" w:rsidRDefault="003E7846" w:rsidP="005A319D">
            <w:pPr>
              <w:jc w:val="right"/>
            </w:pPr>
            <w:r>
              <w:t>$1 020</w:t>
            </w:r>
          </w:p>
        </w:tc>
      </w:tr>
      <w:tr w:rsidR="00141B36" w:rsidTr="00141B36">
        <w:tc>
          <w:tcPr>
            <w:tcW w:w="6629" w:type="dxa"/>
          </w:tcPr>
          <w:p w:rsidR="00141B36" w:rsidRPr="00723D3C" w:rsidRDefault="00141B36" w:rsidP="00141B36">
            <w:pPr>
              <w:rPr>
                <w:rStyle w:val="Strong"/>
                <w:sz w:val="20"/>
                <w:szCs w:val="20"/>
              </w:rPr>
            </w:pPr>
            <w:r w:rsidRPr="00723D3C">
              <w:rPr>
                <w:rStyle w:val="Strong"/>
                <w:sz w:val="20"/>
                <w:szCs w:val="20"/>
              </w:rPr>
              <w:t xml:space="preserve">Faulty street lights </w:t>
            </w:r>
          </w:p>
        </w:tc>
        <w:tc>
          <w:tcPr>
            <w:tcW w:w="1710" w:type="dxa"/>
          </w:tcPr>
          <w:p w:rsidR="00141B36" w:rsidRPr="008E0DF0" w:rsidRDefault="00141B36" w:rsidP="005A319D"/>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8E0DF0" w:rsidRDefault="00141B36" w:rsidP="005A319D">
            <w:r w:rsidRPr="008E0DF0">
              <w:t>Number of reported street light faults</w:t>
            </w:r>
          </w:p>
        </w:tc>
        <w:tc>
          <w:tcPr>
            <w:tcW w:w="1710" w:type="dxa"/>
          </w:tcPr>
          <w:p w:rsidR="00141B36" w:rsidRPr="008E0DF0" w:rsidRDefault="00141B36" w:rsidP="00141B36">
            <w:pPr>
              <w:jc w:val="right"/>
            </w:pPr>
            <w:r>
              <w:t>2 262</w:t>
            </w:r>
          </w:p>
        </w:tc>
      </w:tr>
      <w:tr w:rsidR="00141B36" w:rsidTr="00141B36">
        <w:tc>
          <w:tcPr>
            <w:tcW w:w="6629" w:type="dxa"/>
          </w:tcPr>
          <w:p w:rsidR="00141B36" w:rsidRPr="008E0DF0" w:rsidRDefault="00141B36" w:rsidP="00141B36">
            <w:r w:rsidRPr="008E0DF0">
              <w:t xml:space="preserve">Occasions where repairs not completed </w:t>
            </w:r>
            <w:r>
              <w:t>within 7 days</w:t>
            </w:r>
          </w:p>
        </w:tc>
        <w:tc>
          <w:tcPr>
            <w:tcW w:w="1710" w:type="dxa"/>
          </w:tcPr>
          <w:p w:rsidR="00141B36" w:rsidRPr="008E0DF0" w:rsidRDefault="00141B36" w:rsidP="00141B36">
            <w:pPr>
              <w:jc w:val="right"/>
            </w:pPr>
            <w:r>
              <w:t>339</w:t>
            </w: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8E0DF0" w:rsidRDefault="00141B36" w:rsidP="005A319D">
            <w:r w:rsidRPr="008E0DF0">
              <w:t>Compensation paid to customers</w:t>
            </w:r>
            <w:r w:rsidR="003E7846">
              <w:t xml:space="preserve"> for repairs not completed within 7 days</w:t>
            </w:r>
          </w:p>
        </w:tc>
        <w:tc>
          <w:tcPr>
            <w:tcW w:w="1710" w:type="dxa"/>
          </w:tcPr>
          <w:p w:rsidR="00141B36" w:rsidRDefault="00141B36" w:rsidP="00141B36">
            <w:pPr>
              <w:jc w:val="right"/>
            </w:pPr>
            <w:r w:rsidRPr="008E0DF0">
              <w:t>$</w:t>
            </w:r>
            <w:r>
              <w:t>990</w:t>
            </w:r>
          </w:p>
        </w:tc>
      </w:tr>
      <w:tr w:rsidR="00141B36" w:rsidTr="00141B36">
        <w:tc>
          <w:tcPr>
            <w:tcW w:w="6629" w:type="dxa"/>
          </w:tcPr>
          <w:p w:rsidR="00141B36" w:rsidRPr="00723D3C" w:rsidRDefault="003E7846" w:rsidP="005A319D">
            <w:pPr>
              <w:rPr>
                <w:rStyle w:val="Strong"/>
                <w:sz w:val="20"/>
                <w:szCs w:val="20"/>
              </w:rPr>
            </w:pPr>
            <w:r w:rsidRPr="00723D3C">
              <w:rPr>
                <w:rStyle w:val="Strong"/>
                <w:sz w:val="20"/>
                <w:szCs w:val="20"/>
              </w:rPr>
              <w:t>New connections and reconnections</w:t>
            </w:r>
          </w:p>
        </w:tc>
        <w:tc>
          <w:tcPr>
            <w:tcW w:w="1710" w:type="dxa"/>
          </w:tcPr>
          <w:p w:rsidR="00141B36" w:rsidRPr="008E0DF0" w:rsidRDefault="00141B36" w:rsidP="00141B36">
            <w:pPr>
              <w:jc w:val="right"/>
            </w:pP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3464C8" w:rsidRDefault="003E7846" w:rsidP="005A319D">
            <w:pPr>
              <w:rPr>
                <w:rFonts w:cs="Arial"/>
              </w:rPr>
            </w:pPr>
            <w:r>
              <w:rPr>
                <w:rFonts w:cs="Arial"/>
              </w:rPr>
              <w:t>New connections</w:t>
            </w:r>
          </w:p>
        </w:tc>
        <w:tc>
          <w:tcPr>
            <w:tcW w:w="1710" w:type="dxa"/>
          </w:tcPr>
          <w:p w:rsidR="00141B36" w:rsidRPr="003464C8" w:rsidRDefault="003E7846" w:rsidP="005A319D">
            <w:pPr>
              <w:jc w:val="right"/>
            </w:pPr>
            <w:r>
              <w:t>2 124</w:t>
            </w:r>
          </w:p>
        </w:tc>
      </w:tr>
      <w:tr w:rsidR="00141B36" w:rsidTr="00141B36">
        <w:tc>
          <w:tcPr>
            <w:tcW w:w="6629" w:type="dxa"/>
          </w:tcPr>
          <w:p w:rsidR="00141B36" w:rsidRPr="003464C8" w:rsidRDefault="003E7846" w:rsidP="005A319D">
            <w:pPr>
              <w:rPr>
                <w:rFonts w:cs="Arial"/>
              </w:rPr>
            </w:pPr>
            <w:r>
              <w:rPr>
                <w:rFonts w:cs="Arial"/>
              </w:rPr>
              <w:t>New connections completed by scheduled date</w:t>
            </w:r>
          </w:p>
        </w:tc>
        <w:tc>
          <w:tcPr>
            <w:tcW w:w="1710" w:type="dxa"/>
          </w:tcPr>
          <w:p w:rsidR="00141B36" w:rsidRPr="003464C8" w:rsidRDefault="003E7846" w:rsidP="005A319D">
            <w:pPr>
              <w:jc w:val="right"/>
            </w:pPr>
            <w:r>
              <w:t>1 845</w:t>
            </w: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3464C8" w:rsidRDefault="003E7846" w:rsidP="003E7846">
            <w:pPr>
              <w:rPr>
                <w:rFonts w:cs="Arial"/>
              </w:rPr>
            </w:pPr>
            <w:r>
              <w:rPr>
                <w:rFonts w:cs="Arial"/>
              </w:rPr>
              <w:t>Compensation paid to customers for late connections</w:t>
            </w:r>
          </w:p>
        </w:tc>
        <w:tc>
          <w:tcPr>
            <w:tcW w:w="1710" w:type="dxa"/>
          </w:tcPr>
          <w:p w:rsidR="00141B36" w:rsidRPr="003464C8" w:rsidRDefault="003E7846" w:rsidP="005A319D">
            <w:pPr>
              <w:jc w:val="right"/>
            </w:pPr>
            <w:r>
              <w:t>$61 210</w:t>
            </w:r>
          </w:p>
        </w:tc>
      </w:tr>
      <w:tr w:rsidR="00141B36" w:rsidTr="00141B36">
        <w:tc>
          <w:tcPr>
            <w:tcW w:w="6629" w:type="dxa"/>
          </w:tcPr>
          <w:p w:rsidR="00141B36" w:rsidRPr="00F004D2" w:rsidRDefault="00F004D2" w:rsidP="005A319D">
            <w:pPr>
              <w:rPr>
                <w:rStyle w:val="Strong"/>
                <w:b w:val="0"/>
              </w:rPr>
            </w:pPr>
            <w:r w:rsidRPr="00F004D2">
              <w:rPr>
                <w:rStyle w:val="Strong"/>
                <w:b w:val="0"/>
              </w:rPr>
              <w:t>Reconnections</w:t>
            </w:r>
          </w:p>
        </w:tc>
        <w:tc>
          <w:tcPr>
            <w:tcW w:w="1710" w:type="dxa"/>
          </w:tcPr>
          <w:p w:rsidR="00141B36" w:rsidRPr="00F004D2" w:rsidRDefault="00F004D2" w:rsidP="005A319D">
            <w:pPr>
              <w:jc w:val="right"/>
            </w:pPr>
            <w:r w:rsidRPr="00F004D2">
              <w:t>33 337</w:t>
            </w:r>
          </w:p>
        </w:tc>
      </w:tr>
      <w:tr w:rsidR="00141B36"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EA0C43" w:rsidRDefault="00F004D2" w:rsidP="005A319D">
            <w:pPr>
              <w:rPr>
                <w:rFonts w:cs="Arial"/>
              </w:rPr>
            </w:pPr>
            <w:r>
              <w:rPr>
                <w:rFonts w:cs="Arial"/>
              </w:rPr>
              <w:t>Reconnections completed by scheduled date</w:t>
            </w:r>
          </w:p>
        </w:tc>
        <w:tc>
          <w:tcPr>
            <w:tcW w:w="1710" w:type="dxa"/>
          </w:tcPr>
          <w:p w:rsidR="00141B36" w:rsidRPr="00EA0C43" w:rsidRDefault="00F004D2" w:rsidP="005A319D">
            <w:pPr>
              <w:jc w:val="right"/>
            </w:pPr>
            <w:r>
              <w:t>32 998</w:t>
            </w:r>
          </w:p>
        </w:tc>
      </w:tr>
      <w:tr w:rsidR="00141B36" w:rsidTr="00141B36">
        <w:tc>
          <w:tcPr>
            <w:tcW w:w="6629" w:type="dxa"/>
          </w:tcPr>
          <w:p w:rsidR="00141B36" w:rsidRPr="00EA0C43" w:rsidRDefault="00F004D2" w:rsidP="005A319D">
            <w:pPr>
              <w:rPr>
                <w:rFonts w:cs="Arial"/>
              </w:rPr>
            </w:pPr>
            <w:r>
              <w:rPr>
                <w:rFonts w:cs="Arial"/>
              </w:rPr>
              <w:t>Compensation paid to customers for late reconnections</w:t>
            </w:r>
          </w:p>
        </w:tc>
        <w:tc>
          <w:tcPr>
            <w:tcW w:w="1710" w:type="dxa"/>
          </w:tcPr>
          <w:p w:rsidR="00141B36" w:rsidRPr="00EA0C43" w:rsidRDefault="00F004D2" w:rsidP="005A319D">
            <w:pPr>
              <w:jc w:val="right"/>
            </w:pPr>
            <w:r>
              <w:t>$0</w:t>
            </w:r>
          </w:p>
        </w:tc>
      </w:tr>
      <w:tr w:rsidR="00F004D2"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451E5C" w:rsidRDefault="00141B36" w:rsidP="005A319D">
            <w:pPr>
              <w:rPr>
                <w:rFonts w:cs="Arial"/>
                <w:b/>
                <w:color w:val="FF0000"/>
              </w:rPr>
            </w:pPr>
            <w:r w:rsidRPr="009937C8">
              <w:rPr>
                <w:rFonts w:cs="Arial"/>
                <w:b/>
              </w:rPr>
              <w:t>System Average Interruption Duration Index (SAIDI)</w:t>
            </w:r>
          </w:p>
        </w:tc>
        <w:tc>
          <w:tcPr>
            <w:tcW w:w="1710" w:type="dxa"/>
          </w:tcPr>
          <w:p w:rsidR="00141B36" w:rsidRPr="00451E5C" w:rsidRDefault="00141B36" w:rsidP="005A319D">
            <w:pPr>
              <w:rPr>
                <w:color w:val="FF0000"/>
              </w:rPr>
            </w:pPr>
          </w:p>
        </w:tc>
      </w:tr>
      <w:tr w:rsidR="00F004D2" w:rsidTr="00141B36">
        <w:tc>
          <w:tcPr>
            <w:tcW w:w="6629" w:type="dxa"/>
          </w:tcPr>
          <w:p w:rsidR="00141B36" w:rsidRPr="007754E8" w:rsidRDefault="00F004D2" w:rsidP="00CC1694">
            <w:pPr>
              <w:rPr>
                <w:rFonts w:cs="Arial"/>
              </w:rPr>
            </w:pPr>
            <w:r>
              <w:rPr>
                <w:rFonts w:cs="Arial"/>
              </w:rPr>
              <w:t xml:space="preserve">Average duration of interruptions </w:t>
            </w:r>
          </w:p>
        </w:tc>
        <w:tc>
          <w:tcPr>
            <w:tcW w:w="1710" w:type="dxa"/>
          </w:tcPr>
          <w:p w:rsidR="00141B36" w:rsidRPr="006F3BEE" w:rsidRDefault="00F004D2" w:rsidP="005A319D">
            <w:pPr>
              <w:jc w:val="right"/>
            </w:pPr>
            <w:r>
              <w:t>399</w:t>
            </w:r>
          </w:p>
        </w:tc>
      </w:tr>
      <w:tr w:rsidR="00F004D2"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7754E8" w:rsidRDefault="00CC1694" w:rsidP="005A319D">
            <w:pPr>
              <w:rPr>
                <w:rFonts w:cs="Arial"/>
              </w:rPr>
            </w:pPr>
            <w:r>
              <w:rPr>
                <w:rFonts w:cs="Arial"/>
              </w:rPr>
              <w:t>Normalised average duration of interruptions</w:t>
            </w:r>
          </w:p>
        </w:tc>
        <w:tc>
          <w:tcPr>
            <w:tcW w:w="1710" w:type="dxa"/>
          </w:tcPr>
          <w:p w:rsidR="00141B36" w:rsidRPr="006F3BEE" w:rsidRDefault="00CC1694" w:rsidP="005A319D">
            <w:pPr>
              <w:jc w:val="right"/>
            </w:pPr>
            <w:r>
              <w:t>260</w:t>
            </w:r>
          </w:p>
        </w:tc>
      </w:tr>
      <w:tr w:rsidR="00F004D2" w:rsidTr="00141B36">
        <w:tc>
          <w:tcPr>
            <w:tcW w:w="6629" w:type="dxa"/>
          </w:tcPr>
          <w:p w:rsidR="00141B36" w:rsidRPr="007754E8" w:rsidRDefault="00CC1694" w:rsidP="005A319D">
            <w:pPr>
              <w:rPr>
                <w:rFonts w:cs="Arial"/>
              </w:rPr>
            </w:pPr>
            <w:r>
              <w:rPr>
                <w:rFonts w:cs="Arial"/>
              </w:rPr>
              <w:t>Number of timely restoration payments made</w:t>
            </w:r>
          </w:p>
        </w:tc>
        <w:tc>
          <w:tcPr>
            <w:tcW w:w="1710" w:type="dxa"/>
          </w:tcPr>
          <w:p w:rsidR="00141B36" w:rsidRPr="006F3BEE" w:rsidRDefault="00CC1694" w:rsidP="005A319D">
            <w:pPr>
              <w:jc w:val="right"/>
            </w:pPr>
            <w:r>
              <w:t>22 411</w:t>
            </w:r>
          </w:p>
        </w:tc>
      </w:tr>
      <w:tr w:rsidR="00F004D2"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7754E8" w:rsidRDefault="00CC1694" w:rsidP="005A319D">
            <w:pPr>
              <w:rPr>
                <w:rFonts w:cs="Arial"/>
              </w:rPr>
            </w:pPr>
            <w:r>
              <w:rPr>
                <w:rFonts w:cs="Arial"/>
              </w:rPr>
              <w:t>Value of timely restoration payments made</w:t>
            </w:r>
          </w:p>
        </w:tc>
        <w:tc>
          <w:tcPr>
            <w:tcW w:w="1710" w:type="dxa"/>
          </w:tcPr>
          <w:p w:rsidR="00141B36" w:rsidRPr="006F3BEE" w:rsidRDefault="00CC1694" w:rsidP="005A319D">
            <w:pPr>
              <w:jc w:val="right"/>
            </w:pPr>
            <w:r>
              <w:t>$2 593 280</w:t>
            </w:r>
          </w:p>
        </w:tc>
      </w:tr>
      <w:tr w:rsidR="00F004D2" w:rsidTr="00141B36">
        <w:tc>
          <w:tcPr>
            <w:tcW w:w="6629" w:type="dxa"/>
          </w:tcPr>
          <w:p w:rsidR="00141B36" w:rsidRPr="00451E5C" w:rsidRDefault="00141B36" w:rsidP="005A319D">
            <w:pPr>
              <w:rPr>
                <w:rFonts w:cs="Arial"/>
                <w:color w:val="FF0000"/>
              </w:rPr>
            </w:pPr>
            <w:r w:rsidRPr="009937C8">
              <w:rPr>
                <w:rFonts w:cs="Arial"/>
                <w:b/>
              </w:rPr>
              <w:t>System Average Interruption Frequency Index (SAIFI)</w:t>
            </w:r>
          </w:p>
        </w:tc>
        <w:tc>
          <w:tcPr>
            <w:tcW w:w="1710" w:type="dxa"/>
          </w:tcPr>
          <w:p w:rsidR="00141B36" w:rsidRPr="006F3BEE" w:rsidRDefault="00141B36" w:rsidP="005A319D">
            <w:pPr>
              <w:jc w:val="right"/>
            </w:pPr>
          </w:p>
        </w:tc>
      </w:tr>
      <w:tr w:rsidR="00F004D2"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7754E8" w:rsidRDefault="00F004D2" w:rsidP="00CC1694">
            <w:pPr>
              <w:rPr>
                <w:rFonts w:cs="Arial"/>
              </w:rPr>
            </w:pPr>
            <w:r>
              <w:rPr>
                <w:rFonts w:cs="Arial"/>
              </w:rPr>
              <w:t xml:space="preserve">Average frequency of interruptions  </w:t>
            </w:r>
          </w:p>
        </w:tc>
        <w:tc>
          <w:tcPr>
            <w:tcW w:w="1710" w:type="dxa"/>
          </w:tcPr>
          <w:p w:rsidR="00141B36" w:rsidRPr="006F3BEE" w:rsidRDefault="00CC1694" w:rsidP="005A319D">
            <w:pPr>
              <w:jc w:val="right"/>
            </w:pPr>
            <w:r>
              <w:t>2.61</w:t>
            </w:r>
          </w:p>
        </w:tc>
      </w:tr>
      <w:tr w:rsidR="00F004D2" w:rsidTr="00141B36">
        <w:tc>
          <w:tcPr>
            <w:tcW w:w="6629" w:type="dxa"/>
          </w:tcPr>
          <w:p w:rsidR="00141B36" w:rsidRPr="007754E8" w:rsidRDefault="00CC1694" w:rsidP="005A319D">
            <w:pPr>
              <w:rPr>
                <w:rFonts w:cs="Arial"/>
              </w:rPr>
            </w:pPr>
            <w:r>
              <w:rPr>
                <w:rFonts w:cs="Arial"/>
              </w:rPr>
              <w:t>Normalised average frequency of interruptions</w:t>
            </w:r>
          </w:p>
        </w:tc>
        <w:tc>
          <w:tcPr>
            <w:tcW w:w="1710" w:type="dxa"/>
          </w:tcPr>
          <w:p w:rsidR="00141B36" w:rsidRPr="006F3BEE" w:rsidRDefault="00CC1694" w:rsidP="005A319D">
            <w:pPr>
              <w:jc w:val="right"/>
            </w:pPr>
            <w:r>
              <w:t>2.21</w:t>
            </w:r>
          </w:p>
        </w:tc>
      </w:tr>
      <w:tr w:rsidR="00F004D2" w:rsidTr="00141B36">
        <w:trPr>
          <w:cnfStyle w:val="000000010000" w:firstRow="0" w:lastRow="0" w:firstColumn="0" w:lastColumn="0" w:oddVBand="0" w:evenVBand="0" w:oddHBand="0" w:evenHBand="1" w:firstRowFirstColumn="0" w:firstRowLastColumn="0" w:lastRowFirstColumn="0" w:lastRowLastColumn="0"/>
        </w:trPr>
        <w:tc>
          <w:tcPr>
            <w:tcW w:w="6629" w:type="dxa"/>
          </w:tcPr>
          <w:p w:rsidR="00141B36" w:rsidRPr="007754E8" w:rsidRDefault="00CC1694" w:rsidP="005A319D">
            <w:pPr>
              <w:rPr>
                <w:rFonts w:cs="Arial"/>
              </w:rPr>
            </w:pPr>
            <w:r>
              <w:rPr>
                <w:rFonts w:cs="Arial"/>
              </w:rPr>
              <w:t>Number of reliable supply payments made</w:t>
            </w:r>
          </w:p>
        </w:tc>
        <w:tc>
          <w:tcPr>
            <w:tcW w:w="1710" w:type="dxa"/>
          </w:tcPr>
          <w:p w:rsidR="00141B36" w:rsidRPr="006F3BEE" w:rsidRDefault="00CC1694" w:rsidP="005A319D">
            <w:pPr>
              <w:jc w:val="right"/>
            </w:pPr>
            <w:r>
              <w:t>4 254</w:t>
            </w:r>
          </w:p>
        </w:tc>
      </w:tr>
      <w:tr w:rsidR="00F004D2" w:rsidTr="00141B36">
        <w:tc>
          <w:tcPr>
            <w:tcW w:w="6629" w:type="dxa"/>
          </w:tcPr>
          <w:p w:rsidR="00141B36" w:rsidRPr="007754E8" w:rsidRDefault="00CC1694" w:rsidP="005A319D">
            <w:pPr>
              <w:rPr>
                <w:rFonts w:cs="Arial"/>
              </w:rPr>
            </w:pPr>
            <w:r>
              <w:rPr>
                <w:rFonts w:cs="Arial"/>
              </w:rPr>
              <w:t>Value of reliable supply payments made</w:t>
            </w:r>
          </w:p>
        </w:tc>
        <w:tc>
          <w:tcPr>
            <w:tcW w:w="1710" w:type="dxa"/>
          </w:tcPr>
          <w:p w:rsidR="00141B36" w:rsidRDefault="00CC1694" w:rsidP="005A319D">
            <w:pPr>
              <w:jc w:val="right"/>
            </w:pPr>
            <w:r>
              <w:t>$340 320</w:t>
            </w:r>
          </w:p>
        </w:tc>
      </w:tr>
    </w:tbl>
    <w:p w:rsidR="000867F8" w:rsidRPr="00D818ED" w:rsidRDefault="000867F8" w:rsidP="005306EA">
      <w:pPr>
        <w:pStyle w:val="Heading3"/>
        <w:ind w:left="0" w:firstLine="0"/>
        <w:rPr>
          <w:bCs w:val="0"/>
        </w:rPr>
      </w:pPr>
      <w:bookmarkStart w:id="128" w:name="_Toc402961440"/>
      <w:r w:rsidRPr="00D818ED">
        <w:rPr>
          <w:bCs w:val="0"/>
        </w:rPr>
        <w:lastRenderedPageBreak/>
        <w:t>Summary of distributor performance</w:t>
      </w:r>
      <w:bookmarkEnd w:id="128"/>
    </w:p>
    <w:p w:rsidR="000867F8" w:rsidRPr="000867F8" w:rsidRDefault="00D818ED" w:rsidP="000867F8">
      <w:pPr>
        <w:rPr>
          <w:rStyle w:val="Strong"/>
        </w:rPr>
      </w:pPr>
      <w:r>
        <w:rPr>
          <w:rStyle w:val="Strong"/>
        </w:rPr>
        <w:t>New South Wales</w:t>
      </w:r>
    </w:p>
    <w:p w:rsidR="000867F8" w:rsidRDefault="000867F8" w:rsidP="000867F8">
      <w:pPr>
        <w:pStyle w:val="ListParagraph"/>
        <w:numPr>
          <w:ilvl w:val="0"/>
          <w:numId w:val="23"/>
        </w:numPr>
        <w:rPr>
          <w:rFonts w:cs="Arial"/>
        </w:rPr>
      </w:pPr>
      <w:r>
        <w:rPr>
          <w:rFonts w:cs="Arial"/>
        </w:rPr>
        <w:t xml:space="preserve">Endeavour Energy was the only distributor to pay compensation to customers </w:t>
      </w:r>
      <w:r w:rsidR="00862702">
        <w:rPr>
          <w:rFonts w:cs="Arial"/>
        </w:rPr>
        <w:t>for</w:t>
      </w:r>
      <w:r>
        <w:rPr>
          <w:rFonts w:cs="Arial"/>
        </w:rPr>
        <w:t xml:space="preserve"> providing inadequate notice of planned interruptions and interruptions lasting longer than the time indicated on the notice. </w:t>
      </w:r>
    </w:p>
    <w:p w:rsidR="000867F8" w:rsidRDefault="000867F8" w:rsidP="000867F8">
      <w:pPr>
        <w:pStyle w:val="ListParagraph"/>
        <w:numPr>
          <w:ilvl w:val="0"/>
          <w:numId w:val="23"/>
        </w:numPr>
        <w:rPr>
          <w:rFonts w:cs="Arial"/>
        </w:rPr>
      </w:pPr>
      <w:r>
        <w:rPr>
          <w:rFonts w:cs="Arial"/>
        </w:rPr>
        <w:t xml:space="preserve">Essential Energy was the only distributor to not provide new connections on or before the agreed date. </w:t>
      </w:r>
    </w:p>
    <w:p w:rsidR="000867F8" w:rsidRPr="000867F8" w:rsidRDefault="00D818ED" w:rsidP="00D818ED">
      <w:pPr>
        <w:ind w:left="284" w:hanging="284"/>
        <w:rPr>
          <w:rStyle w:val="Strong"/>
        </w:rPr>
      </w:pPr>
      <w:r>
        <w:rPr>
          <w:rStyle w:val="Strong"/>
        </w:rPr>
        <w:t>South Australia</w:t>
      </w:r>
    </w:p>
    <w:p w:rsidR="00277304" w:rsidRDefault="00277304" w:rsidP="000867F8">
      <w:pPr>
        <w:pStyle w:val="ListParagraph"/>
        <w:numPr>
          <w:ilvl w:val="0"/>
          <w:numId w:val="23"/>
        </w:numPr>
        <w:rPr>
          <w:rFonts w:cs="Arial"/>
        </w:rPr>
      </w:pPr>
      <w:r>
        <w:rPr>
          <w:rFonts w:cs="Arial"/>
        </w:rPr>
        <w:t xml:space="preserve">Under the Electricity Distribution Code, SA Power Networks must use its best endeavours to achieve reliability standards each year. </w:t>
      </w:r>
    </w:p>
    <w:p w:rsidR="000867F8" w:rsidRDefault="000867F8" w:rsidP="000867F8">
      <w:pPr>
        <w:pStyle w:val="ListParagraph"/>
        <w:numPr>
          <w:ilvl w:val="0"/>
          <w:numId w:val="23"/>
        </w:numPr>
        <w:rPr>
          <w:rFonts w:cs="Arial"/>
        </w:rPr>
      </w:pPr>
      <w:r>
        <w:rPr>
          <w:rFonts w:cs="Arial"/>
        </w:rPr>
        <w:t xml:space="preserve">SA Power Networks met eight of 13 of the regional supply interruption targets in 2013-14, however used best endeavours to meet the </w:t>
      </w:r>
      <w:r w:rsidR="00862702">
        <w:rPr>
          <w:rFonts w:cs="Arial"/>
        </w:rPr>
        <w:t xml:space="preserve">other </w:t>
      </w:r>
      <w:r>
        <w:rPr>
          <w:rFonts w:cs="Arial"/>
        </w:rPr>
        <w:t>five standards</w:t>
      </w:r>
      <w:r w:rsidR="00862702">
        <w:rPr>
          <w:rFonts w:cs="Arial"/>
        </w:rPr>
        <w:t xml:space="preserve">. </w:t>
      </w:r>
    </w:p>
    <w:p w:rsidR="000867F8" w:rsidRDefault="000867F8" w:rsidP="000867F8">
      <w:pPr>
        <w:pStyle w:val="ListParagraph"/>
        <w:numPr>
          <w:ilvl w:val="0"/>
          <w:numId w:val="23"/>
        </w:numPr>
        <w:rPr>
          <w:rFonts w:cs="Arial"/>
        </w:rPr>
      </w:pPr>
      <w:r>
        <w:rPr>
          <w:rFonts w:cs="Arial"/>
        </w:rPr>
        <w:t xml:space="preserve">Severe weather events had a particularly high impact on three regions – the Major Metropolitan Areas, the Eastern Hills and Fleurieu Peninsula and the South East, and resulted in five of the six supply interruption targets being missed in these three regions. </w:t>
      </w:r>
    </w:p>
    <w:p w:rsidR="000867F8" w:rsidRPr="00B75B1B" w:rsidRDefault="000867F8" w:rsidP="000867F8">
      <w:pPr>
        <w:pStyle w:val="ListParagraph"/>
        <w:numPr>
          <w:ilvl w:val="0"/>
          <w:numId w:val="23"/>
        </w:numPr>
        <w:rPr>
          <w:rFonts w:cs="Arial"/>
        </w:rPr>
      </w:pPr>
      <w:r w:rsidRPr="002C260C">
        <w:rPr>
          <w:rFonts w:cs="Arial"/>
        </w:rPr>
        <w:t>$6.3 million of the GSL duration payments related to the 3-4 February 2014 severe weather events.</w:t>
      </w:r>
    </w:p>
    <w:p w:rsidR="000867F8" w:rsidRPr="000867F8" w:rsidRDefault="00D818ED" w:rsidP="000867F8">
      <w:pPr>
        <w:rPr>
          <w:rStyle w:val="Strong"/>
        </w:rPr>
      </w:pPr>
      <w:r>
        <w:rPr>
          <w:rStyle w:val="Strong"/>
        </w:rPr>
        <w:t>ACT</w:t>
      </w:r>
    </w:p>
    <w:p w:rsidR="000867F8" w:rsidRDefault="000867F8" w:rsidP="000867F8">
      <w:pPr>
        <w:pStyle w:val="ListParagraph"/>
        <w:numPr>
          <w:ilvl w:val="0"/>
          <w:numId w:val="23"/>
        </w:numPr>
        <w:rPr>
          <w:rFonts w:cs="Arial"/>
        </w:rPr>
      </w:pPr>
      <w:r>
        <w:rPr>
          <w:rFonts w:cs="Arial"/>
        </w:rPr>
        <w:t>ActewAGL met the outage frequency service standard (SAIFI) of 1.2 instances and the outage duration (SAIDI) of 91 minutes</w:t>
      </w:r>
      <w:r w:rsidR="00277304">
        <w:rPr>
          <w:rFonts w:cs="Arial"/>
        </w:rPr>
        <w:t>, however failed the customer average interruption duration service standard (CAIDI) of 74.6 minutes.</w:t>
      </w:r>
      <w:r>
        <w:rPr>
          <w:rFonts w:cs="Arial"/>
        </w:rPr>
        <w:t xml:space="preserve"> </w:t>
      </w:r>
    </w:p>
    <w:p w:rsidR="000867F8" w:rsidRDefault="000867F8" w:rsidP="000867F8">
      <w:pPr>
        <w:rPr>
          <w:rStyle w:val="Strong"/>
        </w:rPr>
      </w:pPr>
      <w:r>
        <w:rPr>
          <w:rStyle w:val="Strong"/>
        </w:rPr>
        <w:t>Tasmania</w:t>
      </w:r>
    </w:p>
    <w:p w:rsidR="000867F8" w:rsidRPr="001626BC" w:rsidRDefault="000867F8" w:rsidP="000867F8">
      <w:pPr>
        <w:pStyle w:val="ListParagraph"/>
        <w:numPr>
          <w:ilvl w:val="0"/>
          <w:numId w:val="23"/>
        </w:numPr>
        <w:rPr>
          <w:rStyle w:val="Strong"/>
        </w:rPr>
      </w:pPr>
      <w:r>
        <w:rPr>
          <w:rStyle w:val="Strong"/>
          <w:b w:val="0"/>
        </w:rPr>
        <w:t xml:space="preserve">The SAIFI and SAIDI results </w:t>
      </w:r>
      <w:r w:rsidR="0022226B">
        <w:rPr>
          <w:rStyle w:val="Strong"/>
          <w:b w:val="0"/>
        </w:rPr>
        <w:t xml:space="preserve">(2.61 and 399 mins) </w:t>
      </w:r>
      <w:r>
        <w:rPr>
          <w:rStyle w:val="Strong"/>
          <w:b w:val="0"/>
        </w:rPr>
        <w:t>are higher than that recorded in 2012-13 (1.82 and 243 mins respectively</w:t>
      </w:r>
      <w:r w:rsidR="0022226B">
        <w:rPr>
          <w:rStyle w:val="Strong"/>
          <w:b w:val="0"/>
        </w:rPr>
        <w:t>)</w:t>
      </w:r>
      <w:r>
        <w:rPr>
          <w:rStyle w:val="Strong"/>
          <w:b w:val="0"/>
        </w:rPr>
        <w:t xml:space="preserve">. </w:t>
      </w:r>
    </w:p>
    <w:p w:rsidR="001626BC" w:rsidRPr="000867F8" w:rsidRDefault="001626BC" w:rsidP="000867F8">
      <w:pPr>
        <w:pStyle w:val="ListParagraph"/>
        <w:numPr>
          <w:ilvl w:val="0"/>
          <w:numId w:val="23"/>
        </w:numPr>
        <w:rPr>
          <w:rStyle w:val="Strong"/>
        </w:rPr>
      </w:pPr>
      <w:r>
        <w:rPr>
          <w:rStyle w:val="Strong"/>
          <w:b w:val="0"/>
        </w:rPr>
        <w:t>The number of planned, weather, vegetation and asset related outages has increased since 212-13.</w:t>
      </w:r>
    </w:p>
    <w:p w:rsidR="006619E3" w:rsidRDefault="006619E3" w:rsidP="001F2C30">
      <w:pPr>
        <w:keepNext/>
        <w:keepLines/>
        <w:pageBreakBefore/>
        <w:spacing w:before="240"/>
        <w:ind w:left="432" w:hanging="432"/>
        <w:outlineLvl w:val="0"/>
        <w:rPr>
          <w:rFonts w:eastAsiaTheme="majorEastAsia" w:cs="Arial"/>
          <w:b/>
          <w:bCs/>
          <w:color w:val="70635A"/>
          <w:sz w:val="36"/>
          <w:szCs w:val="36"/>
        </w:rPr>
        <w:sectPr w:rsidR="006619E3" w:rsidSect="002C16D2">
          <w:pgSz w:w="11906" w:h="16838"/>
          <w:pgMar w:top="1440" w:right="1440" w:bottom="1440" w:left="1440" w:header="708" w:footer="708" w:gutter="0"/>
          <w:pgNumType w:start="1"/>
          <w:cols w:space="708"/>
          <w:titlePg/>
          <w:docGrid w:linePitch="360"/>
        </w:sectPr>
      </w:pPr>
      <w:bookmarkStart w:id="129" w:name="_Toc402959768"/>
      <w:bookmarkStart w:id="130" w:name="_Toc402961441"/>
    </w:p>
    <w:p w:rsidR="00A72524" w:rsidRPr="00E17DEC" w:rsidRDefault="00A72524" w:rsidP="00E17DEC">
      <w:pPr>
        <w:pStyle w:val="Headingnumbered11"/>
        <w:numPr>
          <w:ilvl w:val="0"/>
          <w:numId w:val="0"/>
        </w:numPr>
      </w:pPr>
      <w:r w:rsidRPr="00E17DEC">
        <w:lastRenderedPageBreak/>
        <w:t>Appendix 4: Supplementary tables</w:t>
      </w:r>
      <w:bookmarkEnd w:id="129"/>
      <w:bookmarkEnd w:id="130"/>
      <w:r w:rsidRPr="00E17DEC">
        <w:t xml:space="preserve"> </w:t>
      </w:r>
    </w:p>
    <w:p w:rsidR="00A72524" w:rsidRPr="002E1079" w:rsidRDefault="00254D8F" w:rsidP="00A72524">
      <w:pPr>
        <w:rPr>
          <w:b/>
        </w:rPr>
      </w:pPr>
      <w:r>
        <w:rPr>
          <w:b/>
        </w:rPr>
        <w:t>Table A.7</w:t>
      </w:r>
      <w:r w:rsidR="00A72524">
        <w:rPr>
          <w:b/>
        </w:rPr>
        <w:t>: Debt levels of electricity customers entering hardship programs (% of customers)</w:t>
      </w:r>
    </w:p>
    <w:tbl>
      <w:tblPr>
        <w:tblStyle w:val="AERTable-Text"/>
        <w:tblW w:w="13708" w:type="dxa"/>
        <w:tblLook w:val="04A0" w:firstRow="1" w:lastRow="0" w:firstColumn="1" w:lastColumn="0" w:noHBand="0" w:noVBand="1"/>
      </w:tblPr>
      <w:tblGrid>
        <w:gridCol w:w="4144"/>
        <w:gridCol w:w="1339"/>
        <w:gridCol w:w="1339"/>
        <w:gridCol w:w="1169"/>
        <w:gridCol w:w="1169"/>
        <w:gridCol w:w="1169"/>
        <w:gridCol w:w="1169"/>
        <w:gridCol w:w="1105"/>
        <w:gridCol w:w="1105"/>
      </w:tblGrid>
      <w:tr w:rsidR="00A72524" w:rsidRPr="00F7204C" w:rsidTr="00D0524A">
        <w:trPr>
          <w:cnfStyle w:val="100000000000" w:firstRow="1" w:lastRow="0" w:firstColumn="0" w:lastColumn="0" w:oddVBand="0" w:evenVBand="0" w:oddHBand="0" w:evenHBand="0" w:firstRowFirstColumn="0" w:firstRowLastColumn="0" w:lastRowFirstColumn="0" w:lastRowLastColumn="0"/>
          <w:trHeight w:val="567"/>
        </w:trPr>
        <w:tc>
          <w:tcPr>
            <w:tcW w:w="4144" w:type="dxa"/>
            <w:noWrap/>
            <w:hideMark/>
          </w:tcPr>
          <w:p w:rsidR="00A72524" w:rsidRPr="00F7204C" w:rsidRDefault="00A72524" w:rsidP="00A72524">
            <w:pPr>
              <w:spacing w:after="200" w:line="276" w:lineRule="auto"/>
              <w:rPr>
                <w:rFonts w:eastAsia="Calibri" w:cs="Times New Roman"/>
                <w:bCs/>
              </w:rPr>
            </w:pPr>
            <w:r w:rsidRPr="00F7204C">
              <w:rPr>
                <w:rFonts w:eastAsia="Calibri" w:cs="Times New Roman"/>
                <w:bCs/>
              </w:rPr>
              <w:t>Retailer</w:t>
            </w:r>
          </w:p>
        </w:tc>
        <w:tc>
          <w:tcPr>
            <w:tcW w:w="2678" w:type="dxa"/>
            <w:gridSpan w:val="2"/>
            <w:noWrap/>
            <w:hideMark/>
          </w:tcPr>
          <w:p w:rsidR="00A72524" w:rsidRPr="00F7204C" w:rsidRDefault="00A72524" w:rsidP="00A72524">
            <w:pPr>
              <w:spacing w:after="200" w:line="276" w:lineRule="auto"/>
              <w:jc w:val="center"/>
              <w:rPr>
                <w:rFonts w:eastAsia="Calibri" w:cs="Times New Roman"/>
                <w:bCs/>
              </w:rPr>
            </w:pPr>
            <w:r>
              <w:rPr>
                <w:rFonts w:eastAsia="Calibri" w:cs="Times New Roman"/>
                <w:bCs/>
              </w:rPr>
              <w:t>Between $0 and $500</w:t>
            </w:r>
          </w:p>
        </w:tc>
        <w:tc>
          <w:tcPr>
            <w:tcW w:w="2338" w:type="dxa"/>
            <w:gridSpan w:val="2"/>
            <w:noWrap/>
            <w:hideMark/>
          </w:tcPr>
          <w:p w:rsidR="00A72524" w:rsidRPr="00F7204C" w:rsidRDefault="00A72524" w:rsidP="00A72524">
            <w:pPr>
              <w:spacing w:after="200" w:line="276" w:lineRule="auto"/>
              <w:jc w:val="center"/>
              <w:rPr>
                <w:rFonts w:eastAsia="Calibri" w:cs="Times New Roman"/>
                <w:bCs/>
              </w:rPr>
            </w:pPr>
            <w:r>
              <w:rPr>
                <w:rFonts w:eastAsia="Calibri" w:cs="Times New Roman"/>
                <w:bCs/>
              </w:rPr>
              <w:t>Between $500 and $1500</w:t>
            </w:r>
          </w:p>
        </w:tc>
        <w:tc>
          <w:tcPr>
            <w:tcW w:w="2338" w:type="dxa"/>
            <w:gridSpan w:val="2"/>
            <w:noWrap/>
            <w:hideMark/>
          </w:tcPr>
          <w:p w:rsidR="00A72524" w:rsidRPr="00F7204C" w:rsidRDefault="00A72524" w:rsidP="00A72524">
            <w:pPr>
              <w:spacing w:after="200" w:line="276" w:lineRule="auto"/>
              <w:jc w:val="center"/>
              <w:rPr>
                <w:rFonts w:eastAsia="Calibri" w:cs="Times New Roman"/>
                <w:bCs/>
              </w:rPr>
            </w:pPr>
            <w:r>
              <w:rPr>
                <w:rFonts w:eastAsia="Calibri" w:cs="Times New Roman"/>
                <w:bCs/>
              </w:rPr>
              <w:t>Between $1500 and $2500</w:t>
            </w:r>
          </w:p>
        </w:tc>
        <w:tc>
          <w:tcPr>
            <w:tcW w:w="2210" w:type="dxa"/>
            <w:gridSpan w:val="2"/>
          </w:tcPr>
          <w:p w:rsidR="00A72524" w:rsidRDefault="00A72524" w:rsidP="00A72524">
            <w:pPr>
              <w:spacing w:after="200" w:line="276" w:lineRule="auto"/>
              <w:jc w:val="center"/>
              <w:rPr>
                <w:rFonts w:eastAsia="Calibri" w:cs="Times New Roman"/>
                <w:bCs/>
              </w:rPr>
            </w:pPr>
            <w:r>
              <w:rPr>
                <w:rFonts w:eastAsia="Calibri" w:cs="Times New Roman"/>
                <w:bCs/>
              </w:rPr>
              <w:t>$2500 or more</w:t>
            </w:r>
          </w:p>
        </w:tc>
      </w:tr>
      <w:tr w:rsidR="00A72524" w:rsidRPr="00F7204C" w:rsidTr="00D0524A">
        <w:trPr>
          <w:trHeight w:val="300"/>
        </w:trPr>
        <w:tc>
          <w:tcPr>
            <w:tcW w:w="4144" w:type="dxa"/>
            <w:noWrap/>
            <w:hideMark/>
          </w:tcPr>
          <w:p w:rsidR="00A72524" w:rsidRPr="00D0524A" w:rsidRDefault="00A72524" w:rsidP="00A72524">
            <w:pPr>
              <w:rPr>
                <w:rStyle w:val="Strong"/>
              </w:rPr>
            </w:pPr>
          </w:p>
        </w:tc>
        <w:tc>
          <w:tcPr>
            <w:tcW w:w="133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339" w:type="dxa"/>
          </w:tcPr>
          <w:p w:rsidR="00A72524" w:rsidRPr="00F7204C" w:rsidRDefault="00A72524" w:rsidP="00656F19">
            <w:pPr>
              <w:jc w:val="center"/>
              <w:rPr>
                <w:rFonts w:eastAsia="Calibri" w:cs="Times New Roman"/>
                <w:b/>
              </w:rPr>
            </w:pPr>
            <w:r>
              <w:rPr>
                <w:rFonts w:eastAsia="Calibri" w:cs="Times New Roman"/>
                <w:b/>
              </w:rPr>
              <w:t>2013-14</w:t>
            </w:r>
          </w:p>
        </w:tc>
        <w:tc>
          <w:tcPr>
            <w:tcW w:w="116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169" w:type="dxa"/>
          </w:tcPr>
          <w:p w:rsidR="00A72524" w:rsidRPr="00F7204C" w:rsidRDefault="00A72524" w:rsidP="00656F19">
            <w:pPr>
              <w:jc w:val="center"/>
              <w:rPr>
                <w:rFonts w:eastAsia="Calibri" w:cs="Times New Roman"/>
                <w:b/>
              </w:rPr>
            </w:pPr>
            <w:r>
              <w:rPr>
                <w:rFonts w:eastAsia="Calibri" w:cs="Times New Roman"/>
                <w:b/>
              </w:rPr>
              <w:t>2013-14</w:t>
            </w:r>
          </w:p>
        </w:tc>
        <w:tc>
          <w:tcPr>
            <w:tcW w:w="116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169" w:type="dxa"/>
          </w:tcPr>
          <w:p w:rsidR="00A72524" w:rsidRPr="00F7204C" w:rsidRDefault="00A72524" w:rsidP="00656F19">
            <w:pPr>
              <w:jc w:val="center"/>
              <w:rPr>
                <w:rFonts w:eastAsia="Calibri" w:cs="Times New Roman"/>
                <w:b/>
              </w:rPr>
            </w:pPr>
            <w:r>
              <w:rPr>
                <w:rFonts w:eastAsia="Calibri" w:cs="Times New Roman"/>
                <w:b/>
              </w:rPr>
              <w:t>2013-14</w:t>
            </w:r>
          </w:p>
        </w:tc>
        <w:tc>
          <w:tcPr>
            <w:tcW w:w="1105" w:type="dxa"/>
          </w:tcPr>
          <w:p w:rsidR="00A72524" w:rsidRPr="00F7204C" w:rsidRDefault="00A72524" w:rsidP="00656F19">
            <w:pPr>
              <w:jc w:val="center"/>
              <w:rPr>
                <w:rFonts w:eastAsia="Calibri" w:cs="Times New Roman"/>
                <w:b/>
              </w:rPr>
            </w:pPr>
            <w:r>
              <w:rPr>
                <w:rFonts w:eastAsia="Calibri" w:cs="Times New Roman"/>
                <w:b/>
              </w:rPr>
              <w:t>2012-13</w:t>
            </w:r>
          </w:p>
        </w:tc>
        <w:tc>
          <w:tcPr>
            <w:tcW w:w="1105" w:type="dxa"/>
          </w:tcPr>
          <w:p w:rsidR="00A72524" w:rsidRPr="00F7204C" w:rsidRDefault="00A72524" w:rsidP="00656F19">
            <w:pPr>
              <w:jc w:val="center"/>
              <w:rPr>
                <w:rFonts w:eastAsia="Calibri" w:cs="Times New Roman"/>
                <w:b/>
              </w:rPr>
            </w:pPr>
            <w:r>
              <w:rPr>
                <w:rFonts w:eastAsia="Calibri" w:cs="Times New Roman"/>
                <w:b/>
              </w:rPr>
              <w:t>2013-14</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tcPr>
          <w:p w:rsidR="00A72524" w:rsidRPr="00723D3C" w:rsidRDefault="00A72524" w:rsidP="00A72524">
            <w:pPr>
              <w:rPr>
                <w:rStyle w:val="Strong"/>
                <w:b w:val="0"/>
                <w:sz w:val="20"/>
                <w:szCs w:val="20"/>
              </w:rPr>
            </w:pPr>
            <w:proofErr w:type="spellStart"/>
            <w:r w:rsidRPr="00723D3C">
              <w:rPr>
                <w:rStyle w:val="Strong"/>
                <w:b w:val="0"/>
                <w:sz w:val="20"/>
                <w:szCs w:val="20"/>
              </w:rPr>
              <w:t>ActewAGL</w:t>
            </w:r>
            <w:proofErr w:type="spellEnd"/>
          </w:p>
        </w:tc>
        <w:tc>
          <w:tcPr>
            <w:tcW w:w="1339" w:type="dxa"/>
            <w:noWrap/>
          </w:tcPr>
          <w:p w:rsidR="00A72524" w:rsidRPr="00B345C6" w:rsidRDefault="00A72524" w:rsidP="00656F19">
            <w:pPr>
              <w:jc w:val="center"/>
            </w:pPr>
            <w:r>
              <w:t>52.9%</w:t>
            </w:r>
          </w:p>
        </w:tc>
        <w:tc>
          <w:tcPr>
            <w:tcW w:w="1339" w:type="dxa"/>
          </w:tcPr>
          <w:p w:rsidR="00A72524" w:rsidRPr="00B345C6" w:rsidRDefault="00A72524" w:rsidP="00656F19">
            <w:pPr>
              <w:jc w:val="center"/>
            </w:pPr>
            <w:r w:rsidRPr="00B345C6">
              <w:t>51.4%</w:t>
            </w:r>
          </w:p>
        </w:tc>
        <w:tc>
          <w:tcPr>
            <w:tcW w:w="1169" w:type="dxa"/>
            <w:noWrap/>
          </w:tcPr>
          <w:p w:rsidR="00A72524" w:rsidRPr="00B345C6" w:rsidRDefault="00A72524" w:rsidP="00656F19">
            <w:pPr>
              <w:jc w:val="center"/>
            </w:pPr>
            <w:r>
              <w:t>37.8%</w:t>
            </w:r>
          </w:p>
        </w:tc>
        <w:tc>
          <w:tcPr>
            <w:tcW w:w="1169" w:type="dxa"/>
          </w:tcPr>
          <w:p w:rsidR="00A72524" w:rsidRPr="00B345C6" w:rsidRDefault="00A72524" w:rsidP="00656F19">
            <w:pPr>
              <w:jc w:val="center"/>
            </w:pPr>
            <w:r w:rsidRPr="00B345C6">
              <w:t>27.8%</w:t>
            </w:r>
          </w:p>
        </w:tc>
        <w:tc>
          <w:tcPr>
            <w:tcW w:w="1169" w:type="dxa"/>
            <w:noWrap/>
          </w:tcPr>
          <w:p w:rsidR="00A72524" w:rsidRPr="00B52820" w:rsidRDefault="00A72524" w:rsidP="00656F19">
            <w:pPr>
              <w:jc w:val="center"/>
            </w:pPr>
            <w:r>
              <w:t>3.0%</w:t>
            </w:r>
          </w:p>
        </w:tc>
        <w:tc>
          <w:tcPr>
            <w:tcW w:w="1169" w:type="dxa"/>
          </w:tcPr>
          <w:p w:rsidR="00A72524" w:rsidRPr="00B345C6" w:rsidRDefault="00A72524" w:rsidP="00656F19">
            <w:pPr>
              <w:jc w:val="center"/>
            </w:pPr>
            <w:r w:rsidRPr="00B345C6">
              <w:t>12.2%</w:t>
            </w:r>
          </w:p>
        </w:tc>
        <w:tc>
          <w:tcPr>
            <w:tcW w:w="1105" w:type="dxa"/>
          </w:tcPr>
          <w:p w:rsidR="00A72524" w:rsidRPr="00D82F8D" w:rsidRDefault="00A72524" w:rsidP="00656F19">
            <w:pPr>
              <w:jc w:val="center"/>
            </w:pPr>
            <w:r>
              <w:t>6.3%</w:t>
            </w:r>
          </w:p>
        </w:tc>
        <w:tc>
          <w:tcPr>
            <w:tcW w:w="1105" w:type="dxa"/>
          </w:tcPr>
          <w:p w:rsidR="00A72524" w:rsidRDefault="00A72524" w:rsidP="00656F19">
            <w:pPr>
              <w:jc w:val="center"/>
            </w:pPr>
            <w:r w:rsidRPr="00B345C6">
              <w:t>8.6%</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AGL</w:t>
            </w:r>
          </w:p>
        </w:tc>
        <w:tc>
          <w:tcPr>
            <w:tcW w:w="1339" w:type="dxa"/>
            <w:noWrap/>
          </w:tcPr>
          <w:p w:rsidR="00A72524" w:rsidRPr="005F55CB" w:rsidRDefault="00A72524" w:rsidP="00656F19">
            <w:pPr>
              <w:jc w:val="center"/>
            </w:pPr>
            <w:r>
              <w:t>36.9%</w:t>
            </w:r>
          </w:p>
        </w:tc>
        <w:tc>
          <w:tcPr>
            <w:tcW w:w="1339" w:type="dxa"/>
          </w:tcPr>
          <w:p w:rsidR="00A72524" w:rsidRPr="005F55CB" w:rsidRDefault="00A72524" w:rsidP="00656F19">
            <w:pPr>
              <w:jc w:val="center"/>
            </w:pPr>
            <w:r w:rsidRPr="005F55CB">
              <w:t>37.0%</w:t>
            </w:r>
          </w:p>
        </w:tc>
        <w:tc>
          <w:tcPr>
            <w:tcW w:w="1169" w:type="dxa"/>
            <w:noWrap/>
          </w:tcPr>
          <w:p w:rsidR="00A72524" w:rsidRPr="005F55CB" w:rsidRDefault="00A72524" w:rsidP="00656F19">
            <w:pPr>
              <w:jc w:val="center"/>
            </w:pPr>
            <w:r>
              <w:t>36.3%</w:t>
            </w:r>
          </w:p>
        </w:tc>
        <w:tc>
          <w:tcPr>
            <w:tcW w:w="1169" w:type="dxa"/>
          </w:tcPr>
          <w:p w:rsidR="00A72524" w:rsidRPr="005F55CB" w:rsidRDefault="00A72524" w:rsidP="00656F19">
            <w:pPr>
              <w:jc w:val="center"/>
            </w:pPr>
            <w:r w:rsidRPr="005F55CB">
              <w:t>35.2%</w:t>
            </w:r>
          </w:p>
        </w:tc>
        <w:tc>
          <w:tcPr>
            <w:tcW w:w="1169" w:type="dxa"/>
            <w:noWrap/>
          </w:tcPr>
          <w:p w:rsidR="00A72524" w:rsidRPr="00B52820" w:rsidRDefault="00A72524" w:rsidP="00656F19">
            <w:pPr>
              <w:jc w:val="center"/>
            </w:pPr>
            <w:r>
              <w:t>13.5%</w:t>
            </w:r>
          </w:p>
        </w:tc>
        <w:tc>
          <w:tcPr>
            <w:tcW w:w="1169" w:type="dxa"/>
          </w:tcPr>
          <w:p w:rsidR="00A72524" w:rsidRPr="005F55CB" w:rsidRDefault="00A72524" w:rsidP="00656F19">
            <w:pPr>
              <w:jc w:val="center"/>
            </w:pPr>
            <w:r w:rsidRPr="005F55CB">
              <w:t>12.4%</w:t>
            </w:r>
          </w:p>
        </w:tc>
        <w:tc>
          <w:tcPr>
            <w:tcW w:w="1105" w:type="dxa"/>
          </w:tcPr>
          <w:p w:rsidR="00A72524" w:rsidRPr="00D82F8D" w:rsidRDefault="00A72524" w:rsidP="00656F19">
            <w:pPr>
              <w:jc w:val="center"/>
            </w:pPr>
            <w:r>
              <w:t>13.4%</w:t>
            </w:r>
          </w:p>
        </w:tc>
        <w:tc>
          <w:tcPr>
            <w:tcW w:w="1105" w:type="dxa"/>
          </w:tcPr>
          <w:p w:rsidR="00A72524" w:rsidRDefault="00A72524" w:rsidP="00656F19">
            <w:pPr>
              <w:jc w:val="center"/>
            </w:pPr>
            <w:r w:rsidRPr="005F55CB">
              <w:t>15.4%</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Alinta Energy</w:t>
            </w:r>
          </w:p>
        </w:tc>
        <w:tc>
          <w:tcPr>
            <w:tcW w:w="1339" w:type="dxa"/>
            <w:noWrap/>
          </w:tcPr>
          <w:p w:rsidR="00A72524" w:rsidRPr="007A7C2E" w:rsidRDefault="00A72524" w:rsidP="00656F19">
            <w:pPr>
              <w:jc w:val="center"/>
            </w:pPr>
            <w:r>
              <w:t>5.5%</w:t>
            </w:r>
          </w:p>
        </w:tc>
        <w:tc>
          <w:tcPr>
            <w:tcW w:w="1339" w:type="dxa"/>
          </w:tcPr>
          <w:p w:rsidR="00A72524" w:rsidRPr="007A7C2E" w:rsidRDefault="00A72524" w:rsidP="00656F19">
            <w:pPr>
              <w:jc w:val="center"/>
            </w:pPr>
            <w:r w:rsidRPr="007A7C2E">
              <w:t>17.7%</w:t>
            </w:r>
          </w:p>
        </w:tc>
        <w:tc>
          <w:tcPr>
            <w:tcW w:w="1169" w:type="dxa"/>
            <w:noWrap/>
          </w:tcPr>
          <w:p w:rsidR="00A72524" w:rsidRPr="007A7C2E" w:rsidRDefault="00A72524" w:rsidP="00656F19">
            <w:pPr>
              <w:jc w:val="center"/>
            </w:pPr>
            <w:r>
              <w:t>45.1%</w:t>
            </w:r>
          </w:p>
        </w:tc>
        <w:tc>
          <w:tcPr>
            <w:tcW w:w="1169" w:type="dxa"/>
          </w:tcPr>
          <w:p w:rsidR="00A72524" w:rsidRPr="007A7C2E" w:rsidRDefault="00A72524" w:rsidP="00656F19">
            <w:pPr>
              <w:jc w:val="center"/>
            </w:pPr>
            <w:r w:rsidRPr="007A7C2E">
              <w:t>48.8%</w:t>
            </w:r>
          </w:p>
        </w:tc>
        <w:tc>
          <w:tcPr>
            <w:tcW w:w="1169" w:type="dxa"/>
            <w:noWrap/>
          </w:tcPr>
          <w:p w:rsidR="00A72524" w:rsidRPr="00B52820" w:rsidRDefault="00A72524" w:rsidP="00656F19">
            <w:pPr>
              <w:jc w:val="center"/>
            </w:pPr>
            <w:r>
              <w:t>38.5%</w:t>
            </w:r>
          </w:p>
        </w:tc>
        <w:tc>
          <w:tcPr>
            <w:tcW w:w="1169" w:type="dxa"/>
          </w:tcPr>
          <w:p w:rsidR="00A72524" w:rsidRPr="007A7C2E" w:rsidRDefault="00A72524" w:rsidP="00656F19">
            <w:pPr>
              <w:jc w:val="center"/>
            </w:pPr>
            <w:r w:rsidRPr="007A7C2E">
              <w:t>25.6%</w:t>
            </w:r>
          </w:p>
        </w:tc>
        <w:tc>
          <w:tcPr>
            <w:tcW w:w="1105" w:type="dxa"/>
          </w:tcPr>
          <w:p w:rsidR="00A72524" w:rsidRPr="00D82F8D" w:rsidRDefault="00A72524" w:rsidP="00656F19">
            <w:pPr>
              <w:jc w:val="center"/>
            </w:pPr>
            <w:r>
              <w:t>11.0%</w:t>
            </w:r>
          </w:p>
        </w:tc>
        <w:tc>
          <w:tcPr>
            <w:tcW w:w="1105" w:type="dxa"/>
          </w:tcPr>
          <w:p w:rsidR="00A72524" w:rsidRPr="007A7C2E" w:rsidRDefault="00A72524" w:rsidP="00656F19">
            <w:pPr>
              <w:jc w:val="center"/>
            </w:pPr>
            <w:r w:rsidRPr="007A7C2E">
              <w:t>7.9%</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Aurora Energy</w:t>
            </w:r>
          </w:p>
        </w:tc>
        <w:tc>
          <w:tcPr>
            <w:tcW w:w="1339" w:type="dxa"/>
            <w:noWrap/>
          </w:tcPr>
          <w:p w:rsidR="00A72524" w:rsidRPr="007A7C2E" w:rsidRDefault="00A72524" w:rsidP="00656F19">
            <w:pPr>
              <w:jc w:val="center"/>
            </w:pPr>
            <w:r>
              <w:t>4.5%</w:t>
            </w:r>
          </w:p>
        </w:tc>
        <w:tc>
          <w:tcPr>
            <w:tcW w:w="1339" w:type="dxa"/>
          </w:tcPr>
          <w:p w:rsidR="00A72524" w:rsidRPr="007A7C2E" w:rsidRDefault="00A72524" w:rsidP="00656F19">
            <w:pPr>
              <w:jc w:val="center"/>
            </w:pPr>
            <w:r w:rsidRPr="007A7C2E">
              <w:t>5.2%</w:t>
            </w:r>
          </w:p>
        </w:tc>
        <w:tc>
          <w:tcPr>
            <w:tcW w:w="1169" w:type="dxa"/>
            <w:noWrap/>
          </w:tcPr>
          <w:p w:rsidR="00A72524" w:rsidRPr="007A7C2E" w:rsidRDefault="00A72524" w:rsidP="00656F19">
            <w:pPr>
              <w:jc w:val="center"/>
            </w:pPr>
            <w:r>
              <w:t>30.9%</w:t>
            </w:r>
          </w:p>
        </w:tc>
        <w:tc>
          <w:tcPr>
            <w:tcW w:w="1169" w:type="dxa"/>
          </w:tcPr>
          <w:p w:rsidR="00A72524" w:rsidRPr="007A7C2E" w:rsidRDefault="00A72524" w:rsidP="00656F19">
            <w:pPr>
              <w:jc w:val="center"/>
            </w:pPr>
            <w:r w:rsidRPr="007A7C2E">
              <w:t>33.9%</w:t>
            </w:r>
          </w:p>
        </w:tc>
        <w:tc>
          <w:tcPr>
            <w:tcW w:w="1169" w:type="dxa"/>
            <w:noWrap/>
          </w:tcPr>
          <w:p w:rsidR="00A72524" w:rsidRPr="00B52820" w:rsidRDefault="00A72524" w:rsidP="00656F19">
            <w:pPr>
              <w:jc w:val="center"/>
            </w:pPr>
            <w:r>
              <w:t>29.3%</w:t>
            </w:r>
          </w:p>
        </w:tc>
        <w:tc>
          <w:tcPr>
            <w:tcW w:w="1169" w:type="dxa"/>
          </w:tcPr>
          <w:p w:rsidR="00A72524" w:rsidRPr="007A7C2E" w:rsidRDefault="00A72524" w:rsidP="00656F19">
            <w:pPr>
              <w:jc w:val="center"/>
            </w:pPr>
            <w:r w:rsidRPr="007A7C2E">
              <w:t>24.7%</w:t>
            </w:r>
          </w:p>
        </w:tc>
        <w:tc>
          <w:tcPr>
            <w:tcW w:w="1105" w:type="dxa"/>
          </w:tcPr>
          <w:p w:rsidR="00A72524" w:rsidRPr="00D82F8D" w:rsidRDefault="00A72524" w:rsidP="00656F19">
            <w:pPr>
              <w:jc w:val="center"/>
            </w:pPr>
            <w:r>
              <w:t>35.3%</w:t>
            </w:r>
          </w:p>
        </w:tc>
        <w:tc>
          <w:tcPr>
            <w:tcW w:w="1105" w:type="dxa"/>
          </w:tcPr>
          <w:p w:rsidR="00A72524" w:rsidRPr="007A7C2E" w:rsidRDefault="00A72524" w:rsidP="00656F19">
            <w:pPr>
              <w:jc w:val="center"/>
            </w:pPr>
            <w:r w:rsidRPr="007A7C2E">
              <w:t>36.2%</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Dodo Power &amp; Gas</w:t>
            </w:r>
          </w:p>
        </w:tc>
        <w:tc>
          <w:tcPr>
            <w:tcW w:w="1339" w:type="dxa"/>
            <w:noWrap/>
          </w:tcPr>
          <w:p w:rsidR="00A72524" w:rsidRPr="007A7C2E" w:rsidRDefault="00A72524" w:rsidP="00656F19">
            <w:pPr>
              <w:jc w:val="center"/>
            </w:pPr>
            <w:r>
              <w:t>-</w:t>
            </w:r>
          </w:p>
        </w:tc>
        <w:tc>
          <w:tcPr>
            <w:tcW w:w="1339" w:type="dxa"/>
          </w:tcPr>
          <w:p w:rsidR="00A72524" w:rsidRPr="007A7C2E" w:rsidRDefault="00A72524" w:rsidP="00656F19">
            <w:pPr>
              <w:jc w:val="center"/>
            </w:pPr>
            <w:r w:rsidRPr="007A7C2E">
              <w:t>20.8%</w:t>
            </w:r>
          </w:p>
        </w:tc>
        <w:tc>
          <w:tcPr>
            <w:tcW w:w="1169" w:type="dxa"/>
            <w:noWrap/>
          </w:tcPr>
          <w:p w:rsidR="00A72524" w:rsidRPr="007A7C2E" w:rsidRDefault="00A72524" w:rsidP="00656F19">
            <w:pPr>
              <w:jc w:val="center"/>
            </w:pPr>
            <w:r>
              <w:t>-</w:t>
            </w:r>
          </w:p>
        </w:tc>
        <w:tc>
          <w:tcPr>
            <w:tcW w:w="1169" w:type="dxa"/>
          </w:tcPr>
          <w:p w:rsidR="00A72524" w:rsidRPr="007A7C2E" w:rsidRDefault="00A72524" w:rsidP="00656F19">
            <w:pPr>
              <w:jc w:val="center"/>
            </w:pPr>
            <w:r w:rsidRPr="007A7C2E">
              <w:t>46.3%</w:t>
            </w:r>
          </w:p>
        </w:tc>
        <w:tc>
          <w:tcPr>
            <w:tcW w:w="1169" w:type="dxa"/>
            <w:noWrap/>
          </w:tcPr>
          <w:p w:rsidR="00A72524" w:rsidRPr="00B52820" w:rsidRDefault="00A72524" w:rsidP="00656F19">
            <w:pPr>
              <w:jc w:val="center"/>
            </w:pPr>
            <w:r>
              <w:t>-</w:t>
            </w:r>
          </w:p>
        </w:tc>
        <w:tc>
          <w:tcPr>
            <w:tcW w:w="1169" w:type="dxa"/>
          </w:tcPr>
          <w:p w:rsidR="00A72524" w:rsidRPr="007A7C2E" w:rsidRDefault="00A72524" w:rsidP="00656F19">
            <w:pPr>
              <w:jc w:val="center"/>
            </w:pPr>
            <w:r w:rsidRPr="007A7C2E">
              <w:t>20.8%</w:t>
            </w:r>
          </w:p>
        </w:tc>
        <w:tc>
          <w:tcPr>
            <w:tcW w:w="1105" w:type="dxa"/>
          </w:tcPr>
          <w:p w:rsidR="00A72524" w:rsidRPr="00D82F8D" w:rsidRDefault="00A72524" w:rsidP="00656F19">
            <w:pPr>
              <w:jc w:val="center"/>
            </w:pPr>
            <w:r>
              <w:t>-</w:t>
            </w:r>
          </w:p>
        </w:tc>
        <w:tc>
          <w:tcPr>
            <w:tcW w:w="1105" w:type="dxa"/>
          </w:tcPr>
          <w:p w:rsidR="00A72524" w:rsidRPr="007A7C2E" w:rsidRDefault="00A72524" w:rsidP="00656F19">
            <w:pPr>
              <w:jc w:val="center"/>
            </w:pPr>
            <w:r w:rsidRPr="007A7C2E">
              <w:t>12.1%</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EnergyAustralia</w:t>
            </w:r>
          </w:p>
        </w:tc>
        <w:tc>
          <w:tcPr>
            <w:tcW w:w="1339" w:type="dxa"/>
            <w:noWrap/>
          </w:tcPr>
          <w:p w:rsidR="00A72524" w:rsidRPr="00875681" w:rsidRDefault="00A72524" w:rsidP="00656F19">
            <w:pPr>
              <w:jc w:val="center"/>
            </w:pPr>
            <w:r>
              <w:t>7.7%</w:t>
            </w:r>
          </w:p>
        </w:tc>
        <w:tc>
          <w:tcPr>
            <w:tcW w:w="1339" w:type="dxa"/>
          </w:tcPr>
          <w:p w:rsidR="00A72524" w:rsidRPr="00875681" w:rsidRDefault="00A72524" w:rsidP="00656F19">
            <w:pPr>
              <w:jc w:val="center"/>
            </w:pPr>
            <w:r w:rsidRPr="00875681">
              <w:t>43.1%</w:t>
            </w:r>
          </w:p>
        </w:tc>
        <w:tc>
          <w:tcPr>
            <w:tcW w:w="1169" w:type="dxa"/>
            <w:noWrap/>
          </w:tcPr>
          <w:p w:rsidR="00A72524" w:rsidRPr="007A7C2E" w:rsidRDefault="00A72524" w:rsidP="00656F19">
            <w:pPr>
              <w:jc w:val="center"/>
            </w:pPr>
            <w:r>
              <w:t>38.4%</w:t>
            </w:r>
          </w:p>
        </w:tc>
        <w:tc>
          <w:tcPr>
            <w:tcW w:w="1169" w:type="dxa"/>
          </w:tcPr>
          <w:p w:rsidR="00A72524" w:rsidRPr="00875681" w:rsidRDefault="00A72524" w:rsidP="00656F19">
            <w:pPr>
              <w:jc w:val="center"/>
            </w:pPr>
            <w:r w:rsidRPr="00875681">
              <w:t>25.4%</w:t>
            </w:r>
          </w:p>
        </w:tc>
        <w:tc>
          <w:tcPr>
            <w:tcW w:w="1169" w:type="dxa"/>
            <w:noWrap/>
          </w:tcPr>
          <w:p w:rsidR="00A72524" w:rsidRPr="00B52820" w:rsidRDefault="00A72524" w:rsidP="00656F19">
            <w:pPr>
              <w:jc w:val="center"/>
            </w:pPr>
            <w:r>
              <w:t>27.8%</w:t>
            </w:r>
          </w:p>
        </w:tc>
        <w:tc>
          <w:tcPr>
            <w:tcW w:w="1169" w:type="dxa"/>
          </w:tcPr>
          <w:p w:rsidR="00A72524" w:rsidRPr="00875681" w:rsidRDefault="00A72524" w:rsidP="00656F19">
            <w:pPr>
              <w:jc w:val="center"/>
            </w:pPr>
            <w:r w:rsidRPr="00875681">
              <w:t>17.6%</w:t>
            </w:r>
          </w:p>
        </w:tc>
        <w:tc>
          <w:tcPr>
            <w:tcW w:w="1105" w:type="dxa"/>
          </w:tcPr>
          <w:p w:rsidR="00A72524" w:rsidRPr="00D82F8D" w:rsidRDefault="00A72524" w:rsidP="00656F19">
            <w:pPr>
              <w:jc w:val="center"/>
            </w:pPr>
            <w:r>
              <w:t>26.1%</w:t>
            </w:r>
          </w:p>
        </w:tc>
        <w:tc>
          <w:tcPr>
            <w:tcW w:w="1105" w:type="dxa"/>
          </w:tcPr>
          <w:p w:rsidR="00A72524" w:rsidRPr="00875681" w:rsidRDefault="00A72524" w:rsidP="00656F19">
            <w:pPr>
              <w:jc w:val="center"/>
            </w:pPr>
            <w:r w:rsidRPr="00875681">
              <w:t>13.9%</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Lumo Energy</w:t>
            </w:r>
          </w:p>
        </w:tc>
        <w:tc>
          <w:tcPr>
            <w:tcW w:w="1339" w:type="dxa"/>
            <w:noWrap/>
          </w:tcPr>
          <w:p w:rsidR="00A72524" w:rsidRPr="004E2743" w:rsidRDefault="00A72524" w:rsidP="00656F19">
            <w:pPr>
              <w:jc w:val="center"/>
            </w:pPr>
            <w:r>
              <w:t>52.0%</w:t>
            </w:r>
          </w:p>
        </w:tc>
        <w:tc>
          <w:tcPr>
            <w:tcW w:w="1339" w:type="dxa"/>
          </w:tcPr>
          <w:p w:rsidR="00A72524" w:rsidRPr="004E2743" w:rsidRDefault="00A72524" w:rsidP="00656F19">
            <w:pPr>
              <w:jc w:val="center"/>
            </w:pPr>
            <w:r w:rsidRPr="004E2743">
              <w:t>56.1%</w:t>
            </w:r>
          </w:p>
        </w:tc>
        <w:tc>
          <w:tcPr>
            <w:tcW w:w="1169" w:type="dxa"/>
            <w:noWrap/>
          </w:tcPr>
          <w:p w:rsidR="00A72524" w:rsidRPr="00875681" w:rsidRDefault="00A72524" w:rsidP="00656F19">
            <w:pPr>
              <w:jc w:val="center"/>
            </w:pPr>
            <w:r>
              <w:t>31.5%</w:t>
            </w:r>
          </w:p>
        </w:tc>
        <w:tc>
          <w:tcPr>
            <w:tcW w:w="1169" w:type="dxa"/>
          </w:tcPr>
          <w:p w:rsidR="00A72524" w:rsidRPr="004E2743" w:rsidRDefault="00A72524" w:rsidP="00656F19">
            <w:pPr>
              <w:jc w:val="center"/>
            </w:pPr>
            <w:r w:rsidRPr="004E2743">
              <w:t>28.9%</w:t>
            </w:r>
          </w:p>
        </w:tc>
        <w:tc>
          <w:tcPr>
            <w:tcW w:w="1169" w:type="dxa"/>
            <w:noWrap/>
          </w:tcPr>
          <w:p w:rsidR="00A72524" w:rsidRPr="00B52820" w:rsidRDefault="00A72524" w:rsidP="00656F19">
            <w:pPr>
              <w:jc w:val="center"/>
            </w:pPr>
            <w:r>
              <w:t>12.5%</w:t>
            </w:r>
          </w:p>
        </w:tc>
        <w:tc>
          <w:tcPr>
            <w:tcW w:w="1169" w:type="dxa"/>
          </w:tcPr>
          <w:p w:rsidR="00A72524" w:rsidRPr="004E2743" w:rsidRDefault="00A72524" w:rsidP="00656F19">
            <w:pPr>
              <w:jc w:val="center"/>
            </w:pPr>
            <w:r w:rsidRPr="004E2743">
              <w:t>10.8%</w:t>
            </w:r>
          </w:p>
        </w:tc>
        <w:tc>
          <w:tcPr>
            <w:tcW w:w="1105" w:type="dxa"/>
          </w:tcPr>
          <w:p w:rsidR="00A72524" w:rsidRPr="00D82F8D" w:rsidRDefault="00A72524" w:rsidP="00656F19">
            <w:pPr>
              <w:jc w:val="center"/>
            </w:pPr>
            <w:r>
              <w:t>4.0%</w:t>
            </w:r>
          </w:p>
        </w:tc>
        <w:tc>
          <w:tcPr>
            <w:tcW w:w="1105" w:type="dxa"/>
          </w:tcPr>
          <w:p w:rsidR="00A72524" w:rsidRPr="004E2743" w:rsidRDefault="00A72524" w:rsidP="00656F19">
            <w:pPr>
              <w:jc w:val="center"/>
            </w:pPr>
            <w:r w:rsidRPr="004E2743">
              <w:t>4.2%</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Momentum Energy</w:t>
            </w:r>
          </w:p>
        </w:tc>
        <w:tc>
          <w:tcPr>
            <w:tcW w:w="1339" w:type="dxa"/>
            <w:noWrap/>
          </w:tcPr>
          <w:p w:rsidR="00A72524" w:rsidRPr="00DF7250" w:rsidRDefault="00A72524" w:rsidP="00656F19">
            <w:pPr>
              <w:jc w:val="center"/>
            </w:pPr>
            <w:r>
              <w:t>27.8%</w:t>
            </w:r>
          </w:p>
        </w:tc>
        <w:tc>
          <w:tcPr>
            <w:tcW w:w="1339" w:type="dxa"/>
          </w:tcPr>
          <w:p w:rsidR="00A72524" w:rsidRPr="00DF7250" w:rsidRDefault="00A72524" w:rsidP="00656F19">
            <w:pPr>
              <w:jc w:val="center"/>
            </w:pPr>
            <w:r w:rsidRPr="00DF7250">
              <w:t>26.5%</w:t>
            </w:r>
          </w:p>
        </w:tc>
        <w:tc>
          <w:tcPr>
            <w:tcW w:w="1169" w:type="dxa"/>
            <w:noWrap/>
          </w:tcPr>
          <w:p w:rsidR="00A72524" w:rsidRPr="004E2743" w:rsidRDefault="00A72524" w:rsidP="00656F19">
            <w:pPr>
              <w:jc w:val="center"/>
            </w:pPr>
            <w:r>
              <w:t>44.4%</w:t>
            </w:r>
          </w:p>
        </w:tc>
        <w:tc>
          <w:tcPr>
            <w:tcW w:w="1169" w:type="dxa"/>
          </w:tcPr>
          <w:p w:rsidR="00A72524" w:rsidRPr="00DF7250" w:rsidRDefault="00A72524" w:rsidP="00656F19">
            <w:pPr>
              <w:jc w:val="center"/>
            </w:pPr>
            <w:r w:rsidRPr="00DF7250">
              <w:t>55.2%</w:t>
            </w:r>
          </w:p>
        </w:tc>
        <w:tc>
          <w:tcPr>
            <w:tcW w:w="1169" w:type="dxa"/>
            <w:noWrap/>
          </w:tcPr>
          <w:p w:rsidR="00A72524" w:rsidRPr="00B52820" w:rsidRDefault="00A72524" w:rsidP="00656F19">
            <w:pPr>
              <w:jc w:val="center"/>
            </w:pPr>
            <w:r>
              <w:t>22.2%</w:t>
            </w:r>
          </w:p>
        </w:tc>
        <w:tc>
          <w:tcPr>
            <w:tcW w:w="1169" w:type="dxa"/>
          </w:tcPr>
          <w:p w:rsidR="00A72524" w:rsidRPr="00DF7250" w:rsidRDefault="00A72524" w:rsidP="00656F19">
            <w:pPr>
              <w:jc w:val="center"/>
            </w:pPr>
            <w:r w:rsidRPr="00DF7250">
              <w:t>14.3%</w:t>
            </w:r>
          </w:p>
        </w:tc>
        <w:tc>
          <w:tcPr>
            <w:tcW w:w="1105" w:type="dxa"/>
          </w:tcPr>
          <w:p w:rsidR="00A72524" w:rsidRPr="00D82F8D" w:rsidRDefault="00A72524" w:rsidP="00656F19">
            <w:pPr>
              <w:jc w:val="center"/>
            </w:pPr>
            <w:r>
              <w:t>5.6%</w:t>
            </w:r>
          </w:p>
        </w:tc>
        <w:tc>
          <w:tcPr>
            <w:tcW w:w="1105" w:type="dxa"/>
          </w:tcPr>
          <w:p w:rsidR="00A72524" w:rsidRDefault="00A72524" w:rsidP="00656F19">
            <w:pPr>
              <w:jc w:val="center"/>
            </w:pPr>
            <w:r w:rsidRPr="00DF7250">
              <w:t>3.9%</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Origin Energy</w:t>
            </w:r>
          </w:p>
        </w:tc>
        <w:tc>
          <w:tcPr>
            <w:tcW w:w="1339" w:type="dxa"/>
            <w:noWrap/>
          </w:tcPr>
          <w:p w:rsidR="00A72524" w:rsidRPr="00DF7250" w:rsidRDefault="00A72524" w:rsidP="00656F19">
            <w:pPr>
              <w:jc w:val="center"/>
            </w:pPr>
            <w:r>
              <w:t>38.3%</w:t>
            </w:r>
          </w:p>
        </w:tc>
        <w:tc>
          <w:tcPr>
            <w:tcW w:w="1339" w:type="dxa"/>
          </w:tcPr>
          <w:p w:rsidR="00A72524" w:rsidRPr="00DF7250" w:rsidRDefault="00A72524" w:rsidP="00656F19">
            <w:pPr>
              <w:jc w:val="center"/>
            </w:pPr>
            <w:r w:rsidRPr="00DF7250">
              <w:t>43.4%</w:t>
            </w:r>
          </w:p>
        </w:tc>
        <w:tc>
          <w:tcPr>
            <w:tcW w:w="1169" w:type="dxa"/>
            <w:noWrap/>
          </w:tcPr>
          <w:p w:rsidR="00A72524" w:rsidRPr="00DF7250" w:rsidRDefault="00A72524" w:rsidP="00656F19">
            <w:pPr>
              <w:jc w:val="center"/>
            </w:pPr>
            <w:r>
              <w:t>36.3%</w:t>
            </w:r>
          </w:p>
        </w:tc>
        <w:tc>
          <w:tcPr>
            <w:tcW w:w="1169" w:type="dxa"/>
          </w:tcPr>
          <w:p w:rsidR="00A72524" w:rsidRPr="00DF7250" w:rsidRDefault="00A72524" w:rsidP="00656F19">
            <w:pPr>
              <w:jc w:val="center"/>
            </w:pPr>
            <w:r w:rsidRPr="00DF7250">
              <w:t>36.8%</w:t>
            </w:r>
          </w:p>
        </w:tc>
        <w:tc>
          <w:tcPr>
            <w:tcW w:w="1169" w:type="dxa"/>
            <w:noWrap/>
          </w:tcPr>
          <w:p w:rsidR="00A72524" w:rsidRPr="00B52820" w:rsidRDefault="00A72524" w:rsidP="00656F19">
            <w:pPr>
              <w:jc w:val="center"/>
            </w:pPr>
            <w:r>
              <w:t>14.4%</w:t>
            </w:r>
          </w:p>
        </w:tc>
        <w:tc>
          <w:tcPr>
            <w:tcW w:w="1169" w:type="dxa"/>
          </w:tcPr>
          <w:p w:rsidR="00A72524" w:rsidRPr="00DF7250" w:rsidRDefault="00A72524" w:rsidP="00656F19">
            <w:pPr>
              <w:jc w:val="center"/>
            </w:pPr>
            <w:r w:rsidRPr="00DF7250">
              <w:t>11.1%</w:t>
            </w:r>
          </w:p>
        </w:tc>
        <w:tc>
          <w:tcPr>
            <w:tcW w:w="1105" w:type="dxa"/>
          </w:tcPr>
          <w:p w:rsidR="00A72524" w:rsidRPr="00D82F8D" w:rsidRDefault="00A72524" w:rsidP="00656F19">
            <w:pPr>
              <w:jc w:val="center"/>
            </w:pPr>
            <w:r>
              <w:t>10.9%</w:t>
            </w:r>
          </w:p>
        </w:tc>
        <w:tc>
          <w:tcPr>
            <w:tcW w:w="1105" w:type="dxa"/>
          </w:tcPr>
          <w:p w:rsidR="00A72524" w:rsidRPr="00DF7250" w:rsidRDefault="00A72524" w:rsidP="00656F19">
            <w:pPr>
              <w:jc w:val="center"/>
            </w:pPr>
            <w:r w:rsidRPr="00DF7250">
              <w:t>8.7%</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Powerdirect</w:t>
            </w:r>
          </w:p>
        </w:tc>
        <w:tc>
          <w:tcPr>
            <w:tcW w:w="1339" w:type="dxa"/>
            <w:noWrap/>
          </w:tcPr>
          <w:p w:rsidR="00A72524" w:rsidRPr="00DF7250" w:rsidRDefault="00A72524" w:rsidP="00656F19">
            <w:pPr>
              <w:jc w:val="center"/>
            </w:pPr>
            <w:r>
              <w:t>13.0%</w:t>
            </w:r>
          </w:p>
        </w:tc>
        <w:tc>
          <w:tcPr>
            <w:tcW w:w="1339" w:type="dxa"/>
          </w:tcPr>
          <w:p w:rsidR="00A72524" w:rsidRPr="00DF7250" w:rsidRDefault="00A72524" w:rsidP="00656F19">
            <w:pPr>
              <w:jc w:val="center"/>
            </w:pPr>
            <w:r w:rsidRPr="00DF7250">
              <w:t>12.3%</w:t>
            </w:r>
          </w:p>
        </w:tc>
        <w:tc>
          <w:tcPr>
            <w:tcW w:w="1169" w:type="dxa"/>
            <w:noWrap/>
          </w:tcPr>
          <w:p w:rsidR="00A72524" w:rsidRPr="00DF7250" w:rsidRDefault="00A72524" w:rsidP="00656F19">
            <w:pPr>
              <w:jc w:val="center"/>
            </w:pPr>
            <w:r>
              <w:t>43.5%</w:t>
            </w:r>
          </w:p>
        </w:tc>
        <w:tc>
          <w:tcPr>
            <w:tcW w:w="1169" w:type="dxa"/>
          </w:tcPr>
          <w:p w:rsidR="00A72524" w:rsidRPr="00DF7250" w:rsidRDefault="00A72524" w:rsidP="00656F19">
            <w:pPr>
              <w:jc w:val="center"/>
            </w:pPr>
            <w:r w:rsidRPr="00DF7250">
              <w:t>42.0%</w:t>
            </w:r>
          </w:p>
        </w:tc>
        <w:tc>
          <w:tcPr>
            <w:tcW w:w="1169" w:type="dxa"/>
            <w:noWrap/>
          </w:tcPr>
          <w:p w:rsidR="00A72524" w:rsidRPr="00BD1DCF" w:rsidRDefault="00A72524" w:rsidP="00656F19">
            <w:pPr>
              <w:jc w:val="center"/>
            </w:pPr>
            <w:r>
              <w:t>17.4%</w:t>
            </w:r>
          </w:p>
        </w:tc>
        <w:tc>
          <w:tcPr>
            <w:tcW w:w="1169" w:type="dxa"/>
          </w:tcPr>
          <w:p w:rsidR="00A72524" w:rsidRPr="00DF7250" w:rsidRDefault="00A72524" w:rsidP="00656F19">
            <w:pPr>
              <w:jc w:val="center"/>
            </w:pPr>
            <w:r w:rsidRPr="00DF7250">
              <w:t>14.8%</w:t>
            </w:r>
          </w:p>
        </w:tc>
        <w:tc>
          <w:tcPr>
            <w:tcW w:w="1105" w:type="dxa"/>
          </w:tcPr>
          <w:p w:rsidR="00A72524" w:rsidRPr="00D82F8D" w:rsidRDefault="00A72524" w:rsidP="00656F19">
            <w:pPr>
              <w:jc w:val="center"/>
            </w:pPr>
            <w:r>
              <w:t>26.1%</w:t>
            </w:r>
          </w:p>
        </w:tc>
        <w:tc>
          <w:tcPr>
            <w:tcW w:w="1105" w:type="dxa"/>
          </w:tcPr>
          <w:p w:rsidR="00A72524" w:rsidRPr="00DF7250" w:rsidRDefault="00A72524" w:rsidP="00656F19">
            <w:pPr>
              <w:jc w:val="center"/>
            </w:pPr>
            <w:r w:rsidRPr="00DF7250">
              <w:t>30.9%</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QEnergy</w:t>
            </w:r>
          </w:p>
        </w:tc>
        <w:tc>
          <w:tcPr>
            <w:tcW w:w="1339" w:type="dxa"/>
            <w:noWrap/>
          </w:tcPr>
          <w:p w:rsidR="00A72524" w:rsidRPr="00DF7250" w:rsidRDefault="00A72524" w:rsidP="00656F19">
            <w:pPr>
              <w:jc w:val="center"/>
            </w:pPr>
            <w:r>
              <w:t>-</w:t>
            </w:r>
          </w:p>
        </w:tc>
        <w:tc>
          <w:tcPr>
            <w:tcW w:w="1339" w:type="dxa"/>
          </w:tcPr>
          <w:p w:rsidR="00A72524" w:rsidRPr="00DF7250" w:rsidRDefault="00A72524" w:rsidP="00656F19">
            <w:pPr>
              <w:jc w:val="center"/>
            </w:pPr>
            <w:r w:rsidRPr="00DF7250">
              <w:t>48.6%</w:t>
            </w:r>
          </w:p>
        </w:tc>
        <w:tc>
          <w:tcPr>
            <w:tcW w:w="1169" w:type="dxa"/>
            <w:noWrap/>
          </w:tcPr>
          <w:p w:rsidR="00A72524" w:rsidRPr="00DF7250" w:rsidRDefault="00A72524" w:rsidP="00656F19">
            <w:pPr>
              <w:jc w:val="center"/>
            </w:pPr>
            <w:r>
              <w:t>-</w:t>
            </w:r>
          </w:p>
        </w:tc>
        <w:tc>
          <w:tcPr>
            <w:tcW w:w="1169" w:type="dxa"/>
          </w:tcPr>
          <w:p w:rsidR="00A72524" w:rsidRPr="00DF7250" w:rsidRDefault="00A72524" w:rsidP="00656F19">
            <w:pPr>
              <w:jc w:val="center"/>
            </w:pPr>
            <w:r w:rsidRPr="00DF7250">
              <w:t>48.6%</w:t>
            </w:r>
          </w:p>
        </w:tc>
        <w:tc>
          <w:tcPr>
            <w:tcW w:w="1169" w:type="dxa"/>
            <w:noWrap/>
          </w:tcPr>
          <w:p w:rsidR="00A72524" w:rsidRPr="00BD1DCF" w:rsidRDefault="00A72524" w:rsidP="00656F19">
            <w:pPr>
              <w:jc w:val="center"/>
            </w:pPr>
            <w:r>
              <w:t>-</w:t>
            </w:r>
          </w:p>
        </w:tc>
        <w:tc>
          <w:tcPr>
            <w:tcW w:w="1169" w:type="dxa"/>
          </w:tcPr>
          <w:p w:rsidR="00A72524" w:rsidRPr="00DF7250" w:rsidRDefault="00A72524" w:rsidP="00656F19">
            <w:pPr>
              <w:jc w:val="center"/>
            </w:pPr>
            <w:r w:rsidRPr="00DF7250">
              <w:t>2.7%</w:t>
            </w:r>
          </w:p>
        </w:tc>
        <w:tc>
          <w:tcPr>
            <w:tcW w:w="1105" w:type="dxa"/>
          </w:tcPr>
          <w:p w:rsidR="00A72524" w:rsidRPr="00D82F8D" w:rsidRDefault="00A72524" w:rsidP="00656F19">
            <w:pPr>
              <w:jc w:val="center"/>
            </w:pPr>
            <w:r>
              <w:t>-</w:t>
            </w:r>
          </w:p>
        </w:tc>
        <w:tc>
          <w:tcPr>
            <w:tcW w:w="1105" w:type="dxa"/>
          </w:tcPr>
          <w:p w:rsidR="00A72524" w:rsidRPr="00DF7250" w:rsidRDefault="00A72524" w:rsidP="00656F19">
            <w:pPr>
              <w:jc w:val="center"/>
            </w:pPr>
            <w:r w:rsidRPr="00DF7250">
              <w:t>0.0%</w:t>
            </w:r>
          </w:p>
        </w:tc>
      </w:tr>
      <w:tr w:rsidR="00A72524" w:rsidRPr="00F7204C" w:rsidTr="00656F19">
        <w:trPr>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Red Energy</w:t>
            </w:r>
          </w:p>
        </w:tc>
        <w:tc>
          <w:tcPr>
            <w:tcW w:w="1339" w:type="dxa"/>
            <w:noWrap/>
          </w:tcPr>
          <w:p w:rsidR="00A72524" w:rsidRPr="00DF7250" w:rsidRDefault="00A72524" w:rsidP="00656F19">
            <w:pPr>
              <w:jc w:val="center"/>
            </w:pPr>
            <w:r>
              <w:t>73.1%</w:t>
            </w:r>
          </w:p>
        </w:tc>
        <w:tc>
          <w:tcPr>
            <w:tcW w:w="1339" w:type="dxa"/>
          </w:tcPr>
          <w:p w:rsidR="00A72524" w:rsidRPr="00DF7250" w:rsidRDefault="00A72524" w:rsidP="00656F19">
            <w:pPr>
              <w:jc w:val="center"/>
            </w:pPr>
            <w:r w:rsidRPr="00DF7250">
              <w:t>83.6%</w:t>
            </w:r>
          </w:p>
        </w:tc>
        <w:tc>
          <w:tcPr>
            <w:tcW w:w="1169" w:type="dxa"/>
            <w:noWrap/>
          </w:tcPr>
          <w:p w:rsidR="00A72524" w:rsidRPr="00DF7250" w:rsidRDefault="00A72524" w:rsidP="00656F19">
            <w:pPr>
              <w:jc w:val="center"/>
            </w:pPr>
            <w:r>
              <w:t>23.1%</w:t>
            </w:r>
          </w:p>
        </w:tc>
        <w:tc>
          <w:tcPr>
            <w:tcW w:w="1169" w:type="dxa"/>
          </w:tcPr>
          <w:p w:rsidR="00A72524" w:rsidRPr="00DF7250" w:rsidRDefault="00A72524" w:rsidP="00656F19">
            <w:pPr>
              <w:jc w:val="center"/>
            </w:pPr>
            <w:r w:rsidRPr="00DF7250">
              <w:t>13.7%</w:t>
            </w:r>
          </w:p>
        </w:tc>
        <w:tc>
          <w:tcPr>
            <w:tcW w:w="1169" w:type="dxa"/>
            <w:noWrap/>
          </w:tcPr>
          <w:p w:rsidR="00A72524" w:rsidRPr="00F7204C" w:rsidRDefault="00A72524" w:rsidP="00656F19">
            <w:pPr>
              <w:jc w:val="center"/>
              <w:rPr>
                <w:rFonts w:eastAsia="Calibri" w:cs="Times New Roman"/>
              </w:rPr>
            </w:pPr>
            <w:r>
              <w:rPr>
                <w:rFonts w:eastAsia="Calibri" w:cs="Times New Roman"/>
              </w:rPr>
              <w:t>3.8%</w:t>
            </w:r>
          </w:p>
        </w:tc>
        <w:tc>
          <w:tcPr>
            <w:tcW w:w="1169" w:type="dxa"/>
          </w:tcPr>
          <w:p w:rsidR="00A72524" w:rsidRPr="00DF7250" w:rsidRDefault="00A72524" w:rsidP="00656F19">
            <w:pPr>
              <w:jc w:val="center"/>
            </w:pPr>
            <w:r w:rsidRPr="00DF7250">
              <w:t>1.7%</w:t>
            </w:r>
          </w:p>
        </w:tc>
        <w:tc>
          <w:tcPr>
            <w:tcW w:w="1105" w:type="dxa"/>
          </w:tcPr>
          <w:p w:rsidR="00A72524" w:rsidRPr="00D82F8D" w:rsidRDefault="00A72524" w:rsidP="00656F19">
            <w:pPr>
              <w:jc w:val="center"/>
            </w:pPr>
            <w:r>
              <w:t>0.0%</w:t>
            </w:r>
          </w:p>
        </w:tc>
        <w:tc>
          <w:tcPr>
            <w:tcW w:w="1105" w:type="dxa"/>
          </w:tcPr>
          <w:p w:rsidR="00A72524" w:rsidRPr="00DF7250" w:rsidRDefault="00A72524" w:rsidP="00656F19">
            <w:pPr>
              <w:jc w:val="center"/>
            </w:pPr>
            <w:r w:rsidRPr="00DF7250">
              <w:t>1.0%</w:t>
            </w:r>
          </w:p>
        </w:tc>
      </w:tr>
      <w:tr w:rsidR="00A72524" w:rsidRPr="00F7204C" w:rsidTr="00656F19">
        <w:trPr>
          <w:cnfStyle w:val="000000010000" w:firstRow="0" w:lastRow="0" w:firstColumn="0" w:lastColumn="0" w:oddVBand="0" w:evenVBand="0" w:oddHBand="0" w:evenHBand="1" w:firstRowFirstColumn="0" w:firstRowLastColumn="0" w:lastRowFirstColumn="0" w:lastRowLastColumn="0"/>
          <w:trHeight w:hRule="exact" w:val="425"/>
        </w:trPr>
        <w:tc>
          <w:tcPr>
            <w:tcW w:w="4144" w:type="dxa"/>
            <w:noWrap/>
            <w:hideMark/>
          </w:tcPr>
          <w:p w:rsidR="00A72524" w:rsidRPr="00723D3C" w:rsidRDefault="00A72524" w:rsidP="00A72524">
            <w:pPr>
              <w:rPr>
                <w:rStyle w:val="Strong"/>
                <w:b w:val="0"/>
                <w:sz w:val="20"/>
                <w:szCs w:val="20"/>
              </w:rPr>
            </w:pPr>
            <w:r w:rsidRPr="00723D3C">
              <w:rPr>
                <w:rStyle w:val="Strong"/>
                <w:b w:val="0"/>
                <w:sz w:val="20"/>
                <w:szCs w:val="20"/>
              </w:rPr>
              <w:t>Simply Energy</w:t>
            </w:r>
          </w:p>
        </w:tc>
        <w:tc>
          <w:tcPr>
            <w:tcW w:w="1339" w:type="dxa"/>
            <w:noWrap/>
          </w:tcPr>
          <w:p w:rsidR="00A72524" w:rsidRPr="003C69D7" w:rsidRDefault="00A72524" w:rsidP="00656F19">
            <w:pPr>
              <w:jc w:val="center"/>
            </w:pPr>
            <w:r>
              <w:t>40.6%</w:t>
            </w:r>
          </w:p>
        </w:tc>
        <w:tc>
          <w:tcPr>
            <w:tcW w:w="1339" w:type="dxa"/>
          </w:tcPr>
          <w:p w:rsidR="00A72524" w:rsidRPr="003C69D7" w:rsidRDefault="00A72524" w:rsidP="00656F19">
            <w:pPr>
              <w:jc w:val="center"/>
            </w:pPr>
            <w:r w:rsidRPr="003C69D7">
              <w:t>36.7%</w:t>
            </w:r>
          </w:p>
        </w:tc>
        <w:tc>
          <w:tcPr>
            <w:tcW w:w="1169" w:type="dxa"/>
            <w:noWrap/>
          </w:tcPr>
          <w:p w:rsidR="00A72524" w:rsidRPr="003C69D7" w:rsidRDefault="00A72524" w:rsidP="00656F19">
            <w:pPr>
              <w:jc w:val="center"/>
            </w:pPr>
            <w:r>
              <w:t>35.4%</w:t>
            </w:r>
          </w:p>
        </w:tc>
        <w:tc>
          <w:tcPr>
            <w:tcW w:w="1169" w:type="dxa"/>
          </w:tcPr>
          <w:p w:rsidR="00A72524" w:rsidRPr="003C69D7" w:rsidRDefault="00A72524" w:rsidP="00656F19">
            <w:pPr>
              <w:jc w:val="center"/>
            </w:pPr>
            <w:r w:rsidRPr="003C69D7">
              <w:t>39.8%</w:t>
            </w:r>
          </w:p>
        </w:tc>
        <w:tc>
          <w:tcPr>
            <w:tcW w:w="1169" w:type="dxa"/>
            <w:noWrap/>
          </w:tcPr>
          <w:p w:rsidR="00A72524" w:rsidRPr="002E1079" w:rsidRDefault="00A72524" w:rsidP="00656F19">
            <w:pPr>
              <w:jc w:val="center"/>
            </w:pPr>
            <w:r w:rsidRPr="002E1079">
              <w:t>16.3%</w:t>
            </w:r>
          </w:p>
        </w:tc>
        <w:tc>
          <w:tcPr>
            <w:tcW w:w="1169" w:type="dxa"/>
          </w:tcPr>
          <w:p w:rsidR="00A72524" w:rsidRPr="003C69D7" w:rsidRDefault="00A72524" w:rsidP="00656F19">
            <w:pPr>
              <w:jc w:val="center"/>
            </w:pPr>
            <w:r w:rsidRPr="003C69D7">
              <w:t>15.9%</w:t>
            </w:r>
          </w:p>
        </w:tc>
        <w:tc>
          <w:tcPr>
            <w:tcW w:w="1105" w:type="dxa"/>
          </w:tcPr>
          <w:p w:rsidR="00A72524" w:rsidRPr="00D82F8D" w:rsidRDefault="00A72524" w:rsidP="00656F19">
            <w:pPr>
              <w:jc w:val="center"/>
            </w:pPr>
            <w:r>
              <w:t>7.6%</w:t>
            </w:r>
          </w:p>
        </w:tc>
        <w:tc>
          <w:tcPr>
            <w:tcW w:w="1105" w:type="dxa"/>
          </w:tcPr>
          <w:p w:rsidR="00A72524" w:rsidRDefault="00A72524" w:rsidP="00656F19">
            <w:pPr>
              <w:jc w:val="center"/>
            </w:pPr>
            <w:r w:rsidRPr="003C69D7">
              <w:t>7.6%</w:t>
            </w:r>
          </w:p>
        </w:tc>
      </w:tr>
    </w:tbl>
    <w:p w:rsidR="00A72524" w:rsidRDefault="00A72524" w:rsidP="00A72524">
      <w:pPr>
        <w:rPr>
          <w:b/>
        </w:rPr>
      </w:pPr>
    </w:p>
    <w:p w:rsidR="00A72524" w:rsidRDefault="00254D8F" w:rsidP="00A72524">
      <w:pPr>
        <w:rPr>
          <w:b/>
        </w:rPr>
      </w:pPr>
      <w:r>
        <w:rPr>
          <w:b/>
        </w:rPr>
        <w:lastRenderedPageBreak/>
        <w:t>Table A.8</w:t>
      </w:r>
      <w:r w:rsidR="00A72524">
        <w:rPr>
          <w:b/>
        </w:rPr>
        <w:t>: Debt levels of gas customers entering hardship programs (% of customers)</w:t>
      </w:r>
    </w:p>
    <w:tbl>
      <w:tblPr>
        <w:tblStyle w:val="AERTable-Text"/>
        <w:tblW w:w="13708" w:type="dxa"/>
        <w:tblLook w:val="04A0" w:firstRow="1" w:lastRow="0" w:firstColumn="1" w:lastColumn="0" w:noHBand="0" w:noVBand="1"/>
      </w:tblPr>
      <w:tblGrid>
        <w:gridCol w:w="4144"/>
        <w:gridCol w:w="1339"/>
        <w:gridCol w:w="1339"/>
        <w:gridCol w:w="1169"/>
        <w:gridCol w:w="1169"/>
        <w:gridCol w:w="1169"/>
        <w:gridCol w:w="1169"/>
        <w:gridCol w:w="1105"/>
        <w:gridCol w:w="1105"/>
      </w:tblGrid>
      <w:tr w:rsidR="00A72524" w:rsidRPr="002E1079" w:rsidTr="00D0524A">
        <w:trPr>
          <w:cnfStyle w:val="100000000000" w:firstRow="1" w:lastRow="0" w:firstColumn="0" w:lastColumn="0" w:oddVBand="0" w:evenVBand="0" w:oddHBand="0" w:evenHBand="0" w:firstRowFirstColumn="0" w:firstRowLastColumn="0" w:lastRowFirstColumn="0" w:lastRowLastColumn="0"/>
          <w:trHeight w:val="567"/>
        </w:trPr>
        <w:tc>
          <w:tcPr>
            <w:tcW w:w="4144" w:type="dxa"/>
            <w:noWrap/>
            <w:hideMark/>
          </w:tcPr>
          <w:p w:rsidR="00A72524" w:rsidRPr="002E1079" w:rsidRDefault="00A72524" w:rsidP="00A72524">
            <w:pPr>
              <w:spacing w:after="200" w:line="276" w:lineRule="auto"/>
              <w:rPr>
                <w:rFonts w:eastAsia="Calibri" w:cs="Times New Roman"/>
                <w:bCs/>
              </w:rPr>
            </w:pPr>
            <w:r w:rsidRPr="002E1079">
              <w:rPr>
                <w:rFonts w:eastAsia="Calibri" w:cs="Times New Roman"/>
                <w:bCs/>
              </w:rPr>
              <w:t>Retailer</w:t>
            </w:r>
          </w:p>
        </w:tc>
        <w:tc>
          <w:tcPr>
            <w:tcW w:w="2678" w:type="dxa"/>
            <w:gridSpan w:val="2"/>
            <w:noWrap/>
            <w:hideMark/>
          </w:tcPr>
          <w:p w:rsidR="00A72524" w:rsidRPr="002E1079" w:rsidRDefault="00A72524" w:rsidP="00A72524">
            <w:pPr>
              <w:spacing w:after="200" w:line="276" w:lineRule="auto"/>
              <w:jc w:val="center"/>
              <w:rPr>
                <w:rFonts w:eastAsia="Calibri" w:cs="Times New Roman"/>
                <w:bCs/>
              </w:rPr>
            </w:pPr>
            <w:r w:rsidRPr="002E1079">
              <w:rPr>
                <w:rFonts w:eastAsia="Calibri" w:cs="Times New Roman"/>
                <w:bCs/>
              </w:rPr>
              <w:t>Between $0 and $500</w:t>
            </w:r>
          </w:p>
        </w:tc>
        <w:tc>
          <w:tcPr>
            <w:tcW w:w="2338" w:type="dxa"/>
            <w:gridSpan w:val="2"/>
            <w:noWrap/>
            <w:hideMark/>
          </w:tcPr>
          <w:p w:rsidR="00A72524" w:rsidRPr="002E1079" w:rsidRDefault="00A72524" w:rsidP="00A72524">
            <w:pPr>
              <w:spacing w:after="200" w:line="276" w:lineRule="auto"/>
              <w:jc w:val="center"/>
              <w:rPr>
                <w:rFonts w:eastAsia="Calibri" w:cs="Times New Roman"/>
                <w:bCs/>
              </w:rPr>
            </w:pPr>
            <w:r w:rsidRPr="002E1079">
              <w:rPr>
                <w:rFonts w:eastAsia="Calibri" w:cs="Times New Roman"/>
                <w:bCs/>
              </w:rPr>
              <w:t>Between $500 and $1500</w:t>
            </w:r>
          </w:p>
        </w:tc>
        <w:tc>
          <w:tcPr>
            <w:tcW w:w="2338" w:type="dxa"/>
            <w:gridSpan w:val="2"/>
            <w:noWrap/>
            <w:hideMark/>
          </w:tcPr>
          <w:p w:rsidR="00A72524" w:rsidRPr="002E1079" w:rsidRDefault="00A72524" w:rsidP="00A72524">
            <w:pPr>
              <w:spacing w:after="200" w:line="276" w:lineRule="auto"/>
              <w:jc w:val="center"/>
              <w:rPr>
                <w:rFonts w:eastAsia="Calibri" w:cs="Times New Roman"/>
                <w:bCs/>
              </w:rPr>
            </w:pPr>
            <w:r w:rsidRPr="002E1079">
              <w:rPr>
                <w:rFonts w:eastAsia="Calibri" w:cs="Times New Roman"/>
                <w:bCs/>
              </w:rPr>
              <w:t>Between $1500 and $2500</w:t>
            </w:r>
          </w:p>
        </w:tc>
        <w:tc>
          <w:tcPr>
            <w:tcW w:w="2210" w:type="dxa"/>
            <w:gridSpan w:val="2"/>
          </w:tcPr>
          <w:p w:rsidR="00A72524" w:rsidRPr="002E1079" w:rsidRDefault="00A72524" w:rsidP="00A72524">
            <w:pPr>
              <w:spacing w:after="200" w:line="276" w:lineRule="auto"/>
              <w:jc w:val="center"/>
              <w:rPr>
                <w:rFonts w:eastAsia="Calibri" w:cs="Times New Roman"/>
                <w:bCs/>
              </w:rPr>
            </w:pPr>
            <w:r w:rsidRPr="002E1079">
              <w:rPr>
                <w:rFonts w:eastAsia="Calibri" w:cs="Times New Roman"/>
                <w:bCs/>
              </w:rPr>
              <w:t>$2500 or more</w:t>
            </w:r>
          </w:p>
        </w:tc>
      </w:tr>
      <w:tr w:rsidR="00A72524" w:rsidRPr="002E1079" w:rsidTr="00D0524A">
        <w:trPr>
          <w:trHeight w:val="300"/>
        </w:trPr>
        <w:tc>
          <w:tcPr>
            <w:tcW w:w="4144" w:type="dxa"/>
            <w:noWrap/>
            <w:hideMark/>
          </w:tcPr>
          <w:p w:rsidR="00A72524" w:rsidRPr="002E1079" w:rsidRDefault="00A72524" w:rsidP="00A72524">
            <w:pPr>
              <w:rPr>
                <w:rFonts w:eastAsia="Calibri" w:cs="Times New Roman"/>
                <w:b/>
                <w:bCs/>
              </w:rPr>
            </w:pPr>
          </w:p>
        </w:tc>
        <w:tc>
          <w:tcPr>
            <w:tcW w:w="1339" w:type="dxa"/>
            <w:noWrap/>
            <w:hideMark/>
          </w:tcPr>
          <w:p w:rsidR="00A72524" w:rsidRPr="002E1079" w:rsidRDefault="00A72524" w:rsidP="00656F19">
            <w:pPr>
              <w:jc w:val="center"/>
              <w:rPr>
                <w:rFonts w:eastAsia="Calibri" w:cs="Times New Roman"/>
                <w:b/>
              </w:rPr>
            </w:pPr>
            <w:r w:rsidRPr="002E1079">
              <w:rPr>
                <w:rFonts w:eastAsia="Calibri" w:cs="Times New Roman"/>
                <w:b/>
              </w:rPr>
              <w:t>2012-13</w:t>
            </w:r>
          </w:p>
        </w:tc>
        <w:tc>
          <w:tcPr>
            <w:tcW w:w="1339" w:type="dxa"/>
          </w:tcPr>
          <w:p w:rsidR="00A72524" w:rsidRPr="002E1079" w:rsidRDefault="00A72524" w:rsidP="00656F19">
            <w:pPr>
              <w:jc w:val="center"/>
              <w:rPr>
                <w:rFonts w:eastAsia="Calibri" w:cs="Times New Roman"/>
                <w:b/>
              </w:rPr>
            </w:pPr>
            <w:r w:rsidRPr="002E1079">
              <w:rPr>
                <w:rFonts w:eastAsia="Calibri" w:cs="Times New Roman"/>
                <w:b/>
              </w:rPr>
              <w:t>2013-14</w:t>
            </w:r>
          </w:p>
        </w:tc>
        <w:tc>
          <w:tcPr>
            <w:tcW w:w="1169" w:type="dxa"/>
            <w:noWrap/>
            <w:hideMark/>
          </w:tcPr>
          <w:p w:rsidR="00A72524" w:rsidRPr="002E1079" w:rsidRDefault="00A72524" w:rsidP="00656F19">
            <w:pPr>
              <w:jc w:val="center"/>
              <w:rPr>
                <w:rFonts w:eastAsia="Calibri" w:cs="Times New Roman"/>
                <w:b/>
              </w:rPr>
            </w:pPr>
            <w:r w:rsidRPr="002E1079">
              <w:rPr>
                <w:rFonts w:eastAsia="Calibri" w:cs="Times New Roman"/>
                <w:b/>
              </w:rPr>
              <w:t>2012-13</w:t>
            </w:r>
          </w:p>
        </w:tc>
        <w:tc>
          <w:tcPr>
            <w:tcW w:w="1169" w:type="dxa"/>
          </w:tcPr>
          <w:p w:rsidR="00A72524" w:rsidRPr="002E1079" w:rsidRDefault="00A72524" w:rsidP="00656F19">
            <w:pPr>
              <w:jc w:val="center"/>
              <w:rPr>
                <w:rFonts w:eastAsia="Calibri" w:cs="Times New Roman"/>
                <w:b/>
              </w:rPr>
            </w:pPr>
            <w:r w:rsidRPr="002E1079">
              <w:rPr>
                <w:rFonts w:eastAsia="Calibri" w:cs="Times New Roman"/>
                <w:b/>
              </w:rPr>
              <w:t>2013-14</w:t>
            </w:r>
          </w:p>
        </w:tc>
        <w:tc>
          <w:tcPr>
            <w:tcW w:w="1169" w:type="dxa"/>
            <w:noWrap/>
            <w:hideMark/>
          </w:tcPr>
          <w:p w:rsidR="00A72524" w:rsidRPr="002E1079" w:rsidRDefault="00A72524" w:rsidP="00656F19">
            <w:pPr>
              <w:jc w:val="center"/>
              <w:rPr>
                <w:rFonts w:eastAsia="Calibri" w:cs="Times New Roman"/>
                <w:b/>
              </w:rPr>
            </w:pPr>
            <w:r w:rsidRPr="002E1079">
              <w:rPr>
                <w:rFonts w:eastAsia="Calibri" w:cs="Times New Roman"/>
                <w:b/>
              </w:rPr>
              <w:t>2012-13</w:t>
            </w:r>
          </w:p>
        </w:tc>
        <w:tc>
          <w:tcPr>
            <w:tcW w:w="1169" w:type="dxa"/>
          </w:tcPr>
          <w:p w:rsidR="00A72524" w:rsidRPr="002E1079" w:rsidRDefault="00A72524" w:rsidP="00656F19">
            <w:pPr>
              <w:jc w:val="center"/>
              <w:rPr>
                <w:rFonts w:eastAsia="Calibri" w:cs="Times New Roman"/>
                <w:b/>
              </w:rPr>
            </w:pPr>
            <w:r w:rsidRPr="002E1079">
              <w:rPr>
                <w:rFonts w:eastAsia="Calibri" w:cs="Times New Roman"/>
                <w:b/>
              </w:rPr>
              <w:t>2013-14</w:t>
            </w:r>
          </w:p>
        </w:tc>
        <w:tc>
          <w:tcPr>
            <w:tcW w:w="1105" w:type="dxa"/>
          </w:tcPr>
          <w:p w:rsidR="00A72524" w:rsidRPr="002E1079" w:rsidRDefault="00A72524" w:rsidP="00656F19">
            <w:pPr>
              <w:jc w:val="center"/>
              <w:rPr>
                <w:rFonts w:eastAsia="Calibri" w:cs="Times New Roman"/>
                <w:b/>
              </w:rPr>
            </w:pPr>
            <w:r w:rsidRPr="002E1079">
              <w:rPr>
                <w:rFonts w:eastAsia="Calibri" w:cs="Times New Roman"/>
                <w:b/>
              </w:rPr>
              <w:t>2012-13</w:t>
            </w:r>
          </w:p>
        </w:tc>
        <w:tc>
          <w:tcPr>
            <w:tcW w:w="1105" w:type="dxa"/>
          </w:tcPr>
          <w:p w:rsidR="00A72524" w:rsidRPr="002E1079" w:rsidRDefault="00A72524" w:rsidP="00656F19">
            <w:pPr>
              <w:jc w:val="center"/>
              <w:rPr>
                <w:rFonts w:eastAsia="Calibri" w:cs="Times New Roman"/>
                <w:b/>
              </w:rPr>
            </w:pPr>
            <w:r w:rsidRPr="002E1079">
              <w:rPr>
                <w:rFonts w:eastAsia="Calibri" w:cs="Times New Roman"/>
                <w:b/>
              </w:rPr>
              <w:t>2013-14</w:t>
            </w:r>
          </w:p>
        </w:tc>
      </w:tr>
      <w:tr w:rsidR="00A72524" w:rsidRPr="002E1079" w:rsidTr="00D0524A">
        <w:trPr>
          <w:cnfStyle w:val="000000010000" w:firstRow="0" w:lastRow="0" w:firstColumn="0" w:lastColumn="0" w:oddVBand="0" w:evenVBand="0" w:oddHBand="0" w:evenHBand="1" w:firstRowFirstColumn="0" w:firstRowLastColumn="0" w:lastRowFirstColumn="0" w:lastRowLastColumn="0"/>
          <w:trHeight w:val="300"/>
        </w:trPr>
        <w:tc>
          <w:tcPr>
            <w:tcW w:w="4144" w:type="dxa"/>
            <w:noWrap/>
          </w:tcPr>
          <w:p w:rsidR="00A72524" w:rsidRPr="00656F19" w:rsidRDefault="00A72524" w:rsidP="00A72524">
            <w:pPr>
              <w:rPr>
                <w:rStyle w:val="Strong"/>
                <w:b w:val="0"/>
                <w:sz w:val="20"/>
                <w:szCs w:val="20"/>
              </w:rPr>
            </w:pPr>
            <w:r w:rsidRPr="00656F19">
              <w:rPr>
                <w:rStyle w:val="Strong"/>
                <w:b w:val="0"/>
                <w:sz w:val="20"/>
                <w:szCs w:val="20"/>
              </w:rPr>
              <w:t>ActewAGL</w:t>
            </w:r>
          </w:p>
        </w:tc>
        <w:tc>
          <w:tcPr>
            <w:tcW w:w="1339" w:type="dxa"/>
            <w:noWrap/>
          </w:tcPr>
          <w:p w:rsidR="00A72524" w:rsidRPr="00BF63B0" w:rsidRDefault="00A72524" w:rsidP="00656F19">
            <w:pPr>
              <w:jc w:val="center"/>
            </w:pPr>
            <w:r w:rsidRPr="00BF63B0">
              <w:t>28.8%</w:t>
            </w:r>
          </w:p>
        </w:tc>
        <w:tc>
          <w:tcPr>
            <w:tcW w:w="1339" w:type="dxa"/>
          </w:tcPr>
          <w:p w:rsidR="00A72524" w:rsidRPr="00BF63B0" w:rsidRDefault="00A72524" w:rsidP="00656F19">
            <w:pPr>
              <w:jc w:val="center"/>
            </w:pPr>
            <w:r w:rsidRPr="00BF63B0">
              <w:t>32.6%</w:t>
            </w:r>
          </w:p>
        </w:tc>
        <w:tc>
          <w:tcPr>
            <w:tcW w:w="1169" w:type="dxa"/>
            <w:noWrap/>
          </w:tcPr>
          <w:p w:rsidR="00A72524" w:rsidRPr="00BF63B0" w:rsidRDefault="00A72524" w:rsidP="00656F19">
            <w:pPr>
              <w:jc w:val="center"/>
            </w:pPr>
            <w:r w:rsidRPr="00BF63B0">
              <w:t>47.0%</w:t>
            </w:r>
          </w:p>
        </w:tc>
        <w:tc>
          <w:tcPr>
            <w:tcW w:w="1169" w:type="dxa"/>
          </w:tcPr>
          <w:p w:rsidR="00A72524" w:rsidRPr="00BF63B0" w:rsidRDefault="00A72524" w:rsidP="00656F19">
            <w:pPr>
              <w:jc w:val="center"/>
            </w:pPr>
            <w:r w:rsidRPr="00BF63B0">
              <w:t>35.9%</w:t>
            </w:r>
          </w:p>
        </w:tc>
        <w:tc>
          <w:tcPr>
            <w:tcW w:w="1169" w:type="dxa"/>
            <w:noWrap/>
          </w:tcPr>
          <w:p w:rsidR="00A72524" w:rsidRPr="00BF63B0" w:rsidRDefault="00A72524" w:rsidP="00656F19">
            <w:pPr>
              <w:jc w:val="center"/>
            </w:pPr>
            <w:r w:rsidRPr="00BF63B0">
              <w:t>14.6%</w:t>
            </w:r>
          </w:p>
        </w:tc>
        <w:tc>
          <w:tcPr>
            <w:tcW w:w="1169" w:type="dxa"/>
          </w:tcPr>
          <w:p w:rsidR="00A72524" w:rsidRPr="00BF63B0" w:rsidRDefault="00A72524" w:rsidP="00656F19">
            <w:pPr>
              <w:jc w:val="center"/>
            </w:pPr>
            <w:r w:rsidRPr="00BF63B0">
              <w:t>15.7%</w:t>
            </w:r>
          </w:p>
        </w:tc>
        <w:tc>
          <w:tcPr>
            <w:tcW w:w="1105" w:type="dxa"/>
          </w:tcPr>
          <w:p w:rsidR="00A72524" w:rsidRPr="00BF63B0" w:rsidRDefault="00A72524" w:rsidP="00656F19">
            <w:pPr>
              <w:jc w:val="center"/>
            </w:pPr>
            <w:r w:rsidRPr="00BF63B0">
              <w:t>9.6%</w:t>
            </w:r>
          </w:p>
        </w:tc>
        <w:tc>
          <w:tcPr>
            <w:tcW w:w="1105" w:type="dxa"/>
          </w:tcPr>
          <w:p w:rsidR="00A72524" w:rsidRPr="00BF63B0" w:rsidRDefault="00A72524" w:rsidP="00656F19">
            <w:pPr>
              <w:jc w:val="center"/>
            </w:pPr>
            <w:r w:rsidRPr="00BF63B0">
              <w:t>15.7%</w:t>
            </w:r>
          </w:p>
        </w:tc>
      </w:tr>
      <w:tr w:rsidR="00A72524" w:rsidRPr="002E1079" w:rsidTr="00D0524A">
        <w:trPr>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AGL</w:t>
            </w:r>
          </w:p>
        </w:tc>
        <w:tc>
          <w:tcPr>
            <w:tcW w:w="1339" w:type="dxa"/>
            <w:noWrap/>
          </w:tcPr>
          <w:p w:rsidR="00A72524" w:rsidRPr="00BF63B0" w:rsidRDefault="00A72524" w:rsidP="00656F19">
            <w:pPr>
              <w:jc w:val="center"/>
            </w:pPr>
            <w:r w:rsidRPr="00BF63B0">
              <w:t>72.9%</w:t>
            </w:r>
          </w:p>
        </w:tc>
        <w:tc>
          <w:tcPr>
            <w:tcW w:w="1339" w:type="dxa"/>
          </w:tcPr>
          <w:p w:rsidR="00A72524" w:rsidRPr="00BF63B0" w:rsidRDefault="00A72524" w:rsidP="00656F19">
            <w:pPr>
              <w:jc w:val="center"/>
            </w:pPr>
            <w:r w:rsidRPr="00BF63B0">
              <w:t>60.9%</w:t>
            </w:r>
          </w:p>
        </w:tc>
        <w:tc>
          <w:tcPr>
            <w:tcW w:w="1169" w:type="dxa"/>
            <w:noWrap/>
          </w:tcPr>
          <w:p w:rsidR="00A72524" w:rsidRPr="00BF63B0" w:rsidRDefault="00A72524" w:rsidP="00656F19">
            <w:pPr>
              <w:jc w:val="center"/>
            </w:pPr>
            <w:r w:rsidRPr="00BF63B0">
              <w:t>21.8%</w:t>
            </w:r>
          </w:p>
        </w:tc>
        <w:tc>
          <w:tcPr>
            <w:tcW w:w="1169" w:type="dxa"/>
          </w:tcPr>
          <w:p w:rsidR="00A72524" w:rsidRPr="00BF63B0" w:rsidRDefault="00A72524" w:rsidP="00656F19">
            <w:pPr>
              <w:jc w:val="center"/>
            </w:pPr>
            <w:r w:rsidRPr="00BF63B0">
              <w:t>29.2%</w:t>
            </w:r>
          </w:p>
        </w:tc>
        <w:tc>
          <w:tcPr>
            <w:tcW w:w="1169" w:type="dxa"/>
            <w:noWrap/>
          </w:tcPr>
          <w:p w:rsidR="00A72524" w:rsidRPr="00BF63B0" w:rsidRDefault="00A72524" w:rsidP="00656F19">
            <w:pPr>
              <w:jc w:val="center"/>
            </w:pPr>
            <w:r w:rsidRPr="00BF63B0">
              <w:t>3.7%</w:t>
            </w:r>
          </w:p>
        </w:tc>
        <w:tc>
          <w:tcPr>
            <w:tcW w:w="1169" w:type="dxa"/>
          </w:tcPr>
          <w:p w:rsidR="00A72524" w:rsidRPr="00BF63B0" w:rsidRDefault="00A72524" w:rsidP="00656F19">
            <w:pPr>
              <w:jc w:val="center"/>
            </w:pPr>
            <w:r w:rsidRPr="00BF63B0">
              <w:t>6.7%</w:t>
            </w:r>
          </w:p>
        </w:tc>
        <w:tc>
          <w:tcPr>
            <w:tcW w:w="1105" w:type="dxa"/>
          </w:tcPr>
          <w:p w:rsidR="00A72524" w:rsidRPr="00BF63B0" w:rsidRDefault="00A72524" w:rsidP="00656F19">
            <w:pPr>
              <w:jc w:val="center"/>
            </w:pPr>
            <w:r w:rsidRPr="00BF63B0">
              <w:t>1.6%</w:t>
            </w:r>
          </w:p>
        </w:tc>
        <w:tc>
          <w:tcPr>
            <w:tcW w:w="1105" w:type="dxa"/>
          </w:tcPr>
          <w:p w:rsidR="00A72524" w:rsidRPr="00BF63B0" w:rsidRDefault="00A72524" w:rsidP="00656F19">
            <w:pPr>
              <w:jc w:val="center"/>
            </w:pPr>
            <w:r w:rsidRPr="00BF63B0">
              <w:t>3.2%</w:t>
            </w:r>
          </w:p>
        </w:tc>
      </w:tr>
      <w:tr w:rsidR="00A72524" w:rsidRPr="002E1079" w:rsidTr="00D0524A">
        <w:trPr>
          <w:cnfStyle w:val="000000010000" w:firstRow="0" w:lastRow="0" w:firstColumn="0" w:lastColumn="0" w:oddVBand="0" w:evenVBand="0" w:oddHBand="0" w:evenHBand="1" w:firstRowFirstColumn="0" w:firstRowLastColumn="0" w:lastRowFirstColumn="0" w:lastRowLastColumn="0"/>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Alinta Energy</w:t>
            </w:r>
          </w:p>
        </w:tc>
        <w:tc>
          <w:tcPr>
            <w:tcW w:w="1339" w:type="dxa"/>
            <w:noWrap/>
          </w:tcPr>
          <w:p w:rsidR="00A72524" w:rsidRPr="00BF63B0" w:rsidRDefault="00A72524" w:rsidP="00656F19">
            <w:pPr>
              <w:jc w:val="center"/>
            </w:pPr>
            <w:r w:rsidRPr="00BF63B0">
              <w:t>100.0%</w:t>
            </w:r>
          </w:p>
        </w:tc>
        <w:tc>
          <w:tcPr>
            <w:tcW w:w="1339" w:type="dxa"/>
          </w:tcPr>
          <w:p w:rsidR="00A72524" w:rsidRPr="00BF63B0" w:rsidRDefault="00A72524" w:rsidP="00656F19">
            <w:pPr>
              <w:jc w:val="center"/>
            </w:pPr>
            <w:r w:rsidRPr="00BF63B0">
              <w:t>68.4%</w:t>
            </w:r>
          </w:p>
        </w:tc>
        <w:tc>
          <w:tcPr>
            <w:tcW w:w="1169" w:type="dxa"/>
            <w:noWrap/>
          </w:tcPr>
          <w:p w:rsidR="00A72524" w:rsidRPr="00BF63B0" w:rsidRDefault="00A72524" w:rsidP="00656F19">
            <w:pPr>
              <w:jc w:val="center"/>
            </w:pPr>
            <w:r w:rsidRPr="00BF63B0">
              <w:t>0.0%</w:t>
            </w:r>
          </w:p>
        </w:tc>
        <w:tc>
          <w:tcPr>
            <w:tcW w:w="1169" w:type="dxa"/>
          </w:tcPr>
          <w:p w:rsidR="00A72524" w:rsidRPr="00BF63B0" w:rsidRDefault="00A72524" w:rsidP="00656F19">
            <w:pPr>
              <w:jc w:val="center"/>
            </w:pPr>
            <w:r w:rsidRPr="00BF63B0">
              <w:t>31.6%</w:t>
            </w:r>
          </w:p>
        </w:tc>
        <w:tc>
          <w:tcPr>
            <w:tcW w:w="1169" w:type="dxa"/>
            <w:noWrap/>
          </w:tcPr>
          <w:p w:rsidR="00A72524" w:rsidRPr="00BF63B0" w:rsidRDefault="00A72524" w:rsidP="00656F19">
            <w:pPr>
              <w:jc w:val="center"/>
            </w:pPr>
            <w:r w:rsidRPr="00BF63B0">
              <w:t>0.0%</w:t>
            </w:r>
          </w:p>
        </w:tc>
        <w:tc>
          <w:tcPr>
            <w:tcW w:w="1169" w:type="dxa"/>
          </w:tcPr>
          <w:p w:rsidR="00A72524" w:rsidRPr="00BF63B0" w:rsidRDefault="00A72524" w:rsidP="00656F19">
            <w:pPr>
              <w:jc w:val="center"/>
            </w:pPr>
            <w:r w:rsidRPr="00BF63B0">
              <w:t>0.0%</w:t>
            </w:r>
          </w:p>
        </w:tc>
        <w:tc>
          <w:tcPr>
            <w:tcW w:w="1105" w:type="dxa"/>
          </w:tcPr>
          <w:p w:rsidR="00A72524" w:rsidRPr="00BF63B0" w:rsidRDefault="00A72524" w:rsidP="00656F19">
            <w:pPr>
              <w:jc w:val="center"/>
            </w:pPr>
            <w:r w:rsidRPr="00BF63B0">
              <w:t>0.0%</w:t>
            </w:r>
          </w:p>
        </w:tc>
        <w:tc>
          <w:tcPr>
            <w:tcW w:w="1105" w:type="dxa"/>
          </w:tcPr>
          <w:p w:rsidR="00A72524" w:rsidRPr="00BF63B0" w:rsidRDefault="00A72524" w:rsidP="00656F19">
            <w:pPr>
              <w:jc w:val="center"/>
            </w:pPr>
            <w:r w:rsidRPr="00BF63B0">
              <w:t>0.0%</w:t>
            </w:r>
          </w:p>
        </w:tc>
      </w:tr>
      <w:tr w:rsidR="00A72524" w:rsidRPr="002E1079" w:rsidTr="00D0524A">
        <w:trPr>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EnergyAustralia</w:t>
            </w:r>
          </w:p>
        </w:tc>
        <w:tc>
          <w:tcPr>
            <w:tcW w:w="1339" w:type="dxa"/>
            <w:noWrap/>
          </w:tcPr>
          <w:p w:rsidR="00A72524" w:rsidRPr="00BF63B0" w:rsidRDefault="00A72524" w:rsidP="00656F19">
            <w:pPr>
              <w:jc w:val="center"/>
            </w:pPr>
            <w:r w:rsidRPr="00BF63B0">
              <w:t>36.0%</w:t>
            </w:r>
          </w:p>
        </w:tc>
        <w:tc>
          <w:tcPr>
            <w:tcW w:w="1339" w:type="dxa"/>
          </w:tcPr>
          <w:p w:rsidR="00A72524" w:rsidRPr="00BF63B0" w:rsidRDefault="00A72524" w:rsidP="00656F19">
            <w:pPr>
              <w:jc w:val="center"/>
            </w:pPr>
            <w:r w:rsidRPr="00BF63B0">
              <w:t>54.6%</w:t>
            </w:r>
          </w:p>
        </w:tc>
        <w:tc>
          <w:tcPr>
            <w:tcW w:w="1169" w:type="dxa"/>
            <w:noWrap/>
          </w:tcPr>
          <w:p w:rsidR="00A72524" w:rsidRPr="00BF63B0" w:rsidRDefault="00A72524" w:rsidP="00656F19">
            <w:pPr>
              <w:jc w:val="center"/>
            </w:pPr>
            <w:r w:rsidRPr="00BF63B0">
              <w:t>49.1%</w:t>
            </w:r>
          </w:p>
        </w:tc>
        <w:tc>
          <w:tcPr>
            <w:tcW w:w="1169" w:type="dxa"/>
          </w:tcPr>
          <w:p w:rsidR="00A72524" w:rsidRPr="00BF63B0" w:rsidRDefault="00A72524" w:rsidP="00656F19">
            <w:pPr>
              <w:jc w:val="center"/>
            </w:pPr>
            <w:r w:rsidRPr="00BF63B0">
              <w:t>38.2%</w:t>
            </w:r>
          </w:p>
        </w:tc>
        <w:tc>
          <w:tcPr>
            <w:tcW w:w="1169" w:type="dxa"/>
            <w:noWrap/>
          </w:tcPr>
          <w:p w:rsidR="00A72524" w:rsidRPr="00BF63B0" w:rsidRDefault="00A72524" w:rsidP="00656F19">
            <w:pPr>
              <w:jc w:val="center"/>
            </w:pPr>
            <w:r w:rsidRPr="00BF63B0">
              <w:t>7.9%</w:t>
            </w:r>
          </w:p>
        </w:tc>
        <w:tc>
          <w:tcPr>
            <w:tcW w:w="1169" w:type="dxa"/>
          </w:tcPr>
          <w:p w:rsidR="00A72524" w:rsidRPr="00BF63B0" w:rsidRDefault="00A72524" w:rsidP="00656F19">
            <w:pPr>
              <w:jc w:val="center"/>
            </w:pPr>
            <w:r w:rsidRPr="00BF63B0">
              <w:t>4.7%</w:t>
            </w:r>
          </w:p>
        </w:tc>
        <w:tc>
          <w:tcPr>
            <w:tcW w:w="1105" w:type="dxa"/>
          </w:tcPr>
          <w:p w:rsidR="00A72524" w:rsidRPr="00BF63B0" w:rsidRDefault="00A72524" w:rsidP="00656F19">
            <w:pPr>
              <w:jc w:val="center"/>
            </w:pPr>
            <w:r w:rsidRPr="00BF63B0">
              <w:t>7.0%</w:t>
            </w:r>
          </w:p>
        </w:tc>
        <w:tc>
          <w:tcPr>
            <w:tcW w:w="1105" w:type="dxa"/>
          </w:tcPr>
          <w:p w:rsidR="00A72524" w:rsidRPr="00BF63B0" w:rsidRDefault="00A72524" w:rsidP="00656F19">
            <w:pPr>
              <w:jc w:val="center"/>
            </w:pPr>
            <w:r w:rsidRPr="00BF63B0">
              <w:t>2.5%</w:t>
            </w:r>
          </w:p>
        </w:tc>
      </w:tr>
      <w:tr w:rsidR="00A72524" w:rsidRPr="002E1079" w:rsidTr="00D0524A">
        <w:trPr>
          <w:cnfStyle w:val="000000010000" w:firstRow="0" w:lastRow="0" w:firstColumn="0" w:lastColumn="0" w:oddVBand="0" w:evenVBand="0" w:oddHBand="0" w:evenHBand="1" w:firstRowFirstColumn="0" w:firstRowLastColumn="0" w:lastRowFirstColumn="0" w:lastRowLastColumn="0"/>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Lumo Energy</w:t>
            </w:r>
          </w:p>
        </w:tc>
        <w:tc>
          <w:tcPr>
            <w:tcW w:w="1339" w:type="dxa"/>
            <w:noWrap/>
          </w:tcPr>
          <w:p w:rsidR="00A72524" w:rsidRPr="00BF63B0" w:rsidRDefault="00A72524" w:rsidP="00656F19">
            <w:pPr>
              <w:jc w:val="center"/>
            </w:pPr>
            <w:r w:rsidRPr="00BF63B0">
              <w:t>-</w:t>
            </w:r>
          </w:p>
        </w:tc>
        <w:tc>
          <w:tcPr>
            <w:tcW w:w="1339" w:type="dxa"/>
          </w:tcPr>
          <w:p w:rsidR="00A72524" w:rsidRPr="00BF63B0" w:rsidRDefault="00A72524" w:rsidP="00656F19">
            <w:pPr>
              <w:jc w:val="center"/>
            </w:pPr>
            <w:r w:rsidRPr="00BF63B0">
              <w:t>54.5%</w:t>
            </w:r>
          </w:p>
        </w:tc>
        <w:tc>
          <w:tcPr>
            <w:tcW w:w="1169" w:type="dxa"/>
            <w:noWrap/>
          </w:tcPr>
          <w:p w:rsidR="00A72524" w:rsidRPr="00BF63B0" w:rsidRDefault="00A72524" w:rsidP="00656F19">
            <w:pPr>
              <w:jc w:val="center"/>
            </w:pPr>
            <w:r w:rsidRPr="00BF63B0">
              <w:t>-</w:t>
            </w:r>
          </w:p>
        </w:tc>
        <w:tc>
          <w:tcPr>
            <w:tcW w:w="1169" w:type="dxa"/>
          </w:tcPr>
          <w:p w:rsidR="00A72524" w:rsidRPr="00BF63B0" w:rsidRDefault="00A72524" w:rsidP="00656F19">
            <w:pPr>
              <w:jc w:val="center"/>
            </w:pPr>
            <w:r w:rsidRPr="00BF63B0">
              <w:t>27.3%</w:t>
            </w:r>
          </w:p>
        </w:tc>
        <w:tc>
          <w:tcPr>
            <w:tcW w:w="1169" w:type="dxa"/>
            <w:noWrap/>
          </w:tcPr>
          <w:p w:rsidR="00A72524" w:rsidRPr="00BF63B0" w:rsidRDefault="00A72524" w:rsidP="00656F19">
            <w:pPr>
              <w:jc w:val="center"/>
            </w:pPr>
            <w:r w:rsidRPr="00BF63B0">
              <w:t>-</w:t>
            </w:r>
          </w:p>
        </w:tc>
        <w:tc>
          <w:tcPr>
            <w:tcW w:w="1169" w:type="dxa"/>
          </w:tcPr>
          <w:p w:rsidR="00A72524" w:rsidRPr="00BF63B0" w:rsidRDefault="00A72524" w:rsidP="00656F19">
            <w:pPr>
              <w:jc w:val="center"/>
            </w:pPr>
            <w:r w:rsidRPr="00BF63B0">
              <w:t>13.6%</w:t>
            </w:r>
          </w:p>
        </w:tc>
        <w:tc>
          <w:tcPr>
            <w:tcW w:w="1105" w:type="dxa"/>
          </w:tcPr>
          <w:p w:rsidR="00A72524" w:rsidRPr="00BF63B0" w:rsidRDefault="00A72524" w:rsidP="00656F19">
            <w:pPr>
              <w:jc w:val="center"/>
            </w:pPr>
            <w:r w:rsidRPr="00BF63B0">
              <w:t>-</w:t>
            </w:r>
          </w:p>
        </w:tc>
        <w:tc>
          <w:tcPr>
            <w:tcW w:w="1105" w:type="dxa"/>
          </w:tcPr>
          <w:p w:rsidR="00A72524" w:rsidRPr="00BF63B0" w:rsidRDefault="00A72524" w:rsidP="00656F19">
            <w:pPr>
              <w:jc w:val="center"/>
            </w:pPr>
            <w:r w:rsidRPr="00BF63B0">
              <w:t>4.5%</w:t>
            </w:r>
          </w:p>
        </w:tc>
      </w:tr>
      <w:tr w:rsidR="00A72524" w:rsidRPr="002E1079" w:rsidTr="00D0524A">
        <w:trPr>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Origin Energy</w:t>
            </w:r>
          </w:p>
        </w:tc>
        <w:tc>
          <w:tcPr>
            <w:tcW w:w="1339" w:type="dxa"/>
            <w:noWrap/>
          </w:tcPr>
          <w:p w:rsidR="00A72524" w:rsidRPr="00BF63B0" w:rsidRDefault="00A72524" w:rsidP="00656F19">
            <w:pPr>
              <w:jc w:val="center"/>
            </w:pPr>
            <w:r w:rsidRPr="00BF63B0">
              <w:t>52.6%</w:t>
            </w:r>
          </w:p>
        </w:tc>
        <w:tc>
          <w:tcPr>
            <w:tcW w:w="1339" w:type="dxa"/>
          </w:tcPr>
          <w:p w:rsidR="00A72524" w:rsidRPr="00BF63B0" w:rsidRDefault="00A72524" w:rsidP="00656F19">
            <w:pPr>
              <w:jc w:val="center"/>
            </w:pPr>
            <w:r w:rsidRPr="00BF63B0">
              <w:t>56.7%</w:t>
            </w:r>
          </w:p>
        </w:tc>
        <w:tc>
          <w:tcPr>
            <w:tcW w:w="1169" w:type="dxa"/>
            <w:noWrap/>
          </w:tcPr>
          <w:p w:rsidR="00A72524" w:rsidRPr="00BF63B0" w:rsidRDefault="00A72524" w:rsidP="00656F19">
            <w:pPr>
              <w:jc w:val="center"/>
            </w:pPr>
            <w:r w:rsidRPr="00BF63B0">
              <w:t>42.5%</w:t>
            </w:r>
          </w:p>
        </w:tc>
        <w:tc>
          <w:tcPr>
            <w:tcW w:w="1169" w:type="dxa"/>
          </w:tcPr>
          <w:p w:rsidR="00A72524" w:rsidRPr="00BF63B0" w:rsidRDefault="00A72524" w:rsidP="00656F19">
            <w:pPr>
              <w:jc w:val="center"/>
            </w:pPr>
            <w:r w:rsidRPr="00BF63B0">
              <w:t>35.3%</w:t>
            </w:r>
          </w:p>
        </w:tc>
        <w:tc>
          <w:tcPr>
            <w:tcW w:w="1169" w:type="dxa"/>
            <w:noWrap/>
          </w:tcPr>
          <w:p w:rsidR="00A72524" w:rsidRPr="00BF63B0" w:rsidRDefault="00A72524" w:rsidP="00656F19">
            <w:pPr>
              <w:jc w:val="center"/>
            </w:pPr>
            <w:r w:rsidRPr="00BF63B0">
              <w:t>3.4%</w:t>
            </w:r>
          </w:p>
        </w:tc>
        <w:tc>
          <w:tcPr>
            <w:tcW w:w="1169" w:type="dxa"/>
          </w:tcPr>
          <w:p w:rsidR="00A72524" w:rsidRPr="00BF63B0" w:rsidRDefault="00A72524" w:rsidP="00656F19">
            <w:pPr>
              <w:jc w:val="center"/>
            </w:pPr>
            <w:r w:rsidRPr="00BF63B0">
              <w:t>5.2%</w:t>
            </w:r>
          </w:p>
        </w:tc>
        <w:tc>
          <w:tcPr>
            <w:tcW w:w="1105" w:type="dxa"/>
          </w:tcPr>
          <w:p w:rsidR="00A72524" w:rsidRPr="00BF63B0" w:rsidRDefault="00A72524" w:rsidP="00656F19">
            <w:pPr>
              <w:jc w:val="center"/>
            </w:pPr>
            <w:r w:rsidRPr="00BF63B0">
              <w:t>1.5%</w:t>
            </w:r>
          </w:p>
        </w:tc>
        <w:tc>
          <w:tcPr>
            <w:tcW w:w="1105" w:type="dxa"/>
          </w:tcPr>
          <w:p w:rsidR="00A72524" w:rsidRPr="00BF63B0" w:rsidRDefault="00A72524" w:rsidP="00656F19">
            <w:pPr>
              <w:jc w:val="center"/>
            </w:pPr>
            <w:r w:rsidRPr="00BF63B0">
              <w:t>2.8%</w:t>
            </w:r>
          </w:p>
        </w:tc>
      </w:tr>
      <w:tr w:rsidR="00A72524" w:rsidRPr="002E1079" w:rsidTr="00D0524A">
        <w:trPr>
          <w:cnfStyle w:val="000000010000" w:firstRow="0" w:lastRow="0" w:firstColumn="0" w:lastColumn="0" w:oddVBand="0" w:evenVBand="0" w:oddHBand="0" w:evenHBand="1" w:firstRowFirstColumn="0" w:firstRowLastColumn="0" w:lastRowFirstColumn="0" w:lastRowLastColumn="0"/>
          <w:trHeight w:val="300"/>
        </w:trPr>
        <w:tc>
          <w:tcPr>
            <w:tcW w:w="4144" w:type="dxa"/>
            <w:noWrap/>
            <w:hideMark/>
          </w:tcPr>
          <w:p w:rsidR="00A72524" w:rsidRPr="00656F19" w:rsidRDefault="00A72524" w:rsidP="00A72524">
            <w:pPr>
              <w:rPr>
                <w:rStyle w:val="Strong"/>
                <w:b w:val="0"/>
                <w:sz w:val="20"/>
                <w:szCs w:val="20"/>
              </w:rPr>
            </w:pPr>
            <w:r w:rsidRPr="00656F19">
              <w:rPr>
                <w:rStyle w:val="Strong"/>
                <w:b w:val="0"/>
                <w:sz w:val="20"/>
                <w:szCs w:val="20"/>
              </w:rPr>
              <w:t>Simply Energy</w:t>
            </w:r>
          </w:p>
        </w:tc>
        <w:tc>
          <w:tcPr>
            <w:tcW w:w="1339" w:type="dxa"/>
            <w:noWrap/>
          </w:tcPr>
          <w:p w:rsidR="00A72524" w:rsidRPr="00BF63B0" w:rsidRDefault="00A72524" w:rsidP="00656F19">
            <w:pPr>
              <w:jc w:val="center"/>
            </w:pPr>
            <w:r w:rsidRPr="00BF63B0">
              <w:t>90.2%</w:t>
            </w:r>
          </w:p>
        </w:tc>
        <w:tc>
          <w:tcPr>
            <w:tcW w:w="1339" w:type="dxa"/>
          </w:tcPr>
          <w:p w:rsidR="00A72524" w:rsidRPr="00BF63B0" w:rsidRDefault="00A72524" w:rsidP="00656F19">
            <w:pPr>
              <w:jc w:val="center"/>
            </w:pPr>
            <w:r w:rsidRPr="00BF63B0">
              <w:t>71.7%</w:t>
            </w:r>
          </w:p>
        </w:tc>
        <w:tc>
          <w:tcPr>
            <w:tcW w:w="1169" w:type="dxa"/>
            <w:noWrap/>
          </w:tcPr>
          <w:p w:rsidR="00A72524" w:rsidRPr="00BF63B0" w:rsidRDefault="00A72524" w:rsidP="00656F19">
            <w:pPr>
              <w:jc w:val="center"/>
            </w:pPr>
            <w:r w:rsidRPr="00BF63B0">
              <w:t>9.8%</w:t>
            </w:r>
          </w:p>
        </w:tc>
        <w:tc>
          <w:tcPr>
            <w:tcW w:w="1169" w:type="dxa"/>
          </w:tcPr>
          <w:p w:rsidR="00A72524" w:rsidRPr="00BF63B0" w:rsidRDefault="00A72524" w:rsidP="00656F19">
            <w:pPr>
              <w:jc w:val="center"/>
            </w:pPr>
            <w:r w:rsidRPr="00BF63B0">
              <w:t>25.5%</w:t>
            </w:r>
          </w:p>
        </w:tc>
        <w:tc>
          <w:tcPr>
            <w:tcW w:w="1169" w:type="dxa"/>
            <w:noWrap/>
          </w:tcPr>
          <w:p w:rsidR="00A72524" w:rsidRPr="00BF63B0" w:rsidRDefault="00A72524" w:rsidP="00656F19">
            <w:pPr>
              <w:jc w:val="center"/>
            </w:pPr>
            <w:r w:rsidRPr="00BF63B0">
              <w:t>0.0%</w:t>
            </w:r>
          </w:p>
        </w:tc>
        <w:tc>
          <w:tcPr>
            <w:tcW w:w="1169" w:type="dxa"/>
          </w:tcPr>
          <w:p w:rsidR="00A72524" w:rsidRPr="00BF63B0" w:rsidRDefault="00A72524" w:rsidP="00656F19">
            <w:pPr>
              <w:jc w:val="center"/>
            </w:pPr>
            <w:r w:rsidRPr="00BF63B0">
              <w:t>2.8%</w:t>
            </w:r>
          </w:p>
        </w:tc>
        <w:tc>
          <w:tcPr>
            <w:tcW w:w="1105" w:type="dxa"/>
          </w:tcPr>
          <w:p w:rsidR="00A72524" w:rsidRPr="00BF63B0" w:rsidRDefault="00A72524" w:rsidP="00656F19">
            <w:pPr>
              <w:jc w:val="center"/>
            </w:pPr>
            <w:r w:rsidRPr="00BF63B0">
              <w:t>0.0%</w:t>
            </w:r>
          </w:p>
        </w:tc>
        <w:tc>
          <w:tcPr>
            <w:tcW w:w="1105" w:type="dxa"/>
          </w:tcPr>
          <w:p w:rsidR="00A72524" w:rsidRDefault="00A72524" w:rsidP="00656F19">
            <w:pPr>
              <w:jc w:val="center"/>
            </w:pPr>
            <w:r w:rsidRPr="00BF63B0">
              <w:t>0.0%</w:t>
            </w:r>
          </w:p>
        </w:tc>
      </w:tr>
    </w:tbl>
    <w:p w:rsidR="006619E3" w:rsidRDefault="00A72524" w:rsidP="00A72524">
      <w:pPr>
        <w:rPr>
          <w:b/>
        </w:rPr>
        <w:sectPr w:rsidR="006619E3" w:rsidSect="005306EA">
          <w:pgSz w:w="16838" w:h="11906" w:orient="landscape" w:code="9"/>
          <w:pgMar w:top="1440" w:right="1440" w:bottom="1440" w:left="1440" w:header="709" w:footer="709" w:gutter="0"/>
          <w:cols w:space="708"/>
          <w:titlePg/>
          <w:docGrid w:linePitch="360"/>
        </w:sectPr>
      </w:pPr>
      <w:r>
        <w:rPr>
          <w:b/>
        </w:rPr>
        <w:br w:type="page"/>
      </w:r>
    </w:p>
    <w:p w:rsidR="00A72524" w:rsidRPr="00686E3E" w:rsidRDefault="00254D8F" w:rsidP="00A72524">
      <w:pPr>
        <w:rPr>
          <w:b/>
        </w:rPr>
      </w:pPr>
      <w:r>
        <w:rPr>
          <w:b/>
        </w:rPr>
        <w:lastRenderedPageBreak/>
        <w:t>Table A.9</w:t>
      </w:r>
      <w:r w:rsidR="00A72524">
        <w:rPr>
          <w:b/>
        </w:rPr>
        <w:t>: Electricity customers exiting hardship programs, 2012-13 and 2013-14</w:t>
      </w:r>
    </w:p>
    <w:tbl>
      <w:tblPr>
        <w:tblStyle w:val="AERTable-Text"/>
        <w:tblW w:w="10173" w:type="dxa"/>
        <w:tblLook w:val="04A0" w:firstRow="1" w:lastRow="0" w:firstColumn="1" w:lastColumn="0" w:noHBand="0" w:noVBand="1"/>
      </w:tblPr>
      <w:tblGrid>
        <w:gridCol w:w="2859"/>
        <w:gridCol w:w="1219"/>
        <w:gridCol w:w="1219"/>
        <w:gridCol w:w="1219"/>
        <w:gridCol w:w="1219"/>
        <w:gridCol w:w="1219"/>
        <w:gridCol w:w="1219"/>
      </w:tblGrid>
      <w:tr w:rsidR="00A72524" w:rsidRPr="00F7204C" w:rsidTr="00D0524A">
        <w:trPr>
          <w:cnfStyle w:val="100000000000" w:firstRow="1" w:lastRow="0" w:firstColumn="0" w:lastColumn="0" w:oddVBand="0" w:evenVBand="0" w:oddHBand="0" w:evenHBand="0" w:firstRowFirstColumn="0" w:firstRowLastColumn="0" w:lastRowFirstColumn="0" w:lastRowLastColumn="0"/>
          <w:trHeight w:val="300"/>
        </w:trPr>
        <w:tc>
          <w:tcPr>
            <w:tcW w:w="2859" w:type="dxa"/>
            <w:noWrap/>
            <w:hideMark/>
          </w:tcPr>
          <w:p w:rsidR="00A72524" w:rsidRPr="00F7204C" w:rsidRDefault="00A72524" w:rsidP="00A72524">
            <w:pPr>
              <w:spacing w:after="200" w:line="276" w:lineRule="auto"/>
              <w:rPr>
                <w:rFonts w:eastAsia="Calibri" w:cs="Times New Roman"/>
                <w:bCs/>
              </w:rPr>
            </w:pPr>
            <w:r w:rsidRPr="00F7204C">
              <w:rPr>
                <w:rFonts w:eastAsia="Calibri" w:cs="Times New Roman"/>
                <w:bCs/>
              </w:rPr>
              <w:t>Retailer</w:t>
            </w:r>
          </w:p>
        </w:tc>
        <w:tc>
          <w:tcPr>
            <w:tcW w:w="2438"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Successfully completed</w:t>
            </w:r>
          </w:p>
        </w:tc>
        <w:tc>
          <w:tcPr>
            <w:tcW w:w="2438"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Excluded</w:t>
            </w:r>
          </w:p>
        </w:tc>
        <w:tc>
          <w:tcPr>
            <w:tcW w:w="2438"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Transferred to another retailer</w:t>
            </w:r>
          </w:p>
        </w:tc>
      </w:tr>
      <w:tr w:rsidR="00A72524" w:rsidRPr="00F7204C" w:rsidTr="00D0524A">
        <w:trPr>
          <w:trHeight w:val="300"/>
        </w:trPr>
        <w:tc>
          <w:tcPr>
            <w:tcW w:w="2859" w:type="dxa"/>
            <w:noWrap/>
            <w:hideMark/>
          </w:tcPr>
          <w:p w:rsidR="00A72524" w:rsidRPr="00F7204C" w:rsidRDefault="00A72524" w:rsidP="00A72524">
            <w:pPr>
              <w:rPr>
                <w:rFonts w:eastAsia="Calibri" w:cs="Times New Roman"/>
                <w:bCs/>
                <w:i/>
              </w:rPr>
            </w:pPr>
          </w:p>
        </w:tc>
        <w:tc>
          <w:tcPr>
            <w:tcW w:w="121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219" w:type="dxa"/>
          </w:tcPr>
          <w:p w:rsidR="00A72524" w:rsidRPr="00F7204C" w:rsidRDefault="00A72524" w:rsidP="00656F19">
            <w:pPr>
              <w:jc w:val="center"/>
              <w:rPr>
                <w:rFonts w:eastAsia="Calibri" w:cs="Times New Roman"/>
                <w:b/>
              </w:rPr>
            </w:pPr>
            <w:r>
              <w:rPr>
                <w:rFonts w:eastAsia="Calibri" w:cs="Times New Roman"/>
                <w:b/>
              </w:rPr>
              <w:t>2013-14</w:t>
            </w:r>
          </w:p>
        </w:tc>
        <w:tc>
          <w:tcPr>
            <w:tcW w:w="121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219" w:type="dxa"/>
          </w:tcPr>
          <w:p w:rsidR="00A72524" w:rsidRPr="00F7204C" w:rsidRDefault="00A72524" w:rsidP="00656F19">
            <w:pPr>
              <w:jc w:val="center"/>
              <w:rPr>
                <w:rFonts w:eastAsia="Calibri" w:cs="Times New Roman"/>
                <w:b/>
              </w:rPr>
            </w:pPr>
            <w:r>
              <w:rPr>
                <w:rFonts w:eastAsia="Calibri" w:cs="Times New Roman"/>
                <w:b/>
              </w:rPr>
              <w:t>2013-14</w:t>
            </w:r>
          </w:p>
        </w:tc>
        <w:tc>
          <w:tcPr>
            <w:tcW w:w="1219"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219" w:type="dxa"/>
          </w:tcPr>
          <w:p w:rsidR="00A72524" w:rsidRPr="00F7204C" w:rsidRDefault="00A72524" w:rsidP="00656F19">
            <w:pPr>
              <w:jc w:val="center"/>
              <w:rPr>
                <w:rFonts w:eastAsia="Calibri" w:cs="Times New Roman"/>
                <w:b/>
              </w:rPr>
            </w:pPr>
            <w:r>
              <w:rPr>
                <w:rFonts w:eastAsia="Calibri" w:cs="Times New Roman"/>
                <w:b/>
              </w:rPr>
              <w:t>2013-14</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656F19" w:rsidRDefault="00A72524" w:rsidP="00A72524">
            <w:pPr>
              <w:rPr>
                <w:rStyle w:val="Strong"/>
                <w:i/>
                <w:sz w:val="20"/>
                <w:szCs w:val="20"/>
              </w:rPr>
            </w:pPr>
            <w:r w:rsidRPr="00656F19">
              <w:rPr>
                <w:rStyle w:val="Strong"/>
                <w:i/>
                <w:sz w:val="20"/>
                <w:szCs w:val="20"/>
              </w:rPr>
              <w:t>South Australia</w:t>
            </w:r>
          </w:p>
        </w:tc>
        <w:tc>
          <w:tcPr>
            <w:tcW w:w="1219" w:type="dxa"/>
            <w:noWrap/>
          </w:tcPr>
          <w:p w:rsidR="00A72524" w:rsidRPr="00000FC7" w:rsidRDefault="00A72524" w:rsidP="00A72524"/>
        </w:tc>
        <w:tc>
          <w:tcPr>
            <w:tcW w:w="1219" w:type="dxa"/>
          </w:tcPr>
          <w:p w:rsidR="00A72524" w:rsidRPr="00000FC7" w:rsidRDefault="00A72524" w:rsidP="00A72524"/>
        </w:tc>
        <w:tc>
          <w:tcPr>
            <w:tcW w:w="1219" w:type="dxa"/>
            <w:noWrap/>
          </w:tcPr>
          <w:p w:rsidR="00A72524" w:rsidRPr="00000FC7" w:rsidRDefault="00A72524" w:rsidP="00A72524"/>
        </w:tc>
        <w:tc>
          <w:tcPr>
            <w:tcW w:w="1219" w:type="dxa"/>
          </w:tcPr>
          <w:p w:rsidR="00A72524" w:rsidRPr="00F7204C" w:rsidRDefault="00A72524" w:rsidP="00A72524">
            <w:pPr>
              <w:jc w:val="right"/>
              <w:rPr>
                <w:rFonts w:eastAsia="Calibri" w:cs="Times New Roman"/>
                <w:bCs/>
              </w:rPr>
            </w:pPr>
          </w:p>
        </w:tc>
        <w:tc>
          <w:tcPr>
            <w:tcW w:w="1219" w:type="dxa"/>
            <w:noWrap/>
          </w:tcPr>
          <w:p w:rsidR="00A72524" w:rsidRPr="00F7204C" w:rsidRDefault="00A72524" w:rsidP="00A72524">
            <w:pPr>
              <w:jc w:val="right"/>
              <w:rPr>
                <w:rFonts w:eastAsia="Calibri" w:cs="Times New Roman"/>
                <w:bCs/>
              </w:rPr>
            </w:pPr>
          </w:p>
        </w:tc>
        <w:tc>
          <w:tcPr>
            <w:tcW w:w="1219" w:type="dxa"/>
          </w:tcPr>
          <w:p w:rsidR="00A72524" w:rsidRPr="00F7204C" w:rsidRDefault="00A72524" w:rsidP="00A72524">
            <w:pPr>
              <w:jc w:val="right"/>
              <w:rPr>
                <w:rFonts w:eastAsia="Calibri" w:cs="Times New Roman"/>
                <w:bCs/>
              </w:rPr>
            </w:pPr>
          </w:p>
        </w:tc>
      </w:tr>
      <w:tr w:rsidR="00A72524" w:rsidRPr="00F7204C" w:rsidTr="00D0524A">
        <w:trPr>
          <w:trHeight w:val="300"/>
        </w:trPr>
        <w:tc>
          <w:tcPr>
            <w:tcW w:w="2859" w:type="dxa"/>
            <w:noWrap/>
          </w:tcPr>
          <w:p w:rsidR="00A72524" w:rsidRPr="00D0524A" w:rsidRDefault="00A72524" w:rsidP="00A72524">
            <w:pPr>
              <w:rPr>
                <w:rFonts w:eastAsia="Calibri" w:cs="Times New Roman"/>
              </w:rPr>
            </w:pPr>
            <w:r w:rsidRPr="00D0524A">
              <w:rPr>
                <w:rFonts w:eastAsia="Calibri" w:cs="Times New Roman"/>
                <w:bCs/>
              </w:rPr>
              <w:t>AGL</w:t>
            </w:r>
          </w:p>
        </w:tc>
        <w:tc>
          <w:tcPr>
            <w:tcW w:w="1219" w:type="dxa"/>
            <w:noWrap/>
          </w:tcPr>
          <w:p w:rsidR="00A72524" w:rsidRPr="005D688E" w:rsidRDefault="00A72524" w:rsidP="00656F19">
            <w:pPr>
              <w:jc w:val="center"/>
            </w:pPr>
            <w:r w:rsidRPr="005D688E">
              <w:t>18.6%</w:t>
            </w:r>
          </w:p>
        </w:tc>
        <w:tc>
          <w:tcPr>
            <w:tcW w:w="1219" w:type="dxa"/>
          </w:tcPr>
          <w:p w:rsidR="00A72524" w:rsidRPr="00336D5A" w:rsidRDefault="00A72524" w:rsidP="00656F19">
            <w:pPr>
              <w:jc w:val="center"/>
            </w:pPr>
            <w:r w:rsidRPr="00336D5A">
              <w:t>18.3%</w:t>
            </w:r>
          </w:p>
        </w:tc>
        <w:tc>
          <w:tcPr>
            <w:tcW w:w="1219" w:type="dxa"/>
            <w:noWrap/>
          </w:tcPr>
          <w:p w:rsidR="00A72524" w:rsidRPr="000324F0" w:rsidRDefault="00A72524" w:rsidP="00656F19">
            <w:pPr>
              <w:jc w:val="center"/>
            </w:pPr>
            <w:r w:rsidRPr="000324F0">
              <w:t>39.1%</w:t>
            </w:r>
          </w:p>
        </w:tc>
        <w:tc>
          <w:tcPr>
            <w:tcW w:w="1219" w:type="dxa"/>
          </w:tcPr>
          <w:p w:rsidR="00A72524" w:rsidRPr="003266E9" w:rsidRDefault="00A72524" w:rsidP="00656F19">
            <w:pPr>
              <w:jc w:val="center"/>
            </w:pPr>
            <w:r w:rsidRPr="003266E9">
              <w:t>54.8%</w:t>
            </w:r>
          </w:p>
        </w:tc>
        <w:tc>
          <w:tcPr>
            <w:tcW w:w="1219" w:type="dxa"/>
            <w:noWrap/>
          </w:tcPr>
          <w:p w:rsidR="00A72524" w:rsidRPr="00B52820" w:rsidRDefault="00A72524" w:rsidP="00656F19">
            <w:pPr>
              <w:jc w:val="center"/>
            </w:pPr>
            <w:r w:rsidRPr="00B52820">
              <w:t>42.4%</w:t>
            </w:r>
          </w:p>
        </w:tc>
        <w:tc>
          <w:tcPr>
            <w:tcW w:w="1219" w:type="dxa"/>
          </w:tcPr>
          <w:p w:rsidR="00A72524" w:rsidRPr="00D82F8D" w:rsidRDefault="00A72524" w:rsidP="00656F19">
            <w:pPr>
              <w:jc w:val="center"/>
            </w:pPr>
            <w:r w:rsidRPr="00D82F8D">
              <w:t>26.9%</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Alinta Energy</w:t>
            </w:r>
          </w:p>
        </w:tc>
        <w:tc>
          <w:tcPr>
            <w:tcW w:w="1219" w:type="dxa"/>
            <w:noWrap/>
          </w:tcPr>
          <w:p w:rsidR="00A72524" w:rsidRPr="005D688E" w:rsidRDefault="00D83D18" w:rsidP="00656F19">
            <w:pPr>
              <w:jc w:val="center"/>
            </w:pPr>
            <w:r>
              <w:t>N/A</w:t>
            </w:r>
          </w:p>
        </w:tc>
        <w:tc>
          <w:tcPr>
            <w:tcW w:w="1219" w:type="dxa"/>
          </w:tcPr>
          <w:p w:rsidR="00A72524" w:rsidRPr="00336D5A" w:rsidRDefault="00D83D18" w:rsidP="00656F19">
            <w:pPr>
              <w:jc w:val="center"/>
            </w:pPr>
            <w:r>
              <w:t>27.9%</w:t>
            </w:r>
          </w:p>
        </w:tc>
        <w:tc>
          <w:tcPr>
            <w:tcW w:w="1219" w:type="dxa"/>
            <w:noWrap/>
          </w:tcPr>
          <w:p w:rsidR="00A72524" w:rsidRPr="000324F0" w:rsidRDefault="00D83D18" w:rsidP="00656F19">
            <w:pPr>
              <w:jc w:val="center"/>
            </w:pPr>
            <w:r>
              <w:t>N/A</w:t>
            </w:r>
          </w:p>
        </w:tc>
        <w:tc>
          <w:tcPr>
            <w:tcW w:w="1219" w:type="dxa"/>
          </w:tcPr>
          <w:p w:rsidR="00A72524" w:rsidRPr="003266E9" w:rsidRDefault="00D83D18" w:rsidP="00656F19">
            <w:pPr>
              <w:jc w:val="center"/>
            </w:pPr>
            <w:r>
              <w:t>52.3%</w:t>
            </w:r>
          </w:p>
        </w:tc>
        <w:tc>
          <w:tcPr>
            <w:tcW w:w="1219" w:type="dxa"/>
            <w:noWrap/>
          </w:tcPr>
          <w:p w:rsidR="00A72524" w:rsidRPr="00B52820" w:rsidRDefault="00D83D18" w:rsidP="00656F19">
            <w:pPr>
              <w:jc w:val="center"/>
            </w:pPr>
            <w:r>
              <w:t>N/A</w:t>
            </w:r>
          </w:p>
        </w:tc>
        <w:tc>
          <w:tcPr>
            <w:tcW w:w="1219" w:type="dxa"/>
          </w:tcPr>
          <w:p w:rsidR="00A72524" w:rsidRPr="00D82F8D" w:rsidRDefault="00D83D18" w:rsidP="00656F19">
            <w:pPr>
              <w:jc w:val="center"/>
            </w:pPr>
            <w:r>
              <w:t>19.8%</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219" w:type="dxa"/>
            <w:noWrap/>
          </w:tcPr>
          <w:p w:rsidR="00A72524" w:rsidRPr="005D688E" w:rsidRDefault="00A72524" w:rsidP="00656F19">
            <w:pPr>
              <w:jc w:val="center"/>
            </w:pPr>
            <w:r w:rsidRPr="005D688E">
              <w:t>0.0%</w:t>
            </w:r>
          </w:p>
        </w:tc>
        <w:tc>
          <w:tcPr>
            <w:tcW w:w="1219" w:type="dxa"/>
          </w:tcPr>
          <w:p w:rsidR="00A72524" w:rsidRPr="00336D5A" w:rsidRDefault="00A72524" w:rsidP="00656F19">
            <w:pPr>
              <w:jc w:val="center"/>
            </w:pPr>
            <w:r w:rsidRPr="00336D5A">
              <w:t>1.9%</w:t>
            </w:r>
          </w:p>
        </w:tc>
        <w:tc>
          <w:tcPr>
            <w:tcW w:w="1219" w:type="dxa"/>
            <w:noWrap/>
          </w:tcPr>
          <w:p w:rsidR="00A72524" w:rsidRPr="000324F0" w:rsidRDefault="00A72524" w:rsidP="00656F19">
            <w:pPr>
              <w:jc w:val="center"/>
            </w:pPr>
            <w:r w:rsidRPr="000324F0">
              <w:t>74.9%</w:t>
            </w:r>
          </w:p>
        </w:tc>
        <w:tc>
          <w:tcPr>
            <w:tcW w:w="1219" w:type="dxa"/>
          </w:tcPr>
          <w:p w:rsidR="00A72524" w:rsidRPr="003266E9" w:rsidRDefault="00A72524" w:rsidP="00656F19">
            <w:pPr>
              <w:jc w:val="center"/>
            </w:pPr>
            <w:r w:rsidRPr="003266E9">
              <w:t>63.4%</w:t>
            </w:r>
          </w:p>
        </w:tc>
        <w:tc>
          <w:tcPr>
            <w:tcW w:w="1219" w:type="dxa"/>
            <w:noWrap/>
          </w:tcPr>
          <w:p w:rsidR="00A72524" w:rsidRPr="00B52820" w:rsidRDefault="00A72524" w:rsidP="00656F19">
            <w:pPr>
              <w:jc w:val="center"/>
            </w:pPr>
            <w:r w:rsidRPr="00B52820">
              <w:t>25.1%</w:t>
            </w:r>
          </w:p>
        </w:tc>
        <w:tc>
          <w:tcPr>
            <w:tcW w:w="1219" w:type="dxa"/>
          </w:tcPr>
          <w:p w:rsidR="00A72524" w:rsidRPr="00D82F8D" w:rsidRDefault="00A72524" w:rsidP="00656F19">
            <w:pPr>
              <w:jc w:val="center"/>
            </w:pPr>
            <w:r w:rsidRPr="00D82F8D">
              <w:t>34.7%</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Lumo Energy</w:t>
            </w:r>
          </w:p>
        </w:tc>
        <w:tc>
          <w:tcPr>
            <w:tcW w:w="1219" w:type="dxa"/>
            <w:noWrap/>
          </w:tcPr>
          <w:p w:rsidR="00A72524" w:rsidRPr="005D688E" w:rsidRDefault="00A72524" w:rsidP="00656F19">
            <w:pPr>
              <w:jc w:val="center"/>
            </w:pPr>
            <w:r w:rsidRPr="005D688E">
              <w:t>10.4%</w:t>
            </w:r>
          </w:p>
        </w:tc>
        <w:tc>
          <w:tcPr>
            <w:tcW w:w="1219" w:type="dxa"/>
          </w:tcPr>
          <w:p w:rsidR="00A72524" w:rsidRPr="00336D5A" w:rsidRDefault="00A72524" w:rsidP="00656F19">
            <w:pPr>
              <w:jc w:val="center"/>
            </w:pPr>
            <w:r w:rsidRPr="00336D5A">
              <w:t>12.5%</w:t>
            </w:r>
          </w:p>
        </w:tc>
        <w:tc>
          <w:tcPr>
            <w:tcW w:w="1219" w:type="dxa"/>
            <w:noWrap/>
          </w:tcPr>
          <w:p w:rsidR="00A72524" w:rsidRPr="000324F0" w:rsidRDefault="00A72524" w:rsidP="00656F19">
            <w:pPr>
              <w:jc w:val="center"/>
            </w:pPr>
            <w:r w:rsidRPr="000324F0">
              <w:t>29.2%</w:t>
            </w:r>
          </w:p>
        </w:tc>
        <w:tc>
          <w:tcPr>
            <w:tcW w:w="1219" w:type="dxa"/>
          </w:tcPr>
          <w:p w:rsidR="00A72524" w:rsidRPr="003266E9" w:rsidRDefault="00A72524" w:rsidP="00656F19">
            <w:pPr>
              <w:jc w:val="center"/>
            </w:pPr>
            <w:r w:rsidRPr="003266E9">
              <w:t>49.2%</w:t>
            </w:r>
          </w:p>
        </w:tc>
        <w:tc>
          <w:tcPr>
            <w:tcW w:w="1219" w:type="dxa"/>
            <w:noWrap/>
          </w:tcPr>
          <w:p w:rsidR="00A72524" w:rsidRPr="00B52820" w:rsidRDefault="00A72524" w:rsidP="00656F19">
            <w:pPr>
              <w:jc w:val="center"/>
            </w:pPr>
            <w:r w:rsidRPr="00B52820">
              <w:t>60.4%</w:t>
            </w:r>
          </w:p>
        </w:tc>
        <w:tc>
          <w:tcPr>
            <w:tcW w:w="1219" w:type="dxa"/>
          </w:tcPr>
          <w:p w:rsidR="00A72524" w:rsidRPr="00D82F8D" w:rsidRDefault="00A72524" w:rsidP="00656F19">
            <w:pPr>
              <w:jc w:val="center"/>
            </w:pPr>
            <w:r w:rsidRPr="00D82F8D">
              <w:t>38.3%</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Momentum Energy</w:t>
            </w:r>
          </w:p>
        </w:tc>
        <w:tc>
          <w:tcPr>
            <w:tcW w:w="1219" w:type="dxa"/>
            <w:noWrap/>
          </w:tcPr>
          <w:p w:rsidR="00A72524" w:rsidRPr="005D688E" w:rsidRDefault="00A72524" w:rsidP="00656F19">
            <w:pPr>
              <w:jc w:val="center"/>
            </w:pPr>
            <w:r w:rsidRPr="005D688E">
              <w:t>0.0%</w:t>
            </w:r>
          </w:p>
        </w:tc>
        <w:tc>
          <w:tcPr>
            <w:tcW w:w="1219" w:type="dxa"/>
          </w:tcPr>
          <w:p w:rsidR="00A72524" w:rsidRPr="00336D5A" w:rsidRDefault="00A72524" w:rsidP="00656F19">
            <w:pPr>
              <w:jc w:val="center"/>
            </w:pPr>
            <w:r w:rsidRPr="00336D5A">
              <w:t>35.5%</w:t>
            </w:r>
          </w:p>
        </w:tc>
        <w:tc>
          <w:tcPr>
            <w:tcW w:w="1219" w:type="dxa"/>
            <w:noWrap/>
          </w:tcPr>
          <w:p w:rsidR="00A72524" w:rsidRPr="000324F0" w:rsidRDefault="00A72524" w:rsidP="00656F19">
            <w:pPr>
              <w:jc w:val="center"/>
            </w:pPr>
            <w:r w:rsidRPr="000324F0">
              <w:t>87.5%</w:t>
            </w:r>
          </w:p>
        </w:tc>
        <w:tc>
          <w:tcPr>
            <w:tcW w:w="1219" w:type="dxa"/>
          </w:tcPr>
          <w:p w:rsidR="00A72524" w:rsidRPr="003266E9" w:rsidRDefault="00A72524" w:rsidP="00656F19">
            <w:pPr>
              <w:jc w:val="center"/>
            </w:pPr>
            <w:r w:rsidRPr="003266E9">
              <w:t>61.3%</w:t>
            </w:r>
          </w:p>
        </w:tc>
        <w:tc>
          <w:tcPr>
            <w:tcW w:w="1219" w:type="dxa"/>
            <w:noWrap/>
          </w:tcPr>
          <w:p w:rsidR="00A72524" w:rsidRPr="00B52820" w:rsidRDefault="00A72524" w:rsidP="00656F19">
            <w:pPr>
              <w:jc w:val="center"/>
            </w:pPr>
            <w:r w:rsidRPr="00B52820">
              <w:t>12.5%</w:t>
            </w:r>
          </w:p>
        </w:tc>
        <w:tc>
          <w:tcPr>
            <w:tcW w:w="1219" w:type="dxa"/>
          </w:tcPr>
          <w:p w:rsidR="00A72524" w:rsidRPr="00D82F8D" w:rsidRDefault="00A72524" w:rsidP="00656F19">
            <w:pPr>
              <w:jc w:val="center"/>
            </w:pPr>
            <w:r w:rsidRPr="00D82F8D">
              <w:t>3.2%</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Origin Energy</w:t>
            </w:r>
          </w:p>
        </w:tc>
        <w:tc>
          <w:tcPr>
            <w:tcW w:w="1219" w:type="dxa"/>
            <w:noWrap/>
          </w:tcPr>
          <w:p w:rsidR="00A72524" w:rsidRPr="005D688E" w:rsidRDefault="00A72524" w:rsidP="00656F19">
            <w:pPr>
              <w:jc w:val="center"/>
            </w:pPr>
            <w:r w:rsidRPr="005D688E">
              <w:t>3.4%</w:t>
            </w:r>
          </w:p>
        </w:tc>
        <w:tc>
          <w:tcPr>
            <w:tcW w:w="1219" w:type="dxa"/>
          </w:tcPr>
          <w:p w:rsidR="00A72524" w:rsidRPr="00336D5A" w:rsidRDefault="00A72524" w:rsidP="00656F19">
            <w:pPr>
              <w:jc w:val="center"/>
            </w:pPr>
            <w:r w:rsidRPr="00336D5A">
              <w:t>10.6%</w:t>
            </w:r>
          </w:p>
        </w:tc>
        <w:tc>
          <w:tcPr>
            <w:tcW w:w="1219" w:type="dxa"/>
            <w:noWrap/>
          </w:tcPr>
          <w:p w:rsidR="00A72524" w:rsidRPr="000324F0" w:rsidRDefault="00A72524" w:rsidP="00656F19">
            <w:pPr>
              <w:jc w:val="center"/>
            </w:pPr>
            <w:r w:rsidRPr="000324F0">
              <w:t>72.1%</w:t>
            </w:r>
          </w:p>
        </w:tc>
        <w:tc>
          <w:tcPr>
            <w:tcW w:w="1219" w:type="dxa"/>
          </w:tcPr>
          <w:p w:rsidR="00A72524" w:rsidRPr="003266E9" w:rsidRDefault="00A72524" w:rsidP="00656F19">
            <w:pPr>
              <w:jc w:val="center"/>
            </w:pPr>
            <w:r w:rsidRPr="003266E9">
              <w:t>49.3%</w:t>
            </w:r>
          </w:p>
        </w:tc>
        <w:tc>
          <w:tcPr>
            <w:tcW w:w="1219" w:type="dxa"/>
            <w:noWrap/>
          </w:tcPr>
          <w:p w:rsidR="00A72524" w:rsidRPr="00B52820" w:rsidRDefault="00A72524" w:rsidP="00656F19">
            <w:pPr>
              <w:jc w:val="center"/>
            </w:pPr>
            <w:r w:rsidRPr="00B52820">
              <w:t>24.5%</w:t>
            </w:r>
          </w:p>
        </w:tc>
        <w:tc>
          <w:tcPr>
            <w:tcW w:w="1219" w:type="dxa"/>
          </w:tcPr>
          <w:p w:rsidR="00A72524" w:rsidRPr="00D82F8D" w:rsidRDefault="00A72524" w:rsidP="00656F19">
            <w:pPr>
              <w:jc w:val="center"/>
            </w:pPr>
            <w:r w:rsidRPr="00D82F8D">
              <w:t>40.1%</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Powerdirect</w:t>
            </w:r>
          </w:p>
        </w:tc>
        <w:tc>
          <w:tcPr>
            <w:tcW w:w="1219" w:type="dxa"/>
            <w:noWrap/>
          </w:tcPr>
          <w:p w:rsidR="00A72524" w:rsidRPr="005D688E" w:rsidRDefault="00A72524" w:rsidP="00656F19">
            <w:pPr>
              <w:jc w:val="center"/>
            </w:pPr>
            <w:r w:rsidRPr="005D688E">
              <w:t>33.3%</w:t>
            </w:r>
          </w:p>
        </w:tc>
        <w:tc>
          <w:tcPr>
            <w:tcW w:w="1219" w:type="dxa"/>
          </w:tcPr>
          <w:p w:rsidR="00A72524" w:rsidRPr="00336D5A" w:rsidRDefault="00A72524" w:rsidP="00656F19">
            <w:pPr>
              <w:jc w:val="center"/>
            </w:pPr>
            <w:r w:rsidRPr="00336D5A">
              <w:t>19.6%</w:t>
            </w:r>
          </w:p>
        </w:tc>
        <w:tc>
          <w:tcPr>
            <w:tcW w:w="1219" w:type="dxa"/>
            <w:noWrap/>
          </w:tcPr>
          <w:p w:rsidR="00A72524" w:rsidRPr="000324F0" w:rsidRDefault="00A72524" w:rsidP="00656F19">
            <w:pPr>
              <w:jc w:val="center"/>
            </w:pPr>
            <w:r w:rsidRPr="000324F0">
              <w:t>66.7%</w:t>
            </w:r>
          </w:p>
        </w:tc>
        <w:tc>
          <w:tcPr>
            <w:tcW w:w="1219" w:type="dxa"/>
          </w:tcPr>
          <w:p w:rsidR="00A72524" w:rsidRPr="003266E9" w:rsidRDefault="00A72524" w:rsidP="00656F19">
            <w:pPr>
              <w:jc w:val="center"/>
            </w:pPr>
            <w:r w:rsidRPr="003266E9">
              <w:t>80.4%</w:t>
            </w:r>
          </w:p>
        </w:tc>
        <w:tc>
          <w:tcPr>
            <w:tcW w:w="1219" w:type="dxa"/>
            <w:noWrap/>
          </w:tcPr>
          <w:p w:rsidR="00A72524" w:rsidRPr="00B52820" w:rsidRDefault="00A72524" w:rsidP="00656F19">
            <w:pPr>
              <w:jc w:val="center"/>
            </w:pPr>
            <w:r w:rsidRPr="00B52820">
              <w:t>0.0%</w:t>
            </w:r>
          </w:p>
        </w:tc>
        <w:tc>
          <w:tcPr>
            <w:tcW w:w="1219" w:type="dxa"/>
          </w:tcPr>
          <w:p w:rsidR="00A72524" w:rsidRPr="00D82F8D" w:rsidRDefault="00A72524" w:rsidP="00656F19">
            <w:pPr>
              <w:jc w:val="center"/>
            </w:pPr>
            <w:r w:rsidRPr="00D82F8D">
              <w:t>0.0%</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Red Energy</w:t>
            </w:r>
          </w:p>
        </w:tc>
        <w:tc>
          <w:tcPr>
            <w:tcW w:w="1219" w:type="dxa"/>
            <w:noWrap/>
          </w:tcPr>
          <w:p w:rsidR="00A72524" w:rsidRPr="005D688E" w:rsidRDefault="00A72524" w:rsidP="00656F19">
            <w:pPr>
              <w:jc w:val="center"/>
            </w:pPr>
            <w:r w:rsidRPr="005D688E">
              <w:t>15.0%</w:t>
            </w:r>
          </w:p>
        </w:tc>
        <w:tc>
          <w:tcPr>
            <w:tcW w:w="1219" w:type="dxa"/>
          </w:tcPr>
          <w:p w:rsidR="00A72524" w:rsidRPr="00336D5A" w:rsidRDefault="00A72524" w:rsidP="00656F19">
            <w:pPr>
              <w:jc w:val="center"/>
            </w:pPr>
            <w:r w:rsidRPr="00336D5A">
              <w:t>19.2%</w:t>
            </w:r>
          </w:p>
        </w:tc>
        <w:tc>
          <w:tcPr>
            <w:tcW w:w="1219" w:type="dxa"/>
            <w:noWrap/>
          </w:tcPr>
          <w:p w:rsidR="00A72524" w:rsidRPr="000324F0" w:rsidRDefault="00A72524" w:rsidP="00656F19">
            <w:pPr>
              <w:jc w:val="center"/>
            </w:pPr>
            <w:r w:rsidRPr="000324F0">
              <w:t>40.0%</w:t>
            </w:r>
          </w:p>
        </w:tc>
        <w:tc>
          <w:tcPr>
            <w:tcW w:w="1219" w:type="dxa"/>
          </w:tcPr>
          <w:p w:rsidR="00A72524" w:rsidRPr="003266E9" w:rsidRDefault="00A72524" w:rsidP="00656F19">
            <w:pPr>
              <w:jc w:val="center"/>
            </w:pPr>
            <w:r w:rsidRPr="003266E9">
              <w:t>63.5%</w:t>
            </w:r>
          </w:p>
        </w:tc>
        <w:tc>
          <w:tcPr>
            <w:tcW w:w="1219" w:type="dxa"/>
            <w:noWrap/>
          </w:tcPr>
          <w:p w:rsidR="00A72524" w:rsidRPr="00B52820" w:rsidRDefault="00A72524" w:rsidP="00656F19">
            <w:pPr>
              <w:jc w:val="center"/>
            </w:pPr>
            <w:r w:rsidRPr="00B52820">
              <w:t>45.0%</w:t>
            </w:r>
          </w:p>
        </w:tc>
        <w:tc>
          <w:tcPr>
            <w:tcW w:w="1219" w:type="dxa"/>
          </w:tcPr>
          <w:p w:rsidR="00A72524" w:rsidRPr="00D82F8D" w:rsidRDefault="00A72524" w:rsidP="00656F19">
            <w:pPr>
              <w:jc w:val="center"/>
            </w:pPr>
            <w:r w:rsidRPr="00D82F8D">
              <w:t>17.3%</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Simply Energy</w:t>
            </w:r>
          </w:p>
        </w:tc>
        <w:tc>
          <w:tcPr>
            <w:tcW w:w="1219" w:type="dxa"/>
            <w:noWrap/>
          </w:tcPr>
          <w:p w:rsidR="00A72524" w:rsidRPr="005D688E" w:rsidRDefault="00A72524" w:rsidP="00656F19">
            <w:pPr>
              <w:jc w:val="center"/>
            </w:pPr>
            <w:r w:rsidRPr="005D688E">
              <w:t>21.1%</w:t>
            </w:r>
          </w:p>
        </w:tc>
        <w:tc>
          <w:tcPr>
            <w:tcW w:w="1219" w:type="dxa"/>
          </w:tcPr>
          <w:p w:rsidR="00A72524" w:rsidRPr="00336D5A" w:rsidRDefault="00A72524" w:rsidP="00656F19">
            <w:pPr>
              <w:jc w:val="center"/>
            </w:pPr>
            <w:r w:rsidRPr="00336D5A">
              <w:t>18.7%</w:t>
            </w:r>
          </w:p>
        </w:tc>
        <w:tc>
          <w:tcPr>
            <w:tcW w:w="1219" w:type="dxa"/>
            <w:noWrap/>
          </w:tcPr>
          <w:p w:rsidR="00A72524" w:rsidRPr="000324F0" w:rsidRDefault="00A72524" w:rsidP="00656F19">
            <w:pPr>
              <w:jc w:val="center"/>
            </w:pPr>
            <w:r w:rsidRPr="000324F0">
              <w:t>45.3%</w:t>
            </w:r>
          </w:p>
        </w:tc>
        <w:tc>
          <w:tcPr>
            <w:tcW w:w="1219" w:type="dxa"/>
          </w:tcPr>
          <w:p w:rsidR="00A72524" w:rsidRPr="003266E9" w:rsidRDefault="00A72524" w:rsidP="00656F19">
            <w:pPr>
              <w:jc w:val="center"/>
            </w:pPr>
            <w:r w:rsidRPr="003266E9">
              <w:t>50.6%</w:t>
            </w:r>
          </w:p>
        </w:tc>
        <w:tc>
          <w:tcPr>
            <w:tcW w:w="1219" w:type="dxa"/>
            <w:noWrap/>
          </w:tcPr>
          <w:p w:rsidR="00A72524" w:rsidRPr="00B52820" w:rsidRDefault="00A72524" w:rsidP="00656F19">
            <w:pPr>
              <w:jc w:val="center"/>
            </w:pPr>
            <w:r w:rsidRPr="00B52820">
              <w:t>33.6%</w:t>
            </w:r>
          </w:p>
        </w:tc>
        <w:tc>
          <w:tcPr>
            <w:tcW w:w="1219" w:type="dxa"/>
          </w:tcPr>
          <w:p w:rsidR="00A72524" w:rsidRPr="00D82F8D" w:rsidRDefault="00A72524" w:rsidP="00656F19">
            <w:pPr>
              <w:jc w:val="center"/>
            </w:pPr>
            <w:r w:rsidRPr="00D82F8D">
              <w:t>30.6%</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F7204C" w:rsidRDefault="00A72524" w:rsidP="00A72524">
            <w:pPr>
              <w:rPr>
                <w:rFonts w:eastAsia="Calibri" w:cs="Times New Roman"/>
                <w:bCs/>
                <w:i/>
              </w:rPr>
            </w:pPr>
            <w:r w:rsidRPr="00F7204C">
              <w:rPr>
                <w:rFonts w:eastAsia="Calibri" w:cs="Times New Roman"/>
                <w:bCs/>
                <w:i/>
              </w:rPr>
              <w:t>ACT</w:t>
            </w:r>
          </w:p>
        </w:tc>
        <w:tc>
          <w:tcPr>
            <w:tcW w:w="1219" w:type="dxa"/>
            <w:noWrap/>
          </w:tcPr>
          <w:p w:rsidR="00A72524" w:rsidRPr="005D688E" w:rsidRDefault="00A72524" w:rsidP="00656F19">
            <w:pPr>
              <w:jc w:val="center"/>
            </w:pPr>
          </w:p>
        </w:tc>
        <w:tc>
          <w:tcPr>
            <w:tcW w:w="1219" w:type="dxa"/>
          </w:tcPr>
          <w:p w:rsidR="00A72524" w:rsidRPr="00336D5A" w:rsidRDefault="00A72524" w:rsidP="00656F19">
            <w:pPr>
              <w:jc w:val="center"/>
            </w:pPr>
          </w:p>
        </w:tc>
        <w:tc>
          <w:tcPr>
            <w:tcW w:w="1219" w:type="dxa"/>
            <w:noWrap/>
          </w:tcPr>
          <w:p w:rsidR="00A72524" w:rsidRPr="000324F0" w:rsidRDefault="00A72524" w:rsidP="00656F19">
            <w:pPr>
              <w:jc w:val="center"/>
            </w:pPr>
          </w:p>
        </w:tc>
        <w:tc>
          <w:tcPr>
            <w:tcW w:w="1219" w:type="dxa"/>
          </w:tcPr>
          <w:p w:rsidR="00A72524" w:rsidRPr="003266E9" w:rsidRDefault="00A72524" w:rsidP="00656F19">
            <w:pPr>
              <w:jc w:val="center"/>
            </w:pPr>
          </w:p>
        </w:tc>
        <w:tc>
          <w:tcPr>
            <w:tcW w:w="1219" w:type="dxa"/>
            <w:noWrap/>
          </w:tcPr>
          <w:p w:rsidR="00A72524" w:rsidRPr="00B52820" w:rsidRDefault="00A72524" w:rsidP="00656F19">
            <w:pPr>
              <w:jc w:val="center"/>
            </w:pPr>
          </w:p>
        </w:tc>
        <w:tc>
          <w:tcPr>
            <w:tcW w:w="1219" w:type="dxa"/>
          </w:tcPr>
          <w:p w:rsidR="00A72524" w:rsidRPr="00D82F8D" w:rsidRDefault="00A72524" w:rsidP="00656F19">
            <w:pPr>
              <w:jc w:val="center"/>
            </w:pP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ActewAGL</w:t>
            </w:r>
          </w:p>
        </w:tc>
        <w:tc>
          <w:tcPr>
            <w:tcW w:w="1219" w:type="dxa"/>
            <w:noWrap/>
          </w:tcPr>
          <w:p w:rsidR="00A72524" w:rsidRPr="005D688E" w:rsidRDefault="00A72524" w:rsidP="00656F19">
            <w:pPr>
              <w:jc w:val="center"/>
            </w:pPr>
            <w:r w:rsidRPr="005D688E">
              <w:t>36.0%</w:t>
            </w:r>
          </w:p>
        </w:tc>
        <w:tc>
          <w:tcPr>
            <w:tcW w:w="1219" w:type="dxa"/>
          </w:tcPr>
          <w:p w:rsidR="00A72524" w:rsidRPr="00336D5A" w:rsidRDefault="00A72524" w:rsidP="00656F19">
            <w:pPr>
              <w:jc w:val="center"/>
            </w:pPr>
            <w:r w:rsidRPr="00336D5A">
              <w:t>35.8%</w:t>
            </w:r>
          </w:p>
        </w:tc>
        <w:tc>
          <w:tcPr>
            <w:tcW w:w="1219" w:type="dxa"/>
            <w:noWrap/>
          </w:tcPr>
          <w:p w:rsidR="00A72524" w:rsidRPr="00BE32D3" w:rsidRDefault="00A72524" w:rsidP="00656F19">
            <w:pPr>
              <w:jc w:val="center"/>
            </w:pPr>
            <w:r w:rsidRPr="00BE32D3">
              <w:t>40.3%</w:t>
            </w:r>
          </w:p>
        </w:tc>
        <w:tc>
          <w:tcPr>
            <w:tcW w:w="1219" w:type="dxa"/>
          </w:tcPr>
          <w:p w:rsidR="00A72524" w:rsidRPr="003266E9" w:rsidRDefault="00A72524" w:rsidP="00656F19">
            <w:pPr>
              <w:jc w:val="center"/>
            </w:pPr>
            <w:r w:rsidRPr="003266E9">
              <w:t>35.1%</w:t>
            </w:r>
          </w:p>
        </w:tc>
        <w:tc>
          <w:tcPr>
            <w:tcW w:w="1219" w:type="dxa"/>
            <w:noWrap/>
          </w:tcPr>
          <w:p w:rsidR="00A72524" w:rsidRPr="00BD1DCF" w:rsidRDefault="00A72524" w:rsidP="00656F19">
            <w:pPr>
              <w:jc w:val="center"/>
            </w:pPr>
            <w:r w:rsidRPr="00BD1DCF">
              <w:t>23.7%</w:t>
            </w:r>
          </w:p>
        </w:tc>
        <w:tc>
          <w:tcPr>
            <w:tcW w:w="1219" w:type="dxa"/>
          </w:tcPr>
          <w:p w:rsidR="00A72524" w:rsidRPr="00D82F8D" w:rsidRDefault="00A72524" w:rsidP="00656F19">
            <w:pPr>
              <w:jc w:val="center"/>
            </w:pPr>
            <w:r w:rsidRPr="00D82F8D">
              <w:t>29.1%</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219" w:type="dxa"/>
            <w:noWrap/>
          </w:tcPr>
          <w:p w:rsidR="00A72524" w:rsidRPr="005D688E" w:rsidRDefault="00A72524" w:rsidP="00656F19">
            <w:pPr>
              <w:jc w:val="center"/>
            </w:pPr>
            <w:r w:rsidRPr="005D688E">
              <w:t>43.8%</w:t>
            </w:r>
          </w:p>
        </w:tc>
        <w:tc>
          <w:tcPr>
            <w:tcW w:w="1219" w:type="dxa"/>
          </w:tcPr>
          <w:p w:rsidR="00A72524" w:rsidRPr="00336D5A" w:rsidRDefault="00A72524" w:rsidP="00656F19">
            <w:pPr>
              <w:jc w:val="center"/>
            </w:pPr>
            <w:r w:rsidRPr="00336D5A">
              <w:t>37.1%</w:t>
            </w:r>
          </w:p>
        </w:tc>
        <w:tc>
          <w:tcPr>
            <w:tcW w:w="1219" w:type="dxa"/>
            <w:noWrap/>
          </w:tcPr>
          <w:p w:rsidR="00A72524" w:rsidRPr="00BE32D3" w:rsidRDefault="00A72524" w:rsidP="00656F19">
            <w:pPr>
              <w:jc w:val="center"/>
            </w:pPr>
            <w:r w:rsidRPr="00BE32D3">
              <w:t>56.3%</w:t>
            </w:r>
          </w:p>
        </w:tc>
        <w:tc>
          <w:tcPr>
            <w:tcW w:w="1219" w:type="dxa"/>
          </w:tcPr>
          <w:p w:rsidR="00A72524" w:rsidRPr="003266E9" w:rsidRDefault="00A72524" w:rsidP="00656F19">
            <w:pPr>
              <w:jc w:val="center"/>
            </w:pPr>
            <w:r w:rsidRPr="003266E9">
              <w:t>48.6%</w:t>
            </w:r>
          </w:p>
        </w:tc>
        <w:tc>
          <w:tcPr>
            <w:tcW w:w="1219" w:type="dxa"/>
            <w:noWrap/>
          </w:tcPr>
          <w:p w:rsidR="00A72524" w:rsidRPr="00BD1DCF" w:rsidRDefault="00A72524" w:rsidP="00656F19">
            <w:pPr>
              <w:jc w:val="center"/>
            </w:pPr>
            <w:r w:rsidRPr="00BD1DCF">
              <w:t>0.0%</w:t>
            </w:r>
          </w:p>
        </w:tc>
        <w:tc>
          <w:tcPr>
            <w:tcW w:w="1219" w:type="dxa"/>
          </w:tcPr>
          <w:p w:rsidR="00A72524" w:rsidRPr="00D82F8D" w:rsidRDefault="00A72524" w:rsidP="00656F19">
            <w:pPr>
              <w:jc w:val="center"/>
            </w:pPr>
            <w:r w:rsidRPr="00D82F8D">
              <w:t>14.3%</w:t>
            </w:r>
          </w:p>
        </w:tc>
      </w:tr>
      <w:tr w:rsidR="00A72524" w:rsidRPr="00F7204C" w:rsidTr="00D0524A">
        <w:trPr>
          <w:trHeight w:val="300"/>
        </w:trPr>
        <w:tc>
          <w:tcPr>
            <w:tcW w:w="2859" w:type="dxa"/>
            <w:noWrap/>
            <w:hideMark/>
          </w:tcPr>
          <w:p w:rsidR="00A72524" w:rsidRPr="00656F19" w:rsidRDefault="00A72524" w:rsidP="00A72524">
            <w:pPr>
              <w:rPr>
                <w:rStyle w:val="Strong"/>
                <w:i/>
                <w:sz w:val="20"/>
                <w:szCs w:val="20"/>
              </w:rPr>
            </w:pPr>
            <w:r w:rsidRPr="00656F19">
              <w:rPr>
                <w:rStyle w:val="Strong"/>
                <w:i/>
                <w:sz w:val="20"/>
                <w:szCs w:val="20"/>
              </w:rPr>
              <w:t>Tasmania</w:t>
            </w:r>
          </w:p>
        </w:tc>
        <w:tc>
          <w:tcPr>
            <w:tcW w:w="1219" w:type="dxa"/>
            <w:noWrap/>
          </w:tcPr>
          <w:p w:rsidR="00A72524" w:rsidRPr="005D688E" w:rsidRDefault="00A72524" w:rsidP="00656F19">
            <w:pPr>
              <w:jc w:val="center"/>
            </w:pPr>
          </w:p>
        </w:tc>
        <w:tc>
          <w:tcPr>
            <w:tcW w:w="1219" w:type="dxa"/>
          </w:tcPr>
          <w:p w:rsidR="00A72524" w:rsidRPr="00336D5A" w:rsidRDefault="00A72524" w:rsidP="00656F19">
            <w:pPr>
              <w:jc w:val="center"/>
            </w:pPr>
          </w:p>
        </w:tc>
        <w:tc>
          <w:tcPr>
            <w:tcW w:w="1219" w:type="dxa"/>
            <w:noWrap/>
          </w:tcPr>
          <w:p w:rsidR="00A72524" w:rsidRDefault="00A72524" w:rsidP="00656F19">
            <w:pPr>
              <w:jc w:val="center"/>
            </w:pPr>
          </w:p>
        </w:tc>
        <w:tc>
          <w:tcPr>
            <w:tcW w:w="1219" w:type="dxa"/>
          </w:tcPr>
          <w:p w:rsidR="00A72524" w:rsidRPr="003266E9" w:rsidRDefault="00A72524" w:rsidP="00656F19">
            <w:pPr>
              <w:jc w:val="center"/>
            </w:pPr>
          </w:p>
        </w:tc>
        <w:tc>
          <w:tcPr>
            <w:tcW w:w="1219" w:type="dxa"/>
            <w:noWrap/>
          </w:tcPr>
          <w:p w:rsidR="00A72524" w:rsidRDefault="00A72524" w:rsidP="00656F19">
            <w:pPr>
              <w:jc w:val="center"/>
            </w:pPr>
          </w:p>
        </w:tc>
        <w:tc>
          <w:tcPr>
            <w:tcW w:w="1219" w:type="dxa"/>
          </w:tcPr>
          <w:p w:rsidR="00A72524" w:rsidRPr="00D82F8D" w:rsidRDefault="00A72524" w:rsidP="00656F19">
            <w:pPr>
              <w:jc w:val="center"/>
            </w:pP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Aurora</w:t>
            </w:r>
          </w:p>
        </w:tc>
        <w:tc>
          <w:tcPr>
            <w:tcW w:w="1219" w:type="dxa"/>
            <w:noWrap/>
          </w:tcPr>
          <w:p w:rsidR="00A72524" w:rsidRPr="005D688E" w:rsidRDefault="00A72524" w:rsidP="00656F19">
            <w:pPr>
              <w:jc w:val="center"/>
            </w:pPr>
            <w:r w:rsidRPr="005D688E">
              <w:t>12.8%</w:t>
            </w:r>
          </w:p>
        </w:tc>
        <w:tc>
          <w:tcPr>
            <w:tcW w:w="1219" w:type="dxa"/>
          </w:tcPr>
          <w:p w:rsidR="00A72524" w:rsidRPr="00336D5A" w:rsidRDefault="00A72524" w:rsidP="00656F19">
            <w:pPr>
              <w:jc w:val="center"/>
            </w:pPr>
            <w:r w:rsidRPr="00336D5A">
              <w:t>19.2%</w:t>
            </w:r>
          </w:p>
        </w:tc>
        <w:tc>
          <w:tcPr>
            <w:tcW w:w="1219" w:type="dxa"/>
            <w:noWrap/>
          </w:tcPr>
          <w:p w:rsidR="00A72524" w:rsidRDefault="00A72524" w:rsidP="00656F19">
            <w:pPr>
              <w:jc w:val="center"/>
            </w:pPr>
            <w:r w:rsidRPr="00CA2664">
              <w:t>61.5%</w:t>
            </w:r>
          </w:p>
        </w:tc>
        <w:tc>
          <w:tcPr>
            <w:tcW w:w="1219" w:type="dxa"/>
          </w:tcPr>
          <w:p w:rsidR="00A72524" w:rsidRPr="003266E9" w:rsidRDefault="00A72524" w:rsidP="00656F19">
            <w:pPr>
              <w:jc w:val="center"/>
            </w:pPr>
            <w:r w:rsidRPr="003266E9">
              <w:t>62.4%</w:t>
            </w:r>
          </w:p>
        </w:tc>
        <w:tc>
          <w:tcPr>
            <w:tcW w:w="1219" w:type="dxa"/>
            <w:noWrap/>
          </w:tcPr>
          <w:p w:rsidR="00A72524" w:rsidRPr="00F7204C" w:rsidRDefault="00A72524" w:rsidP="00656F19">
            <w:pPr>
              <w:jc w:val="center"/>
              <w:rPr>
                <w:rFonts w:eastAsia="Calibri" w:cs="Times New Roman"/>
              </w:rPr>
            </w:pPr>
            <w:r w:rsidRPr="00CA2664">
              <w:t>25.6%</w:t>
            </w:r>
          </w:p>
        </w:tc>
        <w:tc>
          <w:tcPr>
            <w:tcW w:w="1219" w:type="dxa"/>
          </w:tcPr>
          <w:p w:rsidR="00A72524" w:rsidRPr="00D82F8D" w:rsidRDefault="00A72524" w:rsidP="00656F19">
            <w:pPr>
              <w:jc w:val="center"/>
            </w:pPr>
            <w:r w:rsidRPr="00D82F8D">
              <w:t>18.4%</w:t>
            </w:r>
          </w:p>
        </w:tc>
      </w:tr>
      <w:tr w:rsidR="00A72524" w:rsidRPr="00F7204C" w:rsidTr="00D0524A">
        <w:trPr>
          <w:trHeight w:val="300"/>
        </w:trPr>
        <w:tc>
          <w:tcPr>
            <w:tcW w:w="2859" w:type="dxa"/>
            <w:noWrap/>
            <w:hideMark/>
          </w:tcPr>
          <w:p w:rsidR="00A72524" w:rsidRPr="00656F19" w:rsidRDefault="00A72524" w:rsidP="00A72524">
            <w:pPr>
              <w:rPr>
                <w:rStyle w:val="Strong"/>
                <w:i/>
                <w:sz w:val="20"/>
                <w:szCs w:val="20"/>
              </w:rPr>
            </w:pPr>
            <w:r w:rsidRPr="00656F19">
              <w:rPr>
                <w:rStyle w:val="Strong"/>
                <w:i/>
                <w:sz w:val="20"/>
                <w:szCs w:val="20"/>
              </w:rPr>
              <w:t>NSW</w:t>
            </w:r>
          </w:p>
        </w:tc>
        <w:tc>
          <w:tcPr>
            <w:tcW w:w="1219" w:type="dxa"/>
            <w:noWrap/>
          </w:tcPr>
          <w:p w:rsidR="00A72524" w:rsidRPr="005D688E" w:rsidRDefault="00A72524" w:rsidP="00656F19">
            <w:pPr>
              <w:jc w:val="center"/>
            </w:pPr>
          </w:p>
        </w:tc>
        <w:tc>
          <w:tcPr>
            <w:tcW w:w="1219" w:type="dxa"/>
          </w:tcPr>
          <w:p w:rsidR="00A72524" w:rsidRPr="00336D5A" w:rsidRDefault="00A72524" w:rsidP="00656F19">
            <w:pPr>
              <w:jc w:val="center"/>
            </w:pPr>
          </w:p>
        </w:tc>
        <w:tc>
          <w:tcPr>
            <w:tcW w:w="1219" w:type="dxa"/>
            <w:noWrap/>
          </w:tcPr>
          <w:p w:rsidR="00A72524" w:rsidRPr="00000FC7" w:rsidRDefault="00A72524" w:rsidP="00656F19">
            <w:pPr>
              <w:jc w:val="center"/>
            </w:pPr>
          </w:p>
        </w:tc>
        <w:tc>
          <w:tcPr>
            <w:tcW w:w="1219" w:type="dxa"/>
          </w:tcPr>
          <w:p w:rsidR="00A72524" w:rsidRPr="003266E9" w:rsidRDefault="00A72524" w:rsidP="00656F19">
            <w:pPr>
              <w:jc w:val="center"/>
            </w:pP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ActewAGL</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9.4%</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39.5%</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51.0%</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AGL</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14.2%</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53.5%</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32.3%</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Click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20.3%</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74.7%</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4.9%</w:t>
            </w:r>
          </w:p>
        </w:tc>
      </w:tr>
      <w:tr w:rsidR="00A72524" w:rsidRPr="00F7204C" w:rsidTr="00D0524A">
        <w:trPr>
          <w:trHeight w:val="300"/>
        </w:trPr>
        <w:tc>
          <w:tcPr>
            <w:tcW w:w="2859" w:type="dxa"/>
            <w:noWrap/>
          </w:tcPr>
          <w:p w:rsidR="00A72524" w:rsidRPr="00D0524A" w:rsidRDefault="00A72524" w:rsidP="00A72524">
            <w:pPr>
              <w:rPr>
                <w:rFonts w:eastAsia="Calibri" w:cs="Times New Roman"/>
              </w:rPr>
            </w:pPr>
            <w:r w:rsidRPr="00D0524A">
              <w:rPr>
                <w:rFonts w:eastAsia="Calibri" w:cs="Times New Roman"/>
              </w:rPr>
              <w:t>Australian Power &amp; Gas</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60.0%</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0.0%</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40.0%</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Dodo Power &amp; Gas</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13.8%</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44.8%</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41.4%</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37.7%</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58.0%</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4.3%</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Lumo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4.0%</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59.7%</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36.4%</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Momentum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14.6%</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82.9%</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2.4%</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Origin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16.7%</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53.9%</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29.4%</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lastRenderedPageBreak/>
              <w:t>Powerdirect</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16.7%</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83.3%</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0.0%</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CE32E9">
            <w:pPr>
              <w:rPr>
                <w:rFonts w:eastAsia="Calibri" w:cs="Times New Roman"/>
                <w:bCs/>
              </w:rPr>
            </w:pPr>
            <w:r w:rsidRPr="00D0524A">
              <w:rPr>
                <w:rFonts w:eastAsia="Calibri" w:cs="Times New Roman"/>
                <w:bCs/>
              </w:rPr>
              <w:t>Q</w:t>
            </w:r>
            <w:r w:rsidR="00CE32E9">
              <w:rPr>
                <w:rFonts w:eastAsia="Calibri" w:cs="Times New Roman"/>
                <w:bCs/>
              </w:rPr>
              <w:t>E</w:t>
            </w:r>
            <w:r w:rsidRPr="00D0524A">
              <w:rPr>
                <w:rFonts w:eastAsia="Calibri" w:cs="Times New Roman"/>
                <w:bCs/>
              </w:rPr>
              <w:t>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50.0%</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0.0%</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50.0%</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Red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19.1%</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62.3%</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18.6%</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Sanctuary Energy</w:t>
            </w:r>
          </w:p>
        </w:tc>
        <w:tc>
          <w:tcPr>
            <w:tcW w:w="1219" w:type="dxa"/>
            <w:noWrap/>
          </w:tcPr>
          <w:p w:rsidR="00A72524" w:rsidRPr="00946FE7" w:rsidRDefault="00A72524" w:rsidP="00656F19">
            <w:pPr>
              <w:jc w:val="center"/>
            </w:pPr>
          </w:p>
        </w:tc>
        <w:tc>
          <w:tcPr>
            <w:tcW w:w="1219" w:type="dxa"/>
          </w:tcPr>
          <w:p w:rsidR="00A72524" w:rsidRPr="00336D5A" w:rsidRDefault="00A72524" w:rsidP="00656F19">
            <w:pPr>
              <w:jc w:val="center"/>
            </w:pPr>
            <w:r w:rsidRPr="00336D5A">
              <w:t>100.0%</w:t>
            </w:r>
          </w:p>
        </w:tc>
        <w:tc>
          <w:tcPr>
            <w:tcW w:w="1219" w:type="dxa"/>
            <w:noWrap/>
          </w:tcPr>
          <w:p w:rsidR="00A72524" w:rsidRPr="00946FE7" w:rsidRDefault="00A72524" w:rsidP="00656F19">
            <w:pPr>
              <w:jc w:val="center"/>
            </w:pPr>
          </w:p>
        </w:tc>
        <w:tc>
          <w:tcPr>
            <w:tcW w:w="1219" w:type="dxa"/>
          </w:tcPr>
          <w:p w:rsidR="00A72524" w:rsidRPr="003266E9" w:rsidRDefault="00A72524" w:rsidP="00656F19">
            <w:pPr>
              <w:jc w:val="center"/>
            </w:pPr>
            <w:r w:rsidRPr="003266E9">
              <w:t>0.0%</w:t>
            </w:r>
          </w:p>
        </w:tc>
        <w:tc>
          <w:tcPr>
            <w:tcW w:w="1219" w:type="dxa"/>
            <w:noWrap/>
          </w:tcPr>
          <w:p w:rsidR="00A72524" w:rsidRPr="00F7204C" w:rsidRDefault="00A72524" w:rsidP="00656F19">
            <w:pPr>
              <w:jc w:val="center"/>
              <w:rPr>
                <w:rFonts w:eastAsia="Calibri" w:cs="Times New Roman"/>
              </w:rPr>
            </w:pPr>
          </w:p>
        </w:tc>
        <w:tc>
          <w:tcPr>
            <w:tcW w:w="1219" w:type="dxa"/>
          </w:tcPr>
          <w:p w:rsidR="00A72524" w:rsidRPr="00D82F8D" w:rsidRDefault="00A72524" w:rsidP="00656F19">
            <w:pPr>
              <w:jc w:val="center"/>
            </w:pPr>
            <w:r w:rsidRPr="00D82F8D">
              <w:t>0.0%</w:t>
            </w:r>
          </w:p>
        </w:tc>
      </w:tr>
      <w:tr w:rsidR="00A72524" w:rsidRPr="00F7204C" w:rsidTr="00D0524A">
        <w:trPr>
          <w:trHeight w:val="300"/>
        </w:trPr>
        <w:tc>
          <w:tcPr>
            <w:tcW w:w="2859" w:type="dxa"/>
            <w:noWrap/>
            <w:hideMark/>
          </w:tcPr>
          <w:p w:rsidR="00A72524" w:rsidRPr="00D0524A" w:rsidRDefault="00A72524" w:rsidP="00A72524">
            <w:pPr>
              <w:rPr>
                <w:rFonts w:eastAsia="Calibri" w:cs="Times New Roman"/>
                <w:bCs/>
              </w:rPr>
            </w:pPr>
            <w:r w:rsidRPr="00D0524A">
              <w:rPr>
                <w:rFonts w:eastAsia="Calibri" w:cs="Times New Roman"/>
                <w:bCs/>
              </w:rPr>
              <w:t>Simply Energy</w:t>
            </w:r>
          </w:p>
        </w:tc>
        <w:tc>
          <w:tcPr>
            <w:tcW w:w="1219" w:type="dxa"/>
            <w:noWrap/>
          </w:tcPr>
          <w:p w:rsidR="00A72524" w:rsidRPr="00946FE7" w:rsidRDefault="00A72524" w:rsidP="00656F19">
            <w:pPr>
              <w:jc w:val="center"/>
            </w:pPr>
          </w:p>
        </w:tc>
        <w:tc>
          <w:tcPr>
            <w:tcW w:w="1219" w:type="dxa"/>
          </w:tcPr>
          <w:p w:rsidR="00A72524" w:rsidRDefault="00A72524" w:rsidP="00656F19">
            <w:pPr>
              <w:jc w:val="center"/>
            </w:pPr>
            <w:r w:rsidRPr="00336D5A">
              <w:t>6.7%</w:t>
            </w:r>
          </w:p>
        </w:tc>
        <w:tc>
          <w:tcPr>
            <w:tcW w:w="1219" w:type="dxa"/>
            <w:noWrap/>
          </w:tcPr>
          <w:p w:rsidR="00A72524" w:rsidRDefault="00A72524" w:rsidP="00656F19">
            <w:pPr>
              <w:jc w:val="center"/>
            </w:pPr>
          </w:p>
        </w:tc>
        <w:tc>
          <w:tcPr>
            <w:tcW w:w="1219" w:type="dxa"/>
          </w:tcPr>
          <w:p w:rsidR="00A72524" w:rsidRDefault="00A72524" w:rsidP="00656F19">
            <w:pPr>
              <w:jc w:val="center"/>
            </w:pPr>
            <w:r w:rsidRPr="003266E9">
              <w:t>20.0%</w:t>
            </w:r>
          </w:p>
        </w:tc>
        <w:tc>
          <w:tcPr>
            <w:tcW w:w="1219" w:type="dxa"/>
            <w:noWrap/>
          </w:tcPr>
          <w:p w:rsidR="00A72524" w:rsidRPr="00F7204C" w:rsidRDefault="00A72524" w:rsidP="00656F19">
            <w:pPr>
              <w:jc w:val="center"/>
              <w:rPr>
                <w:rFonts w:eastAsia="Calibri" w:cs="Times New Roman"/>
              </w:rPr>
            </w:pPr>
          </w:p>
        </w:tc>
        <w:tc>
          <w:tcPr>
            <w:tcW w:w="1219" w:type="dxa"/>
          </w:tcPr>
          <w:p w:rsidR="00A72524" w:rsidRDefault="00A72524" w:rsidP="00656F19">
            <w:pPr>
              <w:jc w:val="center"/>
            </w:pPr>
            <w:r w:rsidRPr="00D82F8D">
              <w:t>73.3%</w:t>
            </w:r>
          </w:p>
        </w:tc>
      </w:tr>
    </w:tbl>
    <w:p w:rsidR="00A72524" w:rsidRDefault="00A72524" w:rsidP="00A72524"/>
    <w:p w:rsidR="00A72524" w:rsidRDefault="00A72524" w:rsidP="00A72524"/>
    <w:p w:rsidR="00A72524" w:rsidRPr="00686E3E" w:rsidRDefault="00254D8F" w:rsidP="00A72524">
      <w:pPr>
        <w:rPr>
          <w:b/>
        </w:rPr>
      </w:pPr>
      <w:r>
        <w:rPr>
          <w:b/>
        </w:rPr>
        <w:t>Table A.10</w:t>
      </w:r>
      <w:r w:rsidR="00A72524">
        <w:rPr>
          <w:b/>
        </w:rPr>
        <w:t>: Gas customers exiting hardship programs, 2012-13 and 2013-14</w:t>
      </w:r>
    </w:p>
    <w:tbl>
      <w:tblPr>
        <w:tblStyle w:val="AERTable-Text"/>
        <w:tblW w:w="10173" w:type="dxa"/>
        <w:tblLook w:val="04A0" w:firstRow="1" w:lastRow="0" w:firstColumn="1" w:lastColumn="0" w:noHBand="0" w:noVBand="1"/>
      </w:tblPr>
      <w:tblGrid>
        <w:gridCol w:w="2859"/>
        <w:gridCol w:w="1219"/>
        <w:gridCol w:w="1219"/>
        <w:gridCol w:w="1219"/>
        <w:gridCol w:w="1219"/>
        <w:gridCol w:w="1219"/>
        <w:gridCol w:w="1219"/>
      </w:tblGrid>
      <w:tr w:rsidR="00A72524" w:rsidRPr="00F7204C" w:rsidTr="00D0524A">
        <w:trPr>
          <w:cnfStyle w:val="100000000000" w:firstRow="1" w:lastRow="0" w:firstColumn="0" w:lastColumn="0" w:oddVBand="0" w:evenVBand="0" w:oddHBand="0" w:evenHBand="0" w:firstRowFirstColumn="0" w:firstRowLastColumn="0" w:lastRowFirstColumn="0" w:lastRowLastColumn="0"/>
          <w:trHeight w:val="300"/>
        </w:trPr>
        <w:tc>
          <w:tcPr>
            <w:tcW w:w="2660" w:type="dxa"/>
            <w:noWrap/>
            <w:hideMark/>
          </w:tcPr>
          <w:p w:rsidR="00A72524" w:rsidRPr="00F7204C" w:rsidRDefault="00A72524" w:rsidP="00A72524">
            <w:pPr>
              <w:spacing w:after="200" w:line="276" w:lineRule="auto"/>
              <w:rPr>
                <w:rFonts w:eastAsia="Calibri" w:cs="Times New Roman"/>
                <w:bCs/>
              </w:rPr>
            </w:pPr>
            <w:r w:rsidRPr="00F7204C">
              <w:rPr>
                <w:rFonts w:eastAsia="Calibri" w:cs="Times New Roman"/>
                <w:bCs/>
              </w:rPr>
              <w:t>Retailer</w:t>
            </w:r>
          </w:p>
        </w:tc>
        <w:tc>
          <w:tcPr>
            <w:tcW w:w="1134"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Successfully completed</w:t>
            </w:r>
          </w:p>
        </w:tc>
        <w:tc>
          <w:tcPr>
            <w:tcW w:w="1134"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Excluded</w:t>
            </w:r>
          </w:p>
        </w:tc>
        <w:tc>
          <w:tcPr>
            <w:tcW w:w="1134" w:type="dxa"/>
            <w:gridSpan w:val="2"/>
            <w:noWrap/>
            <w:hideMark/>
          </w:tcPr>
          <w:p w:rsidR="00A72524" w:rsidRPr="00F7204C" w:rsidRDefault="00A72524" w:rsidP="00A72524">
            <w:pPr>
              <w:spacing w:after="200" w:line="276" w:lineRule="auto"/>
              <w:jc w:val="center"/>
              <w:rPr>
                <w:rFonts w:eastAsia="Calibri" w:cs="Times New Roman"/>
                <w:bCs/>
              </w:rPr>
            </w:pPr>
            <w:r w:rsidRPr="00F7204C">
              <w:rPr>
                <w:rFonts w:eastAsia="Calibri" w:cs="Times New Roman"/>
                <w:bCs/>
              </w:rPr>
              <w:t>Transferred to another retailer</w:t>
            </w:r>
          </w:p>
        </w:tc>
      </w:tr>
      <w:tr w:rsidR="00A72524" w:rsidRPr="00F7204C" w:rsidTr="00D0524A">
        <w:trPr>
          <w:trHeight w:val="300"/>
        </w:trPr>
        <w:tc>
          <w:tcPr>
            <w:tcW w:w="2660" w:type="dxa"/>
            <w:noWrap/>
            <w:hideMark/>
          </w:tcPr>
          <w:p w:rsidR="00A72524" w:rsidRPr="00F7204C" w:rsidRDefault="00A72524" w:rsidP="00A72524">
            <w:pPr>
              <w:rPr>
                <w:rFonts w:eastAsia="Calibri" w:cs="Times New Roman"/>
                <w:bCs/>
                <w:i/>
              </w:rPr>
            </w:pPr>
          </w:p>
        </w:tc>
        <w:tc>
          <w:tcPr>
            <w:tcW w:w="1134"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134" w:type="dxa"/>
          </w:tcPr>
          <w:p w:rsidR="00A72524" w:rsidRPr="00F7204C" w:rsidRDefault="00A72524" w:rsidP="00656F19">
            <w:pPr>
              <w:jc w:val="center"/>
              <w:rPr>
                <w:rFonts w:eastAsia="Calibri" w:cs="Times New Roman"/>
                <w:b/>
              </w:rPr>
            </w:pPr>
            <w:r>
              <w:rPr>
                <w:rFonts w:eastAsia="Calibri" w:cs="Times New Roman"/>
                <w:b/>
              </w:rPr>
              <w:t>2013-14</w:t>
            </w:r>
          </w:p>
        </w:tc>
        <w:tc>
          <w:tcPr>
            <w:tcW w:w="1134"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134" w:type="dxa"/>
          </w:tcPr>
          <w:p w:rsidR="00A72524" w:rsidRPr="00F7204C" w:rsidRDefault="00A72524" w:rsidP="00656F19">
            <w:pPr>
              <w:jc w:val="center"/>
              <w:rPr>
                <w:rFonts w:eastAsia="Calibri" w:cs="Times New Roman"/>
                <w:b/>
              </w:rPr>
            </w:pPr>
            <w:r>
              <w:rPr>
                <w:rFonts w:eastAsia="Calibri" w:cs="Times New Roman"/>
                <w:b/>
              </w:rPr>
              <w:t>2013-14</w:t>
            </w:r>
          </w:p>
        </w:tc>
        <w:tc>
          <w:tcPr>
            <w:tcW w:w="1134" w:type="dxa"/>
            <w:noWrap/>
            <w:hideMark/>
          </w:tcPr>
          <w:p w:rsidR="00A72524" w:rsidRPr="00F7204C" w:rsidRDefault="00A72524" w:rsidP="00656F19">
            <w:pPr>
              <w:jc w:val="center"/>
              <w:rPr>
                <w:rFonts w:eastAsia="Calibri" w:cs="Times New Roman"/>
                <w:b/>
              </w:rPr>
            </w:pPr>
            <w:r>
              <w:rPr>
                <w:rFonts w:eastAsia="Calibri" w:cs="Times New Roman"/>
                <w:b/>
              </w:rPr>
              <w:t>2012-13</w:t>
            </w:r>
          </w:p>
        </w:tc>
        <w:tc>
          <w:tcPr>
            <w:tcW w:w="1134" w:type="dxa"/>
          </w:tcPr>
          <w:p w:rsidR="00A72524" w:rsidRPr="00F7204C" w:rsidRDefault="00A72524" w:rsidP="00656F19">
            <w:pPr>
              <w:jc w:val="center"/>
              <w:rPr>
                <w:rFonts w:eastAsia="Calibri" w:cs="Times New Roman"/>
                <w:b/>
              </w:rPr>
            </w:pPr>
            <w:r>
              <w:rPr>
                <w:rFonts w:eastAsia="Calibri" w:cs="Times New Roman"/>
                <w:b/>
              </w:rPr>
              <w:t>2013-14</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656F19" w:rsidRDefault="00A72524" w:rsidP="00A72524">
            <w:pPr>
              <w:rPr>
                <w:rStyle w:val="Strong"/>
                <w:i/>
                <w:sz w:val="20"/>
                <w:szCs w:val="20"/>
              </w:rPr>
            </w:pPr>
            <w:r w:rsidRPr="00656F19">
              <w:rPr>
                <w:rStyle w:val="Strong"/>
                <w:i/>
                <w:sz w:val="20"/>
                <w:szCs w:val="20"/>
              </w:rPr>
              <w:t>South Australia</w:t>
            </w:r>
          </w:p>
        </w:tc>
        <w:tc>
          <w:tcPr>
            <w:tcW w:w="1134" w:type="dxa"/>
            <w:noWrap/>
          </w:tcPr>
          <w:p w:rsidR="00A72524" w:rsidRPr="00000FC7" w:rsidRDefault="00A72524" w:rsidP="00656F19">
            <w:pPr>
              <w:jc w:val="center"/>
            </w:pPr>
          </w:p>
        </w:tc>
        <w:tc>
          <w:tcPr>
            <w:tcW w:w="1134" w:type="dxa"/>
          </w:tcPr>
          <w:p w:rsidR="00A72524" w:rsidRPr="00000FC7" w:rsidRDefault="00A72524" w:rsidP="00656F19">
            <w:pPr>
              <w:jc w:val="center"/>
            </w:pPr>
          </w:p>
        </w:tc>
        <w:tc>
          <w:tcPr>
            <w:tcW w:w="1134" w:type="dxa"/>
            <w:noWrap/>
          </w:tcPr>
          <w:p w:rsidR="00A72524" w:rsidRPr="00000FC7" w:rsidRDefault="00A72524" w:rsidP="00656F19">
            <w:pPr>
              <w:jc w:val="center"/>
            </w:pPr>
          </w:p>
        </w:tc>
        <w:tc>
          <w:tcPr>
            <w:tcW w:w="1134" w:type="dxa"/>
          </w:tcPr>
          <w:p w:rsidR="00A72524" w:rsidRPr="00F7204C" w:rsidRDefault="00A72524" w:rsidP="00656F19">
            <w:pPr>
              <w:jc w:val="center"/>
              <w:rPr>
                <w:rFonts w:eastAsia="Calibri" w:cs="Times New Roman"/>
                <w:bCs/>
              </w:rPr>
            </w:pPr>
          </w:p>
        </w:tc>
        <w:tc>
          <w:tcPr>
            <w:tcW w:w="1134" w:type="dxa"/>
            <w:noWrap/>
          </w:tcPr>
          <w:p w:rsidR="00A72524" w:rsidRPr="00F7204C" w:rsidRDefault="00A72524" w:rsidP="00656F19">
            <w:pPr>
              <w:jc w:val="center"/>
              <w:rPr>
                <w:rFonts w:eastAsia="Calibri" w:cs="Times New Roman"/>
                <w:bCs/>
              </w:rPr>
            </w:pPr>
          </w:p>
        </w:tc>
        <w:tc>
          <w:tcPr>
            <w:tcW w:w="1134" w:type="dxa"/>
          </w:tcPr>
          <w:p w:rsidR="00A72524" w:rsidRPr="00F7204C" w:rsidRDefault="00A72524" w:rsidP="00656F19">
            <w:pPr>
              <w:jc w:val="center"/>
              <w:rPr>
                <w:rFonts w:eastAsia="Calibri" w:cs="Times New Roman"/>
                <w:bCs/>
              </w:rPr>
            </w:pPr>
          </w:p>
        </w:tc>
      </w:tr>
      <w:tr w:rsidR="00A72524" w:rsidRPr="00F7204C" w:rsidTr="00D0524A">
        <w:trPr>
          <w:trHeight w:val="300"/>
        </w:trPr>
        <w:tc>
          <w:tcPr>
            <w:tcW w:w="2660" w:type="dxa"/>
            <w:noWrap/>
          </w:tcPr>
          <w:p w:rsidR="00A72524" w:rsidRPr="00D0524A" w:rsidRDefault="00A72524" w:rsidP="00A72524">
            <w:pPr>
              <w:rPr>
                <w:rFonts w:eastAsia="Calibri" w:cs="Times New Roman"/>
              </w:rPr>
            </w:pPr>
            <w:r w:rsidRPr="00D0524A">
              <w:rPr>
                <w:rFonts w:eastAsia="Calibri" w:cs="Times New Roman"/>
                <w:bCs/>
              </w:rPr>
              <w:t>AGL</w:t>
            </w:r>
          </w:p>
        </w:tc>
        <w:tc>
          <w:tcPr>
            <w:tcW w:w="1134" w:type="dxa"/>
            <w:noWrap/>
          </w:tcPr>
          <w:p w:rsidR="00A72524" w:rsidRPr="00C00365" w:rsidRDefault="00A72524" w:rsidP="00656F19">
            <w:pPr>
              <w:jc w:val="center"/>
            </w:pPr>
            <w:r w:rsidRPr="00C00365">
              <w:t>15.4%</w:t>
            </w:r>
          </w:p>
        </w:tc>
        <w:tc>
          <w:tcPr>
            <w:tcW w:w="1134" w:type="dxa"/>
          </w:tcPr>
          <w:p w:rsidR="00A72524" w:rsidRPr="0003660A" w:rsidRDefault="00A72524" w:rsidP="00656F19">
            <w:pPr>
              <w:jc w:val="center"/>
            </w:pPr>
            <w:r w:rsidRPr="0003660A">
              <w:t>14.1%</w:t>
            </w:r>
          </w:p>
        </w:tc>
        <w:tc>
          <w:tcPr>
            <w:tcW w:w="1134" w:type="dxa"/>
            <w:noWrap/>
          </w:tcPr>
          <w:p w:rsidR="00A72524" w:rsidRPr="00344580" w:rsidRDefault="00A72524" w:rsidP="00656F19">
            <w:pPr>
              <w:jc w:val="center"/>
            </w:pPr>
            <w:r w:rsidRPr="00344580">
              <w:t>43.2%</w:t>
            </w:r>
          </w:p>
        </w:tc>
        <w:tc>
          <w:tcPr>
            <w:tcW w:w="1134" w:type="dxa"/>
          </w:tcPr>
          <w:p w:rsidR="00A72524" w:rsidRPr="00264E8D" w:rsidRDefault="00A72524" w:rsidP="00656F19">
            <w:pPr>
              <w:jc w:val="center"/>
            </w:pPr>
            <w:r w:rsidRPr="00264E8D">
              <w:t>57.7%</w:t>
            </w:r>
          </w:p>
        </w:tc>
        <w:tc>
          <w:tcPr>
            <w:tcW w:w="1134" w:type="dxa"/>
            <w:noWrap/>
          </w:tcPr>
          <w:p w:rsidR="00A72524" w:rsidRPr="00530C38" w:rsidRDefault="00A72524" w:rsidP="00656F19">
            <w:pPr>
              <w:jc w:val="center"/>
            </w:pPr>
            <w:r w:rsidRPr="00530C38">
              <w:t>41.4%</w:t>
            </w:r>
          </w:p>
        </w:tc>
        <w:tc>
          <w:tcPr>
            <w:tcW w:w="1134" w:type="dxa"/>
          </w:tcPr>
          <w:p w:rsidR="00A72524" w:rsidRPr="00371F10" w:rsidRDefault="00A72524" w:rsidP="00656F19">
            <w:pPr>
              <w:jc w:val="center"/>
            </w:pPr>
            <w:r w:rsidRPr="00371F10">
              <w:t>28.1%</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Alinta Energy</w:t>
            </w:r>
          </w:p>
        </w:tc>
        <w:tc>
          <w:tcPr>
            <w:tcW w:w="1134" w:type="dxa"/>
            <w:noWrap/>
          </w:tcPr>
          <w:p w:rsidR="00A72524" w:rsidRPr="00C00365" w:rsidRDefault="00D83D18" w:rsidP="00656F19">
            <w:pPr>
              <w:jc w:val="center"/>
            </w:pPr>
            <w:r>
              <w:t>N/A</w:t>
            </w:r>
          </w:p>
        </w:tc>
        <w:tc>
          <w:tcPr>
            <w:tcW w:w="1134" w:type="dxa"/>
          </w:tcPr>
          <w:p w:rsidR="00A72524" w:rsidRPr="0003660A" w:rsidRDefault="00D83D18" w:rsidP="00656F19">
            <w:pPr>
              <w:jc w:val="center"/>
            </w:pPr>
            <w:r>
              <w:t>40.0%</w:t>
            </w:r>
          </w:p>
        </w:tc>
        <w:tc>
          <w:tcPr>
            <w:tcW w:w="1134" w:type="dxa"/>
            <w:noWrap/>
          </w:tcPr>
          <w:p w:rsidR="00A72524" w:rsidRPr="00344580" w:rsidRDefault="00D83D18" w:rsidP="00656F19">
            <w:pPr>
              <w:jc w:val="center"/>
            </w:pPr>
            <w:r>
              <w:t>N/A</w:t>
            </w:r>
          </w:p>
        </w:tc>
        <w:tc>
          <w:tcPr>
            <w:tcW w:w="1134" w:type="dxa"/>
          </w:tcPr>
          <w:p w:rsidR="00A72524" w:rsidRPr="00264E8D" w:rsidRDefault="00D83D18" w:rsidP="00656F19">
            <w:pPr>
              <w:jc w:val="center"/>
            </w:pPr>
            <w:r>
              <w:t>54.3%</w:t>
            </w:r>
          </w:p>
        </w:tc>
        <w:tc>
          <w:tcPr>
            <w:tcW w:w="1134" w:type="dxa"/>
            <w:noWrap/>
          </w:tcPr>
          <w:p w:rsidR="00A72524" w:rsidRPr="00530C38" w:rsidRDefault="00D83D18" w:rsidP="00656F19">
            <w:pPr>
              <w:jc w:val="center"/>
            </w:pPr>
            <w:r>
              <w:t>N/A</w:t>
            </w:r>
          </w:p>
        </w:tc>
        <w:tc>
          <w:tcPr>
            <w:tcW w:w="1134" w:type="dxa"/>
          </w:tcPr>
          <w:p w:rsidR="00A72524" w:rsidRPr="00371F10" w:rsidRDefault="00D83D18" w:rsidP="00656F19">
            <w:pPr>
              <w:jc w:val="center"/>
            </w:pPr>
            <w:r>
              <w:t>5.7%</w:t>
            </w: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134" w:type="dxa"/>
            <w:noWrap/>
          </w:tcPr>
          <w:p w:rsidR="00A72524" w:rsidRPr="00C00365" w:rsidRDefault="00A72524" w:rsidP="00656F19">
            <w:pPr>
              <w:jc w:val="center"/>
            </w:pPr>
            <w:r w:rsidRPr="00C00365">
              <w:t>0.0%</w:t>
            </w:r>
          </w:p>
        </w:tc>
        <w:tc>
          <w:tcPr>
            <w:tcW w:w="1134" w:type="dxa"/>
          </w:tcPr>
          <w:p w:rsidR="00A72524" w:rsidRPr="0003660A" w:rsidRDefault="00A72524" w:rsidP="00656F19">
            <w:pPr>
              <w:jc w:val="center"/>
            </w:pPr>
            <w:r w:rsidRPr="0003660A">
              <w:t>5.9%</w:t>
            </w:r>
          </w:p>
        </w:tc>
        <w:tc>
          <w:tcPr>
            <w:tcW w:w="1134" w:type="dxa"/>
            <w:noWrap/>
          </w:tcPr>
          <w:p w:rsidR="00A72524" w:rsidRPr="00344580" w:rsidRDefault="00A72524" w:rsidP="00656F19">
            <w:pPr>
              <w:jc w:val="center"/>
            </w:pPr>
            <w:r w:rsidRPr="00344580">
              <w:t>76.2%</w:t>
            </w:r>
          </w:p>
        </w:tc>
        <w:tc>
          <w:tcPr>
            <w:tcW w:w="1134" w:type="dxa"/>
          </w:tcPr>
          <w:p w:rsidR="00A72524" w:rsidRPr="00264E8D" w:rsidRDefault="00A72524" w:rsidP="00656F19">
            <w:pPr>
              <w:jc w:val="center"/>
            </w:pPr>
            <w:r w:rsidRPr="00264E8D">
              <w:t>63.2%</w:t>
            </w:r>
          </w:p>
        </w:tc>
        <w:tc>
          <w:tcPr>
            <w:tcW w:w="1134" w:type="dxa"/>
            <w:noWrap/>
          </w:tcPr>
          <w:p w:rsidR="00A72524" w:rsidRPr="00530C38" w:rsidRDefault="00A72524" w:rsidP="00656F19">
            <w:pPr>
              <w:jc w:val="center"/>
            </w:pPr>
            <w:r w:rsidRPr="00530C38">
              <w:t>23.8%</w:t>
            </w:r>
          </w:p>
        </w:tc>
        <w:tc>
          <w:tcPr>
            <w:tcW w:w="1134" w:type="dxa"/>
          </w:tcPr>
          <w:p w:rsidR="00A72524" w:rsidRPr="00371F10" w:rsidRDefault="00A72524" w:rsidP="00656F19">
            <w:pPr>
              <w:jc w:val="center"/>
            </w:pPr>
            <w:r w:rsidRPr="00371F10">
              <w:t>30.9%</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Origin Energy</w:t>
            </w:r>
          </w:p>
        </w:tc>
        <w:tc>
          <w:tcPr>
            <w:tcW w:w="1134" w:type="dxa"/>
            <w:noWrap/>
          </w:tcPr>
          <w:p w:rsidR="00A72524" w:rsidRPr="00C00365" w:rsidRDefault="00A72524" w:rsidP="00656F19">
            <w:pPr>
              <w:jc w:val="center"/>
            </w:pPr>
            <w:r w:rsidRPr="00C00365">
              <w:t>11.4%</w:t>
            </w:r>
          </w:p>
        </w:tc>
        <w:tc>
          <w:tcPr>
            <w:tcW w:w="1134" w:type="dxa"/>
          </w:tcPr>
          <w:p w:rsidR="00A72524" w:rsidRPr="0003660A" w:rsidRDefault="00A72524" w:rsidP="00656F19">
            <w:pPr>
              <w:jc w:val="center"/>
            </w:pPr>
            <w:r w:rsidRPr="0003660A">
              <w:t>12.9%</w:t>
            </w:r>
          </w:p>
        </w:tc>
        <w:tc>
          <w:tcPr>
            <w:tcW w:w="1134" w:type="dxa"/>
            <w:noWrap/>
          </w:tcPr>
          <w:p w:rsidR="00A72524" w:rsidRPr="00344580" w:rsidRDefault="00A72524" w:rsidP="00656F19">
            <w:pPr>
              <w:jc w:val="center"/>
            </w:pPr>
            <w:r w:rsidRPr="00344580">
              <w:t>65.8%</w:t>
            </w:r>
          </w:p>
        </w:tc>
        <w:tc>
          <w:tcPr>
            <w:tcW w:w="1134" w:type="dxa"/>
          </w:tcPr>
          <w:p w:rsidR="00A72524" w:rsidRPr="00264E8D" w:rsidRDefault="00A72524" w:rsidP="00656F19">
            <w:pPr>
              <w:jc w:val="center"/>
            </w:pPr>
            <w:r w:rsidRPr="00264E8D">
              <w:t>53.9%</w:t>
            </w:r>
          </w:p>
        </w:tc>
        <w:tc>
          <w:tcPr>
            <w:tcW w:w="1134" w:type="dxa"/>
            <w:noWrap/>
          </w:tcPr>
          <w:p w:rsidR="00A72524" w:rsidRPr="00530C38" w:rsidRDefault="00A72524" w:rsidP="00656F19">
            <w:pPr>
              <w:jc w:val="center"/>
            </w:pPr>
            <w:r w:rsidRPr="00530C38">
              <w:t>22.8%</w:t>
            </w:r>
          </w:p>
        </w:tc>
        <w:tc>
          <w:tcPr>
            <w:tcW w:w="1134" w:type="dxa"/>
          </w:tcPr>
          <w:p w:rsidR="00A72524" w:rsidRPr="00371F10" w:rsidRDefault="00A72524" w:rsidP="00656F19">
            <w:pPr>
              <w:jc w:val="center"/>
            </w:pPr>
            <w:r w:rsidRPr="00371F10">
              <w:t>33.3%</w:t>
            </w: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Simply Energy</w:t>
            </w:r>
          </w:p>
        </w:tc>
        <w:tc>
          <w:tcPr>
            <w:tcW w:w="1134" w:type="dxa"/>
            <w:noWrap/>
          </w:tcPr>
          <w:p w:rsidR="00A72524" w:rsidRPr="00C00365" w:rsidRDefault="00A72524" w:rsidP="00656F19">
            <w:pPr>
              <w:jc w:val="center"/>
            </w:pPr>
            <w:r w:rsidRPr="00C00365">
              <w:t>14.9%</w:t>
            </w:r>
          </w:p>
        </w:tc>
        <w:tc>
          <w:tcPr>
            <w:tcW w:w="1134" w:type="dxa"/>
          </w:tcPr>
          <w:p w:rsidR="00A72524" w:rsidRPr="0003660A" w:rsidRDefault="00A72524" w:rsidP="00656F19">
            <w:pPr>
              <w:jc w:val="center"/>
            </w:pPr>
            <w:r w:rsidRPr="0003660A">
              <w:t>16.3%</w:t>
            </w:r>
          </w:p>
        </w:tc>
        <w:tc>
          <w:tcPr>
            <w:tcW w:w="1134" w:type="dxa"/>
            <w:noWrap/>
          </w:tcPr>
          <w:p w:rsidR="00A72524" w:rsidRPr="00344580" w:rsidRDefault="00A72524" w:rsidP="00656F19">
            <w:pPr>
              <w:jc w:val="center"/>
            </w:pPr>
            <w:r w:rsidRPr="00344580">
              <w:t>50.4%</w:t>
            </w:r>
          </w:p>
        </w:tc>
        <w:tc>
          <w:tcPr>
            <w:tcW w:w="1134" w:type="dxa"/>
          </w:tcPr>
          <w:p w:rsidR="00A72524" w:rsidRPr="00264E8D" w:rsidRDefault="00A72524" w:rsidP="00656F19">
            <w:pPr>
              <w:jc w:val="center"/>
            </w:pPr>
            <w:r w:rsidRPr="00264E8D">
              <w:t>52.0%</w:t>
            </w:r>
          </w:p>
        </w:tc>
        <w:tc>
          <w:tcPr>
            <w:tcW w:w="1134" w:type="dxa"/>
            <w:noWrap/>
          </w:tcPr>
          <w:p w:rsidR="00A72524" w:rsidRPr="00530C38" w:rsidRDefault="00A72524" w:rsidP="00656F19">
            <w:pPr>
              <w:jc w:val="center"/>
            </w:pPr>
            <w:r w:rsidRPr="00530C38">
              <w:t>34.7%</w:t>
            </w:r>
          </w:p>
        </w:tc>
        <w:tc>
          <w:tcPr>
            <w:tcW w:w="1134" w:type="dxa"/>
          </w:tcPr>
          <w:p w:rsidR="00A72524" w:rsidRPr="00371F10" w:rsidRDefault="00A72524" w:rsidP="00656F19">
            <w:pPr>
              <w:jc w:val="center"/>
            </w:pPr>
            <w:r w:rsidRPr="00371F10">
              <w:t>31.7%</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656F19" w:rsidRDefault="00A72524" w:rsidP="00A72524">
            <w:pPr>
              <w:rPr>
                <w:rStyle w:val="Strong"/>
                <w:i/>
                <w:sz w:val="20"/>
                <w:szCs w:val="20"/>
              </w:rPr>
            </w:pPr>
            <w:r w:rsidRPr="00656F19">
              <w:rPr>
                <w:rStyle w:val="Strong"/>
                <w:i/>
                <w:sz w:val="20"/>
                <w:szCs w:val="20"/>
              </w:rPr>
              <w:t>ACT</w:t>
            </w:r>
          </w:p>
        </w:tc>
        <w:tc>
          <w:tcPr>
            <w:tcW w:w="1134" w:type="dxa"/>
            <w:noWrap/>
          </w:tcPr>
          <w:p w:rsidR="00A72524" w:rsidRPr="00C00365" w:rsidRDefault="00A72524" w:rsidP="00656F19">
            <w:pPr>
              <w:jc w:val="center"/>
            </w:pPr>
          </w:p>
        </w:tc>
        <w:tc>
          <w:tcPr>
            <w:tcW w:w="1134" w:type="dxa"/>
          </w:tcPr>
          <w:p w:rsidR="00A72524" w:rsidRPr="0003660A" w:rsidRDefault="00A72524" w:rsidP="00656F19">
            <w:pPr>
              <w:jc w:val="center"/>
            </w:pPr>
          </w:p>
        </w:tc>
        <w:tc>
          <w:tcPr>
            <w:tcW w:w="1134" w:type="dxa"/>
            <w:noWrap/>
          </w:tcPr>
          <w:p w:rsidR="00A72524" w:rsidRPr="00344580" w:rsidRDefault="00A72524" w:rsidP="00656F19">
            <w:pPr>
              <w:jc w:val="center"/>
            </w:pPr>
          </w:p>
        </w:tc>
        <w:tc>
          <w:tcPr>
            <w:tcW w:w="1134" w:type="dxa"/>
          </w:tcPr>
          <w:p w:rsidR="00A72524" w:rsidRPr="00264E8D" w:rsidRDefault="00A72524" w:rsidP="00656F19">
            <w:pPr>
              <w:jc w:val="center"/>
            </w:pPr>
          </w:p>
        </w:tc>
        <w:tc>
          <w:tcPr>
            <w:tcW w:w="1134" w:type="dxa"/>
            <w:noWrap/>
          </w:tcPr>
          <w:p w:rsidR="00A72524" w:rsidRPr="00530C38" w:rsidRDefault="00A72524" w:rsidP="00656F19">
            <w:pPr>
              <w:jc w:val="center"/>
            </w:pPr>
          </w:p>
        </w:tc>
        <w:tc>
          <w:tcPr>
            <w:tcW w:w="1134" w:type="dxa"/>
          </w:tcPr>
          <w:p w:rsidR="00A72524" w:rsidRPr="00371F10" w:rsidRDefault="00A72524" w:rsidP="00656F19">
            <w:pPr>
              <w:jc w:val="center"/>
            </w:pP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ActewAGL</w:t>
            </w:r>
          </w:p>
        </w:tc>
        <w:tc>
          <w:tcPr>
            <w:tcW w:w="1134" w:type="dxa"/>
            <w:noWrap/>
          </w:tcPr>
          <w:p w:rsidR="00A72524" w:rsidRPr="002157C9" w:rsidRDefault="00A72524" w:rsidP="00656F19">
            <w:pPr>
              <w:jc w:val="center"/>
            </w:pPr>
            <w:r w:rsidRPr="002157C9">
              <w:t>31.8%</w:t>
            </w:r>
          </w:p>
        </w:tc>
        <w:tc>
          <w:tcPr>
            <w:tcW w:w="1134" w:type="dxa"/>
          </w:tcPr>
          <w:p w:rsidR="00A72524" w:rsidRPr="0003660A" w:rsidRDefault="00A72524" w:rsidP="00656F19">
            <w:pPr>
              <w:jc w:val="center"/>
            </w:pPr>
            <w:r w:rsidRPr="0003660A">
              <w:t>36.9%</w:t>
            </w:r>
          </w:p>
        </w:tc>
        <w:tc>
          <w:tcPr>
            <w:tcW w:w="1134" w:type="dxa"/>
            <w:noWrap/>
          </w:tcPr>
          <w:p w:rsidR="00A72524" w:rsidRPr="00344580" w:rsidRDefault="00A72524" w:rsidP="00656F19">
            <w:pPr>
              <w:jc w:val="center"/>
            </w:pPr>
            <w:r w:rsidRPr="00344580">
              <w:t>43.9%</w:t>
            </w:r>
          </w:p>
        </w:tc>
        <w:tc>
          <w:tcPr>
            <w:tcW w:w="1134" w:type="dxa"/>
          </w:tcPr>
          <w:p w:rsidR="00A72524" w:rsidRPr="0041302B" w:rsidRDefault="00A72524" w:rsidP="00656F19">
            <w:pPr>
              <w:jc w:val="center"/>
            </w:pPr>
            <w:r w:rsidRPr="0041302B">
              <w:t>43.7%</w:t>
            </w:r>
          </w:p>
        </w:tc>
        <w:tc>
          <w:tcPr>
            <w:tcW w:w="1134" w:type="dxa"/>
            <w:noWrap/>
          </w:tcPr>
          <w:p w:rsidR="00A72524" w:rsidRPr="00530C38" w:rsidRDefault="00A72524" w:rsidP="00656F19">
            <w:pPr>
              <w:jc w:val="center"/>
            </w:pPr>
            <w:r w:rsidRPr="00530C38">
              <w:t>24.2%</w:t>
            </w:r>
          </w:p>
        </w:tc>
        <w:tc>
          <w:tcPr>
            <w:tcW w:w="1134" w:type="dxa"/>
          </w:tcPr>
          <w:p w:rsidR="00A72524" w:rsidRPr="004117BC" w:rsidRDefault="00A72524" w:rsidP="00656F19">
            <w:pPr>
              <w:jc w:val="center"/>
            </w:pPr>
            <w:r w:rsidRPr="004117BC">
              <w:t>19.4%</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134" w:type="dxa"/>
            <w:noWrap/>
          </w:tcPr>
          <w:p w:rsidR="00A72524" w:rsidRPr="002157C9" w:rsidRDefault="00A72524" w:rsidP="00656F19">
            <w:pPr>
              <w:jc w:val="center"/>
            </w:pPr>
            <w:r w:rsidRPr="002157C9">
              <w:t>25.0%</w:t>
            </w:r>
          </w:p>
        </w:tc>
        <w:tc>
          <w:tcPr>
            <w:tcW w:w="1134" w:type="dxa"/>
          </w:tcPr>
          <w:p w:rsidR="00A72524" w:rsidRPr="0003660A" w:rsidRDefault="00A72524" w:rsidP="00656F19">
            <w:pPr>
              <w:jc w:val="center"/>
            </w:pPr>
            <w:r w:rsidRPr="0003660A">
              <w:t>31.0%</w:t>
            </w:r>
          </w:p>
        </w:tc>
        <w:tc>
          <w:tcPr>
            <w:tcW w:w="1134" w:type="dxa"/>
            <w:noWrap/>
          </w:tcPr>
          <w:p w:rsidR="00A72524" w:rsidRDefault="00A72524" w:rsidP="00656F19">
            <w:pPr>
              <w:jc w:val="center"/>
            </w:pPr>
            <w:r w:rsidRPr="00344580">
              <w:t>75.0%</w:t>
            </w:r>
          </w:p>
        </w:tc>
        <w:tc>
          <w:tcPr>
            <w:tcW w:w="1134" w:type="dxa"/>
          </w:tcPr>
          <w:p w:rsidR="00A72524" w:rsidRPr="0041302B" w:rsidRDefault="00A72524" w:rsidP="00656F19">
            <w:pPr>
              <w:jc w:val="center"/>
            </w:pPr>
            <w:r w:rsidRPr="0041302B">
              <w:t>34.5%</w:t>
            </w:r>
          </w:p>
        </w:tc>
        <w:tc>
          <w:tcPr>
            <w:tcW w:w="1134" w:type="dxa"/>
            <w:noWrap/>
          </w:tcPr>
          <w:p w:rsidR="00A72524" w:rsidRDefault="00A72524" w:rsidP="00656F19">
            <w:pPr>
              <w:jc w:val="center"/>
            </w:pPr>
            <w:r w:rsidRPr="00530C38">
              <w:t>0.0%</w:t>
            </w:r>
          </w:p>
        </w:tc>
        <w:tc>
          <w:tcPr>
            <w:tcW w:w="1134" w:type="dxa"/>
          </w:tcPr>
          <w:p w:rsidR="00A72524" w:rsidRPr="004117BC" w:rsidRDefault="00A72524" w:rsidP="00656F19">
            <w:pPr>
              <w:jc w:val="center"/>
            </w:pPr>
            <w:r w:rsidRPr="004117BC">
              <w:t>34.5%</w:t>
            </w:r>
          </w:p>
        </w:tc>
      </w:tr>
      <w:tr w:rsidR="00A72524" w:rsidRPr="00F7204C" w:rsidTr="00D0524A">
        <w:trPr>
          <w:trHeight w:val="300"/>
        </w:trPr>
        <w:tc>
          <w:tcPr>
            <w:tcW w:w="2660" w:type="dxa"/>
            <w:noWrap/>
            <w:hideMark/>
          </w:tcPr>
          <w:p w:rsidR="00A72524" w:rsidRPr="00656F19" w:rsidRDefault="00A72524" w:rsidP="00A72524">
            <w:pPr>
              <w:rPr>
                <w:rStyle w:val="Strong"/>
                <w:i/>
                <w:sz w:val="20"/>
                <w:szCs w:val="20"/>
              </w:rPr>
            </w:pPr>
            <w:r w:rsidRPr="00656F19">
              <w:rPr>
                <w:rStyle w:val="Strong"/>
                <w:i/>
                <w:sz w:val="20"/>
                <w:szCs w:val="20"/>
              </w:rPr>
              <w:t>NSW</w:t>
            </w:r>
          </w:p>
        </w:tc>
        <w:tc>
          <w:tcPr>
            <w:tcW w:w="1134" w:type="dxa"/>
            <w:noWrap/>
          </w:tcPr>
          <w:p w:rsidR="00A72524" w:rsidRPr="005D688E" w:rsidRDefault="00A72524" w:rsidP="00656F19">
            <w:pPr>
              <w:jc w:val="center"/>
            </w:pPr>
          </w:p>
        </w:tc>
        <w:tc>
          <w:tcPr>
            <w:tcW w:w="1134" w:type="dxa"/>
          </w:tcPr>
          <w:p w:rsidR="00A72524" w:rsidRPr="0003660A" w:rsidRDefault="00A72524" w:rsidP="00656F19">
            <w:pPr>
              <w:jc w:val="center"/>
            </w:pPr>
          </w:p>
        </w:tc>
        <w:tc>
          <w:tcPr>
            <w:tcW w:w="1134" w:type="dxa"/>
            <w:noWrap/>
          </w:tcPr>
          <w:p w:rsidR="00A72524" w:rsidRPr="00000FC7" w:rsidRDefault="00A72524" w:rsidP="00656F19">
            <w:pPr>
              <w:jc w:val="center"/>
            </w:pPr>
          </w:p>
        </w:tc>
        <w:tc>
          <w:tcPr>
            <w:tcW w:w="1134" w:type="dxa"/>
          </w:tcPr>
          <w:p w:rsidR="00A72524" w:rsidRPr="0041302B" w:rsidRDefault="00A72524" w:rsidP="00656F19">
            <w:pPr>
              <w:jc w:val="center"/>
            </w:pP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ActewAGL</w:t>
            </w:r>
          </w:p>
        </w:tc>
        <w:tc>
          <w:tcPr>
            <w:tcW w:w="1134" w:type="dxa"/>
            <w:noWrap/>
          </w:tcPr>
          <w:p w:rsidR="00A72524" w:rsidRPr="00946FE7" w:rsidRDefault="00A72524" w:rsidP="00656F19">
            <w:pPr>
              <w:jc w:val="center"/>
            </w:pPr>
          </w:p>
        </w:tc>
        <w:tc>
          <w:tcPr>
            <w:tcW w:w="1134" w:type="dxa"/>
          </w:tcPr>
          <w:p w:rsidR="00A72524" w:rsidRPr="0003660A" w:rsidRDefault="00A72524" w:rsidP="00656F19">
            <w:pPr>
              <w:jc w:val="center"/>
            </w:pPr>
            <w:r w:rsidRPr="0003660A">
              <w:t>27.6%</w:t>
            </w:r>
          </w:p>
        </w:tc>
        <w:tc>
          <w:tcPr>
            <w:tcW w:w="1134" w:type="dxa"/>
            <w:noWrap/>
          </w:tcPr>
          <w:p w:rsidR="00A72524" w:rsidRPr="00946FE7" w:rsidRDefault="00A72524" w:rsidP="00656F19">
            <w:pPr>
              <w:jc w:val="center"/>
            </w:pPr>
          </w:p>
        </w:tc>
        <w:tc>
          <w:tcPr>
            <w:tcW w:w="1134" w:type="dxa"/>
          </w:tcPr>
          <w:p w:rsidR="00A72524" w:rsidRPr="00E378DB" w:rsidRDefault="00A72524" w:rsidP="00656F19">
            <w:pPr>
              <w:jc w:val="center"/>
            </w:pPr>
            <w:r w:rsidRPr="00E378DB">
              <w:t>46.5%</w:t>
            </w: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r w:rsidRPr="004117BC">
              <w:t>26.0%</w:t>
            </w: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AGL</w:t>
            </w:r>
          </w:p>
        </w:tc>
        <w:tc>
          <w:tcPr>
            <w:tcW w:w="1134" w:type="dxa"/>
            <w:noWrap/>
          </w:tcPr>
          <w:p w:rsidR="00A72524" w:rsidRPr="00946FE7" w:rsidRDefault="00A72524" w:rsidP="00656F19">
            <w:pPr>
              <w:jc w:val="center"/>
            </w:pPr>
          </w:p>
        </w:tc>
        <w:tc>
          <w:tcPr>
            <w:tcW w:w="1134" w:type="dxa"/>
          </w:tcPr>
          <w:p w:rsidR="00A72524" w:rsidRPr="0003660A" w:rsidRDefault="00A72524" w:rsidP="00656F19">
            <w:pPr>
              <w:jc w:val="center"/>
            </w:pPr>
            <w:r w:rsidRPr="0003660A">
              <w:t>17.7%</w:t>
            </w:r>
          </w:p>
        </w:tc>
        <w:tc>
          <w:tcPr>
            <w:tcW w:w="1134" w:type="dxa"/>
            <w:noWrap/>
          </w:tcPr>
          <w:p w:rsidR="00A72524" w:rsidRPr="00946FE7" w:rsidRDefault="00A72524" w:rsidP="00656F19">
            <w:pPr>
              <w:jc w:val="center"/>
            </w:pPr>
          </w:p>
        </w:tc>
        <w:tc>
          <w:tcPr>
            <w:tcW w:w="1134" w:type="dxa"/>
          </w:tcPr>
          <w:p w:rsidR="00A72524" w:rsidRPr="00E378DB" w:rsidRDefault="00A72524" w:rsidP="00656F19">
            <w:pPr>
              <w:jc w:val="center"/>
            </w:pPr>
            <w:r w:rsidRPr="00E378DB">
              <w:t>59.4%</w:t>
            </w: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r w:rsidRPr="004117BC">
              <w:t>22.9%</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tcPr>
          <w:p w:rsidR="00A72524" w:rsidRPr="00D0524A" w:rsidRDefault="00A72524" w:rsidP="00A72524">
            <w:pPr>
              <w:rPr>
                <w:rFonts w:eastAsia="Calibri" w:cs="Times New Roman"/>
              </w:rPr>
            </w:pPr>
            <w:r w:rsidRPr="00D0524A">
              <w:rPr>
                <w:rFonts w:eastAsia="Calibri" w:cs="Times New Roman"/>
              </w:rPr>
              <w:t>Australian Power &amp; Gas</w:t>
            </w:r>
          </w:p>
        </w:tc>
        <w:tc>
          <w:tcPr>
            <w:tcW w:w="1134" w:type="dxa"/>
            <w:noWrap/>
          </w:tcPr>
          <w:p w:rsidR="00A72524" w:rsidRPr="00946FE7" w:rsidRDefault="00A72524" w:rsidP="00656F19">
            <w:pPr>
              <w:jc w:val="center"/>
            </w:pPr>
          </w:p>
        </w:tc>
        <w:tc>
          <w:tcPr>
            <w:tcW w:w="1134" w:type="dxa"/>
          </w:tcPr>
          <w:p w:rsidR="00A72524" w:rsidRPr="0003660A" w:rsidRDefault="00A72524" w:rsidP="00656F19">
            <w:pPr>
              <w:jc w:val="center"/>
            </w:pPr>
            <w:r w:rsidRPr="0003660A">
              <w:t>11.1%</w:t>
            </w:r>
          </w:p>
        </w:tc>
        <w:tc>
          <w:tcPr>
            <w:tcW w:w="1134" w:type="dxa"/>
            <w:noWrap/>
          </w:tcPr>
          <w:p w:rsidR="00A72524" w:rsidRPr="00946FE7" w:rsidRDefault="00A72524" w:rsidP="00656F19">
            <w:pPr>
              <w:jc w:val="center"/>
            </w:pPr>
          </w:p>
        </w:tc>
        <w:tc>
          <w:tcPr>
            <w:tcW w:w="1134" w:type="dxa"/>
          </w:tcPr>
          <w:p w:rsidR="00A72524" w:rsidRPr="00E378DB" w:rsidRDefault="00A72524" w:rsidP="00656F19">
            <w:pPr>
              <w:jc w:val="center"/>
            </w:pPr>
            <w:r w:rsidRPr="00E378DB">
              <w:t>67.3%</w:t>
            </w: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r w:rsidRPr="004117BC">
              <w:t>21.6%</w:t>
            </w: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EnergyAustralia</w:t>
            </w:r>
          </w:p>
        </w:tc>
        <w:tc>
          <w:tcPr>
            <w:tcW w:w="1134" w:type="dxa"/>
            <w:noWrap/>
          </w:tcPr>
          <w:p w:rsidR="00A72524" w:rsidRPr="00946FE7" w:rsidRDefault="00A72524" w:rsidP="00656F19">
            <w:pPr>
              <w:jc w:val="center"/>
            </w:pPr>
          </w:p>
        </w:tc>
        <w:tc>
          <w:tcPr>
            <w:tcW w:w="1134" w:type="dxa"/>
          </w:tcPr>
          <w:p w:rsidR="00A72524" w:rsidRPr="0003660A" w:rsidRDefault="00A72524" w:rsidP="00656F19">
            <w:pPr>
              <w:jc w:val="center"/>
            </w:pPr>
            <w:r w:rsidRPr="0003660A">
              <w:t>35.3%</w:t>
            </w:r>
          </w:p>
        </w:tc>
        <w:tc>
          <w:tcPr>
            <w:tcW w:w="1134" w:type="dxa"/>
            <w:noWrap/>
          </w:tcPr>
          <w:p w:rsidR="00A72524" w:rsidRPr="00946FE7" w:rsidRDefault="00A72524" w:rsidP="00656F19">
            <w:pPr>
              <w:jc w:val="center"/>
            </w:pPr>
          </w:p>
        </w:tc>
        <w:tc>
          <w:tcPr>
            <w:tcW w:w="1134" w:type="dxa"/>
          </w:tcPr>
          <w:p w:rsidR="00A72524" w:rsidRPr="00E378DB" w:rsidRDefault="00A72524" w:rsidP="00656F19">
            <w:pPr>
              <w:jc w:val="center"/>
            </w:pPr>
            <w:r w:rsidRPr="00E378DB">
              <w:t>39.6%</w:t>
            </w: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r w:rsidRPr="004117BC">
              <w:t>25.1%</w:t>
            </w:r>
          </w:p>
        </w:tc>
      </w:tr>
      <w:tr w:rsidR="00A72524" w:rsidRPr="00F7204C" w:rsidTr="00D0524A">
        <w:trPr>
          <w:cnfStyle w:val="000000010000" w:firstRow="0" w:lastRow="0" w:firstColumn="0" w:lastColumn="0" w:oddVBand="0" w:evenVBand="0" w:oddHBand="0" w:evenHBand="1" w:firstRowFirstColumn="0" w:firstRowLastColumn="0" w:lastRowFirstColumn="0" w:lastRowLastColumn="0"/>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Lumo Energy</w:t>
            </w:r>
          </w:p>
        </w:tc>
        <w:tc>
          <w:tcPr>
            <w:tcW w:w="1134" w:type="dxa"/>
            <w:noWrap/>
          </w:tcPr>
          <w:p w:rsidR="00A72524" w:rsidRPr="00946FE7" w:rsidRDefault="00A72524" w:rsidP="00656F19">
            <w:pPr>
              <w:jc w:val="center"/>
            </w:pPr>
          </w:p>
        </w:tc>
        <w:tc>
          <w:tcPr>
            <w:tcW w:w="1134" w:type="dxa"/>
          </w:tcPr>
          <w:p w:rsidR="00A72524" w:rsidRPr="0003660A" w:rsidRDefault="00A72524" w:rsidP="00656F19">
            <w:pPr>
              <w:jc w:val="center"/>
            </w:pPr>
            <w:r w:rsidRPr="0003660A">
              <w:t>5.0%</w:t>
            </w:r>
          </w:p>
        </w:tc>
        <w:tc>
          <w:tcPr>
            <w:tcW w:w="1134" w:type="dxa"/>
            <w:noWrap/>
          </w:tcPr>
          <w:p w:rsidR="00A72524" w:rsidRPr="00946FE7" w:rsidRDefault="00A72524" w:rsidP="00656F19">
            <w:pPr>
              <w:jc w:val="center"/>
            </w:pPr>
          </w:p>
        </w:tc>
        <w:tc>
          <w:tcPr>
            <w:tcW w:w="1134" w:type="dxa"/>
          </w:tcPr>
          <w:p w:rsidR="00A72524" w:rsidRPr="00E378DB" w:rsidRDefault="00A72524" w:rsidP="00656F19">
            <w:pPr>
              <w:jc w:val="center"/>
            </w:pPr>
            <w:r w:rsidRPr="00E378DB">
              <w:t>65.0%</w:t>
            </w:r>
          </w:p>
        </w:tc>
        <w:tc>
          <w:tcPr>
            <w:tcW w:w="1134" w:type="dxa"/>
            <w:noWrap/>
          </w:tcPr>
          <w:p w:rsidR="00A72524" w:rsidRPr="00F7204C" w:rsidRDefault="00A72524" w:rsidP="00656F19">
            <w:pPr>
              <w:jc w:val="center"/>
              <w:rPr>
                <w:rFonts w:eastAsia="Calibri" w:cs="Times New Roman"/>
              </w:rPr>
            </w:pPr>
          </w:p>
        </w:tc>
        <w:tc>
          <w:tcPr>
            <w:tcW w:w="1134" w:type="dxa"/>
          </w:tcPr>
          <w:p w:rsidR="00A72524" w:rsidRPr="004117BC" w:rsidRDefault="00A72524" w:rsidP="00656F19">
            <w:pPr>
              <w:jc w:val="center"/>
            </w:pPr>
            <w:r w:rsidRPr="004117BC">
              <w:t>30.0%</w:t>
            </w:r>
          </w:p>
        </w:tc>
      </w:tr>
      <w:tr w:rsidR="00A72524" w:rsidRPr="00F7204C" w:rsidTr="00D0524A">
        <w:trPr>
          <w:trHeight w:val="300"/>
        </w:trPr>
        <w:tc>
          <w:tcPr>
            <w:tcW w:w="2660" w:type="dxa"/>
            <w:noWrap/>
            <w:hideMark/>
          </w:tcPr>
          <w:p w:rsidR="00A72524" w:rsidRPr="00D0524A" w:rsidRDefault="00A72524" w:rsidP="00A72524">
            <w:pPr>
              <w:rPr>
                <w:rFonts w:eastAsia="Calibri" w:cs="Times New Roman"/>
                <w:bCs/>
              </w:rPr>
            </w:pPr>
            <w:r w:rsidRPr="00D0524A">
              <w:rPr>
                <w:rFonts w:eastAsia="Calibri" w:cs="Times New Roman"/>
                <w:bCs/>
              </w:rPr>
              <w:t>Origin Energy</w:t>
            </w:r>
          </w:p>
        </w:tc>
        <w:tc>
          <w:tcPr>
            <w:tcW w:w="1134" w:type="dxa"/>
            <w:noWrap/>
          </w:tcPr>
          <w:p w:rsidR="00A72524" w:rsidRPr="00946FE7" w:rsidRDefault="00A72524" w:rsidP="00656F19">
            <w:pPr>
              <w:jc w:val="center"/>
            </w:pPr>
          </w:p>
        </w:tc>
        <w:tc>
          <w:tcPr>
            <w:tcW w:w="1134" w:type="dxa"/>
          </w:tcPr>
          <w:p w:rsidR="00A72524" w:rsidRDefault="00A72524" w:rsidP="00656F19">
            <w:pPr>
              <w:jc w:val="center"/>
            </w:pPr>
            <w:r w:rsidRPr="0003660A">
              <w:t>16.3%</w:t>
            </w:r>
          </w:p>
        </w:tc>
        <w:tc>
          <w:tcPr>
            <w:tcW w:w="1134" w:type="dxa"/>
            <w:noWrap/>
          </w:tcPr>
          <w:p w:rsidR="00A72524" w:rsidRPr="00946FE7" w:rsidRDefault="00A72524" w:rsidP="00656F19">
            <w:pPr>
              <w:jc w:val="center"/>
            </w:pPr>
          </w:p>
        </w:tc>
        <w:tc>
          <w:tcPr>
            <w:tcW w:w="1134" w:type="dxa"/>
          </w:tcPr>
          <w:p w:rsidR="00A72524" w:rsidRDefault="00A72524" w:rsidP="00656F19">
            <w:pPr>
              <w:jc w:val="center"/>
            </w:pPr>
            <w:r w:rsidRPr="00E378DB">
              <w:t>55.8%</w:t>
            </w:r>
          </w:p>
        </w:tc>
        <w:tc>
          <w:tcPr>
            <w:tcW w:w="1134" w:type="dxa"/>
            <w:noWrap/>
          </w:tcPr>
          <w:p w:rsidR="00A72524" w:rsidRPr="00F7204C" w:rsidRDefault="00A72524" w:rsidP="00656F19">
            <w:pPr>
              <w:jc w:val="center"/>
              <w:rPr>
                <w:rFonts w:eastAsia="Calibri" w:cs="Times New Roman"/>
              </w:rPr>
            </w:pPr>
          </w:p>
        </w:tc>
        <w:tc>
          <w:tcPr>
            <w:tcW w:w="1134" w:type="dxa"/>
          </w:tcPr>
          <w:p w:rsidR="00A72524" w:rsidRDefault="00A72524" w:rsidP="00656F19">
            <w:pPr>
              <w:jc w:val="center"/>
            </w:pPr>
            <w:r w:rsidRPr="004117BC">
              <w:t>27.9%</w:t>
            </w:r>
          </w:p>
        </w:tc>
      </w:tr>
    </w:tbl>
    <w:p w:rsidR="00A72524" w:rsidRPr="009D6B46" w:rsidRDefault="00A72524" w:rsidP="00A72524"/>
    <w:p w:rsidR="006619E3" w:rsidRDefault="006619E3" w:rsidP="00D818ED">
      <w:pPr>
        <w:keepNext/>
        <w:keepLines/>
        <w:pageBreakBefore/>
        <w:spacing w:before="240"/>
        <w:outlineLvl w:val="0"/>
        <w:rPr>
          <w:rFonts w:eastAsiaTheme="majorEastAsia" w:cs="Arial"/>
          <w:b/>
          <w:bCs/>
          <w:color w:val="70635A"/>
          <w:sz w:val="36"/>
          <w:szCs w:val="36"/>
        </w:rPr>
        <w:sectPr w:rsidR="006619E3" w:rsidSect="00647438">
          <w:pgSz w:w="11906" w:h="16838"/>
          <w:pgMar w:top="1440" w:right="1440" w:bottom="1440" w:left="1440" w:header="708" w:footer="708" w:gutter="0"/>
          <w:cols w:space="708"/>
          <w:titlePg/>
          <w:docGrid w:linePitch="360"/>
        </w:sectPr>
      </w:pPr>
      <w:bookmarkStart w:id="131" w:name="_Toc402959769"/>
      <w:bookmarkStart w:id="132" w:name="_Toc402961442"/>
    </w:p>
    <w:p w:rsidR="001F2C30" w:rsidRPr="00E17DEC" w:rsidRDefault="001F2C30" w:rsidP="00E17DEC">
      <w:pPr>
        <w:pStyle w:val="Headingnumbered11"/>
        <w:numPr>
          <w:ilvl w:val="0"/>
          <w:numId w:val="0"/>
        </w:numPr>
      </w:pPr>
      <w:r w:rsidRPr="00E17DEC">
        <w:lastRenderedPageBreak/>
        <w:t>Appendix 5: Benchmark low income household, annual electricity and gas bills and proportion of income spend</w:t>
      </w:r>
      <w:bookmarkEnd w:id="131"/>
      <w:bookmarkEnd w:id="132"/>
    </w:p>
    <w:tbl>
      <w:tblPr>
        <w:tblStyle w:val="AERTable-Text"/>
        <w:tblW w:w="12074" w:type="dxa"/>
        <w:tblLook w:val="04A0" w:firstRow="1" w:lastRow="0" w:firstColumn="1" w:lastColumn="0" w:noHBand="0" w:noVBand="1"/>
      </w:tblPr>
      <w:tblGrid>
        <w:gridCol w:w="1707"/>
        <w:gridCol w:w="2530"/>
        <w:gridCol w:w="1497"/>
        <w:gridCol w:w="1497"/>
        <w:gridCol w:w="1510"/>
        <w:gridCol w:w="884"/>
        <w:gridCol w:w="939"/>
        <w:gridCol w:w="1510"/>
      </w:tblGrid>
      <w:tr w:rsidR="001F2C30" w:rsidRPr="001F2C30" w:rsidTr="0088439D">
        <w:trPr>
          <w:cnfStyle w:val="100000000000" w:firstRow="1" w:lastRow="0" w:firstColumn="0" w:lastColumn="0" w:oddVBand="0" w:evenVBand="0" w:oddHBand="0" w:evenHBand="0" w:firstRowFirstColumn="0" w:firstRowLastColumn="0" w:lastRowFirstColumn="0" w:lastRowLastColumn="0"/>
        </w:trPr>
        <w:tc>
          <w:tcPr>
            <w:tcW w:w="1707" w:type="dxa"/>
          </w:tcPr>
          <w:p w:rsidR="001F2C30" w:rsidRPr="001F2C30" w:rsidRDefault="001F2C30" w:rsidP="001F2C30">
            <w:r w:rsidRPr="001F2C30">
              <w:t>Jurisdiction</w:t>
            </w:r>
          </w:p>
        </w:tc>
        <w:tc>
          <w:tcPr>
            <w:tcW w:w="2530" w:type="dxa"/>
          </w:tcPr>
          <w:p w:rsidR="001F2C30" w:rsidRPr="001F2C30" w:rsidRDefault="001F2C30" w:rsidP="001F2C30">
            <w:r w:rsidRPr="001F2C30">
              <w:t>Year</w:t>
            </w:r>
          </w:p>
        </w:tc>
        <w:tc>
          <w:tcPr>
            <w:tcW w:w="1497" w:type="dxa"/>
          </w:tcPr>
          <w:p w:rsidR="001F2C30" w:rsidRPr="001F2C30" w:rsidRDefault="001F2C30" w:rsidP="001F2C30">
            <w:r w:rsidRPr="001F2C30">
              <w:t>Electricity</w:t>
            </w:r>
          </w:p>
          <w:p w:rsidR="001F2C30" w:rsidRPr="001F2C30" w:rsidRDefault="001F2C30" w:rsidP="001F2C30">
            <w:r w:rsidRPr="001F2C30">
              <w:t>2013</w:t>
            </w:r>
          </w:p>
        </w:tc>
        <w:tc>
          <w:tcPr>
            <w:tcW w:w="1497" w:type="dxa"/>
          </w:tcPr>
          <w:p w:rsidR="001F2C30" w:rsidRPr="001F2C30" w:rsidRDefault="001F2C30" w:rsidP="001F2C30">
            <w:r w:rsidRPr="001F2C30">
              <w:t>Electricity</w:t>
            </w:r>
          </w:p>
          <w:p w:rsidR="001F2C30" w:rsidRPr="001F2C30" w:rsidRDefault="001F2C30" w:rsidP="001F2C30">
            <w:r w:rsidRPr="001F2C30">
              <w:t>2014</w:t>
            </w:r>
          </w:p>
        </w:tc>
        <w:tc>
          <w:tcPr>
            <w:tcW w:w="1510" w:type="dxa"/>
          </w:tcPr>
          <w:p w:rsidR="001F2C30" w:rsidRPr="001F2C30" w:rsidRDefault="001F2C30" w:rsidP="001F2C30">
            <w:r w:rsidRPr="001F2C30">
              <w:t>Electricity</w:t>
            </w:r>
          </w:p>
          <w:p w:rsidR="001F2C30" w:rsidRPr="001F2C30" w:rsidRDefault="001F2C30" w:rsidP="001F2C30">
            <w:r w:rsidRPr="001F2C30">
              <w:t>% Change</w:t>
            </w:r>
          </w:p>
        </w:tc>
        <w:tc>
          <w:tcPr>
            <w:tcW w:w="884" w:type="dxa"/>
          </w:tcPr>
          <w:p w:rsidR="001F2C30" w:rsidRPr="001F2C30" w:rsidRDefault="001F2C30" w:rsidP="001F2C30">
            <w:r w:rsidRPr="001F2C30">
              <w:t>Gas</w:t>
            </w:r>
          </w:p>
          <w:p w:rsidR="001F2C30" w:rsidRPr="001F2C30" w:rsidRDefault="001F2C30" w:rsidP="001F2C30">
            <w:r w:rsidRPr="001F2C30">
              <w:t>2013</w:t>
            </w:r>
          </w:p>
        </w:tc>
        <w:tc>
          <w:tcPr>
            <w:tcW w:w="939" w:type="dxa"/>
          </w:tcPr>
          <w:p w:rsidR="001F2C30" w:rsidRPr="001F2C30" w:rsidRDefault="001F2C30" w:rsidP="001F2C30">
            <w:r w:rsidRPr="001F2C30">
              <w:t>Gas</w:t>
            </w:r>
          </w:p>
          <w:p w:rsidR="001F2C30" w:rsidRPr="001F2C30" w:rsidRDefault="001F2C30" w:rsidP="001F2C30">
            <w:r w:rsidRPr="001F2C30">
              <w:t>2014</w:t>
            </w:r>
          </w:p>
        </w:tc>
        <w:tc>
          <w:tcPr>
            <w:tcW w:w="1510" w:type="dxa"/>
          </w:tcPr>
          <w:p w:rsidR="001F2C30" w:rsidRPr="001F2C30" w:rsidRDefault="001F2C30" w:rsidP="001F2C30">
            <w:r w:rsidRPr="001F2C30">
              <w:t>Gas</w:t>
            </w:r>
          </w:p>
          <w:p w:rsidR="001F2C30" w:rsidRPr="001F2C30" w:rsidRDefault="001F2C30" w:rsidP="001F2C30">
            <w:r w:rsidRPr="001F2C30">
              <w:t>% Change</w:t>
            </w:r>
          </w:p>
        </w:tc>
      </w:tr>
      <w:tr w:rsidR="001F2C30" w:rsidRPr="001F2C30" w:rsidTr="0088439D">
        <w:tc>
          <w:tcPr>
            <w:tcW w:w="1707" w:type="dxa"/>
          </w:tcPr>
          <w:p w:rsidR="001F2C30" w:rsidRPr="001F2C30" w:rsidRDefault="001F2C30" w:rsidP="001F2C30">
            <w:r w:rsidRPr="001F2C30">
              <w:t>Qld</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1300</w:t>
            </w:r>
          </w:p>
        </w:tc>
        <w:tc>
          <w:tcPr>
            <w:tcW w:w="1497" w:type="dxa"/>
          </w:tcPr>
          <w:p w:rsidR="001F2C30" w:rsidRPr="001F2C30" w:rsidRDefault="001F2C30" w:rsidP="001F2C30">
            <w:pPr>
              <w:jc w:val="right"/>
            </w:pPr>
            <w:r w:rsidRPr="001F2C30">
              <w:t>1584</w:t>
            </w:r>
          </w:p>
        </w:tc>
        <w:tc>
          <w:tcPr>
            <w:tcW w:w="1510" w:type="dxa"/>
          </w:tcPr>
          <w:p w:rsidR="001F2C30" w:rsidRPr="001F2C30" w:rsidRDefault="001F2C30" w:rsidP="001F2C30">
            <w:pPr>
              <w:jc w:val="right"/>
            </w:pPr>
            <w:r w:rsidRPr="001F2C30">
              <w:t>21.8</w:t>
            </w:r>
          </w:p>
        </w:tc>
        <w:tc>
          <w:tcPr>
            <w:tcW w:w="884" w:type="dxa"/>
          </w:tcPr>
          <w:p w:rsidR="001F2C30" w:rsidRPr="001F2C30" w:rsidRDefault="001F2C30" w:rsidP="001F2C30">
            <w:pPr>
              <w:jc w:val="right"/>
            </w:pPr>
            <w:r w:rsidRPr="001F2C30">
              <w:t>647</w:t>
            </w:r>
          </w:p>
        </w:tc>
        <w:tc>
          <w:tcPr>
            <w:tcW w:w="939" w:type="dxa"/>
          </w:tcPr>
          <w:p w:rsidR="001F2C30" w:rsidRPr="001F2C30" w:rsidRDefault="001F2C30" w:rsidP="001F2C30">
            <w:pPr>
              <w:jc w:val="right"/>
            </w:pPr>
            <w:r w:rsidRPr="001F2C30">
              <w:t>702</w:t>
            </w:r>
          </w:p>
        </w:tc>
        <w:tc>
          <w:tcPr>
            <w:tcW w:w="1510" w:type="dxa"/>
          </w:tcPr>
          <w:p w:rsidR="001F2C30" w:rsidRPr="001F2C30" w:rsidRDefault="001F2C30" w:rsidP="001F2C30">
            <w:pPr>
              <w:jc w:val="right"/>
            </w:pPr>
            <w:r w:rsidRPr="001F2C30">
              <w:t>8.5</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Qld</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4.0</w:t>
            </w:r>
          </w:p>
        </w:tc>
        <w:tc>
          <w:tcPr>
            <w:tcW w:w="1497" w:type="dxa"/>
          </w:tcPr>
          <w:p w:rsidR="001F2C30" w:rsidRPr="001F2C30" w:rsidRDefault="001F2C30" w:rsidP="001F2C30">
            <w:pPr>
              <w:jc w:val="right"/>
            </w:pPr>
            <w:r w:rsidRPr="001F2C30">
              <w:t>4.8</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2.0</w:t>
            </w:r>
          </w:p>
        </w:tc>
        <w:tc>
          <w:tcPr>
            <w:tcW w:w="939" w:type="dxa"/>
          </w:tcPr>
          <w:p w:rsidR="001F2C30" w:rsidRPr="001F2C30" w:rsidRDefault="001F2C30" w:rsidP="001F2C30">
            <w:pPr>
              <w:jc w:val="right"/>
            </w:pPr>
            <w:r w:rsidRPr="001F2C30">
              <w:t>2.1</w:t>
            </w:r>
          </w:p>
        </w:tc>
        <w:tc>
          <w:tcPr>
            <w:tcW w:w="1510" w:type="dxa"/>
          </w:tcPr>
          <w:p w:rsidR="001F2C30" w:rsidRPr="001F2C30" w:rsidRDefault="001F2C30" w:rsidP="001F2C30">
            <w:pPr>
              <w:jc w:val="right"/>
            </w:pPr>
            <w:r w:rsidRPr="001F2C30">
              <w:t>N/A</w:t>
            </w:r>
          </w:p>
        </w:tc>
      </w:tr>
      <w:tr w:rsidR="001F2C30" w:rsidRPr="001F2C30" w:rsidTr="0088439D">
        <w:tc>
          <w:tcPr>
            <w:tcW w:w="1707" w:type="dxa"/>
          </w:tcPr>
          <w:p w:rsidR="001F2C30" w:rsidRPr="001F2C30" w:rsidRDefault="001F2C30" w:rsidP="001F2C30">
            <w:r w:rsidRPr="001F2C30">
              <w:t>NSW</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1646</w:t>
            </w:r>
          </w:p>
        </w:tc>
        <w:tc>
          <w:tcPr>
            <w:tcW w:w="1497" w:type="dxa"/>
          </w:tcPr>
          <w:p w:rsidR="001F2C30" w:rsidRPr="001F2C30" w:rsidRDefault="001F2C30" w:rsidP="001F2C30">
            <w:pPr>
              <w:jc w:val="right"/>
            </w:pPr>
            <w:r w:rsidRPr="001F2C30">
              <w:t>1718</w:t>
            </w:r>
          </w:p>
        </w:tc>
        <w:tc>
          <w:tcPr>
            <w:tcW w:w="1510" w:type="dxa"/>
          </w:tcPr>
          <w:p w:rsidR="001F2C30" w:rsidRPr="001F2C30" w:rsidRDefault="001F2C30" w:rsidP="001F2C30">
            <w:pPr>
              <w:jc w:val="right"/>
            </w:pPr>
            <w:r w:rsidRPr="001F2C30">
              <w:t>4.3</w:t>
            </w:r>
          </w:p>
        </w:tc>
        <w:tc>
          <w:tcPr>
            <w:tcW w:w="884" w:type="dxa"/>
          </w:tcPr>
          <w:p w:rsidR="001F2C30" w:rsidRPr="001F2C30" w:rsidRDefault="001F2C30" w:rsidP="001F2C30">
            <w:pPr>
              <w:jc w:val="right"/>
            </w:pPr>
            <w:r w:rsidRPr="001F2C30">
              <w:t>827</w:t>
            </w:r>
          </w:p>
        </w:tc>
        <w:tc>
          <w:tcPr>
            <w:tcW w:w="939" w:type="dxa"/>
          </w:tcPr>
          <w:p w:rsidR="001F2C30" w:rsidRPr="001F2C30" w:rsidRDefault="001F2C30" w:rsidP="001F2C30">
            <w:pPr>
              <w:jc w:val="right"/>
            </w:pPr>
            <w:r w:rsidRPr="001F2C30">
              <w:t>863</w:t>
            </w:r>
          </w:p>
        </w:tc>
        <w:tc>
          <w:tcPr>
            <w:tcW w:w="1510" w:type="dxa"/>
          </w:tcPr>
          <w:p w:rsidR="001F2C30" w:rsidRPr="001F2C30" w:rsidRDefault="001F2C30" w:rsidP="001F2C30">
            <w:pPr>
              <w:jc w:val="right"/>
            </w:pPr>
            <w:r w:rsidRPr="001F2C30">
              <w:t>4.5</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NSW</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5.0</w:t>
            </w:r>
          </w:p>
        </w:tc>
        <w:tc>
          <w:tcPr>
            <w:tcW w:w="1497" w:type="dxa"/>
          </w:tcPr>
          <w:p w:rsidR="001F2C30" w:rsidRPr="001F2C30" w:rsidRDefault="001F2C30" w:rsidP="001F2C30">
            <w:pPr>
              <w:jc w:val="right"/>
            </w:pPr>
            <w:r w:rsidRPr="001F2C30">
              <w:t>5.1</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2.5</w:t>
            </w:r>
          </w:p>
        </w:tc>
        <w:tc>
          <w:tcPr>
            <w:tcW w:w="939" w:type="dxa"/>
          </w:tcPr>
          <w:p w:rsidR="001F2C30" w:rsidRPr="001F2C30" w:rsidRDefault="001F2C30" w:rsidP="001F2C30">
            <w:pPr>
              <w:jc w:val="right"/>
            </w:pPr>
            <w:r w:rsidRPr="001F2C30">
              <w:t>2.6</w:t>
            </w:r>
          </w:p>
        </w:tc>
        <w:tc>
          <w:tcPr>
            <w:tcW w:w="1510" w:type="dxa"/>
          </w:tcPr>
          <w:p w:rsidR="001F2C30" w:rsidRPr="001F2C30" w:rsidRDefault="001F2C30" w:rsidP="001F2C30">
            <w:pPr>
              <w:jc w:val="right"/>
            </w:pPr>
            <w:r w:rsidRPr="001F2C30">
              <w:t>N/A</w:t>
            </w:r>
          </w:p>
        </w:tc>
      </w:tr>
      <w:tr w:rsidR="001F2C30" w:rsidRPr="001F2C30" w:rsidTr="0088439D">
        <w:tc>
          <w:tcPr>
            <w:tcW w:w="1707" w:type="dxa"/>
          </w:tcPr>
          <w:p w:rsidR="001F2C30" w:rsidRPr="001F2C30" w:rsidRDefault="001F2C30" w:rsidP="001F2C30">
            <w:r w:rsidRPr="001F2C30">
              <w:t>Vic</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1504</w:t>
            </w:r>
          </w:p>
        </w:tc>
        <w:tc>
          <w:tcPr>
            <w:tcW w:w="1497" w:type="dxa"/>
          </w:tcPr>
          <w:p w:rsidR="001F2C30" w:rsidRPr="001F2C30" w:rsidRDefault="001F2C30" w:rsidP="001F2C30">
            <w:pPr>
              <w:jc w:val="right"/>
            </w:pPr>
            <w:r w:rsidRPr="001F2C30">
              <w:t>1515</w:t>
            </w:r>
          </w:p>
        </w:tc>
        <w:tc>
          <w:tcPr>
            <w:tcW w:w="1510" w:type="dxa"/>
          </w:tcPr>
          <w:p w:rsidR="001F2C30" w:rsidRPr="001F2C30" w:rsidRDefault="001F2C30" w:rsidP="001F2C30">
            <w:pPr>
              <w:jc w:val="right"/>
            </w:pPr>
            <w:r w:rsidRPr="001F2C30">
              <w:t>0.7</w:t>
            </w:r>
          </w:p>
        </w:tc>
        <w:tc>
          <w:tcPr>
            <w:tcW w:w="884" w:type="dxa"/>
          </w:tcPr>
          <w:p w:rsidR="001F2C30" w:rsidRPr="001F2C30" w:rsidRDefault="001F2C30" w:rsidP="001F2C30">
            <w:pPr>
              <w:jc w:val="right"/>
            </w:pPr>
            <w:r w:rsidRPr="001F2C30">
              <w:t>1190</w:t>
            </w:r>
          </w:p>
        </w:tc>
        <w:tc>
          <w:tcPr>
            <w:tcW w:w="939" w:type="dxa"/>
          </w:tcPr>
          <w:p w:rsidR="001F2C30" w:rsidRPr="001F2C30" w:rsidRDefault="001F2C30" w:rsidP="001F2C30">
            <w:pPr>
              <w:jc w:val="right"/>
            </w:pPr>
            <w:r w:rsidRPr="001F2C30">
              <w:t>1256</w:t>
            </w:r>
          </w:p>
        </w:tc>
        <w:tc>
          <w:tcPr>
            <w:tcW w:w="1510" w:type="dxa"/>
          </w:tcPr>
          <w:p w:rsidR="001F2C30" w:rsidRPr="001F2C30" w:rsidRDefault="001F2C30" w:rsidP="001F2C30">
            <w:pPr>
              <w:jc w:val="right"/>
            </w:pPr>
            <w:r w:rsidRPr="001F2C30">
              <w:t>5.6</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Vic</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4.6</w:t>
            </w:r>
          </w:p>
        </w:tc>
        <w:tc>
          <w:tcPr>
            <w:tcW w:w="1497" w:type="dxa"/>
          </w:tcPr>
          <w:p w:rsidR="001F2C30" w:rsidRPr="001F2C30" w:rsidRDefault="001F2C30" w:rsidP="001F2C30">
            <w:pPr>
              <w:jc w:val="right"/>
            </w:pPr>
            <w:r w:rsidRPr="001F2C30">
              <w:t>4.5</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3.7</w:t>
            </w:r>
          </w:p>
        </w:tc>
        <w:tc>
          <w:tcPr>
            <w:tcW w:w="939" w:type="dxa"/>
          </w:tcPr>
          <w:p w:rsidR="001F2C30" w:rsidRPr="001F2C30" w:rsidRDefault="001F2C30" w:rsidP="001F2C30">
            <w:pPr>
              <w:jc w:val="right"/>
            </w:pPr>
            <w:r w:rsidRPr="001F2C30">
              <w:t>3.7</w:t>
            </w:r>
          </w:p>
        </w:tc>
        <w:tc>
          <w:tcPr>
            <w:tcW w:w="1510" w:type="dxa"/>
          </w:tcPr>
          <w:p w:rsidR="001F2C30" w:rsidRPr="001F2C30" w:rsidRDefault="001F2C30" w:rsidP="001F2C30">
            <w:pPr>
              <w:jc w:val="right"/>
            </w:pPr>
            <w:r w:rsidRPr="001F2C30">
              <w:t>N/A</w:t>
            </w:r>
          </w:p>
        </w:tc>
      </w:tr>
      <w:tr w:rsidR="001F2C30" w:rsidRPr="001F2C30" w:rsidTr="0088439D">
        <w:tc>
          <w:tcPr>
            <w:tcW w:w="1707" w:type="dxa"/>
          </w:tcPr>
          <w:p w:rsidR="001F2C30" w:rsidRPr="001F2C30" w:rsidRDefault="001F2C30" w:rsidP="001F2C30">
            <w:r w:rsidRPr="001F2C30">
              <w:t>SA</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1809</w:t>
            </w:r>
          </w:p>
        </w:tc>
        <w:tc>
          <w:tcPr>
            <w:tcW w:w="1497" w:type="dxa"/>
          </w:tcPr>
          <w:p w:rsidR="001F2C30" w:rsidRPr="001F2C30" w:rsidRDefault="001F2C30" w:rsidP="001F2C30">
            <w:pPr>
              <w:jc w:val="right"/>
            </w:pPr>
            <w:r w:rsidRPr="001F2C30">
              <w:t>1866</w:t>
            </w:r>
          </w:p>
        </w:tc>
        <w:tc>
          <w:tcPr>
            <w:tcW w:w="1510" w:type="dxa"/>
          </w:tcPr>
          <w:p w:rsidR="001F2C30" w:rsidRPr="001F2C30" w:rsidRDefault="001F2C30" w:rsidP="001F2C30">
            <w:pPr>
              <w:jc w:val="right"/>
            </w:pPr>
            <w:r w:rsidRPr="001F2C30">
              <w:t>3.1</w:t>
            </w:r>
          </w:p>
        </w:tc>
        <w:tc>
          <w:tcPr>
            <w:tcW w:w="884" w:type="dxa"/>
          </w:tcPr>
          <w:p w:rsidR="001F2C30" w:rsidRPr="001F2C30" w:rsidRDefault="001F2C30" w:rsidP="001F2C30">
            <w:pPr>
              <w:jc w:val="right"/>
            </w:pPr>
            <w:r w:rsidRPr="001F2C30">
              <w:t>902</w:t>
            </w:r>
          </w:p>
        </w:tc>
        <w:tc>
          <w:tcPr>
            <w:tcW w:w="939" w:type="dxa"/>
          </w:tcPr>
          <w:p w:rsidR="001F2C30" w:rsidRPr="001F2C30" w:rsidRDefault="001F2C30" w:rsidP="001F2C30">
            <w:pPr>
              <w:jc w:val="right"/>
            </w:pPr>
            <w:r w:rsidRPr="001F2C30">
              <w:t>996</w:t>
            </w:r>
          </w:p>
        </w:tc>
        <w:tc>
          <w:tcPr>
            <w:tcW w:w="1510" w:type="dxa"/>
          </w:tcPr>
          <w:p w:rsidR="001F2C30" w:rsidRPr="001F2C30" w:rsidRDefault="001F2C30" w:rsidP="001F2C30">
            <w:pPr>
              <w:jc w:val="right"/>
            </w:pPr>
            <w:r w:rsidRPr="001F2C30">
              <w:t>10.4</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SA</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6.1</w:t>
            </w:r>
          </w:p>
        </w:tc>
        <w:tc>
          <w:tcPr>
            <w:tcW w:w="1497" w:type="dxa"/>
          </w:tcPr>
          <w:p w:rsidR="001F2C30" w:rsidRPr="001F2C30" w:rsidRDefault="001F2C30" w:rsidP="001F2C30">
            <w:pPr>
              <w:jc w:val="right"/>
            </w:pPr>
            <w:r w:rsidRPr="001F2C30">
              <w:t>6.1</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3.1</w:t>
            </w:r>
          </w:p>
        </w:tc>
        <w:tc>
          <w:tcPr>
            <w:tcW w:w="939" w:type="dxa"/>
          </w:tcPr>
          <w:p w:rsidR="001F2C30" w:rsidRPr="001F2C30" w:rsidRDefault="001F2C30" w:rsidP="001F2C30">
            <w:pPr>
              <w:jc w:val="right"/>
            </w:pPr>
            <w:r w:rsidRPr="001F2C30">
              <w:t>3.3</w:t>
            </w:r>
          </w:p>
        </w:tc>
        <w:tc>
          <w:tcPr>
            <w:tcW w:w="1510" w:type="dxa"/>
          </w:tcPr>
          <w:p w:rsidR="001F2C30" w:rsidRPr="001F2C30" w:rsidRDefault="001F2C30" w:rsidP="001F2C30">
            <w:pPr>
              <w:jc w:val="right"/>
            </w:pPr>
            <w:r w:rsidRPr="001F2C30">
              <w:t>N/A</w:t>
            </w:r>
          </w:p>
        </w:tc>
      </w:tr>
      <w:tr w:rsidR="001F2C30" w:rsidRPr="001F2C30" w:rsidTr="0088439D">
        <w:tc>
          <w:tcPr>
            <w:tcW w:w="1707" w:type="dxa"/>
          </w:tcPr>
          <w:p w:rsidR="001F2C30" w:rsidRPr="001F2C30" w:rsidRDefault="001F2C30" w:rsidP="001F2C30">
            <w:r w:rsidRPr="001F2C30">
              <w:t>Tas</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2610</w:t>
            </w:r>
          </w:p>
        </w:tc>
        <w:tc>
          <w:tcPr>
            <w:tcW w:w="1497" w:type="dxa"/>
          </w:tcPr>
          <w:p w:rsidR="001F2C30" w:rsidRPr="001F2C30" w:rsidRDefault="001F2C30" w:rsidP="001F2C30">
            <w:pPr>
              <w:jc w:val="right"/>
            </w:pPr>
            <w:r w:rsidRPr="001F2C30">
              <w:t>2518</w:t>
            </w:r>
          </w:p>
        </w:tc>
        <w:tc>
          <w:tcPr>
            <w:tcW w:w="1510" w:type="dxa"/>
          </w:tcPr>
          <w:p w:rsidR="001F2C30" w:rsidRPr="001F2C30" w:rsidRDefault="001F2C30" w:rsidP="001F2C30">
            <w:pPr>
              <w:jc w:val="right"/>
            </w:pPr>
            <w:r w:rsidRPr="001F2C30">
              <w:t>-3.5</w:t>
            </w:r>
          </w:p>
        </w:tc>
        <w:tc>
          <w:tcPr>
            <w:tcW w:w="884" w:type="dxa"/>
          </w:tcPr>
          <w:p w:rsidR="001F2C30" w:rsidRPr="001F2C30" w:rsidRDefault="001F2C30" w:rsidP="001F2C30">
            <w:pPr>
              <w:jc w:val="right"/>
            </w:pPr>
            <w:r w:rsidRPr="001F2C30">
              <w:t>N/A</w:t>
            </w:r>
          </w:p>
        </w:tc>
        <w:tc>
          <w:tcPr>
            <w:tcW w:w="939" w:type="dxa"/>
          </w:tcPr>
          <w:p w:rsidR="001F2C30" w:rsidRPr="001F2C30" w:rsidRDefault="001F2C30" w:rsidP="001F2C30">
            <w:pPr>
              <w:jc w:val="right"/>
            </w:pPr>
            <w:r w:rsidRPr="001F2C30">
              <w:t>N/A</w:t>
            </w:r>
          </w:p>
        </w:tc>
        <w:tc>
          <w:tcPr>
            <w:tcW w:w="1510" w:type="dxa"/>
          </w:tcPr>
          <w:p w:rsidR="001F2C30" w:rsidRPr="001F2C30" w:rsidRDefault="001F2C30" w:rsidP="001F2C30">
            <w:pPr>
              <w:jc w:val="right"/>
            </w:pPr>
            <w:r w:rsidRPr="001F2C30">
              <w:t>N/A</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Tas</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9.5</w:t>
            </w:r>
          </w:p>
        </w:tc>
        <w:tc>
          <w:tcPr>
            <w:tcW w:w="1497" w:type="dxa"/>
          </w:tcPr>
          <w:p w:rsidR="001F2C30" w:rsidRPr="001F2C30" w:rsidRDefault="001F2C30" w:rsidP="001F2C30">
            <w:pPr>
              <w:jc w:val="right"/>
            </w:pPr>
            <w:r w:rsidRPr="001F2C30">
              <w:t>8.9</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N/A</w:t>
            </w:r>
          </w:p>
        </w:tc>
        <w:tc>
          <w:tcPr>
            <w:tcW w:w="939" w:type="dxa"/>
          </w:tcPr>
          <w:p w:rsidR="001F2C30" w:rsidRPr="001F2C30" w:rsidRDefault="001F2C30" w:rsidP="001F2C30">
            <w:pPr>
              <w:jc w:val="right"/>
            </w:pPr>
            <w:r w:rsidRPr="001F2C30">
              <w:t>N/A</w:t>
            </w:r>
          </w:p>
        </w:tc>
        <w:tc>
          <w:tcPr>
            <w:tcW w:w="1510" w:type="dxa"/>
          </w:tcPr>
          <w:p w:rsidR="001F2C30" w:rsidRPr="001F2C30" w:rsidRDefault="001F2C30" w:rsidP="001F2C30">
            <w:pPr>
              <w:jc w:val="right"/>
            </w:pPr>
            <w:r w:rsidRPr="001F2C30">
              <w:t>N/A</w:t>
            </w:r>
          </w:p>
        </w:tc>
      </w:tr>
      <w:tr w:rsidR="001F2C30" w:rsidRPr="001F2C30" w:rsidTr="0088439D">
        <w:tc>
          <w:tcPr>
            <w:tcW w:w="1707" w:type="dxa"/>
          </w:tcPr>
          <w:p w:rsidR="001F2C30" w:rsidRPr="001F2C30" w:rsidRDefault="001F2C30" w:rsidP="001F2C30">
            <w:r w:rsidRPr="001F2C30">
              <w:t>ACT</w:t>
            </w:r>
          </w:p>
        </w:tc>
        <w:tc>
          <w:tcPr>
            <w:tcW w:w="2530" w:type="dxa"/>
          </w:tcPr>
          <w:p w:rsidR="001F2C30" w:rsidRPr="001F2C30" w:rsidRDefault="001F2C30" w:rsidP="001F2C30">
            <w:r w:rsidRPr="001F2C30">
              <w:t>Annual bill ($)</w:t>
            </w:r>
          </w:p>
        </w:tc>
        <w:tc>
          <w:tcPr>
            <w:tcW w:w="1497" w:type="dxa"/>
          </w:tcPr>
          <w:p w:rsidR="001F2C30" w:rsidRPr="001F2C30" w:rsidRDefault="001F2C30" w:rsidP="001F2C30">
            <w:pPr>
              <w:jc w:val="right"/>
            </w:pPr>
            <w:r w:rsidRPr="001F2C30">
              <w:t>1597</w:t>
            </w:r>
          </w:p>
        </w:tc>
        <w:tc>
          <w:tcPr>
            <w:tcW w:w="1497" w:type="dxa"/>
          </w:tcPr>
          <w:p w:rsidR="001F2C30" w:rsidRPr="001F2C30" w:rsidRDefault="001F2C30" w:rsidP="001F2C30">
            <w:pPr>
              <w:jc w:val="right"/>
            </w:pPr>
            <w:r w:rsidRPr="001F2C30">
              <w:t>1696</w:t>
            </w:r>
          </w:p>
        </w:tc>
        <w:tc>
          <w:tcPr>
            <w:tcW w:w="1510" w:type="dxa"/>
          </w:tcPr>
          <w:p w:rsidR="001F2C30" w:rsidRPr="001F2C30" w:rsidRDefault="001F2C30" w:rsidP="001F2C30">
            <w:pPr>
              <w:jc w:val="right"/>
            </w:pPr>
            <w:r w:rsidRPr="001F2C30">
              <w:t>6.2</w:t>
            </w:r>
          </w:p>
        </w:tc>
        <w:tc>
          <w:tcPr>
            <w:tcW w:w="884" w:type="dxa"/>
          </w:tcPr>
          <w:p w:rsidR="001F2C30" w:rsidRPr="001F2C30" w:rsidRDefault="001F2C30" w:rsidP="001F2C30">
            <w:pPr>
              <w:jc w:val="right"/>
            </w:pPr>
            <w:r w:rsidRPr="001F2C30">
              <w:t>1439</w:t>
            </w:r>
          </w:p>
        </w:tc>
        <w:tc>
          <w:tcPr>
            <w:tcW w:w="939" w:type="dxa"/>
          </w:tcPr>
          <w:p w:rsidR="001F2C30" w:rsidRPr="001F2C30" w:rsidRDefault="001F2C30" w:rsidP="001F2C30">
            <w:pPr>
              <w:jc w:val="right"/>
            </w:pPr>
            <w:r w:rsidRPr="001F2C30">
              <w:t>1617</w:t>
            </w:r>
          </w:p>
        </w:tc>
        <w:tc>
          <w:tcPr>
            <w:tcW w:w="1510" w:type="dxa"/>
          </w:tcPr>
          <w:p w:rsidR="001F2C30" w:rsidRPr="001F2C30" w:rsidRDefault="001F2C30" w:rsidP="001F2C30">
            <w:pPr>
              <w:jc w:val="right"/>
            </w:pPr>
            <w:r w:rsidRPr="001F2C30">
              <w:t>12.4</w:t>
            </w:r>
          </w:p>
        </w:tc>
      </w:tr>
      <w:tr w:rsidR="001F2C30" w:rsidRPr="001F2C30" w:rsidTr="0088439D">
        <w:trPr>
          <w:cnfStyle w:val="000000010000" w:firstRow="0" w:lastRow="0" w:firstColumn="0" w:lastColumn="0" w:oddVBand="0" w:evenVBand="0" w:oddHBand="0" w:evenHBand="1" w:firstRowFirstColumn="0" w:firstRowLastColumn="0" w:lastRowFirstColumn="0" w:lastRowLastColumn="0"/>
        </w:trPr>
        <w:tc>
          <w:tcPr>
            <w:tcW w:w="1707" w:type="dxa"/>
          </w:tcPr>
          <w:p w:rsidR="001F2C30" w:rsidRPr="001F2C30" w:rsidRDefault="001F2C30" w:rsidP="001F2C30">
            <w:r w:rsidRPr="001F2C30">
              <w:t>ACT</w:t>
            </w:r>
          </w:p>
        </w:tc>
        <w:tc>
          <w:tcPr>
            <w:tcW w:w="2530" w:type="dxa"/>
          </w:tcPr>
          <w:p w:rsidR="001F2C30" w:rsidRPr="001F2C30" w:rsidRDefault="001F2C30" w:rsidP="001F2C30">
            <w:r w:rsidRPr="001F2C30">
              <w:t>Percentage of income (%)</w:t>
            </w:r>
          </w:p>
        </w:tc>
        <w:tc>
          <w:tcPr>
            <w:tcW w:w="1497" w:type="dxa"/>
          </w:tcPr>
          <w:p w:rsidR="001F2C30" w:rsidRPr="001F2C30" w:rsidRDefault="001F2C30" w:rsidP="001F2C30">
            <w:pPr>
              <w:jc w:val="right"/>
            </w:pPr>
            <w:r w:rsidRPr="001F2C30">
              <w:t>3.2</w:t>
            </w:r>
          </w:p>
        </w:tc>
        <w:tc>
          <w:tcPr>
            <w:tcW w:w="1497" w:type="dxa"/>
          </w:tcPr>
          <w:p w:rsidR="001F2C30" w:rsidRPr="001F2C30" w:rsidRDefault="001F2C30" w:rsidP="001F2C30">
            <w:pPr>
              <w:jc w:val="right"/>
            </w:pPr>
            <w:r w:rsidRPr="001F2C30">
              <w:t>3.3</w:t>
            </w:r>
          </w:p>
        </w:tc>
        <w:tc>
          <w:tcPr>
            <w:tcW w:w="1510" w:type="dxa"/>
          </w:tcPr>
          <w:p w:rsidR="001F2C30" w:rsidRPr="001F2C30" w:rsidRDefault="001F2C30" w:rsidP="001F2C30">
            <w:pPr>
              <w:jc w:val="right"/>
            </w:pPr>
            <w:r w:rsidRPr="001F2C30">
              <w:t>N/A</w:t>
            </w:r>
          </w:p>
        </w:tc>
        <w:tc>
          <w:tcPr>
            <w:tcW w:w="884" w:type="dxa"/>
          </w:tcPr>
          <w:p w:rsidR="001F2C30" w:rsidRPr="001F2C30" w:rsidRDefault="001F2C30" w:rsidP="001F2C30">
            <w:pPr>
              <w:jc w:val="right"/>
            </w:pPr>
            <w:r w:rsidRPr="001F2C30">
              <w:t>2.9</w:t>
            </w:r>
          </w:p>
        </w:tc>
        <w:tc>
          <w:tcPr>
            <w:tcW w:w="939" w:type="dxa"/>
          </w:tcPr>
          <w:p w:rsidR="001F2C30" w:rsidRPr="001F2C30" w:rsidRDefault="001F2C30" w:rsidP="001F2C30">
            <w:pPr>
              <w:jc w:val="right"/>
            </w:pPr>
            <w:r w:rsidRPr="001F2C30">
              <w:t>3.2</w:t>
            </w:r>
          </w:p>
        </w:tc>
        <w:tc>
          <w:tcPr>
            <w:tcW w:w="1510" w:type="dxa"/>
          </w:tcPr>
          <w:p w:rsidR="001F2C30" w:rsidRPr="001F2C30" w:rsidRDefault="001F2C30" w:rsidP="001F2C30">
            <w:pPr>
              <w:jc w:val="right"/>
            </w:pPr>
            <w:r w:rsidRPr="001F2C30">
              <w:t>N/A</w:t>
            </w:r>
          </w:p>
        </w:tc>
      </w:tr>
    </w:tbl>
    <w:p w:rsidR="001F2C30" w:rsidRPr="001F2C30" w:rsidRDefault="001F2C30" w:rsidP="001F2C30"/>
    <w:p w:rsidR="001F2C30" w:rsidRPr="00E17DEC" w:rsidRDefault="00362F93" w:rsidP="00E17DEC">
      <w:pPr>
        <w:pStyle w:val="Headingnumbered11"/>
        <w:numPr>
          <w:ilvl w:val="0"/>
          <w:numId w:val="0"/>
        </w:numPr>
      </w:pPr>
      <w:bookmarkStart w:id="133" w:name="_Toc402959770"/>
      <w:bookmarkStart w:id="134" w:name="_Toc402961443"/>
      <w:r w:rsidRPr="00E17DEC">
        <w:lastRenderedPageBreak/>
        <w:t>Appendix 6</w:t>
      </w:r>
      <w:r w:rsidR="001F2C30" w:rsidRPr="00E17DEC">
        <w:t>: Benchmark middle and high income households, annual bills and proportion of income spend</w:t>
      </w:r>
      <w:bookmarkEnd w:id="133"/>
      <w:bookmarkEnd w:id="134"/>
    </w:p>
    <w:tbl>
      <w:tblPr>
        <w:tblStyle w:val="AERTable-Text"/>
        <w:tblW w:w="12780" w:type="dxa"/>
        <w:tblLook w:val="04A0" w:firstRow="1" w:lastRow="0" w:firstColumn="1" w:lastColumn="0" w:noHBand="0" w:noVBand="1"/>
      </w:tblPr>
      <w:tblGrid>
        <w:gridCol w:w="1710"/>
        <w:gridCol w:w="3288"/>
        <w:gridCol w:w="1497"/>
        <w:gridCol w:w="1497"/>
        <w:gridCol w:w="1510"/>
        <w:gridCol w:w="884"/>
        <w:gridCol w:w="884"/>
        <w:gridCol w:w="1510"/>
      </w:tblGrid>
      <w:tr w:rsidR="001F2C30" w:rsidRPr="001F2C30" w:rsidTr="0088439D">
        <w:trPr>
          <w:cnfStyle w:val="100000000000" w:firstRow="1" w:lastRow="0" w:firstColumn="0" w:lastColumn="0" w:oddVBand="0" w:evenVBand="0" w:oddHBand="0" w:evenHBand="0" w:firstRowFirstColumn="0" w:firstRowLastColumn="0" w:lastRowFirstColumn="0" w:lastRowLastColumn="0"/>
        </w:trPr>
        <w:tc>
          <w:tcPr>
            <w:tcW w:w="1710" w:type="dxa"/>
          </w:tcPr>
          <w:p w:rsidR="001F2C30" w:rsidRPr="001F2C30" w:rsidRDefault="001F2C30" w:rsidP="001F2C30">
            <w:r w:rsidRPr="001F2C30">
              <w:t>Jurisdiction</w:t>
            </w:r>
          </w:p>
        </w:tc>
        <w:tc>
          <w:tcPr>
            <w:tcW w:w="3288" w:type="dxa"/>
          </w:tcPr>
          <w:p w:rsidR="001F2C30" w:rsidRPr="001F2C30" w:rsidRDefault="001F2C30" w:rsidP="001F2C30">
            <w:r w:rsidRPr="001F2C30">
              <w:t>Year</w:t>
            </w:r>
          </w:p>
        </w:tc>
        <w:tc>
          <w:tcPr>
            <w:tcW w:w="1497" w:type="dxa"/>
          </w:tcPr>
          <w:p w:rsidR="001F2C30" w:rsidRPr="001F2C30" w:rsidRDefault="001F2C30" w:rsidP="001F2C30">
            <w:r w:rsidRPr="001F2C30">
              <w:t>Electricity</w:t>
            </w:r>
          </w:p>
          <w:p w:rsidR="001F2C30" w:rsidRPr="001F2C30" w:rsidRDefault="001F2C30" w:rsidP="001F2C30">
            <w:r w:rsidRPr="001F2C30">
              <w:t>2013</w:t>
            </w:r>
          </w:p>
        </w:tc>
        <w:tc>
          <w:tcPr>
            <w:tcW w:w="1497" w:type="dxa"/>
          </w:tcPr>
          <w:p w:rsidR="001F2C30" w:rsidRPr="001F2C30" w:rsidRDefault="001F2C30" w:rsidP="001F2C30">
            <w:r w:rsidRPr="001F2C30">
              <w:t>Electricity</w:t>
            </w:r>
          </w:p>
          <w:p w:rsidR="001F2C30" w:rsidRPr="001F2C30" w:rsidRDefault="001F2C30" w:rsidP="001F2C30">
            <w:r w:rsidRPr="001F2C30">
              <w:t>2014</w:t>
            </w:r>
          </w:p>
        </w:tc>
        <w:tc>
          <w:tcPr>
            <w:tcW w:w="1510" w:type="dxa"/>
          </w:tcPr>
          <w:p w:rsidR="001F2C30" w:rsidRPr="001F2C30" w:rsidRDefault="001F2C30" w:rsidP="001F2C30">
            <w:r w:rsidRPr="001F2C30">
              <w:t>Electricity</w:t>
            </w:r>
          </w:p>
          <w:p w:rsidR="001F2C30" w:rsidRPr="001F2C30" w:rsidRDefault="001F2C30" w:rsidP="001F2C30">
            <w:r w:rsidRPr="001F2C30">
              <w:t>% Change</w:t>
            </w:r>
          </w:p>
        </w:tc>
        <w:tc>
          <w:tcPr>
            <w:tcW w:w="884" w:type="dxa"/>
          </w:tcPr>
          <w:p w:rsidR="001F2C30" w:rsidRPr="001F2C30" w:rsidRDefault="001F2C30" w:rsidP="001F2C30">
            <w:r w:rsidRPr="001F2C30">
              <w:t>Gas</w:t>
            </w:r>
          </w:p>
          <w:p w:rsidR="001F2C30" w:rsidRPr="001F2C30" w:rsidRDefault="001F2C30" w:rsidP="001F2C30">
            <w:r w:rsidRPr="001F2C30">
              <w:t>2013</w:t>
            </w:r>
          </w:p>
        </w:tc>
        <w:tc>
          <w:tcPr>
            <w:tcW w:w="884" w:type="dxa"/>
          </w:tcPr>
          <w:p w:rsidR="001F2C30" w:rsidRPr="001F2C30" w:rsidRDefault="001F2C30" w:rsidP="001F2C30">
            <w:r w:rsidRPr="001F2C30">
              <w:t>Gas</w:t>
            </w:r>
          </w:p>
          <w:p w:rsidR="001F2C30" w:rsidRPr="001F2C30" w:rsidRDefault="001F2C30" w:rsidP="001F2C30">
            <w:r w:rsidRPr="001F2C30">
              <w:t>2014</w:t>
            </w:r>
          </w:p>
        </w:tc>
        <w:tc>
          <w:tcPr>
            <w:tcW w:w="1510" w:type="dxa"/>
          </w:tcPr>
          <w:p w:rsidR="001F2C30" w:rsidRPr="001F2C30" w:rsidRDefault="001F2C30" w:rsidP="001F2C30">
            <w:r w:rsidRPr="001F2C30">
              <w:t>Gas</w:t>
            </w:r>
          </w:p>
          <w:p w:rsidR="001F2C30" w:rsidRPr="001F2C30" w:rsidRDefault="001F2C30" w:rsidP="001F2C30">
            <w:r w:rsidRPr="001F2C30">
              <w:t>% Change</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Qld</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1731</w:t>
            </w:r>
          </w:p>
        </w:tc>
        <w:tc>
          <w:tcPr>
            <w:tcW w:w="1497" w:type="dxa"/>
            <w:vAlign w:val="bottom"/>
          </w:tcPr>
          <w:p w:rsidR="001F2C30" w:rsidRPr="001F2C30" w:rsidRDefault="001F2C30" w:rsidP="001F2C30">
            <w:pPr>
              <w:jc w:val="right"/>
            </w:pPr>
            <w:r w:rsidRPr="001F2C30">
              <w:t>2081</w:t>
            </w:r>
          </w:p>
        </w:tc>
        <w:tc>
          <w:tcPr>
            <w:tcW w:w="1510" w:type="dxa"/>
            <w:vAlign w:val="center"/>
          </w:tcPr>
          <w:p w:rsidR="001F2C30" w:rsidRPr="001F2C30" w:rsidRDefault="001F2C30" w:rsidP="001F2C30">
            <w:pPr>
              <w:jc w:val="right"/>
            </w:pPr>
            <w:r w:rsidRPr="001F2C30">
              <w:rPr>
                <w:rFonts w:cs="Arial"/>
                <w:szCs w:val="20"/>
              </w:rPr>
              <w:t>20.2</w:t>
            </w:r>
          </w:p>
        </w:tc>
        <w:tc>
          <w:tcPr>
            <w:tcW w:w="884" w:type="dxa"/>
            <w:vAlign w:val="bottom"/>
          </w:tcPr>
          <w:p w:rsidR="001F2C30" w:rsidRPr="001F2C30" w:rsidRDefault="001F2C30" w:rsidP="001F2C30">
            <w:pPr>
              <w:jc w:val="right"/>
            </w:pPr>
            <w:r w:rsidRPr="001F2C30">
              <w:t>647</w:t>
            </w:r>
          </w:p>
        </w:tc>
        <w:tc>
          <w:tcPr>
            <w:tcW w:w="884" w:type="dxa"/>
            <w:vAlign w:val="bottom"/>
          </w:tcPr>
          <w:p w:rsidR="001F2C30" w:rsidRPr="001F2C30" w:rsidRDefault="001F2C30" w:rsidP="001F2C30">
            <w:pPr>
              <w:jc w:val="right"/>
            </w:pPr>
            <w:r w:rsidRPr="001F2C30">
              <w:t>702</w:t>
            </w:r>
          </w:p>
        </w:tc>
        <w:tc>
          <w:tcPr>
            <w:tcW w:w="1510" w:type="dxa"/>
            <w:vAlign w:val="bottom"/>
          </w:tcPr>
          <w:p w:rsidR="001F2C30" w:rsidRPr="001F2C30" w:rsidRDefault="001F2C30" w:rsidP="001F2C30">
            <w:pPr>
              <w:jc w:val="right"/>
            </w:pPr>
            <w:r w:rsidRPr="001F2C30">
              <w:t>8.5</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Qld</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2.6</w:t>
            </w:r>
          </w:p>
        </w:tc>
        <w:tc>
          <w:tcPr>
            <w:tcW w:w="1497" w:type="dxa"/>
            <w:vAlign w:val="bottom"/>
          </w:tcPr>
          <w:p w:rsidR="001F2C30" w:rsidRPr="001F2C30" w:rsidRDefault="001F2C30" w:rsidP="001F2C30">
            <w:pPr>
              <w:jc w:val="right"/>
            </w:pPr>
            <w:r w:rsidRPr="001F2C30">
              <w:t>3.0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1.0</w:t>
            </w:r>
          </w:p>
        </w:tc>
        <w:tc>
          <w:tcPr>
            <w:tcW w:w="884" w:type="dxa"/>
            <w:vAlign w:val="bottom"/>
          </w:tcPr>
          <w:p w:rsidR="001F2C30" w:rsidRPr="001F2C30" w:rsidRDefault="001F2C30" w:rsidP="001F2C30">
            <w:pPr>
              <w:jc w:val="right"/>
            </w:pPr>
            <w:r w:rsidRPr="001F2C30">
              <w:t>1.0</w:t>
            </w:r>
          </w:p>
        </w:tc>
        <w:tc>
          <w:tcPr>
            <w:tcW w:w="1510" w:type="dxa"/>
            <w:vAlign w:val="bottom"/>
          </w:tcPr>
          <w:p w:rsidR="001F2C30" w:rsidRPr="001F2C30" w:rsidRDefault="001F2C30" w:rsidP="001F2C30">
            <w:pPr>
              <w:jc w:val="right"/>
            </w:pPr>
            <w:r w:rsidRPr="001F2C30">
              <w:t>N/A</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Qld</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1.0</w:t>
            </w:r>
          </w:p>
        </w:tc>
        <w:tc>
          <w:tcPr>
            <w:tcW w:w="1497" w:type="dxa"/>
            <w:vAlign w:val="bottom"/>
          </w:tcPr>
          <w:p w:rsidR="001F2C30" w:rsidRPr="001F2C30" w:rsidRDefault="001F2C30" w:rsidP="001F2C30">
            <w:pPr>
              <w:jc w:val="right"/>
            </w:pPr>
            <w:r w:rsidRPr="001F2C30">
              <w:t>1.2</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0.4</w:t>
            </w:r>
          </w:p>
        </w:tc>
        <w:tc>
          <w:tcPr>
            <w:tcW w:w="884" w:type="dxa"/>
            <w:vAlign w:val="bottom"/>
          </w:tcPr>
          <w:p w:rsidR="001F2C30" w:rsidRPr="001F2C30" w:rsidRDefault="001F2C30" w:rsidP="001F2C30">
            <w:pPr>
              <w:jc w:val="right"/>
            </w:pPr>
            <w:r w:rsidRPr="001F2C30">
              <w:t>0.4</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NSW</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2011</w:t>
            </w:r>
          </w:p>
        </w:tc>
        <w:tc>
          <w:tcPr>
            <w:tcW w:w="1497" w:type="dxa"/>
            <w:vAlign w:val="bottom"/>
          </w:tcPr>
          <w:p w:rsidR="001F2C30" w:rsidRPr="001F2C30" w:rsidRDefault="001F2C30" w:rsidP="001F2C30">
            <w:pPr>
              <w:jc w:val="right"/>
            </w:pPr>
            <w:r w:rsidRPr="001F2C30">
              <w:t>2104</w:t>
            </w:r>
          </w:p>
        </w:tc>
        <w:tc>
          <w:tcPr>
            <w:tcW w:w="1510" w:type="dxa"/>
            <w:vAlign w:val="center"/>
          </w:tcPr>
          <w:p w:rsidR="001F2C30" w:rsidRPr="001F2C30" w:rsidRDefault="001F2C30" w:rsidP="001F2C30">
            <w:pPr>
              <w:jc w:val="right"/>
            </w:pPr>
            <w:r w:rsidRPr="001F2C30">
              <w:rPr>
                <w:rFonts w:cs="Arial"/>
                <w:szCs w:val="20"/>
              </w:rPr>
              <w:t>4.6</w:t>
            </w:r>
          </w:p>
        </w:tc>
        <w:tc>
          <w:tcPr>
            <w:tcW w:w="884" w:type="dxa"/>
            <w:vAlign w:val="bottom"/>
          </w:tcPr>
          <w:p w:rsidR="001F2C30" w:rsidRPr="001F2C30" w:rsidRDefault="001F2C30" w:rsidP="001F2C30">
            <w:pPr>
              <w:jc w:val="right"/>
            </w:pPr>
            <w:r w:rsidRPr="001F2C30">
              <w:t>827</w:t>
            </w:r>
          </w:p>
        </w:tc>
        <w:tc>
          <w:tcPr>
            <w:tcW w:w="884" w:type="dxa"/>
            <w:vAlign w:val="bottom"/>
          </w:tcPr>
          <w:p w:rsidR="001F2C30" w:rsidRPr="001F2C30" w:rsidRDefault="001F2C30" w:rsidP="001F2C30">
            <w:pPr>
              <w:jc w:val="right"/>
            </w:pPr>
            <w:r w:rsidRPr="001F2C30">
              <w:t>863</w:t>
            </w:r>
          </w:p>
        </w:tc>
        <w:tc>
          <w:tcPr>
            <w:tcW w:w="1510" w:type="dxa"/>
            <w:vAlign w:val="bottom"/>
          </w:tcPr>
          <w:p w:rsidR="001F2C30" w:rsidRPr="001F2C30" w:rsidRDefault="001F2C30" w:rsidP="001F2C30">
            <w:pPr>
              <w:jc w:val="right"/>
            </w:pPr>
            <w:r w:rsidRPr="001F2C30">
              <w:t>4.5</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NSW</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2.9</w:t>
            </w:r>
          </w:p>
        </w:tc>
        <w:tc>
          <w:tcPr>
            <w:tcW w:w="1497" w:type="dxa"/>
            <w:vAlign w:val="bottom"/>
          </w:tcPr>
          <w:p w:rsidR="001F2C30" w:rsidRPr="001F2C30" w:rsidRDefault="001F2C30" w:rsidP="001F2C30">
            <w:pPr>
              <w:jc w:val="right"/>
            </w:pPr>
            <w:r w:rsidRPr="001F2C30">
              <w:t>3.0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1.2</w:t>
            </w:r>
          </w:p>
        </w:tc>
        <w:tc>
          <w:tcPr>
            <w:tcW w:w="884" w:type="dxa"/>
            <w:vAlign w:val="bottom"/>
          </w:tcPr>
          <w:p w:rsidR="001F2C30" w:rsidRPr="001F2C30" w:rsidRDefault="001F2C30" w:rsidP="001F2C30">
            <w:pPr>
              <w:jc w:val="right"/>
            </w:pPr>
            <w:r w:rsidRPr="001F2C30">
              <w:t>1.2</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NSW</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1.1</w:t>
            </w:r>
          </w:p>
        </w:tc>
        <w:tc>
          <w:tcPr>
            <w:tcW w:w="1497" w:type="dxa"/>
            <w:vAlign w:val="bottom"/>
          </w:tcPr>
          <w:p w:rsidR="001F2C30" w:rsidRPr="001F2C30" w:rsidRDefault="001F2C30" w:rsidP="001F2C30">
            <w:pPr>
              <w:jc w:val="right"/>
            </w:pPr>
            <w:r w:rsidRPr="001F2C30">
              <w:t>1.1</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0.4</w:t>
            </w:r>
          </w:p>
        </w:tc>
        <w:tc>
          <w:tcPr>
            <w:tcW w:w="884" w:type="dxa"/>
            <w:vAlign w:val="bottom"/>
          </w:tcPr>
          <w:p w:rsidR="001F2C30" w:rsidRPr="001F2C30" w:rsidRDefault="001F2C30" w:rsidP="001F2C30">
            <w:pPr>
              <w:jc w:val="right"/>
            </w:pPr>
            <w:r w:rsidRPr="001F2C30">
              <w:t>0.4</w:t>
            </w:r>
          </w:p>
        </w:tc>
        <w:tc>
          <w:tcPr>
            <w:tcW w:w="1510" w:type="dxa"/>
            <w:vAlign w:val="bottom"/>
          </w:tcPr>
          <w:p w:rsidR="001F2C30" w:rsidRPr="001F2C30" w:rsidRDefault="001F2C30" w:rsidP="001F2C30">
            <w:pPr>
              <w:jc w:val="right"/>
            </w:pPr>
            <w:r w:rsidRPr="001F2C30">
              <w:t>N/A</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Vic</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1678</w:t>
            </w:r>
          </w:p>
        </w:tc>
        <w:tc>
          <w:tcPr>
            <w:tcW w:w="1497" w:type="dxa"/>
            <w:vAlign w:val="bottom"/>
          </w:tcPr>
          <w:p w:rsidR="001F2C30" w:rsidRPr="001F2C30" w:rsidRDefault="001F2C30" w:rsidP="001F2C30">
            <w:pPr>
              <w:jc w:val="right"/>
            </w:pPr>
            <w:r w:rsidRPr="001F2C30">
              <w:t>1689</w:t>
            </w:r>
          </w:p>
        </w:tc>
        <w:tc>
          <w:tcPr>
            <w:tcW w:w="1510" w:type="dxa"/>
            <w:vAlign w:val="center"/>
          </w:tcPr>
          <w:p w:rsidR="001F2C30" w:rsidRPr="001F2C30" w:rsidRDefault="001F2C30" w:rsidP="001F2C30">
            <w:pPr>
              <w:jc w:val="right"/>
            </w:pPr>
            <w:r w:rsidRPr="001F2C30">
              <w:rPr>
                <w:rFonts w:cs="Arial"/>
                <w:szCs w:val="20"/>
              </w:rPr>
              <w:t>0.6</w:t>
            </w:r>
          </w:p>
        </w:tc>
        <w:tc>
          <w:tcPr>
            <w:tcW w:w="884" w:type="dxa"/>
            <w:vAlign w:val="bottom"/>
          </w:tcPr>
          <w:p w:rsidR="001F2C30" w:rsidRPr="001F2C30" w:rsidRDefault="001F2C30" w:rsidP="001F2C30">
            <w:pPr>
              <w:jc w:val="right"/>
            </w:pPr>
            <w:r w:rsidRPr="001F2C30">
              <w:t>1190</w:t>
            </w:r>
          </w:p>
        </w:tc>
        <w:tc>
          <w:tcPr>
            <w:tcW w:w="884" w:type="dxa"/>
            <w:vAlign w:val="bottom"/>
          </w:tcPr>
          <w:p w:rsidR="001F2C30" w:rsidRPr="001F2C30" w:rsidRDefault="001F2C30" w:rsidP="001F2C30">
            <w:pPr>
              <w:jc w:val="right"/>
            </w:pPr>
            <w:r w:rsidRPr="001F2C30">
              <w:t>1256</w:t>
            </w:r>
          </w:p>
        </w:tc>
        <w:tc>
          <w:tcPr>
            <w:tcW w:w="1510" w:type="dxa"/>
            <w:vAlign w:val="bottom"/>
          </w:tcPr>
          <w:p w:rsidR="001F2C30" w:rsidRPr="001F2C30" w:rsidRDefault="001F2C30" w:rsidP="001F2C30">
            <w:pPr>
              <w:jc w:val="right"/>
            </w:pPr>
            <w:r w:rsidRPr="001F2C30">
              <w:t>5.6</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Vic</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2.4</w:t>
            </w:r>
          </w:p>
        </w:tc>
        <w:tc>
          <w:tcPr>
            <w:tcW w:w="1497" w:type="dxa"/>
            <w:vAlign w:val="bottom"/>
          </w:tcPr>
          <w:p w:rsidR="001F2C30" w:rsidRPr="001F2C30" w:rsidRDefault="001F2C30" w:rsidP="001F2C30">
            <w:pPr>
              <w:jc w:val="right"/>
            </w:pPr>
            <w:r w:rsidRPr="001F2C30">
              <w:t>2.4</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1.7</w:t>
            </w:r>
          </w:p>
        </w:tc>
        <w:tc>
          <w:tcPr>
            <w:tcW w:w="884" w:type="dxa"/>
            <w:vAlign w:val="bottom"/>
          </w:tcPr>
          <w:p w:rsidR="001F2C30" w:rsidRPr="001F2C30" w:rsidRDefault="001F2C30" w:rsidP="001F2C30">
            <w:pPr>
              <w:jc w:val="right"/>
            </w:pPr>
            <w:r w:rsidRPr="001F2C30">
              <w:t>1.8</w:t>
            </w:r>
          </w:p>
        </w:tc>
        <w:tc>
          <w:tcPr>
            <w:tcW w:w="1510" w:type="dxa"/>
            <w:vAlign w:val="bottom"/>
          </w:tcPr>
          <w:p w:rsidR="001F2C30" w:rsidRPr="001F2C30" w:rsidRDefault="001F2C30" w:rsidP="001F2C30">
            <w:pPr>
              <w:jc w:val="right"/>
            </w:pPr>
            <w:r w:rsidRPr="001F2C30">
              <w:t>N/A</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Vic</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1.0</w:t>
            </w:r>
          </w:p>
        </w:tc>
        <w:tc>
          <w:tcPr>
            <w:tcW w:w="1497" w:type="dxa"/>
            <w:vAlign w:val="bottom"/>
          </w:tcPr>
          <w:p w:rsidR="001F2C30" w:rsidRPr="001F2C30" w:rsidRDefault="001F2C30" w:rsidP="001F2C30">
            <w:pPr>
              <w:jc w:val="right"/>
            </w:pPr>
            <w:r w:rsidRPr="001F2C30">
              <w:t>1.0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0.7</w:t>
            </w:r>
          </w:p>
        </w:tc>
        <w:tc>
          <w:tcPr>
            <w:tcW w:w="884" w:type="dxa"/>
            <w:vAlign w:val="bottom"/>
          </w:tcPr>
          <w:p w:rsidR="001F2C30" w:rsidRPr="001F2C30" w:rsidRDefault="001F2C30" w:rsidP="001F2C30">
            <w:pPr>
              <w:jc w:val="right"/>
            </w:pPr>
            <w:r w:rsidRPr="001F2C30">
              <w:t>0.7</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SA</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2158</w:t>
            </w:r>
          </w:p>
        </w:tc>
        <w:tc>
          <w:tcPr>
            <w:tcW w:w="1497" w:type="dxa"/>
            <w:vAlign w:val="bottom"/>
          </w:tcPr>
          <w:p w:rsidR="001F2C30" w:rsidRPr="001F2C30" w:rsidRDefault="001F2C30" w:rsidP="001F2C30">
            <w:pPr>
              <w:jc w:val="right"/>
            </w:pPr>
            <w:r w:rsidRPr="001F2C30">
              <w:t>2210</w:t>
            </w:r>
          </w:p>
        </w:tc>
        <w:tc>
          <w:tcPr>
            <w:tcW w:w="1510" w:type="dxa"/>
            <w:vAlign w:val="center"/>
          </w:tcPr>
          <w:p w:rsidR="001F2C30" w:rsidRPr="001F2C30" w:rsidRDefault="001F2C30" w:rsidP="001F2C30">
            <w:pPr>
              <w:jc w:val="right"/>
            </w:pPr>
            <w:r w:rsidRPr="001F2C30">
              <w:rPr>
                <w:rFonts w:cs="Arial"/>
                <w:szCs w:val="20"/>
              </w:rPr>
              <w:t>2.4</w:t>
            </w:r>
          </w:p>
        </w:tc>
        <w:tc>
          <w:tcPr>
            <w:tcW w:w="884" w:type="dxa"/>
            <w:vAlign w:val="bottom"/>
          </w:tcPr>
          <w:p w:rsidR="001F2C30" w:rsidRPr="001F2C30" w:rsidRDefault="001F2C30" w:rsidP="001F2C30">
            <w:pPr>
              <w:jc w:val="right"/>
            </w:pPr>
            <w:r w:rsidRPr="001F2C30">
              <w:t>902</w:t>
            </w:r>
          </w:p>
        </w:tc>
        <w:tc>
          <w:tcPr>
            <w:tcW w:w="884" w:type="dxa"/>
            <w:vAlign w:val="bottom"/>
          </w:tcPr>
          <w:p w:rsidR="001F2C30" w:rsidRPr="001F2C30" w:rsidRDefault="001F2C30" w:rsidP="001F2C30">
            <w:pPr>
              <w:jc w:val="right"/>
            </w:pPr>
            <w:r w:rsidRPr="001F2C30">
              <w:t>996</w:t>
            </w:r>
          </w:p>
        </w:tc>
        <w:tc>
          <w:tcPr>
            <w:tcW w:w="1510" w:type="dxa"/>
            <w:vAlign w:val="bottom"/>
          </w:tcPr>
          <w:p w:rsidR="001F2C30" w:rsidRPr="001F2C30" w:rsidRDefault="001F2C30" w:rsidP="001F2C30">
            <w:pPr>
              <w:jc w:val="right"/>
            </w:pPr>
            <w:r w:rsidRPr="001F2C30">
              <w:t>10.4</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SA</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3.5</w:t>
            </w:r>
          </w:p>
        </w:tc>
        <w:tc>
          <w:tcPr>
            <w:tcW w:w="1497" w:type="dxa"/>
            <w:vAlign w:val="bottom"/>
          </w:tcPr>
          <w:p w:rsidR="001F2C30" w:rsidRPr="001F2C30" w:rsidRDefault="001F2C30" w:rsidP="001F2C30">
            <w:pPr>
              <w:jc w:val="right"/>
            </w:pPr>
            <w:r w:rsidRPr="001F2C30">
              <w:t>3.5</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1.5</w:t>
            </w:r>
          </w:p>
        </w:tc>
        <w:tc>
          <w:tcPr>
            <w:tcW w:w="884" w:type="dxa"/>
            <w:vAlign w:val="bottom"/>
          </w:tcPr>
          <w:p w:rsidR="001F2C30" w:rsidRPr="001F2C30" w:rsidRDefault="001F2C30" w:rsidP="001F2C30">
            <w:pPr>
              <w:jc w:val="right"/>
            </w:pPr>
            <w:r w:rsidRPr="001F2C30">
              <w:t>1.6</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SA</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1.4</w:t>
            </w:r>
          </w:p>
        </w:tc>
        <w:tc>
          <w:tcPr>
            <w:tcW w:w="1497" w:type="dxa"/>
            <w:vAlign w:val="bottom"/>
          </w:tcPr>
          <w:p w:rsidR="001F2C30" w:rsidRPr="001F2C30" w:rsidRDefault="001F2C30" w:rsidP="001F2C30">
            <w:pPr>
              <w:jc w:val="right"/>
            </w:pPr>
            <w:r w:rsidRPr="001F2C30">
              <w:t>1.4</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0.6</w:t>
            </w:r>
          </w:p>
        </w:tc>
        <w:tc>
          <w:tcPr>
            <w:tcW w:w="884" w:type="dxa"/>
            <w:vAlign w:val="bottom"/>
          </w:tcPr>
          <w:p w:rsidR="001F2C30" w:rsidRPr="001F2C30" w:rsidRDefault="001F2C30" w:rsidP="001F2C30">
            <w:pPr>
              <w:jc w:val="right"/>
            </w:pPr>
            <w:r w:rsidRPr="001F2C30">
              <w:t>0.6</w:t>
            </w:r>
          </w:p>
        </w:tc>
        <w:tc>
          <w:tcPr>
            <w:tcW w:w="1510" w:type="dxa"/>
            <w:vAlign w:val="bottom"/>
          </w:tcPr>
          <w:p w:rsidR="001F2C30" w:rsidRPr="001F2C30" w:rsidRDefault="001F2C30" w:rsidP="001F2C30">
            <w:pPr>
              <w:jc w:val="right"/>
            </w:pPr>
            <w:r w:rsidRPr="001F2C30">
              <w:t>N/A</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Tas</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1769</w:t>
            </w:r>
          </w:p>
        </w:tc>
        <w:tc>
          <w:tcPr>
            <w:tcW w:w="1497" w:type="dxa"/>
            <w:vAlign w:val="bottom"/>
          </w:tcPr>
          <w:p w:rsidR="001F2C30" w:rsidRPr="001F2C30" w:rsidRDefault="001F2C30" w:rsidP="001F2C30">
            <w:pPr>
              <w:jc w:val="right"/>
            </w:pPr>
            <w:r w:rsidRPr="001F2C30">
              <w:t>1879</w:t>
            </w:r>
          </w:p>
        </w:tc>
        <w:tc>
          <w:tcPr>
            <w:tcW w:w="1510" w:type="dxa"/>
            <w:vAlign w:val="center"/>
          </w:tcPr>
          <w:p w:rsidR="001F2C30" w:rsidRPr="001F2C30" w:rsidRDefault="001F2C30" w:rsidP="001F2C30">
            <w:pPr>
              <w:jc w:val="right"/>
            </w:pPr>
            <w:r w:rsidRPr="001F2C30">
              <w:rPr>
                <w:rFonts w:cs="Arial"/>
                <w:szCs w:val="20"/>
              </w:rPr>
              <w:t>6.2</w:t>
            </w:r>
          </w:p>
        </w:tc>
        <w:tc>
          <w:tcPr>
            <w:tcW w:w="884"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N/A</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Tas</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1.9</w:t>
            </w:r>
          </w:p>
        </w:tc>
        <w:tc>
          <w:tcPr>
            <w:tcW w:w="1497" w:type="dxa"/>
            <w:vAlign w:val="bottom"/>
          </w:tcPr>
          <w:p w:rsidR="001F2C30" w:rsidRPr="001F2C30" w:rsidRDefault="001F2C30" w:rsidP="001F2C30">
            <w:pPr>
              <w:jc w:val="right"/>
            </w:pPr>
            <w:r w:rsidRPr="001F2C30">
              <w:t>2.0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N/A</w:t>
            </w:r>
          </w:p>
        </w:tc>
        <w:tc>
          <w:tcPr>
            <w:tcW w:w="1510" w:type="dxa"/>
            <w:vAlign w:val="bottom"/>
          </w:tcPr>
          <w:p w:rsidR="001F2C30" w:rsidRPr="001F2C30" w:rsidRDefault="001F2C30" w:rsidP="001F2C30">
            <w:pPr>
              <w:jc w:val="right"/>
            </w:pPr>
            <w:r w:rsidRPr="001F2C30">
              <w:t>N/A</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Tas</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0.9</w:t>
            </w:r>
          </w:p>
        </w:tc>
        <w:tc>
          <w:tcPr>
            <w:tcW w:w="1497" w:type="dxa"/>
            <w:vAlign w:val="bottom"/>
          </w:tcPr>
          <w:p w:rsidR="001F2C30" w:rsidRPr="001F2C30" w:rsidRDefault="001F2C30" w:rsidP="001F2C30">
            <w:pPr>
              <w:jc w:val="right"/>
            </w:pPr>
            <w:r w:rsidRPr="001F2C30">
              <w:t>0.9</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N/A</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ACT</w:t>
            </w:r>
          </w:p>
        </w:tc>
        <w:tc>
          <w:tcPr>
            <w:tcW w:w="3288" w:type="dxa"/>
            <w:vAlign w:val="bottom"/>
          </w:tcPr>
          <w:p w:rsidR="001F2C30" w:rsidRPr="001F2C30" w:rsidRDefault="001F2C30" w:rsidP="001F2C30">
            <w:pPr>
              <w:rPr>
                <w:sz w:val="22"/>
              </w:rPr>
            </w:pPr>
            <w:r w:rsidRPr="001F2C30">
              <w:t>Annual bill ($)</w:t>
            </w:r>
          </w:p>
        </w:tc>
        <w:tc>
          <w:tcPr>
            <w:tcW w:w="1497" w:type="dxa"/>
            <w:vAlign w:val="bottom"/>
          </w:tcPr>
          <w:p w:rsidR="001F2C30" w:rsidRPr="001F2C30" w:rsidRDefault="001F2C30" w:rsidP="001F2C30">
            <w:pPr>
              <w:jc w:val="right"/>
            </w:pPr>
            <w:r w:rsidRPr="001F2C30">
              <w:t>2972</w:t>
            </w:r>
          </w:p>
        </w:tc>
        <w:tc>
          <w:tcPr>
            <w:tcW w:w="1497" w:type="dxa"/>
            <w:vAlign w:val="bottom"/>
          </w:tcPr>
          <w:p w:rsidR="001F2C30" w:rsidRPr="001F2C30" w:rsidRDefault="001F2C30" w:rsidP="001F2C30">
            <w:pPr>
              <w:jc w:val="right"/>
            </w:pPr>
            <w:r w:rsidRPr="001F2C30">
              <w:t>2867</w:t>
            </w:r>
          </w:p>
        </w:tc>
        <w:tc>
          <w:tcPr>
            <w:tcW w:w="1510" w:type="dxa"/>
            <w:vAlign w:val="center"/>
          </w:tcPr>
          <w:p w:rsidR="001F2C30" w:rsidRPr="001F2C30" w:rsidRDefault="001F2C30" w:rsidP="001F2C30">
            <w:pPr>
              <w:jc w:val="right"/>
            </w:pPr>
            <w:r w:rsidRPr="001F2C30">
              <w:rPr>
                <w:rFonts w:cs="Arial"/>
                <w:szCs w:val="20"/>
              </w:rPr>
              <w:t>-3.5</w:t>
            </w:r>
          </w:p>
        </w:tc>
        <w:tc>
          <w:tcPr>
            <w:tcW w:w="884" w:type="dxa"/>
            <w:vAlign w:val="bottom"/>
          </w:tcPr>
          <w:p w:rsidR="001F2C30" w:rsidRPr="001F2C30" w:rsidRDefault="001F2C30" w:rsidP="001F2C30">
            <w:pPr>
              <w:jc w:val="right"/>
            </w:pPr>
            <w:r w:rsidRPr="001F2C30">
              <w:t>1439</w:t>
            </w:r>
          </w:p>
        </w:tc>
        <w:tc>
          <w:tcPr>
            <w:tcW w:w="884" w:type="dxa"/>
            <w:vAlign w:val="bottom"/>
          </w:tcPr>
          <w:p w:rsidR="001F2C30" w:rsidRPr="001F2C30" w:rsidRDefault="001F2C30" w:rsidP="001F2C30">
            <w:pPr>
              <w:jc w:val="right"/>
            </w:pPr>
            <w:r w:rsidRPr="001F2C30">
              <w:t>1618</w:t>
            </w:r>
          </w:p>
        </w:tc>
        <w:tc>
          <w:tcPr>
            <w:tcW w:w="1510" w:type="dxa"/>
            <w:vAlign w:val="bottom"/>
          </w:tcPr>
          <w:p w:rsidR="001F2C30" w:rsidRPr="001F2C30" w:rsidRDefault="001F2C30" w:rsidP="001F2C30">
            <w:pPr>
              <w:jc w:val="right"/>
            </w:pPr>
            <w:r w:rsidRPr="001F2C30">
              <w:t>12.4</w:t>
            </w:r>
          </w:p>
        </w:tc>
      </w:tr>
      <w:tr w:rsidR="001F2C30" w:rsidRPr="001F2C30" w:rsidTr="00E17DEC">
        <w:trPr>
          <w:trHeight w:hRule="exact" w:val="369"/>
        </w:trPr>
        <w:tc>
          <w:tcPr>
            <w:tcW w:w="1710" w:type="dxa"/>
            <w:vAlign w:val="bottom"/>
          </w:tcPr>
          <w:p w:rsidR="001F2C30" w:rsidRPr="001F2C30" w:rsidRDefault="001F2C30" w:rsidP="001F2C30">
            <w:pPr>
              <w:rPr>
                <w:sz w:val="22"/>
              </w:rPr>
            </w:pPr>
            <w:r w:rsidRPr="001F2C30">
              <w:t>ACT</w:t>
            </w:r>
          </w:p>
        </w:tc>
        <w:tc>
          <w:tcPr>
            <w:tcW w:w="3288" w:type="dxa"/>
            <w:vAlign w:val="bottom"/>
          </w:tcPr>
          <w:p w:rsidR="001F2C30" w:rsidRPr="001F2C30" w:rsidRDefault="001F2C30" w:rsidP="001F2C30">
            <w:pPr>
              <w:rPr>
                <w:sz w:val="22"/>
              </w:rPr>
            </w:pPr>
            <w:r w:rsidRPr="001F2C30">
              <w:t>Percentage of middle income (%)</w:t>
            </w:r>
          </w:p>
        </w:tc>
        <w:tc>
          <w:tcPr>
            <w:tcW w:w="1497" w:type="dxa"/>
            <w:vAlign w:val="bottom"/>
          </w:tcPr>
          <w:p w:rsidR="001F2C30" w:rsidRPr="001F2C30" w:rsidRDefault="001F2C30" w:rsidP="001F2C30">
            <w:pPr>
              <w:jc w:val="right"/>
            </w:pPr>
            <w:r w:rsidRPr="001F2C30">
              <w:t>5.2</w:t>
            </w:r>
          </w:p>
        </w:tc>
        <w:tc>
          <w:tcPr>
            <w:tcW w:w="1497" w:type="dxa"/>
            <w:vAlign w:val="bottom"/>
          </w:tcPr>
          <w:p w:rsidR="001F2C30" w:rsidRPr="001F2C30" w:rsidRDefault="001F2C30" w:rsidP="001F2C30">
            <w:pPr>
              <w:jc w:val="right"/>
            </w:pPr>
            <w:r w:rsidRPr="001F2C30">
              <w:t>5.0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2.5</w:t>
            </w:r>
          </w:p>
        </w:tc>
        <w:tc>
          <w:tcPr>
            <w:tcW w:w="884" w:type="dxa"/>
            <w:vAlign w:val="bottom"/>
          </w:tcPr>
          <w:p w:rsidR="001F2C30" w:rsidRPr="001F2C30" w:rsidRDefault="001F2C30" w:rsidP="001F2C30">
            <w:pPr>
              <w:jc w:val="right"/>
            </w:pPr>
            <w:r w:rsidRPr="001F2C30">
              <w:t>2.8</w:t>
            </w:r>
          </w:p>
        </w:tc>
        <w:tc>
          <w:tcPr>
            <w:tcW w:w="1510" w:type="dxa"/>
            <w:vAlign w:val="bottom"/>
          </w:tcPr>
          <w:p w:rsidR="001F2C30" w:rsidRPr="001F2C30" w:rsidRDefault="001F2C30" w:rsidP="001F2C30">
            <w:pPr>
              <w:jc w:val="right"/>
            </w:pPr>
            <w:r w:rsidRPr="001F2C30">
              <w:t>N/A</w:t>
            </w:r>
          </w:p>
        </w:tc>
      </w:tr>
      <w:tr w:rsidR="001F2C30" w:rsidRPr="001F2C30" w:rsidTr="00E17DEC">
        <w:trPr>
          <w:cnfStyle w:val="000000010000" w:firstRow="0" w:lastRow="0" w:firstColumn="0" w:lastColumn="0" w:oddVBand="0" w:evenVBand="0" w:oddHBand="0" w:evenHBand="1" w:firstRowFirstColumn="0" w:firstRowLastColumn="0" w:lastRowFirstColumn="0" w:lastRowLastColumn="0"/>
          <w:trHeight w:hRule="exact" w:val="369"/>
        </w:trPr>
        <w:tc>
          <w:tcPr>
            <w:tcW w:w="1710" w:type="dxa"/>
            <w:vAlign w:val="bottom"/>
          </w:tcPr>
          <w:p w:rsidR="001F2C30" w:rsidRPr="001F2C30" w:rsidRDefault="001F2C30" w:rsidP="001F2C30">
            <w:pPr>
              <w:rPr>
                <w:sz w:val="22"/>
              </w:rPr>
            </w:pPr>
            <w:r w:rsidRPr="001F2C30">
              <w:t>ACT</w:t>
            </w:r>
          </w:p>
        </w:tc>
        <w:tc>
          <w:tcPr>
            <w:tcW w:w="3288" w:type="dxa"/>
            <w:vAlign w:val="bottom"/>
          </w:tcPr>
          <w:p w:rsidR="001F2C30" w:rsidRPr="001F2C30" w:rsidRDefault="001F2C30" w:rsidP="001F2C30">
            <w:pPr>
              <w:rPr>
                <w:sz w:val="22"/>
              </w:rPr>
            </w:pPr>
            <w:r w:rsidRPr="001F2C30">
              <w:t>Percentage of high income (%)</w:t>
            </w:r>
          </w:p>
        </w:tc>
        <w:tc>
          <w:tcPr>
            <w:tcW w:w="1497" w:type="dxa"/>
            <w:vAlign w:val="bottom"/>
          </w:tcPr>
          <w:p w:rsidR="001F2C30" w:rsidRPr="001F2C30" w:rsidRDefault="001F2C30" w:rsidP="001F2C30">
            <w:pPr>
              <w:jc w:val="right"/>
            </w:pPr>
            <w:r w:rsidRPr="001F2C30">
              <w:t>2.1</w:t>
            </w:r>
          </w:p>
        </w:tc>
        <w:tc>
          <w:tcPr>
            <w:tcW w:w="1497" w:type="dxa"/>
            <w:vAlign w:val="bottom"/>
          </w:tcPr>
          <w:p w:rsidR="001F2C30" w:rsidRPr="001F2C30" w:rsidRDefault="001F2C30" w:rsidP="001F2C30">
            <w:pPr>
              <w:jc w:val="right"/>
            </w:pPr>
            <w:r w:rsidRPr="001F2C30">
              <w:t>2.0</w:t>
            </w:r>
          </w:p>
        </w:tc>
        <w:tc>
          <w:tcPr>
            <w:tcW w:w="1510" w:type="dxa"/>
            <w:vAlign w:val="bottom"/>
          </w:tcPr>
          <w:p w:rsidR="001F2C30" w:rsidRPr="001F2C30" w:rsidRDefault="001F2C30" w:rsidP="001F2C30">
            <w:pPr>
              <w:jc w:val="right"/>
            </w:pPr>
            <w:r w:rsidRPr="001F2C30">
              <w:t>N/A</w:t>
            </w:r>
          </w:p>
        </w:tc>
        <w:tc>
          <w:tcPr>
            <w:tcW w:w="884" w:type="dxa"/>
            <w:vAlign w:val="bottom"/>
          </w:tcPr>
          <w:p w:rsidR="001F2C30" w:rsidRPr="001F2C30" w:rsidRDefault="001F2C30" w:rsidP="001F2C30">
            <w:pPr>
              <w:jc w:val="right"/>
            </w:pPr>
            <w:r w:rsidRPr="001F2C30">
              <w:t>1.0</w:t>
            </w:r>
          </w:p>
        </w:tc>
        <w:tc>
          <w:tcPr>
            <w:tcW w:w="884" w:type="dxa"/>
            <w:vAlign w:val="bottom"/>
          </w:tcPr>
          <w:p w:rsidR="001F2C30" w:rsidRPr="001F2C30" w:rsidRDefault="001F2C30" w:rsidP="001F2C30">
            <w:pPr>
              <w:jc w:val="right"/>
            </w:pPr>
            <w:r w:rsidRPr="001F2C30">
              <w:t>1.1</w:t>
            </w:r>
          </w:p>
        </w:tc>
        <w:tc>
          <w:tcPr>
            <w:tcW w:w="1510" w:type="dxa"/>
            <w:vAlign w:val="bottom"/>
          </w:tcPr>
          <w:p w:rsidR="001F2C30" w:rsidRPr="001F2C30" w:rsidRDefault="001F2C30" w:rsidP="001F2C30">
            <w:pPr>
              <w:jc w:val="right"/>
            </w:pPr>
            <w:r w:rsidRPr="001F2C30">
              <w:t>N/A</w:t>
            </w:r>
          </w:p>
        </w:tc>
      </w:tr>
    </w:tbl>
    <w:p w:rsidR="001F2C30" w:rsidRPr="001F2C30" w:rsidRDefault="001F2C30" w:rsidP="001F2C30"/>
    <w:p w:rsidR="001F2C30" w:rsidRPr="001F2C30" w:rsidRDefault="001F2C30" w:rsidP="001F2C30">
      <w:pPr>
        <w:sectPr w:rsidR="001F2C30" w:rsidRPr="001F2C30" w:rsidSect="00647438">
          <w:pgSz w:w="16838" w:h="11906" w:orient="landscape"/>
          <w:pgMar w:top="1440" w:right="1440" w:bottom="1440" w:left="1440" w:header="709" w:footer="709" w:gutter="0"/>
          <w:cols w:space="708"/>
          <w:titlePg/>
          <w:docGrid w:linePitch="360"/>
        </w:sectPr>
      </w:pPr>
    </w:p>
    <w:p w:rsidR="001F2C30" w:rsidRPr="00E17DEC" w:rsidRDefault="00362F93" w:rsidP="00E17DEC">
      <w:pPr>
        <w:pStyle w:val="Headingnumbered11"/>
        <w:numPr>
          <w:ilvl w:val="0"/>
          <w:numId w:val="0"/>
        </w:numPr>
      </w:pPr>
      <w:bookmarkStart w:id="135" w:name="_Toc402959771"/>
      <w:bookmarkStart w:id="136" w:name="_Toc402961444"/>
      <w:r w:rsidRPr="00E17DEC">
        <w:lastRenderedPageBreak/>
        <w:t>Appendix 7</w:t>
      </w:r>
      <w:r w:rsidR="00D818ED" w:rsidRPr="00E17DEC">
        <w:t>:</w:t>
      </w:r>
      <w:r w:rsidR="001F2C30" w:rsidRPr="00E17DEC">
        <w:t xml:space="preserve"> Methodology</w:t>
      </w:r>
      <w:bookmarkEnd w:id="135"/>
      <w:bookmarkEnd w:id="136"/>
      <w:r w:rsidR="001F2C30" w:rsidRPr="00E17DEC">
        <w:t xml:space="preserve"> </w:t>
      </w:r>
    </w:p>
    <w:p w:rsidR="00C55200" w:rsidRPr="00C55200" w:rsidRDefault="00C55200" w:rsidP="00C55200">
      <w:r w:rsidRPr="00C55200">
        <w:t>For each jurisdiction, we determined electricity and gas consumption levels for our benchmark low, middle and high income households (see tables 3.1 and 3.2). A benchmark low income household is a household that uses the average amount of electricity and gas in the relevant state or territory for all households that are the same size as low income households on average. A benchmark middle and high income household is a household that uses the average amount of electricity and gas in the relevant state or territory.</w:t>
      </w:r>
    </w:p>
    <w:p w:rsidR="00C55200" w:rsidRPr="00C55200" w:rsidRDefault="00C55200" w:rsidP="00C55200">
      <w:r w:rsidRPr="00C55200">
        <w:t xml:space="preserve">We then calculated annual electricity and gas bills from the energy offer tariffs we collected. Our analysis shows the range in annual bills across the generally available offers as well as the median standing and market offer. </w:t>
      </w:r>
    </w:p>
    <w:p w:rsidR="00C55200" w:rsidRPr="00C55200" w:rsidRDefault="00C55200" w:rsidP="00C55200">
      <w:r w:rsidRPr="00C55200">
        <w:t xml:space="preserve">We obtained data from the ABS on disposable household incomes for low, middle and high income households (also tables 3.1 and 3.2) to estimate the proportion spent on electricity and gas bills (assuming these households were on the median market offer). For our benchmark low income households we have also shown the impact of receiving the energy concession in that jurisdiction. </w:t>
      </w:r>
    </w:p>
    <w:p w:rsidR="00C55200" w:rsidRPr="00C55200" w:rsidRDefault="00C55200" w:rsidP="00C55200">
      <w:pPr>
        <w:keepNext/>
        <w:keepLines/>
        <w:spacing w:before="240"/>
        <w:ind w:left="720" w:hanging="720"/>
        <w:outlineLvl w:val="2"/>
        <w:rPr>
          <w:rFonts w:eastAsiaTheme="majorEastAsia" w:cs="Arial"/>
          <w:b/>
          <w:bCs/>
          <w:color w:val="70635A"/>
          <w:sz w:val="28"/>
          <w:szCs w:val="28"/>
        </w:rPr>
      </w:pPr>
      <w:r w:rsidRPr="00C55200">
        <w:rPr>
          <w:rFonts w:eastAsiaTheme="majorEastAsia" w:cs="Arial"/>
          <w:b/>
          <w:bCs/>
          <w:color w:val="70635A"/>
          <w:sz w:val="28"/>
          <w:szCs w:val="28"/>
        </w:rPr>
        <w:t>Annual electricity and gas consumption levels</w:t>
      </w:r>
    </w:p>
    <w:p w:rsidR="00C55200" w:rsidRPr="00C55200" w:rsidRDefault="00C55200" w:rsidP="00C55200">
      <w:r w:rsidRPr="00C55200">
        <w:t xml:space="preserve">The annual household electricity and gas consumption levels used in our analysis are summarised in table 3.1 for benchmark low income households and in table 3.2 for benchmark middle and high income households. </w:t>
      </w:r>
    </w:p>
    <w:p w:rsidR="00C55200" w:rsidRPr="00C55200" w:rsidRDefault="00C55200" w:rsidP="00C55200">
      <w:pPr>
        <w:numPr>
          <w:ilvl w:val="0"/>
          <w:numId w:val="26"/>
        </w:numPr>
        <w:contextualSpacing/>
      </w:pPr>
      <w:r w:rsidRPr="00C55200">
        <w:t xml:space="preserve">To represent the electricity consumption of a benchmark low income household, we took the average number of people in a low income household for each state and territory from the ABS and used electricity consumption benchmark data </w:t>
      </w:r>
      <w:r w:rsidRPr="00C55200">
        <w:rPr>
          <w:color w:val="000000" w:themeColor="accent5"/>
          <w:vertAlign w:val="superscript"/>
        </w:rPr>
        <w:footnoteReference w:id="57"/>
      </w:r>
      <w:r w:rsidRPr="00C55200">
        <w:t xml:space="preserve"> to determine an average consumption level for that sized household.</w:t>
      </w:r>
    </w:p>
    <w:p w:rsidR="00C55200" w:rsidRPr="00C55200" w:rsidRDefault="00C55200" w:rsidP="00C55200">
      <w:pPr>
        <w:numPr>
          <w:ilvl w:val="0"/>
          <w:numId w:val="26"/>
        </w:numPr>
        <w:contextualSpacing/>
      </w:pPr>
      <w:r w:rsidRPr="00C55200">
        <w:t xml:space="preserve">For our benchmark middle and high income households we used typical electricity consumption levels—each state and territory’s ‘average’ household consumption from the electricity consumption benchmark data. </w:t>
      </w:r>
    </w:p>
    <w:p w:rsidR="00C55200" w:rsidRPr="00C55200" w:rsidRDefault="00C55200" w:rsidP="00C55200">
      <w:pPr>
        <w:numPr>
          <w:ilvl w:val="0"/>
          <w:numId w:val="26"/>
        </w:numPr>
        <w:contextualSpacing/>
      </w:pPr>
      <w:r w:rsidRPr="00C55200">
        <w:t xml:space="preserve">Available data on gas consumption levels is limited and we have not attempted to estimate a ‘low’ consumption level. Instead, we use an estimate only of a ‘typical’ gas consumption, which was informed by various jurisdictional energy regulator reports and St Vincent de Paul’s energy price reports. </w:t>
      </w:r>
    </w:p>
    <w:p w:rsidR="00C55200" w:rsidRPr="00C55200" w:rsidRDefault="00C55200" w:rsidP="00C55200">
      <w:r w:rsidRPr="00C55200">
        <w:t xml:space="preserve">These electricity and gas consumption levels are estimates. Furthermore, our low income electricity consumption figures are based on benchmark data for all households (not only low income households) and may not account for low income households using less energy per member of the household than other households. </w:t>
      </w:r>
      <w:r w:rsidRPr="00C55200">
        <w:rPr>
          <w:color w:val="000000" w:themeColor="accent5"/>
          <w:vertAlign w:val="superscript"/>
        </w:rPr>
        <w:footnoteReference w:id="58"/>
      </w:r>
    </w:p>
    <w:p w:rsidR="00C55200" w:rsidRPr="00C55200" w:rsidRDefault="00C55200" w:rsidP="00C55200">
      <w:pPr>
        <w:keepNext/>
        <w:keepLines/>
        <w:spacing w:before="240"/>
        <w:ind w:left="720" w:hanging="720"/>
        <w:outlineLvl w:val="2"/>
        <w:rPr>
          <w:rFonts w:eastAsiaTheme="majorEastAsia" w:cs="Arial"/>
          <w:b/>
          <w:bCs/>
          <w:color w:val="70635A"/>
          <w:sz w:val="28"/>
          <w:szCs w:val="28"/>
        </w:rPr>
      </w:pPr>
      <w:r w:rsidRPr="00C55200">
        <w:rPr>
          <w:rFonts w:eastAsiaTheme="majorEastAsia" w:cs="Arial"/>
          <w:b/>
          <w:bCs/>
          <w:color w:val="70635A"/>
          <w:sz w:val="28"/>
          <w:szCs w:val="28"/>
        </w:rPr>
        <w:lastRenderedPageBreak/>
        <w:t>Collection of energy tariff data</w:t>
      </w:r>
    </w:p>
    <w:p w:rsidR="00C55200" w:rsidRPr="00C55200" w:rsidRDefault="00C55200" w:rsidP="00C55200">
      <w:r w:rsidRPr="00C55200">
        <w:t xml:space="preserve">We selected a postcode in each distribution or pricing zone and collected all of the generally available offers in that postcode in June 2013 and June 2014. Only single-rate tariffs were considered and any GreenPower-only and solar offers were excluded. </w:t>
      </w:r>
    </w:p>
    <w:p w:rsidR="00C55200" w:rsidRPr="00C55200" w:rsidRDefault="00C55200" w:rsidP="00C55200">
      <w:r w:rsidRPr="00C55200">
        <w:t xml:space="preserve">Where possible, offer tariffs were sourced from our Energy Made Easy price comparison website (www.energymadeeasy.gov.au). For states and territories that had not commenced the Retail Law by 30 June 2014, tariffs were collected from jurisdictional energy regulators’ price comparison websites or directly from energy retailers’ websites. </w:t>
      </w:r>
    </w:p>
    <w:p w:rsidR="00C55200" w:rsidRPr="00C55200" w:rsidRDefault="00C55200" w:rsidP="00C55200">
      <w:pPr>
        <w:keepNext/>
        <w:keepLines/>
        <w:spacing w:before="240"/>
        <w:ind w:left="720" w:hanging="720"/>
        <w:outlineLvl w:val="2"/>
        <w:rPr>
          <w:rFonts w:eastAsiaTheme="majorEastAsia" w:cs="Arial"/>
          <w:b/>
          <w:bCs/>
          <w:color w:val="70635A"/>
          <w:sz w:val="28"/>
          <w:szCs w:val="28"/>
        </w:rPr>
      </w:pPr>
      <w:r w:rsidRPr="00C55200">
        <w:rPr>
          <w:rFonts w:eastAsiaTheme="majorEastAsia" w:cs="Arial"/>
          <w:b/>
          <w:bCs/>
          <w:color w:val="70635A"/>
          <w:sz w:val="28"/>
          <w:szCs w:val="28"/>
        </w:rPr>
        <w:t xml:space="preserve">Estimating annual energy bills </w:t>
      </w:r>
    </w:p>
    <w:p w:rsidR="00C55200" w:rsidRPr="00C55200" w:rsidRDefault="00C55200" w:rsidP="00C55200">
      <w:r w:rsidRPr="00C55200">
        <w:t>Annual electricity and gas bills for each of the generally available offers in the nominated postcode were calculated using the energy consumption levels in tables 3.1 and 3.2.</w:t>
      </w:r>
    </w:p>
    <w:p w:rsidR="00C55200" w:rsidRPr="00C55200" w:rsidRDefault="00C55200" w:rsidP="00C55200">
      <w:r w:rsidRPr="00C55200">
        <w:t>Key discounts offered by energy retailers (such as discounts for paying on time, paying by direct debit and other cash incentives), with the exception of discounts for bundling or dual fuel offers, have been included. One-off credits and non-cash promotions, such as movie tickets or club memberships, were not included. Seasonal pricing was taken into account (for example, gas is often more expensive during winter) when calculating the annual bills, however we assume a consistent consumption across the year.</w:t>
      </w:r>
    </w:p>
    <w:p w:rsidR="00C55200" w:rsidRPr="00C55200" w:rsidRDefault="00C55200" w:rsidP="00C55200">
      <w:r w:rsidRPr="00C55200">
        <w:t xml:space="preserve">Our analysis focuses on annual electricity and gas bills for the median market and standing offer in each jurisdiction. Using the median (rather than a simple average) ensures the analysis is not skewed by a small number of very cheap or very expensive offers. </w:t>
      </w:r>
    </w:p>
    <w:p w:rsidR="00C55200" w:rsidRPr="00C55200" w:rsidRDefault="00C55200" w:rsidP="00C55200">
      <w:pPr>
        <w:keepNext/>
        <w:keepLines/>
        <w:spacing w:before="240"/>
        <w:ind w:left="720" w:hanging="720"/>
        <w:outlineLvl w:val="2"/>
        <w:rPr>
          <w:rFonts w:eastAsiaTheme="majorEastAsia" w:cs="Arial"/>
          <w:b/>
          <w:bCs/>
          <w:color w:val="70635A"/>
          <w:sz w:val="28"/>
          <w:szCs w:val="28"/>
        </w:rPr>
      </w:pPr>
      <w:r w:rsidRPr="00C55200">
        <w:rPr>
          <w:rFonts w:eastAsiaTheme="majorEastAsia" w:cs="Arial"/>
          <w:b/>
          <w:bCs/>
          <w:color w:val="70635A"/>
          <w:sz w:val="28"/>
          <w:szCs w:val="28"/>
        </w:rPr>
        <w:t xml:space="preserve">Annual household disposable income </w:t>
      </w:r>
    </w:p>
    <w:p w:rsidR="00C55200" w:rsidRPr="00C55200" w:rsidRDefault="00C55200" w:rsidP="00C55200">
      <w:r w:rsidRPr="00C55200">
        <w:t>Data on disposable household income was obtained from the ABS. Disposable household income best represents the remaining income available to households for expenditure on goods and services, including electricity and gas bills.</w:t>
      </w:r>
    </w:p>
    <w:p w:rsidR="00C55200" w:rsidRPr="00C55200" w:rsidRDefault="00C55200" w:rsidP="00C55200">
      <w:r w:rsidRPr="00C55200">
        <w:t>Consistent with the ABS, ‘low income’ households in each state and territory were represented by the second and third income deciles, ‘middle income’ households represented by the third income quintile and ‘high income’ households represented by the fifth income quintile. The latest available data from the ABS was for 2011–12 and was adjusted to 2012–13 and 2013-14 dollars using the Consumer Price Index for low income households and the Wage Price Index for middle and high income households (see tables 3.1 and 3.2).</w:t>
      </w:r>
    </w:p>
    <w:p w:rsidR="001F2C30" w:rsidRPr="001F2C30" w:rsidRDefault="001F2C30" w:rsidP="001F2C30">
      <w:r w:rsidRPr="001F2C30">
        <w:br w:type="page"/>
      </w:r>
    </w:p>
    <w:p w:rsidR="001F2C30" w:rsidRPr="00E17DEC" w:rsidRDefault="00362F93" w:rsidP="00E17DEC">
      <w:pPr>
        <w:pStyle w:val="Headingnumbered11"/>
        <w:numPr>
          <w:ilvl w:val="0"/>
          <w:numId w:val="0"/>
        </w:numPr>
      </w:pPr>
      <w:bookmarkStart w:id="137" w:name="_Toc402959776"/>
      <w:bookmarkStart w:id="138" w:name="_Toc402961449"/>
      <w:r w:rsidRPr="00E17DEC">
        <w:lastRenderedPageBreak/>
        <w:t>Appendix 8</w:t>
      </w:r>
      <w:r w:rsidR="00D818ED" w:rsidRPr="00E17DEC">
        <w:t>:</w:t>
      </w:r>
      <w:r w:rsidR="001F2C30" w:rsidRPr="00E17DEC">
        <w:t xml:space="preserve"> Map of electricity distribution zones</w:t>
      </w:r>
      <w:bookmarkEnd w:id="137"/>
      <w:bookmarkEnd w:id="138"/>
      <w:r w:rsidR="001F2C30" w:rsidRPr="00E17DEC">
        <w:t xml:space="preserve"> </w:t>
      </w:r>
    </w:p>
    <w:p w:rsidR="001F2C30" w:rsidRPr="001F2C30" w:rsidRDefault="001F2C30" w:rsidP="001F2C30">
      <w:r w:rsidRPr="001F2C30">
        <w:rPr>
          <w:noProof/>
          <w:lang w:eastAsia="en-AU"/>
        </w:rPr>
        <w:drawing>
          <wp:inline distT="0" distB="0" distL="0" distR="0" wp14:anchorId="11928D3C" wp14:editId="3E40E94D">
            <wp:extent cx="5512435" cy="68751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2435" cy="6875145"/>
                    </a:xfrm>
                    <a:prstGeom prst="rect">
                      <a:avLst/>
                    </a:prstGeom>
                    <a:noFill/>
                    <a:ln>
                      <a:noFill/>
                    </a:ln>
                  </pic:spPr>
                </pic:pic>
              </a:graphicData>
            </a:graphic>
          </wp:inline>
        </w:drawing>
      </w:r>
    </w:p>
    <w:p w:rsidR="001F2C30" w:rsidRPr="001F2C30" w:rsidRDefault="001F2C30" w:rsidP="001F2C30">
      <w:r w:rsidRPr="001F2C30">
        <w:br w:type="page"/>
      </w:r>
    </w:p>
    <w:p w:rsidR="001F2C30" w:rsidRDefault="00362F93" w:rsidP="00E17DEC">
      <w:pPr>
        <w:pStyle w:val="Headingnumbered11"/>
        <w:numPr>
          <w:ilvl w:val="0"/>
          <w:numId w:val="0"/>
        </w:numPr>
      </w:pPr>
      <w:bookmarkStart w:id="139" w:name="_Toc402959777"/>
      <w:bookmarkStart w:id="140" w:name="_Toc402961450"/>
      <w:r w:rsidRPr="00E17DEC">
        <w:lastRenderedPageBreak/>
        <w:t>Appendix 9</w:t>
      </w:r>
      <w:r w:rsidR="00D818ED" w:rsidRPr="00E17DEC">
        <w:t>:</w:t>
      </w:r>
      <w:r w:rsidR="001F2C30" w:rsidRPr="00E17DEC">
        <w:t xml:space="preserve"> Map of gas distribution zones</w:t>
      </w:r>
      <w:bookmarkEnd w:id="139"/>
      <w:bookmarkEnd w:id="140"/>
    </w:p>
    <w:p w:rsidR="00C2421F" w:rsidRPr="00E17DEC" w:rsidRDefault="00C2421F" w:rsidP="00E17DEC">
      <w:pPr>
        <w:pStyle w:val="Headingnumbered11"/>
        <w:numPr>
          <w:ilvl w:val="0"/>
          <w:numId w:val="0"/>
        </w:numPr>
      </w:pPr>
      <w:r>
        <w:rPr>
          <w:noProof/>
          <w:lang w:eastAsia="en-AU"/>
        </w:rPr>
        <w:drawing>
          <wp:inline distT="0" distB="0" distL="0" distR="0">
            <wp:extent cx="5731510" cy="7044823"/>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044823"/>
                    </a:xfrm>
                    <a:prstGeom prst="rect">
                      <a:avLst/>
                    </a:prstGeom>
                    <a:noFill/>
                    <a:ln>
                      <a:noFill/>
                    </a:ln>
                  </pic:spPr>
                </pic:pic>
              </a:graphicData>
            </a:graphic>
          </wp:inline>
        </w:drawing>
      </w:r>
    </w:p>
    <w:p w:rsidR="001F2C30" w:rsidRPr="001F2C30" w:rsidRDefault="001F2C30" w:rsidP="001F2C30"/>
    <w:p w:rsidR="00980FDB" w:rsidRPr="0015113C" w:rsidRDefault="00980FDB" w:rsidP="00980FDB"/>
    <w:p w:rsidR="001F2EE7" w:rsidRDefault="001F2EE7" w:rsidP="009C613C"/>
    <w:sectPr w:rsidR="001F2EE7" w:rsidSect="00647438">
      <w:pgSz w:w="11906" w:h="16838"/>
      <w:pgMar w:top="1440" w:right="1440" w:bottom="1440" w:left="1440" w:header="708" w:footer="708"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Data r:id="rId1"/>
  </wne:toolbars>
  <wne:acds>
    <wne:acd wne:argValue="AQAAAFc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06B" w:rsidRDefault="001D106B" w:rsidP="00B14A00">
      <w:pPr>
        <w:spacing w:line="240" w:lineRule="auto"/>
      </w:pPr>
      <w:r>
        <w:separator/>
      </w:r>
    </w:p>
  </w:endnote>
  <w:endnote w:type="continuationSeparator" w:id="0">
    <w:p w:rsidR="001D106B" w:rsidRDefault="001D106B" w:rsidP="00B14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58880"/>
      <w:docPartObj>
        <w:docPartGallery w:val="Page Numbers (Bottom of Page)"/>
        <w:docPartUnique/>
      </w:docPartObj>
    </w:sdtPr>
    <w:sdtEndPr>
      <w:rPr>
        <w:noProof/>
      </w:rPr>
    </w:sdtEndPr>
    <w:sdtContent>
      <w:p w:rsidR="001D106B" w:rsidRDefault="001D106B">
        <w:pPr>
          <w:pStyle w:val="Footer"/>
          <w:jc w:val="right"/>
        </w:pPr>
        <w:r>
          <w:fldChar w:fldCharType="begin"/>
        </w:r>
        <w:r>
          <w:instrText xml:space="preserve"> PAGE   \* MERGEFORMAT </w:instrText>
        </w:r>
        <w:r>
          <w:fldChar w:fldCharType="separate"/>
        </w:r>
        <w:r w:rsidR="00F70488">
          <w:rPr>
            <w:noProof/>
          </w:rPr>
          <w:t>101</w:t>
        </w:r>
        <w:r>
          <w:rPr>
            <w:noProof/>
          </w:rPr>
          <w:fldChar w:fldCharType="end"/>
        </w:r>
      </w:p>
    </w:sdtContent>
  </w:sdt>
  <w:p w:rsidR="001D106B" w:rsidRDefault="001D1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299280"/>
      <w:docPartObj>
        <w:docPartGallery w:val="Page Numbers (Bottom of Page)"/>
        <w:docPartUnique/>
      </w:docPartObj>
    </w:sdtPr>
    <w:sdtEndPr>
      <w:rPr>
        <w:noProof/>
      </w:rPr>
    </w:sdtEndPr>
    <w:sdtContent>
      <w:p w:rsidR="001D106B" w:rsidRDefault="001D106B">
        <w:pPr>
          <w:pStyle w:val="Footer"/>
          <w:jc w:val="right"/>
        </w:pPr>
        <w:r>
          <w:fldChar w:fldCharType="begin"/>
        </w:r>
        <w:r>
          <w:instrText xml:space="preserve"> PAGE   \* MERGEFORMAT </w:instrText>
        </w:r>
        <w:r>
          <w:fldChar w:fldCharType="separate"/>
        </w:r>
        <w:r w:rsidR="00F70488">
          <w:rPr>
            <w:noProof/>
          </w:rPr>
          <w:t>1</w:t>
        </w:r>
        <w:r>
          <w:rPr>
            <w:noProof/>
          </w:rPr>
          <w:fldChar w:fldCharType="end"/>
        </w:r>
      </w:p>
    </w:sdtContent>
  </w:sdt>
  <w:p w:rsidR="001D106B" w:rsidRDefault="001D1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06B" w:rsidRDefault="001D106B" w:rsidP="00B14A00">
      <w:pPr>
        <w:spacing w:line="240" w:lineRule="auto"/>
      </w:pPr>
      <w:r>
        <w:separator/>
      </w:r>
    </w:p>
  </w:footnote>
  <w:footnote w:type="continuationSeparator" w:id="0">
    <w:p w:rsidR="001D106B" w:rsidRDefault="001D106B" w:rsidP="00B14A00">
      <w:pPr>
        <w:spacing w:line="240" w:lineRule="auto"/>
      </w:pPr>
      <w:r>
        <w:continuationSeparator/>
      </w:r>
    </w:p>
  </w:footnote>
  <w:footnote w:id="1">
    <w:p w:rsidR="001D106B" w:rsidRDefault="001D106B" w:rsidP="00025615">
      <w:pPr>
        <w:pStyle w:val="FootnoteText"/>
      </w:pPr>
      <w:r>
        <w:rPr>
          <w:rStyle w:val="FootnoteReference"/>
        </w:rPr>
        <w:footnoteRef/>
      </w:r>
      <w:r>
        <w:t xml:space="preserve"> Section 284 of the National Energy Retail Law (Retail Law) requires the AER to produce annual reports for retailers and sets out our obligations. </w:t>
      </w:r>
    </w:p>
  </w:footnote>
  <w:footnote w:id="2">
    <w:p w:rsidR="001D106B" w:rsidRDefault="001D106B" w:rsidP="00025615">
      <w:pPr>
        <w:pStyle w:val="FootnoteText"/>
      </w:pPr>
      <w:r>
        <w:rPr>
          <w:rStyle w:val="FootnoteReference"/>
        </w:rPr>
        <w:footnoteRef/>
      </w:r>
      <w:r>
        <w:t xml:space="preserve"> This report also contains some data submitted to and published by jurisdictional regulators prior to the commencement of the Retail Law (where it is available). </w:t>
      </w:r>
    </w:p>
  </w:footnote>
  <w:footnote w:id="3">
    <w:p w:rsidR="001D106B" w:rsidRDefault="001D106B">
      <w:pPr>
        <w:pStyle w:val="FootnoteText"/>
      </w:pPr>
      <w:r w:rsidRPr="00406691">
        <w:rPr>
          <w:rStyle w:val="FootnoteReference"/>
        </w:rPr>
        <w:footnoteRef/>
      </w:r>
      <w:r w:rsidRPr="00406691">
        <w:t xml:space="preserve"> Australian Energy Market Commission, </w:t>
      </w:r>
      <w:r w:rsidRPr="00406691">
        <w:rPr>
          <w:i/>
        </w:rPr>
        <w:t>2014 Retail Competition Review</w:t>
      </w:r>
      <w:r w:rsidRPr="00406691">
        <w:t xml:space="preserve">, viewed 2 October 2014, </w:t>
      </w:r>
      <w:r w:rsidRPr="00406691">
        <w:br/>
      </w:r>
      <w:hyperlink r:id="rId1" w:history="1">
        <w:r w:rsidRPr="008A7E66">
          <w:rPr>
            <w:rStyle w:val="Hyperlink"/>
          </w:rPr>
          <w:t>www.aemc.gov.au/Markets-Reviews-Advice/2014-Retail-Competition-Review</w:t>
        </w:r>
      </w:hyperlink>
    </w:p>
  </w:footnote>
  <w:footnote w:id="4">
    <w:p w:rsidR="001D106B" w:rsidRDefault="001D106B" w:rsidP="004B7B5B">
      <w:pPr>
        <w:pStyle w:val="FootnoteText"/>
      </w:pPr>
      <w:r>
        <w:rPr>
          <w:rStyle w:val="FootnoteReference"/>
        </w:rPr>
        <w:footnoteRef/>
      </w:r>
      <w:r>
        <w:t xml:space="preserve"> ibid.</w:t>
      </w:r>
    </w:p>
  </w:footnote>
  <w:footnote w:id="5">
    <w:p w:rsidR="001D106B" w:rsidRDefault="001D106B">
      <w:pPr>
        <w:pStyle w:val="FootnoteText"/>
      </w:pPr>
      <w:r>
        <w:rPr>
          <w:rStyle w:val="FootnoteReference"/>
        </w:rPr>
        <w:footnoteRef/>
      </w:r>
      <w:r>
        <w:t xml:space="preserve"> The Australian Energy Market Operator (AEMO) regularly publishes switching data. An explanation of how AEMO’s switching data is calculated is available at: </w:t>
      </w:r>
      <w:hyperlink r:id="rId2" w:history="1">
        <w:r w:rsidRPr="003659FC">
          <w:rPr>
            <w:rStyle w:val="Hyperlink"/>
          </w:rPr>
          <w:t>www.aemo.com.au</w:t>
        </w:r>
      </w:hyperlink>
      <w:r>
        <w:t xml:space="preserve">.   </w:t>
      </w:r>
    </w:p>
  </w:footnote>
  <w:footnote w:id="6">
    <w:p w:rsidR="001D106B" w:rsidRDefault="001D106B" w:rsidP="005C330C">
      <w:pPr>
        <w:pStyle w:val="FootnoteText"/>
      </w:pPr>
      <w:r>
        <w:rPr>
          <w:rStyle w:val="FootnoteReference"/>
        </w:rPr>
        <w:footnoteRef/>
      </w:r>
      <w:r>
        <w:t xml:space="preserve"> Customers of Australian Power and Gas became customers of AGL or switched to another retailer. </w:t>
      </w:r>
    </w:p>
  </w:footnote>
  <w:footnote w:id="7">
    <w:p w:rsidR="001D106B" w:rsidRDefault="001D106B">
      <w:pPr>
        <w:pStyle w:val="FootnoteText"/>
      </w:pPr>
      <w:r>
        <w:rPr>
          <w:rStyle w:val="FootnoteReference"/>
        </w:rPr>
        <w:footnoteRef/>
      </w:r>
      <w:r>
        <w:t xml:space="preserve"> Early termination fees vary between jurisdictions. The Victorian Energy Retail Code stipulates that $20 (excluding GST) is the appropriate amount to recover from customers that exit their contract early.</w:t>
      </w:r>
    </w:p>
  </w:footnote>
  <w:footnote w:id="8">
    <w:p w:rsidR="001D106B" w:rsidRDefault="001D106B" w:rsidP="004B7B5B">
      <w:pPr>
        <w:pStyle w:val="FootnoteText"/>
      </w:pPr>
      <w:r>
        <w:rPr>
          <w:rStyle w:val="FootnoteReference"/>
        </w:rPr>
        <w:footnoteRef/>
      </w:r>
      <w:r>
        <w:t xml:space="preserve"> </w:t>
      </w:r>
      <w:r w:rsidRPr="00406691">
        <w:t xml:space="preserve">Australian Energy Market Commission, </w:t>
      </w:r>
      <w:r w:rsidRPr="00406691">
        <w:rPr>
          <w:i/>
        </w:rPr>
        <w:t>2014 Retail Competition Review</w:t>
      </w:r>
      <w:r w:rsidRPr="00406691">
        <w:t xml:space="preserve">, viewed 2 October 2014, </w:t>
      </w:r>
      <w:r w:rsidRPr="00406691">
        <w:br/>
      </w:r>
      <w:hyperlink r:id="rId3" w:history="1">
        <w:r w:rsidRPr="008A7E66">
          <w:rPr>
            <w:rStyle w:val="Hyperlink"/>
          </w:rPr>
          <w:t>www.aemc.gov.au/Markets-Reviews-Advice/2014-Retail-Competition-Review</w:t>
        </w:r>
      </w:hyperlink>
    </w:p>
  </w:footnote>
  <w:footnote w:id="9">
    <w:p w:rsidR="001D106B" w:rsidRDefault="001D106B" w:rsidP="00E664EE">
      <w:pPr>
        <w:pStyle w:val="FootnoteText"/>
      </w:pPr>
      <w:r>
        <w:rPr>
          <w:rStyle w:val="FootnoteReference"/>
        </w:rPr>
        <w:footnoteRef/>
      </w:r>
      <w:r>
        <w:t xml:space="preserve"> Where the retailer uses an automated or IVR telephone system, the time is measured from when a customer chooses </w:t>
      </w:r>
    </w:p>
  </w:footnote>
  <w:footnote w:id="10">
    <w:p w:rsidR="001D106B" w:rsidRDefault="001D106B" w:rsidP="00E664EE">
      <w:pPr>
        <w:pStyle w:val="FootnoteText"/>
      </w:pPr>
      <w:r>
        <w:rPr>
          <w:rStyle w:val="FootnoteReference"/>
        </w:rPr>
        <w:footnoteRef/>
      </w:r>
      <w:r>
        <w:t xml:space="preserve"> Diamond Energy, Blue NRG and QEnergy answered 100 per cent of calls within 30 seconds, however experienced notably lower call volumes.</w:t>
      </w:r>
    </w:p>
  </w:footnote>
  <w:footnote w:id="11">
    <w:p w:rsidR="001D106B" w:rsidRDefault="001D106B" w:rsidP="00E664EE">
      <w:pPr>
        <w:pStyle w:val="FootnoteText"/>
      </w:pPr>
      <w:r>
        <w:rPr>
          <w:rStyle w:val="FootnoteReference"/>
        </w:rPr>
        <w:footnoteRef/>
      </w:r>
      <w:r>
        <w:t xml:space="preserve"> Small customers include residential customers and small businesses.</w:t>
      </w:r>
    </w:p>
  </w:footnote>
  <w:footnote w:id="12">
    <w:p w:rsidR="001D106B" w:rsidRDefault="001D106B" w:rsidP="00E664EE">
      <w:pPr>
        <w:pStyle w:val="FootnoteText"/>
      </w:pPr>
      <w:r>
        <w:rPr>
          <w:rStyle w:val="FootnoteReference"/>
        </w:rPr>
        <w:footnoteRef/>
      </w:r>
      <w:r>
        <w:t xml:space="preserve"> Complaints may relate to electricity and/or gas services. The number of electricity customers in each jurisdiction is used as a proxy for ‘energy’ customers.</w:t>
      </w:r>
    </w:p>
  </w:footnote>
  <w:footnote w:id="13">
    <w:p w:rsidR="001D106B" w:rsidRDefault="001D106B">
      <w:pPr>
        <w:pStyle w:val="FootnoteText"/>
      </w:pPr>
      <w:r>
        <w:rPr>
          <w:rStyle w:val="FootnoteReference"/>
        </w:rPr>
        <w:footnoteRef/>
      </w:r>
      <w:r>
        <w:t xml:space="preserve"> We are unable to compare Tasmania complaints data for 2012-13 and 2013-14 as Aurora did not report on the correct basis in 2012-13. </w:t>
      </w:r>
    </w:p>
  </w:footnote>
  <w:footnote w:id="14">
    <w:p w:rsidR="001D106B" w:rsidRDefault="001D106B">
      <w:pPr>
        <w:pStyle w:val="FootnoteText"/>
      </w:pPr>
      <w:r>
        <w:rPr>
          <w:rStyle w:val="FootnoteReference"/>
        </w:rPr>
        <w:footnoteRef/>
      </w:r>
      <w:r>
        <w:t xml:space="preserve"> Energy and Water Ombudsman NSW, </w:t>
      </w:r>
      <w:r>
        <w:rPr>
          <w:i/>
        </w:rPr>
        <w:t xml:space="preserve">Annual Report 2013-14, </w:t>
      </w:r>
      <w:r>
        <w:t xml:space="preserve">viewed 10 October 2014, </w:t>
      </w:r>
      <w:hyperlink r:id="rId4" w:history="1">
        <w:r w:rsidRPr="008A7E66">
          <w:rPr>
            <w:rStyle w:val="Hyperlink"/>
          </w:rPr>
          <w:t>www.ewon.com.au/ewon/assets/File/Publications/Annual_Reports/EWON-AR-FINAL-WEB.pdf</w:t>
        </w:r>
      </w:hyperlink>
    </w:p>
  </w:footnote>
  <w:footnote w:id="15">
    <w:p w:rsidR="001D106B" w:rsidRDefault="001D106B" w:rsidP="00E664EE">
      <w:pPr>
        <w:pStyle w:val="FootnoteText"/>
      </w:pPr>
      <w:r>
        <w:rPr>
          <w:rStyle w:val="FootnoteReference"/>
        </w:rPr>
        <w:footnoteRef/>
      </w:r>
      <w:r>
        <w:t xml:space="preserve"> Including general enquiries there were 14 812 ombudsman complaints relating to South Australia retailers in Table 2.2 (17 per cent of total complaints).  </w:t>
      </w:r>
    </w:p>
  </w:footnote>
  <w:footnote w:id="16">
    <w:p w:rsidR="001D106B" w:rsidRDefault="001D106B" w:rsidP="00E664EE">
      <w:pPr>
        <w:pStyle w:val="FootnoteText"/>
      </w:pPr>
      <w:r>
        <w:rPr>
          <w:rStyle w:val="FootnoteReference"/>
        </w:rPr>
        <w:footnoteRef/>
      </w:r>
      <w:r>
        <w:t xml:space="preserve"> The Retail Rules require the AER to distinguish between customers experiencing payment difficulties generally and customers on hardship programs. The data presented here excludes customers on hardship programs (and associated debt levels).</w:t>
      </w:r>
    </w:p>
  </w:footnote>
  <w:footnote w:id="17">
    <w:p w:rsidR="001D106B" w:rsidRDefault="001D106B" w:rsidP="00E664EE">
      <w:pPr>
        <w:pStyle w:val="FootnoteText"/>
      </w:pPr>
      <w:r>
        <w:rPr>
          <w:rStyle w:val="FootnoteReference"/>
        </w:rPr>
        <w:footnoteRef/>
      </w:r>
      <w:r>
        <w:t xml:space="preserve"> Between June quarters where 2012-13 data is available.</w:t>
      </w:r>
    </w:p>
  </w:footnote>
  <w:footnote w:id="18">
    <w:p w:rsidR="001D106B" w:rsidRDefault="001D106B" w:rsidP="00980FDB">
      <w:pPr>
        <w:pStyle w:val="FootnoteText"/>
      </w:pPr>
      <w:r>
        <w:rPr>
          <w:rStyle w:val="FootnoteReference"/>
        </w:rPr>
        <w:footnoteRef/>
      </w:r>
      <w:r>
        <w:t xml:space="preserve"> National Energy Retail Law, s.43.</w:t>
      </w:r>
    </w:p>
  </w:footnote>
  <w:footnote w:id="19">
    <w:p w:rsidR="001D106B" w:rsidRDefault="001D106B" w:rsidP="00FF36C0">
      <w:pPr>
        <w:pStyle w:val="FootnoteText"/>
      </w:pPr>
      <w:r>
        <w:rPr>
          <w:rStyle w:val="FootnoteReference"/>
        </w:rPr>
        <w:footnoteRef/>
      </w:r>
      <w:r>
        <w:t xml:space="preserve"> National Energy Retail Law, s.44.</w:t>
      </w:r>
    </w:p>
  </w:footnote>
  <w:footnote w:id="20">
    <w:p w:rsidR="001D106B" w:rsidRDefault="001D106B" w:rsidP="00FF36C0">
      <w:pPr>
        <w:pStyle w:val="FootnoteText"/>
      </w:pPr>
      <w:r>
        <w:rPr>
          <w:rStyle w:val="FootnoteReference"/>
        </w:rPr>
        <w:footnoteRef/>
      </w:r>
      <w:r>
        <w:t xml:space="preserve"> Where such processes or programs are required by a local instrument. </w:t>
      </w:r>
    </w:p>
  </w:footnote>
  <w:footnote w:id="21">
    <w:p w:rsidR="001D106B" w:rsidRDefault="001D106B">
      <w:pPr>
        <w:pStyle w:val="FootnoteText"/>
      </w:pPr>
      <w:r>
        <w:rPr>
          <w:rStyle w:val="FootnoteReference"/>
        </w:rPr>
        <w:footnoteRef/>
      </w:r>
      <w:r>
        <w:t xml:space="preserve"> Appendix 4 contains 2012-13 data for comparison.</w:t>
      </w:r>
    </w:p>
  </w:footnote>
  <w:footnote w:id="22">
    <w:p w:rsidR="001D106B" w:rsidRDefault="001D106B" w:rsidP="00980FDB">
      <w:pPr>
        <w:pStyle w:val="FootnoteText"/>
      </w:pPr>
      <w:r>
        <w:rPr>
          <w:rStyle w:val="FootnoteReference"/>
        </w:rPr>
        <w:footnoteRef/>
      </w:r>
      <w:r>
        <w:t xml:space="preserve"> Disconnections for non-payment exceed the number of reconnections for a number of reasons, including abandonment of the property, reconnecting with a different retailer and moving house. </w:t>
      </w:r>
    </w:p>
  </w:footnote>
  <w:footnote w:id="23">
    <w:p w:rsidR="001D106B" w:rsidRDefault="001D106B">
      <w:pPr>
        <w:pStyle w:val="FootnoteText"/>
      </w:pPr>
      <w:r>
        <w:rPr>
          <w:rStyle w:val="FootnoteReference"/>
        </w:rPr>
        <w:footnoteRef/>
      </w:r>
      <w:r>
        <w:t xml:space="preserve"> As at 30 June 2014 these retailers had zero customers on hardship programs.</w:t>
      </w:r>
    </w:p>
  </w:footnote>
  <w:footnote w:id="24">
    <w:p w:rsidR="001D106B" w:rsidRDefault="001D106B" w:rsidP="00980FDB">
      <w:pPr>
        <w:pStyle w:val="FootnoteText"/>
      </w:pPr>
      <w:r>
        <w:rPr>
          <w:rStyle w:val="FootnoteReference"/>
        </w:rPr>
        <w:footnoteRef/>
      </w:r>
      <w:r>
        <w:t xml:space="preserve"> As at 30 June 2014 there were 7 194 prepayment meters in Tasmania capable of detecting and reporting self-disconnections. This is an increase from 4 622 as at 30 June 2013, however equates to less than a quarter of all prepayment meters </w:t>
      </w:r>
    </w:p>
  </w:footnote>
  <w:footnote w:id="25">
    <w:p w:rsidR="001D106B" w:rsidRDefault="001D106B" w:rsidP="00980FDB">
      <w:pPr>
        <w:pStyle w:val="FootnoteText"/>
      </w:pPr>
      <w:r>
        <w:rPr>
          <w:rStyle w:val="FootnoteReference"/>
        </w:rPr>
        <w:footnoteRef/>
      </w:r>
      <w:r>
        <w:t xml:space="preserve"> National Energy Retail Rules, r.40.</w:t>
      </w:r>
    </w:p>
  </w:footnote>
  <w:footnote w:id="26">
    <w:p w:rsidR="001D106B" w:rsidRDefault="001D106B" w:rsidP="00FB10F9">
      <w:pPr>
        <w:pStyle w:val="FootnoteText"/>
      </w:pPr>
      <w:r>
        <w:rPr>
          <w:rStyle w:val="FootnoteReference"/>
        </w:rPr>
        <w:footnoteRef/>
      </w:r>
      <w:r>
        <w:t xml:space="preserve"> The electricity and gas bills estimated in this analysis are what end residential customers would pay and </w:t>
      </w:r>
      <w:r w:rsidRPr="00361D07">
        <w:t xml:space="preserve">reflect the cost of providing </w:t>
      </w:r>
      <w:r>
        <w:t xml:space="preserve">electricity and gas </w:t>
      </w:r>
      <w:r w:rsidRPr="00361D07">
        <w:t>services to home</w:t>
      </w:r>
      <w:r>
        <w:t>s</w:t>
      </w:r>
      <w:r w:rsidRPr="00361D07">
        <w:t>. It includes the wholesale cost of buying gas and electricity</w:t>
      </w:r>
      <w:r>
        <w:t>;</w:t>
      </w:r>
      <w:r w:rsidRPr="00361D07">
        <w:t xml:space="preserve"> transportation costs to deliver </w:t>
      </w:r>
      <w:r>
        <w:t xml:space="preserve">electricity and gas to homes over transmission and distribution pipes and wires; the </w:t>
      </w:r>
      <w:r w:rsidRPr="00361D07">
        <w:t>provi</w:t>
      </w:r>
      <w:r>
        <w:t xml:space="preserve">sion of </w:t>
      </w:r>
      <w:r w:rsidRPr="00361D07">
        <w:t>retail services</w:t>
      </w:r>
      <w:r>
        <w:t xml:space="preserve"> (billing and call centres); as well as </w:t>
      </w:r>
      <w:r w:rsidRPr="00361D07">
        <w:t xml:space="preserve">the cost of </w:t>
      </w:r>
      <w:r>
        <w:t xml:space="preserve">jurisdictional green schemes </w:t>
      </w:r>
      <w:r w:rsidRPr="00361D07">
        <w:t>to save energy or support the development of renewable energy.</w:t>
      </w:r>
      <w:r>
        <w:t xml:space="preserve"> </w:t>
      </w:r>
    </w:p>
  </w:footnote>
  <w:footnote w:id="27">
    <w:p w:rsidR="001D106B" w:rsidRDefault="001D106B" w:rsidP="00FB10F9">
      <w:pPr>
        <w:pStyle w:val="FootnoteText"/>
      </w:pPr>
      <w:r>
        <w:rPr>
          <w:rStyle w:val="FootnoteReference"/>
        </w:rPr>
        <w:footnoteRef/>
      </w:r>
      <w:r>
        <w:t xml:space="preserve"> Similarly, electricity and gas bills, or the proportion of income spent on these bills, cannot be simply summed to create an overall household ‘energy bill’ or ‘proportion of income spent on energy’. This is because the consumption levels used are based on typical values and will not always reflect the different fuel and appliance mix available. For example</w:t>
      </w:r>
      <w:r w:rsidRPr="004623E6">
        <w:t>, households with gas connection</w:t>
      </w:r>
      <w:r>
        <w:t>s</w:t>
      </w:r>
      <w:r w:rsidRPr="004623E6">
        <w:t xml:space="preserve"> </w:t>
      </w:r>
      <w:r>
        <w:t xml:space="preserve">and many gas appliances </w:t>
      </w:r>
      <w:r w:rsidRPr="004623E6">
        <w:t>w</w:t>
      </w:r>
      <w:r>
        <w:t>ill</w:t>
      </w:r>
      <w:r w:rsidRPr="004623E6">
        <w:t xml:space="preserve"> have lower electricity consumption than the benchmark used in our report.</w:t>
      </w:r>
    </w:p>
  </w:footnote>
  <w:footnote w:id="28">
    <w:p w:rsidR="001D106B" w:rsidRDefault="001D106B" w:rsidP="00FB10F9">
      <w:pPr>
        <w:pStyle w:val="FootnoteText"/>
        <w:keepLines/>
      </w:pPr>
      <w:r>
        <w:rPr>
          <w:rStyle w:val="FootnoteReference"/>
        </w:rPr>
        <w:footnoteRef/>
      </w:r>
      <w:r>
        <w:t xml:space="preserve"> </w:t>
      </w:r>
      <w:r w:rsidRPr="00F52793">
        <w:t>The cooler climate in Tasmania generates greater heating requirements during winter and less than 5 per cent of households are connected to mains gas. Electricity consumption is therefore typically higher.</w:t>
      </w:r>
      <w:r>
        <w:t xml:space="preserve"> </w:t>
      </w:r>
    </w:p>
  </w:footnote>
  <w:footnote w:id="29">
    <w:p w:rsidR="001D106B" w:rsidRDefault="001D106B" w:rsidP="00FB10F9">
      <w:pPr>
        <w:pStyle w:val="FootnoteText"/>
      </w:pPr>
      <w:r>
        <w:rPr>
          <w:rStyle w:val="FootnoteReference"/>
        </w:rPr>
        <w:footnoteRef/>
      </w:r>
      <w:r>
        <w:t xml:space="preserve"> </w:t>
      </w:r>
      <w:r w:rsidRPr="00F52793">
        <w:t xml:space="preserve">The Queensland Government introduced a tariff ‘freeze’ on the main residential electricity tariff (tariff 11) for 12 months commencing on 1 July 2012. </w:t>
      </w:r>
      <w:hyperlink r:id="rId5" w:history="1">
        <w:r w:rsidRPr="00E80E35">
          <w:rPr>
            <w:rStyle w:val="Hyperlink"/>
          </w:rPr>
          <w:t>http://www.qca.org.au/Electricity/Consumer/SEQ-Electricity-Prices/Archive/Electricity-Prices-2013-14</w:t>
        </w:r>
      </w:hyperlink>
      <w:r>
        <w:t>.</w:t>
      </w:r>
    </w:p>
  </w:footnote>
  <w:footnote w:id="30">
    <w:p w:rsidR="001D106B" w:rsidRDefault="001D106B" w:rsidP="00FB10F9">
      <w:pPr>
        <w:pStyle w:val="FootnoteText"/>
      </w:pPr>
      <w:r>
        <w:rPr>
          <w:rStyle w:val="FootnoteReference"/>
        </w:rPr>
        <w:footnoteRef/>
      </w:r>
      <w:r>
        <w:t xml:space="preserve"> </w:t>
      </w:r>
      <w:r w:rsidRPr="00F52793">
        <w:t>Data obtained from the Australian Bureau of Statistics (ABS) shows that low income households are on average one to two person households (see table 3.1).</w:t>
      </w:r>
    </w:p>
  </w:footnote>
  <w:footnote w:id="31">
    <w:p w:rsidR="001D106B" w:rsidRDefault="001D106B" w:rsidP="00FB10F9">
      <w:pPr>
        <w:pStyle w:val="FootnoteText"/>
      </w:pPr>
      <w:r>
        <w:rPr>
          <w:rStyle w:val="FootnoteReference"/>
        </w:rPr>
        <w:footnoteRef/>
      </w:r>
      <w:r>
        <w:t xml:space="preserve"> </w:t>
      </w:r>
      <w:r w:rsidRPr="00C7771D">
        <w:t>Rule 166(1) (e) of the Retail Rules requires the AER to publish a report on energy affordability for small customers as part of its retail market performance reports.</w:t>
      </w:r>
    </w:p>
  </w:footnote>
  <w:footnote w:id="32">
    <w:p w:rsidR="001D106B" w:rsidRDefault="001D106B" w:rsidP="00FB10F9">
      <w:pPr>
        <w:pStyle w:val="FootnoteText"/>
      </w:pPr>
      <w:r>
        <w:rPr>
          <w:rStyle w:val="FootnoteReference"/>
        </w:rPr>
        <w:footnoteRef/>
      </w:r>
      <w:r>
        <w:t xml:space="preserve"> </w:t>
      </w:r>
      <w:r w:rsidRPr="00C7771D">
        <w:t>We have not considered energy affordability for customers in Western Australia and the Northern Territory.</w:t>
      </w:r>
    </w:p>
  </w:footnote>
  <w:footnote w:id="33">
    <w:p w:rsidR="001D106B" w:rsidRDefault="001D106B" w:rsidP="006D58B0">
      <w:pPr>
        <w:pStyle w:val="FootnoteText"/>
      </w:pPr>
      <w:r>
        <w:rPr>
          <w:rStyle w:val="FootnoteReference"/>
        </w:rPr>
        <w:footnoteRef/>
      </w:r>
      <w:r>
        <w:t xml:space="preserve"> </w:t>
      </w:r>
      <w:r w:rsidRPr="00A8525D">
        <w:t>Generally available offers refer to energy offers available to all customers within a given distribution zone. Energy offers that are not generally available—such as those only available to a limited or particular group of customers—are not included.</w:t>
      </w:r>
    </w:p>
  </w:footnote>
  <w:footnote w:id="34">
    <w:p w:rsidR="001D106B" w:rsidRDefault="001D106B" w:rsidP="006D58B0">
      <w:pPr>
        <w:pStyle w:val="FootnoteText"/>
      </w:pPr>
      <w:r>
        <w:rPr>
          <w:rStyle w:val="FootnoteReference"/>
        </w:rPr>
        <w:footnoteRef/>
      </w:r>
      <w:r>
        <w:t xml:space="preserve"> </w:t>
      </w:r>
      <w:r w:rsidRPr="00A8525D">
        <w:t>Appendix 2 of the 2012-13 report details the postcodes used in our analysis.</w:t>
      </w:r>
    </w:p>
  </w:footnote>
  <w:footnote w:id="35">
    <w:p w:rsidR="001D106B" w:rsidRDefault="001D106B" w:rsidP="002B5434">
      <w:pPr>
        <w:pStyle w:val="FootnoteText"/>
      </w:pPr>
      <w:r>
        <w:rPr>
          <w:rStyle w:val="FootnoteReference"/>
        </w:rPr>
        <w:footnoteRef/>
      </w:r>
      <w:r>
        <w:t xml:space="preserve"> </w:t>
      </w:r>
      <w:r w:rsidRPr="00A8525D">
        <w:t>The ABS advises that using the first decile to represent ‘low income’ households can be problematic as it can include income data that does not necessarily reflect the lowest income households. In the lowest income quintile, survey respondents may report extremely low or negative incomes for taxation or other benefit purposes (such as negative gearing on investments, or working cash in hand). The ABS therefore considers the first income decile is not necessarily the truest representation of low income households in Australia.</w:t>
      </w:r>
    </w:p>
  </w:footnote>
  <w:footnote w:id="36">
    <w:p w:rsidR="001D106B" w:rsidRPr="006D58B0" w:rsidRDefault="001D106B" w:rsidP="006D58B0">
      <w:pPr>
        <w:pStyle w:val="FootnoteText"/>
      </w:pPr>
      <w:r>
        <w:rPr>
          <w:rStyle w:val="FootnoteReference"/>
        </w:rPr>
        <w:footnoteRef/>
      </w:r>
      <w:r>
        <w:t xml:space="preserve"> </w:t>
      </w:r>
      <w:r w:rsidRPr="006D58B0">
        <w:t>We adjusted the ABS data for low income households by the Consumer Price Index (CPI) and the middle and high income data using the ABS Wage Price Index (WPI). We undertook additional analysis to determine whether adjusting the low income data by WPI, rather than CPI, affected the findings of this report. In almost all instances, the change was very slight (less than one per cent) and did not impact the report’s findings.</w:t>
      </w:r>
    </w:p>
    <w:p w:rsidR="001D106B" w:rsidRDefault="001D106B" w:rsidP="002B5434">
      <w:pPr>
        <w:pStyle w:val="FootnoteText"/>
      </w:pPr>
    </w:p>
  </w:footnote>
  <w:footnote w:id="37">
    <w:p w:rsidR="001D106B" w:rsidRDefault="001D106B" w:rsidP="002B5434">
      <w:pPr>
        <w:pStyle w:val="FootnoteText"/>
      </w:pPr>
      <w:r>
        <w:rPr>
          <w:rStyle w:val="FootnoteReference"/>
        </w:rPr>
        <w:footnoteRef/>
      </w:r>
      <w:r>
        <w:t xml:space="preserve"> </w:t>
      </w:r>
      <w:r w:rsidRPr="004E1F0D">
        <w:t>Customers consuming less than 100MWh per year</w:t>
      </w:r>
      <w:r>
        <w:t>.</w:t>
      </w:r>
    </w:p>
  </w:footnote>
  <w:footnote w:id="38">
    <w:p w:rsidR="001D106B" w:rsidRDefault="001D106B" w:rsidP="002B5434">
      <w:pPr>
        <w:pStyle w:val="FootnoteText"/>
      </w:pPr>
      <w:r>
        <w:rPr>
          <w:rStyle w:val="FootnoteReference"/>
        </w:rPr>
        <w:footnoteRef/>
      </w:r>
      <w:r>
        <w:t xml:space="preserve"> </w:t>
      </w:r>
      <w:r w:rsidRPr="004E1F0D">
        <w:t xml:space="preserve">Queensland Competition Authority, Market and Non-Market Customers, March Quarter 2014. </w:t>
      </w:r>
      <w:hyperlink r:id="rId6" w:anchor="finalpos" w:history="1">
        <w:r w:rsidRPr="00661300">
          <w:rPr>
            <w:rStyle w:val="Hyperlink"/>
          </w:rPr>
          <w:t>http://www.qca.org.au/Electricity/Reviews/Market-reports-and-statistics/Market-Customer-Statistics/Final-Report/Market-Customer-Statistics#finalpos</w:t>
        </w:r>
      </w:hyperlink>
      <w:r>
        <w:t xml:space="preserve"> </w:t>
      </w:r>
    </w:p>
  </w:footnote>
  <w:footnote w:id="39">
    <w:p w:rsidR="001D106B" w:rsidRDefault="001D106B" w:rsidP="002B5434">
      <w:pPr>
        <w:pStyle w:val="FootnoteText"/>
      </w:pPr>
      <w:r>
        <w:rPr>
          <w:rStyle w:val="FootnoteReference"/>
        </w:rPr>
        <w:footnoteRef/>
      </w:r>
      <w:r>
        <w:t xml:space="preserve"> </w:t>
      </w:r>
      <w:r w:rsidRPr="00D95783">
        <w:t>Eligibility is restricted to households that have a Commonwealth Pensioner Concession Card, Department of Veterans’ Affairs Gold Card or Queensland Seniors cards. Eligibility is not extended to Centrelink Health Care Cards, unlike in other states and territories</w:t>
      </w:r>
      <w:r>
        <w:t>.</w:t>
      </w:r>
    </w:p>
  </w:footnote>
  <w:footnote w:id="40">
    <w:p w:rsidR="001D106B" w:rsidRDefault="001D106B" w:rsidP="006D58B0">
      <w:pPr>
        <w:pStyle w:val="FootnoteText"/>
      </w:pPr>
      <w:r>
        <w:rPr>
          <w:rStyle w:val="FootnoteReference"/>
        </w:rPr>
        <w:footnoteRef/>
      </w:r>
      <w:r>
        <w:t xml:space="preserve"> </w:t>
      </w:r>
      <w:hyperlink r:id="rId7" w:history="1">
        <w:r w:rsidRPr="00661300">
          <w:rPr>
            <w:rStyle w:val="Hyperlink"/>
          </w:rPr>
          <w:t>http://www.qca.org.au/Electricity/Consumer/SEQ-Electricity-Prices/Archive/Electricity-Prices-2013-14</w:t>
        </w:r>
      </w:hyperlink>
      <w:r>
        <w:t xml:space="preserve"> </w:t>
      </w:r>
    </w:p>
  </w:footnote>
  <w:footnote w:id="41">
    <w:p w:rsidR="001D106B" w:rsidRDefault="001D106B" w:rsidP="002B5434">
      <w:pPr>
        <w:pStyle w:val="FootnoteText"/>
      </w:pPr>
      <w:r>
        <w:rPr>
          <w:rStyle w:val="FootnoteReference"/>
        </w:rPr>
        <w:footnoteRef/>
      </w:r>
      <w:r>
        <w:t xml:space="preserve"> </w:t>
      </w:r>
      <w:r w:rsidRPr="00B46E93">
        <w:t>Eligibility is restricted to households that have a Commonwealth Pensioner Concession Card, Health Care Card, or a Department of Veterans’ Affairs Gold Card.</w:t>
      </w:r>
    </w:p>
  </w:footnote>
  <w:footnote w:id="42">
    <w:p w:rsidR="001D106B" w:rsidRDefault="001D106B" w:rsidP="002B5434">
      <w:pPr>
        <w:pStyle w:val="FootnoteText"/>
      </w:pPr>
      <w:r>
        <w:rPr>
          <w:rStyle w:val="FootnoteReference"/>
        </w:rPr>
        <w:footnoteRef/>
      </w:r>
      <w:r>
        <w:t xml:space="preserve"> </w:t>
      </w:r>
      <w:r w:rsidRPr="00B46E93">
        <w:t>Eligibility is restricted to households that receive the Australian Government’s Family Tax Benefit A and/or B.</w:t>
      </w:r>
    </w:p>
  </w:footnote>
  <w:footnote w:id="43">
    <w:p w:rsidR="001D106B" w:rsidRDefault="001D106B" w:rsidP="002B5434">
      <w:pPr>
        <w:pStyle w:val="FootnoteText"/>
      </w:pPr>
      <w:r>
        <w:rPr>
          <w:rStyle w:val="FootnoteReference"/>
        </w:rPr>
        <w:footnoteRef/>
      </w:r>
      <w:r>
        <w:t xml:space="preserve"> </w:t>
      </w:r>
      <w:r w:rsidRPr="00A50F78">
        <w:t>Eligibility is limited to the holder of at least one of the following cards: Pensioner Concession Card, Health Care Card or Department of Veterans’ Affairs Gold Card.</w:t>
      </w:r>
    </w:p>
  </w:footnote>
  <w:footnote w:id="44">
    <w:p w:rsidR="001D106B" w:rsidRDefault="001D106B" w:rsidP="002B5434">
      <w:pPr>
        <w:pStyle w:val="FootnoteText"/>
      </w:pPr>
      <w:r>
        <w:rPr>
          <w:rStyle w:val="FootnoteReference"/>
        </w:rPr>
        <w:footnoteRef/>
      </w:r>
      <w:r>
        <w:t xml:space="preserve"> </w:t>
      </w:r>
      <w:hyperlink r:id="rId8" w:history="1">
        <w:r w:rsidRPr="00661300">
          <w:rPr>
            <w:rStyle w:val="Hyperlink"/>
          </w:rPr>
          <w:t>http://www.dhs.vic.gov.au/for-individuals/financial-support/concessions/energy/annual-electricity-concession</w:t>
        </w:r>
      </w:hyperlink>
      <w:r>
        <w:t xml:space="preserve"> </w:t>
      </w:r>
    </w:p>
  </w:footnote>
  <w:footnote w:id="45">
    <w:p w:rsidR="001D106B" w:rsidRDefault="001D106B" w:rsidP="002B5434">
      <w:pPr>
        <w:pStyle w:val="FootnoteText"/>
      </w:pPr>
      <w:r>
        <w:rPr>
          <w:rStyle w:val="FootnoteReference"/>
        </w:rPr>
        <w:footnoteRef/>
      </w:r>
      <w:r>
        <w:t xml:space="preserve"> </w:t>
      </w:r>
      <w:hyperlink r:id="rId9" w:history="1">
        <w:r w:rsidRPr="00661300">
          <w:rPr>
            <w:rStyle w:val="Hyperlink"/>
          </w:rPr>
          <w:t>http://www.dhs.vic.gov.au/for-individuals/financial-support/concessions/energy/winter-gas-concession</w:t>
        </w:r>
      </w:hyperlink>
      <w:r>
        <w:t xml:space="preserve"> </w:t>
      </w:r>
      <w:r w:rsidRPr="00A50F78">
        <w:t>-</w:t>
      </w:r>
    </w:p>
  </w:footnote>
  <w:footnote w:id="46">
    <w:p w:rsidR="001D106B" w:rsidRDefault="001D106B" w:rsidP="002B5434">
      <w:pPr>
        <w:pStyle w:val="FootnoteText"/>
      </w:pPr>
      <w:r>
        <w:rPr>
          <w:rStyle w:val="FootnoteReference"/>
        </w:rPr>
        <w:footnoteRef/>
      </w:r>
      <w:r>
        <w:t xml:space="preserve"> </w:t>
      </w:r>
      <w:r w:rsidRPr="00AF30D0">
        <w:t>New customers who sign up to an AGL standing contract from 1 February 2013 will be offered electricity rates that are 4.5% lower than AGL’s December 2012 residential standing contract rates.</w:t>
      </w:r>
    </w:p>
  </w:footnote>
  <w:footnote w:id="47">
    <w:p w:rsidR="001D106B" w:rsidRDefault="001D106B" w:rsidP="002B5434">
      <w:pPr>
        <w:pStyle w:val="FootnoteText"/>
      </w:pPr>
      <w:r>
        <w:rPr>
          <w:rStyle w:val="FootnoteReference"/>
        </w:rPr>
        <w:footnoteRef/>
      </w:r>
      <w:r>
        <w:t xml:space="preserve"> </w:t>
      </w:r>
      <w:r w:rsidRPr="00B70E23">
        <w:t>Eligibility is restricted to households that have either a Commonwealth Pensioner Concession Card, or Health Care Card, or a Department of Veterans’ Affairs Gold Card.</w:t>
      </w:r>
    </w:p>
  </w:footnote>
  <w:footnote w:id="48">
    <w:p w:rsidR="001D106B" w:rsidRDefault="001D106B" w:rsidP="002B5434">
      <w:pPr>
        <w:pStyle w:val="FootnoteText"/>
      </w:pPr>
      <w:r>
        <w:rPr>
          <w:rStyle w:val="FootnoteReference"/>
        </w:rPr>
        <w:footnoteRef/>
      </w:r>
      <w:r>
        <w:t xml:space="preserve"> </w:t>
      </w:r>
      <w:r w:rsidRPr="00151894">
        <w:t>Eligibility is restricted to households that have either a Commonwealth Pensioner Concession Card, or Health Care Card, or a Department of Veterans’ Affairs Gold Card.</w:t>
      </w:r>
    </w:p>
  </w:footnote>
  <w:footnote w:id="49">
    <w:p w:rsidR="001D106B" w:rsidRDefault="001D106B" w:rsidP="00C55200">
      <w:pPr>
        <w:pStyle w:val="FootnoteText"/>
      </w:pPr>
      <w:r>
        <w:rPr>
          <w:rStyle w:val="FootnoteReference"/>
        </w:rPr>
        <w:footnoteRef/>
      </w:r>
      <w:hyperlink r:id="rId10" w:history="1">
        <w:r w:rsidRPr="00661300">
          <w:rPr>
            <w:rStyle w:val="Hyperlink"/>
          </w:rPr>
          <w:t>http://www.energyregulator.tas.gov.au/domino/otter.nsf/LookupFiles/132716%20Media%20Release.PDF/$file/132716%20Media%20Release.PDF</w:t>
        </w:r>
      </w:hyperlink>
      <w:r>
        <w:t xml:space="preserve"> </w:t>
      </w:r>
    </w:p>
  </w:footnote>
  <w:footnote w:id="50">
    <w:p w:rsidR="001D106B" w:rsidRDefault="001D106B" w:rsidP="002B5434">
      <w:pPr>
        <w:pStyle w:val="FootnoteText"/>
      </w:pPr>
      <w:r>
        <w:rPr>
          <w:rStyle w:val="FootnoteReference"/>
        </w:rPr>
        <w:footnoteRef/>
      </w:r>
      <w:r>
        <w:t xml:space="preserve"> </w:t>
      </w:r>
      <w:r w:rsidRPr="005E7454">
        <w:t>Eligibility is restricted to households who hold a Centrelink Pensioner Concession Card, a Centrelink Low Income Health Care Card or a Department of Veterans’ Affairs Pensioner Concession Card.</w:t>
      </w:r>
    </w:p>
  </w:footnote>
  <w:footnote w:id="51">
    <w:p w:rsidR="001D106B" w:rsidRDefault="001D106B" w:rsidP="002B5434">
      <w:pPr>
        <w:pStyle w:val="FootnoteText"/>
      </w:pPr>
      <w:r>
        <w:rPr>
          <w:rStyle w:val="FootnoteReference"/>
        </w:rPr>
        <w:footnoteRef/>
      </w:r>
      <w:r>
        <w:t xml:space="preserve"> </w:t>
      </w:r>
      <w:r w:rsidRPr="005E7454">
        <w:t xml:space="preserve">The current combined summer Energy/Utility rebate is approximately 52.43 cents per day from 1 November to 31 May each year. The winter rebate is around 192.80cents per day from 1 June to 31 October. See </w:t>
      </w:r>
      <w:hyperlink r:id="rId11" w:history="1">
        <w:r w:rsidRPr="00040811">
          <w:rPr>
            <w:rStyle w:val="Hyperlink"/>
          </w:rPr>
          <w:t>http://www.dhcs.act.gov.au/wac/concessions/energy_concession</w:t>
        </w:r>
      </w:hyperlink>
      <w:r>
        <w:t xml:space="preserve"> </w:t>
      </w:r>
      <w:r w:rsidRPr="005E7454">
        <w:t>for more information.</w:t>
      </w:r>
    </w:p>
  </w:footnote>
  <w:footnote w:id="52">
    <w:p w:rsidR="001D106B" w:rsidRDefault="001D106B" w:rsidP="00980FDB">
      <w:pPr>
        <w:pStyle w:val="FootnoteText"/>
      </w:pPr>
      <w:r>
        <w:rPr>
          <w:rStyle w:val="FootnoteReference"/>
        </w:rPr>
        <w:footnoteRef/>
      </w:r>
      <w:r>
        <w:t xml:space="preserve"> NERL, s.285 (d).</w:t>
      </w:r>
    </w:p>
  </w:footnote>
  <w:footnote w:id="53">
    <w:p w:rsidR="001D106B" w:rsidRDefault="001D106B" w:rsidP="00980FDB">
      <w:pPr>
        <w:pStyle w:val="FootnoteText"/>
      </w:pPr>
      <w:r>
        <w:rPr>
          <w:rStyle w:val="FootnoteReference"/>
        </w:rPr>
        <w:footnoteRef/>
      </w:r>
      <w:r>
        <w:t xml:space="preserve"> Energy laws are defined to include national energy legislation, jurisdictional energy legislation, the Rules, the NER and the NGR and instruments made under this Law, the Rules, the NER and the NGR (including the Retail Market Procedures).</w:t>
      </w:r>
    </w:p>
  </w:footnote>
  <w:footnote w:id="54">
    <w:p w:rsidR="001D106B" w:rsidRDefault="001D106B" w:rsidP="00980FDB">
      <w:pPr>
        <w:pStyle w:val="FootnoteText"/>
      </w:pPr>
      <w:r>
        <w:rPr>
          <w:rStyle w:val="FootnoteReference"/>
        </w:rPr>
        <w:footnoteRef/>
      </w:r>
      <w:r>
        <w:t xml:space="preserve"> NERL, s.2.</w:t>
      </w:r>
    </w:p>
  </w:footnote>
  <w:footnote w:id="55">
    <w:p w:rsidR="001D106B" w:rsidRDefault="001D106B" w:rsidP="006E76B9">
      <w:pPr>
        <w:pStyle w:val="FootnoteText"/>
      </w:pPr>
      <w:r>
        <w:rPr>
          <w:rStyle w:val="FootnoteReference"/>
        </w:rPr>
        <w:footnoteRef/>
      </w:r>
      <w:r>
        <w:t xml:space="preserve"> 41 per cent of complaints to </w:t>
      </w:r>
      <w:proofErr w:type="spellStart"/>
      <w:r>
        <w:t>Ausgrid</w:t>
      </w:r>
      <w:proofErr w:type="spellEnd"/>
      <w:r>
        <w:t xml:space="preserve"> could not be distinguished between residential and non-residential customers as insufficient customer information was supplied.</w:t>
      </w:r>
    </w:p>
  </w:footnote>
  <w:footnote w:id="56">
    <w:p w:rsidR="001D106B" w:rsidRDefault="001D106B" w:rsidP="006E76B9">
      <w:pPr>
        <w:pStyle w:val="FootnoteText"/>
      </w:pPr>
      <w:r>
        <w:rPr>
          <w:rStyle w:val="FootnoteReference"/>
        </w:rPr>
        <w:footnoteRef/>
      </w:r>
      <w:r>
        <w:t xml:space="preserve"> Total compensation for both the failure to provide adequate notice and for the occasions where supply was interrupted for longer than the time indicated on the notice.</w:t>
      </w:r>
    </w:p>
  </w:footnote>
  <w:footnote w:id="57">
    <w:p w:rsidR="001D106B" w:rsidRDefault="001D106B" w:rsidP="00C55200">
      <w:pPr>
        <w:pStyle w:val="FootnoteText"/>
      </w:pPr>
      <w:r>
        <w:rPr>
          <w:rStyle w:val="FootnoteReference"/>
        </w:rPr>
        <w:footnoteRef/>
      </w:r>
      <w:r>
        <w:t xml:space="preserve"> </w:t>
      </w:r>
      <w:r w:rsidRPr="00B553BB">
        <w:t xml:space="preserve">The Retail Rules require retailers to provide information to residential customers on their electricity bill regarding how their electricity consumption compares to similar sized households in their local area. ACIL Tasman was commissioned to develop these initial benchmarks. It conducted a survey of electricity customers across Australia to collect data on their electricity consumption and other variables that effected how much energy they use. ACIL Tasman’s Electricity bill benchmarks for residential customers (December 2011) report is available at: </w:t>
      </w:r>
      <w:hyperlink r:id="rId12" w:history="1">
        <w:r w:rsidRPr="00B2361C">
          <w:rPr>
            <w:rStyle w:val="Hyperlink"/>
          </w:rPr>
          <w:t>http://www.aer.gov.au/node/9751</w:t>
        </w:r>
      </w:hyperlink>
      <w:r>
        <w:t xml:space="preserve"> </w:t>
      </w:r>
    </w:p>
  </w:footnote>
  <w:footnote w:id="58">
    <w:p w:rsidR="001D106B" w:rsidRDefault="001D106B" w:rsidP="00C55200">
      <w:pPr>
        <w:pStyle w:val="FootnoteText"/>
      </w:pPr>
      <w:r>
        <w:rPr>
          <w:rStyle w:val="FootnoteReference"/>
        </w:rPr>
        <w:footnoteRef/>
      </w:r>
      <w:r>
        <w:t xml:space="preserve"> </w:t>
      </w:r>
      <w:r w:rsidRPr="005C5C75">
        <w:t>ABS Catalogue 4670.0: Household Energy Consumption Survey 2012. Low income households used, on average, less electricity and gas compared to households in the highest income quintile.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C88B246"/>
    <w:lvl w:ilvl="0">
      <w:start w:val="1"/>
      <w:numFmt w:val="decimal"/>
      <w:pStyle w:val="ListNumber2"/>
      <w:lvlText w:val="%1."/>
      <w:lvlJc w:val="left"/>
      <w:pPr>
        <w:tabs>
          <w:tab w:val="num" w:pos="643"/>
        </w:tabs>
        <w:ind w:left="643" w:hanging="360"/>
      </w:pPr>
    </w:lvl>
  </w:abstractNum>
  <w:abstractNum w:abstractNumId="1">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8"/>
    <w:multiLevelType w:val="singleLevel"/>
    <w:tmpl w:val="B9D0FE4C"/>
    <w:lvl w:ilvl="0">
      <w:start w:val="1"/>
      <w:numFmt w:val="decimal"/>
      <w:pStyle w:val="ListNumber"/>
      <w:lvlText w:val="%1."/>
      <w:lvlJc w:val="left"/>
      <w:pPr>
        <w:tabs>
          <w:tab w:val="num" w:pos="360"/>
        </w:tabs>
        <w:ind w:left="360" w:hanging="360"/>
      </w:pPr>
    </w:lvl>
  </w:abstractNum>
  <w:abstractNum w:abstractNumId="3">
    <w:nsid w:val="FFFFFF89"/>
    <w:multiLevelType w:val="singleLevel"/>
    <w:tmpl w:val="0862F27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10FC3577"/>
    <w:multiLevelType w:val="multilevel"/>
    <w:tmpl w:val="C602F392"/>
    <w:lvl w:ilvl="0">
      <w:start w:val="1"/>
      <w:numFmt w:val="decimal"/>
      <w:lvlText w:val="%1."/>
      <w:lvlJc w:val="left"/>
      <w:pPr>
        <w:ind w:left="360" w:hanging="360"/>
      </w:pPr>
      <w:rPr>
        <w:rFonts w:hint="default"/>
      </w:rPr>
    </w:lvl>
    <w:lvl w:ilvl="1">
      <w:start w:val="1"/>
      <w:numFmt w:val="decimal"/>
      <w:pStyle w:val="Headingnumbered11"/>
      <w:lvlText w:val="%1.%2."/>
      <w:lvlJc w:val="left"/>
      <w:pPr>
        <w:ind w:left="792" w:hanging="432"/>
      </w:pPr>
      <w:rPr>
        <w:rFonts w:ascii="Arial" w:hAnsi="Arial" w:cs="Arial"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9F751B"/>
    <w:multiLevelType w:val="multilevel"/>
    <w:tmpl w:val="5666D91E"/>
    <w:name w:val="Alphanumeric List2"/>
    <w:numStyleLink w:val="AlphanumericList"/>
  </w:abstractNum>
  <w:abstractNum w:abstractNumId="6">
    <w:nsid w:val="14BE045E"/>
    <w:multiLevelType w:val="multilevel"/>
    <w:tmpl w:val="4BE033BA"/>
    <w:name w:val="Alphanumeric List4"/>
    <w:numStyleLink w:val="NumberedList"/>
  </w:abstractNum>
  <w:abstractNum w:abstractNumId="7">
    <w:nsid w:val="18C504B3"/>
    <w:multiLevelType w:val="hybridMultilevel"/>
    <w:tmpl w:val="EEE0A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B737F8"/>
    <w:multiLevelType w:val="hybridMultilevel"/>
    <w:tmpl w:val="2C54E468"/>
    <w:lvl w:ilvl="0" w:tplc="AC54BDC0">
      <w:start w:val="1"/>
      <w:numFmt w:val="decimal"/>
      <w:pStyle w:val="Headingnumbered1"/>
      <w:lvlText w:val="%1."/>
      <w:lvlJc w:val="left"/>
      <w:pPr>
        <w:ind w:left="36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1DFB4C0C"/>
    <w:multiLevelType w:val="multilevel"/>
    <w:tmpl w:val="4BE033BA"/>
    <w:styleLink w:val="NumberedList"/>
    <w:lvl w:ilvl="0">
      <w:start w:val="1"/>
      <w:numFmt w:val="decimal"/>
      <w:lvlText w:val="%1"/>
      <w:lvlJc w:val="left"/>
      <w:pPr>
        <w:ind w:left="340" w:hanging="340"/>
      </w:pPr>
      <w:rPr>
        <w:rFonts w:ascii="Arial" w:hAnsi="Arial" w:hint="default"/>
        <w:sz w:val="22"/>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10">
    <w:nsid w:val="1EF27218"/>
    <w:multiLevelType w:val="multilevel"/>
    <w:tmpl w:val="0136B40A"/>
    <w:styleLink w:val="NumberedList-Straight"/>
    <w:lvl w:ilvl="0">
      <w:start w:val="1"/>
      <w:numFmt w:val="decimal"/>
      <w:lvlText w:val="%1"/>
      <w:lvlJc w:val="left"/>
      <w:pPr>
        <w:ind w:left="360" w:hanging="360"/>
      </w:pPr>
      <w:rPr>
        <w:rFonts w:ascii="Arial" w:hAnsi="Arial" w:hint="default"/>
        <w:sz w:val="22"/>
      </w:rPr>
    </w:lvl>
    <w:lvl w:ilvl="1">
      <w:start w:val="1"/>
      <w:numFmt w:val="decimal"/>
      <w:lvlRestart w:val="0"/>
      <w:lvlText w:val="%1.%2"/>
      <w:lvlJc w:val="left"/>
      <w:pPr>
        <w:ind w:left="720" w:hanging="720"/>
      </w:pPr>
      <w:rPr>
        <w:rFonts w:ascii="Arial" w:hAnsi="Arial" w:hint="default"/>
        <w:sz w:val="22"/>
      </w:rPr>
    </w:lvl>
    <w:lvl w:ilvl="2">
      <w:start w:val="1"/>
      <w:numFmt w:val="decimal"/>
      <w:lvlRestart w:val="0"/>
      <w:lvlText w:val="%1.%2.%3"/>
      <w:lvlJc w:val="left"/>
      <w:pPr>
        <w:ind w:left="1080" w:hanging="1080"/>
      </w:pPr>
      <w:rPr>
        <w:rFonts w:ascii="Arial" w:hAnsi="Arial" w:hint="default"/>
        <w:sz w:val="22"/>
      </w:rPr>
    </w:lvl>
    <w:lvl w:ilvl="3">
      <w:start w:val="1"/>
      <w:numFmt w:val="decimal"/>
      <w:lvlRestart w:val="0"/>
      <w:lvlText w:val="%1.%2.%3.%4"/>
      <w:lvlJc w:val="left"/>
      <w:pPr>
        <w:ind w:left="1440" w:hanging="1440"/>
      </w:pPr>
      <w:rPr>
        <w:rFonts w:ascii="Arial" w:hAnsi="Arial" w:hint="default"/>
        <w:sz w:val="22"/>
      </w:rPr>
    </w:lvl>
    <w:lvl w:ilvl="4">
      <w:start w:val="1"/>
      <w:numFmt w:val="decimal"/>
      <w:lvlRestart w:val="0"/>
      <w:lvlText w:val="%1.%2.%3.%4.%5"/>
      <w:lvlJc w:val="left"/>
      <w:pPr>
        <w:ind w:left="1800" w:hanging="1800"/>
      </w:pPr>
      <w:rPr>
        <w:rFonts w:ascii="Arial" w:hAnsi="Arial" w:hint="default"/>
        <w:sz w:val="22"/>
      </w:rPr>
    </w:lvl>
    <w:lvl w:ilvl="5">
      <w:start w:val="1"/>
      <w:numFmt w:val="decimal"/>
      <w:lvlRestart w:val="0"/>
      <w:lvlText w:val="%1.%2.%3.%4.%5.%6"/>
      <w:lvlJc w:val="left"/>
      <w:pPr>
        <w:ind w:left="2160" w:hanging="2160"/>
      </w:pPr>
      <w:rPr>
        <w:rFonts w:ascii="Arial" w:hAnsi="Arial" w:hint="default"/>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FD31346"/>
    <w:multiLevelType w:val="multilevel"/>
    <w:tmpl w:val="0C09001D"/>
    <w:styleLink w:val="RomanNumeralBulletedList"/>
    <w:lvl w:ilvl="0">
      <w:start w:val="1"/>
      <w:numFmt w:val="lowerRoman"/>
      <w:lvlText w:val="%1)"/>
      <w:lvlJc w:val="left"/>
      <w:pPr>
        <w:ind w:left="360" w:hanging="360"/>
      </w:pPr>
      <w:rPr>
        <w:rFonts w:ascii="Arial" w:hAnsi="Arial"/>
        <w:sz w:val="22"/>
      </w:rPr>
    </w:lvl>
    <w:lvl w:ilvl="1">
      <w:start w:val="2"/>
      <w:numFmt w:val="lowerRoman"/>
      <w:lvlText w:val="%2)"/>
      <w:lvlJc w:val="left"/>
      <w:pPr>
        <w:ind w:left="720" w:hanging="360"/>
      </w:pPr>
      <w:rPr>
        <w:rFonts w:ascii="Arial" w:hAnsi="Arial"/>
        <w:sz w:val="22"/>
      </w:rPr>
    </w:lvl>
    <w:lvl w:ilvl="2">
      <w:start w:val="3"/>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47A0FC2"/>
    <w:multiLevelType w:val="hybridMultilevel"/>
    <w:tmpl w:val="091E40B0"/>
    <w:lvl w:ilvl="0" w:tplc="137CCA8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597EC2"/>
    <w:multiLevelType w:val="hybridMultilevel"/>
    <w:tmpl w:val="52CA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BE5F95"/>
    <w:multiLevelType w:val="multilevel"/>
    <w:tmpl w:val="4524DCE4"/>
    <w:styleLink w:val="AlphanumericList-Straight"/>
    <w:lvl w:ilvl="0">
      <w:start w:val="1"/>
      <w:numFmt w:val="decimal"/>
      <w:lvlText w:val="A.%1"/>
      <w:lvlJc w:val="left"/>
      <w:pPr>
        <w:ind w:left="360" w:hanging="360"/>
      </w:pPr>
      <w:rPr>
        <w:rFonts w:ascii="Arial" w:hAnsi="Arial" w:hint="default"/>
        <w:sz w:val="22"/>
      </w:rPr>
    </w:lvl>
    <w:lvl w:ilvl="1">
      <w:start w:val="1"/>
      <w:numFmt w:val="decimal"/>
      <w:lvlText w:val="A.%1.%2"/>
      <w:lvlJc w:val="left"/>
      <w:pPr>
        <w:ind w:left="720" w:hanging="720"/>
      </w:pPr>
      <w:rPr>
        <w:rFonts w:ascii="Arial" w:hAnsi="Arial" w:hint="default"/>
        <w:sz w:val="22"/>
      </w:rPr>
    </w:lvl>
    <w:lvl w:ilvl="2">
      <w:start w:val="1"/>
      <w:numFmt w:val="decimal"/>
      <w:lvlText w:val="A.%1.%2.%3"/>
      <w:lvlJc w:val="left"/>
      <w:pPr>
        <w:ind w:left="1080" w:hanging="1080"/>
      </w:pPr>
      <w:rPr>
        <w:rFonts w:ascii="Arial" w:hAnsi="Arial" w:hint="default"/>
        <w:sz w:val="22"/>
      </w:rPr>
    </w:lvl>
    <w:lvl w:ilvl="3">
      <w:start w:val="1"/>
      <w:numFmt w:val="decimal"/>
      <w:lvlText w:val="A.%1.%2.%3.%4"/>
      <w:lvlJc w:val="left"/>
      <w:pPr>
        <w:ind w:left="1440" w:hanging="1440"/>
      </w:pPr>
      <w:rPr>
        <w:rFonts w:ascii="Arial" w:hAnsi="Aria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D2D4E6E"/>
    <w:multiLevelType w:val="hybridMultilevel"/>
    <w:tmpl w:val="C986BC76"/>
    <w:lvl w:ilvl="0" w:tplc="71D6955E">
      <w:numFmt w:val="bullet"/>
      <w:lvlText w:val=""/>
      <w:lvlJc w:val="left"/>
      <w:pPr>
        <w:ind w:left="720" w:hanging="360"/>
      </w:pPr>
      <w:rPr>
        <w:rFonts w:ascii="Symbol" w:eastAsiaTheme="minorHAnsi" w:hAnsi="Symbol" w:cstheme="minorBidi"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5A0690"/>
    <w:multiLevelType w:val="hybridMultilevel"/>
    <w:tmpl w:val="12A6C2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29046A0"/>
    <w:multiLevelType w:val="multilevel"/>
    <w:tmpl w:val="7A7A1D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numbered111"/>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065F76"/>
    <w:multiLevelType w:val="hybridMultilevel"/>
    <w:tmpl w:val="0882B714"/>
    <w:lvl w:ilvl="0" w:tplc="8FF0783E">
      <w:start w:val="1"/>
      <w:numFmt w:val="lowerLetter"/>
      <w:pStyle w:val="Numberedlist2"/>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4267AE6"/>
    <w:multiLevelType w:val="multilevel"/>
    <w:tmpl w:val="0C09001D"/>
    <w:styleLink w:val="BulletedLis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Symbol" w:hAnsi="Symbol" w:hint="default"/>
        <w:sz w:val="22"/>
      </w:rPr>
    </w:lvl>
    <w:lvl w:ilvl="2">
      <w:start w:val="1"/>
      <w:numFmt w:val="bullet"/>
      <w:lvlText w:val=""/>
      <w:lvlJc w:val="left"/>
      <w:pPr>
        <w:ind w:left="1080" w:hanging="360"/>
      </w:pPr>
      <w:rPr>
        <w:rFonts w:ascii="Symbol" w:hAnsi="Symbol" w:hint="default"/>
        <w:sz w:val="22"/>
      </w:rPr>
    </w:lvl>
    <w:lvl w:ilvl="3">
      <w:start w:val="1"/>
      <w:numFmt w:val="bullet"/>
      <w:lvlText w:val=""/>
      <w:lvlJc w:val="left"/>
      <w:pPr>
        <w:ind w:left="1440" w:hanging="360"/>
      </w:pPr>
      <w:rPr>
        <w:rFonts w:ascii="Symbol" w:hAnsi="Symbol" w:hint="default"/>
        <w:sz w:val="22"/>
      </w:rPr>
    </w:lvl>
    <w:lvl w:ilvl="4">
      <w:start w:val="1"/>
      <w:numFmt w:val="bullet"/>
      <w:lvlText w:val=""/>
      <w:lvlJc w:val="left"/>
      <w:pPr>
        <w:ind w:left="1800" w:hanging="360"/>
      </w:pPr>
      <w:rPr>
        <w:rFonts w:ascii="Symbol" w:hAnsi="Symbol" w:hint="default"/>
        <w:sz w:val="22"/>
      </w:rPr>
    </w:lvl>
    <w:lvl w:ilvl="5">
      <w:start w:val="1"/>
      <w:numFmt w:val="bullet"/>
      <w:lvlText w:val=""/>
      <w:lvlJc w:val="left"/>
      <w:pPr>
        <w:ind w:left="2160" w:hanging="360"/>
      </w:pPr>
      <w:rPr>
        <w:rFonts w:ascii="Symbol" w:hAnsi="Symbol" w:hint="default"/>
        <w:sz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A92343"/>
    <w:multiLevelType w:val="hybridMultilevel"/>
    <w:tmpl w:val="ED06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4001FA"/>
    <w:multiLevelType w:val="hybridMultilevel"/>
    <w:tmpl w:val="1CB6F1C6"/>
    <w:lvl w:ilvl="0" w:tplc="1E38C8AC">
      <w:start w:val="1"/>
      <w:numFmt w:val="decimal"/>
      <w:lvlText w:val="%1."/>
      <w:lvlJc w:val="left"/>
      <w:pPr>
        <w:ind w:left="720" w:hanging="360"/>
      </w:pPr>
      <w:rPr>
        <w:rFonts w:ascii="Arial" w:hAnsi="Arial" w:hint="default"/>
        <w:b/>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726588A"/>
    <w:multiLevelType w:val="hybridMultilevel"/>
    <w:tmpl w:val="CC927964"/>
    <w:lvl w:ilvl="0" w:tplc="956E30DC">
      <w:start w:val="1"/>
      <w:numFmt w:val="bullet"/>
      <w:pStyle w:val="Bulletpoint2"/>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4">
    <w:nsid w:val="683D2B22"/>
    <w:multiLevelType w:val="hybridMultilevel"/>
    <w:tmpl w:val="CCA2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6C3913"/>
    <w:multiLevelType w:val="multilevel"/>
    <w:tmpl w:val="D5B4DBC8"/>
    <w:lvl w:ilvl="0">
      <w:start w:val="1"/>
      <w:numFmt w:val="decimal"/>
      <w:pStyle w:val="NumberedListStyle"/>
      <w:lvlText w:val="%1."/>
      <w:lvlJc w:val="left"/>
      <w:pPr>
        <w:ind w:left="357" w:firstLine="0"/>
      </w:pPr>
      <w:rPr>
        <w:rFonts w:ascii="Arial" w:hAnsi="Arial" w:hint="default"/>
        <w:sz w:val="22"/>
      </w:rPr>
    </w:lvl>
    <w:lvl w:ilvl="1">
      <w:start w:val="1"/>
      <w:numFmt w:val="decimal"/>
      <w:lvlRestart w:val="0"/>
      <w:lvlText w:val="%1.%2."/>
      <w:lvlJc w:val="left"/>
      <w:pPr>
        <w:ind w:left="357" w:firstLine="0"/>
      </w:pPr>
      <w:rPr>
        <w:rFonts w:hint="default"/>
      </w:rPr>
    </w:lvl>
    <w:lvl w:ilvl="2">
      <w:start w:val="1"/>
      <w:numFmt w:val="decimal"/>
      <w:lvlRestart w:val="0"/>
      <w:lvlText w:val="%1.%2.%3."/>
      <w:lvlJc w:val="left"/>
      <w:pPr>
        <w:ind w:left="357" w:firstLine="0"/>
      </w:pPr>
      <w:rPr>
        <w:rFonts w:hint="default"/>
      </w:rPr>
    </w:lvl>
    <w:lvl w:ilvl="3">
      <w:start w:val="1"/>
      <w:numFmt w:val="decimal"/>
      <w:lvlText w:val="%1.%2.%3.%4."/>
      <w:lvlJc w:val="left"/>
      <w:pPr>
        <w:ind w:left="357" w:firstLine="0"/>
      </w:pPr>
      <w:rPr>
        <w:rFonts w:hint="default"/>
      </w:rPr>
    </w:lvl>
    <w:lvl w:ilvl="4">
      <w:start w:val="1"/>
      <w:numFmt w:val="decimal"/>
      <w:lvlText w:val="%1.%2.%3.%4.%5."/>
      <w:lvlJc w:val="left"/>
      <w:pPr>
        <w:ind w:left="357" w:firstLine="0"/>
      </w:pPr>
      <w:rPr>
        <w:rFonts w:hint="default"/>
      </w:rPr>
    </w:lvl>
    <w:lvl w:ilvl="5">
      <w:start w:val="1"/>
      <w:numFmt w:val="decimal"/>
      <w:lvlText w:val="%1.%2.%3.%4.%5.%6."/>
      <w:lvlJc w:val="left"/>
      <w:pPr>
        <w:ind w:left="357" w:firstLine="0"/>
      </w:pPr>
      <w:rPr>
        <w:rFonts w:hint="default"/>
      </w:rPr>
    </w:lvl>
    <w:lvl w:ilvl="6">
      <w:start w:val="1"/>
      <w:numFmt w:val="decimal"/>
      <w:lvlText w:val="%1.%2.%3.%4.%5.%6.%7."/>
      <w:lvlJc w:val="left"/>
      <w:pPr>
        <w:ind w:left="357" w:firstLine="0"/>
      </w:pPr>
      <w:rPr>
        <w:rFonts w:hint="default"/>
      </w:rPr>
    </w:lvl>
    <w:lvl w:ilvl="7">
      <w:start w:val="1"/>
      <w:numFmt w:val="decimal"/>
      <w:lvlText w:val="%1.%2.%3.%4.%5.%6.%7.%8."/>
      <w:lvlJc w:val="left"/>
      <w:pPr>
        <w:ind w:left="357" w:firstLine="0"/>
      </w:pPr>
      <w:rPr>
        <w:rFonts w:hint="default"/>
      </w:rPr>
    </w:lvl>
    <w:lvl w:ilvl="8">
      <w:start w:val="1"/>
      <w:numFmt w:val="decimal"/>
      <w:lvlText w:val="%1.%2.%3.%4.%5.%6.%7.%8.%9."/>
      <w:lvlJc w:val="left"/>
      <w:pPr>
        <w:ind w:left="357" w:firstLine="0"/>
      </w:pPr>
      <w:rPr>
        <w:rFonts w:hint="default"/>
      </w:rPr>
    </w:lvl>
  </w:abstractNum>
  <w:num w:numId="1">
    <w:abstractNumId w:val="9"/>
  </w:num>
  <w:num w:numId="2">
    <w:abstractNumId w:val="25"/>
  </w:num>
  <w:num w:numId="3">
    <w:abstractNumId w:val="20"/>
  </w:num>
  <w:num w:numId="4">
    <w:abstractNumId w:val="11"/>
  </w:num>
  <w:num w:numId="5">
    <w:abstractNumId w:val="19"/>
  </w:num>
  <w:num w:numId="6">
    <w:abstractNumId w:val="10"/>
  </w:num>
  <w:num w:numId="7">
    <w:abstractNumId w:val="14"/>
  </w:num>
  <w:num w:numId="8">
    <w:abstractNumId w:val="24"/>
  </w:num>
  <w:num w:numId="9">
    <w:abstractNumId w:val="8"/>
  </w:num>
  <w:num w:numId="10">
    <w:abstractNumId w:val="4"/>
  </w:num>
  <w:num w:numId="11">
    <w:abstractNumId w:val="15"/>
  </w:num>
  <w:num w:numId="12">
    <w:abstractNumId w:val="22"/>
  </w:num>
  <w:num w:numId="13">
    <w:abstractNumId w:val="17"/>
  </w:num>
  <w:num w:numId="14">
    <w:abstractNumId w:val="3"/>
  </w:num>
  <w:num w:numId="15">
    <w:abstractNumId w:val="1"/>
  </w:num>
  <w:num w:numId="16">
    <w:abstractNumId w:val="2"/>
  </w:num>
  <w:num w:numId="17">
    <w:abstractNumId w:val="0"/>
  </w:num>
  <w:num w:numId="18">
    <w:abstractNumId w:val="23"/>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3"/>
  </w:num>
  <w:num w:numId="23">
    <w:abstractNumId w:val="7"/>
  </w:num>
  <w:num w:numId="24">
    <w:abstractNumId w:val="12"/>
  </w:num>
  <w:num w:numId="25">
    <w:abstractNumId w:val="4"/>
  </w:num>
  <w:num w:numId="26">
    <w:abstractNumId w:val="21"/>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efaultTableStyle w:val="AERTable-Text"/>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ocuments and Settings\pdevl\Local Settings\Temporary Internet Files\Content.Outlook\Z9U4D5EO\Sp changes - D14 155280  Annual report on the performance of the retail energy market 2013-14 (post board).DOCX"/>
  </w:docVars>
  <w:rsids>
    <w:rsidRoot w:val="00F94117"/>
    <w:rsid w:val="00006B9E"/>
    <w:rsid w:val="000113D6"/>
    <w:rsid w:val="000200A0"/>
    <w:rsid w:val="00025615"/>
    <w:rsid w:val="00027B91"/>
    <w:rsid w:val="00040E50"/>
    <w:rsid w:val="00044D8E"/>
    <w:rsid w:val="00045887"/>
    <w:rsid w:val="000664BE"/>
    <w:rsid w:val="00067039"/>
    <w:rsid w:val="00067A05"/>
    <w:rsid w:val="00071157"/>
    <w:rsid w:val="000731B8"/>
    <w:rsid w:val="000741C8"/>
    <w:rsid w:val="0008333F"/>
    <w:rsid w:val="000867F8"/>
    <w:rsid w:val="00087E29"/>
    <w:rsid w:val="00096839"/>
    <w:rsid w:val="000C5FBF"/>
    <w:rsid w:val="000D0765"/>
    <w:rsid w:val="000D2285"/>
    <w:rsid w:val="000E06D4"/>
    <w:rsid w:val="000E4923"/>
    <w:rsid w:val="000F319F"/>
    <w:rsid w:val="000F51B1"/>
    <w:rsid w:val="00100C7C"/>
    <w:rsid w:val="00110BBB"/>
    <w:rsid w:val="00130EA5"/>
    <w:rsid w:val="0013660A"/>
    <w:rsid w:val="00141B36"/>
    <w:rsid w:val="0014451D"/>
    <w:rsid w:val="00145FCB"/>
    <w:rsid w:val="001626BC"/>
    <w:rsid w:val="00163F5C"/>
    <w:rsid w:val="0016639F"/>
    <w:rsid w:val="00166F28"/>
    <w:rsid w:val="00173648"/>
    <w:rsid w:val="00175E60"/>
    <w:rsid w:val="001822DD"/>
    <w:rsid w:val="00184411"/>
    <w:rsid w:val="00192403"/>
    <w:rsid w:val="001939DE"/>
    <w:rsid w:val="00195731"/>
    <w:rsid w:val="00195CE1"/>
    <w:rsid w:val="001974A9"/>
    <w:rsid w:val="001A281A"/>
    <w:rsid w:val="001A2BBC"/>
    <w:rsid w:val="001A3512"/>
    <w:rsid w:val="001B05B6"/>
    <w:rsid w:val="001B6CD9"/>
    <w:rsid w:val="001C0F78"/>
    <w:rsid w:val="001D106B"/>
    <w:rsid w:val="001D200D"/>
    <w:rsid w:val="001D222D"/>
    <w:rsid w:val="001D432F"/>
    <w:rsid w:val="001D68DF"/>
    <w:rsid w:val="001E06C2"/>
    <w:rsid w:val="001F1DE6"/>
    <w:rsid w:val="001F1E24"/>
    <w:rsid w:val="001F2C30"/>
    <w:rsid w:val="001F2EE7"/>
    <w:rsid w:val="001F356C"/>
    <w:rsid w:val="00205910"/>
    <w:rsid w:val="00207D1E"/>
    <w:rsid w:val="002167E4"/>
    <w:rsid w:val="002170FE"/>
    <w:rsid w:val="0022226B"/>
    <w:rsid w:val="00227E0F"/>
    <w:rsid w:val="002318CC"/>
    <w:rsid w:val="00233865"/>
    <w:rsid w:val="00233D98"/>
    <w:rsid w:val="00234A3C"/>
    <w:rsid w:val="00243B87"/>
    <w:rsid w:val="00247536"/>
    <w:rsid w:val="00254D8F"/>
    <w:rsid w:val="00272FE2"/>
    <w:rsid w:val="00277304"/>
    <w:rsid w:val="002800D0"/>
    <w:rsid w:val="002956ED"/>
    <w:rsid w:val="002A0992"/>
    <w:rsid w:val="002A0BA6"/>
    <w:rsid w:val="002A566D"/>
    <w:rsid w:val="002A75ED"/>
    <w:rsid w:val="002B5434"/>
    <w:rsid w:val="002B5C11"/>
    <w:rsid w:val="002C16D2"/>
    <w:rsid w:val="002C260C"/>
    <w:rsid w:val="002D05D5"/>
    <w:rsid w:val="002D4DAB"/>
    <w:rsid w:val="002F1039"/>
    <w:rsid w:val="003265FD"/>
    <w:rsid w:val="00343B98"/>
    <w:rsid w:val="00344ADF"/>
    <w:rsid w:val="00357CC3"/>
    <w:rsid w:val="00362F93"/>
    <w:rsid w:val="00373F5D"/>
    <w:rsid w:val="003853B1"/>
    <w:rsid w:val="003873BD"/>
    <w:rsid w:val="00387432"/>
    <w:rsid w:val="003876DC"/>
    <w:rsid w:val="0039772F"/>
    <w:rsid w:val="003A1E40"/>
    <w:rsid w:val="003B5212"/>
    <w:rsid w:val="003C000B"/>
    <w:rsid w:val="003C4D63"/>
    <w:rsid w:val="003D3E25"/>
    <w:rsid w:val="003D6284"/>
    <w:rsid w:val="003E29D7"/>
    <w:rsid w:val="003E7846"/>
    <w:rsid w:val="00403318"/>
    <w:rsid w:val="00406691"/>
    <w:rsid w:val="00406DCE"/>
    <w:rsid w:val="00416370"/>
    <w:rsid w:val="0043152E"/>
    <w:rsid w:val="004423EB"/>
    <w:rsid w:val="004425F5"/>
    <w:rsid w:val="0044407F"/>
    <w:rsid w:val="0045298C"/>
    <w:rsid w:val="00453620"/>
    <w:rsid w:val="0045491E"/>
    <w:rsid w:val="00457CD5"/>
    <w:rsid w:val="00465112"/>
    <w:rsid w:val="004A40E4"/>
    <w:rsid w:val="004A7005"/>
    <w:rsid w:val="004B4CDC"/>
    <w:rsid w:val="004B7B5B"/>
    <w:rsid w:val="004C4931"/>
    <w:rsid w:val="004D1FB1"/>
    <w:rsid w:val="004E4CE2"/>
    <w:rsid w:val="004F11CD"/>
    <w:rsid w:val="00501E07"/>
    <w:rsid w:val="00511C72"/>
    <w:rsid w:val="00525710"/>
    <w:rsid w:val="005306EA"/>
    <w:rsid w:val="00534288"/>
    <w:rsid w:val="00543634"/>
    <w:rsid w:val="00543739"/>
    <w:rsid w:val="00544B2F"/>
    <w:rsid w:val="00551283"/>
    <w:rsid w:val="00554210"/>
    <w:rsid w:val="00556232"/>
    <w:rsid w:val="00566DAD"/>
    <w:rsid w:val="005824AF"/>
    <w:rsid w:val="0058741C"/>
    <w:rsid w:val="005875FD"/>
    <w:rsid w:val="005A0E84"/>
    <w:rsid w:val="005A1CA4"/>
    <w:rsid w:val="005A20D1"/>
    <w:rsid w:val="005A319D"/>
    <w:rsid w:val="005B2FD1"/>
    <w:rsid w:val="005B39FE"/>
    <w:rsid w:val="005B506B"/>
    <w:rsid w:val="005B66E4"/>
    <w:rsid w:val="005C330C"/>
    <w:rsid w:val="005C3C73"/>
    <w:rsid w:val="005E14B2"/>
    <w:rsid w:val="005E1971"/>
    <w:rsid w:val="005F20C2"/>
    <w:rsid w:val="00602610"/>
    <w:rsid w:val="006048EE"/>
    <w:rsid w:val="00607123"/>
    <w:rsid w:val="006144D1"/>
    <w:rsid w:val="00616F13"/>
    <w:rsid w:val="006254F5"/>
    <w:rsid w:val="0063289E"/>
    <w:rsid w:val="006452DD"/>
    <w:rsid w:val="00647438"/>
    <w:rsid w:val="006522B8"/>
    <w:rsid w:val="006550E6"/>
    <w:rsid w:val="00656F19"/>
    <w:rsid w:val="0065760E"/>
    <w:rsid w:val="006619E3"/>
    <w:rsid w:val="0066589E"/>
    <w:rsid w:val="00666A48"/>
    <w:rsid w:val="00670DE0"/>
    <w:rsid w:val="00670E68"/>
    <w:rsid w:val="006746F2"/>
    <w:rsid w:val="0067669B"/>
    <w:rsid w:val="00694E1F"/>
    <w:rsid w:val="0069663F"/>
    <w:rsid w:val="006A43A5"/>
    <w:rsid w:val="006A5214"/>
    <w:rsid w:val="006A5F48"/>
    <w:rsid w:val="006B0A0E"/>
    <w:rsid w:val="006C71C1"/>
    <w:rsid w:val="006D0316"/>
    <w:rsid w:val="006D4628"/>
    <w:rsid w:val="006D4655"/>
    <w:rsid w:val="006D58B0"/>
    <w:rsid w:val="006D6101"/>
    <w:rsid w:val="006D6E45"/>
    <w:rsid w:val="006E0793"/>
    <w:rsid w:val="006E76B9"/>
    <w:rsid w:val="006F2D65"/>
    <w:rsid w:val="006F3C6C"/>
    <w:rsid w:val="007116BE"/>
    <w:rsid w:val="00714404"/>
    <w:rsid w:val="00720C6E"/>
    <w:rsid w:val="00722C58"/>
    <w:rsid w:val="00723D3C"/>
    <w:rsid w:val="00725E2A"/>
    <w:rsid w:val="007311C3"/>
    <w:rsid w:val="007347FE"/>
    <w:rsid w:val="007378E9"/>
    <w:rsid w:val="00740A6F"/>
    <w:rsid w:val="00741FD2"/>
    <w:rsid w:val="0074400E"/>
    <w:rsid w:val="00745BC9"/>
    <w:rsid w:val="00756C5D"/>
    <w:rsid w:val="007774C9"/>
    <w:rsid w:val="00784045"/>
    <w:rsid w:val="0078432A"/>
    <w:rsid w:val="00786D34"/>
    <w:rsid w:val="00792178"/>
    <w:rsid w:val="0079616E"/>
    <w:rsid w:val="00796418"/>
    <w:rsid w:val="007B04FB"/>
    <w:rsid w:val="007B475E"/>
    <w:rsid w:val="007B6EF7"/>
    <w:rsid w:val="007B7ECA"/>
    <w:rsid w:val="007E13A5"/>
    <w:rsid w:val="0080115C"/>
    <w:rsid w:val="00812366"/>
    <w:rsid w:val="00816316"/>
    <w:rsid w:val="008163AF"/>
    <w:rsid w:val="00820022"/>
    <w:rsid w:val="00820170"/>
    <w:rsid w:val="008235A5"/>
    <w:rsid w:val="008244B2"/>
    <w:rsid w:val="00827E6F"/>
    <w:rsid w:val="008340CD"/>
    <w:rsid w:val="00847401"/>
    <w:rsid w:val="008475BB"/>
    <w:rsid w:val="00857142"/>
    <w:rsid w:val="00862702"/>
    <w:rsid w:val="00863CDF"/>
    <w:rsid w:val="008700A9"/>
    <w:rsid w:val="00870E29"/>
    <w:rsid w:val="008775DA"/>
    <w:rsid w:val="0088216B"/>
    <w:rsid w:val="0088439D"/>
    <w:rsid w:val="00891D48"/>
    <w:rsid w:val="00894C3D"/>
    <w:rsid w:val="008A2138"/>
    <w:rsid w:val="008A3DE9"/>
    <w:rsid w:val="008C3501"/>
    <w:rsid w:val="008D457C"/>
    <w:rsid w:val="008E1F32"/>
    <w:rsid w:val="008F65D1"/>
    <w:rsid w:val="00900E7D"/>
    <w:rsid w:val="009041E6"/>
    <w:rsid w:val="00912011"/>
    <w:rsid w:val="00913F40"/>
    <w:rsid w:val="00915EDF"/>
    <w:rsid w:val="009225C2"/>
    <w:rsid w:val="00922B9E"/>
    <w:rsid w:val="009327A0"/>
    <w:rsid w:val="00936049"/>
    <w:rsid w:val="0093640F"/>
    <w:rsid w:val="00943E0F"/>
    <w:rsid w:val="0095486C"/>
    <w:rsid w:val="00957F3E"/>
    <w:rsid w:val="009616F6"/>
    <w:rsid w:val="00973A5B"/>
    <w:rsid w:val="00980FDB"/>
    <w:rsid w:val="00982D9C"/>
    <w:rsid w:val="00997326"/>
    <w:rsid w:val="009A46F9"/>
    <w:rsid w:val="009B2438"/>
    <w:rsid w:val="009C613C"/>
    <w:rsid w:val="009D5BE5"/>
    <w:rsid w:val="009D5D59"/>
    <w:rsid w:val="009D7108"/>
    <w:rsid w:val="009E1DC6"/>
    <w:rsid w:val="009E4964"/>
    <w:rsid w:val="009E60CC"/>
    <w:rsid w:val="009F2035"/>
    <w:rsid w:val="009F5B7A"/>
    <w:rsid w:val="00A11112"/>
    <w:rsid w:val="00A16827"/>
    <w:rsid w:val="00A178CC"/>
    <w:rsid w:val="00A21831"/>
    <w:rsid w:val="00A22C5D"/>
    <w:rsid w:val="00A22D13"/>
    <w:rsid w:val="00A33EBF"/>
    <w:rsid w:val="00A45DEF"/>
    <w:rsid w:val="00A5268E"/>
    <w:rsid w:val="00A5777A"/>
    <w:rsid w:val="00A679E1"/>
    <w:rsid w:val="00A72524"/>
    <w:rsid w:val="00A81817"/>
    <w:rsid w:val="00A915FE"/>
    <w:rsid w:val="00A94A4E"/>
    <w:rsid w:val="00AA3437"/>
    <w:rsid w:val="00AA38B2"/>
    <w:rsid w:val="00AA516B"/>
    <w:rsid w:val="00AB3BE8"/>
    <w:rsid w:val="00AB4987"/>
    <w:rsid w:val="00AC2B3B"/>
    <w:rsid w:val="00AD0968"/>
    <w:rsid w:val="00AE1012"/>
    <w:rsid w:val="00AE6637"/>
    <w:rsid w:val="00AE7E16"/>
    <w:rsid w:val="00AF1A72"/>
    <w:rsid w:val="00B036B5"/>
    <w:rsid w:val="00B130E1"/>
    <w:rsid w:val="00B14A00"/>
    <w:rsid w:val="00B21525"/>
    <w:rsid w:val="00B2492A"/>
    <w:rsid w:val="00B26F5F"/>
    <w:rsid w:val="00B30ABB"/>
    <w:rsid w:val="00B4022F"/>
    <w:rsid w:val="00B46283"/>
    <w:rsid w:val="00B55015"/>
    <w:rsid w:val="00B610EE"/>
    <w:rsid w:val="00B70E55"/>
    <w:rsid w:val="00B75B1B"/>
    <w:rsid w:val="00B801CA"/>
    <w:rsid w:val="00B84B17"/>
    <w:rsid w:val="00B9531F"/>
    <w:rsid w:val="00BB3998"/>
    <w:rsid w:val="00BC5112"/>
    <w:rsid w:val="00BC5917"/>
    <w:rsid w:val="00BD13A7"/>
    <w:rsid w:val="00BD6ABE"/>
    <w:rsid w:val="00C031A9"/>
    <w:rsid w:val="00C11A40"/>
    <w:rsid w:val="00C1459D"/>
    <w:rsid w:val="00C2087A"/>
    <w:rsid w:val="00C2421F"/>
    <w:rsid w:val="00C44EE3"/>
    <w:rsid w:val="00C53699"/>
    <w:rsid w:val="00C55200"/>
    <w:rsid w:val="00C56C82"/>
    <w:rsid w:val="00C86863"/>
    <w:rsid w:val="00C93331"/>
    <w:rsid w:val="00C95315"/>
    <w:rsid w:val="00CB2A7A"/>
    <w:rsid w:val="00CC1694"/>
    <w:rsid w:val="00CC278A"/>
    <w:rsid w:val="00CC659E"/>
    <w:rsid w:val="00CC68F6"/>
    <w:rsid w:val="00CD3FD1"/>
    <w:rsid w:val="00CE32E9"/>
    <w:rsid w:val="00CF043B"/>
    <w:rsid w:val="00D0524A"/>
    <w:rsid w:val="00D15C2D"/>
    <w:rsid w:val="00D15E2C"/>
    <w:rsid w:val="00D1643C"/>
    <w:rsid w:val="00D23E42"/>
    <w:rsid w:val="00D2467F"/>
    <w:rsid w:val="00D629BB"/>
    <w:rsid w:val="00D67B8E"/>
    <w:rsid w:val="00D722CB"/>
    <w:rsid w:val="00D7788B"/>
    <w:rsid w:val="00D818ED"/>
    <w:rsid w:val="00D82E56"/>
    <w:rsid w:val="00D83D18"/>
    <w:rsid w:val="00D84B16"/>
    <w:rsid w:val="00D865AD"/>
    <w:rsid w:val="00D933BD"/>
    <w:rsid w:val="00DC24C8"/>
    <w:rsid w:val="00DC267B"/>
    <w:rsid w:val="00DC4E46"/>
    <w:rsid w:val="00DD225E"/>
    <w:rsid w:val="00DE0E5C"/>
    <w:rsid w:val="00DE49F7"/>
    <w:rsid w:val="00DE68DD"/>
    <w:rsid w:val="00DF0710"/>
    <w:rsid w:val="00DF1D35"/>
    <w:rsid w:val="00DF43A2"/>
    <w:rsid w:val="00DF6DA8"/>
    <w:rsid w:val="00E014D5"/>
    <w:rsid w:val="00E022CC"/>
    <w:rsid w:val="00E17DEC"/>
    <w:rsid w:val="00E20052"/>
    <w:rsid w:val="00E402FC"/>
    <w:rsid w:val="00E47A1A"/>
    <w:rsid w:val="00E6103D"/>
    <w:rsid w:val="00E664EE"/>
    <w:rsid w:val="00E67D84"/>
    <w:rsid w:val="00E72EF4"/>
    <w:rsid w:val="00E747B9"/>
    <w:rsid w:val="00E75F42"/>
    <w:rsid w:val="00EA0FEB"/>
    <w:rsid w:val="00EA56AF"/>
    <w:rsid w:val="00EB2FF4"/>
    <w:rsid w:val="00EB4A17"/>
    <w:rsid w:val="00ED0A9C"/>
    <w:rsid w:val="00ED2BFC"/>
    <w:rsid w:val="00ED4B27"/>
    <w:rsid w:val="00ED617D"/>
    <w:rsid w:val="00EE297D"/>
    <w:rsid w:val="00EE31A1"/>
    <w:rsid w:val="00EE3361"/>
    <w:rsid w:val="00EE5C64"/>
    <w:rsid w:val="00EF456F"/>
    <w:rsid w:val="00F004D2"/>
    <w:rsid w:val="00F04167"/>
    <w:rsid w:val="00F0451F"/>
    <w:rsid w:val="00F048B8"/>
    <w:rsid w:val="00F1659A"/>
    <w:rsid w:val="00F173D5"/>
    <w:rsid w:val="00F20820"/>
    <w:rsid w:val="00F20BBD"/>
    <w:rsid w:val="00F227AF"/>
    <w:rsid w:val="00F4016A"/>
    <w:rsid w:val="00F412C9"/>
    <w:rsid w:val="00F41649"/>
    <w:rsid w:val="00F52C5E"/>
    <w:rsid w:val="00F53F0A"/>
    <w:rsid w:val="00F60213"/>
    <w:rsid w:val="00F63026"/>
    <w:rsid w:val="00F66260"/>
    <w:rsid w:val="00F70488"/>
    <w:rsid w:val="00F81B75"/>
    <w:rsid w:val="00F87AEA"/>
    <w:rsid w:val="00F92516"/>
    <w:rsid w:val="00F94117"/>
    <w:rsid w:val="00FA433D"/>
    <w:rsid w:val="00FA7EFA"/>
    <w:rsid w:val="00FB10F9"/>
    <w:rsid w:val="00FB3452"/>
    <w:rsid w:val="00FB7F8B"/>
    <w:rsid w:val="00FB7FDA"/>
    <w:rsid w:val="00FC0C8E"/>
    <w:rsid w:val="00FC2FC0"/>
    <w:rsid w:val="00FC31C3"/>
    <w:rsid w:val="00FC3E6B"/>
    <w:rsid w:val="00FC5744"/>
    <w:rsid w:val="00FD01FB"/>
    <w:rsid w:val="00FD2E7F"/>
    <w:rsid w:val="00FD2F43"/>
    <w:rsid w:val="00FD6678"/>
    <w:rsid w:val="00FD6AA6"/>
    <w:rsid w:val="00FD748E"/>
    <w:rsid w:val="00FE0E47"/>
    <w:rsid w:val="00FE2EBF"/>
    <w:rsid w:val="00FF36C0"/>
    <w:rsid w:val="00FF4BB4"/>
    <w:rsid w:val="00FF6AF6"/>
    <w:rsid w:val="00FF7E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1DE6"/>
    <w:rPr>
      <w:rFonts w:ascii="Arial" w:hAnsi="Arial"/>
    </w:rPr>
  </w:style>
  <w:style w:type="paragraph" w:styleId="Heading1">
    <w:name w:val="heading 1"/>
    <w:basedOn w:val="Normal"/>
    <w:next w:val="Normal"/>
    <w:link w:val="Heading1Char"/>
    <w:uiPriority w:val="9"/>
    <w:qFormat/>
    <w:rsid w:val="00A178CC"/>
    <w:pPr>
      <w:keepNext/>
      <w:keepLines/>
      <w:pageBreakBefore/>
      <w:spacing w:before="240"/>
      <w:ind w:left="432" w:hanging="432"/>
      <w:outlineLvl w:val="0"/>
    </w:pPr>
    <w:rPr>
      <w:rFonts w:eastAsiaTheme="majorEastAsia" w:cs="Arial"/>
      <w:b/>
      <w:bCs/>
      <w:color w:val="70635A"/>
      <w:sz w:val="36"/>
      <w:szCs w:val="36"/>
    </w:rPr>
  </w:style>
  <w:style w:type="paragraph" w:styleId="Heading2">
    <w:name w:val="heading 2"/>
    <w:basedOn w:val="Normal"/>
    <w:next w:val="Normal"/>
    <w:link w:val="Heading2Char"/>
    <w:uiPriority w:val="9"/>
    <w:unhideWhenUsed/>
    <w:qFormat/>
    <w:rsid w:val="00A178CC"/>
    <w:pPr>
      <w:keepNext/>
      <w:keepLines/>
      <w:spacing w:before="240"/>
      <w:ind w:left="576" w:hanging="576"/>
      <w:outlineLvl w:val="1"/>
    </w:pPr>
    <w:rPr>
      <w:rFonts w:eastAsiaTheme="majorEastAsia" w:cs="Arial"/>
      <w:b/>
      <w:bCs/>
      <w:color w:val="70635A"/>
      <w:sz w:val="32"/>
      <w:szCs w:val="32"/>
    </w:rPr>
  </w:style>
  <w:style w:type="paragraph" w:styleId="Heading3">
    <w:name w:val="heading 3"/>
    <w:basedOn w:val="Normal"/>
    <w:next w:val="Normal"/>
    <w:link w:val="Heading3Char"/>
    <w:uiPriority w:val="9"/>
    <w:unhideWhenUsed/>
    <w:qFormat/>
    <w:rsid w:val="00A178CC"/>
    <w:pPr>
      <w:keepNext/>
      <w:keepLines/>
      <w:spacing w:before="240"/>
      <w:ind w:left="720" w:hanging="720"/>
      <w:outlineLvl w:val="2"/>
    </w:pPr>
    <w:rPr>
      <w:rFonts w:eastAsiaTheme="majorEastAsia" w:cs="Arial"/>
      <w:b/>
      <w:bCs/>
      <w:color w:val="70635A"/>
      <w:sz w:val="28"/>
      <w:szCs w:val="28"/>
    </w:rPr>
  </w:style>
  <w:style w:type="paragraph" w:styleId="Heading4">
    <w:name w:val="heading 4"/>
    <w:basedOn w:val="Normal"/>
    <w:next w:val="Normal"/>
    <w:link w:val="Heading4Char"/>
    <w:uiPriority w:val="9"/>
    <w:unhideWhenUsed/>
    <w:qFormat/>
    <w:rsid w:val="00A178CC"/>
    <w:pPr>
      <w:keepNext/>
      <w:keepLines/>
      <w:spacing w:before="240"/>
      <w:ind w:left="864" w:hanging="864"/>
      <w:outlineLvl w:val="3"/>
    </w:pPr>
    <w:rPr>
      <w:rFonts w:eastAsiaTheme="majorEastAsia" w:cs="Arial"/>
      <w:b/>
      <w:bCs/>
      <w:iCs/>
      <w:color w:val="70635A"/>
      <w:sz w:val="24"/>
      <w:szCs w:val="24"/>
    </w:rPr>
  </w:style>
  <w:style w:type="paragraph" w:styleId="Heading5">
    <w:name w:val="heading 5"/>
    <w:basedOn w:val="Normal"/>
    <w:next w:val="Normal"/>
    <w:link w:val="Heading5Char"/>
    <w:uiPriority w:val="9"/>
    <w:unhideWhenUsed/>
    <w:qFormat/>
    <w:rsid w:val="00A178CC"/>
    <w:pPr>
      <w:keepNext/>
      <w:keepLines/>
      <w:spacing w:before="240"/>
      <w:ind w:left="1008" w:hanging="1008"/>
      <w:outlineLvl w:val="4"/>
    </w:pPr>
    <w:rPr>
      <w:rFonts w:eastAsiaTheme="majorEastAsia" w:cs="Arial"/>
      <w:b/>
      <w:szCs w:val="24"/>
    </w:rPr>
  </w:style>
  <w:style w:type="paragraph" w:styleId="Heading6">
    <w:name w:val="heading 6"/>
    <w:basedOn w:val="Normal"/>
    <w:next w:val="Normal"/>
    <w:link w:val="Heading6Char"/>
    <w:uiPriority w:val="9"/>
    <w:unhideWhenUsed/>
    <w:qFormat/>
    <w:rsid w:val="00A178CC"/>
    <w:pPr>
      <w:keepNext/>
      <w:keepLines/>
      <w:spacing w:before="240"/>
      <w:ind w:left="1152" w:hanging="1152"/>
      <w:outlineLvl w:val="5"/>
    </w:pPr>
    <w:rPr>
      <w:rFonts w:eastAsiaTheme="majorEastAsia" w:cs="Arial"/>
      <w:b/>
      <w:i/>
      <w:iCs/>
      <w:color w:val="076A92"/>
      <w:szCs w:val="24"/>
    </w:rPr>
  </w:style>
  <w:style w:type="paragraph" w:styleId="Heading7">
    <w:name w:val="heading 7"/>
    <w:basedOn w:val="Normal"/>
    <w:next w:val="Normal"/>
    <w:link w:val="Heading7Char"/>
    <w:uiPriority w:val="9"/>
    <w:semiHidden/>
    <w:unhideWhenUsed/>
    <w:rsid w:val="00A94A4E"/>
    <w:pPr>
      <w:keepNext/>
      <w:keepLines/>
      <w:spacing w:before="200" w:after="0"/>
      <w:outlineLvl w:val="6"/>
    </w:pPr>
    <w:rPr>
      <w:rFonts w:asciiTheme="majorHAnsi" w:eastAsiaTheme="majorEastAsia" w:hAnsiTheme="majorHAnsi" w:cstheme="majorBidi"/>
      <w:i/>
      <w:iCs/>
      <w:color w:val="0BA7E7" w:themeColor="text1" w:themeTint="BF"/>
    </w:rPr>
  </w:style>
  <w:style w:type="paragraph" w:styleId="Heading8">
    <w:name w:val="heading 8"/>
    <w:basedOn w:val="Normal"/>
    <w:next w:val="Normal"/>
    <w:link w:val="Heading8Char"/>
    <w:uiPriority w:val="9"/>
    <w:semiHidden/>
    <w:unhideWhenUsed/>
    <w:qFormat/>
    <w:rsid w:val="00A94A4E"/>
    <w:pPr>
      <w:keepNext/>
      <w:keepLines/>
      <w:spacing w:before="200" w:after="0"/>
      <w:outlineLvl w:val="7"/>
    </w:pPr>
    <w:rPr>
      <w:rFonts w:asciiTheme="majorHAnsi" w:eastAsiaTheme="majorEastAsia" w:hAnsiTheme="majorHAnsi" w:cstheme="majorBidi"/>
      <w:color w:val="0BA7E7" w:themeColor="text1" w:themeTint="BF"/>
      <w:sz w:val="20"/>
      <w:szCs w:val="20"/>
    </w:rPr>
  </w:style>
  <w:style w:type="paragraph" w:styleId="Heading9">
    <w:name w:val="heading 9"/>
    <w:basedOn w:val="Normal"/>
    <w:next w:val="Normal"/>
    <w:link w:val="Heading9Char"/>
    <w:uiPriority w:val="9"/>
    <w:semiHidden/>
    <w:unhideWhenUsed/>
    <w:qFormat/>
    <w:rsid w:val="00A94A4E"/>
    <w:pPr>
      <w:keepNext/>
      <w:keepLines/>
      <w:spacing w:before="200" w:after="0"/>
      <w:outlineLvl w:val="8"/>
    </w:pPr>
    <w:rPr>
      <w:rFonts w:asciiTheme="majorHAnsi" w:eastAsiaTheme="majorEastAsia" w:hAnsiTheme="majorHAnsi" w:cstheme="majorBidi"/>
      <w:i/>
      <w:iCs/>
      <w:color w:val="0BA7E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right">
    <w:name w:val="Copyright"/>
    <w:basedOn w:val="Normal"/>
    <w:next w:val="Normal"/>
    <w:link w:val="CopyrightChar"/>
    <w:qFormat/>
    <w:rsid w:val="002D4DAB"/>
    <w:pPr>
      <w:spacing w:before="5680" w:line="288" w:lineRule="auto"/>
      <w:contextualSpacing/>
    </w:pPr>
    <w:rPr>
      <w:sz w:val="20"/>
      <w:szCs w:val="20"/>
    </w:rPr>
  </w:style>
  <w:style w:type="paragraph" w:customStyle="1" w:styleId="TOCText">
    <w:name w:val="TOC Text"/>
    <w:basedOn w:val="Normal"/>
    <w:next w:val="Normal"/>
    <w:rsid w:val="00B801CA"/>
  </w:style>
  <w:style w:type="paragraph" w:customStyle="1" w:styleId="ReportTitle">
    <w:name w:val="Report Title"/>
    <w:basedOn w:val="Normal"/>
    <w:next w:val="Normal"/>
    <w:link w:val="ReportTitleChar"/>
    <w:qFormat/>
    <w:rsid w:val="00FC3E6B"/>
    <w:pPr>
      <w:spacing w:before="6240"/>
      <w:contextualSpacing/>
      <w:jc w:val="center"/>
    </w:pPr>
    <w:rPr>
      <w:b/>
      <w:sz w:val="72"/>
      <w:szCs w:val="72"/>
    </w:rPr>
  </w:style>
  <w:style w:type="paragraph" w:customStyle="1" w:styleId="ChapterTitle">
    <w:name w:val="Chapter Title"/>
    <w:basedOn w:val="Heading1"/>
    <w:next w:val="Normal"/>
    <w:link w:val="ChapterTitleChar"/>
    <w:qFormat/>
    <w:rsid w:val="00CC659E"/>
    <w:rPr>
      <w:color w:val="070692"/>
      <w:sz w:val="52"/>
    </w:rPr>
  </w:style>
  <w:style w:type="character" w:customStyle="1" w:styleId="Heading1Char">
    <w:name w:val="Heading 1 Char"/>
    <w:basedOn w:val="DefaultParagraphFont"/>
    <w:link w:val="Heading1"/>
    <w:uiPriority w:val="9"/>
    <w:rsid w:val="00A178CC"/>
    <w:rPr>
      <w:rFonts w:ascii="Arial" w:eastAsiaTheme="majorEastAsia" w:hAnsi="Arial" w:cs="Arial"/>
      <w:b/>
      <w:bCs/>
      <w:color w:val="70635A"/>
      <w:sz w:val="36"/>
      <w:szCs w:val="36"/>
    </w:rPr>
  </w:style>
  <w:style w:type="character" w:customStyle="1" w:styleId="Heading2Char">
    <w:name w:val="Heading 2 Char"/>
    <w:basedOn w:val="DefaultParagraphFont"/>
    <w:link w:val="Heading2"/>
    <w:uiPriority w:val="9"/>
    <w:rsid w:val="00A178CC"/>
    <w:rPr>
      <w:rFonts w:ascii="Arial" w:eastAsiaTheme="majorEastAsia" w:hAnsi="Arial" w:cs="Arial"/>
      <w:b/>
      <w:bCs/>
      <w:color w:val="70635A"/>
      <w:sz w:val="32"/>
      <w:szCs w:val="32"/>
    </w:rPr>
  </w:style>
  <w:style w:type="character" w:customStyle="1" w:styleId="Heading3Char">
    <w:name w:val="Heading 3 Char"/>
    <w:basedOn w:val="DefaultParagraphFont"/>
    <w:link w:val="Heading3"/>
    <w:uiPriority w:val="9"/>
    <w:rsid w:val="00A178CC"/>
    <w:rPr>
      <w:rFonts w:ascii="Arial" w:eastAsiaTheme="majorEastAsia" w:hAnsi="Arial" w:cs="Arial"/>
      <w:b/>
      <w:bCs/>
      <w:color w:val="70635A"/>
      <w:sz w:val="28"/>
      <w:szCs w:val="28"/>
    </w:rPr>
  </w:style>
  <w:style w:type="character" w:customStyle="1" w:styleId="Heading4Char">
    <w:name w:val="Heading 4 Char"/>
    <w:basedOn w:val="DefaultParagraphFont"/>
    <w:link w:val="Heading4"/>
    <w:uiPriority w:val="9"/>
    <w:rsid w:val="00A178CC"/>
    <w:rPr>
      <w:rFonts w:ascii="Arial" w:eastAsiaTheme="majorEastAsia" w:hAnsi="Arial" w:cs="Arial"/>
      <w:b/>
      <w:bCs/>
      <w:iCs/>
      <w:color w:val="70635A"/>
      <w:sz w:val="24"/>
      <w:szCs w:val="24"/>
    </w:rPr>
  </w:style>
  <w:style w:type="character" w:customStyle="1" w:styleId="Heading5Char">
    <w:name w:val="Heading 5 Char"/>
    <w:basedOn w:val="DefaultParagraphFont"/>
    <w:link w:val="Heading5"/>
    <w:uiPriority w:val="9"/>
    <w:rsid w:val="00A178CC"/>
    <w:rPr>
      <w:rFonts w:ascii="Arial" w:eastAsiaTheme="majorEastAsia" w:hAnsi="Arial" w:cs="Arial"/>
      <w:b/>
      <w:szCs w:val="24"/>
    </w:rPr>
  </w:style>
  <w:style w:type="character" w:customStyle="1" w:styleId="Heading6Char">
    <w:name w:val="Heading 6 Char"/>
    <w:basedOn w:val="DefaultParagraphFont"/>
    <w:link w:val="Heading6"/>
    <w:uiPriority w:val="9"/>
    <w:rsid w:val="00A178CC"/>
    <w:rPr>
      <w:rFonts w:ascii="Arial" w:eastAsiaTheme="majorEastAsia" w:hAnsi="Arial" w:cs="Arial"/>
      <w:b/>
      <w:i/>
      <w:iCs/>
      <w:color w:val="076A92"/>
      <w:szCs w:val="24"/>
    </w:rPr>
  </w:style>
  <w:style w:type="paragraph" w:styleId="ListParagraph">
    <w:name w:val="List Paragraph"/>
    <w:basedOn w:val="Normal"/>
    <w:link w:val="ListParagraphChar"/>
    <w:uiPriority w:val="34"/>
    <w:qFormat/>
    <w:rsid w:val="006A5214"/>
    <w:pPr>
      <w:ind w:left="720"/>
      <w:contextualSpacing/>
    </w:pPr>
  </w:style>
  <w:style w:type="paragraph" w:customStyle="1" w:styleId="NumberedListStyle">
    <w:name w:val="Numbered List Style"/>
    <w:basedOn w:val="ListParagraph"/>
    <w:link w:val="NumberedListStyleChar"/>
    <w:rsid w:val="006A5214"/>
    <w:pPr>
      <w:numPr>
        <w:numId w:val="2"/>
      </w:numPr>
    </w:pPr>
  </w:style>
  <w:style w:type="numbering" w:customStyle="1" w:styleId="NumberedList">
    <w:name w:val="Numbered List"/>
    <w:uiPriority w:val="99"/>
    <w:rsid w:val="00A21831"/>
    <w:pPr>
      <w:numPr>
        <w:numId w:val="1"/>
      </w:numPr>
    </w:pPr>
  </w:style>
  <w:style w:type="character" w:customStyle="1" w:styleId="ListParagraphChar">
    <w:name w:val="List Paragraph Char"/>
    <w:basedOn w:val="DefaultParagraphFont"/>
    <w:link w:val="ListParagraph"/>
    <w:uiPriority w:val="34"/>
    <w:rsid w:val="006A5214"/>
    <w:rPr>
      <w:rFonts w:ascii="Arial" w:hAnsi="Arial"/>
    </w:rPr>
  </w:style>
  <w:style w:type="character" w:customStyle="1" w:styleId="NumberedListStyleChar">
    <w:name w:val="Numbered List Style Char"/>
    <w:basedOn w:val="ListParagraphChar"/>
    <w:link w:val="NumberedListStyle"/>
    <w:rsid w:val="006A5214"/>
    <w:rPr>
      <w:rFonts w:ascii="Arial" w:hAnsi="Arial"/>
    </w:rPr>
  </w:style>
  <w:style w:type="numbering" w:customStyle="1" w:styleId="NumberedList-Straight">
    <w:name w:val="Numbered List - Straight"/>
    <w:uiPriority w:val="99"/>
    <w:rsid w:val="00C93331"/>
    <w:pPr>
      <w:numPr>
        <w:numId w:val="6"/>
      </w:numPr>
    </w:pPr>
  </w:style>
  <w:style w:type="numbering" w:customStyle="1" w:styleId="AlphanumericList-Straight">
    <w:name w:val="Alphanumeric List - Straight"/>
    <w:uiPriority w:val="99"/>
    <w:rsid w:val="00870E29"/>
    <w:pPr>
      <w:numPr>
        <w:numId w:val="7"/>
      </w:numPr>
    </w:pPr>
  </w:style>
  <w:style w:type="paragraph" w:customStyle="1" w:styleId="TableBodyFigurealignedright">
    <w:name w:val="Table Body Figure (aligned right)"/>
    <w:basedOn w:val="Normal"/>
    <w:link w:val="TableBodyFigurealignedrightChar"/>
    <w:qFormat/>
    <w:rsid w:val="008244B2"/>
    <w:pPr>
      <w:jc w:val="right"/>
    </w:pPr>
    <w:rPr>
      <w:sz w:val="20"/>
    </w:rPr>
  </w:style>
  <w:style w:type="paragraph" w:customStyle="1" w:styleId="ChartHeading">
    <w:name w:val="Chart Heading"/>
    <w:basedOn w:val="Normal"/>
    <w:next w:val="Normal"/>
    <w:link w:val="ChartHeadingChar"/>
    <w:qFormat/>
    <w:rsid w:val="001939DE"/>
    <w:pPr>
      <w:spacing w:before="240"/>
    </w:pPr>
    <w:rPr>
      <w:b/>
      <w:sz w:val="24"/>
      <w:szCs w:val="24"/>
    </w:rPr>
  </w:style>
  <w:style w:type="character" w:customStyle="1" w:styleId="TableBodyFigurealignedrightChar">
    <w:name w:val="Table Body Figure (aligned right) Char"/>
    <w:basedOn w:val="DefaultParagraphFont"/>
    <w:link w:val="TableBodyFigurealignedright"/>
    <w:rsid w:val="008244B2"/>
    <w:rPr>
      <w:rFonts w:ascii="Arial" w:hAnsi="Arial"/>
      <w:sz w:val="20"/>
    </w:rPr>
  </w:style>
  <w:style w:type="paragraph" w:customStyle="1" w:styleId="ChartText">
    <w:name w:val="Chart Text"/>
    <w:basedOn w:val="Normal"/>
    <w:next w:val="Normal"/>
    <w:link w:val="ChartTextChar"/>
    <w:qFormat/>
    <w:rsid w:val="002F1039"/>
    <w:rPr>
      <w:sz w:val="20"/>
    </w:rPr>
  </w:style>
  <w:style w:type="character" w:customStyle="1" w:styleId="ChartHeadingChar">
    <w:name w:val="Chart Heading Char"/>
    <w:basedOn w:val="DefaultParagraphFont"/>
    <w:link w:val="ChartHeading"/>
    <w:rsid w:val="001939DE"/>
    <w:rPr>
      <w:rFonts w:ascii="Arial" w:hAnsi="Arial"/>
      <w:b/>
      <w:sz w:val="24"/>
      <w:szCs w:val="24"/>
    </w:rPr>
  </w:style>
  <w:style w:type="paragraph" w:styleId="TOCHeading">
    <w:name w:val="TOC Heading"/>
    <w:aliases w:val="Table of Contents (TOC) Heading"/>
    <w:basedOn w:val="Normal"/>
    <w:next w:val="Normal"/>
    <w:link w:val="TOCHeadingChar"/>
    <w:uiPriority w:val="39"/>
    <w:unhideWhenUsed/>
    <w:qFormat/>
    <w:rsid w:val="002B5C11"/>
    <w:pPr>
      <w:pageBreakBefore/>
    </w:pPr>
    <w:rPr>
      <w:rFonts w:cstheme="majorBidi"/>
      <w:b/>
      <w:color w:val="076A92"/>
      <w:sz w:val="36"/>
      <w:szCs w:val="28"/>
    </w:rPr>
  </w:style>
  <w:style w:type="character" w:customStyle="1" w:styleId="ChartTextChar">
    <w:name w:val="Chart Text Char"/>
    <w:basedOn w:val="DefaultParagraphFont"/>
    <w:link w:val="ChartText"/>
    <w:rsid w:val="002F1039"/>
    <w:rPr>
      <w:rFonts w:ascii="Arial" w:hAnsi="Arial"/>
      <w:sz w:val="20"/>
    </w:rPr>
  </w:style>
  <w:style w:type="paragraph" w:styleId="Footer">
    <w:name w:val="footer"/>
    <w:basedOn w:val="Normal"/>
    <w:link w:val="FooterChar"/>
    <w:uiPriority w:val="99"/>
    <w:unhideWhenUsed/>
    <w:qFormat/>
    <w:rsid w:val="009A46F9"/>
    <w:pPr>
      <w:tabs>
        <w:tab w:val="center" w:pos="4513"/>
        <w:tab w:val="right" w:pos="9026"/>
      </w:tabs>
      <w:spacing w:after="0" w:line="240" w:lineRule="auto"/>
    </w:pPr>
    <w:rPr>
      <w:b/>
      <w:color w:val="076A92"/>
      <w:sz w:val="20"/>
    </w:rPr>
  </w:style>
  <w:style w:type="character" w:customStyle="1" w:styleId="FooterChar">
    <w:name w:val="Footer Char"/>
    <w:basedOn w:val="DefaultParagraphFont"/>
    <w:link w:val="Footer"/>
    <w:uiPriority w:val="99"/>
    <w:rsid w:val="009A46F9"/>
    <w:rPr>
      <w:rFonts w:ascii="Arial" w:hAnsi="Arial"/>
      <w:b/>
      <w:color w:val="076A92"/>
      <w:sz w:val="20"/>
    </w:rPr>
  </w:style>
  <w:style w:type="character" w:styleId="Hyperlink">
    <w:name w:val="Hyperlink"/>
    <w:basedOn w:val="DefaultParagraphFont"/>
    <w:uiPriority w:val="99"/>
    <w:unhideWhenUsed/>
    <w:qFormat/>
    <w:rsid w:val="001939DE"/>
    <w:rPr>
      <w:color w:val="076A92" w:themeColor="hyperlink"/>
      <w:u w:val="single"/>
    </w:rPr>
  </w:style>
  <w:style w:type="paragraph" w:styleId="FootnoteText">
    <w:name w:val="footnote text"/>
    <w:aliases w:val="Footnote"/>
    <w:basedOn w:val="Normal"/>
    <w:link w:val="FootnoteTextChar"/>
    <w:uiPriority w:val="99"/>
    <w:semiHidden/>
    <w:unhideWhenUsed/>
    <w:qFormat/>
    <w:rsid w:val="00F412C9"/>
    <w:pPr>
      <w:spacing w:line="240" w:lineRule="auto"/>
    </w:pPr>
    <w:rPr>
      <w:color w:val="000000" w:themeColor="accent5"/>
      <w:sz w:val="18"/>
      <w:szCs w:val="20"/>
    </w:rPr>
  </w:style>
  <w:style w:type="character" w:customStyle="1" w:styleId="FootnoteTextChar">
    <w:name w:val="Footnote Text Char"/>
    <w:aliases w:val="Footnote Char"/>
    <w:basedOn w:val="DefaultParagraphFont"/>
    <w:link w:val="FootnoteText"/>
    <w:uiPriority w:val="99"/>
    <w:semiHidden/>
    <w:rsid w:val="00F412C9"/>
    <w:rPr>
      <w:rFonts w:ascii="Arial" w:hAnsi="Arial"/>
      <w:color w:val="000000" w:themeColor="accent5"/>
      <w:sz w:val="18"/>
      <w:szCs w:val="20"/>
    </w:rPr>
  </w:style>
  <w:style w:type="paragraph" w:customStyle="1" w:styleId="Source">
    <w:name w:val="Source"/>
    <w:basedOn w:val="Normal"/>
    <w:link w:val="SourceChar"/>
    <w:qFormat/>
    <w:rsid w:val="00694E1F"/>
    <w:rPr>
      <w:sz w:val="18"/>
      <w:szCs w:val="18"/>
    </w:rPr>
  </w:style>
  <w:style w:type="paragraph" w:customStyle="1" w:styleId="Note">
    <w:name w:val="Note"/>
    <w:basedOn w:val="Source"/>
    <w:link w:val="NoteChar"/>
    <w:qFormat/>
    <w:rsid w:val="00694E1F"/>
  </w:style>
  <w:style w:type="character" w:customStyle="1" w:styleId="SourceChar">
    <w:name w:val="Source Char"/>
    <w:basedOn w:val="DefaultParagraphFont"/>
    <w:link w:val="Source"/>
    <w:rsid w:val="00694E1F"/>
    <w:rPr>
      <w:rFonts w:ascii="Arial" w:hAnsi="Arial"/>
      <w:sz w:val="18"/>
      <w:szCs w:val="18"/>
    </w:rPr>
  </w:style>
  <w:style w:type="character" w:customStyle="1" w:styleId="Heading7Char">
    <w:name w:val="Heading 7 Char"/>
    <w:basedOn w:val="DefaultParagraphFont"/>
    <w:link w:val="Heading7"/>
    <w:uiPriority w:val="9"/>
    <w:semiHidden/>
    <w:rsid w:val="00CC659E"/>
    <w:rPr>
      <w:rFonts w:asciiTheme="majorHAnsi" w:eastAsiaTheme="majorEastAsia" w:hAnsiTheme="majorHAnsi" w:cstheme="majorBidi"/>
      <w:i/>
      <w:iCs/>
      <w:color w:val="0BA7E7" w:themeColor="text1" w:themeTint="BF"/>
    </w:rPr>
  </w:style>
  <w:style w:type="character" w:customStyle="1" w:styleId="NoteChar">
    <w:name w:val="Note Char"/>
    <w:basedOn w:val="SourceChar"/>
    <w:link w:val="Note"/>
    <w:rsid w:val="00694E1F"/>
    <w:rPr>
      <w:rFonts w:ascii="Arial" w:hAnsi="Arial"/>
      <w:sz w:val="18"/>
      <w:szCs w:val="18"/>
    </w:rPr>
  </w:style>
  <w:style w:type="character" w:customStyle="1" w:styleId="Heading8Char">
    <w:name w:val="Heading 8 Char"/>
    <w:basedOn w:val="DefaultParagraphFont"/>
    <w:link w:val="Heading8"/>
    <w:uiPriority w:val="9"/>
    <w:semiHidden/>
    <w:rsid w:val="00CC659E"/>
    <w:rPr>
      <w:rFonts w:asciiTheme="majorHAnsi" w:eastAsiaTheme="majorEastAsia" w:hAnsiTheme="majorHAnsi" w:cstheme="majorBidi"/>
      <w:color w:val="0BA7E7" w:themeColor="text1" w:themeTint="BF"/>
      <w:sz w:val="20"/>
      <w:szCs w:val="20"/>
    </w:rPr>
  </w:style>
  <w:style w:type="character" w:customStyle="1" w:styleId="Heading9Char">
    <w:name w:val="Heading 9 Char"/>
    <w:basedOn w:val="DefaultParagraphFont"/>
    <w:link w:val="Heading9"/>
    <w:uiPriority w:val="9"/>
    <w:semiHidden/>
    <w:rsid w:val="00CC659E"/>
    <w:rPr>
      <w:rFonts w:asciiTheme="majorHAnsi" w:eastAsiaTheme="majorEastAsia" w:hAnsiTheme="majorHAnsi" w:cstheme="majorBidi"/>
      <w:i/>
      <w:iCs/>
      <w:color w:val="0BA7E7" w:themeColor="text1" w:themeTint="BF"/>
      <w:sz w:val="20"/>
      <w:szCs w:val="20"/>
    </w:rPr>
  </w:style>
  <w:style w:type="numbering" w:customStyle="1" w:styleId="AlphanumericList">
    <w:name w:val="Alphanumeric List"/>
    <w:uiPriority w:val="99"/>
    <w:rsid w:val="00A94A4E"/>
    <w:pPr>
      <w:numPr>
        <w:numId w:val="5"/>
      </w:numPr>
    </w:pPr>
  </w:style>
  <w:style w:type="paragraph" w:styleId="BalloonText">
    <w:name w:val="Balloon Text"/>
    <w:basedOn w:val="Normal"/>
    <w:link w:val="BalloonTextChar"/>
    <w:uiPriority w:val="99"/>
    <w:semiHidden/>
    <w:unhideWhenUsed/>
    <w:rsid w:val="00AE7E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E16"/>
    <w:rPr>
      <w:rFonts w:ascii="Tahoma" w:hAnsi="Tahoma" w:cs="Tahoma"/>
      <w:sz w:val="16"/>
      <w:szCs w:val="16"/>
    </w:rPr>
  </w:style>
  <w:style w:type="paragraph" w:styleId="Header">
    <w:name w:val="header"/>
    <w:basedOn w:val="Normal"/>
    <w:link w:val="HeaderChar"/>
    <w:uiPriority w:val="99"/>
    <w:unhideWhenUsed/>
    <w:rsid w:val="00B14A00"/>
    <w:pPr>
      <w:tabs>
        <w:tab w:val="center" w:pos="4513"/>
        <w:tab w:val="right" w:pos="9026"/>
      </w:tabs>
      <w:spacing w:line="240" w:lineRule="auto"/>
    </w:pPr>
  </w:style>
  <w:style w:type="character" w:customStyle="1" w:styleId="HeaderChar">
    <w:name w:val="Header Char"/>
    <w:basedOn w:val="DefaultParagraphFont"/>
    <w:link w:val="Header"/>
    <w:uiPriority w:val="99"/>
    <w:rsid w:val="00B14A00"/>
    <w:rPr>
      <w:rFonts w:ascii="Arial" w:hAnsi="Arial"/>
    </w:rPr>
  </w:style>
  <w:style w:type="paragraph" w:customStyle="1" w:styleId="DocumentReferenceTitle">
    <w:name w:val="Document Reference Title"/>
    <w:basedOn w:val="Normal"/>
    <w:link w:val="DocumentReferenceTitleChar"/>
    <w:qFormat/>
    <w:rsid w:val="00E67D84"/>
    <w:rPr>
      <w:i/>
    </w:rPr>
  </w:style>
  <w:style w:type="paragraph" w:customStyle="1" w:styleId="Subscript">
    <w:name w:val="Subscript"/>
    <w:basedOn w:val="Normal"/>
    <w:next w:val="Normal"/>
    <w:link w:val="SubscriptChar"/>
    <w:qFormat/>
    <w:rsid w:val="00192403"/>
    <w:rPr>
      <w:sz w:val="20"/>
      <w:vertAlign w:val="subscript"/>
    </w:rPr>
  </w:style>
  <w:style w:type="character" w:customStyle="1" w:styleId="DocumentReferenceTitleChar">
    <w:name w:val="Document Reference Title Char"/>
    <w:basedOn w:val="DefaultParagraphFont"/>
    <w:link w:val="DocumentReferenceTitle"/>
    <w:rsid w:val="00E67D84"/>
    <w:rPr>
      <w:rFonts w:ascii="Arial" w:hAnsi="Arial"/>
      <w:i/>
    </w:rPr>
  </w:style>
  <w:style w:type="paragraph" w:customStyle="1" w:styleId="Superscript">
    <w:name w:val="Superscript"/>
    <w:basedOn w:val="Normal"/>
    <w:next w:val="Normal"/>
    <w:link w:val="SuperscriptChar"/>
    <w:qFormat/>
    <w:rsid w:val="00192403"/>
    <w:rPr>
      <w:sz w:val="20"/>
      <w:vertAlign w:val="superscript"/>
    </w:rPr>
  </w:style>
  <w:style w:type="character" w:customStyle="1" w:styleId="SubscriptChar">
    <w:name w:val="Subscript Char"/>
    <w:basedOn w:val="DefaultParagraphFont"/>
    <w:link w:val="Subscript"/>
    <w:rsid w:val="00192403"/>
    <w:rPr>
      <w:rFonts w:ascii="Arial" w:hAnsi="Arial"/>
      <w:sz w:val="20"/>
      <w:vertAlign w:val="subscript"/>
    </w:rPr>
  </w:style>
  <w:style w:type="character" w:customStyle="1" w:styleId="SuperscriptChar">
    <w:name w:val="Superscript Char"/>
    <w:basedOn w:val="DefaultParagraphFont"/>
    <w:link w:val="Superscript"/>
    <w:rsid w:val="00192403"/>
    <w:rPr>
      <w:rFonts w:ascii="Arial" w:hAnsi="Arial"/>
      <w:sz w:val="20"/>
      <w:vertAlign w:val="superscript"/>
    </w:rPr>
  </w:style>
  <w:style w:type="paragraph" w:styleId="TOC1">
    <w:name w:val="toc 1"/>
    <w:basedOn w:val="Normal"/>
    <w:next w:val="Normal"/>
    <w:link w:val="TOC1Char"/>
    <w:uiPriority w:val="39"/>
    <w:unhideWhenUsed/>
    <w:qFormat/>
    <w:rsid w:val="001D222D"/>
    <w:pPr>
      <w:tabs>
        <w:tab w:val="left" w:pos="397"/>
        <w:tab w:val="left" w:leader="dot" w:pos="9072"/>
      </w:tabs>
      <w:spacing w:after="100"/>
      <w:jc w:val="center"/>
    </w:pPr>
    <w:rPr>
      <w:b/>
      <w:color w:val="70635A"/>
      <w:sz w:val="24"/>
    </w:rPr>
  </w:style>
  <w:style w:type="table" w:customStyle="1" w:styleId="AERTable-Text">
    <w:name w:val="AER Table - Text"/>
    <w:basedOn w:val="TableNormal"/>
    <w:uiPriority w:val="99"/>
    <w:rsid w:val="00C93331"/>
    <w:pPr>
      <w:spacing w:line="240" w:lineRule="auto"/>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table" w:styleId="TableGrid">
    <w:name w:val="Table Grid"/>
    <w:basedOn w:val="TableNormal"/>
    <w:uiPriority w:val="59"/>
    <w:rsid w:val="00DF1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6746F2"/>
    <w:pPr>
      <w:spacing w:before="240" w:line="240" w:lineRule="auto"/>
    </w:pPr>
    <w:rPr>
      <w:b/>
      <w:bCs/>
      <w:color w:val="076A92"/>
      <w:szCs w:val="18"/>
    </w:rPr>
  </w:style>
  <w:style w:type="paragraph" w:customStyle="1" w:styleId="Quotation">
    <w:name w:val="Quotation"/>
    <w:basedOn w:val="Normal"/>
    <w:next w:val="Normal"/>
    <w:link w:val="QuotationChar"/>
    <w:qFormat/>
    <w:rsid w:val="002D05D5"/>
    <w:rPr>
      <w:i/>
    </w:rPr>
  </w:style>
  <w:style w:type="paragraph" w:customStyle="1" w:styleId="BlockQuote">
    <w:name w:val="Block Quote"/>
    <w:basedOn w:val="Normal"/>
    <w:next w:val="Normal"/>
    <w:link w:val="BlockQuoteChar"/>
    <w:qFormat/>
    <w:rsid w:val="002D05D5"/>
    <w:pPr>
      <w:ind w:left="284"/>
    </w:pPr>
    <w:rPr>
      <w:sz w:val="20"/>
      <w:szCs w:val="20"/>
    </w:rPr>
  </w:style>
  <w:style w:type="paragraph" w:styleId="Quote">
    <w:name w:val="Quote"/>
    <w:basedOn w:val="Normal"/>
    <w:next w:val="Normal"/>
    <w:link w:val="QuoteChar"/>
    <w:uiPriority w:val="29"/>
    <w:qFormat/>
    <w:rsid w:val="006A43A5"/>
    <w:rPr>
      <w:i/>
      <w:iCs/>
    </w:rPr>
  </w:style>
  <w:style w:type="paragraph" w:customStyle="1" w:styleId="BoxedText">
    <w:name w:val="Boxed Text"/>
    <w:basedOn w:val="Normal"/>
    <w:link w:val="BoxedTextChar"/>
    <w:qFormat/>
    <w:rsid w:val="0038743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C8C0BA" w:themeFill="text2" w:themeFillTint="66"/>
    </w:pPr>
  </w:style>
  <w:style w:type="character" w:customStyle="1" w:styleId="BoxedTextChar">
    <w:name w:val="Boxed Text Char"/>
    <w:basedOn w:val="DefaultParagraphFont"/>
    <w:link w:val="BoxedText"/>
    <w:rsid w:val="00387432"/>
    <w:rPr>
      <w:rFonts w:ascii="Arial" w:hAnsi="Arial"/>
      <w:shd w:val="clear" w:color="auto" w:fill="C8C0BA" w:themeFill="text2" w:themeFillTint="66"/>
    </w:rPr>
  </w:style>
  <w:style w:type="paragraph" w:customStyle="1" w:styleId="ReportDate">
    <w:name w:val="Report Date"/>
    <w:basedOn w:val="ReportTitle"/>
    <w:link w:val="ReportDateChar"/>
    <w:qFormat/>
    <w:rsid w:val="002956ED"/>
    <w:pPr>
      <w:tabs>
        <w:tab w:val="center" w:pos="4598"/>
        <w:tab w:val="right" w:pos="9026"/>
      </w:tabs>
    </w:pPr>
    <w:rPr>
      <w:b w:val="0"/>
      <w:noProof/>
      <w:sz w:val="36"/>
      <w:szCs w:val="36"/>
      <w:lang w:eastAsia="en-AU"/>
    </w:rPr>
  </w:style>
  <w:style w:type="paragraph" w:customStyle="1" w:styleId="ReportSubtitle">
    <w:name w:val="Report Subtitle"/>
    <w:basedOn w:val="ReportTitle"/>
    <w:link w:val="ReportSubtitleChar"/>
    <w:qFormat/>
    <w:rsid w:val="002956ED"/>
    <w:pPr>
      <w:tabs>
        <w:tab w:val="center" w:pos="4598"/>
        <w:tab w:val="right" w:pos="9026"/>
      </w:tabs>
    </w:pPr>
    <w:rPr>
      <w:noProof/>
      <w:sz w:val="56"/>
      <w:szCs w:val="56"/>
      <w:lang w:eastAsia="en-AU"/>
    </w:rPr>
  </w:style>
  <w:style w:type="character" w:customStyle="1" w:styleId="ReportTitleChar">
    <w:name w:val="Report Title Char"/>
    <w:basedOn w:val="Heading1Char"/>
    <w:link w:val="ReportTitle"/>
    <w:rsid w:val="00FC3E6B"/>
    <w:rPr>
      <w:rFonts w:ascii="Arial" w:eastAsiaTheme="majorEastAsia" w:hAnsi="Arial" w:cs="Arial"/>
      <w:b/>
      <w:bCs w:val="0"/>
      <w:color w:val="70635A"/>
      <w:sz w:val="72"/>
      <w:szCs w:val="72"/>
    </w:rPr>
  </w:style>
  <w:style w:type="character" w:customStyle="1" w:styleId="ReportDateChar">
    <w:name w:val="Report Date Char"/>
    <w:basedOn w:val="ReportTitleChar"/>
    <w:link w:val="ReportDate"/>
    <w:rsid w:val="002956ED"/>
    <w:rPr>
      <w:rFonts w:ascii="Arial" w:eastAsiaTheme="majorEastAsia" w:hAnsi="Arial" w:cs="Arial"/>
      <w:b w:val="0"/>
      <w:bCs w:val="0"/>
      <w:noProof/>
      <w:color w:val="70635A"/>
      <w:sz w:val="36"/>
      <w:szCs w:val="36"/>
      <w:lang w:eastAsia="en-AU"/>
    </w:rPr>
  </w:style>
  <w:style w:type="character" w:customStyle="1" w:styleId="ReportSubtitleChar">
    <w:name w:val="Report Subtitle Char"/>
    <w:basedOn w:val="ReportTitleChar"/>
    <w:link w:val="ReportSubtitle"/>
    <w:rsid w:val="002956ED"/>
    <w:rPr>
      <w:rFonts w:ascii="Arial" w:eastAsiaTheme="majorEastAsia" w:hAnsi="Arial" w:cs="Arial"/>
      <w:b/>
      <w:bCs w:val="0"/>
      <w:noProof/>
      <w:color w:val="70635A"/>
      <w:sz w:val="56"/>
      <w:szCs w:val="56"/>
      <w:lang w:eastAsia="en-AU"/>
    </w:rPr>
  </w:style>
  <w:style w:type="paragraph" w:styleId="TOC2">
    <w:name w:val="toc 2"/>
    <w:basedOn w:val="Normal"/>
    <w:next w:val="Normal"/>
    <w:link w:val="TOC2Char"/>
    <w:uiPriority w:val="39"/>
    <w:unhideWhenUsed/>
    <w:qFormat/>
    <w:rsid w:val="001D222D"/>
    <w:pPr>
      <w:tabs>
        <w:tab w:val="left" w:pos="907"/>
        <w:tab w:val="left" w:leader="dot" w:pos="9072"/>
      </w:tabs>
      <w:ind w:left="284"/>
    </w:pPr>
    <w:rPr>
      <w:sz w:val="24"/>
    </w:rPr>
  </w:style>
  <w:style w:type="paragraph" w:styleId="TOC3">
    <w:name w:val="toc 3"/>
    <w:basedOn w:val="Normal"/>
    <w:next w:val="Normal"/>
    <w:link w:val="TOC3Char"/>
    <w:uiPriority w:val="39"/>
    <w:unhideWhenUsed/>
    <w:qFormat/>
    <w:rsid w:val="001974A9"/>
    <w:pPr>
      <w:tabs>
        <w:tab w:val="left" w:pos="1134"/>
        <w:tab w:val="left" w:leader="dot" w:pos="9072"/>
      </w:tabs>
      <w:ind w:left="567"/>
    </w:pPr>
  </w:style>
  <w:style w:type="numbering" w:customStyle="1" w:styleId="BulletedList">
    <w:name w:val="Bulleted List"/>
    <w:uiPriority w:val="99"/>
    <w:rsid w:val="006E0793"/>
    <w:pPr>
      <w:numPr>
        <w:numId w:val="3"/>
      </w:numPr>
    </w:pPr>
  </w:style>
  <w:style w:type="numbering" w:customStyle="1" w:styleId="RomanNumeralBulletedList">
    <w:name w:val="Roman Numeral Bulleted List"/>
    <w:uiPriority w:val="99"/>
    <w:rsid w:val="006E0793"/>
    <w:pPr>
      <w:numPr>
        <w:numId w:val="4"/>
      </w:numPr>
    </w:pPr>
  </w:style>
  <w:style w:type="character" w:styleId="Strong">
    <w:name w:val="Strong"/>
    <w:basedOn w:val="DefaultParagraphFont"/>
    <w:uiPriority w:val="22"/>
    <w:qFormat/>
    <w:rsid w:val="008235A5"/>
    <w:rPr>
      <w:rFonts w:ascii="Arial" w:hAnsi="Arial"/>
      <w:b/>
      <w:bCs/>
      <w:sz w:val="22"/>
    </w:rPr>
  </w:style>
  <w:style w:type="character" w:styleId="Emphasis">
    <w:name w:val="Emphasis"/>
    <w:aliases w:val="Quotation Style"/>
    <w:basedOn w:val="DefaultParagraphFont"/>
    <w:uiPriority w:val="20"/>
    <w:qFormat/>
    <w:rsid w:val="008235A5"/>
    <w:rPr>
      <w:rFonts w:ascii="Arial" w:hAnsi="Arial"/>
      <w:i/>
      <w:iCs/>
      <w:sz w:val="22"/>
    </w:rPr>
  </w:style>
  <w:style w:type="paragraph" w:styleId="EndnoteText">
    <w:name w:val="endnote text"/>
    <w:basedOn w:val="Normal"/>
    <w:link w:val="EndnoteTextChar"/>
    <w:uiPriority w:val="99"/>
    <w:semiHidden/>
    <w:unhideWhenUsed/>
    <w:rsid w:val="00175E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5E60"/>
    <w:rPr>
      <w:rFonts w:ascii="Arial" w:hAnsi="Arial"/>
      <w:sz w:val="20"/>
      <w:szCs w:val="20"/>
    </w:rPr>
  </w:style>
  <w:style w:type="character" w:styleId="EndnoteReference">
    <w:name w:val="endnote reference"/>
    <w:basedOn w:val="DefaultParagraphFont"/>
    <w:uiPriority w:val="99"/>
    <w:semiHidden/>
    <w:unhideWhenUsed/>
    <w:rsid w:val="00175E60"/>
    <w:rPr>
      <w:vertAlign w:val="superscript"/>
    </w:rPr>
  </w:style>
  <w:style w:type="character" w:styleId="FootnoteReference">
    <w:name w:val="footnote reference"/>
    <w:basedOn w:val="DefaultParagraphFont"/>
    <w:uiPriority w:val="99"/>
    <w:semiHidden/>
    <w:unhideWhenUsed/>
    <w:rsid w:val="00F412C9"/>
    <w:rPr>
      <w:color w:val="000000" w:themeColor="accent5"/>
      <w:vertAlign w:val="superscript"/>
    </w:rPr>
  </w:style>
  <w:style w:type="character" w:customStyle="1" w:styleId="ConfidentialText">
    <w:name w:val="Confidential Text"/>
    <w:basedOn w:val="DefaultParagraphFont"/>
    <w:uiPriority w:val="1"/>
    <w:qFormat/>
    <w:rsid w:val="006550E6"/>
    <w:rPr>
      <w:rFonts w:ascii="Arial" w:hAnsi="Arial"/>
      <w:sz w:val="22"/>
      <w:bdr w:val="none" w:sz="0" w:space="0" w:color="auto"/>
      <w:shd w:val="clear" w:color="auto" w:fill="FFFF00"/>
    </w:rPr>
  </w:style>
  <w:style w:type="character" w:customStyle="1" w:styleId="QuoteChar">
    <w:name w:val="Quote Char"/>
    <w:basedOn w:val="DefaultParagraphFont"/>
    <w:link w:val="Quote"/>
    <w:uiPriority w:val="29"/>
    <w:rsid w:val="006A43A5"/>
    <w:rPr>
      <w:rFonts w:ascii="Arial" w:hAnsi="Arial"/>
      <w:i/>
      <w:iCs/>
    </w:rPr>
  </w:style>
  <w:style w:type="character" w:styleId="IntenseEmphasis">
    <w:name w:val="Intense Emphasis"/>
    <w:basedOn w:val="DefaultParagraphFont"/>
    <w:uiPriority w:val="21"/>
    <w:qFormat/>
    <w:rsid w:val="009225C2"/>
    <w:rPr>
      <w:rFonts w:ascii="Arial" w:hAnsi="Arial"/>
      <w:b/>
      <w:bCs/>
      <w:i/>
      <w:iCs/>
      <w:color w:val="000000"/>
      <w:sz w:val="22"/>
    </w:rPr>
  </w:style>
  <w:style w:type="character" w:styleId="PlaceholderText">
    <w:name w:val="Placeholder Text"/>
    <w:basedOn w:val="DefaultParagraphFont"/>
    <w:uiPriority w:val="99"/>
    <w:semiHidden/>
    <w:rsid w:val="00847401"/>
    <w:rPr>
      <w:color w:val="808080"/>
    </w:rPr>
  </w:style>
  <w:style w:type="character" w:customStyle="1" w:styleId="BlockQuoteChar">
    <w:name w:val="Block Quote Char"/>
    <w:basedOn w:val="DefaultParagraphFont"/>
    <w:link w:val="BlockQuote"/>
    <w:rsid w:val="00ED2BFC"/>
    <w:rPr>
      <w:rFonts w:ascii="Arial" w:hAnsi="Arial"/>
      <w:sz w:val="20"/>
      <w:szCs w:val="20"/>
    </w:rPr>
  </w:style>
  <w:style w:type="character" w:customStyle="1" w:styleId="ChapterTitleChar">
    <w:name w:val="Chapter Title Char"/>
    <w:basedOn w:val="Heading1Char"/>
    <w:link w:val="ChapterTitle"/>
    <w:rsid w:val="00B2492A"/>
    <w:rPr>
      <w:rFonts w:ascii="Arial" w:eastAsiaTheme="majorEastAsia" w:hAnsi="Arial" w:cs="Arial"/>
      <w:b/>
      <w:bCs/>
      <w:color w:val="070692"/>
      <w:sz w:val="52"/>
      <w:szCs w:val="36"/>
    </w:rPr>
  </w:style>
  <w:style w:type="character" w:customStyle="1" w:styleId="CopyrightChar">
    <w:name w:val="Copyright Char"/>
    <w:basedOn w:val="DefaultParagraphFont"/>
    <w:link w:val="Copyright"/>
    <w:rsid w:val="002D4DAB"/>
    <w:rPr>
      <w:rFonts w:ascii="Arial" w:hAnsi="Arial"/>
      <w:sz w:val="20"/>
      <w:szCs w:val="20"/>
    </w:rPr>
  </w:style>
  <w:style w:type="character" w:customStyle="1" w:styleId="QuotationChar">
    <w:name w:val="Quotation Char"/>
    <w:basedOn w:val="DefaultParagraphFont"/>
    <w:link w:val="Quotation"/>
    <w:rsid w:val="00B2492A"/>
    <w:rPr>
      <w:rFonts w:ascii="Arial" w:hAnsi="Arial"/>
      <w:i/>
    </w:rPr>
  </w:style>
  <w:style w:type="character" w:customStyle="1" w:styleId="TOCHeadingChar">
    <w:name w:val="TOC Heading Char"/>
    <w:aliases w:val="Table of Contents (TOC) Heading Char"/>
    <w:basedOn w:val="DefaultParagraphFont"/>
    <w:link w:val="TOCHeading"/>
    <w:uiPriority w:val="39"/>
    <w:rsid w:val="00B46283"/>
    <w:rPr>
      <w:rFonts w:ascii="Arial" w:hAnsi="Arial" w:cstheme="majorBidi"/>
      <w:b/>
      <w:color w:val="076A92"/>
      <w:sz w:val="36"/>
      <w:szCs w:val="28"/>
    </w:rPr>
  </w:style>
  <w:style w:type="character" w:customStyle="1" w:styleId="TOC1Char">
    <w:name w:val="TOC 1 Char"/>
    <w:basedOn w:val="DefaultParagraphFont"/>
    <w:link w:val="TOC1"/>
    <w:uiPriority w:val="39"/>
    <w:rsid w:val="001D222D"/>
    <w:rPr>
      <w:rFonts w:ascii="Arial" w:hAnsi="Arial"/>
      <w:b/>
      <w:color w:val="70635A"/>
      <w:sz w:val="24"/>
    </w:rPr>
  </w:style>
  <w:style w:type="character" w:customStyle="1" w:styleId="TOC2Char">
    <w:name w:val="TOC 2 Char"/>
    <w:basedOn w:val="DefaultParagraphFont"/>
    <w:link w:val="TOC2"/>
    <w:uiPriority w:val="39"/>
    <w:rsid w:val="001D222D"/>
    <w:rPr>
      <w:rFonts w:ascii="Arial" w:hAnsi="Arial"/>
      <w:sz w:val="24"/>
    </w:rPr>
  </w:style>
  <w:style w:type="character" w:customStyle="1" w:styleId="TOC3Char">
    <w:name w:val="TOC 3 Char"/>
    <w:basedOn w:val="DefaultParagraphFont"/>
    <w:link w:val="TOC3"/>
    <w:uiPriority w:val="39"/>
    <w:rsid w:val="001974A9"/>
    <w:rPr>
      <w:rFonts w:ascii="Arial" w:hAnsi="Arial"/>
    </w:rPr>
  </w:style>
  <w:style w:type="paragraph" w:customStyle="1" w:styleId="Headingnumbered1">
    <w:name w:val="Heading numbered 1."/>
    <w:basedOn w:val="Normal"/>
    <w:link w:val="Headingnumbered1Char"/>
    <w:qFormat/>
    <w:rsid w:val="004B7B5B"/>
    <w:pPr>
      <w:numPr>
        <w:numId w:val="9"/>
      </w:numPr>
      <w:spacing w:before="520" w:after="0" w:line="240" w:lineRule="auto"/>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4B7B5B"/>
    <w:rPr>
      <w:rFonts w:ascii="Lucida Fax" w:hAnsi="Lucida Fax"/>
      <w:color w:val="51626F"/>
      <w:sz w:val="32"/>
      <w:szCs w:val="32"/>
    </w:rPr>
  </w:style>
  <w:style w:type="paragraph" w:customStyle="1" w:styleId="Headingnumbered11">
    <w:name w:val="Heading numbered 1.1"/>
    <w:basedOn w:val="Normal"/>
    <w:link w:val="Headingnumbered11Char"/>
    <w:qFormat/>
    <w:rsid w:val="004B7B5B"/>
    <w:pPr>
      <w:numPr>
        <w:ilvl w:val="1"/>
        <w:numId w:val="10"/>
      </w:numPr>
      <w:spacing w:before="520" w:after="0" w:line="240" w:lineRule="auto"/>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4B7B5B"/>
    <w:rPr>
      <w:rFonts w:ascii="Arial" w:hAnsi="Arial"/>
      <w:b/>
      <w:color w:val="51626F"/>
      <w:sz w:val="28"/>
      <w:szCs w:val="24"/>
    </w:rPr>
  </w:style>
  <w:style w:type="character" w:styleId="CommentReference">
    <w:name w:val="annotation reference"/>
    <w:basedOn w:val="DefaultParagraphFont"/>
    <w:uiPriority w:val="99"/>
    <w:semiHidden/>
    <w:unhideWhenUsed/>
    <w:rsid w:val="004B7B5B"/>
    <w:rPr>
      <w:sz w:val="16"/>
      <w:szCs w:val="16"/>
    </w:rPr>
  </w:style>
  <w:style w:type="paragraph" w:styleId="CommentText">
    <w:name w:val="annotation text"/>
    <w:basedOn w:val="Normal"/>
    <w:link w:val="CommentTextChar"/>
    <w:uiPriority w:val="99"/>
    <w:semiHidden/>
    <w:unhideWhenUsed/>
    <w:rsid w:val="004B7B5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4B7B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44ADF"/>
    <w:pPr>
      <w:spacing w:after="120"/>
    </w:pPr>
    <w:rPr>
      <w:b/>
      <w:bCs/>
    </w:rPr>
  </w:style>
  <w:style w:type="character" w:customStyle="1" w:styleId="CommentSubjectChar">
    <w:name w:val="Comment Subject Char"/>
    <w:basedOn w:val="CommentTextChar"/>
    <w:link w:val="CommentSubject"/>
    <w:uiPriority w:val="99"/>
    <w:semiHidden/>
    <w:rsid w:val="00344ADF"/>
    <w:rPr>
      <w:rFonts w:ascii="Arial" w:hAnsi="Arial"/>
      <w:b/>
      <w:bCs/>
      <w:sz w:val="20"/>
      <w:szCs w:val="20"/>
    </w:rPr>
  </w:style>
  <w:style w:type="table" w:styleId="ColorfulList-Accent5">
    <w:name w:val="Colorful List Accent 5"/>
    <w:basedOn w:val="TableNormal"/>
    <w:uiPriority w:val="72"/>
    <w:rsid w:val="00E664EE"/>
    <w:pPr>
      <w:spacing w:before="0" w:after="0" w:line="240" w:lineRule="auto"/>
    </w:pPr>
    <w:rPr>
      <w:color w:val="076A92" w:themeColor="text1"/>
    </w:rPr>
    <w:tblPr>
      <w:tblStyleRowBandSize w:val="1"/>
      <w:tblStyleColBandSize w:val="1"/>
      <w:tblInd w:w="0" w:type="dxa"/>
      <w:tblCellMar>
        <w:top w:w="0" w:type="dxa"/>
        <w:left w:w="108" w:type="dxa"/>
        <w:bottom w:w="0" w:type="dxa"/>
        <w:right w:w="108" w:type="dxa"/>
      </w:tblCellMar>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59262F" w:themeFill="accent6" w:themeFillShade="CC"/>
      </w:tcPr>
    </w:tblStylePr>
    <w:tblStylePr w:type="lastRow">
      <w:rPr>
        <w:b/>
        <w:bCs/>
        <w:color w:val="59262F" w:themeColor="accent6"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paragraph" w:customStyle="1" w:styleId="Reporttitle0">
    <w:name w:val="Report title"/>
    <w:basedOn w:val="Normal"/>
    <w:link w:val="ReporttitleChar0"/>
    <w:qFormat/>
    <w:rsid w:val="00980FDB"/>
    <w:pPr>
      <w:spacing w:before="520" w:after="0" w:line="240" w:lineRule="auto"/>
    </w:pPr>
    <w:rPr>
      <w:rFonts w:ascii="Lucida Fax" w:hAnsi="Lucida Fax"/>
      <w:b/>
      <w:color w:val="4F2D7F"/>
      <w:sz w:val="56"/>
      <w:szCs w:val="56"/>
    </w:rPr>
  </w:style>
  <w:style w:type="character" w:customStyle="1" w:styleId="ReporttitleChar0">
    <w:name w:val="Report title Char"/>
    <w:basedOn w:val="DefaultParagraphFont"/>
    <w:link w:val="Reporttitle0"/>
    <w:rsid w:val="00980FDB"/>
    <w:rPr>
      <w:rFonts w:ascii="Lucida Fax" w:hAnsi="Lucida Fax"/>
      <w:b/>
      <w:color w:val="4F2D7F"/>
      <w:sz w:val="56"/>
      <w:szCs w:val="56"/>
    </w:rPr>
  </w:style>
  <w:style w:type="paragraph" w:customStyle="1" w:styleId="Chaptertitle0">
    <w:name w:val="Chapter title"/>
    <w:basedOn w:val="Reporttitle0"/>
    <w:link w:val="ChaptertitleChar0"/>
    <w:qFormat/>
    <w:rsid w:val="00980FDB"/>
    <w:rPr>
      <w:b w:val="0"/>
      <w:sz w:val="52"/>
      <w:szCs w:val="52"/>
    </w:rPr>
  </w:style>
  <w:style w:type="character" w:customStyle="1" w:styleId="ChaptertitleChar0">
    <w:name w:val="Chapter title Char"/>
    <w:basedOn w:val="ReporttitleChar0"/>
    <w:link w:val="Chaptertitle0"/>
    <w:rsid w:val="00980FDB"/>
    <w:rPr>
      <w:rFonts w:ascii="Lucida Fax" w:hAnsi="Lucida Fax"/>
      <w:b w:val="0"/>
      <w:color w:val="4F2D7F"/>
      <w:sz w:val="52"/>
      <w:szCs w:val="52"/>
    </w:rPr>
  </w:style>
  <w:style w:type="paragraph" w:customStyle="1" w:styleId="Numberedlist0">
    <w:name w:val="Numbered list"/>
    <w:basedOn w:val="ListNumber"/>
    <w:qFormat/>
    <w:rsid w:val="00980FDB"/>
    <w:pPr>
      <w:ind w:left="357" w:hanging="357"/>
    </w:pPr>
  </w:style>
  <w:style w:type="paragraph" w:customStyle="1" w:styleId="Numberedlist2">
    <w:name w:val="Numbered list 2"/>
    <w:basedOn w:val="ListNumber2"/>
    <w:qFormat/>
    <w:rsid w:val="00980FDB"/>
    <w:pPr>
      <w:numPr>
        <w:numId w:val="19"/>
      </w:numPr>
    </w:pPr>
  </w:style>
  <w:style w:type="paragraph" w:customStyle="1" w:styleId="Copyrighttext">
    <w:name w:val="Copyright text"/>
    <w:basedOn w:val="Normal"/>
    <w:link w:val="CopyrighttextChar"/>
    <w:qFormat/>
    <w:rsid w:val="00980FDB"/>
    <w:pPr>
      <w:spacing w:after="0" w:line="240" w:lineRule="auto"/>
      <w:ind w:left="1225"/>
      <w:contextualSpacing/>
    </w:pPr>
    <w:rPr>
      <w:sz w:val="16"/>
      <w:szCs w:val="16"/>
    </w:rPr>
  </w:style>
  <w:style w:type="character" w:customStyle="1" w:styleId="CopyrighttextChar">
    <w:name w:val="Copyright text Char"/>
    <w:basedOn w:val="DefaultParagraphFont"/>
    <w:link w:val="Copyrighttext"/>
    <w:rsid w:val="00980FDB"/>
    <w:rPr>
      <w:rFonts w:ascii="Arial" w:hAnsi="Arial"/>
      <w:sz w:val="16"/>
      <w:szCs w:val="16"/>
    </w:rPr>
  </w:style>
  <w:style w:type="paragraph" w:customStyle="1" w:styleId="TableofcontentsTOCheading">
    <w:name w:val="Table of contents (TOC) heading"/>
    <w:basedOn w:val="Normal"/>
    <w:link w:val="TableofcontentsTOCheadingChar"/>
    <w:qFormat/>
    <w:rsid w:val="00980FDB"/>
    <w:pPr>
      <w:spacing w:before="240" w:line="240" w:lineRule="auto"/>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980FDB"/>
    <w:rPr>
      <w:rFonts w:ascii="Arial" w:hAnsi="Arial"/>
      <w:b/>
      <w:sz w:val="20"/>
      <w:szCs w:val="20"/>
    </w:rPr>
  </w:style>
  <w:style w:type="paragraph" w:customStyle="1" w:styleId="Tableofcontentstext">
    <w:name w:val="Table of contents text"/>
    <w:basedOn w:val="Normal"/>
    <w:link w:val="TableofcontentstextChar"/>
    <w:qFormat/>
    <w:rsid w:val="00980FDB"/>
    <w:pPr>
      <w:spacing w:after="0" w:line="240" w:lineRule="auto"/>
      <w:ind w:left="1225"/>
      <w:contextualSpacing/>
    </w:pPr>
    <w:rPr>
      <w:sz w:val="20"/>
      <w:szCs w:val="20"/>
    </w:rPr>
  </w:style>
  <w:style w:type="character" w:customStyle="1" w:styleId="TableofcontentstextChar">
    <w:name w:val="Table of contents text Char"/>
    <w:basedOn w:val="DefaultParagraphFont"/>
    <w:link w:val="Tableofcontentstext"/>
    <w:rsid w:val="00980FDB"/>
    <w:rPr>
      <w:rFonts w:ascii="Arial" w:hAnsi="Arial"/>
      <w:sz w:val="20"/>
      <w:szCs w:val="20"/>
    </w:rPr>
  </w:style>
  <w:style w:type="paragraph" w:customStyle="1" w:styleId="Headingnumbered111">
    <w:name w:val="Heading numbered 1.1.1"/>
    <w:basedOn w:val="Normal"/>
    <w:link w:val="Headingnumbered111Char"/>
    <w:qFormat/>
    <w:rsid w:val="00980FDB"/>
    <w:pPr>
      <w:numPr>
        <w:ilvl w:val="2"/>
        <w:numId w:val="13"/>
      </w:numPr>
      <w:spacing w:before="240" w:after="240" w:line="240" w:lineRule="auto"/>
      <w:contextualSpacing/>
      <w:outlineLvl w:val="3"/>
    </w:pPr>
    <w:rPr>
      <w:sz w:val="24"/>
      <w:szCs w:val="24"/>
    </w:rPr>
  </w:style>
  <w:style w:type="character" w:customStyle="1" w:styleId="Headingnumbered111Char">
    <w:name w:val="Heading numbered 1.1.1 Char"/>
    <w:basedOn w:val="DefaultParagraphFont"/>
    <w:link w:val="Headingnumbered111"/>
    <w:rsid w:val="00980FDB"/>
    <w:rPr>
      <w:rFonts w:ascii="Arial" w:hAnsi="Arial"/>
      <w:sz w:val="24"/>
      <w:szCs w:val="24"/>
    </w:rPr>
  </w:style>
  <w:style w:type="paragraph" w:customStyle="1" w:styleId="Tableheadingtext">
    <w:name w:val="Table heading text"/>
    <w:basedOn w:val="Normal"/>
    <w:link w:val="TableheadingtextChar"/>
    <w:qFormat/>
    <w:rsid w:val="00980FDB"/>
    <w:pPr>
      <w:spacing w:before="240" w:after="240" w:line="240" w:lineRule="auto"/>
      <w:contextualSpacing/>
    </w:pPr>
    <w:rPr>
      <w:b/>
      <w:sz w:val="20"/>
      <w:szCs w:val="20"/>
    </w:rPr>
  </w:style>
  <w:style w:type="character" w:customStyle="1" w:styleId="TableheadingtextChar">
    <w:name w:val="Table heading text Char"/>
    <w:basedOn w:val="DefaultParagraphFont"/>
    <w:link w:val="Tableheadingtext"/>
    <w:rsid w:val="00980FDB"/>
    <w:rPr>
      <w:rFonts w:ascii="Arial" w:hAnsi="Arial"/>
      <w:b/>
      <w:sz w:val="20"/>
      <w:szCs w:val="20"/>
    </w:rPr>
  </w:style>
  <w:style w:type="paragraph" w:customStyle="1" w:styleId="Tablebodytext">
    <w:name w:val="Table body text"/>
    <w:basedOn w:val="Normal"/>
    <w:link w:val="TablebodytextChar"/>
    <w:qFormat/>
    <w:rsid w:val="00980FDB"/>
    <w:pPr>
      <w:spacing w:after="0" w:line="240" w:lineRule="auto"/>
      <w:ind w:left="1225"/>
      <w:contextualSpacing/>
    </w:pPr>
    <w:rPr>
      <w:sz w:val="20"/>
    </w:rPr>
  </w:style>
  <w:style w:type="character" w:customStyle="1" w:styleId="TablebodytextChar">
    <w:name w:val="Table body text Char"/>
    <w:basedOn w:val="DefaultParagraphFont"/>
    <w:link w:val="Tablebodytext"/>
    <w:rsid w:val="00980FDB"/>
    <w:rPr>
      <w:rFonts w:ascii="Arial" w:hAnsi="Arial"/>
      <w:sz w:val="20"/>
    </w:rPr>
  </w:style>
  <w:style w:type="paragraph" w:customStyle="1" w:styleId="Chartheading0">
    <w:name w:val="Chart heading"/>
    <w:basedOn w:val="Normal"/>
    <w:link w:val="ChartheadingChar0"/>
    <w:qFormat/>
    <w:rsid w:val="00980FDB"/>
    <w:pPr>
      <w:spacing w:before="240" w:after="240" w:line="240" w:lineRule="auto"/>
      <w:contextualSpacing/>
    </w:pPr>
    <w:rPr>
      <w:b/>
      <w:sz w:val="20"/>
      <w:szCs w:val="20"/>
    </w:rPr>
  </w:style>
  <w:style w:type="character" w:customStyle="1" w:styleId="ChartheadingChar0">
    <w:name w:val="Chart heading Char"/>
    <w:basedOn w:val="DefaultParagraphFont"/>
    <w:link w:val="Chartheading0"/>
    <w:rsid w:val="00980FDB"/>
    <w:rPr>
      <w:rFonts w:ascii="Arial" w:hAnsi="Arial"/>
      <w:b/>
      <w:sz w:val="20"/>
      <w:szCs w:val="20"/>
    </w:rPr>
  </w:style>
  <w:style w:type="paragraph" w:customStyle="1" w:styleId="Boxedtextheading">
    <w:name w:val="Boxed text heading"/>
    <w:basedOn w:val="Normal"/>
    <w:link w:val="BoxedtextheadingChar"/>
    <w:qFormat/>
    <w:rsid w:val="00980FDB"/>
    <w:pPr>
      <w:pBdr>
        <w:top w:val="single" w:sz="4" w:space="4" w:color="auto"/>
        <w:left w:val="single" w:sz="4" w:space="4" w:color="auto"/>
        <w:bottom w:val="single" w:sz="4" w:space="4" w:color="auto"/>
        <w:right w:val="single" w:sz="4" w:space="4" w:color="auto"/>
      </w:pBdr>
      <w:spacing w:before="240" w:after="240" w:line="240" w:lineRule="auto"/>
      <w:contextualSpacing/>
    </w:pPr>
    <w:rPr>
      <w:b/>
      <w:sz w:val="20"/>
      <w:szCs w:val="20"/>
    </w:rPr>
  </w:style>
  <w:style w:type="character" w:customStyle="1" w:styleId="BoxedtextheadingChar">
    <w:name w:val="Boxed text heading Char"/>
    <w:basedOn w:val="DefaultParagraphFont"/>
    <w:link w:val="Boxedtextheading"/>
    <w:rsid w:val="00980FDB"/>
    <w:rPr>
      <w:rFonts w:ascii="Arial" w:hAnsi="Arial"/>
      <w:b/>
      <w:sz w:val="20"/>
      <w:szCs w:val="20"/>
    </w:rPr>
  </w:style>
  <w:style w:type="paragraph" w:customStyle="1" w:styleId="Boxedtext0">
    <w:name w:val="Boxed text"/>
    <w:basedOn w:val="Normal"/>
    <w:link w:val="BoxedtextChar0"/>
    <w:qFormat/>
    <w:rsid w:val="00980FDB"/>
    <w:pPr>
      <w:pBdr>
        <w:top w:val="single" w:sz="4" w:space="4" w:color="auto"/>
        <w:left w:val="single" w:sz="4" w:space="4" w:color="auto"/>
        <w:bottom w:val="single" w:sz="4" w:space="4" w:color="auto"/>
        <w:right w:val="single" w:sz="4" w:space="4" w:color="auto"/>
      </w:pBdr>
      <w:spacing w:after="0" w:line="240" w:lineRule="auto"/>
      <w:contextualSpacing/>
    </w:pPr>
    <w:rPr>
      <w:sz w:val="20"/>
      <w:szCs w:val="20"/>
    </w:rPr>
  </w:style>
  <w:style w:type="character" w:customStyle="1" w:styleId="BoxedtextChar0">
    <w:name w:val="Boxed text Char"/>
    <w:basedOn w:val="DefaultParagraphFont"/>
    <w:link w:val="Boxedtext0"/>
    <w:rsid w:val="00980FDB"/>
    <w:rPr>
      <w:rFonts w:ascii="Arial" w:hAnsi="Arial"/>
      <w:sz w:val="20"/>
      <w:szCs w:val="20"/>
    </w:rPr>
  </w:style>
  <w:style w:type="paragraph" w:customStyle="1" w:styleId="Pullquoteheading">
    <w:name w:val="Pull quote heading"/>
    <w:basedOn w:val="Normal"/>
    <w:link w:val="PullquoteheadingChar"/>
    <w:qFormat/>
    <w:rsid w:val="00980FDB"/>
    <w:pPr>
      <w:spacing w:line="240" w:lineRule="auto"/>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980FDB"/>
    <w:rPr>
      <w:rFonts w:ascii="Lucida Fax" w:hAnsi="Lucida Fax"/>
      <w:b/>
      <w:color w:val="DC5034"/>
      <w:sz w:val="24"/>
      <w:szCs w:val="24"/>
    </w:rPr>
  </w:style>
  <w:style w:type="paragraph" w:customStyle="1" w:styleId="Pullquotetext">
    <w:name w:val="Pull quote text"/>
    <w:basedOn w:val="Pullquoteheading"/>
    <w:link w:val="PullquotetextChar"/>
    <w:qFormat/>
    <w:rsid w:val="00980FDB"/>
    <w:rPr>
      <w:b w:val="0"/>
    </w:rPr>
  </w:style>
  <w:style w:type="character" w:customStyle="1" w:styleId="PullquotetextChar">
    <w:name w:val="Pull quote text Char"/>
    <w:basedOn w:val="PullquoteheadingChar"/>
    <w:link w:val="Pullquotetext"/>
    <w:rsid w:val="00980FDB"/>
    <w:rPr>
      <w:rFonts w:ascii="Lucida Fax" w:hAnsi="Lucida Fax"/>
      <w:b w:val="0"/>
      <w:color w:val="DC5034"/>
      <w:sz w:val="24"/>
      <w:szCs w:val="24"/>
    </w:rPr>
  </w:style>
  <w:style w:type="paragraph" w:customStyle="1" w:styleId="Footnotes">
    <w:name w:val="Footnotes"/>
    <w:basedOn w:val="Normal"/>
    <w:link w:val="FootnotesChar"/>
    <w:qFormat/>
    <w:rsid w:val="00980FDB"/>
    <w:pPr>
      <w:spacing w:before="60" w:after="0" w:line="240" w:lineRule="auto"/>
      <w:contextualSpacing/>
    </w:pPr>
    <w:rPr>
      <w:sz w:val="16"/>
      <w:szCs w:val="16"/>
    </w:rPr>
  </w:style>
  <w:style w:type="character" w:customStyle="1" w:styleId="FootnotesChar">
    <w:name w:val="Footnotes Char"/>
    <w:basedOn w:val="DefaultParagraphFont"/>
    <w:link w:val="Footnotes"/>
    <w:rsid w:val="00980FDB"/>
    <w:rPr>
      <w:rFonts w:ascii="Arial" w:hAnsi="Arial"/>
      <w:sz w:val="16"/>
      <w:szCs w:val="16"/>
    </w:rPr>
  </w:style>
  <w:style w:type="paragraph" w:customStyle="1" w:styleId="Charttext0">
    <w:name w:val="Chart text"/>
    <w:basedOn w:val="Normal"/>
    <w:qFormat/>
    <w:rsid w:val="00980FDB"/>
    <w:pPr>
      <w:spacing w:line="240" w:lineRule="auto"/>
    </w:pPr>
    <w:rPr>
      <w:sz w:val="20"/>
    </w:rPr>
  </w:style>
  <w:style w:type="paragraph" w:customStyle="1" w:styleId="Bulletpoint">
    <w:name w:val="Bullet point"/>
    <w:basedOn w:val="ListBullet"/>
    <w:qFormat/>
    <w:rsid w:val="00980FDB"/>
    <w:rPr>
      <w:rFonts w:cs="Times New Roman"/>
    </w:rPr>
  </w:style>
  <w:style w:type="paragraph" w:styleId="ListBullet">
    <w:name w:val="List Bullet"/>
    <w:basedOn w:val="Normal"/>
    <w:uiPriority w:val="99"/>
    <w:semiHidden/>
    <w:unhideWhenUsed/>
    <w:rsid w:val="00980FDB"/>
    <w:pPr>
      <w:numPr>
        <w:numId w:val="14"/>
      </w:numPr>
      <w:spacing w:after="0" w:line="240" w:lineRule="auto"/>
      <w:contextualSpacing/>
    </w:pPr>
  </w:style>
  <w:style w:type="paragraph" w:customStyle="1" w:styleId="Bulletpoint2">
    <w:name w:val="Bullet point 2"/>
    <w:basedOn w:val="ListBullet2"/>
    <w:qFormat/>
    <w:rsid w:val="00980FDB"/>
    <w:pPr>
      <w:numPr>
        <w:numId w:val="18"/>
      </w:numPr>
    </w:pPr>
  </w:style>
  <w:style w:type="paragraph" w:styleId="ListNumber">
    <w:name w:val="List Number"/>
    <w:basedOn w:val="Normal"/>
    <w:uiPriority w:val="99"/>
    <w:semiHidden/>
    <w:unhideWhenUsed/>
    <w:rsid w:val="00980FDB"/>
    <w:pPr>
      <w:numPr>
        <w:numId w:val="16"/>
      </w:numPr>
      <w:spacing w:after="0" w:line="240" w:lineRule="auto"/>
      <w:contextualSpacing/>
    </w:pPr>
  </w:style>
  <w:style w:type="paragraph" w:styleId="ListBullet2">
    <w:name w:val="List Bullet 2"/>
    <w:basedOn w:val="Normal"/>
    <w:uiPriority w:val="99"/>
    <w:semiHidden/>
    <w:unhideWhenUsed/>
    <w:rsid w:val="00980FDB"/>
    <w:pPr>
      <w:numPr>
        <w:numId w:val="15"/>
      </w:numPr>
      <w:spacing w:after="0" w:line="240" w:lineRule="auto"/>
      <w:contextualSpacing/>
    </w:pPr>
  </w:style>
  <w:style w:type="paragraph" w:styleId="ListNumber2">
    <w:name w:val="List Number 2"/>
    <w:basedOn w:val="Normal"/>
    <w:uiPriority w:val="99"/>
    <w:semiHidden/>
    <w:unhideWhenUsed/>
    <w:rsid w:val="00980FDB"/>
    <w:pPr>
      <w:numPr>
        <w:numId w:val="17"/>
      </w:numPr>
      <w:spacing w:after="0" w:line="240" w:lineRule="auto"/>
      <w:contextualSpacing/>
    </w:pPr>
  </w:style>
  <w:style w:type="paragraph" w:customStyle="1" w:styleId="Default">
    <w:name w:val="Default"/>
    <w:basedOn w:val="Normal"/>
    <w:uiPriority w:val="99"/>
    <w:rsid w:val="00980FDB"/>
    <w:pPr>
      <w:autoSpaceDE w:val="0"/>
      <w:autoSpaceDN w:val="0"/>
      <w:spacing w:before="0" w:after="0" w:line="240" w:lineRule="auto"/>
    </w:pPr>
    <w:rPr>
      <w:rFonts w:eastAsia="Calibri" w:cs="Arial"/>
      <w:color w:val="000000"/>
      <w:sz w:val="24"/>
      <w:szCs w:val="24"/>
    </w:rPr>
  </w:style>
  <w:style w:type="paragraph" w:styleId="NormalWeb">
    <w:name w:val="Normal (Web)"/>
    <w:basedOn w:val="Normal"/>
    <w:uiPriority w:val="99"/>
    <w:semiHidden/>
    <w:unhideWhenUsed/>
    <w:rsid w:val="00980FDB"/>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ColorfulList-Accent51">
    <w:name w:val="Colorful List - Accent 51"/>
    <w:basedOn w:val="TableNormal"/>
    <w:next w:val="ColorfulList-Accent5"/>
    <w:uiPriority w:val="72"/>
    <w:rsid w:val="00A72524"/>
    <w:pPr>
      <w:spacing w:before="0"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511">
    <w:name w:val="Colorful List - Accent 511"/>
    <w:basedOn w:val="TableNormal"/>
    <w:next w:val="ColorfulList-Accent5"/>
    <w:uiPriority w:val="72"/>
    <w:rsid w:val="00A72524"/>
    <w:pPr>
      <w:spacing w:before="0"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TOC8">
    <w:name w:val="toc 8"/>
    <w:basedOn w:val="Normal"/>
    <w:next w:val="Normal"/>
    <w:uiPriority w:val="39"/>
    <w:rsid w:val="00FA7EFA"/>
    <w:pPr>
      <w:tabs>
        <w:tab w:val="right" w:leader="dot" w:pos="9016"/>
      </w:tabs>
      <w:spacing w:after="100" w:line="240" w:lineRule="atLeast"/>
      <w:ind w:left="2977"/>
    </w:pPr>
    <w:rPr>
      <w:noProof/>
    </w:rPr>
  </w:style>
  <w:style w:type="paragraph" w:styleId="TOC9">
    <w:name w:val="toc 9"/>
    <w:basedOn w:val="Normal"/>
    <w:next w:val="Normal"/>
    <w:uiPriority w:val="39"/>
    <w:rsid w:val="00FA7EFA"/>
    <w:pPr>
      <w:tabs>
        <w:tab w:val="right" w:leader="dot" w:pos="9016"/>
      </w:tabs>
      <w:spacing w:after="100" w:line="240" w:lineRule="atLeast"/>
      <w:ind w:left="3402"/>
    </w:pPr>
    <w:rPr>
      <w:noProof/>
    </w:rPr>
  </w:style>
  <w:style w:type="paragraph" w:styleId="TOC4">
    <w:name w:val="toc 4"/>
    <w:basedOn w:val="Normal"/>
    <w:next w:val="Normal"/>
    <w:uiPriority w:val="39"/>
    <w:rsid w:val="00FA7EFA"/>
    <w:pPr>
      <w:tabs>
        <w:tab w:val="right" w:leader="dot" w:pos="9016"/>
      </w:tabs>
      <w:spacing w:after="100" w:line="240" w:lineRule="atLeast"/>
      <w:ind w:left="1276"/>
    </w:pPr>
    <w:rPr>
      <w:noProof/>
    </w:rPr>
  </w:style>
  <w:style w:type="paragraph" w:styleId="TOC5">
    <w:name w:val="toc 5"/>
    <w:basedOn w:val="Normal"/>
    <w:next w:val="Normal"/>
    <w:uiPriority w:val="39"/>
    <w:rsid w:val="00FA7EFA"/>
    <w:pPr>
      <w:tabs>
        <w:tab w:val="right" w:leader="dot" w:pos="9016"/>
      </w:tabs>
      <w:spacing w:after="100" w:line="240" w:lineRule="atLeast"/>
      <w:ind w:left="1701"/>
    </w:pPr>
    <w:rPr>
      <w:noProof/>
    </w:rPr>
  </w:style>
  <w:style w:type="paragraph" w:styleId="TOC6">
    <w:name w:val="toc 6"/>
    <w:basedOn w:val="Normal"/>
    <w:next w:val="Normal"/>
    <w:uiPriority w:val="39"/>
    <w:rsid w:val="00FA7EFA"/>
    <w:pPr>
      <w:tabs>
        <w:tab w:val="right" w:leader="dot" w:pos="9016"/>
      </w:tabs>
      <w:spacing w:after="100" w:line="240" w:lineRule="atLeast"/>
      <w:ind w:left="2127"/>
    </w:pPr>
    <w:rPr>
      <w:noProof/>
    </w:rPr>
  </w:style>
  <w:style w:type="paragraph" w:styleId="TOC7">
    <w:name w:val="toc 7"/>
    <w:basedOn w:val="Normal"/>
    <w:next w:val="Normal"/>
    <w:uiPriority w:val="39"/>
    <w:rsid w:val="00FA7EFA"/>
    <w:pPr>
      <w:tabs>
        <w:tab w:val="right" w:leader="dot" w:pos="9016"/>
      </w:tabs>
      <w:spacing w:after="100" w:line="240" w:lineRule="atLeast"/>
      <w:ind w:left="2552"/>
    </w:pPr>
    <w:rPr>
      <w:noProof/>
    </w:rPr>
  </w:style>
  <w:style w:type="paragraph" w:styleId="Revision">
    <w:name w:val="Revision"/>
    <w:hidden/>
    <w:uiPriority w:val="99"/>
    <w:semiHidden/>
    <w:rsid w:val="00FC31C3"/>
    <w:pPr>
      <w:spacing w:before="0"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1DE6"/>
    <w:rPr>
      <w:rFonts w:ascii="Arial" w:hAnsi="Arial"/>
    </w:rPr>
  </w:style>
  <w:style w:type="paragraph" w:styleId="Heading1">
    <w:name w:val="heading 1"/>
    <w:basedOn w:val="Normal"/>
    <w:next w:val="Normal"/>
    <w:link w:val="Heading1Char"/>
    <w:uiPriority w:val="9"/>
    <w:qFormat/>
    <w:rsid w:val="00A178CC"/>
    <w:pPr>
      <w:keepNext/>
      <w:keepLines/>
      <w:pageBreakBefore/>
      <w:spacing w:before="240"/>
      <w:ind w:left="432" w:hanging="432"/>
      <w:outlineLvl w:val="0"/>
    </w:pPr>
    <w:rPr>
      <w:rFonts w:eastAsiaTheme="majorEastAsia" w:cs="Arial"/>
      <w:b/>
      <w:bCs/>
      <w:color w:val="70635A"/>
      <w:sz w:val="36"/>
      <w:szCs w:val="36"/>
    </w:rPr>
  </w:style>
  <w:style w:type="paragraph" w:styleId="Heading2">
    <w:name w:val="heading 2"/>
    <w:basedOn w:val="Normal"/>
    <w:next w:val="Normal"/>
    <w:link w:val="Heading2Char"/>
    <w:uiPriority w:val="9"/>
    <w:unhideWhenUsed/>
    <w:qFormat/>
    <w:rsid w:val="00A178CC"/>
    <w:pPr>
      <w:keepNext/>
      <w:keepLines/>
      <w:spacing w:before="240"/>
      <w:ind w:left="576" w:hanging="576"/>
      <w:outlineLvl w:val="1"/>
    </w:pPr>
    <w:rPr>
      <w:rFonts w:eastAsiaTheme="majorEastAsia" w:cs="Arial"/>
      <w:b/>
      <w:bCs/>
      <w:color w:val="70635A"/>
      <w:sz w:val="32"/>
      <w:szCs w:val="32"/>
    </w:rPr>
  </w:style>
  <w:style w:type="paragraph" w:styleId="Heading3">
    <w:name w:val="heading 3"/>
    <w:basedOn w:val="Normal"/>
    <w:next w:val="Normal"/>
    <w:link w:val="Heading3Char"/>
    <w:uiPriority w:val="9"/>
    <w:unhideWhenUsed/>
    <w:qFormat/>
    <w:rsid w:val="00A178CC"/>
    <w:pPr>
      <w:keepNext/>
      <w:keepLines/>
      <w:spacing w:before="240"/>
      <w:ind w:left="720" w:hanging="720"/>
      <w:outlineLvl w:val="2"/>
    </w:pPr>
    <w:rPr>
      <w:rFonts w:eastAsiaTheme="majorEastAsia" w:cs="Arial"/>
      <w:b/>
      <w:bCs/>
      <w:color w:val="70635A"/>
      <w:sz w:val="28"/>
      <w:szCs w:val="28"/>
    </w:rPr>
  </w:style>
  <w:style w:type="paragraph" w:styleId="Heading4">
    <w:name w:val="heading 4"/>
    <w:basedOn w:val="Normal"/>
    <w:next w:val="Normal"/>
    <w:link w:val="Heading4Char"/>
    <w:uiPriority w:val="9"/>
    <w:unhideWhenUsed/>
    <w:qFormat/>
    <w:rsid w:val="00A178CC"/>
    <w:pPr>
      <w:keepNext/>
      <w:keepLines/>
      <w:spacing w:before="240"/>
      <w:ind w:left="864" w:hanging="864"/>
      <w:outlineLvl w:val="3"/>
    </w:pPr>
    <w:rPr>
      <w:rFonts w:eastAsiaTheme="majorEastAsia" w:cs="Arial"/>
      <w:b/>
      <w:bCs/>
      <w:iCs/>
      <w:color w:val="70635A"/>
      <w:sz w:val="24"/>
      <w:szCs w:val="24"/>
    </w:rPr>
  </w:style>
  <w:style w:type="paragraph" w:styleId="Heading5">
    <w:name w:val="heading 5"/>
    <w:basedOn w:val="Normal"/>
    <w:next w:val="Normal"/>
    <w:link w:val="Heading5Char"/>
    <w:uiPriority w:val="9"/>
    <w:unhideWhenUsed/>
    <w:qFormat/>
    <w:rsid w:val="00A178CC"/>
    <w:pPr>
      <w:keepNext/>
      <w:keepLines/>
      <w:spacing w:before="240"/>
      <w:ind w:left="1008" w:hanging="1008"/>
      <w:outlineLvl w:val="4"/>
    </w:pPr>
    <w:rPr>
      <w:rFonts w:eastAsiaTheme="majorEastAsia" w:cs="Arial"/>
      <w:b/>
      <w:szCs w:val="24"/>
    </w:rPr>
  </w:style>
  <w:style w:type="paragraph" w:styleId="Heading6">
    <w:name w:val="heading 6"/>
    <w:basedOn w:val="Normal"/>
    <w:next w:val="Normal"/>
    <w:link w:val="Heading6Char"/>
    <w:uiPriority w:val="9"/>
    <w:unhideWhenUsed/>
    <w:qFormat/>
    <w:rsid w:val="00A178CC"/>
    <w:pPr>
      <w:keepNext/>
      <w:keepLines/>
      <w:spacing w:before="240"/>
      <w:ind w:left="1152" w:hanging="1152"/>
      <w:outlineLvl w:val="5"/>
    </w:pPr>
    <w:rPr>
      <w:rFonts w:eastAsiaTheme="majorEastAsia" w:cs="Arial"/>
      <w:b/>
      <w:i/>
      <w:iCs/>
      <w:color w:val="076A92"/>
      <w:szCs w:val="24"/>
    </w:rPr>
  </w:style>
  <w:style w:type="paragraph" w:styleId="Heading7">
    <w:name w:val="heading 7"/>
    <w:basedOn w:val="Normal"/>
    <w:next w:val="Normal"/>
    <w:link w:val="Heading7Char"/>
    <w:uiPriority w:val="9"/>
    <w:semiHidden/>
    <w:unhideWhenUsed/>
    <w:rsid w:val="00A94A4E"/>
    <w:pPr>
      <w:keepNext/>
      <w:keepLines/>
      <w:spacing w:before="200" w:after="0"/>
      <w:outlineLvl w:val="6"/>
    </w:pPr>
    <w:rPr>
      <w:rFonts w:asciiTheme="majorHAnsi" w:eastAsiaTheme="majorEastAsia" w:hAnsiTheme="majorHAnsi" w:cstheme="majorBidi"/>
      <w:i/>
      <w:iCs/>
      <w:color w:val="0BA7E7" w:themeColor="text1" w:themeTint="BF"/>
    </w:rPr>
  </w:style>
  <w:style w:type="paragraph" w:styleId="Heading8">
    <w:name w:val="heading 8"/>
    <w:basedOn w:val="Normal"/>
    <w:next w:val="Normal"/>
    <w:link w:val="Heading8Char"/>
    <w:uiPriority w:val="9"/>
    <w:semiHidden/>
    <w:unhideWhenUsed/>
    <w:qFormat/>
    <w:rsid w:val="00A94A4E"/>
    <w:pPr>
      <w:keepNext/>
      <w:keepLines/>
      <w:spacing w:before="200" w:after="0"/>
      <w:outlineLvl w:val="7"/>
    </w:pPr>
    <w:rPr>
      <w:rFonts w:asciiTheme="majorHAnsi" w:eastAsiaTheme="majorEastAsia" w:hAnsiTheme="majorHAnsi" w:cstheme="majorBidi"/>
      <w:color w:val="0BA7E7" w:themeColor="text1" w:themeTint="BF"/>
      <w:sz w:val="20"/>
      <w:szCs w:val="20"/>
    </w:rPr>
  </w:style>
  <w:style w:type="paragraph" w:styleId="Heading9">
    <w:name w:val="heading 9"/>
    <w:basedOn w:val="Normal"/>
    <w:next w:val="Normal"/>
    <w:link w:val="Heading9Char"/>
    <w:uiPriority w:val="9"/>
    <w:semiHidden/>
    <w:unhideWhenUsed/>
    <w:qFormat/>
    <w:rsid w:val="00A94A4E"/>
    <w:pPr>
      <w:keepNext/>
      <w:keepLines/>
      <w:spacing w:before="200" w:after="0"/>
      <w:outlineLvl w:val="8"/>
    </w:pPr>
    <w:rPr>
      <w:rFonts w:asciiTheme="majorHAnsi" w:eastAsiaTheme="majorEastAsia" w:hAnsiTheme="majorHAnsi" w:cstheme="majorBidi"/>
      <w:i/>
      <w:iCs/>
      <w:color w:val="0BA7E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right">
    <w:name w:val="Copyright"/>
    <w:basedOn w:val="Normal"/>
    <w:next w:val="Normal"/>
    <w:link w:val="CopyrightChar"/>
    <w:qFormat/>
    <w:rsid w:val="002D4DAB"/>
    <w:pPr>
      <w:spacing w:before="5680" w:line="288" w:lineRule="auto"/>
      <w:contextualSpacing/>
    </w:pPr>
    <w:rPr>
      <w:sz w:val="20"/>
      <w:szCs w:val="20"/>
    </w:rPr>
  </w:style>
  <w:style w:type="paragraph" w:customStyle="1" w:styleId="TOCText">
    <w:name w:val="TOC Text"/>
    <w:basedOn w:val="Normal"/>
    <w:next w:val="Normal"/>
    <w:rsid w:val="00B801CA"/>
  </w:style>
  <w:style w:type="paragraph" w:customStyle="1" w:styleId="ReportTitle">
    <w:name w:val="Report Title"/>
    <w:basedOn w:val="Normal"/>
    <w:next w:val="Normal"/>
    <w:link w:val="ReportTitleChar"/>
    <w:qFormat/>
    <w:rsid w:val="00FC3E6B"/>
    <w:pPr>
      <w:spacing w:before="6240"/>
      <w:contextualSpacing/>
      <w:jc w:val="center"/>
    </w:pPr>
    <w:rPr>
      <w:b/>
      <w:sz w:val="72"/>
      <w:szCs w:val="72"/>
    </w:rPr>
  </w:style>
  <w:style w:type="paragraph" w:customStyle="1" w:styleId="ChapterTitle">
    <w:name w:val="Chapter Title"/>
    <w:basedOn w:val="Heading1"/>
    <w:next w:val="Normal"/>
    <w:link w:val="ChapterTitleChar"/>
    <w:qFormat/>
    <w:rsid w:val="00CC659E"/>
    <w:rPr>
      <w:color w:val="070692"/>
      <w:sz w:val="52"/>
    </w:rPr>
  </w:style>
  <w:style w:type="character" w:customStyle="1" w:styleId="Heading1Char">
    <w:name w:val="Heading 1 Char"/>
    <w:basedOn w:val="DefaultParagraphFont"/>
    <w:link w:val="Heading1"/>
    <w:uiPriority w:val="9"/>
    <w:rsid w:val="00A178CC"/>
    <w:rPr>
      <w:rFonts w:ascii="Arial" w:eastAsiaTheme="majorEastAsia" w:hAnsi="Arial" w:cs="Arial"/>
      <w:b/>
      <w:bCs/>
      <w:color w:val="70635A"/>
      <w:sz w:val="36"/>
      <w:szCs w:val="36"/>
    </w:rPr>
  </w:style>
  <w:style w:type="character" w:customStyle="1" w:styleId="Heading2Char">
    <w:name w:val="Heading 2 Char"/>
    <w:basedOn w:val="DefaultParagraphFont"/>
    <w:link w:val="Heading2"/>
    <w:uiPriority w:val="9"/>
    <w:rsid w:val="00A178CC"/>
    <w:rPr>
      <w:rFonts w:ascii="Arial" w:eastAsiaTheme="majorEastAsia" w:hAnsi="Arial" w:cs="Arial"/>
      <w:b/>
      <w:bCs/>
      <w:color w:val="70635A"/>
      <w:sz w:val="32"/>
      <w:szCs w:val="32"/>
    </w:rPr>
  </w:style>
  <w:style w:type="character" w:customStyle="1" w:styleId="Heading3Char">
    <w:name w:val="Heading 3 Char"/>
    <w:basedOn w:val="DefaultParagraphFont"/>
    <w:link w:val="Heading3"/>
    <w:uiPriority w:val="9"/>
    <w:rsid w:val="00A178CC"/>
    <w:rPr>
      <w:rFonts w:ascii="Arial" w:eastAsiaTheme="majorEastAsia" w:hAnsi="Arial" w:cs="Arial"/>
      <w:b/>
      <w:bCs/>
      <w:color w:val="70635A"/>
      <w:sz w:val="28"/>
      <w:szCs w:val="28"/>
    </w:rPr>
  </w:style>
  <w:style w:type="character" w:customStyle="1" w:styleId="Heading4Char">
    <w:name w:val="Heading 4 Char"/>
    <w:basedOn w:val="DefaultParagraphFont"/>
    <w:link w:val="Heading4"/>
    <w:uiPriority w:val="9"/>
    <w:rsid w:val="00A178CC"/>
    <w:rPr>
      <w:rFonts w:ascii="Arial" w:eastAsiaTheme="majorEastAsia" w:hAnsi="Arial" w:cs="Arial"/>
      <w:b/>
      <w:bCs/>
      <w:iCs/>
      <w:color w:val="70635A"/>
      <w:sz w:val="24"/>
      <w:szCs w:val="24"/>
    </w:rPr>
  </w:style>
  <w:style w:type="character" w:customStyle="1" w:styleId="Heading5Char">
    <w:name w:val="Heading 5 Char"/>
    <w:basedOn w:val="DefaultParagraphFont"/>
    <w:link w:val="Heading5"/>
    <w:uiPriority w:val="9"/>
    <w:rsid w:val="00A178CC"/>
    <w:rPr>
      <w:rFonts w:ascii="Arial" w:eastAsiaTheme="majorEastAsia" w:hAnsi="Arial" w:cs="Arial"/>
      <w:b/>
      <w:szCs w:val="24"/>
    </w:rPr>
  </w:style>
  <w:style w:type="character" w:customStyle="1" w:styleId="Heading6Char">
    <w:name w:val="Heading 6 Char"/>
    <w:basedOn w:val="DefaultParagraphFont"/>
    <w:link w:val="Heading6"/>
    <w:uiPriority w:val="9"/>
    <w:rsid w:val="00A178CC"/>
    <w:rPr>
      <w:rFonts w:ascii="Arial" w:eastAsiaTheme="majorEastAsia" w:hAnsi="Arial" w:cs="Arial"/>
      <w:b/>
      <w:i/>
      <w:iCs/>
      <w:color w:val="076A92"/>
      <w:szCs w:val="24"/>
    </w:rPr>
  </w:style>
  <w:style w:type="paragraph" w:styleId="ListParagraph">
    <w:name w:val="List Paragraph"/>
    <w:basedOn w:val="Normal"/>
    <w:link w:val="ListParagraphChar"/>
    <w:uiPriority w:val="34"/>
    <w:qFormat/>
    <w:rsid w:val="006A5214"/>
    <w:pPr>
      <w:ind w:left="720"/>
      <w:contextualSpacing/>
    </w:pPr>
  </w:style>
  <w:style w:type="paragraph" w:customStyle="1" w:styleId="NumberedListStyle">
    <w:name w:val="Numbered List Style"/>
    <w:basedOn w:val="ListParagraph"/>
    <w:link w:val="NumberedListStyleChar"/>
    <w:rsid w:val="006A5214"/>
    <w:pPr>
      <w:numPr>
        <w:numId w:val="2"/>
      </w:numPr>
    </w:pPr>
  </w:style>
  <w:style w:type="numbering" w:customStyle="1" w:styleId="NumberedList">
    <w:name w:val="Numbered List"/>
    <w:uiPriority w:val="99"/>
    <w:rsid w:val="00A21831"/>
    <w:pPr>
      <w:numPr>
        <w:numId w:val="1"/>
      </w:numPr>
    </w:pPr>
  </w:style>
  <w:style w:type="character" w:customStyle="1" w:styleId="ListParagraphChar">
    <w:name w:val="List Paragraph Char"/>
    <w:basedOn w:val="DefaultParagraphFont"/>
    <w:link w:val="ListParagraph"/>
    <w:uiPriority w:val="34"/>
    <w:rsid w:val="006A5214"/>
    <w:rPr>
      <w:rFonts w:ascii="Arial" w:hAnsi="Arial"/>
    </w:rPr>
  </w:style>
  <w:style w:type="character" w:customStyle="1" w:styleId="NumberedListStyleChar">
    <w:name w:val="Numbered List Style Char"/>
    <w:basedOn w:val="ListParagraphChar"/>
    <w:link w:val="NumberedListStyle"/>
    <w:rsid w:val="006A5214"/>
    <w:rPr>
      <w:rFonts w:ascii="Arial" w:hAnsi="Arial"/>
    </w:rPr>
  </w:style>
  <w:style w:type="numbering" w:customStyle="1" w:styleId="NumberedList-Straight">
    <w:name w:val="Numbered List - Straight"/>
    <w:uiPriority w:val="99"/>
    <w:rsid w:val="00C93331"/>
    <w:pPr>
      <w:numPr>
        <w:numId w:val="6"/>
      </w:numPr>
    </w:pPr>
  </w:style>
  <w:style w:type="numbering" w:customStyle="1" w:styleId="AlphanumericList-Straight">
    <w:name w:val="Alphanumeric List - Straight"/>
    <w:uiPriority w:val="99"/>
    <w:rsid w:val="00870E29"/>
    <w:pPr>
      <w:numPr>
        <w:numId w:val="7"/>
      </w:numPr>
    </w:pPr>
  </w:style>
  <w:style w:type="paragraph" w:customStyle="1" w:styleId="TableBodyFigurealignedright">
    <w:name w:val="Table Body Figure (aligned right)"/>
    <w:basedOn w:val="Normal"/>
    <w:link w:val="TableBodyFigurealignedrightChar"/>
    <w:qFormat/>
    <w:rsid w:val="008244B2"/>
    <w:pPr>
      <w:jc w:val="right"/>
    </w:pPr>
    <w:rPr>
      <w:sz w:val="20"/>
    </w:rPr>
  </w:style>
  <w:style w:type="paragraph" w:customStyle="1" w:styleId="ChartHeading">
    <w:name w:val="Chart Heading"/>
    <w:basedOn w:val="Normal"/>
    <w:next w:val="Normal"/>
    <w:link w:val="ChartHeadingChar"/>
    <w:qFormat/>
    <w:rsid w:val="001939DE"/>
    <w:pPr>
      <w:spacing w:before="240"/>
    </w:pPr>
    <w:rPr>
      <w:b/>
      <w:sz w:val="24"/>
      <w:szCs w:val="24"/>
    </w:rPr>
  </w:style>
  <w:style w:type="character" w:customStyle="1" w:styleId="TableBodyFigurealignedrightChar">
    <w:name w:val="Table Body Figure (aligned right) Char"/>
    <w:basedOn w:val="DefaultParagraphFont"/>
    <w:link w:val="TableBodyFigurealignedright"/>
    <w:rsid w:val="008244B2"/>
    <w:rPr>
      <w:rFonts w:ascii="Arial" w:hAnsi="Arial"/>
      <w:sz w:val="20"/>
    </w:rPr>
  </w:style>
  <w:style w:type="paragraph" w:customStyle="1" w:styleId="ChartText">
    <w:name w:val="Chart Text"/>
    <w:basedOn w:val="Normal"/>
    <w:next w:val="Normal"/>
    <w:link w:val="ChartTextChar"/>
    <w:qFormat/>
    <w:rsid w:val="002F1039"/>
    <w:rPr>
      <w:sz w:val="20"/>
    </w:rPr>
  </w:style>
  <w:style w:type="character" w:customStyle="1" w:styleId="ChartHeadingChar">
    <w:name w:val="Chart Heading Char"/>
    <w:basedOn w:val="DefaultParagraphFont"/>
    <w:link w:val="ChartHeading"/>
    <w:rsid w:val="001939DE"/>
    <w:rPr>
      <w:rFonts w:ascii="Arial" w:hAnsi="Arial"/>
      <w:b/>
      <w:sz w:val="24"/>
      <w:szCs w:val="24"/>
    </w:rPr>
  </w:style>
  <w:style w:type="paragraph" w:styleId="TOCHeading">
    <w:name w:val="TOC Heading"/>
    <w:aliases w:val="Table of Contents (TOC) Heading"/>
    <w:basedOn w:val="Normal"/>
    <w:next w:val="Normal"/>
    <w:link w:val="TOCHeadingChar"/>
    <w:uiPriority w:val="39"/>
    <w:unhideWhenUsed/>
    <w:qFormat/>
    <w:rsid w:val="002B5C11"/>
    <w:pPr>
      <w:pageBreakBefore/>
    </w:pPr>
    <w:rPr>
      <w:rFonts w:cstheme="majorBidi"/>
      <w:b/>
      <w:color w:val="076A92"/>
      <w:sz w:val="36"/>
      <w:szCs w:val="28"/>
    </w:rPr>
  </w:style>
  <w:style w:type="character" w:customStyle="1" w:styleId="ChartTextChar">
    <w:name w:val="Chart Text Char"/>
    <w:basedOn w:val="DefaultParagraphFont"/>
    <w:link w:val="ChartText"/>
    <w:rsid w:val="002F1039"/>
    <w:rPr>
      <w:rFonts w:ascii="Arial" w:hAnsi="Arial"/>
      <w:sz w:val="20"/>
    </w:rPr>
  </w:style>
  <w:style w:type="paragraph" w:styleId="Footer">
    <w:name w:val="footer"/>
    <w:basedOn w:val="Normal"/>
    <w:link w:val="FooterChar"/>
    <w:uiPriority w:val="99"/>
    <w:unhideWhenUsed/>
    <w:qFormat/>
    <w:rsid w:val="009A46F9"/>
    <w:pPr>
      <w:tabs>
        <w:tab w:val="center" w:pos="4513"/>
        <w:tab w:val="right" w:pos="9026"/>
      </w:tabs>
      <w:spacing w:after="0" w:line="240" w:lineRule="auto"/>
    </w:pPr>
    <w:rPr>
      <w:b/>
      <w:color w:val="076A92"/>
      <w:sz w:val="20"/>
    </w:rPr>
  </w:style>
  <w:style w:type="character" w:customStyle="1" w:styleId="FooterChar">
    <w:name w:val="Footer Char"/>
    <w:basedOn w:val="DefaultParagraphFont"/>
    <w:link w:val="Footer"/>
    <w:uiPriority w:val="99"/>
    <w:rsid w:val="009A46F9"/>
    <w:rPr>
      <w:rFonts w:ascii="Arial" w:hAnsi="Arial"/>
      <w:b/>
      <w:color w:val="076A92"/>
      <w:sz w:val="20"/>
    </w:rPr>
  </w:style>
  <w:style w:type="character" w:styleId="Hyperlink">
    <w:name w:val="Hyperlink"/>
    <w:basedOn w:val="DefaultParagraphFont"/>
    <w:uiPriority w:val="99"/>
    <w:unhideWhenUsed/>
    <w:qFormat/>
    <w:rsid w:val="001939DE"/>
    <w:rPr>
      <w:color w:val="076A92" w:themeColor="hyperlink"/>
      <w:u w:val="single"/>
    </w:rPr>
  </w:style>
  <w:style w:type="paragraph" w:styleId="FootnoteText">
    <w:name w:val="footnote text"/>
    <w:aliases w:val="Footnote"/>
    <w:basedOn w:val="Normal"/>
    <w:link w:val="FootnoteTextChar"/>
    <w:uiPriority w:val="99"/>
    <w:semiHidden/>
    <w:unhideWhenUsed/>
    <w:qFormat/>
    <w:rsid w:val="00F412C9"/>
    <w:pPr>
      <w:spacing w:line="240" w:lineRule="auto"/>
    </w:pPr>
    <w:rPr>
      <w:color w:val="000000" w:themeColor="accent5"/>
      <w:sz w:val="18"/>
      <w:szCs w:val="20"/>
    </w:rPr>
  </w:style>
  <w:style w:type="character" w:customStyle="1" w:styleId="FootnoteTextChar">
    <w:name w:val="Footnote Text Char"/>
    <w:aliases w:val="Footnote Char"/>
    <w:basedOn w:val="DefaultParagraphFont"/>
    <w:link w:val="FootnoteText"/>
    <w:uiPriority w:val="99"/>
    <w:semiHidden/>
    <w:rsid w:val="00F412C9"/>
    <w:rPr>
      <w:rFonts w:ascii="Arial" w:hAnsi="Arial"/>
      <w:color w:val="000000" w:themeColor="accent5"/>
      <w:sz w:val="18"/>
      <w:szCs w:val="20"/>
    </w:rPr>
  </w:style>
  <w:style w:type="paragraph" w:customStyle="1" w:styleId="Source">
    <w:name w:val="Source"/>
    <w:basedOn w:val="Normal"/>
    <w:link w:val="SourceChar"/>
    <w:qFormat/>
    <w:rsid w:val="00694E1F"/>
    <w:rPr>
      <w:sz w:val="18"/>
      <w:szCs w:val="18"/>
    </w:rPr>
  </w:style>
  <w:style w:type="paragraph" w:customStyle="1" w:styleId="Note">
    <w:name w:val="Note"/>
    <w:basedOn w:val="Source"/>
    <w:link w:val="NoteChar"/>
    <w:qFormat/>
    <w:rsid w:val="00694E1F"/>
  </w:style>
  <w:style w:type="character" w:customStyle="1" w:styleId="SourceChar">
    <w:name w:val="Source Char"/>
    <w:basedOn w:val="DefaultParagraphFont"/>
    <w:link w:val="Source"/>
    <w:rsid w:val="00694E1F"/>
    <w:rPr>
      <w:rFonts w:ascii="Arial" w:hAnsi="Arial"/>
      <w:sz w:val="18"/>
      <w:szCs w:val="18"/>
    </w:rPr>
  </w:style>
  <w:style w:type="character" w:customStyle="1" w:styleId="Heading7Char">
    <w:name w:val="Heading 7 Char"/>
    <w:basedOn w:val="DefaultParagraphFont"/>
    <w:link w:val="Heading7"/>
    <w:uiPriority w:val="9"/>
    <w:semiHidden/>
    <w:rsid w:val="00CC659E"/>
    <w:rPr>
      <w:rFonts w:asciiTheme="majorHAnsi" w:eastAsiaTheme="majorEastAsia" w:hAnsiTheme="majorHAnsi" w:cstheme="majorBidi"/>
      <w:i/>
      <w:iCs/>
      <w:color w:val="0BA7E7" w:themeColor="text1" w:themeTint="BF"/>
    </w:rPr>
  </w:style>
  <w:style w:type="character" w:customStyle="1" w:styleId="NoteChar">
    <w:name w:val="Note Char"/>
    <w:basedOn w:val="SourceChar"/>
    <w:link w:val="Note"/>
    <w:rsid w:val="00694E1F"/>
    <w:rPr>
      <w:rFonts w:ascii="Arial" w:hAnsi="Arial"/>
      <w:sz w:val="18"/>
      <w:szCs w:val="18"/>
    </w:rPr>
  </w:style>
  <w:style w:type="character" w:customStyle="1" w:styleId="Heading8Char">
    <w:name w:val="Heading 8 Char"/>
    <w:basedOn w:val="DefaultParagraphFont"/>
    <w:link w:val="Heading8"/>
    <w:uiPriority w:val="9"/>
    <w:semiHidden/>
    <w:rsid w:val="00CC659E"/>
    <w:rPr>
      <w:rFonts w:asciiTheme="majorHAnsi" w:eastAsiaTheme="majorEastAsia" w:hAnsiTheme="majorHAnsi" w:cstheme="majorBidi"/>
      <w:color w:val="0BA7E7" w:themeColor="text1" w:themeTint="BF"/>
      <w:sz w:val="20"/>
      <w:szCs w:val="20"/>
    </w:rPr>
  </w:style>
  <w:style w:type="character" w:customStyle="1" w:styleId="Heading9Char">
    <w:name w:val="Heading 9 Char"/>
    <w:basedOn w:val="DefaultParagraphFont"/>
    <w:link w:val="Heading9"/>
    <w:uiPriority w:val="9"/>
    <w:semiHidden/>
    <w:rsid w:val="00CC659E"/>
    <w:rPr>
      <w:rFonts w:asciiTheme="majorHAnsi" w:eastAsiaTheme="majorEastAsia" w:hAnsiTheme="majorHAnsi" w:cstheme="majorBidi"/>
      <w:i/>
      <w:iCs/>
      <w:color w:val="0BA7E7" w:themeColor="text1" w:themeTint="BF"/>
      <w:sz w:val="20"/>
      <w:szCs w:val="20"/>
    </w:rPr>
  </w:style>
  <w:style w:type="numbering" w:customStyle="1" w:styleId="AlphanumericList">
    <w:name w:val="Alphanumeric List"/>
    <w:uiPriority w:val="99"/>
    <w:rsid w:val="00A94A4E"/>
    <w:pPr>
      <w:numPr>
        <w:numId w:val="5"/>
      </w:numPr>
    </w:pPr>
  </w:style>
  <w:style w:type="paragraph" w:styleId="BalloonText">
    <w:name w:val="Balloon Text"/>
    <w:basedOn w:val="Normal"/>
    <w:link w:val="BalloonTextChar"/>
    <w:uiPriority w:val="99"/>
    <w:semiHidden/>
    <w:unhideWhenUsed/>
    <w:rsid w:val="00AE7E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E16"/>
    <w:rPr>
      <w:rFonts w:ascii="Tahoma" w:hAnsi="Tahoma" w:cs="Tahoma"/>
      <w:sz w:val="16"/>
      <w:szCs w:val="16"/>
    </w:rPr>
  </w:style>
  <w:style w:type="paragraph" w:styleId="Header">
    <w:name w:val="header"/>
    <w:basedOn w:val="Normal"/>
    <w:link w:val="HeaderChar"/>
    <w:uiPriority w:val="99"/>
    <w:unhideWhenUsed/>
    <w:rsid w:val="00B14A00"/>
    <w:pPr>
      <w:tabs>
        <w:tab w:val="center" w:pos="4513"/>
        <w:tab w:val="right" w:pos="9026"/>
      </w:tabs>
      <w:spacing w:line="240" w:lineRule="auto"/>
    </w:pPr>
  </w:style>
  <w:style w:type="character" w:customStyle="1" w:styleId="HeaderChar">
    <w:name w:val="Header Char"/>
    <w:basedOn w:val="DefaultParagraphFont"/>
    <w:link w:val="Header"/>
    <w:uiPriority w:val="99"/>
    <w:rsid w:val="00B14A00"/>
    <w:rPr>
      <w:rFonts w:ascii="Arial" w:hAnsi="Arial"/>
    </w:rPr>
  </w:style>
  <w:style w:type="paragraph" w:customStyle="1" w:styleId="DocumentReferenceTitle">
    <w:name w:val="Document Reference Title"/>
    <w:basedOn w:val="Normal"/>
    <w:link w:val="DocumentReferenceTitleChar"/>
    <w:qFormat/>
    <w:rsid w:val="00E67D84"/>
    <w:rPr>
      <w:i/>
    </w:rPr>
  </w:style>
  <w:style w:type="paragraph" w:customStyle="1" w:styleId="Subscript">
    <w:name w:val="Subscript"/>
    <w:basedOn w:val="Normal"/>
    <w:next w:val="Normal"/>
    <w:link w:val="SubscriptChar"/>
    <w:qFormat/>
    <w:rsid w:val="00192403"/>
    <w:rPr>
      <w:sz w:val="20"/>
      <w:vertAlign w:val="subscript"/>
    </w:rPr>
  </w:style>
  <w:style w:type="character" w:customStyle="1" w:styleId="DocumentReferenceTitleChar">
    <w:name w:val="Document Reference Title Char"/>
    <w:basedOn w:val="DefaultParagraphFont"/>
    <w:link w:val="DocumentReferenceTitle"/>
    <w:rsid w:val="00E67D84"/>
    <w:rPr>
      <w:rFonts w:ascii="Arial" w:hAnsi="Arial"/>
      <w:i/>
    </w:rPr>
  </w:style>
  <w:style w:type="paragraph" w:customStyle="1" w:styleId="Superscript">
    <w:name w:val="Superscript"/>
    <w:basedOn w:val="Normal"/>
    <w:next w:val="Normal"/>
    <w:link w:val="SuperscriptChar"/>
    <w:qFormat/>
    <w:rsid w:val="00192403"/>
    <w:rPr>
      <w:sz w:val="20"/>
      <w:vertAlign w:val="superscript"/>
    </w:rPr>
  </w:style>
  <w:style w:type="character" w:customStyle="1" w:styleId="SubscriptChar">
    <w:name w:val="Subscript Char"/>
    <w:basedOn w:val="DefaultParagraphFont"/>
    <w:link w:val="Subscript"/>
    <w:rsid w:val="00192403"/>
    <w:rPr>
      <w:rFonts w:ascii="Arial" w:hAnsi="Arial"/>
      <w:sz w:val="20"/>
      <w:vertAlign w:val="subscript"/>
    </w:rPr>
  </w:style>
  <w:style w:type="character" w:customStyle="1" w:styleId="SuperscriptChar">
    <w:name w:val="Superscript Char"/>
    <w:basedOn w:val="DefaultParagraphFont"/>
    <w:link w:val="Superscript"/>
    <w:rsid w:val="00192403"/>
    <w:rPr>
      <w:rFonts w:ascii="Arial" w:hAnsi="Arial"/>
      <w:sz w:val="20"/>
      <w:vertAlign w:val="superscript"/>
    </w:rPr>
  </w:style>
  <w:style w:type="paragraph" w:styleId="TOC1">
    <w:name w:val="toc 1"/>
    <w:basedOn w:val="Normal"/>
    <w:next w:val="Normal"/>
    <w:link w:val="TOC1Char"/>
    <w:uiPriority w:val="39"/>
    <w:unhideWhenUsed/>
    <w:qFormat/>
    <w:rsid w:val="001D222D"/>
    <w:pPr>
      <w:tabs>
        <w:tab w:val="left" w:pos="397"/>
        <w:tab w:val="left" w:leader="dot" w:pos="9072"/>
      </w:tabs>
      <w:spacing w:after="100"/>
      <w:jc w:val="center"/>
    </w:pPr>
    <w:rPr>
      <w:b/>
      <w:color w:val="70635A"/>
      <w:sz w:val="24"/>
    </w:rPr>
  </w:style>
  <w:style w:type="table" w:customStyle="1" w:styleId="AERTable-Text">
    <w:name w:val="AER Table - Text"/>
    <w:basedOn w:val="TableNormal"/>
    <w:uiPriority w:val="99"/>
    <w:rsid w:val="00C93331"/>
    <w:pPr>
      <w:spacing w:line="240" w:lineRule="auto"/>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table" w:styleId="TableGrid">
    <w:name w:val="Table Grid"/>
    <w:basedOn w:val="TableNormal"/>
    <w:uiPriority w:val="59"/>
    <w:rsid w:val="00DF1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6746F2"/>
    <w:pPr>
      <w:spacing w:before="240" w:line="240" w:lineRule="auto"/>
    </w:pPr>
    <w:rPr>
      <w:b/>
      <w:bCs/>
      <w:color w:val="076A92"/>
      <w:szCs w:val="18"/>
    </w:rPr>
  </w:style>
  <w:style w:type="paragraph" w:customStyle="1" w:styleId="Quotation">
    <w:name w:val="Quotation"/>
    <w:basedOn w:val="Normal"/>
    <w:next w:val="Normal"/>
    <w:link w:val="QuotationChar"/>
    <w:qFormat/>
    <w:rsid w:val="002D05D5"/>
    <w:rPr>
      <w:i/>
    </w:rPr>
  </w:style>
  <w:style w:type="paragraph" w:customStyle="1" w:styleId="BlockQuote">
    <w:name w:val="Block Quote"/>
    <w:basedOn w:val="Normal"/>
    <w:next w:val="Normal"/>
    <w:link w:val="BlockQuoteChar"/>
    <w:qFormat/>
    <w:rsid w:val="002D05D5"/>
    <w:pPr>
      <w:ind w:left="284"/>
    </w:pPr>
    <w:rPr>
      <w:sz w:val="20"/>
      <w:szCs w:val="20"/>
    </w:rPr>
  </w:style>
  <w:style w:type="paragraph" w:styleId="Quote">
    <w:name w:val="Quote"/>
    <w:basedOn w:val="Normal"/>
    <w:next w:val="Normal"/>
    <w:link w:val="QuoteChar"/>
    <w:uiPriority w:val="29"/>
    <w:qFormat/>
    <w:rsid w:val="006A43A5"/>
    <w:rPr>
      <w:i/>
      <w:iCs/>
    </w:rPr>
  </w:style>
  <w:style w:type="paragraph" w:customStyle="1" w:styleId="BoxedText">
    <w:name w:val="Boxed Text"/>
    <w:basedOn w:val="Normal"/>
    <w:link w:val="BoxedTextChar"/>
    <w:qFormat/>
    <w:rsid w:val="0038743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C8C0BA" w:themeFill="text2" w:themeFillTint="66"/>
    </w:pPr>
  </w:style>
  <w:style w:type="character" w:customStyle="1" w:styleId="BoxedTextChar">
    <w:name w:val="Boxed Text Char"/>
    <w:basedOn w:val="DefaultParagraphFont"/>
    <w:link w:val="BoxedText"/>
    <w:rsid w:val="00387432"/>
    <w:rPr>
      <w:rFonts w:ascii="Arial" w:hAnsi="Arial"/>
      <w:shd w:val="clear" w:color="auto" w:fill="C8C0BA" w:themeFill="text2" w:themeFillTint="66"/>
    </w:rPr>
  </w:style>
  <w:style w:type="paragraph" w:customStyle="1" w:styleId="ReportDate">
    <w:name w:val="Report Date"/>
    <w:basedOn w:val="ReportTitle"/>
    <w:link w:val="ReportDateChar"/>
    <w:qFormat/>
    <w:rsid w:val="002956ED"/>
    <w:pPr>
      <w:tabs>
        <w:tab w:val="center" w:pos="4598"/>
        <w:tab w:val="right" w:pos="9026"/>
      </w:tabs>
    </w:pPr>
    <w:rPr>
      <w:b w:val="0"/>
      <w:noProof/>
      <w:sz w:val="36"/>
      <w:szCs w:val="36"/>
      <w:lang w:eastAsia="en-AU"/>
    </w:rPr>
  </w:style>
  <w:style w:type="paragraph" w:customStyle="1" w:styleId="ReportSubtitle">
    <w:name w:val="Report Subtitle"/>
    <w:basedOn w:val="ReportTitle"/>
    <w:link w:val="ReportSubtitleChar"/>
    <w:qFormat/>
    <w:rsid w:val="002956ED"/>
    <w:pPr>
      <w:tabs>
        <w:tab w:val="center" w:pos="4598"/>
        <w:tab w:val="right" w:pos="9026"/>
      </w:tabs>
    </w:pPr>
    <w:rPr>
      <w:noProof/>
      <w:sz w:val="56"/>
      <w:szCs w:val="56"/>
      <w:lang w:eastAsia="en-AU"/>
    </w:rPr>
  </w:style>
  <w:style w:type="character" w:customStyle="1" w:styleId="ReportTitleChar">
    <w:name w:val="Report Title Char"/>
    <w:basedOn w:val="Heading1Char"/>
    <w:link w:val="ReportTitle"/>
    <w:rsid w:val="00FC3E6B"/>
    <w:rPr>
      <w:rFonts w:ascii="Arial" w:eastAsiaTheme="majorEastAsia" w:hAnsi="Arial" w:cs="Arial"/>
      <w:b/>
      <w:bCs w:val="0"/>
      <w:color w:val="70635A"/>
      <w:sz w:val="72"/>
      <w:szCs w:val="72"/>
    </w:rPr>
  </w:style>
  <w:style w:type="character" w:customStyle="1" w:styleId="ReportDateChar">
    <w:name w:val="Report Date Char"/>
    <w:basedOn w:val="ReportTitleChar"/>
    <w:link w:val="ReportDate"/>
    <w:rsid w:val="002956ED"/>
    <w:rPr>
      <w:rFonts w:ascii="Arial" w:eastAsiaTheme="majorEastAsia" w:hAnsi="Arial" w:cs="Arial"/>
      <w:b w:val="0"/>
      <w:bCs w:val="0"/>
      <w:noProof/>
      <w:color w:val="70635A"/>
      <w:sz w:val="36"/>
      <w:szCs w:val="36"/>
      <w:lang w:eastAsia="en-AU"/>
    </w:rPr>
  </w:style>
  <w:style w:type="character" w:customStyle="1" w:styleId="ReportSubtitleChar">
    <w:name w:val="Report Subtitle Char"/>
    <w:basedOn w:val="ReportTitleChar"/>
    <w:link w:val="ReportSubtitle"/>
    <w:rsid w:val="002956ED"/>
    <w:rPr>
      <w:rFonts w:ascii="Arial" w:eastAsiaTheme="majorEastAsia" w:hAnsi="Arial" w:cs="Arial"/>
      <w:b/>
      <w:bCs w:val="0"/>
      <w:noProof/>
      <w:color w:val="70635A"/>
      <w:sz w:val="56"/>
      <w:szCs w:val="56"/>
      <w:lang w:eastAsia="en-AU"/>
    </w:rPr>
  </w:style>
  <w:style w:type="paragraph" w:styleId="TOC2">
    <w:name w:val="toc 2"/>
    <w:basedOn w:val="Normal"/>
    <w:next w:val="Normal"/>
    <w:link w:val="TOC2Char"/>
    <w:uiPriority w:val="39"/>
    <w:unhideWhenUsed/>
    <w:qFormat/>
    <w:rsid w:val="001D222D"/>
    <w:pPr>
      <w:tabs>
        <w:tab w:val="left" w:pos="907"/>
        <w:tab w:val="left" w:leader="dot" w:pos="9072"/>
      </w:tabs>
      <w:ind w:left="284"/>
    </w:pPr>
    <w:rPr>
      <w:sz w:val="24"/>
    </w:rPr>
  </w:style>
  <w:style w:type="paragraph" w:styleId="TOC3">
    <w:name w:val="toc 3"/>
    <w:basedOn w:val="Normal"/>
    <w:next w:val="Normal"/>
    <w:link w:val="TOC3Char"/>
    <w:uiPriority w:val="39"/>
    <w:unhideWhenUsed/>
    <w:qFormat/>
    <w:rsid w:val="001974A9"/>
    <w:pPr>
      <w:tabs>
        <w:tab w:val="left" w:pos="1134"/>
        <w:tab w:val="left" w:leader="dot" w:pos="9072"/>
      </w:tabs>
      <w:ind w:left="567"/>
    </w:pPr>
  </w:style>
  <w:style w:type="numbering" w:customStyle="1" w:styleId="BulletedList">
    <w:name w:val="Bulleted List"/>
    <w:uiPriority w:val="99"/>
    <w:rsid w:val="006E0793"/>
    <w:pPr>
      <w:numPr>
        <w:numId w:val="3"/>
      </w:numPr>
    </w:pPr>
  </w:style>
  <w:style w:type="numbering" w:customStyle="1" w:styleId="RomanNumeralBulletedList">
    <w:name w:val="Roman Numeral Bulleted List"/>
    <w:uiPriority w:val="99"/>
    <w:rsid w:val="006E0793"/>
    <w:pPr>
      <w:numPr>
        <w:numId w:val="4"/>
      </w:numPr>
    </w:pPr>
  </w:style>
  <w:style w:type="character" w:styleId="Strong">
    <w:name w:val="Strong"/>
    <w:basedOn w:val="DefaultParagraphFont"/>
    <w:uiPriority w:val="22"/>
    <w:qFormat/>
    <w:rsid w:val="008235A5"/>
    <w:rPr>
      <w:rFonts w:ascii="Arial" w:hAnsi="Arial"/>
      <w:b/>
      <w:bCs/>
      <w:sz w:val="22"/>
    </w:rPr>
  </w:style>
  <w:style w:type="character" w:styleId="Emphasis">
    <w:name w:val="Emphasis"/>
    <w:aliases w:val="Quotation Style"/>
    <w:basedOn w:val="DefaultParagraphFont"/>
    <w:uiPriority w:val="20"/>
    <w:qFormat/>
    <w:rsid w:val="008235A5"/>
    <w:rPr>
      <w:rFonts w:ascii="Arial" w:hAnsi="Arial"/>
      <w:i/>
      <w:iCs/>
      <w:sz w:val="22"/>
    </w:rPr>
  </w:style>
  <w:style w:type="paragraph" w:styleId="EndnoteText">
    <w:name w:val="endnote text"/>
    <w:basedOn w:val="Normal"/>
    <w:link w:val="EndnoteTextChar"/>
    <w:uiPriority w:val="99"/>
    <w:semiHidden/>
    <w:unhideWhenUsed/>
    <w:rsid w:val="00175E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5E60"/>
    <w:rPr>
      <w:rFonts w:ascii="Arial" w:hAnsi="Arial"/>
      <w:sz w:val="20"/>
      <w:szCs w:val="20"/>
    </w:rPr>
  </w:style>
  <w:style w:type="character" w:styleId="EndnoteReference">
    <w:name w:val="endnote reference"/>
    <w:basedOn w:val="DefaultParagraphFont"/>
    <w:uiPriority w:val="99"/>
    <w:semiHidden/>
    <w:unhideWhenUsed/>
    <w:rsid w:val="00175E60"/>
    <w:rPr>
      <w:vertAlign w:val="superscript"/>
    </w:rPr>
  </w:style>
  <w:style w:type="character" w:styleId="FootnoteReference">
    <w:name w:val="footnote reference"/>
    <w:basedOn w:val="DefaultParagraphFont"/>
    <w:uiPriority w:val="99"/>
    <w:semiHidden/>
    <w:unhideWhenUsed/>
    <w:rsid w:val="00F412C9"/>
    <w:rPr>
      <w:color w:val="000000" w:themeColor="accent5"/>
      <w:vertAlign w:val="superscript"/>
    </w:rPr>
  </w:style>
  <w:style w:type="character" w:customStyle="1" w:styleId="ConfidentialText">
    <w:name w:val="Confidential Text"/>
    <w:basedOn w:val="DefaultParagraphFont"/>
    <w:uiPriority w:val="1"/>
    <w:qFormat/>
    <w:rsid w:val="006550E6"/>
    <w:rPr>
      <w:rFonts w:ascii="Arial" w:hAnsi="Arial"/>
      <w:sz w:val="22"/>
      <w:bdr w:val="none" w:sz="0" w:space="0" w:color="auto"/>
      <w:shd w:val="clear" w:color="auto" w:fill="FFFF00"/>
    </w:rPr>
  </w:style>
  <w:style w:type="character" w:customStyle="1" w:styleId="QuoteChar">
    <w:name w:val="Quote Char"/>
    <w:basedOn w:val="DefaultParagraphFont"/>
    <w:link w:val="Quote"/>
    <w:uiPriority w:val="29"/>
    <w:rsid w:val="006A43A5"/>
    <w:rPr>
      <w:rFonts w:ascii="Arial" w:hAnsi="Arial"/>
      <w:i/>
      <w:iCs/>
    </w:rPr>
  </w:style>
  <w:style w:type="character" w:styleId="IntenseEmphasis">
    <w:name w:val="Intense Emphasis"/>
    <w:basedOn w:val="DefaultParagraphFont"/>
    <w:uiPriority w:val="21"/>
    <w:qFormat/>
    <w:rsid w:val="009225C2"/>
    <w:rPr>
      <w:rFonts w:ascii="Arial" w:hAnsi="Arial"/>
      <w:b/>
      <w:bCs/>
      <w:i/>
      <w:iCs/>
      <w:color w:val="000000"/>
      <w:sz w:val="22"/>
    </w:rPr>
  </w:style>
  <w:style w:type="character" w:styleId="PlaceholderText">
    <w:name w:val="Placeholder Text"/>
    <w:basedOn w:val="DefaultParagraphFont"/>
    <w:uiPriority w:val="99"/>
    <w:semiHidden/>
    <w:rsid w:val="00847401"/>
    <w:rPr>
      <w:color w:val="808080"/>
    </w:rPr>
  </w:style>
  <w:style w:type="character" w:customStyle="1" w:styleId="BlockQuoteChar">
    <w:name w:val="Block Quote Char"/>
    <w:basedOn w:val="DefaultParagraphFont"/>
    <w:link w:val="BlockQuote"/>
    <w:rsid w:val="00ED2BFC"/>
    <w:rPr>
      <w:rFonts w:ascii="Arial" w:hAnsi="Arial"/>
      <w:sz w:val="20"/>
      <w:szCs w:val="20"/>
    </w:rPr>
  </w:style>
  <w:style w:type="character" w:customStyle="1" w:styleId="ChapterTitleChar">
    <w:name w:val="Chapter Title Char"/>
    <w:basedOn w:val="Heading1Char"/>
    <w:link w:val="ChapterTitle"/>
    <w:rsid w:val="00B2492A"/>
    <w:rPr>
      <w:rFonts w:ascii="Arial" w:eastAsiaTheme="majorEastAsia" w:hAnsi="Arial" w:cs="Arial"/>
      <w:b/>
      <w:bCs/>
      <w:color w:val="070692"/>
      <w:sz w:val="52"/>
      <w:szCs w:val="36"/>
    </w:rPr>
  </w:style>
  <w:style w:type="character" w:customStyle="1" w:styleId="CopyrightChar">
    <w:name w:val="Copyright Char"/>
    <w:basedOn w:val="DefaultParagraphFont"/>
    <w:link w:val="Copyright"/>
    <w:rsid w:val="002D4DAB"/>
    <w:rPr>
      <w:rFonts w:ascii="Arial" w:hAnsi="Arial"/>
      <w:sz w:val="20"/>
      <w:szCs w:val="20"/>
    </w:rPr>
  </w:style>
  <w:style w:type="character" w:customStyle="1" w:styleId="QuotationChar">
    <w:name w:val="Quotation Char"/>
    <w:basedOn w:val="DefaultParagraphFont"/>
    <w:link w:val="Quotation"/>
    <w:rsid w:val="00B2492A"/>
    <w:rPr>
      <w:rFonts w:ascii="Arial" w:hAnsi="Arial"/>
      <w:i/>
    </w:rPr>
  </w:style>
  <w:style w:type="character" w:customStyle="1" w:styleId="TOCHeadingChar">
    <w:name w:val="TOC Heading Char"/>
    <w:aliases w:val="Table of Contents (TOC) Heading Char"/>
    <w:basedOn w:val="DefaultParagraphFont"/>
    <w:link w:val="TOCHeading"/>
    <w:uiPriority w:val="39"/>
    <w:rsid w:val="00B46283"/>
    <w:rPr>
      <w:rFonts w:ascii="Arial" w:hAnsi="Arial" w:cstheme="majorBidi"/>
      <w:b/>
      <w:color w:val="076A92"/>
      <w:sz w:val="36"/>
      <w:szCs w:val="28"/>
    </w:rPr>
  </w:style>
  <w:style w:type="character" w:customStyle="1" w:styleId="TOC1Char">
    <w:name w:val="TOC 1 Char"/>
    <w:basedOn w:val="DefaultParagraphFont"/>
    <w:link w:val="TOC1"/>
    <w:uiPriority w:val="39"/>
    <w:rsid w:val="001D222D"/>
    <w:rPr>
      <w:rFonts w:ascii="Arial" w:hAnsi="Arial"/>
      <w:b/>
      <w:color w:val="70635A"/>
      <w:sz w:val="24"/>
    </w:rPr>
  </w:style>
  <w:style w:type="character" w:customStyle="1" w:styleId="TOC2Char">
    <w:name w:val="TOC 2 Char"/>
    <w:basedOn w:val="DefaultParagraphFont"/>
    <w:link w:val="TOC2"/>
    <w:uiPriority w:val="39"/>
    <w:rsid w:val="001D222D"/>
    <w:rPr>
      <w:rFonts w:ascii="Arial" w:hAnsi="Arial"/>
      <w:sz w:val="24"/>
    </w:rPr>
  </w:style>
  <w:style w:type="character" w:customStyle="1" w:styleId="TOC3Char">
    <w:name w:val="TOC 3 Char"/>
    <w:basedOn w:val="DefaultParagraphFont"/>
    <w:link w:val="TOC3"/>
    <w:uiPriority w:val="39"/>
    <w:rsid w:val="001974A9"/>
    <w:rPr>
      <w:rFonts w:ascii="Arial" w:hAnsi="Arial"/>
    </w:rPr>
  </w:style>
  <w:style w:type="paragraph" w:customStyle="1" w:styleId="Headingnumbered1">
    <w:name w:val="Heading numbered 1."/>
    <w:basedOn w:val="Normal"/>
    <w:link w:val="Headingnumbered1Char"/>
    <w:qFormat/>
    <w:rsid w:val="004B7B5B"/>
    <w:pPr>
      <w:numPr>
        <w:numId w:val="9"/>
      </w:numPr>
      <w:spacing w:before="520" w:after="0" w:line="240" w:lineRule="auto"/>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4B7B5B"/>
    <w:rPr>
      <w:rFonts w:ascii="Lucida Fax" w:hAnsi="Lucida Fax"/>
      <w:color w:val="51626F"/>
      <w:sz w:val="32"/>
      <w:szCs w:val="32"/>
    </w:rPr>
  </w:style>
  <w:style w:type="paragraph" w:customStyle="1" w:styleId="Headingnumbered11">
    <w:name w:val="Heading numbered 1.1"/>
    <w:basedOn w:val="Normal"/>
    <w:link w:val="Headingnumbered11Char"/>
    <w:qFormat/>
    <w:rsid w:val="004B7B5B"/>
    <w:pPr>
      <w:numPr>
        <w:ilvl w:val="1"/>
        <w:numId w:val="10"/>
      </w:numPr>
      <w:spacing w:before="520" w:after="0" w:line="240" w:lineRule="auto"/>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4B7B5B"/>
    <w:rPr>
      <w:rFonts w:ascii="Arial" w:hAnsi="Arial"/>
      <w:b/>
      <w:color w:val="51626F"/>
      <w:sz w:val="28"/>
      <w:szCs w:val="24"/>
    </w:rPr>
  </w:style>
  <w:style w:type="character" w:styleId="CommentReference">
    <w:name w:val="annotation reference"/>
    <w:basedOn w:val="DefaultParagraphFont"/>
    <w:uiPriority w:val="99"/>
    <w:semiHidden/>
    <w:unhideWhenUsed/>
    <w:rsid w:val="004B7B5B"/>
    <w:rPr>
      <w:sz w:val="16"/>
      <w:szCs w:val="16"/>
    </w:rPr>
  </w:style>
  <w:style w:type="paragraph" w:styleId="CommentText">
    <w:name w:val="annotation text"/>
    <w:basedOn w:val="Normal"/>
    <w:link w:val="CommentTextChar"/>
    <w:uiPriority w:val="99"/>
    <w:semiHidden/>
    <w:unhideWhenUsed/>
    <w:rsid w:val="004B7B5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4B7B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44ADF"/>
    <w:pPr>
      <w:spacing w:after="120"/>
    </w:pPr>
    <w:rPr>
      <w:b/>
      <w:bCs/>
    </w:rPr>
  </w:style>
  <w:style w:type="character" w:customStyle="1" w:styleId="CommentSubjectChar">
    <w:name w:val="Comment Subject Char"/>
    <w:basedOn w:val="CommentTextChar"/>
    <w:link w:val="CommentSubject"/>
    <w:uiPriority w:val="99"/>
    <w:semiHidden/>
    <w:rsid w:val="00344ADF"/>
    <w:rPr>
      <w:rFonts w:ascii="Arial" w:hAnsi="Arial"/>
      <w:b/>
      <w:bCs/>
      <w:sz w:val="20"/>
      <w:szCs w:val="20"/>
    </w:rPr>
  </w:style>
  <w:style w:type="table" w:styleId="ColorfulList-Accent5">
    <w:name w:val="Colorful List Accent 5"/>
    <w:basedOn w:val="TableNormal"/>
    <w:uiPriority w:val="72"/>
    <w:rsid w:val="00E664EE"/>
    <w:pPr>
      <w:spacing w:before="0" w:after="0" w:line="240" w:lineRule="auto"/>
    </w:pPr>
    <w:rPr>
      <w:color w:val="076A92" w:themeColor="text1"/>
    </w:rPr>
    <w:tblPr>
      <w:tblStyleRowBandSize w:val="1"/>
      <w:tblStyleColBandSize w:val="1"/>
      <w:tblInd w:w="0" w:type="dxa"/>
      <w:tblCellMar>
        <w:top w:w="0" w:type="dxa"/>
        <w:left w:w="108" w:type="dxa"/>
        <w:bottom w:w="0" w:type="dxa"/>
        <w:right w:w="108" w:type="dxa"/>
      </w:tblCellMar>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59262F" w:themeFill="accent6" w:themeFillShade="CC"/>
      </w:tcPr>
    </w:tblStylePr>
    <w:tblStylePr w:type="lastRow">
      <w:rPr>
        <w:b/>
        <w:bCs/>
        <w:color w:val="59262F" w:themeColor="accent6"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paragraph" w:customStyle="1" w:styleId="Reporttitle0">
    <w:name w:val="Report title"/>
    <w:basedOn w:val="Normal"/>
    <w:link w:val="ReporttitleChar0"/>
    <w:qFormat/>
    <w:rsid w:val="00980FDB"/>
    <w:pPr>
      <w:spacing w:before="520" w:after="0" w:line="240" w:lineRule="auto"/>
    </w:pPr>
    <w:rPr>
      <w:rFonts w:ascii="Lucida Fax" w:hAnsi="Lucida Fax"/>
      <w:b/>
      <w:color w:val="4F2D7F"/>
      <w:sz w:val="56"/>
      <w:szCs w:val="56"/>
    </w:rPr>
  </w:style>
  <w:style w:type="character" w:customStyle="1" w:styleId="ReporttitleChar0">
    <w:name w:val="Report title Char"/>
    <w:basedOn w:val="DefaultParagraphFont"/>
    <w:link w:val="Reporttitle0"/>
    <w:rsid w:val="00980FDB"/>
    <w:rPr>
      <w:rFonts w:ascii="Lucida Fax" w:hAnsi="Lucida Fax"/>
      <w:b/>
      <w:color w:val="4F2D7F"/>
      <w:sz w:val="56"/>
      <w:szCs w:val="56"/>
    </w:rPr>
  </w:style>
  <w:style w:type="paragraph" w:customStyle="1" w:styleId="Chaptertitle0">
    <w:name w:val="Chapter title"/>
    <w:basedOn w:val="Reporttitle0"/>
    <w:link w:val="ChaptertitleChar0"/>
    <w:qFormat/>
    <w:rsid w:val="00980FDB"/>
    <w:rPr>
      <w:b w:val="0"/>
      <w:sz w:val="52"/>
      <w:szCs w:val="52"/>
    </w:rPr>
  </w:style>
  <w:style w:type="character" w:customStyle="1" w:styleId="ChaptertitleChar0">
    <w:name w:val="Chapter title Char"/>
    <w:basedOn w:val="ReporttitleChar0"/>
    <w:link w:val="Chaptertitle0"/>
    <w:rsid w:val="00980FDB"/>
    <w:rPr>
      <w:rFonts w:ascii="Lucida Fax" w:hAnsi="Lucida Fax"/>
      <w:b w:val="0"/>
      <w:color w:val="4F2D7F"/>
      <w:sz w:val="52"/>
      <w:szCs w:val="52"/>
    </w:rPr>
  </w:style>
  <w:style w:type="paragraph" w:customStyle="1" w:styleId="Numberedlist0">
    <w:name w:val="Numbered list"/>
    <w:basedOn w:val="ListNumber"/>
    <w:qFormat/>
    <w:rsid w:val="00980FDB"/>
    <w:pPr>
      <w:ind w:left="357" w:hanging="357"/>
    </w:pPr>
  </w:style>
  <w:style w:type="paragraph" w:customStyle="1" w:styleId="Numberedlist2">
    <w:name w:val="Numbered list 2"/>
    <w:basedOn w:val="ListNumber2"/>
    <w:qFormat/>
    <w:rsid w:val="00980FDB"/>
    <w:pPr>
      <w:numPr>
        <w:numId w:val="19"/>
      </w:numPr>
    </w:pPr>
  </w:style>
  <w:style w:type="paragraph" w:customStyle="1" w:styleId="Copyrighttext">
    <w:name w:val="Copyright text"/>
    <w:basedOn w:val="Normal"/>
    <w:link w:val="CopyrighttextChar"/>
    <w:qFormat/>
    <w:rsid w:val="00980FDB"/>
    <w:pPr>
      <w:spacing w:after="0" w:line="240" w:lineRule="auto"/>
      <w:ind w:left="1225"/>
      <w:contextualSpacing/>
    </w:pPr>
    <w:rPr>
      <w:sz w:val="16"/>
      <w:szCs w:val="16"/>
    </w:rPr>
  </w:style>
  <w:style w:type="character" w:customStyle="1" w:styleId="CopyrighttextChar">
    <w:name w:val="Copyright text Char"/>
    <w:basedOn w:val="DefaultParagraphFont"/>
    <w:link w:val="Copyrighttext"/>
    <w:rsid w:val="00980FDB"/>
    <w:rPr>
      <w:rFonts w:ascii="Arial" w:hAnsi="Arial"/>
      <w:sz w:val="16"/>
      <w:szCs w:val="16"/>
    </w:rPr>
  </w:style>
  <w:style w:type="paragraph" w:customStyle="1" w:styleId="TableofcontentsTOCheading">
    <w:name w:val="Table of contents (TOC) heading"/>
    <w:basedOn w:val="Normal"/>
    <w:link w:val="TableofcontentsTOCheadingChar"/>
    <w:qFormat/>
    <w:rsid w:val="00980FDB"/>
    <w:pPr>
      <w:spacing w:before="240" w:line="240" w:lineRule="auto"/>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980FDB"/>
    <w:rPr>
      <w:rFonts w:ascii="Arial" w:hAnsi="Arial"/>
      <w:b/>
      <w:sz w:val="20"/>
      <w:szCs w:val="20"/>
    </w:rPr>
  </w:style>
  <w:style w:type="paragraph" w:customStyle="1" w:styleId="Tableofcontentstext">
    <w:name w:val="Table of contents text"/>
    <w:basedOn w:val="Normal"/>
    <w:link w:val="TableofcontentstextChar"/>
    <w:qFormat/>
    <w:rsid w:val="00980FDB"/>
    <w:pPr>
      <w:spacing w:after="0" w:line="240" w:lineRule="auto"/>
      <w:ind w:left="1225"/>
      <w:contextualSpacing/>
    </w:pPr>
    <w:rPr>
      <w:sz w:val="20"/>
      <w:szCs w:val="20"/>
    </w:rPr>
  </w:style>
  <w:style w:type="character" w:customStyle="1" w:styleId="TableofcontentstextChar">
    <w:name w:val="Table of contents text Char"/>
    <w:basedOn w:val="DefaultParagraphFont"/>
    <w:link w:val="Tableofcontentstext"/>
    <w:rsid w:val="00980FDB"/>
    <w:rPr>
      <w:rFonts w:ascii="Arial" w:hAnsi="Arial"/>
      <w:sz w:val="20"/>
      <w:szCs w:val="20"/>
    </w:rPr>
  </w:style>
  <w:style w:type="paragraph" w:customStyle="1" w:styleId="Headingnumbered111">
    <w:name w:val="Heading numbered 1.1.1"/>
    <w:basedOn w:val="Normal"/>
    <w:link w:val="Headingnumbered111Char"/>
    <w:qFormat/>
    <w:rsid w:val="00980FDB"/>
    <w:pPr>
      <w:numPr>
        <w:ilvl w:val="2"/>
        <w:numId w:val="13"/>
      </w:numPr>
      <w:spacing w:before="240" w:after="240" w:line="240" w:lineRule="auto"/>
      <w:contextualSpacing/>
      <w:outlineLvl w:val="3"/>
    </w:pPr>
    <w:rPr>
      <w:sz w:val="24"/>
      <w:szCs w:val="24"/>
    </w:rPr>
  </w:style>
  <w:style w:type="character" w:customStyle="1" w:styleId="Headingnumbered111Char">
    <w:name w:val="Heading numbered 1.1.1 Char"/>
    <w:basedOn w:val="DefaultParagraphFont"/>
    <w:link w:val="Headingnumbered111"/>
    <w:rsid w:val="00980FDB"/>
    <w:rPr>
      <w:rFonts w:ascii="Arial" w:hAnsi="Arial"/>
      <w:sz w:val="24"/>
      <w:szCs w:val="24"/>
    </w:rPr>
  </w:style>
  <w:style w:type="paragraph" w:customStyle="1" w:styleId="Tableheadingtext">
    <w:name w:val="Table heading text"/>
    <w:basedOn w:val="Normal"/>
    <w:link w:val="TableheadingtextChar"/>
    <w:qFormat/>
    <w:rsid w:val="00980FDB"/>
    <w:pPr>
      <w:spacing w:before="240" w:after="240" w:line="240" w:lineRule="auto"/>
      <w:contextualSpacing/>
    </w:pPr>
    <w:rPr>
      <w:b/>
      <w:sz w:val="20"/>
      <w:szCs w:val="20"/>
    </w:rPr>
  </w:style>
  <w:style w:type="character" w:customStyle="1" w:styleId="TableheadingtextChar">
    <w:name w:val="Table heading text Char"/>
    <w:basedOn w:val="DefaultParagraphFont"/>
    <w:link w:val="Tableheadingtext"/>
    <w:rsid w:val="00980FDB"/>
    <w:rPr>
      <w:rFonts w:ascii="Arial" w:hAnsi="Arial"/>
      <w:b/>
      <w:sz w:val="20"/>
      <w:szCs w:val="20"/>
    </w:rPr>
  </w:style>
  <w:style w:type="paragraph" w:customStyle="1" w:styleId="Tablebodytext">
    <w:name w:val="Table body text"/>
    <w:basedOn w:val="Normal"/>
    <w:link w:val="TablebodytextChar"/>
    <w:qFormat/>
    <w:rsid w:val="00980FDB"/>
    <w:pPr>
      <w:spacing w:after="0" w:line="240" w:lineRule="auto"/>
      <w:ind w:left="1225"/>
      <w:contextualSpacing/>
    </w:pPr>
    <w:rPr>
      <w:sz w:val="20"/>
    </w:rPr>
  </w:style>
  <w:style w:type="character" w:customStyle="1" w:styleId="TablebodytextChar">
    <w:name w:val="Table body text Char"/>
    <w:basedOn w:val="DefaultParagraphFont"/>
    <w:link w:val="Tablebodytext"/>
    <w:rsid w:val="00980FDB"/>
    <w:rPr>
      <w:rFonts w:ascii="Arial" w:hAnsi="Arial"/>
      <w:sz w:val="20"/>
    </w:rPr>
  </w:style>
  <w:style w:type="paragraph" w:customStyle="1" w:styleId="Chartheading0">
    <w:name w:val="Chart heading"/>
    <w:basedOn w:val="Normal"/>
    <w:link w:val="ChartheadingChar0"/>
    <w:qFormat/>
    <w:rsid w:val="00980FDB"/>
    <w:pPr>
      <w:spacing w:before="240" w:after="240" w:line="240" w:lineRule="auto"/>
      <w:contextualSpacing/>
    </w:pPr>
    <w:rPr>
      <w:b/>
      <w:sz w:val="20"/>
      <w:szCs w:val="20"/>
    </w:rPr>
  </w:style>
  <w:style w:type="character" w:customStyle="1" w:styleId="ChartheadingChar0">
    <w:name w:val="Chart heading Char"/>
    <w:basedOn w:val="DefaultParagraphFont"/>
    <w:link w:val="Chartheading0"/>
    <w:rsid w:val="00980FDB"/>
    <w:rPr>
      <w:rFonts w:ascii="Arial" w:hAnsi="Arial"/>
      <w:b/>
      <w:sz w:val="20"/>
      <w:szCs w:val="20"/>
    </w:rPr>
  </w:style>
  <w:style w:type="paragraph" w:customStyle="1" w:styleId="Boxedtextheading">
    <w:name w:val="Boxed text heading"/>
    <w:basedOn w:val="Normal"/>
    <w:link w:val="BoxedtextheadingChar"/>
    <w:qFormat/>
    <w:rsid w:val="00980FDB"/>
    <w:pPr>
      <w:pBdr>
        <w:top w:val="single" w:sz="4" w:space="4" w:color="auto"/>
        <w:left w:val="single" w:sz="4" w:space="4" w:color="auto"/>
        <w:bottom w:val="single" w:sz="4" w:space="4" w:color="auto"/>
        <w:right w:val="single" w:sz="4" w:space="4" w:color="auto"/>
      </w:pBdr>
      <w:spacing w:before="240" w:after="240" w:line="240" w:lineRule="auto"/>
      <w:contextualSpacing/>
    </w:pPr>
    <w:rPr>
      <w:b/>
      <w:sz w:val="20"/>
      <w:szCs w:val="20"/>
    </w:rPr>
  </w:style>
  <w:style w:type="character" w:customStyle="1" w:styleId="BoxedtextheadingChar">
    <w:name w:val="Boxed text heading Char"/>
    <w:basedOn w:val="DefaultParagraphFont"/>
    <w:link w:val="Boxedtextheading"/>
    <w:rsid w:val="00980FDB"/>
    <w:rPr>
      <w:rFonts w:ascii="Arial" w:hAnsi="Arial"/>
      <w:b/>
      <w:sz w:val="20"/>
      <w:szCs w:val="20"/>
    </w:rPr>
  </w:style>
  <w:style w:type="paragraph" w:customStyle="1" w:styleId="Boxedtext0">
    <w:name w:val="Boxed text"/>
    <w:basedOn w:val="Normal"/>
    <w:link w:val="BoxedtextChar0"/>
    <w:qFormat/>
    <w:rsid w:val="00980FDB"/>
    <w:pPr>
      <w:pBdr>
        <w:top w:val="single" w:sz="4" w:space="4" w:color="auto"/>
        <w:left w:val="single" w:sz="4" w:space="4" w:color="auto"/>
        <w:bottom w:val="single" w:sz="4" w:space="4" w:color="auto"/>
        <w:right w:val="single" w:sz="4" w:space="4" w:color="auto"/>
      </w:pBdr>
      <w:spacing w:after="0" w:line="240" w:lineRule="auto"/>
      <w:contextualSpacing/>
    </w:pPr>
    <w:rPr>
      <w:sz w:val="20"/>
      <w:szCs w:val="20"/>
    </w:rPr>
  </w:style>
  <w:style w:type="character" w:customStyle="1" w:styleId="BoxedtextChar0">
    <w:name w:val="Boxed text Char"/>
    <w:basedOn w:val="DefaultParagraphFont"/>
    <w:link w:val="Boxedtext0"/>
    <w:rsid w:val="00980FDB"/>
    <w:rPr>
      <w:rFonts w:ascii="Arial" w:hAnsi="Arial"/>
      <w:sz w:val="20"/>
      <w:szCs w:val="20"/>
    </w:rPr>
  </w:style>
  <w:style w:type="paragraph" w:customStyle="1" w:styleId="Pullquoteheading">
    <w:name w:val="Pull quote heading"/>
    <w:basedOn w:val="Normal"/>
    <w:link w:val="PullquoteheadingChar"/>
    <w:qFormat/>
    <w:rsid w:val="00980FDB"/>
    <w:pPr>
      <w:spacing w:line="240" w:lineRule="auto"/>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980FDB"/>
    <w:rPr>
      <w:rFonts w:ascii="Lucida Fax" w:hAnsi="Lucida Fax"/>
      <w:b/>
      <w:color w:val="DC5034"/>
      <w:sz w:val="24"/>
      <w:szCs w:val="24"/>
    </w:rPr>
  </w:style>
  <w:style w:type="paragraph" w:customStyle="1" w:styleId="Pullquotetext">
    <w:name w:val="Pull quote text"/>
    <w:basedOn w:val="Pullquoteheading"/>
    <w:link w:val="PullquotetextChar"/>
    <w:qFormat/>
    <w:rsid w:val="00980FDB"/>
    <w:rPr>
      <w:b w:val="0"/>
    </w:rPr>
  </w:style>
  <w:style w:type="character" w:customStyle="1" w:styleId="PullquotetextChar">
    <w:name w:val="Pull quote text Char"/>
    <w:basedOn w:val="PullquoteheadingChar"/>
    <w:link w:val="Pullquotetext"/>
    <w:rsid w:val="00980FDB"/>
    <w:rPr>
      <w:rFonts w:ascii="Lucida Fax" w:hAnsi="Lucida Fax"/>
      <w:b w:val="0"/>
      <w:color w:val="DC5034"/>
      <w:sz w:val="24"/>
      <w:szCs w:val="24"/>
    </w:rPr>
  </w:style>
  <w:style w:type="paragraph" w:customStyle="1" w:styleId="Footnotes">
    <w:name w:val="Footnotes"/>
    <w:basedOn w:val="Normal"/>
    <w:link w:val="FootnotesChar"/>
    <w:qFormat/>
    <w:rsid w:val="00980FDB"/>
    <w:pPr>
      <w:spacing w:before="60" w:after="0" w:line="240" w:lineRule="auto"/>
      <w:contextualSpacing/>
    </w:pPr>
    <w:rPr>
      <w:sz w:val="16"/>
      <w:szCs w:val="16"/>
    </w:rPr>
  </w:style>
  <w:style w:type="character" w:customStyle="1" w:styleId="FootnotesChar">
    <w:name w:val="Footnotes Char"/>
    <w:basedOn w:val="DefaultParagraphFont"/>
    <w:link w:val="Footnotes"/>
    <w:rsid w:val="00980FDB"/>
    <w:rPr>
      <w:rFonts w:ascii="Arial" w:hAnsi="Arial"/>
      <w:sz w:val="16"/>
      <w:szCs w:val="16"/>
    </w:rPr>
  </w:style>
  <w:style w:type="paragraph" w:customStyle="1" w:styleId="Charttext0">
    <w:name w:val="Chart text"/>
    <w:basedOn w:val="Normal"/>
    <w:qFormat/>
    <w:rsid w:val="00980FDB"/>
    <w:pPr>
      <w:spacing w:line="240" w:lineRule="auto"/>
    </w:pPr>
    <w:rPr>
      <w:sz w:val="20"/>
    </w:rPr>
  </w:style>
  <w:style w:type="paragraph" w:customStyle="1" w:styleId="Bulletpoint">
    <w:name w:val="Bullet point"/>
    <w:basedOn w:val="ListBullet"/>
    <w:qFormat/>
    <w:rsid w:val="00980FDB"/>
    <w:rPr>
      <w:rFonts w:cs="Times New Roman"/>
    </w:rPr>
  </w:style>
  <w:style w:type="paragraph" w:styleId="ListBullet">
    <w:name w:val="List Bullet"/>
    <w:basedOn w:val="Normal"/>
    <w:uiPriority w:val="99"/>
    <w:semiHidden/>
    <w:unhideWhenUsed/>
    <w:rsid w:val="00980FDB"/>
    <w:pPr>
      <w:numPr>
        <w:numId w:val="14"/>
      </w:numPr>
      <w:spacing w:after="0" w:line="240" w:lineRule="auto"/>
      <w:contextualSpacing/>
    </w:pPr>
  </w:style>
  <w:style w:type="paragraph" w:customStyle="1" w:styleId="Bulletpoint2">
    <w:name w:val="Bullet point 2"/>
    <w:basedOn w:val="ListBullet2"/>
    <w:qFormat/>
    <w:rsid w:val="00980FDB"/>
    <w:pPr>
      <w:numPr>
        <w:numId w:val="18"/>
      </w:numPr>
    </w:pPr>
  </w:style>
  <w:style w:type="paragraph" w:styleId="ListNumber">
    <w:name w:val="List Number"/>
    <w:basedOn w:val="Normal"/>
    <w:uiPriority w:val="99"/>
    <w:semiHidden/>
    <w:unhideWhenUsed/>
    <w:rsid w:val="00980FDB"/>
    <w:pPr>
      <w:numPr>
        <w:numId w:val="16"/>
      </w:numPr>
      <w:spacing w:after="0" w:line="240" w:lineRule="auto"/>
      <w:contextualSpacing/>
    </w:pPr>
  </w:style>
  <w:style w:type="paragraph" w:styleId="ListBullet2">
    <w:name w:val="List Bullet 2"/>
    <w:basedOn w:val="Normal"/>
    <w:uiPriority w:val="99"/>
    <w:semiHidden/>
    <w:unhideWhenUsed/>
    <w:rsid w:val="00980FDB"/>
    <w:pPr>
      <w:numPr>
        <w:numId w:val="15"/>
      </w:numPr>
      <w:spacing w:after="0" w:line="240" w:lineRule="auto"/>
      <w:contextualSpacing/>
    </w:pPr>
  </w:style>
  <w:style w:type="paragraph" w:styleId="ListNumber2">
    <w:name w:val="List Number 2"/>
    <w:basedOn w:val="Normal"/>
    <w:uiPriority w:val="99"/>
    <w:semiHidden/>
    <w:unhideWhenUsed/>
    <w:rsid w:val="00980FDB"/>
    <w:pPr>
      <w:numPr>
        <w:numId w:val="17"/>
      </w:numPr>
      <w:spacing w:after="0" w:line="240" w:lineRule="auto"/>
      <w:contextualSpacing/>
    </w:pPr>
  </w:style>
  <w:style w:type="paragraph" w:customStyle="1" w:styleId="Default">
    <w:name w:val="Default"/>
    <w:basedOn w:val="Normal"/>
    <w:uiPriority w:val="99"/>
    <w:rsid w:val="00980FDB"/>
    <w:pPr>
      <w:autoSpaceDE w:val="0"/>
      <w:autoSpaceDN w:val="0"/>
      <w:spacing w:before="0" w:after="0" w:line="240" w:lineRule="auto"/>
    </w:pPr>
    <w:rPr>
      <w:rFonts w:eastAsia="Calibri" w:cs="Arial"/>
      <w:color w:val="000000"/>
      <w:sz w:val="24"/>
      <w:szCs w:val="24"/>
    </w:rPr>
  </w:style>
  <w:style w:type="paragraph" w:styleId="NormalWeb">
    <w:name w:val="Normal (Web)"/>
    <w:basedOn w:val="Normal"/>
    <w:uiPriority w:val="99"/>
    <w:semiHidden/>
    <w:unhideWhenUsed/>
    <w:rsid w:val="00980FDB"/>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ColorfulList-Accent51">
    <w:name w:val="Colorful List - Accent 51"/>
    <w:basedOn w:val="TableNormal"/>
    <w:next w:val="ColorfulList-Accent5"/>
    <w:uiPriority w:val="72"/>
    <w:rsid w:val="00A72524"/>
    <w:pPr>
      <w:spacing w:before="0"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511">
    <w:name w:val="Colorful List - Accent 511"/>
    <w:basedOn w:val="TableNormal"/>
    <w:next w:val="ColorfulList-Accent5"/>
    <w:uiPriority w:val="72"/>
    <w:rsid w:val="00A72524"/>
    <w:pPr>
      <w:spacing w:before="0"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TOC8">
    <w:name w:val="toc 8"/>
    <w:basedOn w:val="Normal"/>
    <w:next w:val="Normal"/>
    <w:uiPriority w:val="39"/>
    <w:rsid w:val="00FA7EFA"/>
    <w:pPr>
      <w:tabs>
        <w:tab w:val="right" w:leader="dot" w:pos="9016"/>
      </w:tabs>
      <w:spacing w:after="100" w:line="240" w:lineRule="atLeast"/>
      <w:ind w:left="2977"/>
    </w:pPr>
    <w:rPr>
      <w:noProof/>
    </w:rPr>
  </w:style>
  <w:style w:type="paragraph" w:styleId="TOC9">
    <w:name w:val="toc 9"/>
    <w:basedOn w:val="Normal"/>
    <w:next w:val="Normal"/>
    <w:uiPriority w:val="39"/>
    <w:rsid w:val="00FA7EFA"/>
    <w:pPr>
      <w:tabs>
        <w:tab w:val="right" w:leader="dot" w:pos="9016"/>
      </w:tabs>
      <w:spacing w:after="100" w:line="240" w:lineRule="atLeast"/>
      <w:ind w:left="3402"/>
    </w:pPr>
    <w:rPr>
      <w:noProof/>
    </w:rPr>
  </w:style>
  <w:style w:type="paragraph" w:styleId="TOC4">
    <w:name w:val="toc 4"/>
    <w:basedOn w:val="Normal"/>
    <w:next w:val="Normal"/>
    <w:uiPriority w:val="39"/>
    <w:rsid w:val="00FA7EFA"/>
    <w:pPr>
      <w:tabs>
        <w:tab w:val="right" w:leader="dot" w:pos="9016"/>
      </w:tabs>
      <w:spacing w:after="100" w:line="240" w:lineRule="atLeast"/>
      <w:ind w:left="1276"/>
    </w:pPr>
    <w:rPr>
      <w:noProof/>
    </w:rPr>
  </w:style>
  <w:style w:type="paragraph" w:styleId="TOC5">
    <w:name w:val="toc 5"/>
    <w:basedOn w:val="Normal"/>
    <w:next w:val="Normal"/>
    <w:uiPriority w:val="39"/>
    <w:rsid w:val="00FA7EFA"/>
    <w:pPr>
      <w:tabs>
        <w:tab w:val="right" w:leader="dot" w:pos="9016"/>
      </w:tabs>
      <w:spacing w:after="100" w:line="240" w:lineRule="atLeast"/>
      <w:ind w:left="1701"/>
    </w:pPr>
    <w:rPr>
      <w:noProof/>
    </w:rPr>
  </w:style>
  <w:style w:type="paragraph" w:styleId="TOC6">
    <w:name w:val="toc 6"/>
    <w:basedOn w:val="Normal"/>
    <w:next w:val="Normal"/>
    <w:uiPriority w:val="39"/>
    <w:rsid w:val="00FA7EFA"/>
    <w:pPr>
      <w:tabs>
        <w:tab w:val="right" w:leader="dot" w:pos="9016"/>
      </w:tabs>
      <w:spacing w:after="100" w:line="240" w:lineRule="atLeast"/>
      <w:ind w:left="2127"/>
    </w:pPr>
    <w:rPr>
      <w:noProof/>
    </w:rPr>
  </w:style>
  <w:style w:type="paragraph" w:styleId="TOC7">
    <w:name w:val="toc 7"/>
    <w:basedOn w:val="Normal"/>
    <w:next w:val="Normal"/>
    <w:uiPriority w:val="39"/>
    <w:rsid w:val="00FA7EFA"/>
    <w:pPr>
      <w:tabs>
        <w:tab w:val="right" w:leader="dot" w:pos="9016"/>
      </w:tabs>
      <w:spacing w:after="100" w:line="240" w:lineRule="atLeast"/>
      <w:ind w:left="2552"/>
    </w:pPr>
    <w:rPr>
      <w:noProof/>
    </w:rPr>
  </w:style>
  <w:style w:type="paragraph" w:styleId="Revision">
    <w:name w:val="Revision"/>
    <w:hidden/>
    <w:uiPriority w:val="99"/>
    <w:semiHidden/>
    <w:rsid w:val="00FC31C3"/>
    <w:pPr>
      <w:spacing w:before="0"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783205">
      <w:bodyDiv w:val="1"/>
      <w:marLeft w:val="0"/>
      <w:marRight w:val="0"/>
      <w:marTop w:val="0"/>
      <w:marBottom w:val="0"/>
      <w:divBdr>
        <w:top w:val="none" w:sz="0" w:space="0" w:color="auto"/>
        <w:left w:val="none" w:sz="0" w:space="0" w:color="auto"/>
        <w:bottom w:val="none" w:sz="0" w:space="0" w:color="auto"/>
        <w:right w:val="none" w:sz="0" w:space="0" w:color="auto"/>
      </w:divBdr>
    </w:div>
    <w:div w:id="191385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hyperlink" Target="mailto:AERInquiry@aer.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www.yourchoice.vic.gov.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image" Target="media/image3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comparator.qca.org.au/" TargetMode="External"/><Relationship Id="rId45" Type="http://schemas.openxmlformats.org/officeDocument/2006/relationships/hyperlink" Target="https://mpp.switchon.vic.gov.au" TargetMode="External"/><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energymadeeasy.gov.au" TargetMode="External"/><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dhs.vic.gov.au/for-individuals/financial-support/concessions/energy/annual-electricity-concession" TargetMode="External"/><Relationship Id="rId3" Type="http://schemas.openxmlformats.org/officeDocument/2006/relationships/hyperlink" Target="http://www.aemc.gov.au/Markets-Reviews-Advice/2014-Retail-Competition-Review" TargetMode="External"/><Relationship Id="rId7" Type="http://schemas.openxmlformats.org/officeDocument/2006/relationships/hyperlink" Target="http://www.qca.org.au/Electricity/Consumer/SEQ-Electricity-Prices/Archive/Electricity-Prices-2013-14" TargetMode="External"/><Relationship Id="rId12" Type="http://schemas.openxmlformats.org/officeDocument/2006/relationships/hyperlink" Target="http://www.aer.gov.au/node/9751" TargetMode="External"/><Relationship Id="rId2" Type="http://schemas.openxmlformats.org/officeDocument/2006/relationships/hyperlink" Target="http://www.aemo.com.au" TargetMode="External"/><Relationship Id="rId1" Type="http://schemas.openxmlformats.org/officeDocument/2006/relationships/hyperlink" Target="http://www.aemc.gov.au/Markets-Reviews-Advice/2014-Retail-Competition-Review" TargetMode="External"/><Relationship Id="rId6" Type="http://schemas.openxmlformats.org/officeDocument/2006/relationships/hyperlink" Target="http://www.qca.org.au/Electricity/Reviews/Market-reports-and-statistics/Market-Customer-Statistics/Final-Report/Market-Customer-Statistics" TargetMode="External"/><Relationship Id="rId11" Type="http://schemas.openxmlformats.org/officeDocument/2006/relationships/hyperlink" Target="http://www.dhcs.act.gov.au/wac/concessions/energy_concession" TargetMode="External"/><Relationship Id="rId5" Type="http://schemas.openxmlformats.org/officeDocument/2006/relationships/hyperlink" Target="http://www.qca.org.au/Electricity/Consumer/SEQ-Electricity-Prices/Archive/Electricity-Prices-2013-14" TargetMode="External"/><Relationship Id="rId10" Type="http://schemas.openxmlformats.org/officeDocument/2006/relationships/hyperlink" Target="http://www.energyregulator.tas.gov.au/domino/otter.nsf/LookupFiles/132716%20Media%20Release.PDF/$file/132716%20Media%20Release.PDF" TargetMode="External"/><Relationship Id="rId4" Type="http://schemas.openxmlformats.org/officeDocument/2006/relationships/hyperlink" Target="http://www.ewon.com.au/ewon/assets/File/Publications/Annual_Reports/EWON-AR-FINAL-WEB.pdf" TargetMode="External"/><Relationship Id="rId9" Type="http://schemas.openxmlformats.org/officeDocument/2006/relationships/hyperlink" Target="http://www.dhs.vic.gov.au/for-individuals/financial-support/concessions/energy/winter-gas-concession" TargetMode="External"/></Relationships>
</file>

<file path=word/theme/theme1.xml><?xml version="1.0" encoding="utf-8"?>
<a:theme xmlns:a="http://schemas.openxmlformats.org/drawingml/2006/main" name="Office Theme">
  <a:themeElements>
    <a:clrScheme name="AER">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76A92"/>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9D0EC41D.dotm</Template>
  <TotalTime>0</TotalTime>
  <Pages>102</Pages>
  <Words>19635</Words>
  <Characters>111920</Characters>
  <Application>Microsoft Office Word</Application>
  <DocSecurity>0</DocSecurity>
  <Lines>932</Lines>
  <Paragraphs>262</Paragraphs>
  <ScaleCrop>false</ScaleCrop>
  <Company/>
  <LinksUpToDate>false</LinksUpToDate>
  <CharactersWithSpaces>131293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the performance of the retail energy market 2013-14</dc:title>
  <dc:creator/>
  <cp:lastModifiedBy/>
  <cp:revision>1</cp:revision>
  <dcterms:created xsi:type="dcterms:W3CDTF">2014-11-24T04:04:00Z</dcterms:created>
  <dcterms:modified xsi:type="dcterms:W3CDTF">2014-11-24T04:05:00Z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8305812</vt:lpwstr>
  </property>
</Properties>
</file>