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noProof/>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2BF01C32" wp14:editId="35766C7A">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2F05C0"/>
        <w:p w:rsidR="00DB723B" w:rsidRPr="00DB723B" w:rsidRDefault="00DB723B" w:rsidP="002F05C0"/>
        <w:p w:rsidR="00DB723B" w:rsidRPr="00DB723B" w:rsidRDefault="00DB723B" w:rsidP="002F05C0"/>
        <w:p w:rsidR="00DB723B" w:rsidRPr="00DB723B" w:rsidRDefault="00DB723B" w:rsidP="002F05C0"/>
        <w:p w:rsidR="00DB723B" w:rsidRPr="00DB723B" w:rsidRDefault="005A6CBD" w:rsidP="00327A1E">
          <w:pPr>
            <w:pStyle w:val="ReportTitle"/>
          </w:pPr>
          <w:r>
            <w:t>Proposed amendment</w:t>
          </w:r>
          <w:r w:rsidR="00DB723B" w:rsidRPr="00DB723B">
            <w:t xml:space="preserve"> </w:t>
          </w:r>
        </w:p>
        <w:p w:rsidR="000B4909" w:rsidRDefault="000B4909" w:rsidP="00327A1E">
          <w:pPr>
            <w:pStyle w:val="ReportSubtitle"/>
          </w:pPr>
        </w:p>
        <w:p w:rsidR="00DB723B" w:rsidRDefault="000B4909" w:rsidP="00327A1E">
          <w:pPr>
            <w:pStyle w:val="ReportSubtitle"/>
          </w:pPr>
          <w:r>
            <w:t>Electricity transmission network service providers</w:t>
          </w:r>
        </w:p>
        <w:p w:rsidR="005A6CBD" w:rsidRDefault="005A6CBD" w:rsidP="00327A1E">
          <w:pPr>
            <w:pStyle w:val="ReportSubtitle"/>
          </w:pPr>
        </w:p>
        <w:p w:rsidR="000B4909" w:rsidRPr="00DB723B" w:rsidRDefault="000B4909" w:rsidP="00327A1E">
          <w:pPr>
            <w:pStyle w:val="ReportSubtitle"/>
          </w:pPr>
          <w:r>
            <w:t>Roll forward model handbook</w:t>
          </w:r>
        </w:p>
        <w:p w:rsidR="00DB723B" w:rsidRPr="00DB723B" w:rsidRDefault="000B4909" w:rsidP="00327A1E">
          <w:pPr>
            <w:pStyle w:val="ReportDate"/>
          </w:pPr>
          <w:r>
            <w:t>Ju</w:t>
          </w:r>
          <w:r w:rsidR="005A6CBD">
            <w:t>ly</w:t>
          </w:r>
          <w:r w:rsidR="00DB723B" w:rsidRPr="00DB723B">
            <w:t xml:space="preserve"> 201</w:t>
          </w:r>
          <w:r w:rsidR="00DB723B">
            <w:t>5</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w:t>
      </w:r>
      <w:bookmarkStart w:id="0" w:name="_GoBack"/>
      <w:bookmarkEnd w:id="0"/>
      <w:r>
        <w:t xml:space="preserv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AA6380">
        <w:t>56886</w:t>
      </w:r>
    </w:p>
    <w:p w:rsidR="000A6C7B" w:rsidRDefault="000A6C7B" w:rsidP="000A6C7B"/>
    <w:p w:rsidR="000A6C7B" w:rsidRPr="00C569B4" w:rsidRDefault="000A6C7B" w:rsidP="000A6C7B">
      <w:r w:rsidRPr="00C569B4">
        <w:t xml:space="preserve">Amendment </w:t>
      </w:r>
      <w:r w:rsidR="005A6CBD">
        <w:t>r</w:t>
      </w:r>
      <w:r w:rsidRPr="00C569B4">
        <w:t>ecord</w:t>
      </w:r>
    </w:p>
    <w:tbl>
      <w:tblPr>
        <w:tblStyle w:val="AERTable-Text"/>
        <w:tblW w:w="0" w:type="auto"/>
        <w:tblLook w:val="04A0" w:firstRow="1" w:lastRow="0" w:firstColumn="1" w:lastColumn="0" w:noHBand="0" w:noVBand="1"/>
      </w:tblPr>
      <w:tblGrid>
        <w:gridCol w:w="2223"/>
        <w:gridCol w:w="1985"/>
        <w:gridCol w:w="2321"/>
        <w:gridCol w:w="2164"/>
      </w:tblGrid>
      <w:tr w:rsidR="005A6CBD" w:rsidTr="00A93215">
        <w:trPr>
          <w:cnfStyle w:val="100000000000" w:firstRow="1" w:lastRow="0" w:firstColumn="0" w:lastColumn="0" w:oddVBand="0" w:evenVBand="0" w:oddHBand="0" w:evenHBand="0" w:firstRowFirstColumn="0" w:firstRowLastColumn="0" w:lastRowFirstColumn="0" w:lastRowLastColumn="0"/>
        </w:trPr>
        <w:tc>
          <w:tcPr>
            <w:tcW w:w="2223" w:type="dxa"/>
          </w:tcPr>
          <w:p w:rsidR="005A6CBD" w:rsidRDefault="005A6CBD" w:rsidP="00A93215">
            <w:pPr>
              <w:pStyle w:val="Tabletext"/>
            </w:pPr>
            <w:r>
              <w:t>Handbook version</w:t>
            </w:r>
          </w:p>
        </w:tc>
        <w:tc>
          <w:tcPr>
            <w:tcW w:w="1985" w:type="dxa"/>
          </w:tcPr>
          <w:p w:rsidR="005A6CBD" w:rsidRDefault="005A6CBD" w:rsidP="005A6CBD">
            <w:pPr>
              <w:pStyle w:val="Tabletext"/>
            </w:pPr>
            <w:r>
              <w:t>Model version</w:t>
            </w:r>
          </w:p>
        </w:tc>
        <w:tc>
          <w:tcPr>
            <w:tcW w:w="2321" w:type="dxa"/>
          </w:tcPr>
          <w:p w:rsidR="005A6CBD" w:rsidRDefault="005A6CBD" w:rsidP="00A93215">
            <w:pPr>
              <w:pStyle w:val="Tabletext"/>
            </w:pPr>
            <w:r>
              <w:t>Date</w:t>
            </w:r>
          </w:p>
        </w:tc>
        <w:tc>
          <w:tcPr>
            <w:tcW w:w="2164" w:type="dxa"/>
          </w:tcPr>
          <w:p w:rsidR="005A6CBD" w:rsidRDefault="005A6CBD" w:rsidP="00A93215">
            <w:pPr>
              <w:pStyle w:val="Tabletext"/>
            </w:pPr>
            <w:r>
              <w:t>Pages</w:t>
            </w:r>
          </w:p>
        </w:tc>
      </w:tr>
      <w:tr w:rsidR="005A6CBD" w:rsidTr="00A93215">
        <w:tc>
          <w:tcPr>
            <w:tcW w:w="2223" w:type="dxa"/>
          </w:tcPr>
          <w:p w:rsidR="005A6CBD" w:rsidRDefault="005A6CBD" w:rsidP="00A93215">
            <w:pPr>
              <w:pStyle w:val="Tabletext"/>
            </w:pPr>
            <w:r>
              <w:t>1</w:t>
            </w:r>
          </w:p>
        </w:tc>
        <w:tc>
          <w:tcPr>
            <w:tcW w:w="1985" w:type="dxa"/>
          </w:tcPr>
          <w:p w:rsidR="005A6CBD" w:rsidRDefault="005A6CBD" w:rsidP="005A6CBD">
            <w:pPr>
              <w:pStyle w:val="Tabletext"/>
            </w:pPr>
            <w:r>
              <w:t>1</w:t>
            </w:r>
          </w:p>
        </w:tc>
        <w:tc>
          <w:tcPr>
            <w:tcW w:w="2321" w:type="dxa"/>
          </w:tcPr>
          <w:p w:rsidR="005A6CBD" w:rsidRDefault="005A6CBD" w:rsidP="00A93215">
            <w:pPr>
              <w:pStyle w:val="Tabletext"/>
            </w:pPr>
            <w:r>
              <w:t>September 2007</w:t>
            </w:r>
          </w:p>
        </w:tc>
        <w:tc>
          <w:tcPr>
            <w:tcW w:w="2164" w:type="dxa"/>
          </w:tcPr>
          <w:p w:rsidR="005A6CBD" w:rsidRDefault="005A6CBD" w:rsidP="00A93215">
            <w:pPr>
              <w:pStyle w:val="Tabletext"/>
            </w:pPr>
            <w:r>
              <w:t>24</w:t>
            </w:r>
          </w:p>
        </w:tc>
      </w:tr>
      <w:tr w:rsidR="005A6CBD" w:rsidTr="00A93215">
        <w:trPr>
          <w:cnfStyle w:val="000000010000" w:firstRow="0" w:lastRow="0" w:firstColumn="0" w:lastColumn="0" w:oddVBand="0" w:evenVBand="0" w:oddHBand="0" w:evenHBand="1" w:firstRowFirstColumn="0" w:firstRowLastColumn="0" w:lastRowFirstColumn="0" w:lastRowLastColumn="0"/>
        </w:trPr>
        <w:tc>
          <w:tcPr>
            <w:tcW w:w="2223" w:type="dxa"/>
          </w:tcPr>
          <w:p w:rsidR="005A6CBD" w:rsidRDefault="005A6CBD" w:rsidP="00A93215">
            <w:pPr>
              <w:pStyle w:val="Tabletext"/>
            </w:pPr>
            <w:r>
              <w:t>2</w:t>
            </w:r>
          </w:p>
        </w:tc>
        <w:tc>
          <w:tcPr>
            <w:tcW w:w="1985" w:type="dxa"/>
          </w:tcPr>
          <w:p w:rsidR="005A6CBD" w:rsidRDefault="005A6CBD" w:rsidP="005A6CBD">
            <w:pPr>
              <w:pStyle w:val="Tabletext"/>
            </w:pPr>
            <w:r>
              <w:t>2</w:t>
            </w:r>
          </w:p>
        </w:tc>
        <w:tc>
          <w:tcPr>
            <w:tcW w:w="2321" w:type="dxa"/>
          </w:tcPr>
          <w:p w:rsidR="005A6CBD" w:rsidRDefault="005A6CBD" w:rsidP="00A93215">
            <w:pPr>
              <w:pStyle w:val="Tabletext"/>
            </w:pPr>
            <w:r>
              <w:t>December 2010</w:t>
            </w:r>
          </w:p>
        </w:tc>
        <w:tc>
          <w:tcPr>
            <w:tcW w:w="2164" w:type="dxa"/>
          </w:tcPr>
          <w:p w:rsidR="005A6CBD" w:rsidRDefault="005A6CBD" w:rsidP="00A93215">
            <w:pPr>
              <w:pStyle w:val="Tabletext"/>
            </w:pPr>
            <w:r>
              <w:t>30</w:t>
            </w:r>
          </w:p>
        </w:tc>
      </w:tr>
      <w:tr w:rsidR="005A6CBD" w:rsidTr="00A93215">
        <w:tc>
          <w:tcPr>
            <w:tcW w:w="2223" w:type="dxa"/>
          </w:tcPr>
          <w:p w:rsidR="005A6CBD" w:rsidRDefault="005A6CBD" w:rsidP="00A93215">
            <w:pPr>
              <w:pStyle w:val="Tabletext"/>
            </w:pPr>
            <w:r>
              <w:t>3</w:t>
            </w:r>
          </w:p>
        </w:tc>
        <w:tc>
          <w:tcPr>
            <w:tcW w:w="1985" w:type="dxa"/>
          </w:tcPr>
          <w:p w:rsidR="005A6CBD" w:rsidRDefault="005A6CBD" w:rsidP="005A6CBD">
            <w:pPr>
              <w:pStyle w:val="Tabletext"/>
            </w:pPr>
            <w:r>
              <w:t>3</w:t>
            </w:r>
          </w:p>
        </w:tc>
        <w:tc>
          <w:tcPr>
            <w:tcW w:w="2321" w:type="dxa"/>
          </w:tcPr>
          <w:p w:rsidR="005A6CBD" w:rsidRDefault="005A6CBD" w:rsidP="00A93215">
            <w:pPr>
              <w:pStyle w:val="Tabletext"/>
            </w:pPr>
            <w:r>
              <w:t>July 2015 (draft)</w:t>
            </w:r>
          </w:p>
        </w:tc>
        <w:tc>
          <w:tcPr>
            <w:tcW w:w="2164" w:type="dxa"/>
          </w:tcPr>
          <w:p w:rsidR="005A6CBD" w:rsidRDefault="00D41DCB" w:rsidP="00E005C5">
            <w:pPr>
              <w:pStyle w:val="Tabletext"/>
            </w:pPr>
            <w:r w:rsidRPr="00E005C5">
              <w:t>3</w:t>
            </w:r>
            <w:r w:rsidR="009431DB">
              <w:t>7</w:t>
            </w:r>
          </w:p>
        </w:tc>
      </w:tr>
    </w:tbl>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7378D8"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23696177" w:history="1">
        <w:r w:rsidR="007378D8" w:rsidRPr="00685E7B">
          <w:rPr>
            <w:rStyle w:val="Hyperlink"/>
          </w:rPr>
          <w:t>Shortened forms</w:t>
        </w:r>
        <w:r w:rsidR="007378D8">
          <w:rPr>
            <w:webHidden/>
          </w:rPr>
          <w:tab/>
        </w:r>
        <w:r w:rsidR="007378D8">
          <w:rPr>
            <w:webHidden/>
          </w:rPr>
          <w:fldChar w:fldCharType="begin"/>
        </w:r>
        <w:r w:rsidR="007378D8">
          <w:rPr>
            <w:webHidden/>
          </w:rPr>
          <w:instrText xml:space="preserve"> PAGEREF _Toc423696177 \h </w:instrText>
        </w:r>
        <w:r w:rsidR="007378D8">
          <w:rPr>
            <w:webHidden/>
          </w:rPr>
        </w:r>
        <w:r w:rsidR="007378D8">
          <w:rPr>
            <w:webHidden/>
          </w:rPr>
          <w:fldChar w:fldCharType="separate"/>
        </w:r>
        <w:r w:rsidR="00F92CE8">
          <w:rPr>
            <w:webHidden/>
          </w:rPr>
          <w:t>i</w:t>
        </w:r>
        <w:r w:rsidR="007378D8">
          <w:rPr>
            <w:webHidden/>
          </w:rPr>
          <w:fldChar w:fldCharType="end"/>
        </w:r>
      </w:hyperlink>
    </w:p>
    <w:p w:rsidR="007378D8" w:rsidRDefault="00F92CE8">
      <w:pPr>
        <w:pStyle w:val="TOC1"/>
        <w:rPr>
          <w:rFonts w:asciiTheme="minorHAnsi" w:eastAsiaTheme="minorEastAsia" w:hAnsiTheme="minorHAnsi"/>
          <w:b w:val="0"/>
          <w:color w:val="auto"/>
          <w:sz w:val="22"/>
          <w:lang w:val="en-AU" w:eastAsia="en-AU"/>
        </w:rPr>
      </w:pPr>
      <w:hyperlink w:anchor="_Toc423696178" w:history="1">
        <w:r w:rsidR="007378D8" w:rsidRPr="00685E7B">
          <w:rPr>
            <w:rStyle w:val="Hyperlink"/>
          </w:rPr>
          <w:t>1</w:t>
        </w:r>
        <w:r w:rsidR="007378D8">
          <w:rPr>
            <w:rFonts w:asciiTheme="minorHAnsi" w:eastAsiaTheme="minorEastAsia" w:hAnsiTheme="minorHAnsi"/>
            <w:b w:val="0"/>
            <w:color w:val="auto"/>
            <w:sz w:val="22"/>
            <w:lang w:val="en-AU" w:eastAsia="en-AU"/>
          </w:rPr>
          <w:tab/>
        </w:r>
        <w:r w:rsidR="007378D8" w:rsidRPr="00685E7B">
          <w:rPr>
            <w:rStyle w:val="Hyperlink"/>
          </w:rPr>
          <w:t>Nature and authority</w:t>
        </w:r>
        <w:r w:rsidR="007378D8">
          <w:rPr>
            <w:webHidden/>
          </w:rPr>
          <w:tab/>
        </w:r>
        <w:r w:rsidR="007378D8">
          <w:rPr>
            <w:webHidden/>
          </w:rPr>
          <w:fldChar w:fldCharType="begin"/>
        </w:r>
        <w:r w:rsidR="007378D8">
          <w:rPr>
            <w:webHidden/>
          </w:rPr>
          <w:instrText xml:space="preserve"> PAGEREF _Toc423696178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79" w:history="1">
        <w:r w:rsidR="007378D8" w:rsidRPr="00685E7B">
          <w:rPr>
            <w:rStyle w:val="Hyperlink"/>
          </w:rPr>
          <w:t>1.1</w:t>
        </w:r>
        <w:r w:rsidR="007378D8">
          <w:rPr>
            <w:rFonts w:asciiTheme="minorHAnsi" w:eastAsiaTheme="minorEastAsia" w:hAnsiTheme="minorHAnsi"/>
            <w:b w:val="0"/>
            <w:color w:val="auto"/>
            <w:sz w:val="22"/>
            <w:lang w:eastAsia="en-AU"/>
          </w:rPr>
          <w:tab/>
        </w:r>
        <w:r w:rsidR="007378D8" w:rsidRPr="00685E7B">
          <w:rPr>
            <w:rStyle w:val="Hyperlink"/>
          </w:rPr>
          <w:t>Introduction</w:t>
        </w:r>
        <w:r w:rsidR="007378D8">
          <w:rPr>
            <w:webHidden/>
          </w:rPr>
          <w:tab/>
        </w:r>
        <w:r w:rsidR="007378D8">
          <w:rPr>
            <w:webHidden/>
          </w:rPr>
          <w:fldChar w:fldCharType="begin"/>
        </w:r>
        <w:r w:rsidR="007378D8">
          <w:rPr>
            <w:webHidden/>
          </w:rPr>
          <w:instrText xml:space="preserve"> PAGEREF _Toc423696179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0" w:history="1">
        <w:r w:rsidR="007378D8" w:rsidRPr="00685E7B">
          <w:rPr>
            <w:rStyle w:val="Hyperlink"/>
          </w:rPr>
          <w:t>1.2</w:t>
        </w:r>
        <w:r w:rsidR="007378D8">
          <w:rPr>
            <w:rFonts w:asciiTheme="minorHAnsi" w:eastAsiaTheme="minorEastAsia" w:hAnsiTheme="minorHAnsi"/>
            <w:b w:val="0"/>
            <w:color w:val="auto"/>
            <w:sz w:val="22"/>
            <w:lang w:eastAsia="en-AU"/>
          </w:rPr>
          <w:tab/>
        </w:r>
        <w:r w:rsidR="007378D8" w:rsidRPr="00685E7B">
          <w:rPr>
            <w:rStyle w:val="Hyperlink"/>
          </w:rPr>
          <w:t>Authority</w:t>
        </w:r>
        <w:r w:rsidR="007378D8">
          <w:rPr>
            <w:webHidden/>
          </w:rPr>
          <w:tab/>
        </w:r>
        <w:r w:rsidR="007378D8">
          <w:rPr>
            <w:webHidden/>
          </w:rPr>
          <w:fldChar w:fldCharType="begin"/>
        </w:r>
        <w:r w:rsidR="007378D8">
          <w:rPr>
            <w:webHidden/>
          </w:rPr>
          <w:instrText xml:space="preserve"> PAGEREF _Toc423696180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1" w:history="1">
        <w:r w:rsidR="007378D8" w:rsidRPr="00685E7B">
          <w:rPr>
            <w:rStyle w:val="Hyperlink"/>
          </w:rPr>
          <w:t>1.3</w:t>
        </w:r>
        <w:r w:rsidR="007378D8">
          <w:rPr>
            <w:rFonts w:asciiTheme="minorHAnsi" w:eastAsiaTheme="minorEastAsia" w:hAnsiTheme="minorHAnsi"/>
            <w:b w:val="0"/>
            <w:color w:val="auto"/>
            <w:sz w:val="22"/>
            <w:lang w:eastAsia="en-AU"/>
          </w:rPr>
          <w:tab/>
        </w:r>
        <w:r w:rsidR="007378D8" w:rsidRPr="00685E7B">
          <w:rPr>
            <w:rStyle w:val="Hyperlink"/>
          </w:rPr>
          <w:t>Role of the model</w:t>
        </w:r>
        <w:r w:rsidR="007378D8">
          <w:rPr>
            <w:webHidden/>
          </w:rPr>
          <w:tab/>
        </w:r>
        <w:r w:rsidR="007378D8">
          <w:rPr>
            <w:webHidden/>
          </w:rPr>
          <w:fldChar w:fldCharType="begin"/>
        </w:r>
        <w:r w:rsidR="007378D8">
          <w:rPr>
            <w:webHidden/>
          </w:rPr>
          <w:instrText xml:space="preserve"> PAGEREF _Toc423696181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2" w:history="1">
        <w:r w:rsidR="007378D8" w:rsidRPr="00685E7B">
          <w:rPr>
            <w:rStyle w:val="Hyperlink"/>
          </w:rPr>
          <w:t>1.4</w:t>
        </w:r>
        <w:r w:rsidR="007378D8">
          <w:rPr>
            <w:rFonts w:asciiTheme="minorHAnsi" w:eastAsiaTheme="minorEastAsia" w:hAnsiTheme="minorHAnsi"/>
            <w:b w:val="0"/>
            <w:color w:val="auto"/>
            <w:sz w:val="22"/>
            <w:lang w:eastAsia="en-AU"/>
          </w:rPr>
          <w:tab/>
        </w:r>
        <w:r w:rsidR="007378D8" w:rsidRPr="00685E7B">
          <w:rPr>
            <w:rStyle w:val="Hyperlink"/>
          </w:rPr>
          <w:t>Confidentiality</w:t>
        </w:r>
        <w:r w:rsidR="007378D8">
          <w:rPr>
            <w:webHidden/>
          </w:rPr>
          <w:tab/>
        </w:r>
        <w:r w:rsidR="007378D8">
          <w:rPr>
            <w:webHidden/>
          </w:rPr>
          <w:fldChar w:fldCharType="begin"/>
        </w:r>
        <w:r w:rsidR="007378D8">
          <w:rPr>
            <w:webHidden/>
          </w:rPr>
          <w:instrText xml:space="preserve"> PAGEREF _Toc423696182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3" w:history="1">
        <w:r w:rsidR="007378D8" w:rsidRPr="00685E7B">
          <w:rPr>
            <w:rStyle w:val="Hyperlink"/>
          </w:rPr>
          <w:t>1.5</w:t>
        </w:r>
        <w:r w:rsidR="007378D8">
          <w:rPr>
            <w:rFonts w:asciiTheme="minorHAnsi" w:eastAsiaTheme="minorEastAsia" w:hAnsiTheme="minorHAnsi"/>
            <w:b w:val="0"/>
            <w:color w:val="auto"/>
            <w:sz w:val="22"/>
            <w:lang w:eastAsia="en-AU"/>
          </w:rPr>
          <w:tab/>
        </w:r>
        <w:r w:rsidR="007378D8" w:rsidRPr="00685E7B">
          <w:rPr>
            <w:rStyle w:val="Hyperlink"/>
          </w:rPr>
          <w:t>Process for revision</w:t>
        </w:r>
        <w:r w:rsidR="007378D8">
          <w:rPr>
            <w:webHidden/>
          </w:rPr>
          <w:tab/>
        </w:r>
        <w:r w:rsidR="007378D8">
          <w:rPr>
            <w:webHidden/>
          </w:rPr>
          <w:fldChar w:fldCharType="begin"/>
        </w:r>
        <w:r w:rsidR="007378D8">
          <w:rPr>
            <w:webHidden/>
          </w:rPr>
          <w:instrText xml:space="preserve"> PAGEREF _Toc423696183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4" w:history="1">
        <w:r w:rsidR="007378D8" w:rsidRPr="00685E7B">
          <w:rPr>
            <w:rStyle w:val="Hyperlink"/>
          </w:rPr>
          <w:t>1.6</w:t>
        </w:r>
        <w:r w:rsidR="007378D8">
          <w:rPr>
            <w:rFonts w:asciiTheme="minorHAnsi" w:eastAsiaTheme="minorEastAsia" w:hAnsiTheme="minorHAnsi"/>
            <w:b w:val="0"/>
            <w:color w:val="auto"/>
            <w:sz w:val="22"/>
            <w:lang w:eastAsia="en-AU"/>
          </w:rPr>
          <w:tab/>
        </w:r>
        <w:r w:rsidR="007378D8" w:rsidRPr="00685E7B">
          <w:rPr>
            <w:rStyle w:val="Hyperlink"/>
          </w:rPr>
          <w:t>Version history and effective date</w:t>
        </w:r>
        <w:r w:rsidR="007378D8">
          <w:rPr>
            <w:webHidden/>
          </w:rPr>
          <w:tab/>
        </w:r>
        <w:r w:rsidR="007378D8">
          <w:rPr>
            <w:webHidden/>
          </w:rPr>
          <w:fldChar w:fldCharType="begin"/>
        </w:r>
        <w:r w:rsidR="007378D8">
          <w:rPr>
            <w:webHidden/>
          </w:rPr>
          <w:instrText xml:space="preserve"> PAGEREF _Toc423696184 \h </w:instrText>
        </w:r>
        <w:r w:rsidR="007378D8">
          <w:rPr>
            <w:webHidden/>
          </w:rPr>
        </w:r>
        <w:r w:rsidR="007378D8">
          <w:rPr>
            <w:webHidden/>
          </w:rPr>
          <w:fldChar w:fldCharType="separate"/>
        </w:r>
        <w:r>
          <w:rPr>
            <w:webHidden/>
          </w:rPr>
          <w:t>1</w:t>
        </w:r>
        <w:r w:rsidR="007378D8">
          <w:rPr>
            <w:webHidden/>
          </w:rPr>
          <w:fldChar w:fldCharType="end"/>
        </w:r>
      </w:hyperlink>
    </w:p>
    <w:p w:rsidR="007378D8" w:rsidRDefault="00F92CE8">
      <w:pPr>
        <w:pStyle w:val="TOC1"/>
        <w:rPr>
          <w:rFonts w:asciiTheme="minorHAnsi" w:eastAsiaTheme="minorEastAsia" w:hAnsiTheme="minorHAnsi"/>
          <w:b w:val="0"/>
          <w:color w:val="auto"/>
          <w:sz w:val="22"/>
          <w:lang w:val="en-AU" w:eastAsia="en-AU"/>
        </w:rPr>
      </w:pPr>
      <w:hyperlink w:anchor="_Toc423696185" w:history="1">
        <w:r w:rsidR="007378D8" w:rsidRPr="00685E7B">
          <w:rPr>
            <w:rStyle w:val="Hyperlink"/>
          </w:rPr>
          <w:t>2</w:t>
        </w:r>
        <w:r w:rsidR="007378D8">
          <w:rPr>
            <w:rFonts w:asciiTheme="minorHAnsi" w:eastAsiaTheme="minorEastAsia" w:hAnsiTheme="minorHAnsi"/>
            <w:b w:val="0"/>
            <w:color w:val="auto"/>
            <w:sz w:val="22"/>
            <w:lang w:val="en-AU" w:eastAsia="en-AU"/>
          </w:rPr>
          <w:tab/>
        </w:r>
        <w:r w:rsidR="007378D8" w:rsidRPr="00685E7B">
          <w:rPr>
            <w:rStyle w:val="Hyperlink"/>
          </w:rPr>
          <w:t>The model</w:t>
        </w:r>
        <w:r w:rsidR="007378D8">
          <w:rPr>
            <w:webHidden/>
          </w:rPr>
          <w:tab/>
        </w:r>
        <w:r w:rsidR="007378D8">
          <w:rPr>
            <w:webHidden/>
          </w:rPr>
          <w:fldChar w:fldCharType="begin"/>
        </w:r>
        <w:r w:rsidR="007378D8">
          <w:rPr>
            <w:webHidden/>
          </w:rPr>
          <w:instrText xml:space="preserve"> PAGEREF _Toc423696185 \h </w:instrText>
        </w:r>
        <w:r w:rsidR="007378D8">
          <w:rPr>
            <w:webHidden/>
          </w:rPr>
        </w:r>
        <w:r w:rsidR="007378D8">
          <w:rPr>
            <w:webHidden/>
          </w:rPr>
          <w:fldChar w:fldCharType="separate"/>
        </w:r>
        <w:r>
          <w:rPr>
            <w:webHidden/>
          </w:rPr>
          <w:t>2</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6" w:history="1">
        <w:r w:rsidR="007378D8" w:rsidRPr="00685E7B">
          <w:rPr>
            <w:rStyle w:val="Hyperlink"/>
            <w:highlight w:val="yellow"/>
          </w:rPr>
          <w:t>2.1</w:t>
        </w:r>
        <w:r w:rsidR="007378D8">
          <w:rPr>
            <w:rFonts w:asciiTheme="minorHAnsi" w:eastAsiaTheme="minorEastAsia" w:hAnsiTheme="minorHAnsi"/>
            <w:b w:val="0"/>
            <w:color w:val="auto"/>
            <w:sz w:val="22"/>
            <w:lang w:eastAsia="en-AU"/>
          </w:rPr>
          <w:tab/>
        </w:r>
        <w:r w:rsidR="007378D8" w:rsidRPr="00685E7B">
          <w:rPr>
            <w:rStyle w:val="Hyperlink"/>
            <w:highlight w:val="yellow"/>
          </w:rPr>
          <w:t>Overview of the RFM</w:t>
        </w:r>
        <w:r w:rsidR="007378D8">
          <w:rPr>
            <w:webHidden/>
          </w:rPr>
          <w:tab/>
        </w:r>
        <w:r w:rsidR="007378D8">
          <w:rPr>
            <w:webHidden/>
          </w:rPr>
          <w:fldChar w:fldCharType="begin"/>
        </w:r>
        <w:r w:rsidR="007378D8">
          <w:rPr>
            <w:webHidden/>
          </w:rPr>
          <w:instrText xml:space="preserve"> PAGEREF _Toc423696186 \h </w:instrText>
        </w:r>
        <w:r w:rsidR="007378D8">
          <w:rPr>
            <w:webHidden/>
          </w:rPr>
        </w:r>
        <w:r w:rsidR="007378D8">
          <w:rPr>
            <w:webHidden/>
          </w:rPr>
          <w:fldChar w:fldCharType="separate"/>
        </w:r>
        <w:r>
          <w:rPr>
            <w:webHidden/>
          </w:rPr>
          <w:t>2</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7" w:history="1">
        <w:r w:rsidR="007378D8" w:rsidRPr="00685E7B">
          <w:rPr>
            <w:rStyle w:val="Hyperlink"/>
            <w:highlight w:val="yellow"/>
          </w:rPr>
          <w:t>2.2</w:t>
        </w:r>
        <w:r w:rsidR="007378D8">
          <w:rPr>
            <w:rFonts w:asciiTheme="minorHAnsi" w:eastAsiaTheme="minorEastAsia" w:hAnsiTheme="minorHAnsi"/>
            <w:b w:val="0"/>
            <w:color w:val="auto"/>
            <w:sz w:val="22"/>
            <w:lang w:eastAsia="en-AU"/>
          </w:rPr>
          <w:tab/>
        </w:r>
        <w:r w:rsidR="007378D8" w:rsidRPr="00685E7B">
          <w:rPr>
            <w:rStyle w:val="Hyperlink"/>
            <w:highlight w:val="yellow"/>
          </w:rPr>
          <w:t>DMS input sheet</w:t>
        </w:r>
        <w:r w:rsidR="007378D8">
          <w:rPr>
            <w:webHidden/>
          </w:rPr>
          <w:tab/>
        </w:r>
        <w:r w:rsidR="007378D8">
          <w:rPr>
            <w:webHidden/>
          </w:rPr>
          <w:fldChar w:fldCharType="begin"/>
        </w:r>
        <w:r w:rsidR="007378D8">
          <w:rPr>
            <w:webHidden/>
          </w:rPr>
          <w:instrText xml:space="preserve"> PAGEREF _Toc423696187 \h </w:instrText>
        </w:r>
        <w:r w:rsidR="007378D8">
          <w:rPr>
            <w:webHidden/>
          </w:rPr>
        </w:r>
        <w:r w:rsidR="007378D8">
          <w:rPr>
            <w:webHidden/>
          </w:rPr>
          <w:fldChar w:fldCharType="separate"/>
        </w:r>
        <w:r>
          <w:rPr>
            <w:webHidden/>
          </w:rPr>
          <w:t>3</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188" w:history="1">
        <w:r w:rsidR="007378D8" w:rsidRPr="00685E7B">
          <w:rPr>
            <w:rStyle w:val="Hyperlink"/>
          </w:rPr>
          <w:t>2.3</w:t>
        </w:r>
        <w:r w:rsidR="007378D8">
          <w:rPr>
            <w:rFonts w:asciiTheme="minorHAnsi" w:eastAsiaTheme="minorEastAsia" w:hAnsiTheme="minorHAnsi"/>
            <w:b w:val="0"/>
            <w:color w:val="auto"/>
            <w:sz w:val="22"/>
            <w:lang w:eastAsia="en-AU"/>
          </w:rPr>
          <w:tab/>
        </w:r>
        <w:r w:rsidR="007378D8" w:rsidRPr="00685E7B">
          <w:rPr>
            <w:rStyle w:val="Hyperlink"/>
          </w:rPr>
          <w:t>RFM input sheet</w:t>
        </w:r>
        <w:r w:rsidR="007378D8">
          <w:rPr>
            <w:webHidden/>
          </w:rPr>
          <w:tab/>
        </w:r>
        <w:r w:rsidR="007378D8">
          <w:rPr>
            <w:webHidden/>
          </w:rPr>
          <w:fldChar w:fldCharType="begin"/>
        </w:r>
        <w:r w:rsidR="007378D8">
          <w:rPr>
            <w:webHidden/>
          </w:rPr>
          <w:instrText xml:space="preserve"> PAGEREF _Toc423696188 \h </w:instrText>
        </w:r>
        <w:r w:rsidR="007378D8">
          <w:rPr>
            <w:webHidden/>
          </w:rPr>
        </w:r>
        <w:r w:rsidR="007378D8">
          <w:rPr>
            <w:webHidden/>
          </w:rPr>
          <w:fldChar w:fldCharType="separate"/>
        </w:r>
        <w:r>
          <w:rPr>
            <w:webHidden/>
          </w:rPr>
          <w:t>4</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89" w:history="1">
        <w:r w:rsidR="007378D8" w:rsidRPr="00685E7B">
          <w:rPr>
            <w:rStyle w:val="Hyperlink"/>
          </w:rPr>
          <w:t>2.3.1</w:t>
        </w:r>
        <w:r w:rsidR="007378D8">
          <w:rPr>
            <w:rFonts w:asciiTheme="minorHAnsi" w:eastAsiaTheme="minorEastAsia" w:hAnsiTheme="minorHAnsi"/>
            <w:lang w:eastAsia="en-AU"/>
          </w:rPr>
          <w:tab/>
        </w:r>
        <w:r w:rsidR="007378D8" w:rsidRPr="00685E7B">
          <w:rPr>
            <w:rStyle w:val="Hyperlink"/>
          </w:rPr>
          <w:t>Opening regulatory asset base and tax asset base</w:t>
        </w:r>
        <w:r w:rsidR="007378D8">
          <w:rPr>
            <w:webHidden/>
          </w:rPr>
          <w:tab/>
        </w:r>
        <w:r w:rsidR="007378D8">
          <w:rPr>
            <w:webHidden/>
          </w:rPr>
          <w:fldChar w:fldCharType="begin"/>
        </w:r>
        <w:r w:rsidR="007378D8">
          <w:rPr>
            <w:webHidden/>
          </w:rPr>
          <w:instrText xml:space="preserve"> PAGEREF _Toc423696189 \h </w:instrText>
        </w:r>
        <w:r w:rsidR="007378D8">
          <w:rPr>
            <w:webHidden/>
          </w:rPr>
        </w:r>
        <w:r w:rsidR="007378D8">
          <w:rPr>
            <w:webHidden/>
          </w:rPr>
          <w:fldChar w:fldCharType="separate"/>
        </w:r>
        <w:r>
          <w:rPr>
            <w:webHidden/>
          </w:rPr>
          <w:t>7</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0" w:history="1">
        <w:r w:rsidR="007378D8" w:rsidRPr="00685E7B">
          <w:rPr>
            <w:rStyle w:val="Hyperlink"/>
          </w:rPr>
          <w:t>2.3.2</w:t>
        </w:r>
        <w:r w:rsidR="007378D8">
          <w:rPr>
            <w:rFonts w:asciiTheme="minorHAnsi" w:eastAsiaTheme="minorEastAsia" w:hAnsiTheme="minorHAnsi"/>
            <w:lang w:eastAsia="en-AU"/>
          </w:rPr>
          <w:tab/>
        </w:r>
        <w:r w:rsidR="007378D8" w:rsidRPr="00685E7B">
          <w:rPr>
            <w:rStyle w:val="Hyperlink"/>
          </w:rPr>
          <w:t>Actual nominal capital expenditure—as-incurred</w:t>
        </w:r>
        <w:r w:rsidR="007378D8">
          <w:rPr>
            <w:webHidden/>
          </w:rPr>
          <w:tab/>
        </w:r>
        <w:r w:rsidR="007378D8">
          <w:rPr>
            <w:webHidden/>
          </w:rPr>
          <w:fldChar w:fldCharType="begin"/>
        </w:r>
        <w:r w:rsidR="007378D8">
          <w:rPr>
            <w:webHidden/>
          </w:rPr>
          <w:instrText xml:space="preserve"> PAGEREF _Toc423696190 \h </w:instrText>
        </w:r>
        <w:r w:rsidR="007378D8">
          <w:rPr>
            <w:webHidden/>
          </w:rPr>
        </w:r>
        <w:r w:rsidR="007378D8">
          <w:rPr>
            <w:webHidden/>
          </w:rPr>
          <w:fldChar w:fldCharType="separate"/>
        </w:r>
        <w:r>
          <w:rPr>
            <w:webHidden/>
          </w:rPr>
          <w:t>10</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1" w:history="1">
        <w:r w:rsidR="007378D8" w:rsidRPr="00685E7B">
          <w:rPr>
            <w:rStyle w:val="Hyperlink"/>
          </w:rPr>
          <w:t>2.3.3</w:t>
        </w:r>
        <w:r w:rsidR="007378D8">
          <w:rPr>
            <w:rFonts w:asciiTheme="minorHAnsi" w:eastAsiaTheme="minorEastAsia" w:hAnsiTheme="minorHAnsi"/>
            <w:lang w:eastAsia="en-AU"/>
          </w:rPr>
          <w:tab/>
        </w:r>
        <w:r w:rsidR="007378D8" w:rsidRPr="00685E7B">
          <w:rPr>
            <w:rStyle w:val="Hyperlink"/>
          </w:rPr>
          <w:t>Actual nominal asset disposals—as-incurred</w:t>
        </w:r>
        <w:r w:rsidR="007378D8">
          <w:rPr>
            <w:webHidden/>
          </w:rPr>
          <w:tab/>
        </w:r>
        <w:r w:rsidR="007378D8">
          <w:rPr>
            <w:webHidden/>
          </w:rPr>
          <w:fldChar w:fldCharType="begin"/>
        </w:r>
        <w:r w:rsidR="007378D8">
          <w:rPr>
            <w:webHidden/>
          </w:rPr>
          <w:instrText xml:space="preserve"> PAGEREF _Toc423696191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2" w:history="1">
        <w:r w:rsidR="007378D8" w:rsidRPr="00685E7B">
          <w:rPr>
            <w:rStyle w:val="Hyperlink"/>
          </w:rPr>
          <w:t>2.3.4</w:t>
        </w:r>
        <w:r w:rsidR="007378D8">
          <w:rPr>
            <w:rFonts w:asciiTheme="minorHAnsi" w:eastAsiaTheme="minorEastAsia" w:hAnsiTheme="minorHAnsi"/>
            <w:lang w:eastAsia="en-AU"/>
          </w:rPr>
          <w:tab/>
        </w:r>
        <w:r w:rsidR="007378D8" w:rsidRPr="00685E7B">
          <w:rPr>
            <w:rStyle w:val="Hyperlink"/>
          </w:rPr>
          <w:t>Actual real net capital expenditure—as-incurred</w:t>
        </w:r>
        <w:r w:rsidR="007378D8">
          <w:rPr>
            <w:webHidden/>
          </w:rPr>
          <w:tab/>
        </w:r>
        <w:r w:rsidR="007378D8">
          <w:rPr>
            <w:webHidden/>
          </w:rPr>
          <w:fldChar w:fldCharType="begin"/>
        </w:r>
        <w:r w:rsidR="007378D8">
          <w:rPr>
            <w:webHidden/>
          </w:rPr>
          <w:instrText xml:space="preserve"> PAGEREF _Toc423696192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3" w:history="1">
        <w:r w:rsidR="007378D8" w:rsidRPr="00685E7B">
          <w:rPr>
            <w:rStyle w:val="Hyperlink"/>
          </w:rPr>
          <w:t>2.3.5</w:t>
        </w:r>
        <w:r w:rsidR="007378D8">
          <w:rPr>
            <w:rFonts w:asciiTheme="minorHAnsi" w:eastAsiaTheme="minorEastAsia" w:hAnsiTheme="minorHAnsi"/>
            <w:lang w:eastAsia="en-AU"/>
          </w:rPr>
          <w:tab/>
        </w:r>
        <w:r w:rsidR="007378D8" w:rsidRPr="00685E7B">
          <w:rPr>
            <w:rStyle w:val="Hyperlink"/>
          </w:rPr>
          <w:t>Actual nominal capital expenditure—as-commissioned</w:t>
        </w:r>
        <w:r w:rsidR="007378D8">
          <w:rPr>
            <w:webHidden/>
          </w:rPr>
          <w:tab/>
        </w:r>
        <w:r w:rsidR="007378D8">
          <w:rPr>
            <w:webHidden/>
          </w:rPr>
          <w:fldChar w:fldCharType="begin"/>
        </w:r>
        <w:r w:rsidR="007378D8">
          <w:rPr>
            <w:webHidden/>
          </w:rPr>
          <w:instrText xml:space="preserve"> PAGEREF _Toc423696193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4" w:history="1">
        <w:r w:rsidR="007378D8" w:rsidRPr="00685E7B">
          <w:rPr>
            <w:rStyle w:val="Hyperlink"/>
          </w:rPr>
          <w:t>2.3.6</w:t>
        </w:r>
        <w:r w:rsidR="007378D8">
          <w:rPr>
            <w:rFonts w:asciiTheme="minorHAnsi" w:eastAsiaTheme="minorEastAsia" w:hAnsiTheme="minorHAnsi"/>
            <w:lang w:eastAsia="en-AU"/>
          </w:rPr>
          <w:tab/>
        </w:r>
        <w:r w:rsidR="007378D8" w:rsidRPr="00685E7B">
          <w:rPr>
            <w:rStyle w:val="Hyperlink"/>
          </w:rPr>
          <w:t>Actual nominal asset disposals—as-de-commissioned</w:t>
        </w:r>
        <w:r w:rsidR="007378D8">
          <w:rPr>
            <w:webHidden/>
          </w:rPr>
          <w:tab/>
        </w:r>
        <w:r w:rsidR="007378D8">
          <w:rPr>
            <w:webHidden/>
          </w:rPr>
          <w:fldChar w:fldCharType="begin"/>
        </w:r>
        <w:r w:rsidR="007378D8">
          <w:rPr>
            <w:webHidden/>
          </w:rPr>
          <w:instrText xml:space="preserve"> PAGEREF _Toc423696194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5" w:history="1">
        <w:r w:rsidR="007378D8" w:rsidRPr="00685E7B">
          <w:rPr>
            <w:rStyle w:val="Hyperlink"/>
          </w:rPr>
          <w:t>2.3.7</w:t>
        </w:r>
        <w:r w:rsidR="007378D8">
          <w:rPr>
            <w:rFonts w:asciiTheme="minorHAnsi" w:eastAsiaTheme="minorEastAsia" w:hAnsiTheme="minorHAnsi"/>
            <w:lang w:eastAsia="en-AU"/>
          </w:rPr>
          <w:tab/>
        </w:r>
        <w:r w:rsidR="007378D8" w:rsidRPr="00685E7B">
          <w:rPr>
            <w:rStyle w:val="Hyperlink"/>
          </w:rPr>
          <w:t>Actual real net capital expenditure—as-commissioned</w:t>
        </w:r>
        <w:r w:rsidR="007378D8">
          <w:rPr>
            <w:webHidden/>
          </w:rPr>
          <w:tab/>
        </w:r>
        <w:r w:rsidR="007378D8">
          <w:rPr>
            <w:webHidden/>
          </w:rPr>
          <w:fldChar w:fldCharType="begin"/>
        </w:r>
        <w:r w:rsidR="007378D8">
          <w:rPr>
            <w:webHidden/>
          </w:rPr>
          <w:instrText xml:space="preserve"> PAGEREF _Toc423696195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6" w:history="1">
        <w:r w:rsidR="007378D8" w:rsidRPr="00685E7B">
          <w:rPr>
            <w:rStyle w:val="Hyperlink"/>
          </w:rPr>
          <w:t>2.3.8</w:t>
        </w:r>
        <w:r w:rsidR="007378D8">
          <w:rPr>
            <w:rFonts w:asciiTheme="minorHAnsi" w:eastAsiaTheme="minorEastAsia" w:hAnsiTheme="minorHAnsi"/>
            <w:lang w:eastAsia="en-AU"/>
          </w:rPr>
          <w:tab/>
        </w:r>
        <w:r w:rsidR="007378D8" w:rsidRPr="00685E7B">
          <w:rPr>
            <w:rStyle w:val="Hyperlink"/>
          </w:rPr>
          <w:t>Inflation and rate of return</w:t>
        </w:r>
        <w:r w:rsidR="007378D8">
          <w:rPr>
            <w:webHidden/>
          </w:rPr>
          <w:tab/>
        </w:r>
        <w:r w:rsidR="007378D8">
          <w:rPr>
            <w:webHidden/>
          </w:rPr>
          <w:fldChar w:fldCharType="begin"/>
        </w:r>
        <w:r w:rsidR="007378D8">
          <w:rPr>
            <w:webHidden/>
          </w:rPr>
          <w:instrText xml:space="preserve"> PAGEREF _Toc423696196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7" w:history="1">
        <w:r w:rsidR="007378D8" w:rsidRPr="00685E7B">
          <w:rPr>
            <w:rStyle w:val="Hyperlink"/>
            <w:highlight w:val="yellow"/>
          </w:rPr>
          <w:t>2.3.9</w:t>
        </w:r>
        <w:r w:rsidR="007378D8">
          <w:rPr>
            <w:rFonts w:asciiTheme="minorHAnsi" w:eastAsiaTheme="minorEastAsia" w:hAnsiTheme="minorHAnsi"/>
            <w:lang w:eastAsia="en-AU"/>
          </w:rPr>
          <w:tab/>
        </w:r>
        <w:r w:rsidR="007378D8" w:rsidRPr="00685E7B">
          <w:rPr>
            <w:rStyle w:val="Hyperlink"/>
            <w:highlight w:val="yellow"/>
          </w:rPr>
          <w:t>Real straight-line depreciation option</w:t>
        </w:r>
        <w:r w:rsidR="007378D8">
          <w:rPr>
            <w:webHidden/>
          </w:rPr>
          <w:tab/>
        </w:r>
        <w:r w:rsidR="007378D8">
          <w:rPr>
            <w:webHidden/>
          </w:rPr>
          <w:fldChar w:fldCharType="begin"/>
        </w:r>
        <w:r w:rsidR="007378D8">
          <w:rPr>
            <w:webHidden/>
          </w:rPr>
          <w:instrText xml:space="preserve"> PAGEREF _Toc423696197 \h </w:instrText>
        </w:r>
        <w:r w:rsidR="007378D8">
          <w:rPr>
            <w:webHidden/>
          </w:rPr>
        </w:r>
        <w:r w:rsidR="007378D8">
          <w:rPr>
            <w:webHidden/>
          </w:rPr>
          <w:fldChar w:fldCharType="separate"/>
        </w:r>
        <w:r>
          <w:rPr>
            <w:webHidden/>
          </w:rPr>
          <w:t>11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8" w:history="1">
        <w:r w:rsidR="007378D8" w:rsidRPr="00685E7B">
          <w:rPr>
            <w:rStyle w:val="Hyperlink"/>
            <w:highlight w:val="yellow"/>
          </w:rPr>
          <w:t>2.3.10</w:t>
        </w:r>
        <w:r w:rsidR="007378D8">
          <w:rPr>
            <w:rFonts w:asciiTheme="minorHAnsi" w:eastAsiaTheme="minorEastAsia" w:hAnsiTheme="minorHAnsi"/>
            <w:lang w:eastAsia="en-AU"/>
          </w:rPr>
          <w:tab/>
        </w:r>
        <w:r w:rsidR="007378D8" w:rsidRPr="00685E7B">
          <w:rPr>
            <w:rStyle w:val="Hyperlink"/>
            <w:highlight w:val="yellow"/>
          </w:rPr>
          <w:t>Forecast real straight-line depreciation</w:t>
        </w:r>
        <w:r w:rsidR="007378D8">
          <w:rPr>
            <w:webHidden/>
          </w:rPr>
          <w:tab/>
        </w:r>
        <w:r w:rsidR="007378D8">
          <w:rPr>
            <w:webHidden/>
          </w:rPr>
          <w:fldChar w:fldCharType="begin"/>
        </w:r>
        <w:r w:rsidR="007378D8">
          <w:rPr>
            <w:webHidden/>
          </w:rPr>
          <w:instrText xml:space="preserve"> PAGEREF _Toc423696198 \h </w:instrText>
        </w:r>
        <w:r w:rsidR="007378D8">
          <w:rPr>
            <w:webHidden/>
          </w:rPr>
        </w:r>
        <w:r w:rsidR="007378D8">
          <w:rPr>
            <w:webHidden/>
          </w:rPr>
          <w:fldChar w:fldCharType="separate"/>
        </w:r>
        <w:r>
          <w:rPr>
            <w:webHidden/>
          </w:rPr>
          <w:t>12</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199" w:history="1">
        <w:r w:rsidR="007378D8" w:rsidRPr="00685E7B">
          <w:rPr>
            <w:rStyle w:val="Hyperlink"/>
            <w:highlight w:val="yellow"/>
          </w:rPr>
          <w:t>2.3.11</w:t>
        </w:r>
        <w:r w:rsidR="007378D8">
          <w:rPr>
            <w:rFonts w:asciiTheme="minorHAnsi" w:eastAsiaTheme="minorEastAsia" w:hAnsiTheme="minorHAnsi"/>
            <w:lang w:eastAsia="en-AU"/>
          </w:rPr>
          <w:tab/>
        </w:r>
        <w:r w:rsidR="007378D8" w:rsidRPr="00685E7B">
          <w:rPr>
            <w:rStyle w:val="Hyperlink"/>
            <w:highlight w:val="yellow"/>
          </w:rPr>
          <w:t>Forecast nominal final year asset adjustments</w:t>
        </w:r>
        <w:r w:rsidR="007378D8">
          <w:rPr>
            <w:webHidden/>
          </w:rPr>
          <w:tab/>
        </w:r>
        <w:r w:rsidR="007378D8">
          <w:rPr>
            <w:webHidden/>
          </w:rPr>
          <w:fldChar w:fldCharType="begin"/>
        </w:r>
        <w:r w:rsidR="007378D8">
          <w:rPr>
            <w:webHidden/>
          </w:rPr>
          <w:instrText xml:space="preserve"> PAGEREF _Toc423696199 \h </w:instrText>
        </w:r>
        <w:r w:rsidR="007378D8">
          <w:rPr>
            <w:webHidden/>
          </w:rPr>
        </w:r>
        <w:r w:rsidR="007378D8">
          <w:rPr>
            <w:webHidden/>
          </w:rPr>
          <w:fldChar w:fldCharType="separate"/>
        </w:r>
        <w:r>
          <w:rPr>
            <w:webHidden/>
          </w:rPr>
          <w:t>12</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00" w:history="1">
        <w:r w:rsidR="007378D8" w:rsidRPr="00685E7B">
          <w:rPr>
            <w:rStyle w:val="Hyperlink"/>
          </w:rPr>
          <w:t>2.4</w:t>
        </w:r>
        <w:r w:rsidR="007378D8">
          <w:rPr>
            <w:rFonts w:asciiTheme="minorHAnsi" w:eastAsiaTheme="minorEastAsia" w:hAnsiTheme="minorHAnsi"/>
            <w:b w:val="0"/>
            <w:color w:val="auto"/>
            <w:sz w:val="22"/>
            <w:lang w:eastAsia="en-AU"/>
          </w:rPr>
          <w:tab/>
        </w:r>
        <w:r w:rsidR="007378D8" w:rsidRPr="00685E7B">
          <w:rPr>
            <w:rStyle w:val="Hyperlink"/>
          </w:rPr>
          <w:t>Adjustment for previous period sheet</w:t>
        </w:r>
        <w:r w:rsidR="007378D8">
          <w:rPr>
            <w:webHidden/>
          </w:rPr>
          <w:tab/>
        </w:r>
        <w:r w:rsidR="007378D8">
          <w:rPr>
            <w:webHidden/>
          </w:rPr>
          <w:fldChar w:fldCharType="begin"/>
        </w:r>
        <w:r w:rsidR="007378D8">
          <w:rPr>
            <w:webHidden/>
          </w:rPr>
          <w:instrText xml:space="preserve"> PAGEREF _Toc423696200 \h </w:instrText>
        </w:r>
        <w:r w:rsidR="007378D8">
          <w:rPr>
            <w:webHidden/>
          </w:rPr>
        </w:r>
        <w:r w:rsidR="007378D8">
          <w:rPr>
            <w:webHidden/>
          </w:rPr>
          <w:fldChar w:fldCharType="separate"/>
        </w:r>
        <w:r>
          <w:rPr>
            <w:webHidden/>
          </w:rPr>
          <w:t>12</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1" w:history="1">
        <w:r w:rsidR="007378D8" w:rsidRPr="00685E7B">
          <w:rPr>
            <w:rStyle w:val="Hyperlink"/>
          </w:rPr>
          <w:t>2.4.1</w:t>
        </w:r>
        <w:r w:rsidR="007378D8">
          <w:rPr>
            <w:rFonts w:asciiTheme="minorHAnsi" w:eastAsiaTheme="minorEastAsia" w:hAnsiTheme="minorHAnsi"/>
            <w:lang w:eastAsia="en-AU"/>
          </w:rPr>
          <w:tab/>
        </w:r>
        <w:r w:rsidR="007378D8" w:rsidRPr="00685E7B">
          <w:rPr>
            <w:rStyle w:val="Hyperlink"/>
          </w:rPr>
          <w:t>Nominal adjustments for difference between forecast and actual net capex – as-incurred</w:t>
        </w:r>
        <w:r w:rsidR="007378D8">
          <w:rPr>
            <w:webHidden/>
          </w:rPr>
          <w:tab/>
        </w:r>
        <w:r w:rsidR="007378D8">
          <w:rPr>
            <w:webHidden/>
          </w:rPr>
          <w:fldChar w:fldCharType="begin"/>
        </w:r>
        <w:r w:rsidR="007378D8">
          <w:rPr>
            <w:webHidden/>
          </w:rPr>
          <w:instrText xml:space="preserve"> PAGEREF _Toc423696201 \h </w:instrText>
        </w:r>
        <w:r w:rsidR="007378D8">
          <w:rPr>
            <w:webHidden/>
          </w:rPr>
        </w:r>
        <w:r w:rsidR="007378D8">
          <w:rPr>
            <w:webHidden/>
          </w:rPr>
          <w:fldChar w:fldCharType="separate"/>
        </w:r>
        <w:r>
          <w:rPr>
            <w:webHidden/>
          </w:rPr>
          <w:t>16</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2" w:history="1">
        <w:r w:rsidR="007378D8" w:rsidRPr="00685E7B">
          <w:rPr>
            <w:rStyle w:val="Hyperlink"/>
            <w:highlight w:val="yellow"/>
          </w:rPr>
          <w:t>2.4.2</w:t>
        </w:r>
        <w:r w:rsidR="007378D8">
          <w:rPr>
            <w:rFonts w:asciiTheme="minorHAnsi" w:eastAsiaTheme="minorEastAsia" w:hAnsiTheme="minorHAnsi"/>
            <w:lang w:eastAsia="en-AU"/>
          </w:rPr>
          <w:tab/>
        </w:r>
        <w:r w:rsidR="007378D8" w:rsidRPr="00685E7B">
          <w:rPr>
            <w:rStyle w:val="Hyperlink"/>
            <w:highlight w:val="yellow"/>
          </w:rPr>
          <w:t>Nominal adjustments for difference between forecast and actual net capex – as-commissioned</w:t>
        </w:r>
        <w:r w:rsidR="007378D8">
          <w:rPr>
            <w:webHidden/>
          </w:rPr>
          <w:tab/>
        </w:r>
        <w:r w:rsidR="007378D8">
          <w:rPr>
            <w:webHidden/>
          </w:rPr>
          <w:fldChar w:fldCharType="begin"/>
        </w:r>
        <w:r w:rsidR="007378D8">
          <w:rPr>
            <w:webHidden/>
          </w:rPr>
          <w:instrText xml:space="preserve"> PAGEREF _Toc423696202 \h </w:instrText>
        </w:r>
        <w:r w:rsidR="007378D8">
          <w:rPr>
            <w:webHidden/>
          </w:rPr>
        </w:r>
        <w:r w:rsidR="007378D8">
          <w:rPr>
            <w:webHidden/>
          </w:rPr>
          <w:fldChar w:fldCharType="separate"/>
        </w:r>
        <w:r>
          <w:rPr>
            <w:webHidden/>
          </w:rPr>
          <w:t>16</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03" w:history="1">
        <w:r w:rsidR="007378D8" w:rsidRPr="00685E7B">
          <w:rPr>
            <w:rStyle w:val="Hyperlink"/>
          </w:rPr>
          <w:t>2.5</w:t>
        </w:r>
        <w:r w:rsidR="007378D8">
          <w:rPr>
            <w:rFonts w:asciiTheme="minorHAnsi" w:eastAsiaTheme="minorEastAsia" w:hAnsiTheme="minorHAnsi"/>
            <w:b w:val="0"/>
            <w:color w:val="auto"/>
            <w:sz w:val="22"/>
            <w:lang w:eastAsia="en-AU"/>
          </w:rPr>
          <w:tab/>
        </w:r>
        <w:r w:rsidR="007378D8" w:rsidRPr="00685E7B">
          <w:rPr>
            <w:rStyle w:val="Hyperlink"/>
          </w:rPr>
          <w:t>RAB roll forward sheet</w:t>
        </w:r>
        <w:r w:rsidR="007378D8">
          <w:rPr>
            <w:webHidden/>
          </w:rPr>
          <w:tab/>
        </w:r>
        <w:r w:rsidR="007378D8">
          <w:rPr>
            <w:webHidden/>
          </w:rPr>
          <w:fldChar w:fldCharType="begin"/>
        </w:r>
        <w:r w:rsidR="007378D8">
          <w:rPr>
            <w:webHidden/>
          </w:rPr>
          <w:instrText xml:space="preserve"> PAGEREF _Toc423696203 \h </w:instrText>
        </w:r>
        <w:r w:rsidR="007378D8">
          <w:rPr>
            <w:webHidden/>
          </w:rPr>
        </w:r>
        <w:r w:rsidR="007378D8">
          <w:rPr>
            <w:webHidden/>
          </w:rPr>
          <w:fldChar w:fldCharType="separate"/>
        </w:r>
        <w:r>
          <w:rPr>
            <w:webHidden/>
          </w:rPr>
          <w:t>17</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4" w:history="1">
        <w:r w:rsidR="007378D8" w:rsidRPr="00685E7B">
          <w:rPr>
            <w:rStyle w:val="Hyperlink"/>
          </w:rPr>
          <w:t>2.5.1</w:t>
        </w:r>
        <w:r w:rsidR="007378D8">
          <w:rPr>
            <w:rFonts w:asciiTheme="minorHAnsi" w:eastAsiaTheme="minorEastAsia" w:hAnsiTheme="minorHAnsi"/>
            <w:lang w:eastAsia="en-AU"/>
          </w:rPr>
          <w:tab/>
        </w:r>
        <w:r w:rsidR="007378D8" w:rsidRPr="00685E7B">
          <w:rPr>
            <w:rStyle w:val="Hyperlink"/>
          </w:rPr>
          <w:t>Real asset values</w:t>
        </w:r>
        <w:r w:rsidR="007378D8">
          <w:rPr>
            <w:webHidden/>
          </w:rPr>
          <w:tab/>
        </w:r>
        <w:r w:rsidR="007378D8">
          <w:rPr>
            <w:webHidden/>
          </w:rPr>
          <w:fldChar w:fldCharType="begin"/>
        </w:r>
        <w:r w:rsidR="007378D8">
          <w:rPr>
            <w:webHidden/>
          </w:rPr>
          <w:instrText xml:space="preserve"> PAGEREF _Toc423696204 \h </w:instrText>
        </w:r>
        <w:r w:rsidR="007378D8">
          <w:rPr>
            <w:webHidden/>
          </w:rPr>
        </w:r>
        <w:r w:rsidR="007378D8">
          <w:rPr>
            <w:webHidden/>
          </w:rPr>
          <w:fldChar w:fldCharType="separate"/>
        </w:r>
        <w:r>
          <w:rPr>
            <w:webHidden/>
          </w:rPr>
          <w:t>19</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5" w:history="1">
        <w:r w:rsidR="007378D8" w:rsidRPr="00685E7B">
          <w:rPr>
            <w:rStyle w:val="Hyperlink"/>
          </w:rPr>
          <w:t>2.5.2</w:t>
        </w:r>
        <w:r w:rsidR="007378D8">
          <w:rPr>
            <w:rFonts w:asciiTheme="minorHAnsi" w:eastAsiaTheme="minorEastAsia" w:hAnsiTheme="minorHAnsi"/>
            <w:lang w:eastAsia="en-AU"/>
          </w:rPr>
          <w:tab/>
        </w:r>
        <w:r w:rsidR="007378D8" w:rsidRPr="00685E7B">
          <w:rPr>
            <w:rStyle w:val="Hyperlink"/>
          </w:rPr>
          <w:t>Nominal asset values—partially as-incurred</w:t>
        </w:r>
        <w:r w:rsidR="007378D8">
          <w:rPr>
            <w:webHidden/>
          </w:rPr>
          <w:tab/>
        </w:r>
        <w:r w:rsidR="007378D8">
          <w:rPr>
            <w:webHidden/>
          </w:rPr>
          <w:fldChar w:fldCharType="begin"/>
        </w:r>
        <w:r w:rsidR="007378D8">
          <w:rPr>
            <w:webHidden/>
          </w:rPr>
          <w:instrText xml:space="preserve"> PAGEREF _Toc423696205 \h </w:instrText>
        </w:r>
        <w:r w:rsidR="007378D8">
          <w:rPr>
            <w:webHidden/>
          </w:rPr>
        </w:r>
        <w:r w:rsidR="007378D8">
          <w:rPr>
            <w:webHidden/>
          </w:rPr>
          <w:fldChar w:fldCharType="separate"/>
        </w:r>
        <w:r>
          <w:rPr>
            <w:webHidden/>
          </w:rPr>
          <w:t>20</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6" w:history="1">
        <w:r w:rsidR="007378D8" w:rsidRPr="00685E7B">
          <w:rPr>
            <w:rStyle w:val="Hyperlink"/>
          </w:rPr>
          <w:t>2.5.3</w:t>
        </w:r>
        <w:r w:rsidR="007378D8">
          <w:rPr>
            <w:rFonts w:asciiTheme="minorHAnsi" w:eastAsiaTheme="minorEastAsia" w:hAnsiTheme="minorHAnsi"/>
            <w:lang w:eastAsia="en-AU"/>
          </w:rPr>
          <w:tab/>
        </w:r>
        <w:r w:rsidR="007378D8" w:rsidRPr="00685E7B">
          <w:rPr>
            <w:rStyle w:val="Hyperlink"/>
          </w:rPr>
          <w:t>Nominal asset values—as-commissioned</w:t>
        </w:r>
        <w:r w:rsidR="007378D8">
          <w:rPr>
            <w:webHidden/>
          </w:rPr>
          <w:tab/>
        </w:r>
        <w:r w:rsidR="007378D8">
          <w:rPr>
            <w:webHidden/>
          </w:rPr>
          <w:fldChar w:fldCharType="begin"/>
        </w:r>
        <w:r w:rsidR="007378D8">
          <w:rPr>
            <w:webHidden/>
          </w:rPr>
          <w:instrText xml:space="preserve"> PAGEREF _Toc423696206 \h </w:instrText>
        </w:r>
        <w:r w:rsidR="007378D8">
          <w:rPr>
            <w:webHidden/>
          </w:rPr>
        </w:r>
        <w:r w:rsidR="007378D8">
          <w:rPr>
            <w:webHidden/>
          </w:rPr>
          <w:fldChar w:fldCharType="separate"/>
        </w:r>
        <w:r>
          <w:rPr>
            <w:webHidden/>
          </w:rPr>
          <w:t>20</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07" w:history="1">
        <w:r w:rsidR="007378D8" w:rsidRPr="00685E7B">
          <w:rPr>
            <w:rStyle w:val="Hyperlink"/>
          </w:rPr>
          <w:t>2.6</w:t>
        </w:r>
        <w:r w:rsidR="007378D8">
          <w:rPr>
            <w:rFonts w:asciiTheme="minorHAnsi" w:eastAsiaTheme="minorEastAsia" w:hAnsiTheme="minorHAnsi"/>
            <w:b w:val="0"/>
            <w:color w:val="auto"/>
            <w:sz w:val="22"/>
            <w:lang w:eastAsia="en-AU"/>
          </w:rPr>
          <w:tab/>
        </w:r>
        <w:r w:rsidR="007378D8" w:rsidRPr="00685E7B">
          <w:rPr>
            <w:rStyle w:val="Hyperlink"/>
          </w:rPr>
          <w:t>Total RAB roll forward sheet</w:t>
        </w:r>
        <w:r w:rsidR="007378D8">
          <w:rPr>
            <w:webHidden/>
          </w:rPr>
          <w:tab/>
        </w:r>
        <w:r w:rsidR="007378D8">
          <w:rPr>
            <w:webHidden/>
          </w:rPr>
          <w:fldChar w:fldCharType="begin"/>
        </w:r>
        <w:r w:rsidR="007378D8">
          <w:rPr>
            <w:webHidden/>
          </w:rPr>
          <w:instrText xml:space="preserve"> PAGEREF _Toc423696207 \h </w:instrText>
        </w:r>
        <w:r w:rsidR="007378D8">
          <w:rPr>
            <w:webHidden/>
          </w:rPr>
        </w:r>
        <w:r w:rsidR="007378D8">
          <w:rPr>
            <w:webHidden/>
          </w:rPr>
          <w:fldChar w:fldCharType="separate"/>
        </w:r>
        <w:r>
          <w:rPr>
            <w:webHidden/>
          </w:rPr>
          <w:t>20</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8" w:history="1">
        <w:r w:rsidR="007378D8" w:rsidRPr="00685E7B">
          <w:rPr>
            <w:rStyle w:val="Hyperlink"/>
          </w:rPr>
          <w:t>2.6.1</w:t>
        </w:r>
        <w:r w:rsidR="007378D8">
          <w:rPr>
            <w:rFonts w:asciiTheme="minorHAnsi" w:eastAsiaTheme="minorEastAsia" w:hAnsiTheme="minorHAnsi"/>
            <w:lang w:eastAsia="en-AU"/>
          </w:rPr>
          <w:tab/>
        </w:r>
        <w:r w:rsidR="007378D8" w:rsidRPr="00685E7B">
          <w:rPr>
            <w:rStyle w:val="Hyperlink"/>
          </w:rPr>
          <w:t>Partially as-incurred RAB roll forward</w:t>
        </w:r>
        <w:r w:rsidR="007378D8">
          <w:rPr>
            <w:webHidden/>
          </w:rPr>
          <w:tab/>
        </w:r>
        <w:r w:rsidR="007378D8">
          <w:rPr>
            <w:webHidden/>
          </w:rPr>
          <w:fldChar w:fldCharType="begin"/>
        </w:r>
        <w:r w:rsidR="007378D8">
          <w:rPr>
            <w:webHidden/>
          </w:rPr>
          <w:instrText xml:space="preserve"> PAGEREF _Toc423696208 \h </w:instrText>
        </w:r>
        <w:r w:rsidR="007378D8">
          <w:rPr>
            <w:webHidden/>
          </w:rPr>
        </w:r>
        <w:r w:rsidR="007378D8">
          <w:rPr>
            <w:webHidden/>
          </w:rPr>
          <w:fldChar w:fldCharType="separate"/>
        </w:r>
        <w:r>
          <w:rPr>
            <w:webHidden/>
          </w:rPr>
          <w:t>21</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09" w:history="1">
        <w:r w:rsidR="007378D8" w:rsidRPr="00685E7B">
          <w:rPr>
            <w:rStyle w:val="Hyperlink"/>
          </w:rPr>
          <w:t>2.6.2</w:t>
        </w:r>
        <w:r w:rsidR="007378D8">
          <w:rPr>
            <w:rFonts w:asciiTheme="minorHAnsi" w:eastAsiaTheme="minorEastAsia" w:hAnsiTheme="minorHAnsi"/>
            <w:lang w:eastAsia="en-AU"/>
          </w:rPr>
          <w:tab/>
        </w:r>
        <w:r w:rsidR="007378D8" w:rsidRPr="00685E7B">
          <w:rPr>
            <w:rStyle w:val="Hyperlink"/>
          </w:rPr>
          <w:t>As-commissioned RAB roll forward</w:t>
        </w:r>
        <w:r w:rsidR="007378D8">
          <w:rPr>
            <w:webHidden/>
          </w:rPr>
          <w:tab/>
        </w:r>
        <w:r w:rsidR="007378D8">
          <w:rPr>
            <w:webHidden/>
          </w:rPr>
          <w:fldChar w:fldCharType="begin"/>
        </w:r>
        <w:r w:rsidR="007378D8">
          <w:rPr>
            <w:webHidden/>
          </w:rPr>
          <w:instrText xml:space="preserve"> PAGEREF _Toc423696209 \h </w:instrText>
        </w:r>
        <w:r w:rsidR="007378D8">
          <w:rPr>
            <w:webHidden/>
          </w:rPr>
        </w:r>
        <w:r w:rsidR="007378D8">
          <w:rPr>
            <w:webHidden/>
          </w:rPr>
          <w:fldChar w:fldCharType="separate"/>
        </w:r>
        <w:r>
          <w:rPr>
            <w:webHidden/>
          </w:rPr>
          <w:t>22</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10" w:history="1">
        <w:r w:rsidR="007378D8" w:rsidRPr="00685E7B">
          <w:rPr>
            <w:rStyle w:val="Hyperlink"/>
          </w:rPr>
          <w:t>2.7</w:t>
        </w:r>
        <w:r w:rsidR="007378D8">
          <w:rPr>
            <w:rFonts w:asciiTheme="minorHAnsi" w:eastAsiaTheme="minorEastAsia" w:hAnsiTheme="minorHAnsi"/>
            <w:b w:val="0"/>
            <w:color w:val="auto"/>
            <w:sz w:val="22"/>
            <w:lang w:eastAsia="en-AU"/>
          </w:rPr>
          <w:tab/>
        </w:r>
        <w:r w:rsidR="007378D8" w:rsidRPr="00685E7B">
          <w:rPr>
            <w:rStyle w:val="Hyperlink"/>
          </w:rPr>
          <w:t>TAB roll forward sheet</w:t>
        </w:r>
        <w:r w:rsidR="007378D8">
          <w:rPr>
            <w:webHidden/>
          </w:rPr>
          <w:tab/>
        </w:r>
        <w:r w:rsidR="007378D8">
          <w:rPr>
            <w:webHidden/>
          </w:rPr>
          <w:fldChar w:fldCharType="begin"/>
        </w:r>
        <w:r w:rsidR="007378D8">
          <w:rPr>
            <w:webHidden/>
          </w:rPr>
          <w:instrText xml:space="preserve"> PAGEREF _Toc423696210 \h </w:instrText>
        </w:r>
        <w:r w:rsidR="007378D8">
          <w:rPr>
            <w:webHidden/>
          </w:rPr>
        </w:r>
        <w:r w:rsidR="007378D8">
          <w:rPr>
            <w:webHidden/>
          </w:rPr>
          <w:fldChar w:fldCharType="separate"/>
        </w:r>
        <w:r>
          <w:rPr>
            <w:webHidden/>
          </w:rPr>
          <w:t>23</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11" w:history="1">
        <w:r w:rsidR="007378D8" w:rsidRPr="00685E7B">
          <w:rPr>
            <w:rStyle w:val="Hyperlink"/>
          </w:rPr>
          <w:t>2.7.1</w:t>
        </w:r>
        <w:r w:rsidR="007378D8">
          <w:rPr>
            <w:rFonts w:asciiTheme="minorHAnsi" w:eastAsiaTheme="minorEastAsia" w:hAnsiTheme="minorHAnsi"/>
            <w:lang w:eastAsia="en-AU"/>
          </w:rPr>
          <w:tab/>
        </w:r>
        <w:r w:rsidR="007378D8" w:rsidRPr="00685E7B">
          <w:rPr>
            <w:rStyle w:val="Hyperlink"/>
          </w:rPr>
          <w:t>Opening tax asset values</w:t>
        </w:r>
        <w:r w:rsidR="007378D8">
          <w:rPr>
            <w:webHidden/>
          </w:rPr>
          <w:tab/>
        </w:r>
        <w:r w:rsidR="007378D8">
          <w:rPr>
            <w:webHidden/>
          </w:rPr>
          <w:fldChar w:fldCharType="begin"/>
        </w:r>
        <w:r w:rsidR="007378D8">
          <w:rPr>
            <w:webHidden/>
          </w:rPr>
          <w:instrText xml:space="preserve"> PAGEREF _Toc423696211 \h </w:instrText>
        </w:r>
        <w:r w:rsidR="007378D8">
          <w:rPr>
            <w:webHidden/>
          </w:rPr>
        </w:r>
        <w:r w:rsidR="007378D8">
          <w:rPr>
            <w:webHidden/>
          </w:rPr>
          <w:fldChar w:fldCharType="separate"/>
        </w:r>
        <w:r>
          <w:rPr>
            <w:webHidden/>
          </w:rPr>
          <w:t>25</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12" w:history="1">
        <w:r w:rsidR="007378D8" w:rsidRPr="00685E7B">
          <w:rPr>
            <w:rStyle w:val="Hyperlink"/>
          </w:rPr>
          <w:t>2.7.2</w:t>
        </w:r>
        <w:r w:rsidR="007378D8">
          <w:rPr>
            <w:rFonts w:asciiTheme="minorHAnsi" w:eastAsiaTheme="minorEastAsia" w:hAnsiTheme="minorHAnsi"/>
            <w:lang w:eastAsia="en-AU"/>
          </w:rPr>
          <w:tab/>
        </w:r>
        <w:r w:rsidR="007378D8" w:rsidRPr="00685E7B">
          <w:rPr>
            <w:rStyle w:val="Hyperlink"/>
          </w:rPr>
          <w:t>Actual net capex</w:t>
        </w:r>
        <w:r w:rsidR="007378D8">
          <w:rPr>
            <w:webHidden/>
          </w:rPr>
          <w:tab/>
        </w:r>
        <w:r w:rsidR="007378D8">
          <w:rPr>
            <w:webHidden/>
          </w:rPr>
          <w:fldChar w:fldCharType="begin"/>
        </w:r>
        <w:r w:rsidR="007378D8">
          <w:rPr>
            <w:webHidden/>
          </w:rPr>
          <w:instrText xml:space="preserve"> PAGEREF _Toc423696212 \h </w:instrText>
        </w:r>
        <w:r w:rsidR="007378D8">
          <w:rPr>
            <w:webHidden/>
          </w:rPr>
        </w:r>
        <w:r w:rsidR="007378D8">
          <w:rPr>
            <w:webHidden/>
          </w:rPr>
          <w:fldChar w:fldCharType="separate"/>
        </w:r>
        <w:r>
          <w:rPr>
            <w:webHidden/>
          </w:rPr>
          <w:t>25</w:t>
        </w:r>
        <w:r w:rsidR="007378D8">
          <w:rPr>
            <w:webHidden/>
          </w:rPr>
          <w:fldChar w:fldCharType="end"/>
        </w:r>
      </w:hyperlink>
    </w:p>
    <w:p w:rsidR="007378D8" w:rsidRDefault="00F92CE8">
      <w:pPr>
        <w:pStyle w:val="TOC3"/>
        <w:rPr>
          <w:rFonts w:asciiTheme="minorHAnsi" w:eastAsiaTheme="minorEastAsia" w:hAnsiTheme="minorHAnsi"/>
          <w:lang w:eastAsia="en-AU"/>
        </w:rPr>
      </w:pPr>
      <w:hyperlink w:anchor="_Toc423696213" w:history="1">
        <w:r w:rsidR="007378D8" w:rsidRPr="00685E7B">
          <w:rPr>
            <w:rStyle w:val="Hyperlink"/>
          </w:rPr>
          <w:t>2.7.3</w:t>
        </w:r>
        <w:r w:rsidR="007378D8">
          <w:rPr>
            <w:rFonts w:asciiTheme="minorHAnsi" w:eastAsiaTheme="minorEastAsia" w:hAnsiTheme="minorHAnsi"/>
            <w:lang w:eastAsia="en-AU"/>
          </w:rPr>
          <w:tab/>
        </w:r>
        <w:r w:rsidR="007378D8" w:rsidRPr="00685E7B">
          <w:rPr>
            <w:rStyle w:val="Hyperlink"/>
          </w:rPr>
          <w:t>Actual tax depreciation</w:t>
        </w:r>
        <w:r w:rsidR="007378D8">
          <w:rPr>
            <w:webHidden/>
          </w:rPr>
          <w:tab/>
        </w:r>
        <w:r w:rsidR="007378D8">
          <w:rPr>
            <w:webHidden/>
          </w:rPr>
          <w:fldChar w:fldCharType="begin"/>
        </w:r>
        <w:r w:rsidR="007378D8">
          <w:rPr>
            <w:webHidden/>
          </w:rPr>
          <w:instrText xml:space="preserve"> PAGEREF _Toc423696213 \h </w:instrText>
        </w:r>
        <w:r w:rsidR="007378D8">
          <w:rPr>
            <w:webHidden/>
          </w:rPr>
        </w:r>
        <w:r w:rsidR="007378D8">
          <w:rPr>
            <w:webHidden/>
          </w:rPr>
          <w:fldChar w:fldCharType="separate"/>
        </w:r>
        <w:r>
          <w:rPr>
            <w:webHidden/>
          </w:rPr>
          <w:t>26</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14" w:history="1">
        <w:r w:rsidR="007378D8" w:rsidRPr="00685E7B">
          <w:rPr>
            <w:rStyle w:val="Hyperlink"/>
            <w:highlight w:val="yellow"/>
          </w:rPr>
          <w:t>2.8</w:t>
        </w:r>
        <w:r w:rsidR="007378D8">
          <w:rPr>
            <w:rFonts w:asciiTheme="minorHAnsi" w:eastAsiaTheme="minorEastAsia" w:hAnsiTheme="minorHAnsi"/>
            <w:b w:val="0"/>
            <w:color w:val="auto"/>
            <w:sz w:val="22"/>
            <w:lang w:eastAsia="en-AU"/>
          </w:rPr>
          <w:tab/>
        </w:r>
        <w:r w:rsidR="007378D8" w:rsidRPr="00685E7B">
          <w:rPr>
            <w:rStyle w:val="Hyperlink"/>
            <w:highlight w:val="yellow"/>
          </w:rPr>
          <w:t>RAB remaining lives sheet</w:t>
        </w:r>
        <w:r w:rsidR="007378D8">
          <w:rPr>
            <w:webHidden/>
          </w:rPr>
          <w:tab/>
        </w:r>
        <w:r w:rsidR="007378D8">
          <w:rPr>
            <w:webHidden/>
          </w:rPr>
          <w:fldChar w:fldCharType="begin"/>
        </w:r>
        <w:r w:rsidR="007378D8">
          <w:rPr>
            <w:webHidden/>
          </w:rPr>
          <w:instrText xml:space="preserve"> PAGEREF _Toc423696214 \h </w:instrText>
        </w:r>
        <w:r w:rsidR="007378D8">
          <w:rPr>
            <w:webHidden/>
          </w:rPr>
        </w:r>
        <w:r w:rsidR="007378D8">
          <w:rPr>
            <w:webHidden/>
          </w:rPr>
          <w:fldChar w:fldCharType="separate"/>
        </w:r>
        <w:r>
          <w:rPr>
            <w:webHidden/>
          </w:rPr>
          <w:t>26</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15" w:history="1">
        <w:r w:rsidR="007378D8" w:rsidRPr="00685E7B">
          <w:rPr>
            <w:rStyle w:val="Hyperlink"/>
            <w:highlight w:val="yellow"/>
          </w:rPr>
          <w:t>2.9</w:t>
        </w:r>
        <w:r w:rsidR="007378D8">
          <w:rPr>
            <w:rFonts w:asciiTheme="minorHAnsi" w:eastAsiaTheme="minorEastAsia" w:hAnsiTheme="minorHAnsi"/>
            <w:b w:val="0"/>
            <w:color w:val="auto"/>
            <w:sz w:val="22"/>
            <w:lang w:eastAsia="en-AU"/>
          </w:rPr>
          <w:tab/>
        </w:r>
        <w:r w:rsidR="007378D8" w:rsidRPr="00685E7B">
          <w:rPr>
            <w:rStyle w:val="Hyperlink"/>
            <w:highlight w:val="yellow"/>
          </w:rPr>
          <w:t>TAB remaining lives sheet</w:t>
        </w:r>
        <w:r w:rsidR="007378D8">
          <w:rPr>
            <w:webHidden/>
          </w:rPr>
          <w:tab/>
        </w:r>
        <w:r w:rsidR="007378D8">
          <w:rPr>
            <w:webHidden/>
          </w:rPr>
          <w:fldChar w:fldCharType="begin"/>
        </w:r>
        <w:r w:rsidR="007378D8">
          <w:rPr>
            <w:webHidden/>
          </w:rPr>
          <w:instrText xml:space="preserve"> PAGEREF _Toc423696215 \h </w:instrText>
        </w:r>
        <w:r w:rsidR="007378D8">
          <w:rPr>
            <w:webHidden/>
          </w:rPr>
        </w:r>
        <w:r w:rsidR="007378D8">
          <w:rPr>
            <w:webHidden/>
          </w:rPr>
          <w:fldChar w:fldCharType="separate"/>
        </w:r>
        <w:r>
          <w:rPr>
            <w:webHidden/>
          </w:rPr>
          <w:t>30</w:t>
        </w:r>
        <w:r w:rsidR="007378D8">
          <w:rPr>
            <w:webHidden/>
          </w:rPr>
          <w:fldChar w:fldCharType="end"/>
        </w:r>
      </w:hyperlink>
    </w:p>
    <w:p w:rsidR="007378D8" w:rsidRDefault="00F92CE8" w:rsidP="007378D8">
      <w:pPr>
        <w:pStyle w:val="TOC2"/>
        <w:tabs>
          <w:tab w:val="clear" w:pos="880"/>
          <w:tab w:val="left" w:leader="dot" w:pos="1134"/>
        </w:tabs>
        <w:rPr>
          <w:rFonts w:asciiTheme="minorHAnsi" w:eastAsiaTheme="minorEastAsia" w:hAnsiTheme="minorHAnsi"/>
          <w:b w:val="0"/>
          <w:color w:val="auto"/>
          <w:sz w:val="22"/>
          <w:lang w:eastAsia="en-AU"/>
        </w:rPr>
      </w:pPr>
      <w:hyperlink w:anchor="_Toc423696216" w:history="1">
        <w:r w:rsidR="007378D8" w:rsidRPr="00685E7B">
          <w:rPr>
            <w:rStyle w:val="Hyperlink"/>
          </w:rPr>
          <w:t>2.10</w:t>
        </w:r>
        <w:r w:rsidR="007378D8">
          <w:rPr>
            <w:rFonts w:asciiTheme="minorHAnsi" w:eastAsiaTheme="minorEastAsia" w:hAnsiTheme="minorHAnsi"/>
            <w:b w:val="0"/>
            <w:color w:val="auto"/>
            <w:sz w:val="22"/>
            <w:lang w:eastAsia="en-AU"/>
          </w:rPr>
          <w:tab/>
        </w:r>
        <w:r w:rsidR="007378D8" w:rsidRPr="00685E7B">
          <w:rPr>
            <w:rStyle w:val="Hyperlink"/>
          </w:rPr>
          <w:t>PTRM input summary sheet</w:t>
        </w:r>
        <w:r w:rsidR="007378D8">
          <w:rPr>
            <w:webHidden/>
          </w:rPr>
          <w:tab/>
        </w:r>
        <w:r w:rsidR="007378D8">
          <w:rPr>
            <w:webHidden/>
          </w:rPr>
          <w:fldChar w:fldCharType="begin"/>
        </w:r>
        <w:r w:rsidR="007378D8">
          <w:rPr>
            <w:webHidden/>
          </w:rPr>
          <w:instrText xml:space="preserve"> PAGEREF _Toc423696216 \h </w:instrText>
        </w:r>
        <w:r w:rsidR="007378D8">
          <w:rPr>
            <w:webHidden/>
          </w:rPr>
        </w:r>
        <w:r w:rsidR="007378D8">
          <w:rPr>
            <w:webHidden/>
          </w:rPr>
          <w:fldChar w:fldCharType="separate"/>
        </w:r>
        <w:r>
          <w:rPr>
            <w:webHidden/>
          </w:rPr>
          <w:t>32</w:t>
        </w:r>
        <w:r w:rsidR="007378D8">
          <w:rPr>
            <w:webHidden/>
          </w:rPr>
          <w:fldChar w:fldCharType="end"/>
        </w:r>
      </w:hyperlink>
    </w:p>
    <w:p w:rsidR="0020492C" w:rsidRDefault="00A75077" w:rsidP="0020492C">
      <w:r>
        <w:fldChar w:fldCharType="end"/>
      </w:r>
      <w:bookmarkStart w:id="1"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0B4909" w:rsidRDefault="003671EE" w:rsidP="003671EE">
      <w:pPr>
        <w:pStyle w:val="Heading1notnumber"/>
      </w:pPr>
      <w:bookmarkStart w:id="2" w:name="_Toc423696177"/>
      <w:bookmarkEnd w:id="1"/>
      <w:r>
        <w:lastRenderedPageBreak/>
        <w:t>Shortened forms</w:t>
      </w:r>
      <w:bookmarkEnd w:id="2"/>
    </w:p>
    <w:p w:rsidR="00B5191C" w:rsidRPr="000B4909" w:rsidRDefault="00B5191C" w:rsidP="00B5191C"/>
    <w:tbl>
      <w:tblPr>
        <w:tblStyle w:val="AERTable-Text"/>
        <w:tblW w:w="0" w:type="auto"/>
        <w:tblLook w:val="04A0" w:firstRow="1" w:lastRow="0" w:firstColumn="1" w:lastColumn="0" w:noHBand="0" w:noVBand="1"/>
      </w:tblPr>
      <w:tblGrid>
        <w:gridCol w:w="3080"/>
        <w:gridCol w:w="5959"/>
      </w:tblGrid>
      <w:tr w:rsidR="003671EE" w:rsidRPr="003671EE" w:rsidTr="003671EE">
        <w:trPr>
          <w:cnfStyle w:val="100000000000" w:firstRow="1" w:lastRow="0" w:firstColumn="0" w:lastColumn="0" w:oddVBand="0" w:evenVBand="0" w:oddHBand="0" w:evenHBand="0" w:firstRowFirstColumn="0" w:firstRowLastColumn="0" w:lastRowFirstColumn="0" w:lastRowLastColumn="0"/>
        </w:trPr>
        <w:tc>
          <w:tcPr>
            <w:tcW w:w="3080" w:type="dxa"/>
          </w:tcPr>
          <w:p w:rsidR="003671EE" w:rsidRPr="003671EE" w:rsidRDefault="003671EE" w:rsidP="003671EE">
            <w:pPr>
              <w:pStyle w:val="TableHeading"/>
            </w:pPr>
            <w:r>
              <w:t>Shortened form</w:t>
            </w:r>
          </w:p>
        </w:tc>
        <w:tc>
          <w:tcPr>
            <w:tcW w:w="5959" w:type="dxa"/>
          </w:tcPr>
          <w:p w:rsidR="003671EE" w:rsidRPr="003671EE" w:rsidRDefault="003671EE" w:rsidP="003671EE">
            <w:pPr>
              <w:pStyle w:val="TableHeading"/>
            </w:pPr>
            <w:r>
              <w:t>Extended form</w:t>
            </w:r>
          </w:p>
        </w:tc>
      </w:tr>
      <w:tr w:rsidR="003671EE" w:rsidRPr="003671EE" w:rsidTr="003671EE">
        <w:tc>
          <w:tcPr>
            <w:tcW w:w="3080" w:type="dxa"/>
          </w:tcPr>
          <w:p w:rsidR="003671EE" w:rsidRPr="003671EE" w:rsidRDefault="003671EE" w:rsidP="003671EE">
            <w:pPr>
              <w:pStyle w:val="Tabletext"/>
            </w:pPr>
            <w:r w:rsidRPr="003671EE">
              <w:t>AER</w:t>
            </w:r>
          </w:p>
        </w:tc>
        <w:tc>
          <w:tcPr>
            <w:tcW w:w="5959" w:type="dxa"/>
          </w:tcPr>
          <w:p w:rsidR="003671EE" w:rsidRPr="003671EE" w:rsidRDefault="003671EE" w:rsidP="003671EE">
            <w:pPr>
              <w:pStyle w:val="Tabletext"/>
            </w:pPr>
            <w:r w:rsidRPr="003671EE">
              <w:t xml:space="preserve">Australian Energy Regulator </w:t>
            </w:r>
          </w:p>
        </w:tc>
      </w:tr>
      <w:tr w:rsidR="003671EE" w:rsidRPr="003671EE" w:rsidTr="003671EE">
        <w:trPr>
          <w:cnfStyle w:val="000000010000" w:firstRow="0" w:lastRow="0" w:firstColumn="0" w:lastColumn="0" w:oddVBand="0" w:evenVBand="0" w:oddHBand="0" w:evenHBand="1" w:firstRowFirstColumn="0" w:firstRowLastColumn="0" w:lastRowFirstColumn="0" w:lastRowLastColumn="0"/>
        </w:trPr>
        <w:tc>
          <w:tcPr>
            <w:tcW w:w="3080" w:type="dxa"/>
          </w:tcPr>
          <w:p w:rsidR="003671EE" w:rsidRPr="003671EE" w:rsidRDefault="003671EE" w:rsidP="003671EE">
            <w:pPr>
              <w:pStyle w:val="Tabletext"/>
            </w:pPr>
            <w:r w:rsidRPr="003671EE">
              <w:t>capex</w:t>
            </w:r>
          </w:p>
        </w:tc>
        <w:tc>
          <w:tcPr>
            <w:tcW w:w="5959" w:type="dxa"/>
          </w:tcPr>
          <w:p w:rsidR="003671EE" w:rsidRPr="003671EE" w:rsidRDefault="003671EE" w:rsidP="003671EE">
            <w:pPr>
              <w:pStyle w:val="Tabletext"/>
            </w:pPr>
            <w:r w:rsidRPr="003671EE">
              <w:t>capital expenditure</w:t>
            </w:r>
          </w:p>
        </w:tc>
      </w:tr>
      <w:tr w:rsidR="003671EE" w:rsidRPr="003671EE" w:rsidTr="003671EE">
        <w:tc>
          <w:tcPr>
            <w:tcW w:w="3080" w:type="dxa"/>
          </w:tcPr>
          <w:p w:rsidR="003671EE" w:rsidRPr="003671EE" w:rsidRDefault="003671EE" w:rsidP="003671EE">
            <w:pPr>
              <w:pStyle w:val="Tabletext"/>
            </w:pPr>
            <w:r w:rsidRPr="003671EE">
              <w:t>CPI</w:t>
            </w:r>
          </w:p>
        </w:tc>
        <w:tc>
          <w:tcPr>
            <w:tcW w:w="5959" w:type="dxa"/>
          </w:tcPr>
          <w:p w:rsidR="003671EE" w:rsidRPr="003671EE" w:rsidRDefault="003671EE" w:rsidP="003671EE">
            <w:pPr>
              <w:pStyle w:val="Tabletext"/>
            </w:pPr>
            <w:r w:rsidRPr="003671EE">
              <w:t>consumer price index</w:t>
            </w:r>
          </w:p>
        </w:tc>
      </w:tr>
      <w:tr w:rsidR="003671EE" w:rsidRPr="003671EE" w:rsidTr="003671EE">
        <w:trPr>
          <w:cnfStyle w:val="000000010000" w:firstRow="0" w:lastRow="0" w:firstColumn="0" w:lastColumn="0" w:oddVBand="0" w:evenVBand="0" w:oddHBand="0" w:evenHBand="1" w:firstRowFirstColumn="0" w:firstRowLastColumn="0" w:lastRowFirstColumn="0" w:lastRowLastColumn="0"/>
        </w:trPr>
        <w:tc>
          <w:tcPr>
            <w:tcW w:w="3080" w:type="dxa"/>
          </w:tcPr>
          <w:p w:rsidR="003671EE" w:rsidRPr="003671EE" w:rsidRDefault="003671EE" w:rsidP="003671EE">
            <w:pPr>
              <w:pStyle w:val="Tabletext"/>
            </w:pPr>
            <w:r w:rsidRPr="003671EE">
              <w:t>NEL</w:t>
            </w:r>
          </w:p>
        </w:tc>
        <w:tc>
          <w:tcPr>
            <w:tcW w:w="5959" w:type="dxa"/>
          </w:tcPr>
          <w:p w:rsidR="003671EE" w:rsidRPr="003671EE" w:rsidRDefault="003671EE" w:rsidP="003671EE">
            <w:pPr>
              <w:pStyle w:val="Tabletext"/>
            </w:pPr>
            <w:r w:rsidRPr="003671EE">
              <w:t>National Electricity Law</w:t>
            </w:r>
          </w:p>
        </w:tc>
      </w:tr>
      <w:tr w:rsidR="003671EE" w:rsidRPr="003671EE" w:rsidTr="003671EE">
        <w:tc>
          <w:tcPr>
            <w:tcW w:w="3080" w:type="dxa"/>
          </w:tcPr>
          <w:p w:rsidR="003671EE" w:rsidRPr="003671EE" w:rsidRDefault="003671EE" w:rsidP="003671EE">
            <w:pPr>
              <w:pStyle w:val="Tabletext"/>
            </w:pPr>
            <w:r w:rsidRPr="003671EE">
              <w:t>NER</w:t>
            </w:r>
          </w:p>
        </w:tc>
        <w:tc>
          <w:tcPr>
            <w:tcW w:w="5959" w:type="dxa"/>
          </w:tcPr>
          <w:p w:rsidR="003671EE" w:rsidRPr="003671EE" w:rsidRDefault="003671EE" w:rsidP="003671EE">
            <w:pPr>
              <w:pStyle w:val="Tabletext"/>
            </w:pPr>
            <w:r w:rsidRPr="003671EE">
              <w:t xml:space="preserve">National Electricity Rules </w:t>
            </w:r>
          </w:p>
        </w:tc>
      </w:tr>
      <w:tr w:rsidR="003671EE" w:rsidRPr="003671EE" w:rsidTr="003671EE">
        <w:trPr>
          <w:cnfStyle w:val="000000010000" w:firstRow="0" w:lastRow="0" w:firstColumn="0" w:lastColumn="0" w:oddVBand="0" w:evenVBand="0" w:oddHBand="0" w:evenHBand="1" w:firstRowFirstColumn="0" w:firstRowLastColumn="0" w:lastRowFirstColumn="0" w:lastRowLastColumn="0"/>
        </w:trPr>
        <w:tc>
          <w:tcPr>
            <w:tcW w:w="3080" w:type="dxa"/>
          </w:tcPr>
          <w:p w:rsidR="003671EE" w:rsidRPr="003671EE" w:rsidRDefault="003671EE" w:rsidP="003671EE">
            <w:pPr>
              <w:pStyle w:val="Tabletext"/>
            </w:pPr>
            <w:r w:rsidRPr="003671EE">
              <w:t>PTRM</w:t>
            </w:r>
          </w:p>
        </w:tc>
        <w:tc>
          <w:tcPr>
            <w:tcW w:w="5959" w:type="dxa"/>
          </w:tcPr>
          <w:p w:rsidR="003671EE" w:rsidRPr="003671EE" w:rsidRDefault="003671EE" w:rsidP="003671EE">
            <w:pPr>
              <w:pStyle w:val="Tabletext"/>
            </w:pPr>
            <w:r w:rsidRPr="003671EE">
              <w:t>post-tax revenue model</w:t>
            </w:r>
          </w:p>
        </w:tc>
      </w:tr>
      <w:tr w:rsidR="003671EE" w:rsidRPr="003671EE" w:rsidTr="003671EE">
        <w:tc>
          <w:tcPr>
            <w:tcW w:w="3080" w:type="dxa"/>
          </w:tcPr>
          <w:p w:rsidR="003671EE" w:rsidRPr="003671EE" w:rsidRDefault="003671EE" w:rsidP="003671EE">
            <w:pPr>
              <w:pStyle w:val="Tabletext"/>
            </w:pPr>
            <w:r w:rsidRPr="003671EE">
              <w:t>RAB</w:t>
            </w:r>
          </w:p>
        </w:tc>
        <w:tc>
          <w:tcPr>
            <w:tcW w:w="5959" w:type="dxa"/>
          </w:tcPr>
          <w:p w:rsidR="003671EE" w:rsidRPr="003671EE" w:rsidRDefault="003671EE" w:rsidP="003671EE">
            <w:pPr>
              <w:pStyle w:val="Tabletext"/>
            </w:pPr>
            <w:r w:rsidRPr="003671EE">
              <w:t>regulatory asset base</w:t>
            </w:r>
          </w:p>
        </w:tc>
      </w:tr>
      <w:tr w:rsidR="003671EE" w:rsidRPr="003671EE" w:rsidTr="003671EE">
        <w:trPr>
          <w:cnfStyle w:val="000000010000" w:firstRow="0" w:lastRow="0" w:firstColumn="0" w:lastColumn="0" w:oddVBand="0" w:evenVBand="0" w:oddHBand="0" w:evenHBand="1" w:firstRowFirstColumn="0" w:firstRowLastColumn="0" w:lastRowFirstColumn="0" w:lastRowLastColumn="0"/>
        </w:trPr>
        <w:tc>
          <w:tcPr>
            <w:tcW w:w="3080" w:type="dxa"/>
          </w:tcPr>
          <w:p w:rsidR="003671EE" w:rsidRPr="003671EE" w:rsidRDefault="003671EE" w:rsidP="003671EE">
            <w:pPr>
              <w:pStyle w:val="Tabletext"/>
            </w:pPr>
            <w:r w:rsidRPr="003671EE">
              <w:t>RFM</w:t>
            </w:r>
          </w:p>
        </w:tc>
        <w:tc>
          <w:tcPr>
            <w:tcW w:w="5959" w:type="dxa"/>
          </w:tcPr>
          <w:p w:rsidR="003671EE" w:rsidRPr="003671EE" w:rsidRDefault="003671EE" w:rsidP="003671EE">
            <w:pPr>
              <w:pStyle w:val="Tabletext"/>
            </w:pPr>
            <w:r w:rsidRPr="003671EE">
              <w:t>roll forward model</w:t>
            </w:r>
          </w:p>
        </w:tc>
      </w:tr>
      <w:tr w:rsidR="00651C2B" w:rsidRPr="003671EE" w:rsidTr="003671EE">
        <w:tc>
          <w:tcPr>
            <w:tcW w:w="3080" w:type="dxa"/>
          </w:tcPr>
          <w:p w:rsidR="00651C2B" w:rsidRPr="003671EE" w:rsidRDefault="00651C2B" w:rsidP="003671EE">
            <w:pPr>
              <w:pStyle w:val="Tabletext"/>
            </w:pPr>
            <w:r>
              <w:t>TAB</w:t>
            </w:r>
          </w:p>
        </w:tc>
        <w:tc>
          <w:tcPr>
            <w:tcW w:w="5959" w:type="dxa"/>
          </w:tcPr>
          <w:p w:rsidR="00651C2B" w:rsidRPr="003671EE" w:rsidRDefault="00651C2B" w:rsidP="003671EE">
            <w:pPr>
              <w:pStyle w:val="Tabletext"/>
            </w:pPr>
            <w:r>
              <w:t>tax asset base</w:t>
            </w:r>
          </w:p>
        </w:tc>
      </w:tr>
      <w:tr w:rsidR="003671EE" w:rsidRPr="003671EE" w:rsidTr="003671EE">
        <w:trPr>
          <w:cnfStyle w:val="000000010000" w:firstRow="0" w:lastRow="0" w:firstColumn="0" w:lastColumn="0" w:oddVBand="0" w:evenVBand="0" w:oddHBand="0" w:evenHBand="1" w:firstRowFirstColumn="0" w:firstRowLastColumn="0" w:lastRowFirstColumn="0" w:lastRowLastColumn="0"/>
        </w:trPr>
        <w:tc>
          <w:tcPr>
            <w:tcW w:w="3080" w:type="dxa"/>
          </w:tcPr>
          <w:p w:rsidR="003671EE" w:rsidRPr="003671EE" w:rsidRDefault="003671EE" w:rsidP="003671EE">
            <w:pPr>
              <w:pStyle w:val="Tabletext"/>
            </w:pPr>
            <w:r w:rsidRPr="003671EE">
              <w:t>TNSP</w:t>
            </w:r>
          </w:p>
        </w:tc>
        <w:tc>
          <w:tcPr>
            <w:tcW w:w="5959" w:type="dxa"/>
          </w:tcPr>
          <w:p w:rsidR="003671EE" w:rsidRPr="003671EE" w:rsidRDefault="003671EE" w:rsidP="003671EE">
            <w:pPr>
              <w:pStyle w:val="Tabletext"/>
            </w:pPr>
            <w:r w:rsidRPr="003671EE">
              <w:t>transmission network service provider</w:t>
            </w:r>
          </w:p>
        </w:tc>
      </w:tr>
      <w:tr w:rsidR="003671EE" w:rsidRPr="003671EE" w:rsidTr="003671EE">
        <w:tc>
          <w:tcPr>
            <w:tcW w:w="3080" w:type="dxa"/>
          </w:tcPr>
          <w:p w:rsidR="003671EE" w:rsidRPr="003671EE" w:rsidRDefault="003671EE" w:rsidP="003671EE">
            <w:pPr>
              <w:pStyle w:val="Tabletext"/>
            </w:pPr>
            <w:r w:rsidRPr="003671EE">
              <w:t>WACC</w:t>
            </w:r>
          </w:p>
        </w:tc>
        <w:tc>
          <w:tcPr>
            <w:tcW w:w="5959" w:type="dxa"/>
          </w:tcPr>
          <w:p w:rsidR="003671EE" w:rsidRPr="003671EE" w:rsidRDefault="003671EE" w:rsidP="003671EE">
            <w:pPr>
              <w:pStyle w:val="Tabletext"/>
            </w:pPr>
            <w:r w:rsidRPr="003671EE">
              <w:t>weighted average cost of capital</w:t>
            </w:r>
          </w:p>
        </w:tc>
      </w:tr>
    </w:tbl>
    <w:p w:rsidR="006B6187" w:rsidRDefault="000B4909" w:rsidP="000B4909">
      <w:pPr>
        <w:sectPr w:rsidR="006B6187" w:rsidSect="007378D8">
          <w:footerReference w:type="even" r:id="rId13"/>
          <w:footerReference w:type="default" r:id="rId14"/>
          <w:footerReference w:type="first" r:id="rId15"/>
          <w:pgSz w:w="11906" w:h="16838"/>
          <w:pgMar w:top="1440" w:right="1440" w:bottom="1440" w:left="1440" w:header="708" w:footer="89" w:gutter="0"/>
          <w:pgNumType w:fmt="lowerRoman" w:start="1"/>
          <w:cols w:space="708"/>
          <w:docGrid w:linePitch="360"/>
        </w:sectPr>
      </w:pPr>
      <w:r w:rsidRPr="000B4909">
        <w:t xml:space="preserve"> </w:t>
      </w:r>
    </w:p>
    <w:p w:rsidR="000B4909" w:rsidRPr="000B4909" w:rsidRDefault="000B4909" w:rsidP="003671EE">
      <w:pPr>
        <w:pStyle w:val="Heading1"/>
      </w:pPr>
      <w:bookmarkStart w:id="3" w:name="_Toc423696178"/>
      <w:r w:rsidRPr="000B4909">
        <w:lastRenderedPageBreak/>
        <w:t>Nature and authority</w:t>
      </w:r>
      <w:bookmarkEnd w:id="3"/>
    </w:p>
    <w:p w:rsidR="000B4909" w:rsidRPr="000B4909" w:rsidRDefault="000B4909" w:rsidP="003671EE">
      <w:pPr>
        <w:pStyle w:val="Heading2"/>
      </w:pPr>
      <w:bookmarkStart w:id="4" w:name="_Toc423696179"/>
      <w:r w:rsidRPr="000B4909">
        <w:t>Introduction</w:t>
      </w:r>
      <w:bookmarkEnd w:id="4"/>
    </w:p>
    <w:p w:rsidR="000B4909" w:rsidRPr="000B4909" w:rsidRDefault="000B4909" w:rsidP="000B4909">
      <w:r w:rsidRPr="000B4909">
        <w:t>This handbook sets out the Australian Energy Regulator’s (AER) roll forward model (RFM) for electricity transmission network service providers (TNSPs). The RFM is a series of Microsoft Excel spreadsheets</w:t>
      </w:r>
      <w:r w:rsidR="005A6CBD">
        <w:t xml:space="preserve"> </w:t>
      </w:r>
      <w:r w:rsidRPr="000B4909">
        <w:t xml:space="preserve">developed in accordance with the requirements of clause 6A.6.1 of the National Electricity Rules (NER). </w:t>
      </w:r>
    </w:p>
    <w:p w:rsidR="000B4909" w:rsidRPr="000B4909" w:rsidRDefault="000B4909" w:rsidP="003671EE">
      <w:pPr>
        <w:pStyle w:val="Heading2"/>
      </w:pPr>
      <w:bookmarkStart w:id="5" w:name="_Toc423696180"/>
      <w:r w:rsidRPr="000B4909">
        <w:t>Authority</w:t>
      </w:r>
      <w:bookmarkEnd w:id="5"/>
    </w:p>
    <w:p w:rsidR="000B4909" w:rsidRPr="000B4909" w:rsidRDefault="000B4909" w:rsidP="000B4909">
      <w:r w:rsidRPr="000B4909">
        <w:t xml:space="preserve">Clause 6A.6.1(b) of the NER requires the AER to develop and publish the RFM, in accordance with the transmission consultation procedures. </w:t>
      </w:r>
    </w:p>
    <w:p w:rsidR="000B4909" w:rsidRPr="000B4909" w:rsidRDefault="000B4909" w:rsidP="003671EE">
      <w:pPr>
        <w:pStyle w:val="Heading2"/>
      </w:pPr>
      <w:bookmarkStart w:id="6" w:name="_Toc423696181"/>
      <w:r w:rsidRPr="000B4909">
        <w:t>Role of the model</w:t>
      </w:r>
      <w:bookmarkEnd w:id="6"/>
    </w:p>
    <w:p w:rsidR="00587BCF" w:rsidRPr="00587BCF" w:rsidRDefault="00587BCF" w:rsidP="00587BCF">
      <w:r w:rsidRPr="00DA70BA">
        <w:rPr>
          <w:highlight w:val="yellow"/>
        </w:rPr>
        <w:t>TNSPs are required to submit a completed RFM to the AER as part of their revenue proposals. However, the AER recognises that there may be a need for some flexibility in applying the RFM in order to account for the particular circumstances a TNSP may face. A number of elements of the RFM where this may be the case have been identified in this handbook. A TNSP will need to propose and justify a departure from any element of the RFM for the purposes of addressing its specific circumstances as part of its revenue proposal, which will be considered and assessed by the AER on a case-by-case basis in making its transmission determination.</w:t>
      </w:r>
    </w:p>
    <w:p w:rsidR="000B4909" w:rsidRPr="000B4909" w:rsidRDefault="000B4909" w:rsidP="000B4909">
      <w:r w:rsidRPr="000B4909">
        <w:t>The RFM is used by the AER to determine the closing regulatory asset base (RAB) for a regulatory control period. The closing RAB value for a regulatory control period as calculated by the RFM becomes the opening RAB to be used for the purposes of making a revenue determination for the next regulatory control period. The roll forward of the opening RAB for the next regulatory control period, on a forecast indicative basis, is undertaken in the AER’s post-tax revenue model (PTRM) in accordance with the requirements of the NER.</w:t>
      </w:r>
    </w:p>
    <w:p w:rsidR="000B4909" w:rsidRPr="000B4909" w:rsidRDefault="000B4909" w:rsidP="003671EE">
      <w:pPr>
        <w:pStyle w:val="Heading2"/>
      </w:pPr>
      <w:bookmarkStart w:id="7" w:name="_Toc423696182"/>
      <w:r w:rsidRPr="000B4909">
        <w:t>Confidentiality</w:t>
      </w:r>
      <w:bookmarkEnd w:id="7"/>
    </w:p>
    <w:p w:rsidR="000B4909" w:rsidRPr="000B4909" w:rsidRDefault="000B4909" w:rsidP="000B4909">
      <w:r w:rsidRPr="000B4909">
        <w:t xml:space="preserve">The AER’s obligations regarding confidentiality and the disclosure of information provided to it by a TNSP are governed by the </w:t>
      </w:r>
      <w:r w:rsidR="003776AF" w:rsidRPr="00DA70BA">
        <w:rPr>
          <w:rStyle w:val="Emphasis"/>
        </w:rPr>
        <w:t>Competition and consumer Act 2010 (Cth)</w:t>
      </w:r>
      <w:r w:rsidRPr="000B4909">
        <w:t>, the National Electricity Law (NEL) and the NER.</w:t>
      </w:r>
    </w:p>
    <w:p w:rsidR="000B4909" w:rsidRPr="000B4909" w:rsidRDefault="000B4909" w:rsidP="003671EE">
      <w:pPr>
        <w:pStyle w:val="Heading2"/>
      </w:pPr>
      <w:bookmarkStart w:id="8" w:name="_Toc423696183"/>
      <w:r w:rsidRPr="000B4909">
        <w:t>Process for revision</w:t>
      </w:r>
      <w:bookmarkEnd w:id="8"/>
    </w:p>
    <w:p w:rsidR="000B4909" w:rsidRPr="000B4909" w:rsidRDefault="000B4909" w:rsidP="000B4909">
      <w:r w:rsidRPr="000B4909">
        <w:t xml:space="preserve">The AER may amend or replace the RFM from time to time in accordance with clause 6A.6.1(c) of the NER and the transmission consultation procedures. </w:t>
      </w:r>
      <w:r w:rsidR="00C0259C" w:rsidRPr="00DA70BA">
        <w:rPr>
          <w:highlight w:val="yellow"/>
        </w:rPr>
        <w:t>The AER will publish a revised</w:t>
      </w:r>
      <w:r w:rsidRPr="00DA70BA">
        <w:rPr>
          <w:highlight w:val="yellow"/>
        </w:rPr>
        <w:t xml:space="preserve"> version of this handbook </w:t>
      </w:r>
      <w:r w:rsidR="00C0259C" w:rsidRPr="00DA70BA">
        <w:rPr>
          <w:highlight w:val="yellow"/>
        </w:rPr>
        <w:t>to</w:t>
      </w:r>
      <w:r w:rsidRPr="00DA70BA">
        <w:rPr>
          <w:highlight w:val="yellow"/>
        </w:rPr>
        <w:t xml:space="preserve"> accompany each </w:t>
      </w:r>
      <w:r w:rsidR="00C0259C" w:rsidRPr="00DA70BA">
        <w:rPr>
          <w:highlight w:val="yellow"/>
        </w:rPr>
        <w:t>new</w:t>
      </w:r>
      <w:r w:rsidRPr="00DA70BA">
        <w:rPr>
          <w:highlight w:val="yellow"/>
        </w:rPr>
        <w:t xml:space="preserve"> version of the RFM</w:t>
      </w:r>
      <w:r w:rsidR="00C0259C" w:rsidRPr="00DA70BA">
        <w:rPr>
          <w:highlight w:val="yellow"/>
        </w:rPr>
        <w:t xml:space="preserve"> it amends or replaces in the future</w:t>
      </w:r>
      <w:r w:rsidRPr="00DA70BA">
        <w:rPr>
          <w:highlight w:val="yellow"/>
        </w:rPr>
        <w:t>.</w:t>
      </w:r>
    </w:p>
    <w:p w:rsidR="000B4909" w:rsidRPr="000B4909" w:rsidRDefault="000B4909" w:rsidP="003671EE">
      <w:pPr>
        <w:pStyle w:val="Heading2"/>
      </w:pPr>
      <w:bookmarkStart w:id="9" w:name="_Toc423696184"/>
      <w:r w:rsidRPr="000B4909">
        <w:t>Version history and effective date</w:t>
      </w:r>
      <w:bookmarkEnd w:id="9"/>
    </w:p>
    <w:p w:rsidR="000B4909" w:rsidRPr="000B4909" w:rsidRDefault="000B4909" w:rsidP="000B4909">
      <w:r w:rsidRPr="000B4909">
        <w:t>A version number and an effective date of issue will identify each version of this handbook.</w:t>
      </w:r>
    </w:p>
    <w:p w:rsidR="000B4909" w:rsidRPr="000B4909" w:rsidRDefault="000B4909" w:rsidP="003671EE">
      <w:pPr>
        <w:pStyle w:val="Heading1"/>
      </w:pPr>
      <w:bookmarkStart w:id="10" w:name="_Toc423696185"/>
      <w:r w:rsidRPr="000B4909">
        <w:t>The model</w:t>
      </w:r>
      <w:bookmarkEnd w:id="10"/>
    </w:p>
    <w:p w:rsidR="00402F4C" w:rsidRPr="00DA70BA" w:rsidRDefault="00402F4C" w:rsidP="00402F4C">
      <w:pPr>
        <w:pStyle w:val="Heading2"/>
        <w:rPr>
          <w:highlight w:val="yellow"/>
        </w:rPr>
      </w:pPr>
      <w:bookmarkStart w:id="11" w:name="_Toc423696186"/>
      <w:r w:rsidRPr="00DA70BA">
        <w:rPr>
          <w:highlight w:val="yellow"/>
        </w:rPr>
        <w:t>Overview of the R</w:t>
      </w:r>
      <w:r w:rsidR="00C0259C" w:rsidRPr="00DA70BA">
        <w:rPr>
          <w:highlight w:val="yellow"/>
        </w:rPr>
        <w:t>F</w:t>
      </w:r>
      <w:r w:rsidRPr="00DA70BA">
        <w:rPr>
          <w:highlight w:val="yellow"/>
        </w:rPr>
        <w:t>M</w:t>
      </w:r>
      <w:bookmarkEnd w:id="11"/>
    </w:p>
    <w:p w:rsidR="000B4909" w:rsidRDefault="00402F4C" w:rsidP="000B4909">
      <w:r w:rsidRPr="00DA70BA">
        <w:rPr>
          <w:highlight w:val="yellow"/>
        </w:rPr>
        <w:t xml:space="preserve">The RFM is used to </w:t>
      </w:r>
      <w:r w:rsidR="00D942BD" w:rsidRPr="00DA70BA">
        <w:rPr>
          <w:highlight w:val="yellow"/>
        </w:rPr>
        <w:t xml:space="preserve">calculate </w:t>
      </w:r>
      <w:r w:rsidR="00B84B2F" w:rsidRPr="00DA70BA">
        <w:rPr>
          <w:highlight w:val="yellow"/>
        </w:rPr>
        <w:t xml:space="preserve">the </w:t>
      </w:r>
      <w:r w:rsidR="00D942BD" w:rsidRPr="00DA70BA">
        <w:rPr>
          <w:highlight w:val="yellow"/>
        </w:rPr>
        <w:t xml:space="preserve">total </w:t>
      </w:r>
      <w:r w:rsidR="00B84B2F" w:rsidRPr="00DA70BA">
        <w:rPr>
          <w:highlight w:val="yellow"/>
        </w:rPr>
        <w:t>value of</w:t>
      </w:r>
      <w:r w:rsidR="00D942BD" w:rsidRPr="00DA70BA">
        <w:rPr>
          <w:highlight w:val="yellow"/>
        </w:rPr>
        <w:t xml:space="preserve"> assets</w:t>
      </w:r>
      <w:r w:rsidR="00C0259C" w:rsidRPr="00DA70BA">
        <w:rPr>
          <w:highlight w:val="yellow"/>
        </w:rPr>
        <w:t xml:space="preserve"> for a TNSP</w:t>
      </w:r>
      <w:r w:rsidR="00D942BD" w:rsidRPr="00DA70BA">
        <w:rPr>
          <w:highlight w:val="yellow"/>
        </w:rPr>
        <w:t xml:space="preserve"> across a regulatory control period</w:t>
      </w:r>
      <w:r w:rsidRPr="00DA70BA">
        <w:rPr>
          <w:highlight w:val="yellow"/>
        </w:rPr>
        <w:t>. Specif</w:t>
      </w:r>
      <w:r w:rsidR="00B84B2F" w:rsidRPr="00DA70BA">
        <w:rPr>
          <w:highlight w:val="yellow"/>
        </w:rPr>
        <w:t>ically, t</w:t>
      </w:r>
      <w:r w:rsidR="000B4909" w:rsidRPr="00DA70BA">
        <w:rPr>
          <w:highlight w:val="yellow"/>
        </w:rPr>
        <w:t xml:space="preserve">he RFM is a set of Microsoft Excel spreadsheets </w:t>
      </w:r>
      <w:r w:rsidR="006B2DEC" w:rsidRPr="00DA70BA">
        <w:rPr>
          <w:highlight w:val="yellow"/>
        </w:rPr>
        <w:t xml:space="preserve">(combined into one file, often referred to as a singular spreadsheet) </w:t>
      </w:r>
      <w:r w:rsidR="00C0259C" w:rsidRPr="00DA70BA">
        <w:rPr>
          <w:highlight w:val="yellow"/>
        </w:rPr>
        <w:t>that</w:t>
      </w:r>
      <w:r w:rsidR="000B4909" w:rsidRPr="00DA70BA">
        <w:rPr>
          <w:highlight w:val="yellow"/>
        </w:rPr>
        <w:t xml:space="preserve"> perform calculations to derive a closing RAB for the current regulatory control period from a given set of inputs.</w:t>
      </w:r>
      <w:r w:rsidR="002B75A3" w:rsidRPr="00DA70BA">
        <w:rPr>
          <w:rStyle w:val="FootnoteReference"/>
          <w:highlight w:val="yellow"/>
        </w:rPr>
        <w:footnoteReference w:id="2"/>
      </w:r>
      <w:r w:rsidR="000B4909" w:rsidRPr="000B4909">
        <w:t xml:space="preserve"> The RFM allows the user to vary the inputs in order to assess their impact on the output data and other derived parameters.</w:t>
      </w:r>
      <w:r w:rsidR="002B75A3">
        <w:t xml:space="preserve"> </w:t>
      </w:r>
      <w:r w:rsidRPr="00DA70BA">
        <w:rPr>
          <w:highlight w:val="yellow"/>
        </w:rPr>
        <w:fldChar w:fldCharType="begin"/>
      </w:r>
      <w:r w:rsidRPr="00DA70BA">
        <w:rPr>
          <w:highlight w:val="yellow"/>
        </w:rPr>
        <w:instrText xml:space="preserve"> REF _Ref421024083 \h </w:instrText>
      </w:r>
      <w:r w:rsidR="00DA70BA">
        <w:rPr>
          <w:highlight w:val="yellow"/>
        </w:rPr>
        <w:instrText xml:space="preserve"> \* MERGEFORMAT </w:instrText>
      </w:r>
      <w:r w:rsidRPr="00DA70BA">
        <w:rPr>
          <w:highlight w:val="yellow"/>
        </w:rPr>
      </w:r>
      <w:r w:rsidRPr="00DA70BA">
        <w:rPr>
          <w:highlight w:val="yellow"/>
        </w:rPr>
        <w:fldChar w:fldCharType="separate"/>
      </w:r>
      <w:r w:rsidR="00F92CE8" w:rsidRPr="009B4D48">
        <w:rPr>
          <w:highlight w:val="yellow"/>
        </w:rPr>
        <w:t xml:space="preserve">Figure </w:t>
      </w:r>
      <w:r w:rsidR="00F92CE8">
        <w:rPr>
          <w:noProof/>
          <w:highlight w:val="yellow"/>
        </w:rPr>
        <w:t>1</w:t>
      </w:r>
      <w:r w:rsidRPr="00DA70BA">
        <w:rPr>
          <w:highlight w:val="yellow"/>
        </w:rPr>
        <w:fldChar w:fldCharType="end"/>
      </w:r>
      <w:r w:rsidRPr="00DA70BA">
        <w:rPr>
          <w:highlight w:val="yellow"/>
        </w:rPr>
        <w:t xml:space="preserve"> </w:t>
      </w:r>
      <w:r w:rsidR="002B75A3" w:rsidRPr="00DA70BA">
        <w:rPr>
          <w:highlight w:val="yellow"/>
        </w:rPr>
        <w:t>provides an overview of this process.</w:t>
      </w:r>
    </w:p>
    <w:p w:rsidR="00402F4C" w:rsidRDefault="00402F4C" w:rsidP="00402F4C">
      <w:pPr>
        <w:pStyle w:val="Caption"/>
        <w:keepNext/>
      </w:pPr>
      <w:bookmarkStart w:id="12" w:name="_Ref421024083"/>
      <w:r w:rsidRPr="009B4D48">
        <w:rPr>
          <w:highlight w:val="yellow"/>
        </w:rPr>
        <w:t xml:space="preserve">Figure </w:t>
      </w:r>
      <w:r w:rsidR="0021037D" w:rsidRPr="009B4D48">
        <w:rPr>
          <w:highlight w:val="yellow"/>
        </w:rPr>
        <w:fldChar w:fldCharType="begin"/>
      </w:r>
      <w:r w:rsidR="0021037D" w:rsidRPr="009B4D48">
        <w:rPr>
          <w:highlight w:val="yellow"/>
        </w:rPr>
        <w:instrText xml:space="preserve"> SEQ Figure \* ARABIC </w:instrText>
      </w:r>
      <w:r w:rsidR="0021037D" w:rsidRPr="009B4D48">
        <w:rPr>
          <w:highlight w:val="yellow"/>
        </w:rPr>
        <w:fldChar w:fldCharType="separate"/>
      </w:r>
      <w:r w:rsidR="00F92CE8">
        <w:rPr>
          <w:noProof/>
          <w:highlight w:val="yellow"/>
        </w:rPr>
        <w:t>1</w:t>
      </w:r>
      <w:r w:rsidR="0021037D" w:rsidRPr="009B4D48">
        <w:rPr>
          <w:noProof/>
          <w:highlight w:val="yellow"/>
        </w:rPr>
        <w:fldChar w:fldCharType="end"/>
      </w:r>
      <w:bookmarkEnd w:id="12"/>
      <w:r w:rsidRPr="009B4D48">
        <w:rPr>
          <w:highlight w:val="yellow"/>
        </w:rPr>
        <w:tab/>
        <w:t>Overview of the R</w:t>
      </w:r>
      <w:r w:rsidR="00C0259C" w:rsidRPr="009B4D48">
        <w:rPr>
          <w:highlight w:val="yellow"/>
        </w:rPr>
        <w:t>F</w:t>
      </w:r>
      <w:r w:rsidRPr="009B4D48">
        <w:rPr>
          <w:highlight w:val="yellow"/>
        </w:rPr>
        <w:t>M spreadsheets</w:t>
      </w:r>
    </w:p>
    <w:p w:rsidR="002B75A3" w:rsidRPr="000B4909" w:rsidRDefault="00620A9D" w:rsidP="000B4909">
      <w:r w:rsidRPr="009B4D48">
        <w:rPr>
          <w:noProof/>
          <w:highlight w:val="yellow"/>
          <w:lang w:eastAsia="en-AU"/>
        </w:rPr>
        <w:drawing>
          <wp:inline distT="0" distB="0" distL="0" distR="0" wp14:anchorId="6B29C162" wp14:editId="3BECCC6E">
            <wp:extent cx="5236310" cy="558165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6310" cy="5581650"/>
                    </a:xfrm>
                    <a:prstGeom prst="rect">
                      <a:avLst/>
                    </a:prstGeom>
                    <a:noFill/>
                    <a:ln>
                      <a:noFill/>
                    </a:ln>
                  </pic:spPr>
                </pic:pic>
              </a:graphicData>
            </a:graphic>
          </wp:inline>
        </w:drawing>
      </w:r>
    </w:p>
    <w:p w:rsidR="00FE73B9" w:rsidRPr="009B4D48" w:rsidRDefault="00FE73B9" w:rsidP="00FE73B9">
      <w:pPr>
        <w:rPr>
          <w:highlight w:val="yellow"/>
        </w:rPr>
      </w:pPr>
      <w:r w:rsidRPr="009B4D48">
        <w:rPr>
          <w:highlight w:val="yellow"/>
        </w:rPr>
        <w:t xml:space="preserve">In </w:t>
      </w:r>
      <w:r w:rsidRPr="009B4D48">
        <w:rPr>
          <w:highlight w:val="yellow"/>
        </w:rPr>
        <w:fldChar w:fldCharType="begin"/>
      </w:r>
      <w:r w:rsidRPr="009B4D48">
        <w:rPr>
          <w:highlight w:val="yellow"/>
        </w:rPr>
        <w:instrText xml:space="preserve"> REF _Ref421024083 \h </w:instrText>
      </w:r>
      <w:r w:rsidR="009B4D48">
        <w:rPr>
          <w:highlight w:val="yellow"/>
        </w:rPr>
        <w:instrText xml:space="preserve"> \* MERGEFORMAT </w:instrText>
      </w:r>
      <w:r w:rsidRPr="009B4D48">
        <w:rPr>
          <w:highlight w:val="yellow"/>
        </w:rPr>
      </w:r>
      <w:r w:rsidRPr="009B4D48">
        <w:rPr>
          <w:highlight w:val="yellow"/>
        </w:rPr>
        <w:fldChar w:fldCharType="separate"/>
      </w:r>
      <w:r w:rsidR="00F92CE8" w:rsidRPr="009B4D48">
        <w:rPr>
          <w:highlight w:val="yellow"/>
        </w:rPr>
        <w:t xml:space="preserve">Figure </w:t>
      </w:r>
      <w:r w:rsidR="00F92CE8">
        <w:rPr>
          <w:noProof/>
          <w:highlight w:val="yellow"/>
        </w:rPr>
        <w:t>1</w:t>
      </w:r>
      <w:r w:rsidRPr="009B4D48">
        <w:rPr>
          <w:highlight w:val="yellow"/>
        </w:rPr>
        <w:fldChar w:fldCharType="end"/>
      </w:r>
      <w:r w:rsidRPr="009B4D48">
        <w:rPr>
          <w:highlight w:val="yellow"/>
        </w:rPr>
        <w:t>, each box represents a spreadsheet within the RFM. Sheets are classified as primarily about inputs (left column), calculations (centre column) or outputs (right column). The flow of data is therefore from left to right, and simplified links between the sheets are shown with blue arrows.</w:t>
      </w:r>
    </w:p>
    <w:p w:rsidR="00FE73B9" w:rsidRPr="009B4D48" w:rsidRDefault="00FE73B9" w:rsidP="00FE73B9">
      <w:pPr>
        <w:rPr>
          <w:highlight w:val="yellow"/>
        </w:rPr>
      </w:pPr>
      <w:r w:rsidRPr="009B4D48">
        <w:rPr>
          <w:highlight w:val="yellow"/>
        </w:rPr>
        <w:t xml:space="preserve">To operate the RFM, the user enters all the required data on the </w:t>
      </w:r>
      <w:r w:rsidRPr="009B4D48">
        <w:rPr>
          <w:rStyle w:val="Bold"/>
          <w:highlight w:val="yellow"/>
        </w:rPr>
        <w:t>RFM input</w:t>
      </w:r>
      <w:r w:rsidRPr="009B4D48">
        <w:rPr>
          <w:highlight w:val="yellow"/>
        </w:rPr>
        <w:t xml:space="preserve"> sheet—for example, the opening RAB and TAB values, actual capital expenditure (capex) across the regulatory control period, or the actual consumer price index (CPI) rate. These inputs often requires reconciliation with previous models (RFM or PTRM) approved for the current revenue determination applying to the current regulatory control period, or annual information reported by the TNSPs. In this sense, the majority of inputs to the RFM will be the output from other parts </w:t>
      </w:r>
      <w:r w:rsidR="00FB6F90" w:rsidRPr="009B4D48">
        <w:rPr>
          <w:highlight w:val="yellow"/>
        </w:rPr>
        <w:t xml:space="preserve">the previous </w:t>
      </w:r>
      <w:r w:rsidRPr="009B4D48">
        <w:rPr>
          <w:highlight w:val="yellow"/>
        </w:rPr>
        <w:t>final decision.</w:t>
      </w:r>
    </w:p>
    <w:p w:rsidR="00B81030" w:rsidRPr="009B4D48" w:rsidRDefault="00FB6F90" w:rsidP="00FE73B9">
      <w:pPr>
        <w:rPr>
          <w:highlight w:val="yellow"/>
        </w:rPr>
      </w:pPr>
      <w:r w:rsidRPr="009B4D48">
        <w:rPr>
          <w:highlight w:val="yellow"/>
        </w:rPr>
        <w:t xml:space="preserve">The </w:t>
      </w:r>
      <w:r w:rsidR="00FE73B9" w:rsidRPr="009B4D48">
        <w:rPr>
          <w:highlight w:val="yellow"/>
        </w:rPr>
        <w:t>R</w:t>
      </w:r>
      <w:r w:rsidRPr="009B4D48">
        <w:rPr>
          <w:highlight w:val="yellow"/>
        </w:rPr>
        <w:t>F</w:t>
      </w:r>
      <w:r w:rsidR="00FE73B9" w:rsidRPr="009B4D48">
        <w:rPr>
          <w:highlight w:val="yellow"/>
        </w:rPr>
        <w:t xml:space="preserve">M then uses this data to undertake </w:t>
      </w:r>
      <w:r w:rsidRPr="009B4D48">
        <w:rPr>
          <w:highlight w:val="yellow"/>
        </w:rPr>
        <w:t>the RAB (and TAB) roll forward</w:t>
      </w:r>
      <w:r w:rsidR="00FE73B9" w:rsidRPr="009B4D48">
        <w:rPr>
          <w:highlight w:val="yellow"/>
        </w:rPr>
        <w:t xml:space="preserve">, consistent with the requirements of the NER. Under this approach, </w:t>
      </w:r>
      <w:r w:rsidR="00FE75ED" w:rsidRPr="009B4D48">
        <w:rPr>
          <w:highlight w:val="yellow"/>
        </w:rPr>
        <w:t>the RAB is rolled forward during each year of the current regulatory control by adding capex, subtracting depreciation and indexing for actual CPI</w:t>
      </w:r>
      <w:r w:rsidR="00B81030" w:rsidRPr="009B4D48">
        <w:rPr>
          <w:highlight w:val="yellow"/>
        </w:rPr>
        <w:t xml:space="preserve"> in the </w:t>
      </w:r>
      <w:r w:rsidR="00B81030" w:rsidRPr="009B4D48">
        <w:rPr>
          <w:rStyle w:val="Bold"/>
          <w:highlight w:val="yellow"/>
        </w:rPr>
        <w:t>RAB roll forward</w:t>
      </w:r>
      <w:r w:rsidR="00B81030" w:rsidRPr="009B4D48">
        <w:rPr>
          <w:highlight w:val="yellow"/>
        </w:rPr>
        <w:t xml:space="preserve"> sheet</w:t>
      </w:r>
      <w:r w:rsidR="00FE75ED" w:rsidRPr="009B4D48">
        <w:rPr>
          <w:highlight w:val="yellow"/>
        </w:rPr>
        <w:t>.</w:t>
      </w:r>
      <w:r w:rsidR="003A497B" w:rsidRPr="009B4D48">
        <w:rPr>
          <w:highlight w:val="yellow"/>
        </w:rPr>
        <w:t xml:space="preserve"> </w:t>
      </w:r>
      <w:r w:rsidR="00B81030" w:rsidRPr="009B4D48">
        <w:rPr>
          <w:highlight w:val="yellow"/>
        </w:rPr>
        <w:t xml:space="preserve">The required true-up for </w:t>
      </w:r>
      <w:r w:rsidR="00F04A31" w:rsidRPr="009B4D48">
        <w:rPr>
          <w:highlight w:val="yellow"/>
        </w:rPr>
        <w:t>RAB</w:t>
      </w:r>
      <w:r w:rsidR="00B81030" w:rsidRPr="009B4D48">
        <w:rPr>
          <w:highlight w:val="yellow"/>
        </w:rPr>
        <w:t xml:space="preserve"> adjustments (such as for</w:t>
      </w:r>
      <w:r w:rsidR="00F04A31" w:rsidRPr="009B4D48">
        <w:rPr>
          <w:highlight w:val="yellow"/>
        </w:rPr>
        <w:t xml:space="preserve"> using an estimate of </w:t>
      </w:r>
      <w:r w:rsidR="00B81030" w:rsidRPr="009B4D48">
        <w:rPr>
          <w:highlight w:val="yellow"/>
        </w:rPr>
        <w:t xml:space="preserve">capex) in the final year of the previous regulatory control period is calculated in the </w:t>
      </w:r>
      <w:r w:rsidR="00B81030" w:rsidRPr="009B4D48">
        <w:rPr>
          <w:rStyle w:val="Bold"/>
          <w:highlight w:val="yellow"/>
        </w:rPr>
        <w:t>Adjustment for previous period</w:t>
      </w:r>
      <w:r w:rsidR="00B81030" w:rsidRPr="009B4D48">
        <w:rPr>
          <w:highlight w:val="yellow"/>
        </w:rPr>
        <w:t xml:space="preserve"> sheet. The </w:t>
      </w:r>
      <w:r w:rsidR="00B81030" w:rsidRPr="009B4D48">
        <w:rPr>
          <w:rStyle w:val="Bold"/>
          <w:highlight w:val="yellow"/>
        </w:rPr>
        <w:t>Total RAB roll forward</w:t>
      </w:r>
      <w:r w:rsidR="00B81030" w:rsidRPr="009B4D48">
        <w:rPr>
          <w:highlight w:val="yellow"/>
        </w:rPr>
        <w:t xml:space="preserve"> sheet then draws the data from the </w:t>
      </w:r>
      <w:r w:rsidR="00B81030" w:rsidRPr="009B4D48">
        <w:rPr>
          <w:rStyle w:val="Bold"/>
          <w:highlight w:val="yellow"/>
        </w:rPr>
        <w:t>RAB roll forward</w:t>
      </w:r>
      <w:r w:rsidR="00B81030" w:rsidRPr="009B4D48">
        <w:rPr>
          <w:highlight w:val="yellow"/>
        </w:rPr>
        <w:t xml:space="preserve"> and </w:t>
      </w:r>
      <w:r w:rsidR="00B81030" w:rsidRPr="009B4D48">
        <w:rPr>
          <w:rStyle w:val="Bold"/>
          <w:highlight w:val="yellow"/>
        </w:rPr>
        <w:t>Adjustment for previous period</w:t>
      </w:r>
      <w:r w:rsidR="00B81030" w:rsidRPr="009B4D48">
        <w:rPr>
          <w:highlight w:val="yellow"/>
        </w:rPr>
        <w:t xml:space="preserve"> sheets to bring together the closing RAB for the current regulatory control period.</w:t>
      </w:r>
    </w:p>
    <w:p w:rsidR="00B81030" w:rsidRPr="009B4D48" w:rsidRDefault="00B81030" w:rsidP="00FE73B9">
      <w:pPr>
        <w:rPr>
          <w:highlight w:val="yellow"/>
        </w:rPr>
      </w:pPr>
      <w:r w:rsidRPr="009B4D48">
        <w:rPr>
          <w:highlight w:val="yellow"/>
        </w:rPr>
        <w:t xml:space="preserve">The roll forward of the TAB is undertaken in a similar, but simpler manner in the </w:t>
      </w:r>
      <w:r w:rsidRPr="009B4D48">
        <w:rPr>
          <w:rStyle w:val="Bold"/>
          <w:highlight w:val="yellow"/>
        </w:rPr>
        <w:t xml:space="preserve">TAB roll forward </w:t>
      </w:r>
      <w:r w:rsidRPr="009B4D48">
        <w:rPr>
          <w:highlight w:val="yellow"/>
        </w:rPr>
        <w:t>sheet. Unlike the RAB, the TAB is not used to derive reve</w:t>
      </w:r>
      <w:r w:rsidR="00335744" w:rsidRPr="009B4D48">
        <w:rPr>
          <w:highlight w:val="yellow"/>
        </w:rPr>
        <w:t>nues explicitly and so the final year capex estimate true-up can be accommodated by replacing with actual capex in the relevant year of commissioning.</w:t>
      </w:r>
      <w:r w:rsidR="00335744" w:rsidRPr="009B4D48">
        <w:rPr>
          <w:rStyle w:val="FootnoteReference"/>
          <w:highlight w:val="yellow"/>
        </w:rPr>
        <w:footnoteReference w:id="3"/>
      </w:r>
      <w:r w:rsidR="00335744" w:rsidRPr="009B4D48">
        <w:rPr>
          <w:highlight w:val="yellow"/>
        </w:rPr>
        <w:t xml:space="preserve"> </w:t>
      </w:r>
    </w:p>
    <w:p w:rsidR="007A48E4" w:rsidRPr="009B4D48" w:rsidRDefault="007A48E4" w:rsidP="00FE73B9">
      <w:pPr>
        <w:rPr>
          <w:highlight w:val="yellow"/>
        </w:rPr>
      </w:pPr>
      <w:r w:rsidRPr="009B4D48">
        <w:rPr>
          <w:highlight w:val="yellow"/>
        </w:rPr>
        <w:t xml:space="preserve">The </w:t>
      </w:r>
      <w:r w:rsidRPr="009B4D48">
        <w:rPr>
          <w:rStyle w:val="Strong"/>
          <w:highlight w:val="yellow"/>
        </w:rPr>
        <w:t>RAB remaining lives</w:t>
      </w:r>
      <w:r w:rsidRPr="009B4D48">
        <w:rPr>
          <w:highlight w:val="yellow"/>
        </w:rPr>
        <w:t xml:space="preserve"> and </w:t>
      </w:r>
      <w:r w:rsidRPr="009B4D48">
        <w:rPr>
          <w:rStyle w:val="Strong"/>
          <w:highlight w:val="yellow"/>
        </w:rPr>
        <w:t>TAB remaining lives</w:t>
      </w:r>
      <w:r w:rsidRPr="009B4D48">
        <w:rPr>
          <w:highlight w:val="yellow"/>
        </w:rPr>
        <w:t xml:space="preserve"> sheets </w:t>
      </w:r>
      <w:r w:rsidR="00136883" w:rsidRPr="009B4D48">
        <w:rPr>
          <w:highlight w:val="yellow"/>
        </w:rPr>
        <w:t>roll forward the weighted average remaining life of each asset class based on actual depreciation of the opening asset value and net capex</w:t>
      </w:r>
      <w:r w:rsidR="00131C80" w:rsidRPr="009B4D48">
        <w:rPr>
          <w:highlight w:val="yellow"/>
        </w:rPr>
        <w:t xml:space="preserve"> commissioned in each regulatory control period</w:t>
      </w:r>
      <w:r w:rsidR="00136883" w:rsidRPr="009B4D48">
        <w:rPr>
          <w:highlight w:val="yellow"/>
        </w:rPr>
        <w:t>.</w:t>
      </w:r>
      <w:r w:rsidR="00D60E1E" w:rsidRPr="009B4D48">
        <w:rPr>
          <w:highlight w:val="yellow"/>
        </w:rPr>
        <w:t xml:space="preserve"> </w:t>
      </w:r>
    </w:p>
    <w:p w:rsidR="00FE73B9" w:rsidRPr="009B4D48" w:rsidRDefault="00FE73B9" w:rsidP="00FE73B9">
      <w:pPr>
        <w:rPr>
          <w:highlight w:val="yellow"/>
        </w:rPr>
      </w:pPr>
      <w:r w:rsidRPr="009B4D48">
        <w:rPr>
          <w:highlight w:val="yellow"/>
        </w:rPr>
        <w:t xml:space="preserve">Finally, </w:t>
      </w:r>
      <w:r w:rsidR="00DE386D" w:rsidRPr="009B4D48">
        <w:rPr>
          <w:highlight w:val="yellow"/>
        </w:rPr>
        <w:t xml:space="preserve">because the outputs of the RFM become inputs to the PTRM, </w:t>
      </w:r>
      <w:r w:rsidRPr="009B4D48">
        <w:rPr>
          <w:highlight w:val="yellow"/>
        </w:rPr>
        <w:t xml:space="preserve">there </w:t>
      </w:r>
      <w:r w:rsidR="00FB6F90" w:rsidRPr="009B4D48">
        <w:rPr>
          <w:highlight w:val="yellow"/>
        </w:rPr>
        <w:t xml:space="preserve">is a </w:t>
      </w:r>
      <w:r w:rsidRPr="009B4D48">
        <w:rPr>
          <w:highlight w:val="yellow"/>
        </w:rPr>
        <w:t xml:space="preserve">presentation sheet which </w:t>
      </w:r>
      <w:r w:rsidR="00FB6F90" w:rsidRPr="009B4D48">
        <w:rPr>
          <w:highlight w:val="yellow"/>
        </w:rPr>
        <w:t>provides a</w:t>
      </w:r>
      <w:r w:rsidRPr="009B4D48">
        <w:rPr>
          <w:highlight w:val="yellow"/>
        </w:rPr>
        <w:t xml:space="preserve"> summary </w:t>
      </w:r>
      <w:r w:rsidR="00BE7F75" w:rsidRPr="009B4D48">
        <w:rPr>
          <w:highlight w:val="yellow"/>
        </w:rPr>
        <w:t xml:space="preserve">of </w:t>
      </w:r>
      <w:r w:rsidRPr="009B4D48">
        <w:rPr>
          <w:highlight w:val="yellow"/>
        </w:rPr>
        <w:t xml:space="preserve">output </w:t>
      </w:r>
      <w:r w:rsidR="00BE7F75" w:rsidRPr="009B4D48">
        <w:rPr>
          <w:highlight w:val="yellow"/>
        </w:rPr>
        <w:t>data in the format required for feeding into the PTRM.</w:t>
      </w:r>
    </w:p>
    <w:p w:rsidR="00FE73B9" w:rsidRDefault="00FE73B9" w:rsidP="00FE73B9">
      <w:r w:rsidRPr="009B4D48">
        <w:rPr>
          <w:highlight w:val="yellow"/>
        </w:rPr>
        <w:t>The user should not alter the names of any sheets or defined name ranges within the R</w:t>
      </w:r>
      <w:r w:rsidR="00FB6F90" w:rsidRPr="009B4D48">
        <w:rPr>
          <w:highlight w:val="yellow"/>
        </w:rPr>
        <w:t>F</w:t>
      </w:r>
      <w:r w:rsidRPr="009B4D48">
        <w:rPr>
          <w:highlight w:val="yellow"/>
        </w:rPr>
        <w:t>M. These R</w:t>
      </w:r>
      <w:r w:rsidR="00FB6F90" w:rsidRPr="009B4D48">
        <w:rPr>
          <w:highlight w:val="yellow"/>
        </w:rPr>
        <w:t>F</w:t>
      </w:r>
      <w:r w:rsidRPr="009B4D48">
        <w:rPr>
          <w:highlight w:val="yellow"/>
        </w:rPr>
        <w:t>M components are used when automaticall</w:t>
      </w:r>
      <w:r w:rsidR="00BE7F75" w:rsidRPr="009B4D48">
        <w:rPr>
          <w:highlight w:val="yellow"/>
        </w:rPr>
        <w:t xml:space="preserve">y importing into the AER’s data </w:t>
      </w:r>
      <w:r w:rsidRPr="009B4D48">
        <w:rPr>
          <w:highlight w:val="yellow"/>
        </w:rPr>
        <w:t>management system (DMS). If these elements are changed, errors may occur.</w:t>
      </w:r>
    </w:p>
    <w:p w:rsidR="00FE333A" w:rsidRPr="009B4D48" w:rsidRDefault="00FE333A" w:rsidP="00FE333A">
      <w:pPr>
        <w:pStyle w:val="Heading2"/>
        <w:rPr>
          <w:highlight w:val="yellow"/>
        </w:rPr>
      </w:pPr>
      <w:bookmarkStart w:id="13" w:name="_Toc423696187"/>
      <w:r w:rsidRPr="009B4D48">
        <w:rPr>
          <w:highlight w:val="yellow"/>
        </w:rPr>
        <w:t>DMS input sheet</w:t>
      </w:r>
      <w:bookmarkEnd w:id="13"/>
    </w:p>
    <w:p w:rsidR="00FE333A" w:rsidRPr="009B4D48" w:rsidRDefault="00FE333A" w:rsidP="00FE333A">
      <w:pPr>
        <w:rPr>
          <w:highlight w:val="yellow"/>
        </w:rPr>
      </w:pPr>
      <w:r w:rsidRPr="009B4D48">
        <w:rPr>
          <w:highlight w:val="yellow"/>
        </w:rPr>
        <w:t xml:space="preserve">The </w:t>
      </w:r>
      <w:r w:rsidRPr="009B4D48">
        <w:rPr>
          <w:rStyle w:val="Strong"/>
          <w:highlight w:val="yellow"/>
        </w:rPr>
        <w:t>DMS input</w:t>
      </w:r>
      <w:r w:rsidRPr="009B4D48">
        <w:rPr>
          <w:highlight w:val="yellow"/>
        </w:rPr>
        <w:t xml:space="preserve"> sheet captures business specific, non-financial information that is required for the AER to import the RFM into its DMS. To allow this automatic import to take place, this spreadsheet has been locked (using the Excel ‘Protect sheet’ command) so that the layout of this sheet cannot be changed.</w:t>
      </w:r>
    </w:p>
    <w:p w:rsidR="00FE333A" w:rsidRPr="009B4D48" w:rsidRDefault="00FE333A" w:rsidP="00FE333A">
      <w:pPr>
        <w:rPr>
          <w:highlight w:val="yellow"/>
        </w:rPr>
      </w:pPr>
      <w:r w:rsidRPr="009B4D48">
        <w:rPr>
          <w:highlight w:val="yellow"/>
        </w:rPr>
        <w:t xml:space="preserve">Contact details for those responsible for preparing and submitting </w:t>
      </w:r>
      <w:r w:rsidR="00393C3D">
        <w:rPr>
          <w:highlight w:val="yellow"/>
        </w:rPr>
        <w:t xml:space="preserve">the RFM are recorded in rows 14 to </w:t>
      </w:r>
      <w:r w:rsidRPr="009B4D48">
        <w:rPr>
          <w:highlight w:val="yellow"/>
        </w:rPr>
        <w:t>31. These will be stored in the DMS. These inputs also control the headings displayed at the top of other sheets in the RFM.</w:t>
      </w:r>
    </w:p>
    <w:p w:rsidR="00FE333A" w:rsidRPr="009B4D48" w:rsidRDefault="00FE333A" w:rsidP="00FE333A">
      <w:pPr>
        <w:rPr>
          <w:highlight w:val="yellow"/>
        </w:rPr>
      </w:pPr>
      <w:r w:rsidRPr="009B4D48">
        <w:rPr>
          <w:highlight w:val="yellow"/>
        </w:rPr>
        <w:t xml:space="preserve">Context details for the </w:t>
      </w:r>
      <w:r w:rsidR="00100E79" w:rsidRPr="009B4D48">
        <w:rPr>
          <w:highlight w:val="yellow"/>
        </w:rPr>
        <w:t>RFM</w:t>
      </w:r>
      <w:r w:rsidRPr="009B4D48">
        <w:rPr>
          <w:highlight w:val="yellow"/>
        </w:rPr>
        <w:t xml:space="preserve"> are recorded in the lower section. Many of these details (such as the dates of the regulatory control period) are automatically populated from the </w:t>
      </w:r>
      <w:r w:rsidRPr="009B4D48">
        <w:rPr>
          <w:rStyle w:val="Bold"/>
          <w:highlight w:val="yellow"/>
        </w:rPr>
        <w:t>RFM input</w:t>
      </w:r>
      <w:r w:rsidRPr="009B4D48">
        <w:rPr>
          <w:highlight w:val="yellow"/>
        </w:rPr>
        <w:t xml:space="preserve"> sheet and so the cells here are hidden. The stage of the regulatory process is set in cell C46 using a drop down menu.</w:t>
      </w:r>
      <w:r w:rsidRPr="009B4D48">
        <w:rPr>
          <w:rStyle w:val="FootnoteReference"/>
          <w:highlight w:val="yellow"/>
        </w:rPr>
        <w:footnoteReference w:id="4"/>
      </w:r>
      <w:r w:rsidRPr="009B4D48">
        <w:rPr>
          <w:highlight w:val="yellow"/>
        </w:rPr>
        <w:t xml:space="preserve"> If this is not enough description to uniquely identify the R</w:t>
      </w:r>
      <w:r w:rsidR="004440AF" w:rsidRPr="009B4D48">
        <w:rPr>
          <w:highlight w:val="yellow"/>
        </w:rPr>
        <w:t>F</w:t>
      </w:r>
      <w:r w:rsidRPr="009B4D48">
        <w:rPr>
          <w:highlight w:val="yellow"/>
        </w:rPr>
        <w:t xml:space="preserve">M submission, a description should be placed in cell C53 (for example, a resubmission of the Regulatory proposal </w:t>
      </w:r>
      <w:r w:rsidR="00100E79" w:rsidRPr="009B4D48">
        <w:rPr>
          <w:highlight w:val="yellow"/>
        </w:rPr>
        <w:t>RFM</w:t>
      </w:r>
      <w:r w:rsidRPr="009B4D48">
        <w:rPr>
          <w:highlight w:val="yellow"/>
        </w:rPr>
        <w:t xml:space="preserve"> with revised data values after an error was corrected).</w:t>
      </w:r>
    </w:p>
    <w:p w:rsidR="00FE333A" w:rsidRDefault="00FE333A" w:rsidP="00FE333A">
      <w:r w:rsidRPr="009B4D48">
        <w:rPr>
          <w:highlight w:val="yellow"/>
        </w:rPr>
        <w:fldChar w:fldCharType="begin"/>
      </w:r>
      <w:r w:rsidRPr="009B4D48">
        <w:rPr>
          <w:highlight w:val="yellow"/>
        </w:rPr>
        <w:instrText xml:space="preserve"> REF _Ref420937915 \h </w:instrText>
      </w:r>
      <w:r w:rsidR="009B4D48">
        <w:rPr>
          <w:highlight w:val="yellow"/>
        </w:rPr>
        <w:instrText xml:space="preserve"> \* MERGEFORMAT </w:instrText>
      </w:r>
      <w:r w:rsidRPr="009B4D48">
        <w:rPr>
          <w:highlight w:val="yellow"/>
        </w:rPr>
      </w:r>
      <w:r w:rsidRPr="009B4D48">
        <w:rPr>
          <w:highlight w:val="yellow"/>
        </w:rPr>
        <w:fldChar w:fldCharType="separate"/>
      </w:r>
      <w:r w:rsidR="00F92CE8" w:rsidRPr="009B4D48">
        <w:rPr>
          <w:highlight w:val="yellow"/>
        </w:rPr>
        <w:t xml:space="preserve">Figure </w:t>
      </w:r>
      <w:r w:rsidR="00F92CE8">
        <w:rPr>
          <w:noProof/>
          <w:highlight w:val="yellow"/>
        </w:rPr>
        <w:t>2</w:t>
      </w:r>
      <w:r w:rsidRPr="009B4D48">
        <w:rPr>
          <w:highlight w:val="yellow"/>
        </w:rPr>
        <w:fldChar w:fldCharType="end"/>
      </w:r>
      <w:r w:rsidRPr="009B4D48">
        <w:rPr>
          <w:highlight w:val="yellow"/>
        </w:rPr>
        <w:t xml:space="preserve"> provides an example of the </w:t>
      </w:r>
      <w:r w:rsidRPr="009B4D48">
        <w:rPr>
          <w:rStyle w:val="Strong"/>
          <w:highlight w:val="yellow"/>
        </w:rPr>
        <w:t>DMS input</w:t>
      </w:r>
      <w:r w:rsidRPr="009B4D48">
        <w:rPr>
          <w:highlight w:val="yellow"/>
        </w:rPr>
        <w:t xml:space="preserve"> sheet.</w:t>
      </w:r>
    </w:p>
    <w:p w:rsidR="00FE333A" w:rsidRDefault="00FE333A" w:rsidP="009B4D48">
      <w:pPr>
        <w:pStyle w:val="Caption"/>
      </w:pPr>
      <w:bookmarkStart w:id="14" w:name="_Ref420937915"/>
      <w:r w:rsidRPr="009B4D48">
        <w:rPr>
          <w:highlight w:val="yellow"/>
        </w:rPr>
        <w:t xml:space="preserve">Figure </w:t>
      </w:r>
      <w:r w:rsidR="00402F4C" w:rsidRPr="009B4D48">
        <w:rPr>
          <w:highlight w:val="yellow"/>
        </w:rPr>
        <w:fldChar w:fldCharType="begin"/>
      </w:r>
      <w:r w:rsidR="00402F4C" w:rsidRPr="009B4D48">
        <w:rPr>
          <w:highlight w:val="yellow"/>
        </w:rPr>
        <w:instrText xml:space="preserve"> SEQ Figure \* ARABIC </w:instrText>
      </w:r>
      <w:r w:rsidR="00402F4C" w:rsidRPr="009B4D48">
        <w:rPr>
          <w:highlight w:val="yellow"/>
        </w:rPr>
        <w:fldChar w:fldCharType="separate"/>
      </w:r>
      <w:r w:rsidR="00F92CE8">
        <w:rPr>
          <w:noProof/>
          <w:highlight w:val="yellow"/>
        </w:rPr>
        <w:t>2</w:t>
      </w:r>
      <w:r w:rsidR="00402F4C" w:rsidRPr="009B4D48">
        <w:rPr>
          <w:highlight w:val="yellow"/>
        </w:rPr>
        <w:fldChar w:fldCharType="end"/>
      </w:r>
      <w:bookmarkEnd w:id="14"/>
      <w:r w:rsidRPr="009B4D48">
        <w:rPr>
          <w:highlight w:val="yellow"/>
        </w:rPr>
        <w:tab/>
        <w:t>DMS input sheet</w:t>
      </w:r>
    </w:p>
    <w:p w:rsidR="00FE333A" w:rsidRDefault="00E005C5" w:rsidP="00FE333A">
      <w:r w:rsidRPr="00E005C5">
        <w:rPr>
          <w:noProof/>
          <w:lang w:eastAsia="en-AU"/>
        </w:rPr>
        <w:drawing>
          <wp:inline distT="0" distB="0" distL="0" distR="0" wp14:anchorId="066B6D29" wp14:editId="62475F29">
            <wp:extent cx="5731510" cy="392816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928166"/>
                    </a:xfrm>
                    <a:prstGeom prst="rect">
                      <a:avLst/>
                    </a:prstGeom>
                  </pic:spPr>
                </pic:pic>
              </a:graphicData>
            </a:graphic>
          </wp:inline>
        </w:drawing>
      </w:r>
    </w:p>
    <w:p w:rsidR="000B4909" w:rsidRPr="000B4909" w:rsidRDefault="00FE333A" w:rsidP="003671EE">
      <w:pPr>
        <w:pStyle w:val="Heading2"/>
      </w:pPr>
      <w:bookmarkStart w:id="15" w:name="_Toc423696188"/>
      <w:r>
        <w:t>RFM i</w:t>
      </w:r>
      <w:r w:rsidR="000B4909" w:rsidRPr="000B4909">
        <w:t>nput sheet</w:t>
      </w:r>
      <w:bookmarkEnd w:id="15"/>
    </w:p>
    <w:p w:rsidR="000B4909" w:rsidRPr="000B4909" w:rsidRDefault="000B4909" w:rsidP="000B4909">
      <w:r w:rsidRPr="000B4909">
        <w:t xml:space="preserve">The </w:t>
      </w:r>
      <w:r w:rsidR="00FE333A">
        <w:rPr>
          <w:rStyle w:val="Strong"/>
        </w:rPr>
        <w:t>RFM i</w:t>
      </w:r>
      <w:r w:rsidRPr="00F96B0D">
        <w:rPr>
          <w:rStyle w:val="Strong"/>
        </w:rPr>
        <w:t>nput</w:t>
      </w:r>
      <w:r w:rsidRPr="000B4909">
        <w:t xml:space="preserve"> sheet provides for key input variables to be entered in the RFM. They are automatically linked to corresponding cells in the relevant sheets. Values should be entered into each cell that has light blue shading. </w:t>
      </w:r>
      <w:r w:rsidRPr="009B4D48">
        <w:rPr>
          <w:highlight w:val="yellow"/>
        </w:rPr>
        <w:t xml:space="preserve">This sheet </w:t>
      </w:r>
      <w:r w:rsidR="00601F7F" w:rsidRPr="009B4D48">
        <w:rPr>
          <w:highlight w:val="yellow"/>
        </w:rPr>
        <w:t>comprises of the following</w:t>
      </w:r>
      <w:r w:rsidRPr="009B4D48">
        <w:rPr>
          <w:highlight w:val="yellow"/>
        </w:rPr>
        <w:t xml:space="preserve"> sections:</w:t>
      </w:r>
    </w:p>
    <w:p w:rsidR="000B4909" w:rsidRPr="000B4909" w:rsidRDefault="000B4909" w:rsidP="00F96B0D">
      <w:pPr>
        <w:pStyle w:val="ListBullet"/>
      </w:pPr>
      <w:r w:rsidRPr="000B4909">
        <w:t>opening RAB and opening tax asset base</w:t>
      </w:r>
      <w:r w:rsidR="00601F7F">
        <w:t xml:space="preserve"> (TAB)</w:t>
      </w:r>
    </w:p>
    <w:p w:rsidR="000B4909" w:rsidRPr="000B4909" w:rsidRDefault="000B4909" w:rsidP="00F96B0D">
      <w:pPr>
        <w:pStyle w:val="ListBullet"/>
      </w:pPr>
      <w:r w:rsidRPr="000B4909">
        <w:t>actual nominal capex—as-incurred</w:t>
      </w:r>
    </w:p>
    <w:p w:rsidR="000B4909" w:rsidRPr="000B4909" w:rsidRDefault="000B4909" w:rsidP="00F96B0D">
      <w:pPr>
        <w:pStyle w:val="ListBullet"/>
      </w:pPr>
      <w:r w:rsidRPr="000B4909">
        <w:t>actual nominal asset disposals—as-incurred</w:t>
      </w:r>
    </w:p>
    <w:p w:rsidR="000B4909" w:rsidRPr="000B4909" w:rsidRDefault="000B4909" w:rsidP="00F96B0D">
      <w:pPr>
        <w:pStyle w:val="ListBullet"/>
      </w:pPr>
      <w:r w:rsidRPr="000B4909">
        <w:t>actual real net capex—as-incurred</w:t>
      </w:r>
    </w:p>
    <w:p w:rsidR="000B4909" w:rsidRPr="000B4909" w:rsidRDefault="000B4909" w:rsidP="00F96B0D">
      <w:pPr>
        <w:pStyle w:val="ListBullet"/>
      </w:pPr>
      <w:r w:rsidRPr="000B4909">
        <w:t>actual nominal capex—as-commissioned</w:t>
      </w:r>
    </w:p>
    <w:p w:rsidR="000B4909" w:rsidRPr="000B4909" w:rsidRDefault="000B4909" w:rsidP="00F96B0D">
      <w:pPr>
        <w:pStyle w:val="ListBullet"/>
      </w:pPr>
      <w:r w:rsidRPr="000B4909">
        <w:t>actual nominal asset disposals—as-de-commissioned</w:t>
      </w:r>
    </w:p>
    <w:p w:rsidR="000B4909" w:rsidRPr="000B4909" w:rsidRDefault="000B4909" w:rsidP="00F96B0D">
      <w:pPr>
        <w:pStyle w:val="ListBullet"/>
      </w:pPr>
      <w:r w:rsidRPr="000B4909">
        <w:t>actual real net capex—as-commissioned</w:t>
      </w:r>
    </w:p>
    <w:p w:rsidR="000B4909" w:rsidRDefault="000B4909" w:rsidP="00F96B0D">
      <w:pPr>
        <w:pStyle w:val="ListBullet"/>
      </w:pPr>
      <w:r w:rsidRPr="000B4909">
        <w:t>inflation and rate of return</w:t>
      </w:r>
    </w:p>
    <w:p w:rsidR="00FE333A" w:rsidRPr="009B4D48" w:rsidRDefault="00FE333A" w:rsidP="00F96B0D">
      <w:pPr>
        <w:pStyle w:val="ListBullet"/>
        <w:rPr>
          <w:highlight w:val="yellow"/>
        </w:rPr>
      </w:pPr>
      <w:r w:rsidRPr="009B4D48">
        <w:rPr>
          <w:highlight w:val="yellow"/>
        </w:rPr>
        <w:t>real straight-line depreciation option</w:t>
      </w:r>
    </w:p>
    <w:p w:rsidR="00FE333A" w:rsidRPr="009B4D48" w:rsidRDefault="00FE333A" w:rsidP="00F96B0D">
      <w:pPr>
        <w:pStyle w:val="ListBullet"/>
        <w:rPr>
          <w:highlight w:val="yellow"/>
        </w:rPr>
      </w:pPr>
      <w:r w:rsidRPr="009B4D48">
        <w:rPr>
          <w:highlight w:val="yellow"/>
        </w:rPr>
        <w:t>forecast real straight-line depreciation</w:t>
      </w:r>
    </w:p>
    <w:p w:rsidR="00FE333A" w:rsidRPr="009B4D48" w:rsidRDefault="00FE333A" w:rsidP="00F96B0D">
      <w:pPr>
        <w:pStyle w:val="ListBullet"/>
        <w:rPr>
          <w:highlight w:val="yellow"/>
        </w:rPr>
      </w:pPr>
      <w:r w:rsidRPr="009B4D48">
        <w:rPr>
          <w:highlight w:val="yellow"/>
        </w:rPr>
        <w:t>forecast nominal final year asset adjustments</w:t>
      </w:r>
      <w:r w:rsidR="009B4D48" w:rsidRPr="009B4D48">
        <w:rPr>
          <w:highlight w:val="yellow"/>
        </w:rPr>
        <w:t>.</w:t>
      </w:r>
    </w:p>
    <w:p w:rsidR="000B4909" w:rsidRPr="000B4909" w:rsidRDefault="000B4909" w:rsidP="000B4909">
      <w:r w:rsidRPr="009B4D48">
        <w:rPr>
          <w:highlight w:val="yellow"/>
        </w:rPr>
        <w:t xml:space="preserve">The input data to be recorded in the RFM must be in a consistent format as the data collected from the TNSP in accordance with the AER’s </w:t>
      </w:r>
      <w:r w:rsidR="009B4D48" w:rsidRPr="009B4D48">
        <w:rPr>
          <w:i/>
          <w:highlight w:val="yellow"/>
        </w:rPr>
        <w:t>I</w:t>
      </w:r>
      <w:r w:rsidR="00601F7F" w:rsidRPr="009B4D48">
        <w:rPr>
          <w:i/>
          <w:highlight w:val="yellow"/>
        </w:rPr>
        <w:t xml:space="preserve">nformation guideline </w:t>
      </w:r>
      <w:r w:rsidR="00601F7F" w:rsidRPr="009B4D48">
        <w:rPr>
          <w:highlight w:val="yellow"/>
        </w:rPr>
        <w:t>or regulatory information notice (RIN)</w:t>
      </w:r>
      <w:r w:rsidRPr="009B4D48">
        <w:rPr>
          <w:highlight w:val="yellow"/>
        </w:rPr>
        <w:t>.</w:t>
      </w:r>
      <w:r w:rsidRPr="000B4909">
        <w:t xml:space="preserve"> </w:t>
      </w:r>
    </w:p>
    <w:p w:rsidR="000B4909" w:rsidRPr="000B4909" w:rsidRDefault="000B4909" w:rsidP="000B4909">
      <w:r w:rsidRPr="000B4909">
        <w:t xml:space="preserve">The RFM can </w:t>
      </w:r>
      <w:r w:rsidR="00601F7F">
        <w:t>accommodate</w:t>
      </w:r>
      <w:r w:rsidRPr="000B4909">
        <w:t xml:space="preserve"> input data for up to an 11-year period. This includes the final year of the previous regulatory control period, as well as up to 10 years of the current regulatory control period.</w:t>
      </w:r>
      <w:r w:rsidR="00601F7F">
        <w:t xml:space="preserve"> </w:t>
      </w:r>
      <w:r w:rsidR="00601F7F" w:rsidRPr="009B4D48">
        <w:rPr>
          <w:highlight w:val="yellow"/>
        </w:rPr>
        <w:t>Input cells outside of the relevant regulatory control period should be left blank.</w:t>
      </w:r>
      <w:r w:rsidRPr="000B4909">
        <w:t xml:space="preserve"> </w:t>
      </w:r>
    </w:p>
    <w:p w:rsidR="000B4909" w:rsidRPr="000B4909" w:rsidRDefault="000B4909" w:rsidP="000B4909">
      <w:r w:rsidRPr="000B4909">
        <w:t xml:space="preserve">The RFM is configured as follows: </w:t>
      </w:r>
    </w:p>
    <w:p w:rsidR="000B4909" w:rsidRPr="000B4909" w:rsidRDefault="000B4909" w:rsidP="00F96B0D">
      <w:pPr>
        <w:pStyle w:val="ListBullet"/>
      </w:pPr>
      <w:r w:rsidRPr="000B4909">
        <w:t>Uses the straight-line method as the default position for calculating depreciation</w:t>
      </w:r>
      <w:r w:rsidR="00601F7F">
        <w:t xml:space="preserve"> for regulatory and tax purposes</w:t>
      </w:r>
      <w:r w:rsidRPr="000B4909">
        <w:t>—</w:t>
      </w:r>
      <w:r w:rsidR="00601F7F" w:rsidRPr="009B4D48">
        <w:rPr>
          <w:highlight w:val="yellow"/>
        </w:rPr>
        <w:t xml:space="preserve">If </w:t>
      </w:r>
      <w:r w:rsidRPr="009B4D48">
        <w:rPr>
          <w:highlight w:val="yellow"/>
        </w:rPr>
        <w:t xml:space="preserve">TNSPs </w:t>
      </w:r>
      <w:r w:rsidR="00601F7F" w:rsidRPr="009B4D48">
        <w:rPr>
          <w:highlight w:val="yellow"/>
        </w:rPr>
        <w:t>intend to</w:t>
      </w:r>
      <w:r w:rsidRPr="009B4D48">
        <w:rPr>
          <w:highlight w:val="yellow"/>
        </w:rPr>
        <w:t xml:space="preserve"> propose</w:t>
      </w:r>
      <w:r w:rsidR="00601F7F" w:rsidRPr="009B4D48">
        <w:rPr>
          <w:highlight w:val="yellow"/>
        </w:rPr>
        <w:t xml:space="preserve"> using other</w:t>
      </w:r>
      <w:r w:rsidRPr="009B4D48">
        <w:rPr>
          <w:highlight w:val="yellow"/>
        </w:rPr>
        <w:t xml:space="preserve"> depreciation profiles, i</w:t>
      </w:r>
      <w:r w:rsidR="00601F7F" w:rsidRPr="009B4D48">
        <w:rPr>
          <w:highlight w:val="yellow"/>
        </w:rPr>
        <w:t>t is recommended that they raise this</w:t>
      </w:r>
      <w:r w:rsidRPr="009B4D48">
        <w:rPr>
          <w:highlight w:val="yellow"/>
        </w:rPr>
        <w:t xml:space="preserve"> as part of pre-lodgement discussions.</w:t>
      </w:r>
      <w:r w:rsidR="004D1423" w:rsidRPr="009B4D48">
        <w:rPr>
          <w:rStyle w:val="FootnoteReference"/>
          <w:highlight w:val="yellow"/>
        </w:rPr>
        <w:footnoteReference w:id="5"/>
      </w:r>
      <w:r w:rsidR="004D1423" w:rsidRPr="009B4D48">
        <w:rPr>
          <w:highlight w:val="yellow"/>
        </w:rPr>
        <w:t xml:space="preserve"> For example, this could take place during the framework and approach process for a determination.</w:t>
      </w:r>
      <w:r w:rsidR="004D1423" w:rsidRPr="009B4D48">
        <w:rPr>
          <w:rStyle w:val="FootnoteReference"/>
          <w:highlight w:val="yellow"/>
        </w:rPr>
        <w:footnoteReference w:id="6"/>
      </w:r>
    </w:p>
    <w:p w:rsidR="000B4909" w:rsidRPr="000B4909" w:rsidRDefault="000B4909" w:rsidP="00F96B0D">
      <w:pPr>
        <w:pStyle w:val="ListBullet"/>
      </w:pPr>
      <w:r w:rsidRPr="000B4909">
        <w:t xml:space="preserve">Recognises capex on a partially as-incurred (hybrid) approach—This method for recognising capex calculates the return on capital based on an as-incurred approach and the return of capital (regulatory depreciation) is based on an as-commissioned approach. As such, two RABs determined on the basis of as-incurred capex and as-commissioned capex are required to be calculated by the RFM. </w:t>
      </w:r>
      <w:r w:rsidR="007729E2" w:rsidRPr="009B4D48">
        <w:rPr>
          <w:highlight w:val="yellow"/>
        </w:rPr>
        <w:t>The RAB determined on the basis of as-incurred capex is referred to as the partially as-incurred RAB</w:t>
      </w:r>
      <w:r w:rsidR="007729E2" w:rsidRPr="009B4D48">
        <w:rPr>
          <w:rStyle w:val="FootnoteReference"/>
          <w:highlight w:val="yellow"/>
        </w:rPr>
        <w:footnoteReference w:id="7"/>
      </w:r>
      <w:r w:rsidR="007729E2" w:rsidRPr="009B4D48">
        <w:rPr>
          <w:highlight w:val="yellow"/>
        </w:rPr>
        <w:t xml:space="preserve"> and the other RAB determined on the basis of as-commissioned capex is referred to as the as-commissioned RAB.</w:t>
      </w:r>
    </w:p>
    <w:p w:rsidR="000B4909" w:rsidRPr="009B4D48" w:rsidRDefault="000B4909" w:rsidP="00F96B0D">
      <w:pPr>
        <w:pStyle w:val="ListBullet"/>
        <w:rPr>
          <w:highlight w:val="yellow"/>
        </w:rPr>
      </w:pPr>
      <w:r w:rsidRPr="009B4D48">
        <w:rPr>
          <w:highlight w:val="yellow"/>
        </w:rPr>
        <w:t>Uses the weighted average method as the default position for calculating the average remaining asset lives</w:t>
      </w:r>
      <w:r w:rsidR="004D1423" w:rsidRPr="009B4D48">
        <w:rPr>
          <w:highlight w:val="yellow"/>
        </w:rPr>
        <w:t xml:space="preserve"> for the RAB and TAB</w:t>
      </w:r>
      <w:r w:rsidR="009B4D48" w:rsidRPr="009B4D48">
        <w:rPr>
          <w:highlight w:val="yellow"/>
        </w:rPr>
        <w:t xml:space="preserve"> by asset classes</w:t>
      </w:r>
      <w:r w:rsidRPr="009B4D48">
        <w:rPr>
          <w:highlight w:val="yellow"/>
        </w:rPr>
        <w:t>—</w:t>
      </w:r>
      <w:r w:rsidR="004D1423" w:rsidRPr="009B4D48">
        <w:rPr>
          <w:highlight w:val="yellow"/>
        </w:rPr>
        <w:t xml:space="preserve">If </w:t>
      </w:r>
      <w:r w:rsidRPr="009B4D48">
        <w:rPr>
          <w:highlight w:val="yellow"/>
        </w:rPr>
        <w:t xml:space="preserve">TNSPs </w:t>
      </w:r>
      <w:r w:rsidR="004D1423" w:rsidRPr="009B4D48">
        <w:rPr>
          <w:highlight w:val="yellow"/>
        </w:rPr>
        <w:t>intend to</w:t>
      </w:r>
      <w:r w:rsidRPr="009B4D48">
        <w:rPr>
          <w:highlight w:val="yellow"/>
        </w:rPr>
        <w:t xml:space="preserve"> propose </w:t>
      </w:r>
      <w:r w:rsidR="004D1423" w:rsidRPr="009B4D48">
        <w:rPr>
          <w:highlight w:val="yellow"/>
        </w:rPr>
        <w:t xml:space="preserve">using other </w:t>
      </w:r>
      <w:r w:rsidRPr="009B4D48">
        <w:rPr>
          <w:highlight w:val="yellow"/>
        </w:rPr>
        <w:t>approaches to calculate the average remaining lives for a group of assets, i</w:t>
      </w:r>
      <w:r w:rsidR="004D1423" w:rsidRPr="009B4D48">
        <w:rPr>
          <w:highlight w:val="yellow"/>
        </w:rPr>
        <w:t>t is recommended that they raise this as part of pre-lodgement discussions or as part of the framework and approach process</w:t>
      </w:r>
      <w:r w:rsidRPr="009B4D48">
        <w:rPr>
          <w:highlight w:val="yellow"/>
        </w:rPr>
        <w:t>.</w:t>
      </w:r>
    </w:p>
    <w:bookmarkStart w:id="16" w:name="_Ref420594375"/>
    <w:p w:rsidR="009F1FA9" w:rsidRPr="000B4909" w:rsidRDefault="00651C2B" w:rsidP="009F1FA9">
      <w:r>
        <w:fldChar w:fldCharType="begin"/>
      </w:r>
      <w:r>
        <w:instrText xml:space="preserve"> REF _Ref423429712 \h </w:instrText>
      </w:r>
      <w:r>
        <w:fldChar w:fldCharType="separate"/>
      </w:r>
      <w:r w:rsidR="00F92CE8">
        <w:t xml:space="preserve">Figure </w:t>
      </w:r>
      <w:r w:rsidR="00F92CE8">
        <w:rPr>
          <w:noProof/>
        </w:rPr>
        <w:t>3</w:t>
      </w:r>
      <w:r>
        <w:fldChar w:fldCharType="end"/>
      </w:r>
      <w:r>
        <w:t xml:space="preserve"> </w:t>
      </w:r>
      <w:r w:rsidR="009F1FA9" w:rsidRPr="000B4909">
        <w:t xml:space="preserve">provides an example of the </w:t>
      </w:r>
      <w:r w:rsidR="009F1FA9">
        <w:rPr>
          <w:rStyle w:val="Strong"/>
        </w:rPr>
        <w:t>RFM i</w:t>
      </w:r>
      <w:r w:rsidR="009F1FA9" w:rsidRPr="00F96B0D">
        <w:rPr>
          <w:rStyle w:val="Strong"/>
        </w:rPr>
        <w:t>nput</w:t>
      </w:r>
      <w:r w:rsidR="009F1FA9" w:rsidRPr="000B4909">
        <w:t xml:space="preserve"> sheet.</w:t>
      </w:r>
    </w:p>
    <w:p w:rsidR="00D60E1E" w:rsidRDefault="00D60E1E" w:rsidP="009F1FA9">
      <w:pPr>
        <w:sectPr w:rsidR="00D60E1E" w:rsidSect="00183AD2">
          <w:pgSz w:w="11906" w:h="16838"/>
          <w:pgMar w:top="1440" w:right="1440" w:bottom="1440" w:left="1440" w:header="708" w:footer="89" w:gutter="0"/>
          <w:pgNumType w:start="1"/>
          <w:cols w:space="708"/>
          <w:docGrid w:linePitch="360"/>
        </w:sectPr>
      </w:pPr>
    </w:p>
    <w:p w:rsidR="0018692A" w:rsidRDefault="0018692A" w:rsidP="0018692A">
      <w:pPr>
        <w:pStyle w:val="Caption"/>
        <w:keepNext/>
      </w:pPr>
      <w:bookmarkStart w:id="17" w:name="_Ref423429712"/>
      <w:r>
        <w:t xml:space="preserve">Figure </w:t>
      </w:r>
      <w:fldSimple w:instr=" SEQ Figure \* ARABIC ">
        <w:r w:rsidR="00F92CE8">
          <w:rPr>
            <w:noProof/>
          </w:rPr>
          <w:t>3</w:t>
        </w:r>
      </w:fldSimple>
      <w:bookmarkEnd w:id="16"/>
      <w:bookmarkEnd w:id="17"/>
      <w:r>
        <w:tab/>
      </w:r>
      <w:r w:rsidR="00170C3B">
        <w:t>RFM i</w:t>
      </w:r>
      <w:r w:rsidRPr="000B4909">
        <w:t>nput sheet</w:t>
      </w:r>
    </w:p>
    <w:p w:rsidR="00D60E1E" w:rsidRDefault="004F26AA" w:rsidP="000B4909">
      <w:r>
        <w:rPr>
          <w:noProof/>
          <w:lang w:eastAsia="en-AU"/>
        </w:rPr>
        <w:drawing>
          <wp:inline distT="0" distB="0" distL="0" distR="0" wp14:anchorId="13C15114" wp14:editId="708DBA4B">
            <wp:extent cx="9195084" cy="4572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9196796" cy="4572851"/>
                    </a:xfrm>
                    <a:prstGeom prst="rect">
                      <a:avLst/>
                    </a:prstGeom>
                  </pic:spPr>
                </pic:pic>
              </a:graphicData>
            </a:graphic>
          </wp:inline>
        </w:drawing>
      </w:r>
    </w:p>
    <w:p w:rsidR="00D60E1E" w:rsidRDefault="00D60E1E">
      <w:pPr>
        <w:pStyle w:val="Heading3"/>
        <w:sectPr w:rsidR="00D60E1E" w:rsidSect="00361005">
          <w:pgSz w:w="16838" w:h="11906" w:orient="landscape"/>
          <w:pgMar w:top="1440" w:right="1440" w:bottom="1440" w:left="1440" w:header="709" w:footer="91" w:gutter="0"/>
          <w:cols w:space="708"/>
          <w:docGrid w:linePitch="360"/>
        </w:sectPr>
      </w:pPr>
    </w:p>
    <w:p w:rsidR="000B4909" w:rsidRPr="000B4909" w:rsidRDefault="000B4909" w:rsidP="00D81C0E">
      <w:pPr>
        <w:pStyle w:val="Heading3"/>
      </w:pPr>
      <w:bookmarkStart w:id="18" w:name="_Toc422832937"/>
      <w:bookmarkStart w:id="19" w:name="_Toc423696189"/>
      <w:r w:rsidRPr="000B4909">
        <w:t>Opening regulatory asset base and tax asset base</w:t>
      </w:r>
      <w:bookmarkEnd w:id="18"/>
      <w:bookmarkEnd w:id="19"/>
    </w:p>
    <w:p w:rsidR="000B4909" w:rsidRPr="000B4909" w:rsidRDefault="000B4909" w:rsidP="000B4909">
      <w:r w:rsidRPr="000B4909">
        <w:t xml:space="preserve">The opening RAB is the value of assets on which a return will be earned. The opening </w:t>
      </w:r>
      <w:r w:rsidR="00225615">
        <w:t>TAB</w:t>
      </w:r>
      <w:r w:rsidRPr="000B4909">
        <w:t xml:space="preserve"> is used to calculate the depreciation for tax purposes. The </w:t>
      </w:r>
      <w:r w:rsidR="009E2D13">
        <w:rPr>
          <w:rStyle w:val="Strong"/>
        </w:rPr>
        <w:t>RFM i</w:t>
      </w:r>
      <w:r w:rsidRPr="00F96B0D">
        <w:rPr>
          <w:rStyle w:val="Strong"/>
        </w:rPr>
        <w:t>nput</w:t>
      </w:r>
      <w:r w:rsidRPr="000B4909">
        <w:t xml:space="preserve"> sheet requires values for the opening RAB (broken into asset classes in rows 7 to </w:t>
      </w:r>
      <w:r w:rsidR="009E2D13">
        <w:t>5</w:t>
      </w:r>
      <w:r w:rsidRPr="000B4909">
        <w:t>6) at the start of the final year of the previous regulatory control period</w:t>
      </w:r>
      <w:r w:rsidRPr="00D81C0E">
        <w:rPr>
          <w:highlight w:val="yellow"/>
        </w:rPr>
        <w:t>.</w:t>
      </w:r>
      <w:r w:rsidR="00A1702A" w:rsidRPr="00D81C0E">
        <w:rPr>
          <w:rStyle w:val="FootnoteReference"/>
          <w:highlight w:val="yellow"/>
        </w:rPr>
        <w:footnoteReference w:id="8"/>
      </w:r>
      <w:r w:rsidRPr="00D81C0E">
        <w:rPr>
          <w:highlight w:val="yellow"/>
        </w:rPr>
        <w:t xml:space="preserve"> </w:t>
      </w:r>
      <w:r w:rsidR="009E2D13" w:rsidRPr="00D81C0E">
        <w:rPr>
          <w:highlight w:val="yellow"/>
        </w:rPr>
        <w:t>The values for the opening TAB, also broken into asset classes, are required at the start of the first year of the current regulatory control period.</w:t>
      </w:r>
      <w:r w:rsidR="009E2D13">
        <w:t xml:space="preserve"> </w:t>
      </w:r>
      <w:r w:rsidRPr="000B4909">
        <w:t xml:space="preserve">The RAB and </w:t>
      </w:r>
      <w:r w:rsidR="009E2D13">
        <w:t>TAB</w:t>
      </w:r>
      <w:r w:rsidRPr="000B4909">
        <w:t xml:space="preserve"> will differ each year to reflect actual capex (as-incurred for the RAB or as-commissioned for the </w:t>
      </w:r>
      <w:r w:rsidR="00183124">
        <w:t>TAB</w:t>
      </w:r>
      <w:r w:rsidRPr="000B4909">
        <w:t xml:space="preserve">), asset disposals and regulatory depreciation (for the RAB) or tax depreciation (for the </w:t>
      </w:r>
      <w:r w:rsidR="009E2D13">
        <w:t>TAB</w:t>
      </w:r>
      <w:r w:rsidRPr="000B4909">
        <w:t xml:space="preserve">). </w:t>
      </w:r>
    </w:p>
    <w:p w:rsidR="000B4909" w:rsidRPr="000B4909" w:rsidRDefault="000B4909" w:rsidP="000B4909">
      <w:r w:rsidRPr="000B4909">
        <w:t xml:space="preserve">The recorded input values are linked to subsequent sheets which calculate an annual balance of the RAB </w:t>
      </w:r>
      <w:r w:rsidR="00183124">
        <w:t xml:space="preserve">and TAB </w:t>
      </w:r>
      <w:r w:rsidRPr="000B4909">
        <w:t>for the current regulatory control period. Notes have been included for various cells with specific comments and explanations about the relevance of the inputs.</w:t>
      </w:r>
    </w:p>
    <w:p w:rsidR="000B4909" w:rsidRPr="000B4909" w:rsidRDefault="000B4909" w:rsidP="00D81C0E">
      <w:pPr>
        <w:pStyle w:val="Heading4notnumbered"/>
      </w:pPr>
      <w:r w:rsidRPr="000B4909">
        <w:t>Asset class name</w:t>
      </w:r>
    </w:p>
    <w:p w:rsidR="000B4909" w:rsidRPr="000B4909" w:rsidRDefault="000B4909" w:rsidP="000B4909">
      <w:r w:rsidRPr="000B4909">
        <w:t>The asset class</w:t>
      </w:r>
      <w:r w:rsidR="00977CDB">
        <w:t>es/names are recorded in column </w:t>
      </w:r>
      <w:r w:rsidR="00A1702A">
        <w:t>F</w:t>
      </w:r>
      <w:r w:rsidRPr="000B4909">
        <w:t xml:space="preserve">. It is important that the number of asset classes recorded in the RAB section matches the number of asset classes identified in the capex section. This allows the RFM to model consistent depreciation across the asset classes. </w:t>
      </w:r>
    </w:p>
    <w:p w:rsidR="000B4909" w:rsidRPr="000B4909" w:rsidRDefault="000B4909" w:rsidP="000B4909">
      <w:r w:rsidRPr="000B4909">
        <w:t>The RFM is configured to acco</w:t>
      </w:r>
      <w:r w:rsidR="00B5191C">
        <w:t xml:space="preserve">mmodate up to </w:t>
      </w:r>
      <w:r w:rsidR="00A1702A">
        <w:t>5</w:t>
      </w:r>
      <w:r w:rsidR="00B5191C">
        <w:t>0 asset classes.</w:t>
      </w:r>
      <w:r w:rsidR="00B5191C">
        <w:rPr>
          <w:rStyle w:val="FootnoteReference"/>
        </w:rPr>
        <w:footnoteReference w:id="9"/>
      </w:r>
      <w:r w:rsidRPr="000B4909">
        <w:t xml:space="preserve"> The number of asset classes used in the RFM will vary between businesses.</w:t>
      </w:r>
      <w:r w:rsidR="00A1702A" w:rsidRPr="00D81C0E">
        <w:rPr>
          <w:rStyle w:val="FootnoteReference"/>
          <w:highlight w:val="yellow"/>
        </w:rPr>
        <w:footnoteReference w:id="10"/>
      </w:r>
      <w:r w:rsidRPr="000B4909">
        <w:t xml:space="preserve"> However, for each business, the number of asset classes used in the RFM must be consistent with that used in the AER’s PTRM to allow the closing RAB values determined in the RFM to be used as inputs to the opening RAB values in the PTRM.</w:t>
      </w:r>
    </w:p>
    <w:p w:rsidR="000B4909" w:rsidRPr="00D81C0E" w:rsidRDefault="000B4909" w:rsidP="00D81C0E">
      <w:pPr>
        <w:pStyle w:val="Heading4notnumbered"/>
      </w:pPr>
      <w:r w:rsidRPr="00D81C0E">
        <w:t>Opening asset value</w:t>
      </w:r>
      <w:r w:rsidR="00263F73" w:rsidRPr="00D81C0E">
        <w:t xml:space="preserve"> (partially as-incurred)</w:t>
      </w:r>
    </w:p>
    <w:p w:rsidR="000B4909" w:rsidRPr="000B4909" w:rsidRDefault="000B4909" w:rsidP="000B4909">
      <w:r w:rsidRPr="00D81C0E">
        <w:t xml:space="preserve">The opening asset </w:t>
      </w:r>
      <w:r w:rsidR="00910EB1" w:rsidRPr="00D81C0E">
        <w:t>(partially as-incurred)</w:t>
      </w:r>
      <w:r w:rsidR="00910EB1">
        <w:t xml:space="preserve"> </w:t>
      </w:r>
      <w:r w:rsidRPr="000B4909">
        <w:t>values for each ass</w:t>
      </w:r>
      <w:r w:rsidR="00977CDB">
        <w:t>et class are recorded in column </w:t>
      </w:r>
      <w:r w:rsidR="007C793B">
        <w:t>I</w:t>
      </w:r>
      <w:r w:rsidRPr="000B4909">
        <w:t xml:space="preserve">. These values should be as at the start of the final year of the previous regulatory control period and would be contained in the RFM used for the current revenue determination for the TNSP. They are linked to the </w:t>
      </w:r>
      <w:r w:rsidRPr="00F96B0D">
        <w:rPr>
          <w:rStyle w:val="Strong"/>
        </w:rPr>
        <w:t>Adjustment for previous period</w:t>
      </w:r>
      <w:r w:rsidRPr="000B4909">
        <w:t xml:space="preserve"> and </w:t>
      </w:r>
      <w:r w:rsidRPr="00F96B0D">
        <w:rPr>
          <w:rStyle w:val="Strong"/>
        </w:rPr>
        <w:t>RAB roll forward</w:t>
      </w:r>
      <w:r w:rsidRPr="000B4909">
        <w:t xml:space="preserve"> sheets.</w:t>
      </w:r>
    </w:p>
    <w:p w:rsidR="00263F73" w:rsidRPr="00D81C0E" w:rsidRDefault="00263F73" w:rsidP="00263F73">
      <w:pPr>
        <w:pStyle w:val="Heading4notnumbered"/>
        <w:rPr>
          <w:highlight w:val="yellow"/>
        </w:rPr>
      </w:pPr>
      <w:r w:rsidRPr="00D81C0E">
        <w:rPr>
          <w:highlight w:val="yellow"/>
        </w:rPr>
        <w:t>Opening asset value (as-commissioned)</w:t>
      </w:r>
    </w:p>
    <w:p w:rsidR="00263F73" w:rsidRPr="000B4909" w:rsidRDefault="00263F73" w:rsidP="00263F73">
      <w:r w:rsidRPr="00D81C0E">
        <w:rPr>
          <w:highlight w:val="yellow"/>
        </w:rPr>
        <w:t xml:space="preserve">The opening asset </w:t>
      </w:r>
      <w:r w:rsidR="00910EB1" w:rsidRPr="00D81C0E">
        <w:rPr>
          <w:highlight w:val="yellow"/>
        </w:rPr>
        <w:t xml:space="preserve">(as-commissioned) </w:t>
      </w:r>
      <w:r w:rsidRPr="00D81C0E">
        <w:rPr>
          <w:highlight w:val="yellow"/>
        </w:rPr>
        <w:t xml:space="preserve">values for each asset class are recorded in column J. These values should be as at the start of the final year of the previous regulatory control period and would be contained in the RFM used for the current revenue determination for the TNSP. They are linked to the </w:t>
      </w:r>
      <w:r w:rsidRPr="00D81C0E">
        <w:rPr>
          <w:rStyle w:val="Strong"/>
          <w:highlight w:val="yellow"/>
        </w:rPr>
        <w:t>Adjustment for previous period</w:t>
      </w:r>
      <w:r w:rsidRPr="00D81C0E">
        <w:rPr>
          <w:highlight w:val="yellow"/>
        </w:rPr>
        <w:t xml:space="preserve"> and</w:t>
      </w:r>
      <w:r w:rsidR="007C793B" w:rsidRPr="00D81C0E">
        <w:rPr>
          <w:highlight w:val="yellow"/>
        </w:rPr>
        <w:t xml:space="preserve"> </w:t>
      </w:r>
      <w:r w:rsidRPr="00D81C0E">
        <w:rPr>
          <w:rStyle w:val="Strong"/>
          <w:highlight w:val="yellow"/>
        </w:rPr>
        <w:t>RAB roll forward</w:t>
      </w:r>
      <w:r w:rsidRPr="00D81C0E">
        <w:rPr>
          <w:highlight w:val="yellow"/>
        </w:rPr>
        <w:t xml:space="preserve"> sheets.</w:t>
      </w:r>
    </w:p>
    <w:p w:rsidR="000B4909" w:rsidRPr="000B4909" w:rsidRDefault="000B4909" w:rsidP="00D81C0E">
      <w:pPr>
        <w:pStyle w:val="Heading4notnumbered"/>
      </w:pPr>
      <w:r w:rsidRPr="000B4909">
        <w:t>Average remaining life</w:t>
      </w:r>
    </w:p>
    <w:p w:rsidR="000B4909" w:rsidRPr="000B4909" w:rsidRDefault="000B4909" w:rsidP="000B4909">
      <w:r w:rsidRPr="000B4909">
        <w:t>The remaining lives of each ass</w:t>
      </w:r>
      <w:r w:rsidR="00977CDB">
        <w:t>et class are recorded in column </w:t>
      </w:r>
      <w:r w:rsidRPr="000B4909">
        <w:t xml:space="preserve">K, based on the economic lives of the assets as at the start of the current regulatory control period. These values should be consistent with those contained in the PTRM used in the current revenue determination for the TNSP. They are linked to the </w:t>
      </w:r>
      <w:r w:rsidRPr="00F96B0D">
        <w:rPr>
          <w:rStyle w:val="Strong"/>
        </w:rPr>
        <w:t>RAB roll forward</w:t>
      </w:r>
      <w:r w:rsidRPr="000B4909">
        <w:t xml:space="preserve"> </w:t>
      </w:r>
      <w:r w:rsidR="007C793B">
        <w:t xml:space="preserve">and </w:t>
      </w:r>
      <w:r w:rsidR="00183124">
        <w:rPr>
          <w:rStyle w:val="Bold"/>
        </w:rPr>
        <w:t>RAB remaining</w:t>
      </w:r>
      <w:r w:rsidR="007C793B" w:rsidRPr="00D81C0E">
        <w:rPr>
          <w:rStyle w:val="Bold"/>
        </w:rPr>
        <w:t xml:space="preserve"> lives</w:t>
      </w:r>
      <w:r w:rsidR="007C793B">
        <w:t xml:space="preserve"> </w:t>
      </w:r>
      <w:r w:rsidRPr="000B4909">
        <w:t>sheet</w:t>
      </w:r>
      <w:r w:rsidR="007C793B">
        <w:t>s</w:t>
      </w:r>
      <w:r w:rsidRPr="000B4909">
        <w:t>.</w:t>
      </w:r>
    </w:p>
    <w:p w:rsidR="000B4909" w:rsidRPr="000B4909" w:rsidRDefault="00F96B0D" w:rsidP="00D81C0E">
      <w:pPr>
        <w:pStyle w:val="Heading4notnumbered"/>
      </w:pPr>
      <w:r>
        <w:t>Standard life</w:t>
      </w:r>
    </w:p>
    <w:p w:rsidR="000B4909" w:rsidRPr="000B4909" w:rsidRDefault="000B4909" w:rsidP="000B4909">
      <w:r w:rsidRPr="000B4909">
        <w:t>The standard lives of each ass</w:t>
      </w:r>
      <w:r w:rsidR="00977CDB">
        <w:t>et class are recorded in column </w:t>
      </w:r>
      <w:r w:rsidRPr="000B4909">
        <w:t xml:space="preserve">L and measure how long the infrastructure would physically last had it just been built. These values should be consistent with those contained in the PTRM used in the current revenue determination for the TNSP. They are linked to the </w:t>
      </w:r>
      <w:r w:rsidRPr="00F96B0D">
        <w:rPr>
          <w:rStyle w:val="Strong"/>
        </w:rPr>
        <w:t>RAB roll forward</w:t>
      </w:r>
      <w:r w:rsidRPr="000B4909">
        <w:t xml:space="preserve"> </w:t>
      </w:r>
      <w:r w:rsidR="007C793B">
        <w:t xml:space="preserve">and </w:t>
      </w:r>
      <w:r w:rsidR="00183124">
        <w:rPr>
          <w:rStyle w:val="Bold"/>
        </w:rPr>
        <w:t xml:space="preserve">RAB remaining </w:t>
      </w:r>
      <w:r w:rsidR="007C793B" w:rsidRPr="00D81C0E">
        <w:rPr>
          <w:rStyle w:val="Bold"/>
        </w:rPr>
        <w:t xml:space="preserve">lives </w:t>
      </w:r>
      <w:r w:rsidRPr="000B4909">
        <w:t>sheet</w:t>
      </w:r>
      <w:r w:rsidR="007C793B">
        <w:t>s</w:t>
      </w:r>
      <w:r w:rsidRPr="000B4909">
        <w:t>.</w:t>
      </w:r>
    </w:p>
    <w:p w:rsidR="000B4909" w:rsidRPr="000B4909" w:rsidRDefault="000B4909" w:rsidP="00D81C0E">
      <w:pPr>
        <w:pStyle w:val="Heading4notnumbered"/>
      </w:pPr>
      <w:r w:rsidRPr="000B4909">
        <w:t>Forecast net capex</w:t>
      </w:r>
      <w:r w:rsidR="00BB1B82">
        <w:t xml:space="preserve"> (as-incurred)</w:t>
      </w:r>
    </w:p>
    <w:p w:rsidR="000B4909" w:rsidRPr="000B4909" w:rsidRDefault="000B4909" w:rsidP="000B4909">
      <w:r w:rsidRPr="000B4909">
        <w:t xml:space="preserve">The forecast net capex </w:t>
      </w:r>
      <w:r w:rsidR="00910EB1">
        <w:t xml:space="preserve">(as-incurred) </w:t>
      </w:r>
      <w:r w:rsidRPr="000B4909">
        <w:t>values for each ass</w:t>
      </w:r>
      <w:r w:rsidR="00977CDB">
        <w:t>et class are recorded in column </w:t>
      </w:r>
      <w:r w:rsidRPr="000B4909">
        <w:t xml:space="preserve">M. They are based on the </w:t>
      </w:r>
      <w:r w:rsidR="00BB1B82">
        <w:t>estimates</w:t>
      </w:r>
      <w:r w:rsidRPr="000B4909">
        <w:t xml:space="preserve"> made in the final year of the previous regulatory control period. These values would be contained in the RFM used for the current revenue determination for the TNSP. They are linked to the </w:t>
      </w:r>
      <w:r w:rsidRPr="00F96B0D">
        <w:rPr>
          <w:rStyle w:val="Strong"/>
        </w:rPr>
        <w:t>Adjustment for previous period</w:t>
      </w:r>
      <w:r w:rsidRPr="000B4909">
        <w:t xml:space="preserve"> and </w:t>
      </w:r>
      <w:r w:rsidRPr="00F96B0D">
        <w:rPr>
          <w:rStyle w:val="Strong"/>
        </w:rPr>
        <w:t xml:space="preserve">RAB roll forward </w:t>
      </w:r>
      <w:r w:rsidRPr="000B4909">
        <w:t>sheets.</w:t>
      </w:r>
    </w:p>
    <w:p w:rsidR="00BB1B82" w:rsidRPr="00D81C0E" w:rsidRDefault="00BB1B82" w:rsidP="00BB1B82">
      <w:pPr>
        <w:pStyle w:val="Heading4notnumbered"/>
        <w:rPr>
          <w:highlight w:val="yellow"/>
        </w:rPr>
      </w:pPr>
      <w:r w:rsidRPr="00D81C0E">
        <w:rPr>
          <w:highlight w:val="yellow"/>
        </w:rPr>
        <w:t>Forecast net capex (as-commissioned)</w:t>
      </w:r>
    </w:p>
    <w:p w:rsidR="00BB1B82" w:rsidRPr="000B4909" w:rsidRDefault="00BB1B82" w:rsidP="00BB1B82">
      <w:r w:rsidRPr="00D81C0E">
        <w:rPr>
          <w:highlight w:val="yellow"/>
        </w:rPr>
        <w:t xml:space="preserve">The forecast net capex </w:t>
      </w:r>
      <w:r w:rsidR="00910EB1" w:rsidRPr="00D81C0E">
        <w:rPr>
          <w:highlight w:val="yellow"/>
        </w:rPr>
        <w:t xml:space="preserve">(as-commissioned) </w:t>
      </w:r>
      <w:r w:rsidRPr="00D81C0E">
        <w:rPr>
          <w:highlight w:val="yellow"/>
        </w:rPr>
        <w:t xml:space="preserve">values for each asset class are recorded in column N. They are based on the estimates made in the final year of the previous regulatory control period. These values would be contained in the RFM used for the current revenue determination for the TNSP. They are linked to the </w:t>
      </w:r>
      <w:r w:rsidRPr="00D81C0E">
        <w:rPr>
          <w:rStyle w:val="Strong"/>
          <w:highlight w:val="yellow"/>
        </w:rPr>
        <w:t>Adjustment for previous period</w:t>
      </w:r>
      <w:r w:rsidRPr="00D81C0E">
        <w:rPr>
          <w:highlight w:val="yellow"/>
        </w:rPr>
        <w:t xml:space="preserve"> and </w:t>
      </w:r>
      <w:r w:rsidRPr="00D81C0E">
        <w:rPr>
          <w:rStyle w:val="Strong"/>
          <w:highlight w:val="yellow"/>
        </w:rPr>
        <w:t xml:space="preserve">RAB roll forward </w:t>
      </w:r>
      <w:r w:rsidRPr="00D81C0E">
        <w:rPr>
          <w:highlight w:val="yellow"/>
        </w:rPr>
        <w:t>sheets.</w:t>
      </w:r>
    </w:p>
    <w:p w:rsidR="000B4909" w:rsidRPr="000B4909" w:rsidRDefault="000B4909" w:rsidP="00D81C0E">
      <w:pPr>
        <w:pStyle w:val="Heading4notnumbered"/>
      </w:pPr>
      <w:r w:rsidRPr="000B4909">
        <w:t>Forecast regulatory depreciation</w:t>
      </w:r>
      <w:r w:rsidR="00BB1B82">
        <w:t xml:space="preserve"> (partially as-incurred)</w:t>
      </w:r>
    </w:p>
    <w:p w:rsidR="000B4909" w:rsidRPr="000B4909" w:rsidRDefault="000B4909" w:rsidP="000B4909">
      <w:r w:rsidRPr="000B4909">
        <w:t xml:space="preserve">The forecast regulatory depreciation </w:t>
      </w:r>
      <w:r w:rsidR="00910EB1">
        <w:t xml:space="preserve">(partially as-incurred) </w:t>
      </w:r>
      <w:r w:rsidRPr="000B4909">
        <w:t>values for each ass</w:t>
      </w:r>
      <w:r w:rsidR="00977CDB">
        <w:t>et class are recorded in column </w:t>
      </w:r>
      <w:r w:rsidR="00BB1B82">
        <w:t>O</w:t>
      </w:r>
      <w:r w:rsidRPr="000B4909">
        <w:t xml:space="preserve">. They are based on the </w:t>
      </w:r>
      <w:r w:rsidR="00BB1B82">
        <w:t>estimates</w:t>
      </w:r>
      <w:r w:rsidRPr="000B4909">
        <w:t xml:space="preserve"> made for the final year of the previous regulatory control period. These values would be contained in the RFM used for the current revenue determination for the TNSP. They are linked to the </w:t>
      </w:r>
      <w:r w:rsidRPr="00F96B0D">
        <w:rPr>
          <w:rStyle w:val="Strong"/>
        </w:rPr>
        <w:t>Adjustment for previous period</w:t>
      </w:r>
      <w:r w:rsidRPr="000B4909">
        <w:t xml:space="preserve"> sheet.</w:t>
      </w:r>
    </w:p>
    <w:p w:rsidR="00BB1B82" w:rsidRPr="000E482C" w:rsidRDefault="00BB1B82" w:rsidP="00D81C0E">
      <w:pPr>
        <w:pStyle w:val="Heading4notnumbered"/>
        <w:rPr>
          <w:highlight w:val="yellow"/>
        </w:rPr>
      </w:pPr>
      <w:r w:rsidRPr="000E482C">
        <w:rPr>
          <w:highlight w:val="yellow"/>
        </w:rPr>
        <w:t>Forecast regulatory depreciation (as-commissioned)</w:t>
      </w:r>
    </w:p>
    <w:p w:rsidR="00BB1B82" w:rsidRDefault="00BB1B82" w:rsidP="00BB1B82">
      <w:pPr>
        <w:rPr>
          <w:highlight w:val="yellow"/>
        </w:rPr>
      </w:pPr>
      <w:r w:rsidRPr="000E482C">
        <w:rPr>
          <w:highlight w:val="yellow"/>
        </w:rPr>
        <w:t xml:space="preserve">The forecast regulatory depreciation </w:t>
      </w:r>
      <w:r w:rsidR="00910EB1" w:rsidRPr="000E482C">
        <w:rPr>
          <w:highlight w:val="yellow"/>
        </w:rPr>
        <w:t xml:space="preserve">(as-commissioned) </w:t>
      </w:r>
      <w:r w:rsidRPr="000E482C">
        <w:rPr>
          <w:highlight w:val="yellow"/>
        </w:rPr>
        <w:t xml:space="preserve">values for each asset class are recorded in column P. They are based on the estimates made for the final year of the previous regulatory control period. These values would be contained in the RFM used for the current revenue determination for the TNSP. They are linked to the </w:t>
      </w:r>
      <w:r w:rsidRPr="000E482C">
        <w:rPr>
          <w:rStyle w:val="Strong"/>
          <w:highlight w:val="yellow"/>
        </w:rPr>
        <w:t>Adjustment for previous period</w:t>
      </w:r>
      <w:r w:rsidRPr="000E482C">
        <w:rPr>
          <w:highlight w:val="yellow"/>
        </w:rPr>
        <w:t xml:space="preserve"> sheet.</w:t>
      </w:r>
    </w:p>
    <w:p w:rsidR="000B4909" w:rsidRPr="000E482C" w:rsidRDefault="00BB1B82" w:rsidP="00D81C0E">
      <w:pPr>
        <w:pStyle w:val="Heading4notnumbered"/>
        <w:rPr>
          <w:highlight w:val="yellow"/>
        </w:rPr>
      </w:pPr>
      <w:r w:rsidRPr="000E482C">
        <w:rPr>
          <w:highlight w:val="yellow"/>
        </w:rPr>
        <w:t>Difference in final year capex (as-incurred)</w:t>
      </w:r>
    </w:p>
    <w:p w:rsidR="000B4909" w:rsidRPr="000B4909" w:rsidRDefault="000B4909" w:rsidP="000B4909">
      <w:r w:rsidRPr="000E482C">
        <w:rPr>
          <w:highlight w:val="yellow"/>
        </w:rPr>
        <w:t xml:space="preserve">The </w:t>
      </w:r>
      <w:r w:rsidR="00BB1B82" w:rsidRPr="000E482C">
        <w:rPr>
          <w:highlight w:val="yellow"/>
        </w:rPr>
        <w:t>difference in final year</w:t>
      </w:r>
      <w:r w:rsidRPr="000E482C">
        <w:rPr>
          <w:highlight w:val="yellow"/>
        </w:rPr>
        <w:t xml:space="preserve"> capex </w:t>
      </w:r>
      <w:r w:rsidR="00324ACF" w:rsidRPr="000E482C">
        <w:rPr>
          <w:highlight w:val="yellow"/>
        </w:rPr>
        <w:t>(</w:t>
      </w:r>
      <w:r w:rsidR="00910EB1" w:rsidRPr="000E482C">
        <w:rPr>
          <w:highlight w:val="yellow"/>
        </w:rPr>
        <w:t xml:space="preserve">as-incurred) </w:t>
      </w:r>
      <w:r w:rsidRPr="000E482C">
        <w:rPr>
          <w:highlight w:val="yellow"/>
        </w:rPr>
        <w:t>values for each ass</w:t>
      </w:r>
      <w:r w:rsidR="00977CDB" w:rsidRPr="000E482C">
        <w:rPr>
          <w:highlight w:val="yellow"/>
        </w:rPr>
        <w:t>et class are recorded in column </w:t>
      </w:r>
      <w:r w:rsidR="00BB1B82" w:rsidRPr="000E482C">
        <w:rPr>
          <w:highlight w:val="yellow"/>
        </w:rPr>
        <w:t>Q</w:t>
      </w:r>
      <w:r w:rsidRPr="000E482C">
        <w:rPr>
          <w:highlight w:val="yellow"/>
        </w:rPr>
        <w:t>. Th</w:t>
      </w:r>
      <w:r w:rsidR="00AA233F" w:rsidRPr="000E482C">
        <w:rPr>
          <w:highlight w:val="yellow"/>
        </w:rPr>
        <w:t>ey are based on the capex 'true-up' adjustment made</w:t>
      </w:r>
      <w:r w:rsidRPr="000E482C">
        <w:rPr>
          <w:highlight w:val="yellow"/>
        </w:rPr>
        <w:t xml:space="preserve"> to the closing RAB for the previous regulatory control period. </w:t>
      </w:r>
      <w:r w:rsidR="00AA233F" w:rsidRPr="000E482C">
        <w:rPr>
          <w:highlight w:val="yellow"/>
        </w:rPr>
        <w:t>These values</w:t>
      </w:r>
      <w:r w:rsidRPr="000E482C">
        <w:rPr>
          <w:highlight w:val="yellow"/>
        </w:rPr>
        <w:t xml:space="preserve"> would be contained in the RFM used for the current revenue determination for the TNSP. These values are linked to the </w:t>
      </w:r>
      <w:r w:rsidRPr="000E482C">
        <w:rPr>
          <w:rStyle w:val="Strong"/>
          <w:highlight w:val="yellow"/>
        </w:rPr>
        <w:t>Adjustment for previous period</w:t>
      </w:r>
      <w:r w:rsidRPr="000E482C">
        <w:rPr>
          <w:highlight w:val="yellow"/>
        </w:rPr>
        <w:t xml:space="preserve"> sheet.</w:t>
      </w:r>
    </w:p>
    <w:p w:rsidR="00AA233F" w:rsidRPr="000E482C" w:rsidRDefault="00AA233F" w:rsidP="000E482C">
      <w:pPr>
        <w:pStyle w:val="Heading4notnumbered"/>
        <w:rPr>
          <w:highlight w:val="yellow"/>
        </w:rPr>
      </w:pPr>
      <w:r w:rsidRPr="000E482C">
        <w:rPr>
          <w:highlight w:val="yellow"/>
        </w:rPr>
        <w:t>Difference in final year capex (as-commissioned)</w:t>
      </w:r>
    </w:p>
    <w:p w:rsidR="00AA233F" w:rsidRPr="000B4909" w:rsidRDefault="00AA233F" w:rsidP="00AA233F">
      <w:r w:rsidRPr="000E482C">
        <w:rPr>
          <w:highlight w:val="yellow"/>
        </w:rPr>
        <w:t xml:space="preserve">The difference in final year capex </w:t>
      </w:r>
      <w:r w:rsidR="00910EB1" w:rsidRPr="000E482C">
        <w:rPr>
          <w:highlight w:val="yellow"/>
        </w:rPr>
        <w:t xml:space="preserve">(as-commissioned) </w:t>
      </w:r>
      <w:r w:rsidRPr="000E482C">
        <w:rPr>
          <w:highlight w:val="yellow"/>
        </w:rPr>
        <w:t xml:space="preserve">values for each asset class are recorded in column R. They are based on the final year capex 'true-up' adjustment made to the closing RAB for the previous regulatory control period. These values would be contained in the RFM used for the current revenue determination for the TNSP. These values are linked to the </w:t>
      </w:r>
      <w:r w:rsidRPr="000E482C">
        <w:rPr>
          <w:rStyle w:val="Strong"/>
          <w:highlight w:val="yellow"/>
        </w:rPr>
        <w:t>Adjustment for previous period</w:t>
      </w:r>
      <w:r w:rsidRPr="000E482C">
        <w:rPr>
          <w:highlight w:val="yellow"/>
        </w:rPr>
        <w:t xml:space="preserve"> sheet.</w:t>
      </w:r>
    </w:p>
    <w:p w:rsidR="000B4909" w:rsidRPr="000E482C" w:rsidRDefault="000E482C" w:rsidP="000E482C">
      <w:pPr>
        <w:pStyle w:val="Heading4notnumbered"/>
        <w:rPr>
          <w:highlight w:val="yellow"/>
        </w:rPr>
      </w:pPr>
      <w:r w:rsidRPr="000E482C">
        <w:rPr>
          <w:highlight w:val="yellow"/>
        </w:rPr>
        <w:t>R</w:t>
      </w:r>
      <w:r w:rsidR="000B4909" w:rsidRPr="000E482C">
        <w:rPr>
          <w:highlight w:val="yellow"/>
        </w:rPr>
        <w:t xml:space="preserve">eturn on </w:t>
      </w:r>
      <w:r w:rsidRPr="000E482C">
        <w:rPr>
          <w:highlight w:val="yellow"/>
        </w:rPr>
        <w:t>final year</w:t>
      </w:r>
      <w:r w:rsidR="000B4909" w:rsidRPr="000E482C">
        <w:rPr>
          <w:highlight w:val="yellow"/>
        </w:rPr>
        <w:t xml:space="preserve"> capex</w:t>
      </w:r>
      <w:r w:rsidR="00324ACF" w:rsidRPr="000E482C">
        <w:rPr>
          <w:highlight w:val="yellow"/>
        </w:rPr>
        <w:t xml:space="preserve"> (</w:t>
      </w:r>
      <w:r w:rsidR="00AA233F" w:rsidRPr="000E482C">
        <w:rPr>
          <w:highlight w:val="yellow"/>
        </w:rPr>
        <w:t>as-incurred)</w:t>
      </w:r>
    </w:p>
    <w:p w:rsidR="000B4909" w:rsidRPr="000B4909" w:rsidRDefault="000B4909" w:rsidP="000B4909">
      <w:r w:rsidRPr="000E482C">
        <w:rPr>
          <w:highlight w:val="yellow"/>
        </w:rPr>
        <w:t xml:space="preserve">The return on </w:t>
      </w:r>
      <w:r w:rsidR="00AA233F" w:rsidRPr="000E482C">
        <w:rPr>
          <w:highlight w:val="yellow"/>
        </w:rPr>
        <w:t>difference in final year</w:t>
      </w:r>
      <w:r w:rsidRPr="000E482C">
        <w:rPr>
          <w:highlight w:val="yellow"/>
        </w:rPr>
        <w:t xml:space="preserve"> capex </w:t>
      </w:r>
      <w:r w:rsidR="00910EB1" w:rsidRPr="000E482C">
        <w:rPr>
          <w:highlight w:val="yellow"/>
        </w:rPr>
        <w:t xml:space="preserve">(as-incurred) </w:t>
      </w:r>
      <w:r w:rsidRPr="000E482C">
        <w:rPr>
          <w:highlight w:val="yellow"/>
        </w:rPr>
        <w:t>values for each ass</w:t>
      </w:r>
      <w:r w:rsidR="00977CDB" w:rsidRPr="000E482C">
        <w:rPr>
          <w:highlight w:val="yellow"/>
        </w:rPr>
        <w:t>et class are recorded in column </w:t>
      </w:r>
      <w:r w:rsidR="00AA233F" w:rsidRPr="000E482C">
        <w:rPr>
          <w:highlight w:val="yellow"/>
        </w:rPr>
        <w:t>S</w:t>
      </w:r>
      <w:r w:rsidRPr="000E482C">
        <w:rPr>
          <w:highlight w:val="yellow"/>
        </w:rPr>
        <w:t>. Th</w:t>
      </w:r>
      <w:r w:rsidR="00AA233F" w:rsidRPr="000E482C">
        <w:rPr>
          <w:highlight w:val="yellow"/>
        </w:rPr>
        <w:t xml:space="preserve">ey are based on the accumulated return associated with the final year capex 'true-up' adjustment made </w:t>
      </w:r>
      <w:r w:rsidRPr="000E482C">
        <w:rPr>
          <w:highlight w:val="yellow"/>
        </w:rPr>
        <w:t xml:space="preserve">to the closing RAB for the previous regulatory control period. </w:t>
      </w:r>
      <w:r w:rsidR="00AA233F" w:rsidRPr="000E482C">
        <w:rPr>
          <w:highlight w:val="yellow"/>
        </w:rPr>
        <w:t>These values</w:t>
      </w:r>
      <w:r w:rsidRPr="000E482C">
        <w:rPr>
          <w:highlight w:val="yellow"/>
        </w:rPr>
        <w:t xml:space="preserve"> would be contained in the RFM used for the current revenue determination for the TNSP. The</w:t>
      </w:r>
      <w:r w:rsidR="00AA233F" w:rsidRPr="000E482C">
        <w:rPr>
          <w:highlight w:val="yellow"/>
        </w:rPr>
        <w:t>se</w:t>
      </w:r>
      <w:r w:rsidRPr="000E482C">
        <w:rPr>
          <w:highlight w:val="yellow"/>
        </w:rPr>
        <w:t xml:space="preserve"> values are linked to the </w:t>
      </w:r>
      <w:r w:rsidRPr="000E482C">
        <w:rPr>
          <w:rStyle w:val="Strong"/>
          <w:highlight w:val="yellow"/>
        </w:rPr>
        <w:t>Adjustment for previous period</w:t>
      </w:r>
      <w:r w:rsidRPr="000E482C">
        <w:rPr>
          <w:highlight w:val="yellow"/>
        </w:rPr>
        <w:t xml:space="preserve"> sheet.</w:t>
      </w:r>
    </w:p>
    <w:p w:rsidR="00AA233F" w:rsidRPr="000E482C" w:rsidRDefault="000E482C" w:rsidP="000E482C">
      <w:pPr>
        <w:pStyle w:val="Heading4notnumbered"/>
        <w:rPr>
          <w:highlight w:val="yellow"/>
        </w:rPr>
      </w:pPr>
      <w:r w:rsidRPr="000E482C">
        <w:rPr>
          <w:highlight w:val="yellow"/>
        </w:rPr>
        <w:t>R</w:t>
      </w:r>
      <w:r w:rsidR="00AA233F" w:rsidRPr="000E482C">
        <w:rPr>
          <w:highlight w:val="yellow"/>
        </w:rPr>
        <w:t xml:space="preserve">eturn on </w:t>
      </w:r>
      <w:r w:rsidRPr="000E482C">
        <w:rPr>
          <w:highlight w:val="yellow"/>
        </w:rPr>
        <w:t>final year</w:t>
      </w:r>
      <w:r w:rsidR="00AA233F" w:rsidRPr="000E482C">
        <w:rPr>
          <w:highlight w:val="yellow"/>
        </w:rPr>
        <w:t xml:space="preserve"> capex (as-commissioned)</w:t>
      </w:r>
    </w:p>
    <w:p w:rsidR="00AA233F" w:rsidRPr="000B4909" w:rsidRDefault="00AA233F" w:rsidP="00AA233F">
      <w:r w:rsidRPr="000E482C">
        <w:rPr>
          <w:highlight w:val="yellow"/>
        </w:rPr>
        <w:t xml:space="preserve">The return on difference in final year capex </w:t>
      </w:r>
      <w:r w:rsidR="00910EB1" w:rsidRPr="000E482C">
        <w:rPr>
          <w:highlight w:val="yellow"/>
        </w:rPr>
        <w:t xml:space="preserve">(as-commissioned) </w:t>
      </w:r>
      <w:r w:rsidRPr="000E482C">
        <w:rPr>
          <w:highlight w:val="yellow"/>
        </w:rPr>
        <w:t xml:space="preserve">values for each asset class are recorded in column T. They are based on the accumulated return associated with the final year capex 'true-up' adjustment made to the closing RAB for the previous regulatory control period. These values would be contained in the RFM used for the current revenue determination for the TNSP. These values are linked to the </w:t>
      </w:r>
      <w:r w:rsidRPr="000E482C">
        <w:rPr>
          <w:rStyle w:val="Strong"/>
          <w:highlight w:val="yellow"/>
        </w:rPr>
        <w:t>Adjustment for previous period</w:t>
      </w:r>
      <w:r w:rsidRPr="000E482C">
        <w:rPr>
          <w:highlight w:val="yellow"/>
        </w:rPr>
        <w:t xml:space="preserve"> sheet.</w:t>
      </w:r>
    </w:p>
    <w:p w:rsidR="000B4909" w:rsidRPr="000E482C" w:rsidRDefault="00325FA9" w:rsidP="000E482C">
      <w:pPr>
        <w:pStyle w:val="Heading4notnumbered"/>
        <w:rPr>
          <w:highlight w:val="yellow"/>
        </w:rPr>
      </w:pPr>
      <w:r w:rsidRPr="000E482C">
        <w:rPr>
          <w:highlight w:val="yellow"/>
        </w:rPr>
        <w:t>Other final year adjustments (as-incurred)</w:t>
      </w:r>
    </w:p>
    <w:p w:rsidR="000B4909" w:rsidRDefault="000B4909" w:rsidP="000B4909">
      <w:pPr>
        <w:rPr>
          <w:highlight w:val="yellow"/>
        </w:rPr>
      </w:pPr>
      <w:r w:rsidRPr="000E482C">
        <w:rPr>
          <w:highlight w:val="yellow"/>
        </w:rPr>
        <w:t xml:space="preserve">The </w:t>
      </w:r>
      <w:r w:rsidR="00325FA9" w:rsidRPr="000E482C">
        <w:rPr>
          <w:highlight w:val="yellow"/>
        </w:rPr>
        <w:t>other final year adjustment</w:t>
      </w:r>
      <w:r w:rsidRPr="000E482C">
        <w:rPr>
          <w:highlight w:val="yellow"/>
        </w:rPr>
        <w:t xml:space="preserve"> </w:t>
      </w:r>
      <w:r w:rsidR="00910EB1" w:rsidRPr="000E482C">
        <w:rPr>
          <w:highlight w:val="yellow"/>
        </w:rPr>
        <w:t xml:space="preserve">(as-incurred) </w:t>
      </w:r>
      <w:r w:rsidRPr="000E482C">
        <w:rPr>
          <w:highlight w:val="yellow"/>
        </w:rPr>
        <w:t xml:space="preserve">values for each asset class </w:t>
      </w:r>
      <w:r w:rsidR="00977CDB" w:rsidRPr="000E482C">
        <w:rPr>
          <w:highlight w:val="yellow"/>
        </w:rPr>
        <w:t>are recorded in column </w:t>
      </w:r>
      <w:r w:rsidR="00325FA9" w:rsidRPr="000E482C">
        <w:rPr>
          <w:highlight w:val="yellow"/>
        </w:rPr>
        <w:t>U</w:t>
      </w:r>
      <w:r w:rsidRPr="000E482C">
        <w:rPr>
          <w:highlight w:val="yellow"/>
        </w:rPr>
        <w:t xml:space="preserve">. This data may be required for TNSPs </w:t>
      </w:r>
      <w:r w:rsidR="00325FA9" w:rsidRPr="000E482C">
        <w:rPr>
          <w:highlight w:val="yellow"/>
        </w:rPr>
        <w:t xml:space="preserve">which </w:t>
      </w:r>
      <w:r w:rsidR="00994ED0" w:rsidRPr="000E482C">
        <w:rPr>
          <w:highlight w:val="yellow"/>
        </w:rPr>
        <w:t xml:space="preserve">adjusted their closing RAB by removing or adding assets (such as a change in service classification) </w:t>
      </w:r>
      <w:r w:rsidR="00325FA9" w:rsidRPr="000E482C">
        <w:rPr>
          <w:highlight w:val="yellow"/>
        </w:rPr>
        <w:t xml:space="preserve">in the final year of </w:t>
      </w:r>
      <w:r w:rsidRPr="000E482C">
        <w:rPr>
          <w:highlight w:val="yellow"/>
        </w:rPr>
        <w:t xml:space="preserve">the previous regulatory control period. The amount of </w:t>
      </w:r>
      <w:r w:rsidR="00994ED0" w:rsidRPr="000E482C">
        <w:rPr>
          <w:highlight w:val="yellow"/>
        </w:rPr>
        <w:t>other final year adjustments</w:t>
      </w:r>
      <w:r w:rsidRPr="000E482C">
        <w:rPr>
          <w:highlight w:val="yellow"/>
        </w:rPr>
        <w:t xml:space="preserve"> (if any) would be contained in the RFM used for the current revenue determination for the TNSP.</w:t>
      </w:r>
      <w:r w:rsidR="00B5191C" w:rsidRPr="000E482C">
        <w:rPr>
          <w:rStyle w:val="FootnoteReference"/>
          <w:highlight w:val="yellow"/>
        </w:rPr>
        <w:footnoteReference w:id="11"/>
      </w:r>
      <w:r w:rsidRPr="000E482C">
        <w:rPr>
          <w:highlight w:val="yellow"/>
        </w:rPr>
        <w:t xml:space="preserve"> The</w:t>
      </w:r>
      <w:r w:rsidR="00994ED0" w:rsidRPr="000E482C">
        <w:rPr>
          <w:highlight w:val="yellow"/>
        </w:rPr>
        <w:t>se</w:t>
      </w:r>
      <w:r w:rsidRPr="000E482C">
        <w:rPr>
          <w:highlight w:val="yellow"/>
        </w:rPr>
        <w:t xml:space="preserve"> values are linked to the </w:t>
      </w:r>
      <w:r w:rsidRPr="000E482C">
        <w:rPr>
          <w:rStyle w:val="Strong"/>
          <w:highlight w:val="yellow"/>
        </w:rPr>
        <w:t>Adjustment for previous period</w:t>
      </w:r>
      <w:r w:rsidRPr="000E482C">
        <w:rPr>
          <w:highlight w:val="yellow"/>
        </w:rPr>
        <w:t xml:space="preserve"> sheet.</w:t>
      </w:r>
    </w:p>
    <w:p w:rsidR="006B6187" w:rsidRDefault="006B6187" w:rsidP="000E482C">
      <w:pPr>
        <w:pStyle w:val="Heading4notnumbered"/>
        <w:rPr>
          <w:highlight w:val="yellow"/>
        </w:rPr>
      </w:pPr>
    </w:p>
    <w:p w:rsidR="006B6187" w:rsidRDefault="006B6187" w:rsidP="000E482C">
      <w:pPr>
        <w:pStyle w:val="Heading4notnumbered"/>
        <w:rPr>
          <w:highlight w:val="yellow"/>
        </w:rPr>
      </w:pPr>
    </w:p>
    <w:p w:rsidR="000E482C" w:rsidRPr="000E482C" w:rsidRDefault="00994ED0" w:rsidP="000E482C">
      <w:pPr>
        <w:pStyle w:val="Heading4notnumbered"/>
        <w:rPr>
          <w:highlight w:val="yellow"/>
        </w:rPr>
      </w:pPr>
      <w:r w:rsidRPr="000E482C">
        <w:rPr>
          <w:highlight w:val="yellow"/>
        </w:rPr>
        <w:t>Other final year adjustments (as-commissioned)</w:t>
      </w:r>
    </w:p>
    <w:p w:rsidR="000B4909" w:rsidRPr="000B4909" w:rsidRDefault="000B4909" w:rsidP="000B4909">
      <w:r w:rsidRPr="000E482C">
        <w:rPr>
          <w:highlight w:val="yellow"/>
        </w:rPr>
        <w:t xml:space="preserve">The </w:t>
      </w:r>
      <w:r w:rsidR="00994ED0" w:rsidRPr="000E482C">
        <w:rPr>
          <w:highlight w:val="yellow"/>
        </w:rPr>
        <w:t>other final year adjustment</w:t>
      </w:r>
      <w:r w:rsidRPr="000E482C">
        <w:rPr>
          <w:highlight w:val="yellow"/>
        </w:rPr>
        <w:t xml:space="preserve"> </w:t>
      </w:r>
      <w:r w:rsidR="00910EB1" w:rsidRPr="000E482C">
        <w:rPr>
          <w:highlight w:val="yellow"/>
        </w:rPr>
        <w:t xml:space="preserve">(as-commissioned) </w:t>
      </w:r>
      <w:r w:rsidRPr="000E482C">
        <w:rPr>
          <w:highlight w:val="yellow"/>
        </w:rPr>
        <w:t>values</w:t>
      </w:r>
      <w:r w:rsidR="00994ED0" w:rsidRPr="000E482C">
        <w:rPr>
          <w:highlight w:val="yellow"/>
        </w:rPr>
        <w:t xml:space="preserve"> </w:t>
      </w:r>
      <w:r w:rsidRPr="000E482C">
        <w:rPr>
          <w:highlight w:val="yellow"/>
        </w:rPr>
        <w:t xml:space="preserve">for each asset class </w:t>
      </w:r>
      <w:r w:rsidR="00977CDB" w:rsidRPr="000E482C">
        <w:rPr>
          <w:highlight w:val="yellow"/>
        </w:rPr>
        <w:t>are recorded in column </w:t>
      </w:r>
      <w:r w:rsidR="00994ED0" w:rsidRPr="000E482C">
        <w:rPr>
          <w:highlight w:val="yellow"/>
        </w:rPr>
        <w:t>V</w:t>
      </w:r>
      <w:r w:rsidRPr="000E482C">
        <w:rPr>
          <w:highlight w:val="yellow"/>
        </w:rPr>
        <w:t xml:space="preserve">. This data may be required for TNSPs </w:t>
      </w:r>
      <w:r w:rsidR="00994ED0" w:rsidRPr="000E482C">
        <w:rPr>
          <w:highlight w:val="yellow"/>
        </w:rPr>
        <w:t>which adjusted their closing RAB by removing or adding assets (such as a change in service classification) in the final year of</w:t>
      </w:r>
      <w:r w:rsidRPr="000E482C">
        <w:rPr>
          <w:highlight w:val="yellow"/>
        </w:rPr>
        <w:t xml:space="preserve"> the previous regulatory control period. </w:t>
      </w:r>
      <w:r w:rsidR="00994ED0" w:rsidRPr="000E482C">
        <w:rPr>
          <w:highlight w:val="yellow"/>
        </w:rPr>
        <w:t>The amount of other final year adjustments (if any) would be contained in the RFM used for the current revenue determination for the TNSP.</w:t>
      </w:r>
      <w:r w:rsidR="00994ED0" w:rsidRPr="000E482C">
        <w:rPr>
          <w:rStyle w:val="FootnoteReference"/>
          <w:highlight w:val="yellow"/>
        </w:rPr>
        <w:footnoteReference w:id="12"/>
      </w:r>
      <w:r w:rsidR="00994ED0" w:rsidRPr="000E482C">
        <w:rPr>
          <w:highlight w:val="yellow"/>
        </w:rPr>
        <w:t xml:space="preserve"> </w:t>
      </w:r>
      <w:r w:rsidRPr="000E482C">
        <w:rPr>
          <w:highlight w:val="yellow"/>
        </w:rPr>
        <w:t xml:space="preserve">These values are linked to the </w:t>
      </w:r>
      <w:r w:rsidRPr="000E482C">
        <w:rPr>
          <w:rStyle w:val="Strong"/>
          <w:highlight w:val="yellow"/>
        </w:rPr>
        <w:t>Adjustment for previous period</w:t>
      </w:r>
      <w:r w:rsidRPr="000E482C">
        <w:rPr>
          <w:highlight w:val="yellow"/>
        </w:rPr>
        <w:t xml:space="preserve"> sheet.</w:t>
      </w:r>
    </w:p>
    <w:p w:rsidR="000B4909" w:rsidRPr="000B4909" w:rsidRDefault="000B4909" w:rsidP="000E482C">
      <w:pPr>
        <w:pStyle w:val="Heading4notnumbered"/>
      </w:pPr>
      <w:r w:rsidRPr="000B4909">
        <w:t>Tax asset values—opening tax asset value, average tax remaining life, tax standard life</w:t>
      </w:r>
    </w:p>
    <w:p w:rsidR="000B4909" w:rsidRPr="000B4909" w:rsidRDefault="000B4909" w:rsidP="000B4909">
      <w:r w:rsidRPr="000B4909">
        <w:t xml:space="preserve">The RFM includes a mechanism to roll forward tax asset values between regulatory control periods. The </w:t>
      </w:r>
      <w:r w:rsidR="000C3D9B">
        <w:rPr>
          <w:rStyle w:val="Strong"/>
        </w:rPr>
        <w:t>RFM i</w:t>
      </w:r>
      <w:r w:rsidRPr="00F96B0D">
        <w:rPr>
          <w:rStyle w:val="Strong"/>
        </w:rPr>
        <w:t>nput</w:t>
      </w:r>
      <w:r w:rsidRPr="000B4909">
        <w:t xml:space="preserve"> sheet requires the tax asset values comprising of the opening tax values, average tax remaining lives and tax standard lives for each asset class. The tax asset values will differ each year to reflect actual capex (as-commissioned), asset disposals and tax depreciation.</w:t>
      </w:r>
    </w:p>
    <w:p w:rsidR="000B4909" w:rsidRPr="000B4909" w:rsidRDefault="000B4909" w:rsidP="000B4909">
      <w:r w:rsidRPr="000B4909">
        <w:t>For each asset class, the opening tax values at the start of the first year of the current regulatory contro</w:t>
      </w:r>
      <w:r w:rsidR="00977CDB">
        <w:t>l period are recorded in column </w:t>
      </w:r>
      <w:r w:rsidR="000C3D9B">
        <w:t>W</w:t>
      </w:r>
      <w:r w:rsidRPr="000B4909">
        <w:t>, the average tax remaini</w:t>
      </w:r>
      <w:r w:rsidR="00977CDB">
        <w:t>ng lives are recorded in column </w:t>
      </w:r>
      <w:r w:rsidR="000C3D9B">
        <w:t>X</w:t>
      </w:r>
      <w:r w:rsidRPr="000B4909">
        <w:t xml:space="preserve"> and the tax standa</w:t>
      </w:r>
      <w:r w:rsidR="00977CDB">
        <w:t>rd lives are recorded in column </w:t>
      </w:r>
      <w:r w:rsidR="000C3D9B">
        <w:t>Y</w:t>
      </w:r>
      <w:r w:rsidRPr="000B4909">
        <w:t xml:space="preserve">. These values are linked to the </w:t>
      </w:r>
      <w:r w:rsidRPr="00F96B0D">
        <w:rPr>
          <w:rStyle w:val="Strong"/>
        </w:rPr>
        <w:t>T</w:t>
      </w:r>
      <w:r w:rsidR="000C3D9B">
        <w:rPr>
          <w:rStyle w:val="Strong"/>
        </w:rPr>
        <w:t>AB</w:t>
      </w:r>
      <w:r w:rsidRPr="00F96B0D">
        <w:rPr>
          <w:rStyle w:val="Strong"/>
        </w:rPr>
        <w:t xml:space="preserve"> roll forward</w:t>
      </w:r>
      <w:r w:rsidRPr="000B4909">
        <w:t xml:space="preserve"> sheet to calculate a running balance of the tax asset values for the current regulatory control period.</w:t>
      </w:r>
    </w:p>
    <w:p w:rsidR="000B4909" w:rsidRPr="000B4909" w:rsidRDefault="000B4909" w:rsidP="000E482C">
      <w:pPr>
        <w:pStyle w:val="Heading4notnumbered"/>
      </w:pPr>
      <w:r w:rsidRPr="000B4909">
        <w:t xml:space="preserve">Base </w:t>
      </w:r>
      <w:r w:rsidR="000C3D9B">
        <w:t>regulatory</w:t>
      </w:r>
      <w:r w:rsidRPr="000B4909">
        <w:t xml:space="preserve"> year</w:t>
      </w:r>
    </w:p>
    <w:p w:rsidR="000B4909" w:rsidRPr="000B4909" w:rsidRDefault="000B4909" w:rsidP="000B4909">
      <w:r w:rsidRPr="000B4909">
        <w:t xml:space="preserve">The </w:t>
      </w:r>
      <w:r w:rsidR="000C3D9B">
        <w:t>regulatory</w:t>
      </w:r>
      <w:r w:rsidRPr="000B4909">
        <w:t xml:space="preserve"> year for the start of the current regulatory con</w:t>
      </w:r>
      <w:r w:rsidR="00977CDB">
        <w:t>trol period is recorded in cell </w:t>
      </w:r>
      <w:r w:rsidR="000C3D9B">
        <w:t>Z</w:t>
      </w:r>
      <w:r w:rsidRPr="000B4909">
        <w:t>7.</w:t>
      </w:r>
    </w:p>
    <w:p w:rsidR="000B4909" w:rsidRPr="000B4909" w:rsidRDefault="000B4909" w:rsidP="000E482C">
      <w:pPr>
        <w:pStyle w:val="Heading4notnumbered"/>
      </w:pPr>
      <w:r w:rsidRPr="000B4909">
        <w:t>Length of the current regulatory control period</w:t>
      </w:r>
    </w:p>
    <w:p w:rsidR="000B4909" w:rsidRPr="000B4909" w:rsidRDefault="000B4909" w:rsidP="000B4909">
      <w:r w:rsidRPr="000B4909">
        <w:t>The number of years in the current regulatory con</w:t>
      </w:r>
      <w:r w:rsidR="00977CDB">
        <w:t>trol period is recorded in cell </w:t>
      </w:r>
      <w:r w:rsidR="000C3D9B">
        <w:t>AA</w:t>
      </w:r>
      <w:r w:rsidRPr="000B4909">
        <w:t>7.</w:t>
      </w:r>
    </w:p>
    <w:p w:rsidR="000B4909" w:rsidRPr="000B4909" w:rsidRDefault="000B4909" w:rsidP="000E482C">
      <w:pPr>
        <w:pStyle w:val="Heading3"/>
      </w:pPr>
      <w:bookmarkStart w:id="20" w:name="_Toc422832938"/>
      <w:bookmarkStart w:id="21" w:name="_Toc423696190"/>
      <w:r w:rsidRPr="000B4909">
        <w:t>Actual nominal c</w:t>
      </w:r>
      <w:r w:rsidR="00B5191C">
        <w:t>apital expenditure—as-incurred</w:t>
      </w:r>
      <w:r w:rsidR="00B5191C">
        <w:rPr>
          <w:rStyle w:val="FootnoteReference"/>
        </w:rPr>
        <w:footnoteReference w:id="13"/>
      </w:r>
      <w:bookmarkEnd w:id="20"/>
      <w:bookmarkEnd w:id="21"/>
    </w:p>
    <w:p w:rsidR="000B4909" w:rsidRPr="000B4909" w:rsidRDefault="000B4909" w:rsidP="000B4909">
      <w:r w:rsidRPr="000B4909">
        <w:t xml:space="preserve">The actual capex (as-incurred) values for the current regulatory control period (including the final year for the previous regulatory control period) are recorded for each year in rows </w:t>
      </w:r>
      <w:r w:rsidR="00C46AAB">
        <w:t>6</w:t>
      </w:r>
      <w:r w:rsidRPr="000B4909">
        <w:t xml:space="preserve">1 to </w:t>
      </w:r>
      <w:r w:rsidR="00C46AAB">
        <w:t>110</w:t>
      </w:r>
      <w:r w:rsidRPr="000B4909">
        <w:t xml:space="preserve"> (by asset class). Generally, capex falls into three broad categories:</w:t>
      </w:r>
    </w:p>
    <w:p w:rsidR="000B4909" w:rsidRPr="000B4909" w:rsidRDefault="000B4909" w:rsidP="00B223FB">
      <w:pPr>
        <w:pStyle w:val="ListBullet"/>
      </w:pPr>
      <w:r w:rsidRPr="000B4909">
        <w:t xml:space="preserve">asset augmentation (e.g. works to enlarge a network or to increase the capability of a network) </w:t>
      </w:r>
    </w:p>
    <w:p w:rsidR="000B4909" w:rsidRPr="000B4909" w:rsidRDefault="000B4909" w:rsidP="00B223FB">
      <w:pPr>
        <w:pStyle w:val="ListBullet"/>
      </w:pPr>
      <w:r w:rsidRPr="000B4909">
        <w:t>asset replacement (e.g. replacing assets that have passed their useful lives)</w:t>
      </w:r>
    </w:p>
    <w:p w:rsidR="000B4909" w:rsidRPr="000B4909" w:rsidRDefault="000B4909" w:rsidP="00B223FB">
      <w:pPr>
        <w:pStyle w:val="ListBullet"/>
      </w:pPr>
      <w:r w:rsidRPr="000B4909">
        <w:t>non-network asset (e.g. support the business expenditure).</w:t>
      </w:r>
    </w:p>
    <w:p w:rsidR="000B4909" w:rsidRDefault="000B4909" w:rsidP="000B4909">
      <w:r w:rsidRPr="000B4909">
        <w:t xml:space="preserve">These inputs are assumed to be in middle of the year terms based on nominal dollar terms. </w:t>
      </w:r>
    </w:p>
    <w:p w:rsidR="000B4909" w:rsidRPr="000B4909" w:rsidRDefault="000B4909" w:rsidP="000E482C">
      <w:pPr>
        <w:pStyle w:val="Heading3"/>
      </w:pPr>
      <w:bookmarkStart w:id="22" w:name="_Toc422832939"/>
      <w:bookmarkStart w:id="23" w:name="_Toc423696191"/>
      <w:r w:rsidRPr="000B4909">
        <w:t>Actual nominal asset disposals—as-incurred</w:t>
      </w:r>
      <w:bookmarkEnd w:id="22"/>
      <w:bookmarkEnd w:id="23"/>
    </w:p>
    <w:p w:rsidR="000B4909" w:rsidRPr="000B4909" w:rsidRDefault="000B4909" w:rsidP="000B4909">
      <w:r w:rsidRPr="000B4909">
        <w:t xml:space="preserve">The actual asset disposal values for each year are recorded in rows </w:t>
      </w:r>
      <w:r w:rsidR="00C46AAB">
        <w:t>11</w:t>
      </w:r>
      <w:r w:rsidRPr="000B4909">
        <w:t>5 to 1</w:t>
      </w:r>
      <w:r w:rsidR="00C46AAB">
        <w:t>6</w:t>
      </w:r>
      <w:r w:rsidRPr="000B4909">
        <w:t>4. These inputs are assumed to be in middle of the year terms based on nominal dollar terms.</w:t>
      </w:r>
    </w:p>
    <w:p w:rsidR="000B4909" w:rsidRPr="000B4909" w:rsidRDefault="000B4909" w:rsidP="000E482C">
      <w:pPr>
        <w:pStyle w:val="Heading3"/>
      </w:pPr>
      <w:bookmarkStart w:id="24" w:name="_Toc422832940"/>
      <w:bookmarkStart w:id="25" w:name="_Toc423696192"/>
      <w:r w:rsidRPr="000B4909">
        <w:t>Actual real net capital expenditure—as-incurred</w:t>
      </w:r>
      <w:bookmarkEnd w:id="24"/>
      <w:bookmarkEnd w:id="25"/>
    </w:p>
    <w:p w:rsidR="000B4909" w:rsidRPr="000B4909" w:rsidRDefault="000B4909" w:rsidP="000B4909">
      <w:r w:rsidRPr="000B4909">
        <w:t xml:space="preserve">This section on </w:t>
      </w:r>
      <w:r w:rsidR="00294688">
        <w:t xml:space="preserve">actual </w:t>
      </w:r>
      <w:r w:rsidRPr="000B4909">
        <w:t xml:space="preserve">real net capex does not require inputs to be recorded. For each asset class, actual real net capex values are calculated based on the recorded </w:t>
      </w:r>
      <w:r w:rsidR="00294688">
        <w:t xml:space="preserve">actual </w:t>
      </w:r>
      <w:r w:rsidRPr="000B4909">
        <w:t xml:space="preserve">nominal capex values less asset disposal values, and adjusted for actual inflation. </w:t>
      </w:r>
      <w:r w:rsidRPr="000E482C">
        <w:rPr>
          <w:highlight w:val="yellow"/>
        </w:rPr>
        <w:t>The real net capex (as-incurred) values are displayed in rows 1</w:t>
      </w:r>
      <w:r w:rsidR="00294688" w:rsidRPr="000E482C">
        <w:rPr>
          <w:highlight w:val="yellow"/>
        </w:rPr>
        <w:t>6</w:t>
      </w:r>
      <w:r w:rsidRPr="000E482C">
        <w:rPr>
          <w:highlight w:val="yellow"/>
        </w:rPr>
        <w:t xml:space="preserve">9 to </w:t>
      </w:r>
      <w:r w:rsidR="00294688" w:rsidRPr="000E482C">
        <w:rPr>
          <w:highlight w:val="yellow"/>
        </w:rPr>
        <w:t>2</w:t>
      </w:r>
      <w:r w:rsidRPr="000E482C">
        <w:rPr>
          <w:highlight w:val="yellow"/>
        </w:rPr>
        <w:t xml:space="preserve">18 and form part of the roll forward of the RAB in the </w:t>
      </w:r>
      <w:r w:rsidRPr="000E482C">
        <w:rPr>
          <w:rStyle w:val="Strong"/>
          <w:highlight w:val="yellow"/>
        </w:rPr>
        <w:t>Adjustment for previous period</w:t>
      </w:r>
      <w:r w:rsidRPr="000E482C">
        <w:rPr>
          <w:highlight w:val="yellow"/>
        </w:rPr>
        <w:t xml:space="preserve"> and </w:t>
      </w:r>
      <w:r w:rsidRPr="000E482C">
        <w:rPr>
          <w:rStyle w:val="Strong"/>
          <w:highlight w:val="yellow"/>
        </w:rPr>
        <w:t>RAB roll forward</w:t>
      </w:r>
      <w:r w:rsidRPr="000E482C">
        <w:rPr>
          <w:highlight w:val="yellow"/>
        </w:rPr>
        <w:t xml:space="preserve"> sheets</w:t>
      </w:r>
      <w:r w:rsidR="00294688" w:rsidRPr="000E482C">
        <w:rPr>
          <w:highlight w:val="yellow"/>
        </w:rPr>
        <w:t xml:space="preserve"> and the TAB in the </w:t>
      </w:r>
      <w:r w:rsidR="00294688" w:rsidRPr="000E482C">
        <w:rPr>
          <w:rStyle w:val="Bold"/>
          <w:highlight w:val="yellow"/>
        </w:rPr>
        <w:t>TAB roll forward</w:t>
      </w:r>
      <w:r w:rsidR="00294688" w:rsidRPr="000E482C">
        <w:rPr>
          <w:highlight w:val="yellow"/>
        </w:rPr>
        <w:t xml:space="preserve"> sheet</w:t>
      </w:r>
      <w:r w:rsidRPr="000E482C">
        <w:rPr>
          <w:highlight w:val="yellow"/>
        </w:rPr>
        <w:t>.</w:t>
      </w:r>
      <w:r w:rsidRPr="000B4909">
        <w:t xml:space="preserve"> These </w:t>
      </w:r>
      <w:r w:rsidR="00E804C3">
        <w:t>values</w:t>
      </w:r>
      <w:r w:rsidRPr="000B4909">
        <w:t xml:space="preserve"> are assumed to be in middle of the year terms</w:t>
      </w:r>
      <w:r w:rsidR="00294688">
        <w:t>,</w:t>
      </w:r>
      <w:r w:rsidRPr="000B4909">
        <w:t xml:space="preserve"> based on the final year of the previous regulatory control period real dollar terms.</w:t>
      </w:r>
    </w:p>
    <w:p w:rsidR="000B4909" w:rsidRPr="000B4909" w:rsidRDefault="000B4909" w:rsidP="000E482C">
      <w:pPr>
        <w:pStyle w:val="Heading3"/>
      </w:pPr>
      <w:bookmarkStart w:id="26" w:name="_Toc422832941"/>
      <w:bookmarkStart w:id="27" w:name="_Toc423696193"/>
      <w:r w:rsidRPr="000B4909">
        <w:t>Actual nominal capital expenditure—as-commissioned</w:t>
      </w:r>
      <w:bookmarkEnd w:id="26"/>
      <w:bookmarkEnd w:id="27"/>
    </w:p>
    <w:p w:rsidR="000B4909" w:rsidRPr="000B4909" w:rsidRDefault="000B4909" w:rsidP="000B4909">
      <w:r w:rsidRPr="000B4909">
        <w:t xml:space="preserve">The actual capex (as-commissioned) values are recorded for each year in rows </w:t>
      </w:r>
      <w:r w:rsidR="00294688">
        <w:t>22</w:t>
      </w:r>
      <w:r w:rsidRPr="000B4909">
        <w:t xml:space="preserve">3 to </w:t>
      </w:r>
      <w:r w:rsidR="00294688">
        <w:t>2</w:t>
      </w:r>
      <w:r w:rsidRPr="000B4909">
        <w:t xml:space="preserve">72. These inputs are assumed to be in middle of the year terms based on nominal dollar terms. </w:t>
      </w:r>
    </w:p>
    <w:p w:rsidR="000B4909" w:rsidRPr="000B4909" w:rsidRDefault="000B4909" w:rsidP="000E482C">
      <w:pPr>
        <w:pStyle w:val="Heading3"/>
      </w:pPr>
      <w:bookmarkStart w:id="28" w:name="_Toc422832942"/>
      <w:bookmarkStart w:id="29" w:name="_Toc423696194"/>
      <w:r w:rsidRPr="000B4909">
        <w:t>Actual nominal asset disposals—as-de-commissioned</w:t>
      </w:r>
      <w:bookmarkEnd w:id="28"/>
      <w:bookmarkEnd w:id="29"/>
    </w:p>
    <w:p w:rsidR="000B4909" w:rsidRPr="000B4909" w:rsidRDefault="000B4909" w:rsidP="000B4909">
      <w:r w:rsidRPr="000B4909">
        <w:t xml:space="preserve">The actual de-commissioned asset values are recorded for each year in rows </w:t>
      </w:r>
      <w:r w:rsidR="00294688">
        <w:t>2</w:t>
      </w:r>
      <w:r w:rsidRPr="000B4909">
        <w:t xml:space="preserve">77 to </w:t>
      </w:r>
      <w:r w:rsidR="00294688">
        <w:t>3</w:t>
      </w:r>
      <w:r w:rsidRPr="000B4909">
        <w:t xml:space="preserve">26. These inputs are assumed to be in middle of the year terms based on nominal dollar terms. </w:t>
      </w:r>
    </w:p>
    <w:p w:rsidR="000B4909" w:rsidRPr="000B4909" w:rsidRDefault="000B4909" w:rsidP="000E482C">
      <w:pPr>
        <w:pStyle w:val="Heading3"/>
      </w:pPr>
      <w:bookmarkStart w:id="30" w:name="_Toc422832943"/>
      <w:bookmarkStart w:id="31" w:name="_Toc423696195"/>
      <w:r w:rsidRPr="000B4909">
        <w:t>Actual real net capital expenditure—as-commissioned</w:t>
      </w:r>
      <w:bookmarkEnd w:id="30"/>
      <w:bookmarkEnd w:id="31"/>
    </w:p>
    <w:p w:rsidR="000B4909" w:rsidRPr="000B4909" w:rsidRDefault="000B4909" w:rsidP="000B4909">
      <w:r w:rsidRPr="000B4909">
        <w:t xml:space="preserve">This section on </w:t>
      </w:r>
      <w:r w:rsidR="006E63EC">
        <w:t xml:space="preserve">actual </w:t>
      </w:r>
      <w:r w:rsidRPr="000B4909">
        <w:t xml:space="preserve">real net capex does not require inputs to be recorded. For each asset class, actual real net capex values are calculated based on the recorded nominal capex values less the value of de-commissioned assets, and adjusted for actual inflation. The real net capex (as-commissioned) values are displayed in rows </w:t>
      </w:r>
      <w:r w:rsidR="006E63EC">
        <w:t>33</w:t>
      </w:r>
      <w:r w:rsidRPr="000B4909">
        <w:t xml:space="preserve">1 to </w:t>
      </w:r>
      <w:r w:rsidR="006E63EC">
        <w:t>38</w:t>
      </w:r>
      <w:r w:rsidRPr="000B4909">
        <w:t xml:space="preserve">0 and are used to calculate depreciation in the </w:t>
      </w:r>
      <w:r w:rsidRPr="003A48E6">
        <w:rPr>
          <w:rStyle w:val="Strong"/>
        </w:rPr>
        <w:t>RAB roll forward</w:t>
      </w:r>
      <w:r w:rsidRPr="000B4909">
        <w:t xml:space="preserve"> sheet. </w:t>
      </w:r>
      <w:r w:rsidR="006E63EC" w:rsidRPr="000E482C">
        <w:rPr>
          <w:highlight w:val="yellow"/>
        </w:rPr>
        <w:t xml:space="preserve">They are also used in the </w:t>
      </w:r>
      <w:r w:rsidR="006E63EC" w:rsidRPr="000E482C">
        <w:rPr>
          <w:rStyle w:val="Bold"/>
          <w:highlight w:val="yellow"/>
        </w:rPr>
        <w:t>TAB roll forward</w:t>
      </w:r>
      <w:r w:rsidR="006E63EC" w:rsidRPr="000E482C">
        <w:rPr>
          <w:highlight w:val="yellow"/>
        </w:rPr>
        <w:t xml:space="preserve"> sheet.</w:t>
      </w:r>
      <w:r w:rsidR="006E63EC">
        <w:t xml:space="preserve"> </w:t>
      </w:r>
      <w:r w:rsidRPr="000B4909">
        <w:t xml:space="preserve">These </w:t>
      </w:r>
      <w:r w:rsidR="00E804C3">
        <w:t>values</w:t>
      </w:r>
      <w:r w:rsidRPr="000B4909">
        <w:t xml:space="preserve"> are assumed to be in middle of the year terms</w:t>
      </w:r>
      <w:r w:rsidR="006E63EC">
        <w:t>,</w:t>
      </w:r>
      <w:r w:rsidRPr="000B4909">
        <w:t xml:space="preserve"> based on the final year of the previous regulatory control period real dollar terms. </w:t>
      </w:r>
    </w:p>
    <w:p w:rsidR="000B4909" w:rsidRPr="000B4909" w:rsidRDefault="000B4909" w:rsidP="000E482C">
      <w:pPr>
        <w:pStyle w:val="Heading3"/>
      </w:pPr>
      <w:bookmarkStart w:id="32" w:name="_Toc422832944"/>
      <w:bookmarkStart w:id="33" w:name="_Toc423696196"/>
      <w:r w:rsidRPr="000B4909">
        <w:t>Inflation and rate of return</w:t>
      </w:r>
      <w:bookmarkEnd w:id="32"/>
      <w:bookmarkEnd w:id="33"/>
    </w:p>
    <w:p w:rsidR="000B4909" w:rsidRPr="000B4909" w:rsidRDefault="000B4909" w:rsidP="000B4909">
      <w:r w:rsidRPr="000B4909">
        <w:t xml:space="preserve">This section records the actual annual inflation rates (based on the consumer price index) over the current regulatory control period and in the previous regulatory control period (rows </w:t>
      </w:r>
      <w:r w:rsidR="0017602A">
        <w:t>38</w:t>
      </w:r>
      <w:r w:rsidRPr="000B4909">
        <w:t xml:space="preserve">5 to </w:t>
      </w:r>
      <w:r w:rsidR="0017602A">
        <w:t>38</w:t>
      </w:r>
      <w:r w:rsidRPr="000B4909">
        <w:t xml:space="preserve">6). It also records the forecast inflation and weighted average cost of capital (WACC) rates used in the revenue determinations corresponding to the two regulatory control periods (rows </w:t>
      </w:r>
      <w:r w:rsidR="0017602A">
        <w:t>38</w:t>
      </w:r>
      <w:r w:rsidRPr="000B4909">
        <w:t xml:space="preserve">7 to </w:t>
      </w:r>
      <w:r w:rsidR="0017602A">
        <w:t>39</w:t>
      </w:r>
      <w:r w:rsidRPr="000B4909">
        <w:t xml:space="preserve">2). These parameters are linked to the </w:t>
      </w:r>
      <w:r w:rsidRPr="003A48E6">
        <w:rPr>
          <w:rStyle w:val="Strong"/>
        </w:rPr>
        <w:t>Adjustment for previous period</w:t>
      </w:r>
      <w:r w:rsidRPr="000B4909">
        <w:t xml:space="preserve"> and </w:t>
      </w:r>
      <w:r w:rsidRPr="003A48E6">
        <w:rPr>
          <w:rStyle w:val="Strong"/>
        </w:rPr>
        <w:t>RAB roll forward</w:t>
      </w:r>
      <w:r w:rsidRPr="000B4909">
        <w:t xml:space="preserve"> sheets.</w:t>
      </w:r>
    </w:p>
    <w:p w:rsidR="006F5D26" w:rsidRPr="006F5D26" w:rsidRDefault="006F5D26" w:rsidP="006F5D26">
      <w:pPr>
        <w:pStyle w:val="Heading3"/>
        <w:rPr>
          <w:highlight w:val="yellow"/>
        </w:rPr>
      </w:pPr>
      <w:bookmarkStart w:id="34" w:name="_Toc423696197"/>
      <w:bookmarkStart w:id="35" w:name="_Toc422832945"/>
      <w:r w:rsidRPr="006F5D26">
        <w:rPr>
          <w:highlight w:val="yellow"/>
        </w:rPr>
        <w:t>Real straight-line depreciation option</w:t>
      </w:r>
      <w:bookmarkEnd w:id="34"/>
    </w:p>
    <w:bookmarkEnd w:id="35"/>
    <w:p w:rsidR="008279B5" w:rsidRPr="000E482C" w:rsidRDefault="008279B5" w:rsidP="008279B5">
      <w:pPr>
        <w:rPr>
          <w:highlight w:val="yellow"/>
        </w:rPr>
      </w:pPr>
      <w:r w:rsidRPr="000E482C">
        <w:rPr>
          <w:highlight w:val="yellow"/>
        </w:rPr>
        <w:t xml:space="preserve">The RFM provides the user an option </w:t>
      </w:r>
      <w:r w:rsidR="001D245B" w:rsidRPr="000E482C">
        <w:rPr>
          <w:highlight w:val="yellow"/>
        </w:rPr>
        <w:t xml:space="preserve">at cell E396 (drop down function) </w:t>
      </w:r>
      <w:r w:rsidRPr="000E482C">
        <w:rPr>
          <w:highlight w:val="yellow"/>
        </w:rPr>
        <w:t>to select the RAB roll forward to be undertaken using forecast straight-line depreciation or actual straight-line depreciation</w:t>
      </w:r>
      <w:r w:rsidR="001D245B" w:rsidRPr="000E482C">
        <w:rPr>
          <w:highlight w:val="yellow"/>
        </w:rPr>
        <w:t xml:space="preserve">. If </w:t>
      </w:r>
      <w:r w:rsidRPr="000E482C">
        <w:rPr>
          <w:highlight w:val="yellow"/>
        </w:rPr>
        <w:t xml:space="preserve">forecast depreciation is selected, the RAB roll forward calculations </w:t>
      </w:r>
      <w:r w:rsidR="001D245B" w:rsidRPr="000E482C">
        <w:rPr>
          <w:highlight w:val="yellow"/>
        </w:rPr>
        <w:t xml:space="preserve">will use the depreciation inputs at section </w:t>
      </w:r>
      <w:r w:rsidR="001D245B" w:rsidRPr="000E482C">
        <w:rPr>
          <w:highlight w:val="yellow"/>
        </w:rPr>
        <w:fldChar w:fldCharType="begin"/>
      </w:r>
      <w:r w:rsidR="001D245B" w:rsidRPr="000E482C">
        <w:rPr>
          <w:highlight w:val="yellow"/>
        </w:rPr>
        <w:instrText xml:space="preserve"> REF _Ref421689841 \r \h </w:instrText>
      </w:r>
      <w:r w:rsidR="000E482C">
        <w:rPr>
          <w:highlight w:val="yellow"/>
        </w:rPr>
        <w:instrText xml:space="preserve"> \* MERGEFORMAT </w:instrText>
      </w:r>
      <w:r w:rsidR="001D245B" w:rsidRPr="000E482C">
        <w:rPr>
          <w:highlight w:val="yellow"/>
        </w:rPr>
      </w:r>
      <w:r w:rsidR="001D245B" w:rsidRPr="000E482C">
        <w:rPr>
          <w:highlight w:val="yellow"/>
        </w:rPr>
        <w:fldChar w:fldCharType="separate"/>
      </w:r>
      <w:r w:rsidR="00F92CE8">
        <w:rPr>
          <w:highlight w:val="yellow"/>
        </w:rPr>
        <w:t>2.3.10</w:t>
      </w:r>
      <w:r w:rsidR="001D245B" w:rsidRPr="000E482C">
        <w:rPr>
          <w:highlight w:val="yellow"/>
        </w:rPr>
        <w:fldChar w:fldCharType="end"/>
      </w:r>
      <w:r w:rsidR="001D245B" w:rsidRPr="000E482C">
        <w:rPr>
          <w:highlight w:val="yellow"/>
        </w:rPr>
        <w:t xml:space="preserve"> which reflect the approved forecasts for the current regulatory control period. If actual depreciation is selected, the RAB roll forward calculations will use actual capex to calculate depreciation. </w:t>
      </w:r>
    </w:p>
    <w:p w:rsidR="006F5D26" w:rsidRPr="006F5D26" w:rsidRDefault="006F5D26" w:rsidP="006F5D26">
      <w:pPr>
        <w:pStyle w:val="Heading3"/>
        <w:rPr>
          <w:highlight w:val="yellow"/>
        </w:rPr>
      </w:pPr>
      <w:bookmarkStart w:id="36" w:name="_Toc423696198"/>
      <w:bookmarkStart w:id="37" w:name="_Ref421885037"/>
      <w:bookmarkStart w:id="38" w:name="_Toc422832946"/>
      <w:bookmarkStart w:id="39" w:name="_Ref421689841"/>
      <w:r w:rsidRPr="006F5D26">
        <w:rPr>
          <w:highlight w:val="yellow"/>
        </w:rPr>
        <w:t>Forecast real straight-line depreciation</w:t>
      </w:r>
      <w:bookmarkEnd w:id="36"/>
    </w:p>
    <w:bookmarkEnd w:id="37"/>
    <w:bookmarkEnd w:id="38"/>
    <w:bookmarkEnd w:id="39"/>
    <w:p w:rsidR="001D245B" w:rsidRPr="000E482C" w:rsidRDefault="001D245B" w:rsidP="001D245B">
      <w:pPr>
        <w:rPr>
          <w:highlight w:val="yellow"/>
        </w:rPr>
      </w:pPr>
      <w:r w:rsidRPr="000E482C">
        <w:rPr>
          <w:highlight w:val="yellow"/>
        </w:rPr>
        <w:t>When the forecast depreciation option is selected, the approved forecast real straight-line depreciation values for each year are recorded at rows 401 to 450. Otherwise, there is no need to record any inputs in this section if actual depreciation is selected.</w:t>
      </w:r>
      <w:r w:rsidR="00565620" w:rsidRPr="000E482C">
        <w:rPr>
          <w:highlight w:val="yellow"/>
        </w:rPr>
        <w:t xml:space="preserve"> </w:t>
      </w:r>
      <w:r w:rsidRPr="000E482C">
        <w:rPr>
          <w:highlight w:val="yellow"/>
        </w:rPr>
        <w:t>The</w:t>
      </w:r>
      <w:r w:rsidR="00565620" w:rsidRPr="000E482C">
        <w:rPr>
          <w:highlight w:val="yellow"/>
        </w:rPr>
        <w:t xml:space="preserve"> approved forecast depreciation</w:t>
      </w:r>
      <w:r w:rsidRPr="000E482C">
        <w:rPr>
          <w:highlight w:val="yellow"/>
        </w:rPr>
        <w:t xml:space="preserve"> values would be contained in the </w:t>
      </w:r>
      <w:r w:rsidR="00565620" w:rsidRPr="000E482C">
        <w:rPr>
          <w:highlight w:val="yellow"/>
        </w:rPr>
        <w:t>PTRM</w:t>
      </w:r>
      <w:r w:rsidRPr="000E482C">
        <w:rPr>
          <w:highlight w:val="yellow"/>
        </w:rPr>
        <w:t xml:space="preserve"> used for the current revenue determination for the TNSP. These values are linked to the </w:t>
      </w:r>
      <w:r w:rsidR="00565620" w:rsidRPr="000E482C">
        <w:rPr>
          <w:rStyle w:val="Strong"/>
          <w:highlight w:val="yellow"/>
        </w:rPr>
        <w:t>RAB roll forward</w:t>
      </w:r>
      <w:r w:rsidRPr="000E482C">
        <w:rPr>
          <w:highlight w:val="yellow"/>
        </w:rPr>
        <w:t xml:space="preserve"> sheet.</w:t>
      </w:r>
    </w:p>
    <w:p w:rsidR="006F5D26" w:rsidRPr="006F5D26" w:rsidRDefault="006F5D26" w:rsidP="006F5D26">
      <w:pPr>
        <w:pStyle w:val="Heading3"/>
        <w:rPr>
          <w:highlight w:val="yellow"/>
        </w:rPr>
      </w:pPr>
      <w:bookmarkStart w:id="40" w:name="_Toc423696199"/>
      <w:bookmarkStart w:id="41" w:name="_Toc422832947"/>
      <w:r w:rsidRPr="006F5D26">
        <w:rPr>
          <w:highlight w:val="yellow"/>
        </w:rPr>
        <w:t>Forecast nominal final year asset adjustments</w:t>
      </w:r>
      <w:bookmarkEnd w:id="40"/>
    </w:p>
    <w:bookmarkEnd w:id="41"/>
    <w:p w:rsidR="001D245B" w:rsidRPr="000B4909" w:rsidRDefault="00565620" w:rsidP="00565620">
      <w:r w:rsidRPr="000E482C">
        <w:rPr>
          <w:highlight w:val="yellow"/>
        </w:rPr>
        <w:t xml:space="preserve">Some TNSPs </w:t>
      </w:r>
      <w:r w:rsidR="00396D48" w:rsidRPr="000E482C">
        <w:rPr>
          <w:highlight w:val="yellow"/>
        </w:rPr>
        <w:t xml:space="preserve">may need to adjust their closing RAB at the end of the current regulatory control period for asset movements (such as a change in service classification). These values are recorded in rows 455 to 504 and are linked to the </w:t>
      </w:r>
      <w:r w:rsidR="00396D48" w:rsidRPr="000E482C">
        <w:rPr>
          <w:rStyle w:val="Strong"/>
          <w:highlight w:val="yellow"/>
        </w:rPr>
        <w:t>Total RAB roll forward and TAB roll forward</w:t>
      </w:r>
      <w:r w:rsidR="00396D48" w:rsidRPr="000E482C">
        <w:rPr>
          <w:highlight w:val="yellow"/>
        </w:rPr>
        <w:t xml:space="preserve"> sheets.</w:t>
      </w:r>
    </w:p>
    <w:p w:rsidR="000B4909" w:rsidRPr="000B4909" w:rsidRDefault="000B4909" w:rsidP="003671EE">
      <w:pPr>
        <w:pStyle w:val="Heading2"/>
      </w:pPr>
      <w:bookmarkStart w:id="42" w:name="_Toc423696200"/>
      <w:r w:rsidRPr="000B4909">
        <w:t>Adjustment for previous period sheet</w:t>
      </w:r>
      <w:bookmarkEnd w:id="42"/>
    </w:p>
    <w:p w:rsidR="000B4909" w:rsidRPr="000B4909" w:rsidRDefault="000B4909" w:rsidP="000B4909">
      <w:r w:rsidRPr="000E482C">
        <w:rPr>
          <w:highlight w:val="yellow"/>
        </w:rPr>
        <w:t xml:space="preserve">The </w:t>
      </w:r>
      <w:r w:rsidRPr="000E482C">
        <w:rPr>
          <w:rStyle w:val="Strong"/>
          <w:highlight w:val="yellow"/>
        </w:rPr>
        <w:t>Adjustment for previous period</w:t>
      </w:r>
      <w:r w:rsidRPr="000E482C">
        <w:rPr>
          <w:highlight w:val="yellow"/>
        </w:rPr>
        <w:t xml:space="preserve"> sheet </w:t>
      </w:r>
      <w:r w:rsidR="00F04A31" w:rsidRPr="000E482C">
        <w:rPr>
          <w:highlight w:val="yellow"/>
        </w:rPr>
        <w:t xml:space="preserve">calculates the required true-up of RAB </w:t>
      </w:r>
      <w:r w:rsidRPr="000E482C">
        <w:rPr>
          <w:highlight w:val="yellow"/>
        </w:rPr>
        <w:t>adjust</w:t>
      </w:r>
      <w:r w:rsidR="00F04A31" w:rsidRPr="000E482C">
        <w:rPr>
          <w:highlight w:val="yellow"/>
        </w:rPr>
        <w:t>ment</w:t>
      </w:r>
      <w:r w:rsidRPr="000E482C">
        <w:rPr>
          <w:highlight w:val="yellow"/>
        </w:rPr>
        <w:t xml:space="preserve">s </w:t>
      </w:r>
      <w:r w:rsidR="00E804C3">
        <w:rPr>
          <w:highlight w:val="yellow"/>
        </w:rPr>
        <w:t xml:space="preserve">to be </w:t>
      </w:r>
      <w:r w:rsidR="00F04A31" w:rsidRPr="000E482C">
        <w:rPr>
          <w:highlight w:val="yellow"/>
        </w:rPr>
        <w:t xml:space="preserve">made </w:t>
      </w:r>
      <w:r w:rsidR="00E804C3">
        <w:rPr>
          <w:highlight w:val="yellow"/>
        </w:rPr>
        <w:t>for</w:t>
      </w:r>
      <w:r w:rsidRPr="000E482C">
        <w:rPr>
          <w:highlight w:val="yellow"/>
        </w:rPr>
        <w:t xml:space="preserve"> the final year of the previous regulatory control period </w:t>
      </w:r>
      <w:r w:rsidR="00F04A31" w:rsidRPr="000E482C">
        <w:rPr>
          <w:highlight w:val="yellow"/>
        </w:rPr>
        <w:t>for forecast and actual net capex values.</w:t>
      </w:r>
      <w:r w:rsidRPr="000B4909">
        <w:t xml:space="preserve"> </w:t>
      </w:r>
    </w:p>
    <w:p w:rsidR="000B4909" w:rsidRPr="000B4909" w:rsidRDefault="000B4909" w:rsidP="000B4909">
      <w:r w:rsidRPr="000B4909">
        <w:t>Th</w:t>
      </w:r>
      <w:r w:rsidR="00F04A31">
        <w:t>is</w:t>
      </w:r>
      <w:r w:rsidRPr="000B4909">
        <w:t xml:space="preserve"> adjustment</w:t>
      </w:r>
      <w:r w:rsidR="00F04A31">
        <w:t xml:space="preserve"> i</w:t>
      </w:r>
      <w:r w:rsidRPr="000B4909">
        <w:t>s consistent with the requirements of clause S6A.2.1</w:t>
      </w:r>
      <w:r w:rsidR="00E05F31">
        <w:t>(f)(3)</w:t>
      </w:r>
      <w:r w:rsidRPr="000B4909">
        <w:t xml:space="preserve"> of the NER, which specifies that a reconciliation would include adjustments that remove any benefit or penalty on the returns associated with any difference between the forecast and actual capex values for the final year of the previous regulatory control period.</w:t>
      </w:r>
    </w:p>
    <w:p w:rsidR="00841C2E" w:rsidRDefault="00F04A31" w:rsidP="000B4909">
      <w:r w:rsidRPr="006F5D26">
        <w:rPr>
          <w:highlight w:val="yellow"/>
        </w:rPr>
        <w:t>T</w:t>
      </w:r>
      <w:r w:rsidR="000B4909" w:rsidRPr="006F5D26">
        <w:rPr>
          <w:highlight w:val="yellow"/>
        </w:rPr>
        <w:t xml:space="preserve">his sheet calculates the difference between forecast and actual net capex </w:t>
      </w:r>
      <w:r w:rsidRPr="006F5D26">
        <w:rPr>
          <w:highlight w:val="yellow"/>
        </w:rPr>
        <w:t xml:space="preserve">(as-incurred) </w:t>
      </w:r>
      <w:r w:rsidR="000B4909" w:rsidRPr="006F5D26">
        <w:rPr>
          <w:highlight w:val="yellow"/>
        </w:rPr>
        <w:t>for the final year of the previous regulatory control period, as well as the aggregate compounded return on that difference (rows 1</w:t>
      </w:r>
      <w:r w:rsidR="00324ACF" w:rsidRPr="006F5D26">
        <w:rPr>
          <w:highlight w:val="yellow"/>
        </w:rPr>
        <w:t>3</w:t>
      </w:r>
      <w:r w:rsidR="000B4909" w:rsidRPr="006F5D26">
        <w:rPr>
          <w:highlight w:val="yellow"/>
        </w:rPr>
        <w:t xml:space="preserve"> to </w:t>
      </w:r>
      <w:r w:rsidR="00324ACF" w:rsidRPr="006F5D26">
        <w:rPr>
          <w:highlight w:val="yellow"/>
        </w:rPr>
        <w:t>270</w:t>
      </w:r>
      <w:r w:rsidR="000B4909" w:rsidRPr="006F5D26">
        <w:rPr>
          <w:highlight w:val="yellow"/>
        </w:rPr>
        <w:t xml:space="preserve">). This adjustment is made to the closing RAB </w:t>
      </w:r>
      <w:r w:rsidR="00D11BAA" w:rsidRPr="006F5D26">
        <w:rPr>
          <w:highlight w:val="yellow"/>
        </w:rPr>
        <w:t xml:space="preserve">(partially as-incurred) </w:t>
      </w:r>
      <w:r w:rsidR="000B4909" w:rsidRPr="006F5D26">
        <w:rPr>
          <w:highlight w:val="yellow"/>
        </w:rPr>
        <w:t xml:space="preserve">at the end of the current regulatory control period in the </w:t>
      </w:r>
      <w:r w:rsidR="000B4909" w:rsidRPr="006F5D26">
        <w:rPr>
          <w:rStyle w:val="Strong"/>
          <w:highlight w:val="yellow"/>
        </w:rPr>
        <w:t>Total RAB roll forward</w:t>
      </w:r>
      <w:r w:rsidR="000B4909" w:rsidRPr="006F5D26">
        <w:rPr>
          <w:highlight w:val="yellow"/>
        </w:rPr>
        <w:t xml:space="preserve"> sheet.</w:t>
      </w:r>
      <w:r w:rsidR="000B4909" w:rsidRPr="000B4909">
        <w:t xml:space="preserve"> </w:t>
      </w:r>
    </w:p>
    <w:p w:rsidR="000B4909" w:rsidRDefault="000B4909" w:rsidP="000B4909">
      <w:r w:rsidRPr="000B4909">
        <w:t>This two-step process is outlined in</w:t>
      </w:r>
      <w:r w:rsidR="00F27D32">
        <w:t xml:space="preserve"> </w:t>
      </w:r>
      <w:r w:rsidR="00F27D32">
        <w:fldChar w:fldCharType="begin"/>
      </w:r>
      <w:r w:rsidR="00F27D32">
        <w:instrText xml:space="preserve"> REF _Ref420594458 \h </w:instrText>
      </w:r>
      <w:r w:rsidR="00F27D32">
        <w:fldChar w:fldCharType="separate"/>
      </w:r>
      <w:r w:rsidR="00F92CE8">
        <w:t xml:space="preserve">Box </w:t>
      </w:r>
      <w:r w:rsidR="00F92CE8">
        <w:rPr>
          <w:noProof/>
        </w:rPr>
        <w:t>1</w:t>
      </w:r>
      <w:r w:rsidR="00F27D32">
        <w:fldChar w:fldCharType="end"/>
      </w:r>
      <w:r w:rsidRPr="000B4909">
        <w:t>.</w:t>
      </w:r>
    </w:p>
    <w:p w:rsidR="00841C2E" w:rsidRDefault="00841C2E" w:rsidP="000B4909"/>
    <w:p w:rsidR="00841C2E" w:rsidRDefault="00841C2E" w:rsidP="000B4909"/>
    <w:p w:rsidR="00841C2E" w:rsidRDefault="00841C2E" w:rsidP="000B4909"/>
    <w:p w:rsidR="00841C2E" w:rsidRDefault="00841C2E" w:rsidP="000B4909"/>
    <w:p w:rsidR="00841C2E" w:rsidRDefault="00841C2E" w:rsidP="000B4909"/>
    <w:p w:rsidR="00841C2E" w:rsidRDefault="00841C2E" w:rsidP="000B4909"/>
    <w:p w:rsidR="00841C2E" w:rsidRDefault="00841C2E" w:rsidP="000B4909"/>
    <w:tbl>
      <w:tblPr>
        <w:tblStyle w:val="AERTable-Text"/>
        <w:tblW w:w="0" w:type="auto"/>
        <w:tblLook w:val="04A0" w:firstRow="1" w:lastRow="0" w:firstColumn="1" w:lastColumn="0" w:noHBand="0" w:noVBand="1"/>
      </w:tblPr>
      <w:tblGrid>
        <w:gridCol w:w="9242"/>
      </w:tblGrid>
      <w:tr w:rsidR="00B223FB" w:rsidTr="00B223FB">
        <w:trPr>
          <w:cnfStyle w:val="100000000000" w:firstRow="1" w:lastRow="0" w:firstColumn="0" w:lastColumn="0" w:oddVBand="0" w:evenVBand="0" w:oddHBand="0" w:evenHBand="0" w:firstRowFirstColumn="0" w:firstRowLastColumn="0" w:lastRowFirstColumn="0" w:lastRowLastColumn="0"/>
        </w:trPr>
        <w:tc>
          <w:tcPr>
            <w:tcW w:w="9242" w:type="dxa"/>
          </w:tcPr>
          <w:p w:rsidR="00B223FB" w:rsidRDefault="00F27D32" w:rsidP="00132ADA">
            <w:pPr>
              <w:pStyle w:val="Tabletext"/>
            </w:pPr>
            <w:bookmarkStart w:id="43" w:name="_Ref420594458"/>
            <w:r>
              <w:t xml:space="preserve">Box </w:t>
            </w:r>
            <w:fldSimple w:instr=" SEQ Box \* ARABIC ">
              <w:r w:rsidR="00F92CE8">
                <w:rPr>
                  <w:noProof/>
                </w:rPr>
                <w:t>1</w:t>
              </w:r>
            </w:fldSimple>
            <w:bookmarkEnd w:id="43"/>
            <w:r>
              <w:t xml:space="preserve"> </w:t>
            </w:r>
            <w:r w:rsidRPr="00F27D32">
              <w:tab/>
              <w:t xml:space="preserve">Adjusting for actual capex </w:t>
            </w:r>
            <w:r w:rsidR="00D11BAA">
              <w:t xml:space="preserve">(as-incurred) </w:t>
            </w:r>
            <w:r w:rsidRPr="00F27D32">
              <w:t>in the final y</w:t>
            </w:r>
            <w:r>
              <w:t xml:space="preserve">ear of the previous regulatory </w:t>
            </w:r>
            <w:r w:rsidR="00D11BAA">
              <w:tab/>
            </w:r>
            <w:r w:rsidR="00D11BAA">
              <w:tab/>
            </w:r>
            <w:r w:rsidR="00D11BAA">
              <w:tab/>
            </w:r>
            <w:r w:rsidRPr="00F27D32">
              <w:t>control period</w:t>
            </w:r>
          </w:p>
        </w:tc>
      </w:tr>
      <w:tr w:rsidR="00B223FB" w:rsidTr="00B223FB">
        <w:tc>
          <w:tcPr>
            <w:tcW w:w="9242" w:type="dxa"/>
          </w:tcPr>
          <w:p w:rsidR="00F27D32" w:rsidRPr="006F5D26" w:rsidRDefault="00B223FB" w:rsidP="006F5D26">
            <w:pPr>
              <w:pStyle w:val="Tabletext"/>
              <w:rPr>
                <w:rStyle w:val="Bold"/>
              </w:rPr>
            </w:pPr>
            <w:r w:rsidRPr="006F5D26">
              <w:rPr>
                <w:rStyle w:val="Bold"/>
              </w:rPr>
              <w:t xml:space="preserve">1)  </w:t>
            </w:r>
            <w:r w:rsidR="00324ACF" w:rsidRPr="006F5D26">
              <w:rPr>
                <w:rStyle w:val="Bold"/>
              </w:rPr>
              <w:tab/>
            </w:r>
            <w:r w:rsidRPr="006F5D26">
              <w:rPr>
                <w:rStyle w:val="Bold"/>
              </w:rPr>
              <w:t>Calculating the difference between actual and forecast net capex</w:t>
            </w:r>
            <w:r w:rsidR="00D11BAA" w:rsidRPr="006F5D26">
              <w:rPr>
                <w:rStyle w:val="Bold"/>
              </w:rPr>
              <w:t xml:space="preserve"> (as-incurred)</w:t>
            </w:r>
          </w:p>
          <w:p w:rsidR="00324ACF" w:rsidRDefault="00F27D32" w:rsidP="006F5D26">
            <w:pPr>
              <w:pStyle w:val="Tabletext"/>
            </w:pPr>
            <w:r w:rsidRPr="000B4909">
              <w:t xml:space="preserve">    </w:t>
            </w:r>
            <w:r w:rsidR="00324ACF">
              <w:tab/>
            </w:r>
            <w:r w:rsidRPr="000B4909">
              <w:t>Nominal actual net capex (</w:t>
            </w:r>
            <w:r w:rsidR="00D11BAA">
              <w:t xml:space="preserve">as-incurred, </w:t>
            </w:r>
            <w:r w:rsidRPr="000B4909">
              <w:t>including a half-nominal vanilla WACC allowance)</w:t>
            </w:r>
            <w:r w:rsidR="00324ACF">
              <w:t xml:space="preserve"> </w:t>
            </w:r>
            <w:r w:rsidRPr="000B4909">
              <w:t xml:space="preserve">– </w:t>
            </w:r>
          </w:p>
          <w:p w:rsidR="00324ACF" w:rsidRDefault="00324ACF" w:rsidP="006F5D26">
            <w:pPr>
              <w:pStyle w:val="Tabletext"/>
            </w:pPr>
            <w:r>
              <w:t xml:space="preserve">    </w:t>
            </w:r>
            <w:r>
              <w:tab/>
            </w:r>
            <w:r w:rsidR="00F27D32" w:rsidRPr="000B4909">
              <w:t>Nominal forecast net capex (</w:t>
            </w:r>
            <w:r w:rsidR="00D11BAA">
              <w:t xml:space="preserve">as-incurred, </w:t>
            </w:r>
            <w:r w:rsidR="00F27D32" w:rsidRPr="000B4909">
              <w:t>including a half-nominal vanilla WACC allowance)</w:t>
            </w:r>
            <w:r>
              <w:t xml:space="preserve"> </w:t>
            </w:r>
            <w:r w:rsidR="00F27D32" w:rsidRPr="000B4909">
              <w:t xml:space="preserve">= </w:t>
            </w:r>
          </w:p>
          <w:p w:rsidR="00F27D32" w:rsidRDefault="00324ACF" w:rsidP="006F5D26">
            <w:pPr>
              <w:pStyle w:val="Tabletext"/>
            </w:pPr>
            <w:r>
              <w:tab/>
            </w:r>
            <w:r w:rsidR="00F27D32" w:rsidRPr="009876E9">
              <w:rPr>
                <w:highlight w:val="yellow"/>
              </w:rPr>
              <w:t>Nominal difference between forecast and actual net capex</w:t>
            </w:r>
            <w:r w:rsidR="00D11BAA" w:rsidRPr="009876E9">
              <w:rPr>
                <w:highlight w:val="yellow"/>
              </w:rPr>
              <w:t xml:space="preserve"> (as-incurred)</w:t>
            </w:r>
            <w:r w:rsidR="00AF0B2C" w:rsidRPr="009876E9">
              <w:rPr>
                <w:highlight w:val="yellow"/>
              </w:rPr>
              <w:t>.</w:t>
            </w:r>
          </w:p>
          <w:p w:rsidR="00B223FB" w:rsidRDefault="00F27D32" w:rsidP="006F5D26">
            <w:pPr>
              <w:pStyle w:val="Tabletext"/>
              <w:rPr>
                <w:rStyle w:val="Bold"/>
              </w:rPr>
            </w:pPr>
            <w:r w:rsidRPr="006F5D26">
              <w:rPr>
                <w:rStyle w:val="Bold"/>
              </w:rPr>
              <w:t xml:space="preserve">2)  </w:t>
            </w:r>
            <w:r w:rsidR="00D11BAA" w:rsidRPr="006F5D26">
              <w:rPr>
                <w:rStyle w:val="Bold"/>
              </w:rPr>
              <w:tab/>
            </w:r>
            <w:r w:rsidRPr="006F5D26">
              <w:rPr>
                <w:rStyle w:val="Bold"/>
              </w:rPr>
              <w:t xml:space="preserve">Calculating the </w:t>
            </w:r>
            <w:r w:rsidR="003746D4">
              <w:rPr>
                <w:rStyle w:val="Bold"/>
              </w:rPr>
              <w:t xml:space="preserve">nominal </w:t>
            </w:r>
            <w:r w:rsidRPr="006F5D26">
              <w:rPr>
                <w:rStyle w:val="Bold"/>
              </w:rPr>
              <w:t xml:space="preserve">return on the difference and compounding it for each year of the </w:t>
            </w:r>
            <w:r w:rsidR="003746D4">
              <w:rPr>
                <w:rStyle w:val="Bold"/>
              </w:rPr>
              <w:tab/>
            </w:r>
            <w:r w:rsidRPr="006F5D26">
              <w:rPr>
                <w:rStyle w:val="Bold"/>
              </w:rPr>
              <w:t>current regulatory control period</w:t>
            </w:r>
          </w:p>
          <w:p w:rsidR="00183124" w:rsidRPr="006F5D26" w:rsidRDefault="00183124" w:rsidP="004A224D">
            <w:pPr>
              <w:pStyle w:val="Tabletext"/>
              <w:rPr>
                <w:rStyle w:val="Bold"/>
              </w:rPr>
            </w:pPr>
            <w:r w:rsidRPr="000B4909">
              <w:t xml:space="preserve">    </w:t>
            </w:r>
            <w:r>
              <w:tab/>
            </w:r>
            <w:r w:rsidRPr="009876E9">
              <w:rPr>
                <w:highlight w:val="yellow"/>
              </w:rPr>
              <w:t>Nominal difference between forecast and actual net capex (as-</w:t>
            </w:r>
            <w:r w:rsidRPr="004A224D">
              <w:rPr>
                <w:highlight w:val="yellow"/>
              </w:rPr>
              <w:t xml:space="preserve">incurred) x nominal vanilla WACC </w:t>
            </w:r>
            <w:r w:rsidRPr="004A224D">
              <w:rPr>
                <w:highlight w:val="yellow"/>
              </w:rPr>
              <w:tab/>
              <w:t>per annum (compounded)</w:t>
            </w:r>
            <w:r>
              <w:t xml:space="preserve">    </w:t>
            </w:r>
            <w:r>
              <w:tab/>
            </w:r>
          </w:p>
        </w:tc>
      </w:tr>
      <w:tr w:rsidR="00B223FB" w:rsidTr="00B223FB">
        <w:trPr>
          <w:cnfStyle w:val="000000010000" w:firstRow="0" w:lastRow="0" w:firstColumn="0" w:lastColumn="0" w:oddVBand="0" w:evenVBand="0" w:oddHBand="0" w:evenHBand="1" w:firstRowFirstColumn="0" w:firstRowLastColumn="0" w:lastRowFirstColumn="0" w:lastRowLastColumn="0"/>
        </w:trPr>
        <w:tc>
          <w:tcPr>
            <w:tcW w:w="9242" w:type="dxa"/>
          </w:tcPr>
          <w:p w:rsidR="00B223FB" w:rsidRPr="000B4909" w:rsidRDefault="00B223FB" w:rsidP="00B223FB">
            <w:r w:rsidRPr="000B4909">
              <w:t>Note</w:t>
            </w:r>
            <w:r w:rsidR="00AF0B2C">
              <w:t>s</w:t>
            </w:r>
            <w:r w:rsidRPr="000B4909">
              <w:t>:</w:t>
            </w:r>
          </w:p>
          <w:p w:rsidR="00B223FB" w:rsidRPr="000B4909" w:rsidRDefault="00B223FB" w:rsidP="00B223FB">
            <w:pPr>
              <w:pStyle w:val="ListBullet"/>
            </w:pPr>
            <w:r w:rsidRPr="000B4909">
              <w:t xml:space="preserve">Nominal forecast net capex </w:t>
            </w:r>
            <w:r w:rsidR="00D11BAA">
              <w:t xml:space="preserve">(as-incurred) </w:t>
            </w:r>
            <w:r w:rsidRPr="000B4909">
              <w:t xml:space="preserve">= </w:t>
            </w:r>
            <w:r w:rsidR="003746D4">
              <w:t>estimated</w:t>
            </w:r>
            <w:r w:rsidR="003746D4" w:rsidRPr="000B4909">
              <w:t xml:space="preserve"> </w:t>
            </w:r>
            <w:r w:rsidR="00AF0B2C">
              <w:t xml:space="preserve">incurred </w:t>
            </w:r>
            <w:r w:rsidRPr="000B4909">
              <w:t>net capex allowed in the final year of the previous regulatory control period.</w:t>
            </w:r>
          </w:p>
          <w:p w:rsidR="00B223FB" w:rsidRPr="000B4909" w:rsidRDefault="00B223FB" w:rsidP="00B223FB">
            <w:pPr>
              <w:pStyle w:val="ListBullet"/>
            </w:pPr>
            <w:r w:rsidRPr="000B4909">
              <w:t xml:space="preserve">Nominal actual net capex </w:t>
            </w:r>
            <w:r w:rsidR="00D11BAA">
              <w:t xml:space="preserve">(as-incurred) </w:t>
            </w:r>
            <w:r w:rsidRPr="000B4909">
              <w:t>= actual net capex incurred during the final year of the previous regulatory control period.</w:t>
            </w:r>
          </w:p>
          <w:p w:rsidR="00B223FB" w:rsidRPr="000B4909" w:rsidRDefault="00B223FB" w:rsidP="00B223FB">
            <w:pPr>
              <w:pStyle w:val="ListBullet"/>
            </w:pPr>
            <w:r w:rsidRPr="000B4909">
              <w:t xml:space="preserve">The </w:t>
            </w:r>
            <w:r w:rsidR="003746D4">
              <w:t xml:space="preserve">nominal </w:t>
            </w:r>
            <w:r w:rsidRPr="000B4909">
              <w:t xml:space="preserve">return on the difference between actual and forecast net capex </w:t>
            </w:r>
            <w:r w:rsidR="00D11BAA">
              <w:t xml:space="preserve">(as-incurred) </w:t>
            </w:r>
            <w:r w:rsidRPr="000B4909">
              <w:t>is calculated by applying the nominal vanilla WACC (adjusted for actual inflation) applicable to the current regulatory control period (as determined in the current revenue determination).</w:t>
            </w:r>
          </w:p>
          <w:p w:rsidR="00B223FB" w:rsidRDefault="00B223FB" w:rsidP="00D11BAA">
            <w:pPr>
              <w:pStyle w:val="ListBullet"/>
            </w:pPr>
            <w:r w:rsidRPr="000B4909">
              <w:t xml:space="preserve">Each of these adjustments is made to the final closing RAB </w:t>
            </w:r>
            <w:r w:rsidR="00D11BAA">
              <w:t xml:space="preserve">(partially as-incurred) </w:t>
            </w:r>
            <w:r w:rsidRPr="000B4909">
              <w:t xml:space="preserve">for the current regulatory control period in the </w:t>
            </w:r>
            <w:r w:rsidRPr="003A48E6">
              <w:rPr>
                <w:rStyle w:val="Strong"/>
              </w:rPr>
              <w:t>Total RAB roll forward</w:t>
            </w:r>
            <w:r w:rsidRPr="000B4909">
              <w:t xml:space="preserve"> sheet.</w:t>
            </w:r>
          </w:p>
        </w:tc>
      </w:tr>
    </w:tbl>
    <w:p w:rsidR="00841C2E" w:rsidRDefault="00D11BAA" w:rsidP="000B4909">
      <w:r w:rsidRPr="006F5D26">
        <w:rPr>
          <w:highlight w:val="yellow"/>
        </w:rPr>
        <w:t>T</w:t>
      </w:r>
      <w:r w:rsidR="000B4909" w:rsidRPr="006F5D26">
        <w:rPr>
          <w:highlight w:val="yellow"/>
        </w:rPr>
        <w:t xml:space="preserve">his sheet </w:t>
      </w:r>
      <w:r w:rsidRPr="006F5D26">
        <w:rPr>
          <w:highlight w:val="yellow"/>
        </w:rPr>
        <w:t xml:space="preserve">also </w:t>
      </w:r>
      <w:r w:rsidR="000B4909" w:rsidRPr="006F5D26">
        <w:rPr>
          <w:highlight w:val="yellow"/>
        </w:rPr>
        <w:t xml:space="preserve">calculates the difference between forecast and actual </w:t>
      </w:r>
      <w:r w:rsidRPr="006F5D26">
        <w:rPr>
          <w:highlight w:val="yellow"/>
        </w:rPr>
        <w:t>net capex (as-commissioned)</w:t>
      </w:r>
      <w:r w:rsidR="000B4909" w:rsidRPr="006F5D26">
        <w:rPr>
          <w:highlight w:val="yellow"/>
        </w:rPr>
        <w:t xml:space="preserve"> for the final year of the previous regulatory control period, as well as the aggregate compounded return on th</w:t>
      </w:r>
      <w:r w:rsidRPr="006F5D26">
        <w:rPr>
          <w:highlight w:val="yellow"/>
        </w:rPr>
        <w:t>e</w:t>
      </w:r>
      <w:r w:rsidR="000B4909" w:rsidRPr="006F5D26">
        <w:rPr>
          <w:highlight w:val="yellow"/>
        </w:rPr>
        <w:t xml:space="preserve"> difference</w:t>
      </w:r>
      <w:r w:rsidRPr="006F5D26">
        <w:rPr>
          <w:highlight w:val="yellow"/>
        </w:rPr>
        <w:t xml:space="preserve"> associated with forecast and actual net capex (as-incurred)</w:t>
      </w:r>
      <w:r w:rsidR="000B4909" w:rsidRPr="006F5D26">
        <w:rPr>
          <w:highlight w:val="yellow"/>
        </w:rPr>
        <w:t xml:space="preserve"> (rows </w:t>
      </w:r>
      <w:r w:rsidRPr="006F5D26">
        <w:rPr>
          <w:highlight w:val="yellow"/>
        </w:rPr>
        <w:t>274</w:t>
      </w:r>
      <w:r w:rsidR="000B4909" w:rsidRPr="006F5D26">
        <w:rPr>
          <w:highlight w:val="yellow"/>
        </w:rPr>
        <w:t xml:space="preserve"> to </w:t>
      </w:r>
      <w:r w:rsidRPr="006F5D26">
        <w:rPr>
          <w:highlight w:val="yellow"/>
        </w:rPr>
        <w:t>531</w:t>
      </w:r>
      <w:r w:rsidR="000B4909" w:rsidRPr="006F5D26">
        <w:rPr>
          <w:highlight w:val="yellow"/>
        </w:rPr>
        <w:t>). This adjustment is also made to the closing RAB</w:t>
      </w:r>
      <w:r w:rsidRPr="006F5D26">
        <w:rPr>
          <w:highlight w:val="yellow"/>
        </w:rPr>
        <w:t xml:space="preserve"> (as-commissioned)</w:t>
      </w:r>
      <w:r w:rsidR="000B4909" w:rsidRPr="006F5D26">
        <w:rPr>
          <w:highlight w:val="yellow"/>
        </w:rPr>
        <w:t xml:space="preserve"> at the end of the current regulatory control period in the </w:t>
      </w:r>
      <w:r w:rsidR="000B4909" w:rsidRPr="006F5D26">
        <w:rPr>
          <w:rStyle w:val="Strong"/>
          <w:highlight w:val="yellow"/>
        </w:rPr>
        <w:t xml:space="preserve">Total RAB roll forward </w:t>
      </w:r>
      <w:r w:rsidR="000B4909" w:rsidRPr="006F5D26">
        <w:rPr>
          <w:highlight w:val="yellow"/>
        </w:rPr>
        <w:t>sheet.</w:t>
      </w:r>
      <w:r w:rsidR="000B4909" w:rsidRPr="000B4909">
        <w:t xml:space="preserve"> </w:t>
      </w:r>
    </w:p>
    <w:p w:rsidR="000B4909" w:rsidRPr="000B4909" w:rsidRDefault="000B4909" w:rsidP="000B4909">
      <w:r w:rsidRPr="000B4909">
        <w:t>This two-step process is outlined in</w:t>
      </w:r>
      <w:r w:rsidR="00F27D32">
        <w:t xml:space="preserve"> </w:t>
      </w:r>
      <w:r w:rsidR="00F27D32">
        <w:fldChar w:fldCharType="begin"/>
      </w:r>
      <w:r w:rsidR="00F27D32">
        <w:instrText xml:space="preserve"> REF _Ref420594645 \h </w:instrText>
      </w:r>
      <w:r w:rsidR="00F27D32">
        <w:fldChar w:fldCharType="separate"/>
      </w:r>
      <w:r w:rsidR="00F92CE8">
        <w:t xml:space="preserve">Box </w:t>
      </w:r>
      <w:r w:rsidR="00F92CE8">
        <w:rPr>
          <w:noProof/>
        </w:rPr>
        <w:t>2</w:t>
      </w:r>
      <w:r w:rsidR="00F27D32">
        <w:fldChar w:fldCharType="end"/>
      </w:r>
      <w:r w:rsidRPr="000B4909">
        <w:t>.</w:t>
      </w:r>
    </w:p>
    <w:p w:rsidR="000B4909" w:rsidRDefault="000B4909"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Default="00841C2E" w:rsidP="00F27D32">
      <w:pPr>
        <w:pStyle w:val="NoSpacing"/>
      </w:pPr>
    </w:p>
    <w:p w:rsidR="00841C2E" w:rsidRPr="000B4909" w:rsidRDefault="00841C2E" w:rsidP="00F27D32">
      <w:pPr>
        <w:pStyle w:val="NoSpacing"/>
      </w:pPr>
    </w:p>
    <w:tbl>
      <w:tblPr>
        <w:tblStyle w:val="AERTable-Text"/>
        <w:tblW w:w="9464" w:type="dxa"/>
        <w:tblLook w:val="04A0" w:firstRow="1" w:lastRow="0" w:firstColumn="1" w:lastColumn="0" w:noHBand="0" w:noVBand="1"/>
      </w:tblPr>
      <w:tblGrid>
        <w:gridCol w:w="9464"/>
      </w:tblGrid>
      <w:tr w:rsidR="00B223FB" w:rsidTr="00132ADA">
        <w:trPr>
          <w:cnfStyle w:val="100000000000" w:firstRow="1" w:lastRow="0" w:firstColumn="0" w:lastColumn="0" w:oddVBand="0" w:evenVBand="0" w:oddHBand="0" w:evenHBand="0" w:firstRowFirstColumn="0" w:firstRowLastColumn="0" w:lastRowFirstColumn="0" w:lastRowLastColumn="0"/>
        </w:trPr>
        <w:tc>
          <w:tcPr>
            <w:tcW w:w="9464" w:type="dxa"/>
          </w:tcPr>
          <w:p w:rsidR="00B223FB" w:rsidRDefault="00F27D32" w:rsidP="00132ADA">
            <w:pPr>
              <w:pStyle w:val="Tabletext"/>
            </w:pPr>
            <w:bookmarkStart w:id="44" w:name="_Ref420594645"/>
            <w:r>
              <w:t xml:space="preserve">Box </w:t>
            </w:r>
            <w:fldSimple w:instr=" SEQ Box \* ARABIC ">
              <w:r w:rsidR="00F92CE8">
                <w:rPr>
                  <w:noProof/>
                </w:rPr>
                <w:t>2</w:t>
              </w:r>
            </w:fldSimple>
            <w:bookmarkEnd w:id="44"/>
            <w:r w:rsidRPr="00F27D32">
              <w:t xml:space="preserve"> </w:t>
            </w:r>
            <w:r w:rsidRPr="00F27D32">
              <w:tab/>
              <w:t xml:space="preserve">Adjusting for actual </w:t>
            </w:r>
            <w:r w:rsidR="00D11BAA">
              <w:t>capex (as-commissioned)</w:t>
            </w:r>
            <w:r w:rsidRPr="00F27D32">
              <w:t xml:space="preserve"> in the final year of the previous </w:t>
            </w:r>
            <w:r w:rsidR="00D11BAA">
              <w:tab/>
            </w:r>
            <w:r w:rsidR="00D11BAA">
              <w:tab/>
            </w:r>
            <w:r w:rsidR="00D11BAA">
              <w:tab/>
            </w:r>
            <w:r w:rsidR="00D11BAA">
              <w:tab/>
            </w:r>
            <w:r w:rsidR="00D11BAA">
              <w:tab/>
            </w:r>
            <w:r w:rsidR="007603CB">
              <w:tab/>
            </w:r>
            <w:r w:rsidRPr="00F27D32">
              <w:t>regulatory control period</w:t>
            </w:r>
          </w:p>
        </w:tc>
      </w:tr>
      <w:tr w:rsidR="00B223FB" w:rsidTr="006F5D26">
        <w:tc>
          <w:tcPr>
            <w:tcW w:w="9464" w:type="dxa"/>
          </w:tcPr>
          <w:p w:rsidR="00F27D32" w:rsidRPr="006F5D26" w:rsidRDefault="00B223FB" w:rsidP="00F27D32">
            <w:pPr>
              <w:rPr>
                <w:rStyle w:val="Bold"/>
                <w:highlight w:val="yellow"/>
              </w:rPr>
            </w:pPr>
            <w:r w:rsidRPr="006F5D26">
              <w:rPr>
                <w:rStyle w:val="Bold"/>
                <w:highlight w:val="yellow"/>
              </w:rPr>
              <w:t xml:space="preserve">1)  </w:t>
            </w:r>
            <w:r w:rsidR="004C30B3" w:rsidRPr="006F5D26">
              <w:rPr>
                <w:rStyle w:val="Bold"/>
                <w:highlight w:val="yellow"/>
              </w:rPr>
              <w:tab/>
            </w:r>
            <w:r w:rsidRPr="006F5D26">
              <w:rPr>
                <w:rStyle w:val="Bold"/>
                <w:highlight w:val="yellow"/>
              </w:rPr>
              <w:t xml:space="preserve">Calculating the difference between actual and forecast </w:t>
            </w:r>
            <w:r w:rsidR="004C30B3" w:rsidRPr="006F5D26">
              <w:rPr>
                <w:rStyle w:val="Bold"/>
                <w:highlight w:val="yellow"/>
              </w:rPr>
              <w:t>net capex (as-commissioned)</w:t>
            </w:r>
            <w:r w:rsidR="003746D4" w:rsidRPr="006F5D26">
              <w:rPr>
                <w:rStyle w:val="Bold"/>
                <w:highlight w:val="yellow"/>
              </w:rPr>
              <w:t xml:space="preserve">, indexed </w:t>
            </w:r>
            <w:r w:rsidR="003746D4" w:rsidRPr="006F5D26">
              <w:rPr>
                <w:rStyle w:val="Bold"/>
                <w:highlight w:val="yellow"/>
              </w:rPr>
              <w:tab/>
              <w:t>by actual CPI</w:t>
            </w:r>
          </w:p>
          <w:p w:rsidR="00F27D32" w:rsidRPr="006F5D26" w:rsidRDefault="00F27D32" w:rsidP="00F27D32">
            <w:pPr>
              <w:rPr>
                <w:highlight w:val="yellow"/>
              </w:rPr>
            </w:pPr>
            <w:r w:rsidRPr="006F5D26">
              <w:rPr>
                <w:highlight w:val="yellow"/>
              </w:rPr>
              <w:t xml:space="preserve">    </w:t>
            </w:r>
            <w:r w:rsidR="004C30B3" w:rsidRPr="006F5D26">
              <w:rPr>
                <w:highlight w:val="yellow"/>
              </w:rPr>
              <w:tab/>
            </w:r>
            <w:r w:rsidRPr="006F5D26">
              <w:rPr>
                <w:highlight w:val="yellow"/>
              </w:rPr>
              <w:t xml:space="preserve">Nominal actual </w:t>
            </w:r>
            <w:r w:rsidR="004C30B3" w:rsidRPr="006F5D26">
              <w:rPr>
                <w:highlight w:val="yellow"/>
              </w:rPr>
              <w:t>net capex (as-commissioned, including a half-nominal vanilla WACC allowance) –</w:t>
            </w:r>
          </w:p>
          <w:p w:rsidR="004C30B3" w:rsidRPr="006F5D26" w:rsidRDefault="004C30B3" w:rsidP="00F27D32">
            <w:pPr>
              <w:rPr>
                <w:highlight w:val="yellow"/>
              </w:rPr>
            </w:pPr>
            <w:r w:rsidRPr="006F5D26">
              <w:rPr>
                <w:highlight w:val="yellow"/>
              </w:rPr>
              <w:tab/>
            </w:r>
            <w:r w:rsidR="00F27D32" w:rsidRPr="006F5D26">
              <w:rPr>
                <w:highlight w:val="yellow"/>
              </w:rPr>
              <w:t xml:space="preserve">Nominal forecast </w:t>
            </w:r>
            <w:r w:rsidRPr="006F5D26">
              <w:rPr>
                <w:highlight w:val="yellow"/>
              </w:rPr>
              <w:t>net capex (</w:t>
            </w:r>
            <w:r w:rsidR="00F27D32" w:rsidRPr="006F5D26">
              <w:rPr>
                <w:highlight w:val="yellow"/>
              </w:rPr>
              <w:t>as</w:t>
            </w:r>
            <w:r w:rsidRPr="006F5D26">
              <w:rPr>
                <w:highlight w:val="yellow"/>
              </w:rPr>
              <w:t>-commissioned, including a half-nominal vanilla WACC allowance) =</w:t>
            </w:r>
          </w:p>
          <w:p w:rsidR="00AF0B2C" w:rsidRPr="006F5D26" w:rsidRDefault="00AF0B2C" w:rsidP="00F27D32">
            <w:pPr>
              <w:rPr>
                <w:highlight w:val="yellow"/>
              </w:rPr>
            </w:pPr>
            <w:r w:rsidRPr="006F5D26">
              <w:rPr>
                <w:highlight w:val="yellow"/>
              </w:rPr>
              <w:tab/>
              <w:t>Nominal difference between forecast and actual net capex (as-commissioned).</w:t>
            </w:r>
            <w:r w:rsidR="004C30B3" w:rsidRPr="006F5D26">
              <w:rPr>
                <w:highlight w:val="yellow"/>
              </w:rPr>
              <w:tab/>
            </w:r>
          </w:p>
          <w:p w:rsidR="00F27D32" w:rsidRPr="006F5D26" w:rsidRDefault="00AF0B2C" w:rsidP="00F27D32">
            <w:pPr>
              <w:rPr>
                <w:highlight w:val="yellow"/>
              </w:rPr>
            </w:pPr>
            <w:r w:rsidRPr="006F5D26">
              <w:rPr>
                <w:highlight w:val="yellow"/>
              </w:rPr>
              <w:tab/>
            </w:r>
            <w:r w:rsidR="00F27D32" w:rsidRPr="006F5D26">
              <w:rPr>
                <w:highlight w:val="yellow"/>
              </w:rPr>
              <w:t xml:space="preserve">Nominal difference between </w:t>
            </w:r>
            <w:r w:rsidR="004C30B3" w:rsidRPr="006F5D26">
              <w:rPr>
                <w:highlight w:val="yellow"/>
              </w:rPr>
              <w:t xml:space="preserve">forecast and </w:t>
            </w:r>
            <w:r w:rsidR="00F27D32" w:rsidRPr="006F5D26">
              <w:rPr>
                <w:highlight w:val="yellow"/>
              </w:rPr>
              <w:t xml:space="preserve">actual </w:t>
            </w:r>
            <w:r w:rsidR="004C30B3" w:rsidRPr="006F5D26">
              <w:rPr>
                <w:highlight w:val="yellow"/>
              </w:rPr>
              <w:t>net capex (as-commissioned)</w:t>
            </w:r>
            <w:r w:rsidR="003746D4" w:rsidRPr="006F5D26">
              <w:rPr>
                <w:highlight w:val="yellow"/>
              </w:rPr>
              <w:t xml:space="preserve"> x </w:t>
            </w:r>
            <w:r w:rsidRPr="006F5D26">
              <w:rPr>
                <w:highlight w:val="yellow"/>
              </w:rPr>
              <w:t>A</w:t>
            </w:r>
            <w:r w:rsidR="003746D4" w:rsidRPr="006F5D26">
              <w:rPr>
                <w:highlight w:val="yellow"/>
              </w:rPr>
              <w:t xml:space="preserve">ctual CPI = </w:t>
            </w:r>
          </w:p>
          <w:p w:rsidR="003746D4" w:rsidRDefault="003746D4" w:rsidP="00F27D32">
            <w:r w:rsidRPr="006F5D26">
              <w:rPr>
                <w:highlight w:val="yellow"/>
              </w:rPr>
              <w:tab/>
              <w:t>Indexed nominal difference between forecast and actual net capex (as-commissioned)</w:t>
            </w:r>
            <w:r w:rsidR="00AF0B2C" w:rsidRPr="006F5D26">
              <w:rPr>
                <w:highlight w:val="yellow"/>
              </w:rPr>
              <w:t>.</w:t>
            </w:r>
          </w:p>
          <w:p w:rsidR="00B223FB" w:rsidRDefault="00F27D32" w:rsidP="00F27D32">
            <w:pPr>
              <w:rPr>
                <w:rStyle w:val="Bold"/>
              </w:rPr>
            </w:pPr>
            <w:r w:rsidRPr="006F5D26">
              <w:rPr>
                <w:rStyle w:val="Bold"/>
                <w:highlight w:val="yellow"/>
              </w:rPr>
              <w:t xml:space="preserve">2)  </w:t>
            </w:r>
            <w:r w:rsidR="004C30B3" w:rsidRPr="006F5D26">
              <w:rPr>
                <w:rStyle w:val="Bold"/>
                <w:highlight w:val="yellow"/>
              </w:rPr>
              <w:tab/>
            </w:r>
            <w:r w:rsidRPr="006F5D26">
              <w:rPr>
                <w:rStyle w:val="Bold"/>
                <w:highlight w:val="yellow"/>
              </w:rPr>
              <w:t xml:space="preserve">Calculating the </w:t>
            </w:r>
            <w:r w:rsidR="003746D4" w:rsidRPr="006F5D26">
              <w:rPr>
                <w:rStyle w:val="Bold"/>
                <w:highlight w:val="yellow"/>
              </w:rPr>
              <w:t xml:space="preserve">real </w:t>
            </w:r>
            <w:r w:rsidRPr="006F5D26">
              <w:rPr>
                <w:rStyle w:val="Bold"/>
                <w:highlight w:val="yellow"/>
              </w:rPr>
              <w:t xml:space="preserve">return on the difference </w:t>
            </w:r>
            <w:r w:rsidR="00951C82" w:rsidRPr="006F5D26">
              <w:rPr>
                <w:rStyle w:val="Bold"/>
                <w:highlight w:val="yellow"/>
              </w:rPr>
              <w:t xml:space="preserve">associated with </w:t>
            </w:r>
            <w:r w:rsidR="003746D4" w:rsidRPr="006F5D26">
              <w:rPr>
                <w:rStyle w:val="Bold"/>
                <w:highlight w:val="yellow"/>
              </w:rPr>
              <w:t xml:space="preserve">actual and forecast net capex </w:t>
            </w:r>
            <w:r w:rsidR="003746D4" w:rsidRPr="006F5D26">
              <w:rPr>
                <w:rStyle w:val="Bold"/>
                <w:highlight w:val="yellow"/>
              </w:rPr>
              <w:tab/>
              <w:t xml:space="preserve">(as-incurred), </w:t>
            </w:r>
            <w:r w:rsidRPr="006F5D26">
              <w:rPr>
                <w:rStyle w:val="Bold"/>
                <w:highlight w:val="yellow"/>
              </w:rPr>
              <w:t>and compounding it for each year of the current regulatory control period</w:t>
            </w:r>
          </w:p>
          <w:p w:rsidR="004A224D" w:rsidRPr="006F5D26" w:rsidRDefault="004A224D" w:rsidP="004A224D">
            <w:pPr>
              <w:rPr>
                <w:rStyle w:val="Bold"/>
              </w:rPr>
            </w:pPr>
            <w:r>
              <w:rPr>
                <w:highlight w:val="yellow"/>
              </w:rPr>
              <w:tab/>
            </w:r>
            <w:r w:rsidRPr="009876E9">
              <w:rPr>
                <w:highlight w:val="yellow"/>
              </w:rPr>
              <w:t>Nominal difference between forecast and actual net capex (as-</w:t>
            </w:r>
            <w:r w:rsidRPr="004A224D">
              <w:rPr>
                <w:highlight w:val="yellow"/>
              </w:rPr>
              <w:t xml:space="preserve">incurred) x </w:t>
            </w:r>
            <w:r>
              <w:rPr>
                <w:highlight w:val="yellow"/>
              </w:rPr>
              <w:t>real</w:t>
            </w:r>
            <w:r w:rsidRPr="004A224D">
              <w:rPr>
                <w:highlight w:val="yellow"/>
              </w:rPr>
              <w:t xml:space="preserve"> vanilla WACC</w:t>
            </w:r>
            <w:r>
              <w:rPr>
                <w:highlight w:val="yellow"/>
              </w:rPr>
              <w:t xml:space="preserve"> </w:t>
            </w:r>
            <w:r w:rsidRPr="004A224D">
              <w:rPr>
                <w:highlight w:val="yellow"/>
              </w:rPr>
              <w:t xml:space="preserve">per </w:t>
            </w:r>
            <w:r>
              <w:rPr>
                <w:highlight w:val="yellow"/>
              </w:rPr>
              <w:tab/>
            </w:r>
            <w:r w:rsidRPr="004A224D">
              <w:rPr>
                <w:highlight w:val="yellow"/>
              </w:rPr>
              <w:t>annum (compounded)</w:t>
            </w:r>
            <w:r>
              <w:t xml:space="preserve">    </w:t>
            </w:r>
          </w:p>
        </w:tc>
      </w:tr>
      <w:tr w:rsidR="00B223FB" w:rsidTr="006F5D26">
        <w:trPr>
          <w:cnfStyle w:val="000000010000" w:firstRow="0" w:lastRow="0" w:firstColumn="0" w:lastColumn="0" w:oddVBand="0" w:evenVBand="0" w:oddHBand="0" w:evenHBand="1" w:firstRowFirstColumn="0" w:firstRowLastColumn="0" w:lastRowFirstColumn="0" w:lastRowLastColumn="0"/>
        </w:trPr>
        <w:tc>
          <w:tcPr>
            <w:tcW w:w="9464" w:type="dxa"/>
          </w:tcPr>
          <w:p w:rsidR="00B223FB" w:rsidRPr="006F5D26" w:rsidRDefault="00B223FB" w:rsidP="00B223FB">
            <w:pPr>
              <w:rPr>
                <w:highlight w:val="yellow"/>
              </w:rPr>
            </w:pPr>
            <w:r w:rsidRPr="006F5D26">
              <w:rPr>
                <w:highlight w:val="yellow"/>
              </w:rPr>
              <w:t>Note</w:t>
            </w:r>
            <w:r w:rsidR="00AF0B2C" w:rsidRPr="006F5D26">
              <w:rPr>
                <w:highlight w:val="yellow"/>
              </w:rPr>
              <w:t>s</w:t>
            </w:r>
            <w:r w:rsidRPr="006F5D26">
              <w:rPr>
                <w:highlight w:val="yellow"/>
              </w:rPr>
              <w:t>:</w:t>
            </w:r>
          </w:p>
          <w:p w:rsidR="00B223FB" w:rsidRPr="006F5D26" w:rsidRDefault="003746D4" w:rsidP="00B223FB">
            <w:pPr>
              <w:pStyle w:val="ListBullet"/>
              <w:rPr>
                <w:highlight w:val="yellow"/>
              </w:rPr>
            </w:pPr>
            <w:r w:rsidRPr="006F5D26">
              <w:rPr>
                <w:highlight w:val="yellow"/>
              </w:rPr>
              <w:t>Nominal f</w:t>
            </w:r>
            <w:r w:rsidR="00B223FB" w:rsidRPr="006F5D26">
              <w:rPr>
                <w:highlight w:val="yellow"/>
              </w:rPr>
              <w:t xml:space="preserve">orecast </w:t>
            </w:r>
            <w:r w:rsidRPr="006F5D26">
              <w:rPr>
                <w:highlight w:val="yellow"/>
              </w:rPr>
              <w:t>net capex (as-commissioned)</w:t>
            </w:r>
            <w:r w:rsidR="00B223FB" w:rsidRPr="006F5D26">
              <w:rPr>
                <w:highlight w:val="yellow"/>
              </w:rPr>
              <w:t xml:space="preserve"> = </w:t>
            </w:r>
            <w:r w:rsidRPr="006F5D26">
              <w:rPr>
                <w:highlight w:val="yellow"/>
              </w:rPr>
              <w:t xml:space="preserve">estimated </w:t>
            </w:r>
            <w:r w:rsidR="00AF0B2C" w:rsidRPr="006F5D26">
              <w:rPr>
                <w:highlight w:val="yellow"/>
              </w:rPr>
              <w:t xml:space="preserve">commissioned </w:t>
            </w:r>
            <w:r w:rsidRPr="006F5D26">
              <w:rPr>
                <w:highlight w:val="yellow"/>
              </w:rPr>
              <w:t xml:space="preserve">net capex </w:t>
            </w:r>
            <w:r w:rsidR="00B223FB" w:rsidRPr="006F5D26">
              <w:rPr>
                <w:highlight w:val="yellow"/>
              </w:rPr>
              <w:t>allowed in the final year of the previous regulatory control period.</w:t>
            </w:r>
          </w:p>
          <w:p w:rsidR="00B223FB" w:rsidRPr="006F5D26" w:rsidRDefault="00AF0B2C" w:rsidP="00B223FB">
            <w:pPr>
              <w:pStyle w:val="ListBullet"/>
              <w:rPr>
                <w:highlight w:val="yellow"/>
              </w:rPr>
            </w:pPr>
            <w:r w:rsidRPr="006F5D26">
              <w:rPr>
                <w:highlight w:val="yellow"/>
              </w:rPr>
              <w:t>Nominal a</w:t>
            </w:r>
            <w:r w:rsidR="00B223FB" w:rsidRPr="006F5D26">
              <w:rPr>
                <w:highlight w:val="yellow"/>
              </w:rPr>
              <w:t xml:space="preserve">ctual </w:t>
            </w:r>
            <w:r w:rsidRPr="006F5D26">
              <w:rPr>
                <w:highlight w:val="yellow"/>
              </w:rPr>
              <w:t>net capex (as-commissioned)</w:t>
            </w:r>
            <w:r w:rsidR="00B223FB" w:rsidRPr="006F5D26">
              <w:rPr>
                <w:highlight w:val="yellow"/>
              </w:rPr>
              <w:t xml:space="preserve"> = actual </w:t>
            </w:r>
            <w:r w:rsidRPr="006F5D26">
              <w:rPr>
                <w:highlight w:val="yellow"/>
              </w:rPr>
              <w:t>net capex</w:t>
            </w:r>
            <w:r w:rsidR="00B223FB" w:rsidRPr="006F5D26">
              <w:rPr>
                <w:highlight w:val="yellow"/>
              </w:rPr>
              <w:t xml:space="preserve"> </w:t>
            </w:r>
            <w:r w:rsidRPr="006F5D26">
              <w:rPr>
                <w:highlight w:val="yellow"/>
              </w:rPr>
              <w:t>commissioned</w:t>
            </w:r>
            <w:r w:rsidR="00B223FB" w:rsidRPr="006F5D26">
              <w:rPr>
                <w:highlight w:val="yellow"/>
              </w:rPr>
              <w:t xml:space="preserve"> during the final year of the previous regulatory control period.</w:t>
            </w:r>
          </w:p>
          <w:p w:rsidR="00AF0B2C" w:rsidRPr="006F5D26" w:rsidRDefault="00AF0B2C" w:rsidP="00B223FB">
            <w:pPr>
              <w:pStyle w:val="ListBullet"/>
              <w:rPr>
                <w:highlight w:val="yellow"/>
              </w:rPr>
            </w:pPr>
            <w:r w:rsidRPr="006F5D26">
              <w:rPr>
                <w:highlight w:val="yellow"/>
              </w:rPr>
              <w:t>Actual CPI = cumulative index of actual annual inflation over the current regulatory control period</w:t>
            </w:r>
          </w:p>
          <w:p w:rsidR="00B223FB" w:rsidRPr="006F5D26" w:rsidRDefault="00B223FB" w:rsidP="00B223FB">
            <w:pPr>
              <w:pStyle w:val="ListBullet"/>
              <w:rPr>
                <w:highlight w:val="yellow"/>
              </w:rPr>
            </w:pPr>
            <w:r w:rsidRPr="006F5D26">
              <w:rPr>
                <w:highlight w:val="yellow"/>
              </w:rPr>
              <w:t xml:space="preserve">The </w:t>
            </w:r>
            <w:r w:rsidR="00AF0B2C" w:rsidRPr="006F5D26">
              <w:rPr>
                <w:highlight w:val="yellow"/>
              </w:rPr>
              <w:t xml:space="preserve">real </w:t>
            </w:r>
            <w:r w:rsidRPr="006F5D26">
              <w:rPr>
                <w:highlight w:val="yellow"/>
              </w:rPr>
              <w:t xml:space="preserve">return on the difference between actual and forecast </w:t>
            </w:r>
            <w:r w:rsidR="00AF0B2C" w:rsidRPr="006F5D26">
              <w:rPr>
                <w:highlight w:val="yellow"/>
              </w:rPr>
              <w:t>net capex (as-incurred)</w:t>
            </w:r>
            <w:r w:rsidRPr="006F5D26">
              <w:rPr>
                <w:highlight w:val="yellow"/>
              </w:rPr>
              <w:t xml:space="preserve"> is calculated by applying the </w:t>
            </w:r>
            <w:r w:rsidR="00AF0B2C" w:rsidRPr="006F5D26">
              <w:rPr>
                <w:highlight w:val="yellow"/>
              </w:rPr>
              <w:t>real</w:t>
            </w:r>
            <w:r w:rsidRPr="006F5D26">
              <w:rPr>
                <w:highlight w:val="yellow"/>
              </w:rPr>
              <w:t xml:space="preserve"> vanilla WACC applicable to the current regulatory control period (as determined in the current revenue determination).</w:t>
            </w:r>
          </w:p>
          <w:p w:rsidR="00B223FB" w:rsidRDefault="00B223FB" w:rsidP="007603CB">
            <w:pPr>
              <w:pStyle w:val="ListBullet"/>
            </w:pPr>
            <w:r w:rsidRPr="006F5D26">
              <w:rPr>
                <w:highlight w:val="yellow"/>
              </w:rPr>
              <w:t xml:space="preserve">Each of these adjustments is made to the final closing RAB </w:t>
            </w:r>
            <w:r w:rsidR="003746D4" w:rsidRPr="006F5D26">
              <w:rPr>
                <w:highlight w:val="yellow"/>
              </w:rPr>
              <w:t xml:space="preserve">(as-commissioned) </w:t>
            </w:r>
            <w:r w:rsidRPr="006F5D26">
              <w:rPr>
                <w:highlight w:val="yellow"/>
              </w:rPr>
              <w:t xml:space="preserve">for the current regulatory period in the </w:t>
            </w:r>
            <w:r w:rsidRPr="006F5D26">
              <w:rPr>
                <w:rStyle w:val="Bold"/>
                <w:highlight w:val="yellow"/>
              </w:rPr>
              <w:t>Total RAB roll forward</w:t>
            </w:r>
            <w:r w:rsidRPr="006F5D26">
              <w:rPr>
                <w:highlight w:val="yellow"/>
              </w:rPr>
              <w:t xml:space="preserve"> sheet.</w:t>
            </w:r>
          </w:p>
        </w:tc>
      </w:tr>
    </w:tbl>
    <w:p w:rsidR="007603CB" w:rsidRPr="006F5D26" w:rsidRDefault="007603CB" w:rsidP="000B4909">
      <w:pPr>
        <w:rPr>
          <w:highlight w:val="yellow"/>
        </w:rPr>
      </w:pPr>
      <w:r w:rsidRPr="006F5D26">
        <w:rPr>
          <w:highlight w:val="yellow"/>
        </w:rPr>
        <w:t xml:space="preserve">There are differences in the calculation of the true-up for the as-incurred net capex and as-commissioned net capex. This is because the as-incurred net capex difference and the return associated with that difference is made to the closing RAB (partially as-incurred) at the end of the current regulatory control period. However, for the </w:t>
      </w:r>
      <w:r w:rsidRPr="006F5D26">
        <w:rPr>
          <w:rStyle w:val="Emphasis"/>
          <w:highlight w:val="yellow"/>
        </w:rPr>
        <w:t>as-commissioned</w:t>
      </w:r>
      <w:r w:rsidRPr="006F5D26">
        <w:rPr>
          <w:highlight w:val="yellow"/>
        </w:rPr>
        <w:t xml:space="preserve"> net capex difference, this is made to the closing RAB (as-commissioned) at the end of the current regulatory control period along with the return </w:t>
      </w:r>
      <w:r w:rsidR="00E92E2D" w:rsidRPr="006F5D26">
        <w:rPr>
          <w:highlight w:val="yellow"/>
        </w:rPr>
        <w:t>associated with the difference i</w:t>
      </w:r>
      <w:r w:rsidRPr="006F5D26">
        <w:rPr>
          <w:highlight w:val="yellow"/>
        </w:rPr>
        <w:t xml:space="preserve">n </w:t>
      </w:r>
      <w:r w:rsidRPr="006F5D26">
        <w:rPr>
          <w:rStyle w:val="Emphasis"/>
          <w:highlight w:val="yellow"/>
        </w:rPr>
        <w:t>as-incurred</w:t>
      </w:r>
      <w:r w:rsidRPr="006F5D26">
        <w:rPr>
          <w:highlight w:val="yellow"/>
        </w:rPr>
        <w:t xml:space="preserve"> net capex</w:t>
      </w:r>
      <w:r w:rsidR="00E92E2D" w:rsidRPr="006F5D26">
        <w:rPr>
          <w:highlight w:val="yellow"/>
        </w:rPr>
        <w:t xml:space="preserve"> (the return associated with the difference in as-commissioned net capex is not relevant for capitalisation).</w:t>
      </w:r>
      <w:r w:rsidR="00E92E2D" w:rsidRPr="006F5D26">
        <w:rPr>
          <w:rStyle w:val="FootnoteReference"/>
          <w:highlight w:val="yellow"/>
        </w:rPr>
        <w:footnoteReference w:id="14"/>
      </w:r>
    </w:p>
    <w:p w:rsidR="00E92E2D" w:rsidRDefault="00E92E2D" w:rsidP="000B4909">
      <w:r w:rsidRPr="006F5D26">
        <w:rPr>
          <w:highlight w:val="yellow"/>
        </w:rPr>
        <w:t xml:space="preserve">In </w:t>
      </w:r>
      <w:r w:rsidR="00E4507E" w:rsidRPr="006F5D26">
        <w:rPr>
          <w:highlight w:val="yellow"/>
        </w:rPr>
        <w:t>general, TNSPs that have other RAB adjustments made in the final year of the previous regulatory control period will not require a true-up.</w:t>
      </w:r>
      <w:r w:rsidR="00315464" w:rsidRPr="006F5D26">
        <w:rPr>
          <w:rStyle w:val="FootnoteReference"/>
          <w:highlight w:val="yellow"/>
        </w:rPr>
        <w:footnoteReference w:id="15"/>
      </w:r>
      <w:r w:rsidR="00E4507E" w:rsidRPr="006F5D26">
        <w:rPr>
          <w:highlight w:val="yellow"/>
        </w:rPr>
        <w:t xml:space="preserve"> However, in c</w:t>
      </w:r>
      <w:r w:rsidRPr="006F5D26">
        <w:rPr>
          <w:highlight w:val="yellow"/>
        </w:rPr>
        <w:t>ertain circumstances, a TNSP may have other final year asset adjustments for the previous regulatory control period that require</w:t>
      </w:r>
      <w:r w:rsidR="00E4507E" w:rsidRPr="006F5D26">
        <w:rPr>
          <w:highlight w:val="yellow"/>
        </w:rPr>
        <w:t xml:space="preserve"> a true-up.</w:t>
      </w:r>
      <w:r w:rsidR="00E4507E" w:rsidRPr="006F5D26">
        <w:rPr>
          <w:rStyle w:val="FootnoteReference"/>
          <w:highlight w:val="yellow"/>
        </w:rPr>
        <w:footnoteReference w:id="16"/>
      </w:r>
      <w:r w:rsidR="00E4507E" w:rsidRPr="006F5D26">
        <w:rPr>
          <w:highlight w:val="yellow"/>
        </w:rPr>
        <w:t xml:space="preserve"> In this case, the RFM calculations would need to be expanded to accommodate the true-up using the same principles set out for the final year net capex true-up.</w:t>
      </w:r>
    </w:p>
    <w:p w:rsidR="00B223FB" w:rsidRDefault="00F27D32" w:rsidP="000B4909">
      <w:r>
        <w:fldChar w:fldCharType="begin"/>
      </w:r>
      <w:r>
        <w:instrText xml:space="preserve"> REF _Ref420594793 \h </w:instrText>
      </w:r>
      <w:r>
        <w:fldChar w:fldCharType="separate"/>
      </w:r>
      <w:r w:rsidR="00F92CE8">
        <w:t xml:space="preserve">Figure </w:t>
      </w:r>
      <w:r w:rsidR="00F92CE8">
        <w:rPr>
          <w:noProof/>
        </w:rPr>
        <w:t>4</w:t>
      </w:r>
      <w:r>
        <w:fldChar w:fldCharType="end"/>
      </w:r>
      <w:r>
        <w:t xml:space="preserve"> </w:t>
      </w:r>
      <w:r w:rsidR="000B4909" w:rsidRPr="000B4909">
        <w:t xml:space="preserve">provides an example of the </w:t>
      </w:r>
      <w:r w:rsidR="000B4909" w:rsidRPr="003A48E6">
        <w:rPr>
          <w:rStyle w:val="Strong"/>
        </w:rPr>
        <w:t>Adjustment for previous period</w:t>
      </w:r>
      <w:r w:rsidR="000B4909" w:rsidRPr="000B4909">
        <w:t xml:space="preserve"> sheet.</w:t>
      </w:r>
    </w:p>
    <w:p w:rsidR="0018692A" w:rsidRDefault="0018692A" w:rsidP="0018692A">
      <w:pPr>
        <w:pStyle w:val="Caption"/>
        <w:keepNext/>
      </w:pPr>
      <w:bookmarkStart w:id="45" w:name="_Ref420594793"/>
      <w:r>
        <w:t xml:space="preserve">Figure </w:t>
      </w:r>
      <w:fldSimple w:instr=" SEQ Figure \* ARABIC ">
        <w:r w:rsidR="00F92CE8">
          <w:rPr>
            <w:noProof/>
          </w:rPr>
          <w:t>4</w:t>
        </w:r>
      </w:fldSimple>
      <w:bookmarkEnd w:id="45"/>
      <w:r>
        <w:tab/>
      </w:r>
      <w:r w:rsidRPr="000B4909">
        <w:t>Adjustment for previous period sheet</w:t>
      </w:r>
    </w:p>
    <w:p w:rsidR="000B4909" w:rsidRPr="000B4909" w:rsidRDefault="00841C2E" w:rsidP="000B4909">
      <w:r>
        <w:rPr>
          <w:noProof/>
          <w:lang w:eastAsia="en-AU"/>
        </w:rPr>
        <w:drawing>
          <wp:inline distT="0" distB="0" distL="0" distR="0" wp14:anchorId="45E01616" wp14:editId="4960BF36">
            <wp:extent cx="5731510" cy="4150446"/>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4150446"/>
                    </a:xfrm>
                    <a:prstGeom prst="rect">
                      <a:avLst/>
                    </a:prstGeom>
                  </pic:spPr>
                </pic:pic>
              </a:graphicData>
            </a:graphic>
          </wp:inline>
        </w:drawing>
      </w:r>
    </w:p>
    <w:p w:rsidR="00A72F64" w:rsidRDefault="00A72F64">
      <w:pPr>
        <w:spacing w:line="240" w:lineRule="auto"/>
        <w:rPr>
          <w:rFonts w:eastAsiaTheme="majorEastAsia" w:cstheme="majorBidi"/>
          <w:b/>
          <w:bCs/>
          <w:color w:val="70635A" w:themeColor="text2"/>
          <w:sz w:val="28"/>
        </w:rPr>
      </w:pPr>
      <w:bookmarkStart w:id="46" w:name="_Toc422832949"/>
      <w:r>
        <w:br w:type="page"/>
      </w:r>
    </w:p>
    <w:p w:rsidR="000B4909" w:rsidRPr="000B4909" w:rsidRDefault="000B4909" w:rsidP="006F5D26">
      <w:pPr>
        <w:pStyle w:val="Heading3"/>
      </w:pPr>
      <w:bookmarkStart w:id="47" w:name="_Toc423696201"/>
      <w:r w:rsidRPr="000B4909">
        <w:t xml:space="preserve">Nominal adjustments for difference between forecast and actual </w:t>
      </w:r>
      <w:r w:rsidR="00B008D7">
        <w:t xml:space="preserve">net </w:t>
      </w:r>
      <w:r w:rsidRPr="000B4909">
        <w:t>capex</w:t>
      </w:r>
      <w:r w:rsidR="00B008D7">
        <w:t xml:space="preserve"> – as-incurred</w:t>
      </w:r>
      <w:bookmarkEnd w:id="46"/>
      <w:bookmarkEnd w:id="47"/>
    </w:p>
    <w:p w:rsidR="000B4909" w:rsidRPr="000B4909" w:rsidRDefault="000B4909" w:rsidP="000B4909">
      <w:r w:rsidRPr="000B4909">
        <w:t xml:space="preserve">This section calculates the difference between forecast and actual </w:t>
      </w:r>
      <w:r w:rsidR="00110B99">
        <w:t xml:space="preserve">net </w:t>
      </w:r>
      <w:r w:rsidRPr="000B4909">
        <w:t xml:space="preserve">capex </w:t>
      </w:r>
      <w:r w:rsidR="00110B99">
        <w:t xml:space="preserve">(as-incurred) </w:t>
      </w:r>
      <w:r w:rsidRPr="000B4909">
        <w:t>for the final year of the previous regulatory control period and determines the compounded return on that difference. The process involved is based on that depicted in</w:t>
      </w:r>
      <w:r w:rsidR="0021562D">
        <w:t xml:space="preserve"> </w:t>
      </w:r>
      <w:r w:rsidR="0021562D">
        <w:fldChar w:fldCharType="begin"/>
      </w:r>
      <w:r w:rsidR="0021562D">
        <w:instrText xml:space="preserve"> REF _Ref420594458 \h </w:instrText>
      </w:r>
      <w:r w:rsidR="0021562D">
        <w:fldChar w:fldCharType="separate"/>
      </w:r>
      <w:r w:rsidR="00F92CE8">
        <w:t xml:space="preserve">Box </w:t>
      </w:r>
      <w:r w:rsidR="00F92CE8">
        <w:rPr>
          <w:noProof/>
        </w:rPr>
        <w:t>1</w:t>
      </w:r>
      <w:r w:rsidR="0021562D">
        <w:fldChar w:fldCharType="end"/>
      </w:r>
      <w:r w:rsidRPr="000B4909">
        <w:t>.</w:t>
      </w:r>
    </w:p>
    <w:p w:rsidR="000B4909" w:rsidRPr="000B4909" w:rsidRDefault="000B4909" w:rsidP="000B4909">
      <w:r w:rsidRPr="000B4909">
        <w:t xml:space="preserve">The nominal forecast net capex </w:t>
      </w:r>
      <w:r w:rsidR="00445952">
        <w:t xml:space="preserve">(as-incurred) </w:t>
      </w:r>
      <w:r w:rsidRPr="000B4909">
        <w:t>values for each asset class in the final year of the previous regulatory control period are displayed in rows 1</w:t>
      </w:r>
      <w:r w:rsidR="00445952">
        <w:t>4</w:t>
      </w:r>
      <w:r w:rsidRPr="000B4909">
        <w:t xml:space="preserve"> to </w:t>
      </w:r>
      <w:r w:rsidR="00445952">
        <w:t>63</w:t>
      </w:r>
      <w:r w:rsidRPr="000B4909">
        <w:t xml:space="preserve">. The values are sourced from the </w:t>
      </w:r>
      <w:r w:rsidR="00445952">
        <w:rPr>
          <w:rStyle w:val="Strong"/>
        </w:rPr>
        <w:t>RFM i</w:t>
      </w:r>
      <w:r w:rsidRPr="003A48E6">
        <w:rPr>
          <w:rStyle w:val="Strong"/>
        </w:rPr>
        <w:t>nput</w:t>
      </w:r>
      <w:r w:rsidRPr="000B4909">
        <w:t xml:space="preserve"> sheet. Row 1</w:t>
      </w:r>
      <w:r w:rsidR="00445952">
        <w:t>3</w:t>
      </w:r>
      <w:r w:rsidRPr="000B4909">
        <w:t xml:space="preserve"> displays the sum of each asset class values for rows 1</w:t>
      </w:r>
      <w:r w:rsidR="00445952">
        <w:t>4</w:t>
      </w:r>
      <w:r w:rsidRPr="000B4909">
        <w:t xml:space="preserve"> to </w:t>
      </w:r>
      <w:r w:rsidR="00445952">
        <w:t>63</w:t>
      </w:r>
      <w:r w:rsidRPr="000B4909">
        <w:t>.</w:t>
      </w:r>
    </w:p>
    <w:p w:rsidR="000B4909" w:rsidRPr="000B4909" w:rsidRDefault="000B4909" w:rsidP="000B4909">
      <w:r w:rsidRPr="000B4909">
        <w:t xml:space="preserve">The nominal actual net capex </w:t>
      </w:r>
      <w:r w:rsidR="00445952">
        <w:t xml:space="preserve">(as-incurred) </w:t>
      </w:r>
      <w:r w:rsidRPr="000B4909">
        <w:t xml:space="preserve">values (including a half WACC allowance) for each asset class in the final year of the previous regulatory control period are calculated in rows </w:t>
      </w:r>
      <w:r w:rsidR="00445952">
        <w:t>66</w:t>
      </w:r>
      <w:r w:rsidRPr="000B4909">
        <w:t xml:space="preserve"> to </w:t>
      </w:r>
      <w:r w:rsidR="00445952">
        <w:t>115</w:t>
      </w:r>
      <w:r w:rsidRPr="000B4909">
        <w:t>. Given the timing assumption that capex on average takes place halfway through the year, a half-nominal vanilla WACC is applied to the actual net capex for each asset class to ‘gross-up’ the actual values.</w:t>
      </w:r>
      <w:r w:rsidR="00B5191C">
        <w:rPr>
          <w:rStyle w:val="FootnoteReference"/>
        </w:rPr>
        <w:footnoteReference w:id="17"/>
      </w:r>
      <w:r w:rsidRPr="000B4909">
        <w:t xml:space="preserve"> Row </w:t>
      </w:r>
      <w:r w:rsidR="00445952">
        <w:t>65</w:t>
      </w:r>
      <w:r w:rsidRPr="000B4909">
        <w:t xml:space="preserve"> displays the sum of each asset class calculations for rows </w:t>
      </w:r>
      <w:r w:rsidR="00445952">
        <w:t>66</w:t>
      </w:r>
      <w:r w:rsidRPr="000B4909">
        <w:t xml:space="preserve"> to </w:t>
      </w:r>
      <w:r w:rsidR="00445952">
        <w:t>115</w:t>
      </w:r>
      <w:r w:rsidRPr="000B4909">
        <w:t>.</w:t>
      </w:r>
    </w:p>
    <w:p w:rsidR="000B4909" w:rsidRPr="000B4909" w:rsidRDefault="000B4909" w:rsidP="000B4909">
      <w:r w:rsidRPr="000B4909">
        <w:t xml:space="preserve">The differences between the actual and forecast net capex </w:t>
      </w:r>
      <w:r w:rsidR="00445952">
        <w:t xml:space="preserve">(as-incurred) </w:t>
      </w:r>
      <w:r w:rsidRPr="000B4909">
        <w:t xml:space="preserve">values for each asset class are calculated in rows </w:t>
      </w:r>
      <w:r w:rsidR="00445952">
        <w:t>118</w:t>
      </w:r>
      <w:r w:rsidRPr="000B4909">
        <w:t xml:space="preserve"> to 1</w:t>
      </w:r>
      <w:r w:rsidR="00445952">
        <w:t>67</w:t>
      </w:r>
      <w:r w:rsidRPr="000B4909">
        <w:t xml:space="preserve">. Row </w:t>
      </w:r>
      <w:r w:rsidR="00445952">
        <w:t>11</w:t>
      </w:r>
      <w:r w:rsidRPr="000B4909">
        <w:t>7 displays the sum of each asset class calculations for those rows.</w:t>
      </w:r>
    </w:p>
    <w:p w:rsidR="000B4909" w:rsidRPr="000B4909" w:rsidRDefault="000B4909" w:rsidP="000B4909">
      <w:r w:rsidRPr="000B4909">
        <w:t>Finally, in rows 1</w:t>
      </w:r>
      <w:r w:rsidR="00445952">
        <w:t>69</w:t>
      </w:r>
      <w:r w:rsidRPr="000B4909">
        <w:t xml:space="preserve"> to </w:t>
      </w:r>
      <w:r w:rsidR="00445952">
        <w:t>269</w:t>
      </w:r>
      <w:r w:rsidRPr="000B4909">
        <w:t xml:space="preserve"> a nominal vanilla WACC (row </w:t>
      </w:r>
      <w:r w:rsidR="00445952">
        <w:t>8</w:t>
      </w:r>
      <w:r w:rsidRPr="000B4909">
        <w:t xml:space="preserve">) is applied to calculate the </w:t>
      </w:r>
      <w:r w:rsidR="00897D95">
        <w:t xml:space="preserve">nominal </w:t>
      </w:r>
      <w:r w:rsidRPr="000B4909">
        <w:t>return on the difference, which is compounded to the end of the current regulatory control period.</w:t>
      </w:r>
      <w:r w:rsidR="00B5191C">
        <w:rPr>
          <w:rStyle w:val="FootnoteReference"/>
        </w:rPr>
        <w:footnoteReference w:id="18"/>
      </w:r>
      <w:r w:rsidRPr="000B4909">
        <w:t xml:space="preserve"> The total compounded </w:t>
      </w:r>
      <w:r w:rsidR="00897D95">
        <w:t xml:space="preserve">nominal </w:t>
      </w:r>
      <w:r w:rsidRPr="000B4909">
        <w:t xml:space="preserve">return at the end of the current regulatory control period is displayed in row </w:t>
      </w:r>
      <w:r w:rsidR="00445952">
        <w:t>270</w:t>
      </w:r>
      <w:r w:rsidRPr="000B4909">
        <w:t xml:space="preserve">. This value is linked to the </w:t>
      </w:r>
      <w:r w:rsidRPr="003A48E6">
        <w:rPr>
          <w:rStyle w:val="Strong"/>
        </w:rPr>
        <w:t>Total RAB roll forward</w:t>
      </w:r>
      <w:r w:rsidRPr="000B4909">
        <w:t xml:space="preserve"> sheet.</w:t>
      </w:r>
    </w:p>
    <w:p w:rsidR="000B4909" w:rsidRPr="006F5D26" w:rsidRDefault="000B4909" w:rsidP="006F5D26">
      <w:pPr>
        <w:pStyle w:val="Heading3"/>
        <w:rPr>
          <w:highlight w:val="yellow"/>
        </w:rPr>
      </w:pPr>
      <w:bookmarkStart w:id="48" w:name="_Toc422832950"/>
      <w:bookmarkStart w:id="49" w:name="_Toc423696202"/>
      <w:r w:rsidRPr="006F5D26">
        <w:rPr>
          <w:highlight w:val="yellow"/>
        </w:rPr>
        <w:t xml:space="preserve">Nominal adjustments for difference between forecast and actual </w:t>
      </w:r>
      <w:r w:rsidR="00445952" w:rsidRPr="006F5D26">
        <w:rPr>
          <w:highlight w:val="yellow"/>
        </w:rPr>
        <w:t>net capex – as-commissioned</w:t>
      </w:r>
      <w:bookmarkEnd w:id="48"/>
      <w:bookmarkEnd w:id="49"/>
    </w:p>
    <w:p w:rsidR="000B4909" w:rsidRPr="006F5D26" w:rsidRDefault="000B4909" w:rsidP="000B4909">
      <w:pPr>
        <w:rPr>
          <w:highlight w:val="yellow"/>
        </w:rPr>
      </w:pPr>
      <w:r w:rsidRPr="006F5D26">
        <w:rPr>
          <w:highlight w:val="yellow"/>
        </w:rPr>
        <w:t xml:space="preserve">This section calculates the difference between forecast and actual </w:t>
      </w:r>
      <w:r w:rsidR="00110B99" w:rsidRPr="006F5D26">
        <w:rPr>
          <w:highlight w:val="yellow"/>
        </w:rPr>
        <w:t>net capex (as-commissioned)</w:t>
      </w:r>
      <w:r w:rsidRPr="006F5D26">
        <w:rPr>
          <w:highlight w:val="yellow"/>
        </w:rPr>
        <w:t xml:space="preserve"> for the final year of the previous regulatory control period and determines the compounded return on th</w:t>
      </w:r>
      <w:r w:rsidR="00110B99" w:rsidRPr="006F5D26">
        <w:rPr>
          <w:highlight w:val="yellow"/>
        </w:rPr>
        <w:t>e</w:t>
      </w:r>
      <w:r w:rsidRPr="006F5D26">
        <w:rPr>
          <w:highlight w:val="yellow"/>
        </w:rPr>
        <w:t xml:space="preserve"> difference</w:t>
      </w:r>
      <w:r w:rsidR="00110B99" w:rsidRPr="006F5D26">
        <w:rPr>
          <w:highlight w:val="yellow"/>
        </w:rPr>
        <w:t xml:space="preserve"> associated with forecast and actual net capex (as-incurred)</w:t>
      </w:r>
      <w:r w:rsidRPr="006F5D26">
        <w:rPr>
          <w:highlight w:val="yellow"/>
        </w:rPr>
        <w:t xml:space="preserve">. The process involved is based on that depicted </w:t>
      </w:r>
      <w:r w:rsidR="0021562D" w:rsidRPr="006F5D26">
        <w:rPr>
          <w:highlight w:val="yellow"/>
        </w:rPr>
        <w:t xml:space="preserve">in </w:t>
      </w:r>
      <w:r w:rsidR="0021562D" w:rsidRPr="006F5D26">
        <w:rPr>
          <w:highlight w:val="yellow"/>
        </w:rPr>
        <w:fldChar w:fldCharType="begin"/>
      </w:r>
      <w:r w:rsidR="0021562D" w:rsidRPr="006F5D26">
        <w:rPr>
          <w:highlight w:val="yellow"/>
        </w:rPr>
        <w:instrText xml:space="preserve"> REF _Ref420594645 \h </w:instrText>
      </w:r>
      <w:r w:rsidR="006F5D26">
        <w:rPr>
          <w:highlight w:val="yellow"/>
        </w:rPr>
        <w:instrText xml:space="preserve"> \* MERGEFORMAT </w:instrText>
      </w:r>
      <w:r w:rsidR="0021562D" w:rsidRPr="006F5D26">
        <w:rPr>
          <w:highlight w:val="yellow"/>
        </w:rPr>
      </w:r>
      <w:r w:rsidR="0021562D" w:rsidRPr="006F5D26">
        <w:rPr>
          <w:highlight w:val="yellow"/>
        </w:rPr>
        <w:fldChar w:fldCharType="separate"/>
      </w:r>
      <w:r w:rsidR="00F92CE8" w:rsidRPr="00F92CE8">
        <w:rPr>
          <w:highlight w:val="yellow"/>
        </w:rPr>
        <w:t xml:space="preserve">Box </w:t>
      </w:r>
      <w:r w:rsidR="00F92CE8" w:rsidRPr="00F92CE8">
        <w:rPr>
          <w:noProof/>
          <w:highlight w:val="yellow"/>
        </w:rPr>
        <w:t>2</w:t>
      </w:r>
      <w:r w:rsidR="0021562D" w:rsidRPr="006F5D26">
        <w:rPr>
          <w:highlight w:val="yellow"/>
        </w:rPr>
        <w:fldChar w:fldCharType="end"/>
      </w:r>
      <w:r w:rsidRPr="006F5D26">
        <w:rPr>
          <w:highlight w:val="yellow"/>
        </w:rPr>
        <w:t>.</w:t>
      </w:r>
    </w:p>
    <w:p w:rsidR="000B4909" w:rsidRPr="006F5D26" w:rsidRDefault="000B4909" w:rsidP="000B4909">
      <w:pPr>
        <w:rPr>
          <w:highlight w:val="yellow"/>
        </w:rPr>
      </w:pPr>
      <w:r w:rsidRPr="006F5D26">
        <w:rPr>
          <w:highlight w:val="yellow"/>
        </w:rPr>
        <w:t xml:space="preserve">The nominal forecast </w:t>
      </w:r>
      <w:r w:rsidR="00110B99" w:rsidRPr="006F5D26">
        <w:rPr>
          <w:highlight w:val="yellow"/>
        </w:rPr>
        <w:t>net capex (as-commissioned)</w:t>
      </w:r>
      <w:r w:rsidRPr="006F5D26">
        <w:rPr>
          <w:highlight w:val="yellow"/>
        </w:rPr>
        <w:t xml:space="preserve"> values for each asset class in the final year of the previous regulatory control period are displayed in rows </w:t>
      </w:r>
      <w:r w:rsidR="00110B99" w:rsidRPr="006F5D26">
        <w:rPr>
          <w:highlight w:val="yellow"/>
        </w:rPr>
        <w:t>275</w:t>
      </w:r>
      <w:r w:rsidRPr="006F5D26">
        <w:rPr>
          <w:highlight w:val="yellow"/>
        </w:rPr>
        <w:t xml:space="preserve"> to </w:t>
      </w:r>
      <w:r w:rsidR="00110B99" w:rsidRPr="006F5D26">
        <w:rPr>
          <w:highlight w:val="yellow"/>
        </w:rPr>
        <w:t>324</w:t>
      </w:r>
      <w:r w:rsidRPr="006F5D26">
        <w:rPr>
          <w:highlight w:val="yellow"/>
        </w:rPr>
        <w:t xml:space="preserve">. These values are sourced from the </w:t>
      </w:r>
      <w:r w:rsidR="00110B99" w:rsidRPr="006F5D26">
        <w:rPr>
          <w:rStyle w:val="Strong"/>
          <w:highlight w:val="yellow"/>
        </w:rPr>
        <w:t>RFM i</w:t>
      </w:r>
      <w:r w:rsidRPr="006F5D26">
        <w:rPr>
          <w:rStyle w:val="Strong"/>
          <w:highlight w:val="yellow"/>
        </w:rPr>
        <w:t>nput</w:t>
      </w:r>
      <w:r w:rsidRPr="006F5D26">
        <w:rPr>
          <w:highlight w:val="yellow"/>
        </w:rPr>
        <w:t xml:space="preserve"> sheet. Row </w:t>
      </w:r>
      <w:r w:rsidR="00110B99" w:rsidRPr="006F5D26">
        <w:rPr>
          <w:highlight w:val="yellow"/>
        </w:rPr>
        <w:t>274</w:t>
      </w:r>
      <w:r w:rsidRPr="006F5D26">
        <w:rPr>
          <w:highlight w:val="yellow"/>
        </w:rPr>
        <w:t xml:space="preserve"> displays the sum of each asset class values for rows </w:t>
      </w:r>
      <w:r w:rsidR="00110B99" w:rsidRPr="006F5D26">
        <w:rPr>
          <w:highlight w:val="yellow"/>
        </w:rPr>
        <w:t>275</w:t>
      </w:r>
      <w:r w:rsidRPr="006F5D26">
        <w:rPr>
          <w:highlight w:val="yellow"/>
        </w:rPr>
        <w:t xml:space="preserve"> to </w:t>
      </w:r>
      <w:r w:rsidR="00110B99" w:rsidRPr="006F5D26">
        <w:rPr>
          <w:highlight w:val="yellow"/>
        </w:rPr>
        <w:t>324</w:t>
      </w:r>
      <w:r w:rsidRPr="006F5D26">
        <w:rPr>
          <w:highlight w:val="yellow"/>
        </w:rPr>
        <w:t>.</w:t>
      </w:r>
    </w:p>
    <w:p w:rsidR="000B4909" w:rsidRPr="006F5D26" w:rsidRDefault="000B4909" w:rsidP="000B4909">
      <w:pPr>
        <w:rPr>
          <w:highlight w:val="yellow"/>
        </w:rPr>
      </w:pPr>
      <w:r w:rsidRPr="006F5D26">
        <w:rPr>
          <w:highlight w:val="yellow"/>
        </w:rPr>
        <w:t xml:space="preserve">The nominal actual </w:t>
      </w:r>
      <w:r w:rsidR="00110B99" w:rsidRPr="006F5D26">
        <w:rPr>
          <w:highlight w:val="yellow"/>
        </w:rPr>
        <w:t>net capex (as-commissioned)</w:t>
      </w:r>
      <w:r w:rsidRPr="006F5D26">
        <w:rPr>
          <w:highlight w:val="yellow"/>
        </w:rPr>
        <w:t xml:space="preserve"> values </w:t>
      </w:r>
      <w:r w:rsidR="00110B99" w:rsidRPr="006F5D26">
        <w:rPr>
          <w:highlight w:val="yellow"/>
        </w:rPr>
        <w:t xml:space="preserve">(including a half WACC allowance) </w:t>
      </w:r>
      <w:r w:rsidRPr="006F5D26">
        <w:rPr>
          <w:highlight w:val="yellow"/>
        </w:rPr>
        <w:t xml:space="preserve">for each asset class in the final year of the previous regulatory control period are displayed in rows </w:t>
      </w:r>
      <w:r w:rsidR="00110B99" w:rsidRPr="006F5D26">
        <w:rPr>
          <w:highlight w:val="yellow"/>
        </w:rPr>
        <w:t>327</w:t>
      </w:r>
      <w:r w:rsidRPr="006F5D26">
        <w:rPr>
          <w:highlight w:val="yellow"/>
        </w:rPr>
        <w:t xml:space="preserve"> to </w:t>
      </w:r>
      <w:r w:rsidR="00110B99" w:rsidRPr="006F5D26">
        <w:rPr>
          <w:highlight w:val="yellow"/>
        </w:rPr>
        <w:t>376</w:t>
      </w:r>
      <w:r w:rsidRPr="006F5D26">
        <w:rPr>
          <w:highlight w:val="yellow"/>
        </w:rPr>
        <w:t xml:space="preserve">. These values are sourced from the </w:t>
      </w:r>
      <w:r w:rsidR="00110B99" w:rsidRPr="006F5D26">
        <w:rPr>
          <w:rStyle w:val="Strong"/>
          <w:highlight w:val="yellow"/>
        </w:rPr>
        <w:t>RFM i</w:t>
      </w:r>
      <w:r w:rsidRPr="006F5D26">
        <w:rPr>
          <w:rStyle w:val="Strong"/>
          <w:highlight w:val="yellow"/>
        </w:rPr>
        <w:t>nput</w:t>
      </w:r>
      <w:r w:rsidRPr="006F5D26">
        <w:rPr>
          <w:highlight w:val="yellow"/>
        </w:rPr>
        <w:t xml:space="preserve"> sheet. Row </w:t>
      </w:r>
      <w:r w:rsidR="00110B99" w:rsidRPr="006F5D26">
        <w:rPr>
          <w:highlight w:val="yellow"/>
        </w:rPr>
        <w:t>326</w:t>
      </w:r>
      <w:r w:rsidRPr="006F5D26">
        <w:rPr>
          <w:highlight w:val="yellow"/>
        </w:rPr>
        <w:t xml:space="preserve"> displays the sum of each asset class values for rows </w:t>
      </w:r>
      <w:r w:rsidR="00110B99" w:rsidRPr="006F5D26">
        <w:rPr>
          <w:highlight w:val="yellow"/>
        </w:rPr>
        <w:t>327</w:t>
      </w:r>
      <w:r w:rsidRPr="006F5D26">
        <w:rPr>
          <w:highlight w:val="yellow"/>
        </w:rPr>
        <w:t xml:space="preserve"> to </w:t>
      </w:r>
      <w:r w:rsidR="00110B99" w:rsidRPr="006F5D26">
        <w:rPr>
          <w:highlight w:val="yellow"/>
        </w:rPr>
        <w:t>376</w:t>
      </w:r>
      <w:r w:rsidRPr="006F5D26">
        <w:rPr>
          <w:highlight w:val="yellow"/>
        </w:rPr>
        <w:t>.</w:t>
      </w:r>
    </w:p>
    <w:p w:rsidR="000B4909" w:rsidRPr="006F5D26" w:rsidRDefault="000B4909" w:rsidP="000B4909">
      <w:pPr>
        <w:rPr>
          <w:highlight w:val="yellow"/>
        </w:rPr>
      </w:pPr>
      <w:r w:rsidRPr="006F5D26">
        <w:rPr>
          <w:highlight w:val="yellow"/>
        </w:rPr>
        <w:t xml:space="preserve">The differences between the actual and forecast </w:t>
      </w:r>
      <w:r w:rsidR="00110B99" w:rsidRPr="006F5D26">
        <w:rPr>
          <w:highlight w:val="yellow"/>
        </w:rPr>
        <w:t>net capex (as-commissioned)</w:t>
      </w:r>
      <w:r w:rsidRPr="006F5D26">
        <w:rPr>
          <w:highlight w:val="yellow"/>
        </w:rPr>
        <w:t xml:space="preserve"> values for each asset class are calculated in rows </w:t>
      </w:r>
      <w:r w:rsidR="00110B99" w:rsidRPr="006F5D26">
        <w:rPr>
          <w:highlight w:val="yellow"/>
        </w:rPr>
        <w:t>379</w:t>
      </w:r>
      <w:r w:rsidRPr="006F5D26">
        <w:rPr>
          <w:highlight w:val="yellow"/>
        </w:rPr>
        <w:t xml:space="preserve"> to </w:t>
      </w:r>
      <w:r w:rsidR="00110B99" w:rsidRPr="006F5D26">
        <w:rPr>
          <w:highlight w:val="yellow"/>
        </w:rPr>
        <w:t>428</w:t>
      </w:r>
      <w:r w:rsidRPr="006F5D26">
        <w:rPr>
          <w:highlight w:val="yellow"/>
        </w:rPr>
        <w:t xml:space="preserve">. </w:t>
      </w:r>
      <w:r w:rsidR="00110B99" w:rsidRPr="006F5D26">
        <w:rPr>
          <w:highlight w:val="yellow"/>
        </w:rPr>
        <w:t xml:space="preserve">These values are indexed by actual CPI to the end of the current regulatory control period. </w:t>
      </w:r>
      <w:r w:rsidRPr="006F5D26">
        <w:rPr>
          <w:highlight w:val="yellow"/>
        </w:rPr>
        <w:t xml:space="preserve">Row </w:t>
      </w:r>
      <w:r w:rsidR="00110B99" w:rsidRPr="006F5D26">
        <w:rPr>
          <w:highlight w:val="yellow"/>
        </w:rPr>
        <w:t>378</w:t>
      </w:r>
      <w:r w:rsidRPr="006F5D26">
        <w:rPr>
          <w:highlight w:val="yellow"/>
        </w:rPr>
        <w:t xml:space="preserve"> displays the sum of each asset class calculations for those rows. </w:t>
      </w:r>
    </w:p>
    <w:p w:rsidR="000B4909" w:rsidRPr="000B4909" w:rsidRDefault="000B4909" w:rsidP="000B4909">
      <w:r w:rsidRPr="006F5D26">
        <w:rPr>
          <w:highlight w:val="yellow"/>
        </w:rPr>
        <w:t xml:space="preserve">Finally, in rows </w:t>
      </w:r>
      <w:r w:rsidR="00897D95" w:rsidRPr="006F5D26">
        <w:rPr>
          <w:highlight w:val="yellow"/>
        </w:rPr>
        <w:t>430</w:t>
      </w:r>
      <w:r w:rsidRPr="006F5D26">
        <w:rPr>
          <w:highlight w:val="yellow"/>
        </w:rPr>
        <w:t xml:space="preserve"> to </w:t>
      </w:r>
      <w:r w:rsidR="00897D95" w:rsidRPr="006F5D26">
        <w:rPr>
          <w:highlight w:val="yellow"/>
        </w:rPr>
        <w:t>530</w:t>
      </w:r>
      <w:r w:rsidRPr="006F5D26">
        <w:rPr>
          <w:highlight w:val="yellow"/>
        </w:rPr>
        <w:t xml:space="preserve"> a </w:t>
      </w:r>
      <w:r w:rsidR="00897D95" w:rsidRPr="006F5D26">
        <w:rPr>
          <w:highlight w:val="yellow"/>
        </w:rPr>
        <w:t>real</w:t>
      </w:r>
      <w:r w:rsidRPr="006F5D26">
        <w:rPr>
          <w:highlight w:val="yellow"/>
        </w:rPr>
        <w:t xml:space="preserve"> vanilla WACC (row </w:t>
      </w:r>
      <w:r w:rsidR="00897D95" w:rsidRPr="006F5D26">
        <w:rPr>
          <w:highlight w:val="yellow"/>
        </w:rPr>
        <w:t>9</w:t>
      </w:r>
      <w:r w:rsidRPr="006F5D26">
        <w:rPr>
          <w:highlight w:val="yellow"/>
        </w:rPr>
        <w:t xml:space="preserve">) is applied to calculate the </w:t>
      </w:r>
      <w:r w:rsidR="00897D95" w:rsidRPr="006F5D26">
        <w:rPr>
          <w:highlight w:val="yellow"/>
        </w:rPr>
        <w:t xml:space="preserve">real </w:t>
      </w:r>
      <w:r w:rsidRPr="006F5D26">
        <w:rPr>
          <w:highlight w:val="yellow"/>
        </w:rPr>
        <w:t>return on the difference</w:t>
      </w:r>
      <w:r w:rsidR="00897D95" w:rsidRPr="006F5D26">
        <w:rPr>
          <w:highlight w:val="yellow"/>
        </w:rPr>
        <w:t xml:space="preserve"> associated with forecast and actual net capex (as-incurred)</w:t>
      </w:r>
      <w:r w:rsidRPr="006F5D26">
        <w:rPr>
          <w:highlight w:val="yellow"/>
        </w:rPr>
        <w:t xml:space="preserve">, which is compounded to the end of the current regulatory control period. The total compounded </w:t>
      </w:r>
      <w:r w:rsidR="00897D95" w:rsidRPr="006F5D26">
        <w:rPr>
          <w:highlight w:val="yellow"/>
        </w:rPr>
        <w:t xml:space="preserve">real </w:t>
      </w:r>
      <w:r w:rsidRPr="006F5D26">
        <w:rPr>
          <w:highlight w:val="yellow"/>
        </w:rPr>
        <w:t xml:space="preserve">return at the end of the current regulatory control period is displayed in row </w:t>
      </w:r>
      <w:r w:rsidR="00897D95" w:rsidRPr="006F5D26">
        <w:rPr>
          <w:highlight w:val="yellow"/>
        </w:rPr>
        <w:t>531</w:t>
      </w:r>
      <w:r w:rsidRPr="006F5D26">
        <w:rPr>
          <w:highlight w:val="yellow"/>
        </w:rPr>
        <w:t xml:space="preserve">. This value is linked to the </w:t>
      </w:r>
      <w:r w:rsidRPr="006F5D26">
        <w:rPr>
          <w:rStyle w:val="Strong"/>
          <w:highlight w:val="yellow"/>
        </w:rPr>
        <w:t>Total RAB roll forward</w:t>
      </w:r>
      <w:r w:rsidRPr="006F5D26">
        <w:rPr>
          <w:highlight w:val="yellow"/>
        </w:rPr>
        <w:t xml:space="preserve"> sheet.</w:t>
      </w:r>
    </w:p>
    <w:p w:rsidR="000B4909" w:rsidRPr="000B4909" w:rsidRDefault="000B4909" w:rsidP="003671EE">
      <w:pPr>
        <w:pStyle w:val="Heading2"/>
      </w:pPr>
      <w:bookmarkStart w:id="50" w:name="_Toc423696203"/>
      <w:r w:rsidRPr="000B4909">
        <w:t>RAB roll forward sheet</w:t>
      </w:r>
      <w:bookmarkEnd w:id="50"/>
    </w:p>
    <w:p w:rsidR="00E05F31" w:rsidRDefault="000B4909" w:rsidP="000B4909">
      <w:r w:rsidRPr="000B4909">
        <w:t xml:space="preserve">The </w:t>
      </w:r>
      <w:r w:rsidRPr="003A48E6">
        <w:rPr>
          <w:rStyle w:val="Strong"/>
        </w:rPr>
        <w:t>RAB roll forward</w:t>
      </w:r>
      <w:r w:rsidRPr="000B4909">
        <w:t xml:space="preserve"> sheet calculates the nominal closing RAB (which becomes the opening RAB) for each year of the current regulatory control period using the partially as-incurred and as-commissioned approaches. Under clause</w:t>
      </w:r>
      <w:r w:rsidR="00E05F31">
        <w:t>s</w:t>
      </w:r>
      <w:r w:rsidRPr="000B4909">
        <w:t xml:space="preserve"> </w:t>
      </w:r>
      <w:r w:rsidR="00E05F31">
        <w:t xml:space="preserve">6A.6.1(e) and </w:t>
      </w:r>
      <w:r w:rsidRPr="000B4909">
        <w:t>S6A.2.1 of the NER, in rolling forward the RAB each year during the current regulatory control period, the AER must have regard to actual data such as capex and inflation outcomes. Accordingly, the opening RAB (based on either the partially as-incurred or as-commissioned approaches) for the first year of the current regulatory control period is rolled forward for</w:t>
      </w:r>
      <w:r w:rsidR="00E05F31">
        <w:t>:</w:t>
      </w:r>
    </w:p>
    <w:p w:rsidR="00E05F31" w:rsidRDefault="000B4909" w:rsidP="006F5D26">
      <w:pPr>
        <w:pStyle w:val="Bulletpoint"/>
      </w:pPr>
      <w:r w:rsidRPr="000B4909">
        <w:t xml:space="preserve">actual net capex (as-incurred or as-commissioned) </w:t>
      </w:r>
    </w:p>
    <w:p w:rsidR="000B4909" w:rsidRPr="000B4909" w:rsidRDefault="000B4909" w:rsidP="006F5D26">
      <w:pPr>
        <w:pStyle w:val="Bulletpoint"/>
      </w:pPr>
      <w:r w:rsidRPr="000B4909">
        <w:t xml:space="preserve">regulatory depreciation values </w:t>
      </w:r>
      <w:r w:rsidR="00E05F31">
        <w:t>(</w:t>
      </w:r>
      <w:r w:rsidRPr="000B4909">
        <w:t>adjusted for actual inflation</w:t>
      </w:r>
      <w:r w:rsidR="00E05F31">
        <w:t>)</w:t>
      </w:r>
      <w:r w:rsidRPr="000B4909">
        <w:t>.</w:t>
      </w:r>
      <w:r w:rsidR="00E05F31">
        <w:rPr>
          <w:rStyle w:val="FootnoteReference"/>
        </w:rPr>
        <w:footnoteReference w:id="19"/>
      </w:r>
    </w:p>
    <w:p w:rsidR="000B4909" w:rsidRPr="000B4909" w:rsidRDefault="00145B5D">
      <w:r w:rsidRPr="006F5D26">
        <w:rPr>
          <w:highlight w:val="yellow"/>
        </w:rPr>
        <w:t xml:space="preserve">Depending on which option for depreciation has been selected in the </w:t>
      </w:r>
      <w:r w:rsidRPr="006F5D26">
        <w:rPr>
          <w:rStyle w:val="Bold"/>
          <w:highlight w:val="yellow"/>
        </w:rPr>
        <w:t>RFM input</w:t>
      </w:r>
      <w:r w:rsidRPr="006F5D26">
        <w:rPr>
          <w:highlight w:val="yellow"/>
        </w:rPr>
        <w:t xml:space="preserve"> sheet, the RAB roll forward calculations will use either forecast straight-line depreciation or actual straight-line depreciation. The option to be selected must be consistent with that set out in current revenue determination for the TNSP. Forecast straight-line depreciation refers to the amounts approved for the current regulatory control period, reflecting forecast capex used for the current revenue determination. </w:t>
      </w:r>
      <w:r w:rsidR="00E17C66" w:rsidRPr="006F5D26">
        <w:rPr>
          <w:highlight w:val="yellow"/>
        </w:rPr>
        <w:t>Actual straight-line depreciation uses the amounts that are calculated based on actual capex commissioned during the current regulatory control period.</w:t>
      </w:r>
      <w:r>
        <w:t xml:space="preserve"> </w:t>
      </w:r>
    </w:p>
    <w:p w:rsidR="000B4909" w:rsidRDefault="000B4909" w:rsidP="000B4909">
      <w:r w:rsidRPr="006F5D26">
        <w:rPr>
          <w:highlight w:val="yellow"/>
        </w:rPr>
        <w:t xml:space="preserve">The process for rolling forward the RAB from year to year </w:t>
      </w:r>
      <w:r w:rsidR="006D58FC" w:rsidRPr="006F5D26">
        <w:rPr>
          <w:highlight w:val="yellow"/>
        </w:rPr>
        <w:t xml:space="preserve">over the current regulatory control period, </w:t>
      </w:r>
      <w:r w:rsidRPr="006F5D26">
        <w:rPr>
          <w:highlight w:val="yellow"/>
        </w:rPr>
        <w:t>under</w:t>
      </w:r>
      <w:r w:rsidR="002B49FF" w:rsidRPr="006F5D26">
        <w:rPr>
          <w:highlight w:val="yellow"/>
        </w:rPr>
        <w:t xml:space="preserve"> </w:t>
      </w:r>
      <w:r w:rsidRPr="006F5D26">
        <w:rPr>
          <w:highlight w:val="yellow"/>
        </w:rPr>
        <w:t>the partially as-incurred approach for recognising capex</w:t>
      </w:r>
      <w:r w:rsidR="006D58FC" w:rsidRPr="006F5D26">
        <w:rPr>
          <w:highlight w:val="yellow"/>
        </w:rPr>
        <w:t>,</w:t>
      </w:r>
      <w:r w:rsidRPr="006F5D26">
        <w:rPr>
          <w:highlight w:val="yellow"/>
        </w:rPr>
        <w:t xml:space="preserve"> is set out in</w:t>
      </w:r>
      <w:r w:rsidR="00F27D32" w:rsidRPr="006F5D26">
        <w:rPr>
          <w:highlight w:val="yellow"/>
        </w:rPr>
        <w:t xml:space="preserve"> </w:t>
      </w:r>
      <w:r w:rsidR="00F27D32" w:rsidRPr="006F5D26">
        <w:rPr>
          <w:highlight w:val="yellow"/>
        </w:rPr>
        <w:fldChar w:fldCharType="begin"/>
      </w:r>
      <w:r w:rsidR="00F27D32" w:rsidRPr="006F5D26">
        <w:rPr>
          <w:highlight w:val="yellow"/>
        </w:rPr>
        <w:instrText xml:space="preserve"> REF _Ref420594921 \h </w:instrText>
      </w:r>
      <w:r w:rsidR="006F5D26">
        <w:rPr>
          <w:highlight w:val="yellow"/>
        </w:rPr>
        <w:instrText xml:space="preserve"> \* MERGEFORMAT </w:instrText>
      </w:r>
      <w:r w:rsidR="00F27D32" w:rsidRPr="006F5D26">
        <w:rPr>
          <w:highlight w:val="yellow"/>
        </w:rPr>
      </w:r>
      <w:r w:rsidR="00F27D32" w:rsidRPr="006F5D26">
        <w:rPr>
          <w:highlight w:val="yellow"/>
        </w:rPr>
        <w:fldChar w:fldCharType="separate"/>
      </w:r>
      <w:r w:rsidR="00F92CE8" w:rsidRPr="00F92CE8">
        <w:rPr>
          <w:highlight w:val="yellow"/>
        </w:rPr>
        <w:t xml:space="preserve">Box </w:t>
      </w:r>
      <w:r w:rsidR="00F92CE8" w:rsidRPr="00F92CE8">
        <w:rPr>
          <w:noProof/>
          <w:highlight w:val="yellow"/>
        </w:rPr>
        <w:t>3</w:t>
      </w:r>
      <w:r w:rsidR="00F27D32" w:rsidRPr="006F5D26">
        <w:rPr>
          <w:highlight w:val="yellow"/>
        </w:rPr>
        <w:fldChar w:fldCharType="end"/>
      </w:r>
      <w:r w:rsidR="00B223FB" w:rsidRPr="006F5D26">
        <w:rPr>
          <w:highlight w:val="yellow"/>
        </w:rPr>
        <w:t>.</w:t>
      </w:r>
      <w:r w:rsidR="00B5191C" w:rsidRPr="006F5D26">
        <w:rPr>
          <w:rStyle w:val="FootnoteReference"/>
          <w:highlight w:val="yellow"/>
        </w:rPr>
        <w:footnoteReference w:id="20"/>
      </w:r>
      <w:r w:rsidR="002B49FF" w:rsidRPr="006F5D26">
        <w:rPr>
          <w:highlight w:val="yellow"/>
        </w:rPr>
        <w:t xml:space="preserve"> The same process applies for rolling forward the RAB under the as-commissioned approach for recognising capex.</w:t>
      </w:r>
    </w:p>
    <w:p w:rsidR="00A72F64" w:rsidRDefault="00A72F64" w:rsidP="000B4909"/>
    <w:p w:rsidR="00A72F64" w:rsidRPr="000B4909" w:rsidRDefault="00A72F64" w:rsidP="000B4909"/>
    <w:p w:rsidR="000B4909" w:rsidRPr="000B4909" w:rsidRDefault="000B4909" w:rsidP="00F27D32">
      <w:pPr>
        <w:pStyle w:val="NoSpacing"/>
      </w:pPr>
    </w:p>
    <w:tbl>
      <w:tblPr>
        <w:tblStyle w:val="AERTable-Text"/>
        <w:tblW w:w="0" w:type="auto"/>
        <w:tblLook w:val="04A0" w:firstRow="1" w:lastRow="0" w:firstColumn="1" w:lastColumn="0" w:noHBand="0" w:noVBand="1"/>
      </w:tblPr>
      <w:tblGrid>
        <w:gridCol w:w="9242"/>
      </w:tblGrid>
      <w:tr w:rsidR="00B223FB" w:rsidTr="00B223FB">
        <w:trPr>
          <w:cnfStyle w:val="100000000000" w:firstRow="1" w:lastRow="0" w:firstColumn="0" w:lastColumn="0" w:oddVBand="0" w:evenVBand="0" w:oddHBand="0" w:evenHBand="0" w:firstRowFirstColumn="0" w:firstRowLastColumn="0" w:lastRowFirstColumn="0" w:lastRowLastColumn="0"/>
        </w:trPr>
        <w:tc>
          <w:tcPr>
            <w:tcW w:w="9242" w:type="dxa"/>
          </w:tcPr>
          <w:p w:rsidR="00B223FB" w:rsidRDefault="00F27D32" w:rsidP="00F72795">
            <w:pPr>
              <w:pStyle w:val="Tabletext"/>
            </w:pPr>
            <w:bookmarkStart w:id="51" w:name="_Ref420594921"/>
            <w:r>
              <w:t xml:space="preserve">Box </w:t>
            </w:r>
            <w:fldSimple w:instr=" SEQ Box \* ARABIC ">
              <w:r w:rsidR="00F92CE8">
                <w:rPr>
                  <w:noProof/>
                </w:rPr>
                <w:t>3</w:t>
              </w:r>
            </w:fldSimple>
            <w:bookmarkEnd w:id="51"/>
            <w:r w:rsidRPr="00F27D32">
              <w:t xml:space="preserve"> </w:t>
            </w:r>
            <w:r>
              <w:tab/>
            </w:r>
            <w:r w:rsidRPr="00F27D32">
              <w:t>Rolling forward the RAB (partially as-incurred) in</w:t>
            </w:r>
            <w:r>
              <w:t xml:space="preserve"> the </w:t>
            </w:r>
            <w:r w:rsidRPr="00F27D32">
              <w:t>current regulatory control period</w:t>
            </w:r>
          </w:p>
        </w:tc>
      </w:tr>
      <w:tr w:rsidR="00B223FB" w:rsidTr="00B223FB">
        <w:tc>
          <w:tcPr>
            <w:tcW w:w="9242" w:type="dxa"/>
          </w:tcPr>
          <w:p w:rsidR="00B223FB" w:rsidRPr="006F5D26" w:rsidRDefault="00B223FB" w:rsidP="00B223FB">
            <w:pPr>
              <w:rPr>
                <w:rStyle w:val="Bold"/>
              </w:rPr>
            </w:pPr>
            <w:r w:rsidRPr="006F5D26">
              <w:rPr>
                <w:rStyle w:val="Bold"/>
              </w:rPr>
              <w:t>Rolling forward actual net capex and depreciation amounts into the RAB</w:t>
            </w:r>
          </w:p>
          <w:p w:rsidR="000A6272" w:rsidRDefault="00F27D32" w:rsidP="00F27D32">
            <w:r w:rsidRPr="000B4909">
              <w:t xml:space="preserve">    </w:t>
            </w:r>
            <w:r w:rsidR="000A6272">
              <w:tab/>
            </w:r>
            <w:r w:rsidRPr="000B4909">
              <w:t>Opening RAB (partially as-incurred) for year 1 of the current</w:t>
            </w:r>
            <w:r w:rsidR="00977CDB">
              <w:t xml:space="preserve"> </w:t>
            </w:r>
            <w:r w:rsidRPr="000B4909">
              <w:t>regulatory control period</w:t>
            </w:r>
            <w:r w:rsidR="000A6272">
              <w:t xml:space="preserve"> </w:t>
            </w:r>
            <w:r w:rsidRPr="000B4909">
              <w:t xml:space="preserve">+  </w:t>
            </w:r>
          </w:p>
          <w:p w:rsidR="000A6272" w:rsidRDefault="000A6272" w:rsidP="00F27D32">
            <w:r>
              <w:tab/>
            </w:r>
            <w:r w:rsidR="00F27D32" w:rsidRPr="000B4909">
              <w:t xml:space="preserve">Nominal actual net capex (as-incurred) for year 1 –  </w:t>
            </w:r>
          </w:p>
          <w:p w:rsidR="000A6272" w:rsidRDefault="000A6272" w:rsidP="00F27D32">
            <w:r>
              <w:tab/>
            </w:r>
            <w:r w:rsidR="00F27D32" w:rsidRPr="000B4909">
              <w:t xml:space="preserve">Nominal regulatory depreciation </w:t>
            </w:r>
            <w:r w:rsidR="003F219D">
              <w:t xml:space="preserve">(partially as-incurred) </w:t>
            </w:r>
            <w:r w:rsidR="00F27D32" w:rsidRPr="000B4909">
              <w:t>for year 1</w:t>
            </w:r>
            <w:r>
              <w:t xml:space="preserve"> </w:t>
            </w:r>
            <w:r w:rsidR="00F27D32" w:rsidRPr="000B4909">
              <w:t xml:space="preserve">=  </w:t>
            </w:r>
          </w:p>
          <w:p w:rsidR="000A6272" w:rsidRDefault="000A6272" w:rsidP="00F27D32">
            <w:r>
              <w:tab/>
            </w:r>
            <w:r w:rsidR="00F27D32" w:rsidRPr="000B4909">
              <w:t>Closing RAB (partially as-incurred) for year 1 of the current regulatory control period</w:t>
            </w:r>
            <w:r>
              <w:t xml:space="preserve">. This </w:t>
            </w:r>
            <w:r>
              <w:tab/>
              <w:t>becomes:</w:t>
            </w:r>
            <w:r w:rsidR="00F27D32" w:rsidRPr="000B4909">
              <w:t xml:space="preserve">  </w:t>
            </w:r>
          </w:p>
          <w:p w:rsidR="000A6272" w:rsidRDefault="000A6272" w:rsidP="00F27D32">
            <w:r>
              <w:tab/>
            </w:r>
            <w:r w:rsidR="00F27D32" w:rsidRPr="000B4909">
              <w:t>Opening RAB (partially as-incurred) for year 2 of the current regulatory control period</w:t>
            </w:r>
            <w:r>
              <w:t xml:space="preserve"> </w:t>
            </w:r>
            <w:r w:rsidR="00F27D32" w:rsidRPr="000B4909">
              <w:t xml:space="preserve">+  </w:t>
            </w:r>
          </w:p>
          <w:p w:rsidR="000A6272" w:rsidRDefault="000A6272" w:rsidP="00F27D32">
            <w:r>
              <w:tab/>
            </w:r>
            <w:r w:rsidR="00F27D32" w:rsidRPr="000B4909">
              <w:t xml:space="preserve">Nominal actual net capex </w:t>
            </w:r>
            <w:r>
              <w:t xml:space="preserve">(as-incurred) </w:t>
            </w:r>
            <w:r w:rsidR="00F27D32" w:rsidRPr="000B4909">
              <w:t xml:space="preserve">for year 2 –  </w:t>
            </w:r>
          </w:p>
          <w:p w:rsidR="000A6272" w:rsidRDefault="000A6272" w:rsidP="00F27D32">
            <w:r>
              <w:tab/>
            </w:r>
            <w:r w:rsidR="00F27D32" w:rsidRPr="000B4909">
              <w:t xml:space="preserve">Nominal regulatory depreciation </w:t>
            </w:r>
            <w:r w:rsidR="003F219D">
              <w:t xml:space="preserve">(partially as-incurred) </w:t>
            </w:r>
            <w:r w:rsidR="00F27D32" w:rsidRPr="000B4909">
              <w:t>for year 2</w:t>
            </w:r>
            <w:r>
              <w:t xml:space="preserve"> </w:t>
            </w:r>
            <w:r w:rsidR="00F27D32" w:rsidRPr="000B4909">
              <w:t xml:space="preserve">=  </w:t>
            </w:r>
          </w:p>
          <w:p w:rsidR="000A6272" w:rsidRDefault="000A6272" w:rsidP="00F27D32">
            <w:r>
              <w:tab/>
            </w:r>
            <w:r w:rsidR="00F27D32" w:rsidRPr="000B4909">
              <w:t>Closing RAB (partially as-incurred) for year 2 of the current regulatory control period</w:t>
            </w:r>
            <w:r>
              <w:t xml:space="preserve">. This </w:t>
            </w:r>
            <w:r>
              <w:tab/>
              <w:t>becomes:</w:t>
            </w:r>
            <w:r w:rsidR="00F27D32" w:rsidRPr="000B4909">
              <w:t xml:space="preserve">  </w:t>
            </w:r>
          </w:p>
          <w:p w:rsidR="00F27D32" w:rsidRPr="000B4909" w:rsidRDefault="000A6272" w:rsidP="00F27D32">
            <w:r>
              <w:tab/>
            </w:r>
            <w:r w:rsidR="00F27D32" w:rsidRPr="000B4909">
              <w:t>Opening RAB (partially as-incurred) for year 3 of the current regulatory control period</w:t>
            </w:r>
          </w:p>
          <w:p w:rsidR="000A6272" w:rsidRDefault="000A6272" w:rsidP="00F27D32">
            <w:r>
              <w:tab/>
            </w:r>
            <w:r w:rsidR="00F27D32" w:rsidRPr="000B4909">
              <w:t>…</w:t>
            </w:r>
            <w:r>
              <w:t xml:space="preserve"> </w:t>
            </w:r>
            <w:r w:rsidR="00F27D32" w:rsidRPr="000B4909">
              <w:t xml:space="preserve">=  </w:t>
            </w:r>
          </w:p>
          <w:p w:rsidR="002B49FF" w:rsidRDefault="000A6272">
            <w:r>
              <w:tab/>
            </w:r>
            <w:r w:rsidR="00F27D32" w:rsidRPr="000B4909">
              <w:t>Closing RAB (partially as-incurred) for year 5 of the current regulatory control period</w:t>
            </w:r>
            <w:r w:rsidR="002B49FF">
              <w:t xml:space="preserve"> </w:t>
            </w:r>
            <w:r w:rsidR="00F27D32" w:rsidRPr="000B4909">
              <w:t xml:space="preserve">=  </w:t>
            </w:r>
          </w:p>
          <w:p w:rsidR="00F27D32" w:rsidRDefault="002B49FF">
            <w:r>
              <w:tab/>
            </w:r>
            <w:r w:rsidR="00F27D32" w:rsidRPr="000B4909">
              <w:t>Interim closing RAB (partially as-incurred) for the current regulatory control period</w:t>
            </w:r>
            <w:r w:rsidR="009C24ED">
              <w:t>.</w:t>
            </w:r>
          </w:p>
        </w:tc>
      </w:tr>
      <w:tr w:rsidR="00B223FB" w:rsidTr="00B223FB">
        <w:trPr>
          <w:cnfStyle w:val="000000010000" w:firstRow="0" w:lastRow="0" w:firstColumn="0" w:lastColumn="0" w:oddVBand="0" w:evenVBand="0" w:oddHBand="0" w:evenHBand="1" w:firstRowFirstColumn="0" w:firstRowLastColumn="0" w:lastRowFirstColumn="0" w:lastRowLastColumn="0"/>
        </w:trPr>
        <w:tc>
          <w:tcPr>
            <w:tcW w:w="9242" w:type="dxa"/>
          </w:tcPr>
          <w:p w:rsidR="00B223FB" w:rsidRPr="000B4909" w:rsidRDefault="00B223FB" w:rsidP="00B223FB">
            <w:r w:rsidRPr="000B4909">
              <w:t>Where:</w:t>
            </w:r>
          </w:p>
          <w:p w:rsidR="00B223FB" w:rsidRPr="000B4909" w:rsidRDefault="00B223FB" w:rsidP="00B223FB">
            <w:pPr>
              <w:pStyle w:val="ListBullet"/>
            </w:pPr>
            <w:r w:rsidRPr="000B4909">
              <w:t>Opening RAB (partially as-incurred) for year 1 of the current regulatory control period = closing RAB (partially as-incurred) for the final year of the previous regulatory control period.</w:t>
            </w:r>
          </w:p>
          <w:p w:rsidR="00B223FB" w:rsidRPr="000B4909" w:rsidRDefault="00B223FB" w:rsidP="00B223FB">
            <w:pPr>
              <w:pStyle w:val="ListBullet"/>
            </w:pPr>
            <w:r w:rsidRPr="000B4909">
              <w:t>Nominal actual net capex (as-incurred) = real actual net capex (as-incurred, including half-nominal vanilla WACC allowance) adjusted for actual inflation.</w:t>
            </w:r>
          </w:p>
          <w:p w:rsidR="00B223FB" w:rsidRPr="000B4909" w:rsidRDefault="00B223FB" w:rsidP="00B223FB">
            <w:pPr>
              <w:pStyle w:val="ListBullet"/>
            </w:pPr>
            <w:r w:rsidRPr="000B4909">
              <w:t xml:space="preserve">Nominal regulatory depreciation </w:t>
            </w:r>
            <w:r w:rsidR="003F219D">
              <w:t xml:space="preserve">(partially as-incurred) </w:t>
            </w:r>
            <w:r w:rsidRPr="000B4909">
              <w:t xml:space="preserve">= Nominal straight-line depreciation </w:t>
            </w:r>
            <w:r w:rsidR="003F219D">
              <w:t xml:space="preserve">(as-commissioned) </w:t>
            </w:r>
            <w:r w:rsidRPr="000B4909">
              <w:t>– actual inflation adjustment on the opening RAB</w:t>
            </w:r>
            <w:r w:rsidR="003F219D">
              <w:t xml:space="preserve"> (partially as-incurred)</w:t>
            </w:r>
            <w:r w:rsidRPr="000B4909">
              <w:t>.</w:t>
            </w:r>
          </w:p>
          <w:p w:rsidR="00B223FB" w:rsidRPr="000B4909" w:rsidRDefault="00B223FB" w:rsidP="00B223FB">
            <w:r w:rsidRPr="000B4909">
              <w:t>Note</w:t>
            </w:r>
            <w:r w:rsidR="00BE4A06">
              <w:t>s</w:t>
            </w:r>
            <w:r w:rsidRPr="000B4909">
              <w:t>:</w:t>
            </w:r>
          </w:p>
          <w:p w:rsidR="00472EE8" w:rsidRPr="006F5D26" w:rsidRDefault="00B223FB" w:rsidP="006F5D26">
            <w:pPr>
              <w:pStyle w:val="Bulletpoint"/>
              <w:rPr>
                <w:highlight w:val="yellow"/>
              </w:rPr>
            </w:pPr>
            <w:r w:rsidRPr="006F5D26">
              <w:rPr>
                <w:highlight w:val="yellow"/>
              </w:rPr>
              <w:t xml:space="preserve">The interim closing RAB (partially as-incurred) for the current regulatory period </w:t>
            </w:r>
            <w:r w:rsidR="002B49FF" w:rsidRPr="006F5D26">
              <w:rPr>
                <w:highlight w:val="yellow"/>
              </w:rPr>
              <w:t xml:space="preserve">plus the final adjustments for the </w:t>
            </w:r>
            <w:r w:rsidR="00C173A0" w:rsidRPr="006F5D26">
              <w:rPr>
                <w:highlight w:val="yellow"/>
              </w:rPr>
              <w:t>final year of the current</w:t>
            </w:r>
            <w:r w:rsidR="002B49FF" w:rsidRPr="006F5D26">
              <w:rPr>
                <w:highlight w:val="yellow"/>
              </w:rPr>
              <w:t xml:space="preserve"> regulatory control period (these adjustments are made in the </w:t>
            </w:r>
            <w:r w:rsidR="002B49FF" w:rsidRPr="006F5D26">
              <w:rPr>
                <w:rStyle w:val="Strong"/>
                <w:highlight w:val="yellow"/>
              </w:rPr>
              <w:t>Total RAB roll forward</w:t>
            </w:r>
            <w:r w:rsidR="002B49FF" w:rsidRPr="006F5D26">
              <w:rPr>
                <w:highlight w:val="yellow"/>
              </w:rPr>
              <w:t xml:space="preserve"> sheet—see </w:t>
            </w:r>
            <w:r w:rsidR="002B49FF" w:rsidRPr="006F5D26">
              <w:rPr>
                <w:highlight w:val="yellow"/>
              </w:rPr>
              <w:fldChar w:fldCharType="begin"/>
            </w:r>
            <w:r w:rsidR="002B49FF" w:rsidRPr="006F5D26">
              <w:rPr>
                <w:highlight w:val="yellow"/>
              </w:rPr>
              <w:instrText xml:space="preserve"> REF _Ref420595061 \h </w:instrText>
            </w:r>
            <w:r w:rsidR="00472EE8" w:rsidRPr="006F5D26">
              <w:rPr>
                <w:highlight w:val="yellow"/>
              </w:rPr>
              <w:instrText xml:space="preserve"> \* MERGEFORMAT </w:instrText>
            </w:r>
            <w:r w:rsidR="002B49FF" w:rsidRPr="006F5D26">
              <w:rPr>
                <w:highlight w:val="yellow"/>
              </w:rPr>
            </w:r>
            <w:r w:rsidR="002B49FF" w:rsidRPr="006F5D26">
              <w:rPr>
                <w:highlight w:val="yellow"/>
              </w:rPr>
              <w:fldChar w:fldCharType="separate"/>
            </w:r>
            <w:r w:rsidR="00F92CE8" w:rsidRPr="00F92CE8">
              <w:rPr>
                <w:highlight w:val="yellow"/>
              </w:rPr>
              <w:t>Box 4</w:t>
            </w:r>
            <w:r w:rsidR="002B49FF" w:rsidRPr="006F5D26">
              <w:rPr>
                <w:highlight w:val="yellow"/>
              </w:rPr>
              <w:fldChar w:fldCharType="end"/>
            </w:r>
            <w:r w:rsidR="002B49FF" w:rsidRPr="006F5D26">
              <w:rPr>
                <w:highlight w:val="yellow"/>
              </w:rPr>
              <w:t xml:space="preserve"> for a description) </w:t>
            </w:r>
            <w:r w:rsidRPr="006F5D26">
              <w:rPr>
                <w:highlight w:val="yellow"/>
              </w:rPr>
              <w:t xml:space="preserve">becomes the opening RAB (partially as-incurred) for the next regulatory </w:t>
            </w:r>
            <w:r w:rsidR="002B49FF" w:rsidRPr="006F5D26">
              <w:rPr>
                <w:highlight w:val="yellow"/>
              </w:rPr>
              <w:t xml:space="preserve">control </w:t>
            </w:r>
            <w:r w:rsidRPr="006F5D26">
              <w:rPr>
                <w:highlight w:val="yellow"/>
              </w:rPr>
              <w:t>period.</w:t>
            </w:r>
          </w:p>
          <w:p w:rsidR="00472EE8" w:rsidRPr="00DB39B6" w:rsidRDefault="00472EE8" w:rsidP="006F5D26">
            <w:pPr>
              <w:pStyle w:val="Bulletpoint"/>
            </w:pPr>
            <w:r w:rsidRPr="006F5D26">
              <w:rPr>
                <w:highlight w:val="yellow"/>
              </w:rPr>
              <w:t>The roll forward of the RAB (as-commissioned) follows the same process, with as-commissioned actual net capex replacing as-incurred actual net capex</w:t>
            </w:r>
            <w:r w:rsidR="00057234" w:rsidRPr="006F5D26">
              <w:rPr>
                <w:highlight w:val="yellow"/>
              </w:rPr>
              <w:t>,</w:t>
            </w:r>
            <w:r w:rsidRPr="006F5D26">
              <w:rPr>
                <w:highlight w:val="yellow"/>
              </w:rPr>
              <w:t xml:space="preserve"> the as-commissioned opening/closing RAB replacing partially as-incurred opening/closing RAB</w:t>
            </w:r>
            <w:r w:rsidR="00057234" w:rsidRPr="006F5D26">
              <w:rPr>
                <w:highlight w:val="yellow"/>
              </w:rPr>
              <w:t>,</w:t>
            </w:r>
            <w:r w:rsidRPr="006F5D26">
              <w:rPr>
                <w:highlight w:val="yellow"/>
              </w:rPr>
              <w:t xml:space="preserve"> and as-commissioned regulatory depreciation replacing partially as-incurred regulatory depreciation.</w:t>
            </w:r>
          </w:p>
        </w:tc>
      </w:tr>
    </w:tbl>
    <w:p w:rsidR="000B4909" w:rsidRPr="000B4909" w:rsidRDefault="00F27D32" w:rsidP="000B4909">
      <w:r>
        <w:fldChar w:fldCharType="begin"/>
      </w:r>
      <w:r>
        <w:instrText xml:space="preserve"> REF _Ref420594990 \h </w:instrText>
      </w:r>
      <w:r>
        <w:fldChar w:fldCharType="separate"/>
      </w:r>
      <w:r w:rsidR="00F92CE8">
        <w:t xml:space="preserve">Figure </w:t>
      </w:r>
      <w:r w:rsidR="00F92CE8">
        <w:rPr>
          <w:noProof/>
        </w:rPr>
        <w:t>5</w:t>
      </w:r>
      <w:r>
        <w:fldChar w:fldCharType="end"/>
      </w:r>
      <w:r>
        <w:tab/>
      </w:r>
      <w:r w:rsidR="000B4909" w:rsidRPr="000B4909">
        <w:t xml:space="preserve">provides an example of the </w:t>
      </w:r>
      <w:r w:rsidR="000B4909" w:rsidRPr="003A48E6">
        <w:rPr>
          <w:rStyle w:val="Strong"/>
        </w:rPr>
        <w:t>RAB roll forward</w:t>
      </w:r>
      <w:r w:rsidR="000B4909" w:rsidRPr="000B4909">
        <w:t xml:space="preserve"> sheet.</w:t>
      </w:r>
    </w:p>
    <w:p w:rsidR="00F27D32" w:rsidRDefault="00F27D32" w:rsidP="00F27D32">
      <w:pPr>
        <w:pStyle w:val="Caption"/>
        <w:keepNext/>
      </w:pPr>
      <w:bookmarkStart w:id="52" w:name="_Ref420594990"/>
      <w:r>
        <w:t xml:space="preserve">Figure </w:t>
      </w:r>
      <w:fldSimple w:instr=" SEQ Figure \* ARABIC ">
        <w:r w:rsidR="00F92CE8">
          <w:rPr>
            <w:noProof/>
          </w:rPr>
          <w:t>5</w:t>
        </w:r>
      </w:fldSimple>
      <w:bookmarkEnd w:id="52"/>
      <w:r w:rsidRPr="00F27D32">
        <w:t xml:space="preserve"> </w:t>
      </w:r>
      <w:r>
        <w:tab/>
      </w:r>
      <w:r w:rsidRPr="00F27D32">
        <w:t>RAB roll forward sheet</w:t>
      </w:r>
    </w:p>
    <w:p w:rsidR="000B4909" w:rsidRPr="000B4909" w:rsidRDefault="006D25F0" w:rsidP="000B4909">
      <w:r>
        <w:rPr>
          <w:noProof/>
          <w:lang w:eastAsia="en-AU"/>
        </w:rPr>
        <w:drawing>
          <wp:inline distT="0" distB="0" distL="0" distR="0" wp14:anchorId="6E4875C6" wp14:editId="47C49336">
            <wp:extent cx="5731510" cy="4274751"/>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4274751"/>
                    </a:xfrm>
                    <a:prstGeom prst="rect">
                      <a:avLst/>
                    </a:prstGeom>
                  </pic:spPr>
                </pic:pic>
              </a:graphicData>
            </a:graphic>
          </wp:inline>
        </w:drawing>
      </w:r>
    </w:p>
    <w:p w:rsidR="000B4909" w:rsidRPr="000B4909" w:rsidRDefault="000B4909" w:rsidP="00FE4BB7">
      <w:pPr>
        <w:pStyle w:val="Heading3"/>
      </w:pPr>
      <w:bookmarkStart w:id="53" w:name="_Toc423696204"/>
      <w:r w:rsidRPr="000B4909">
        <w:t>Real asset values</w:t>
      </w:r>
      <w:bookmarkEnd w:id="53"/>
    </w:p>
    <w:p w:rsidR="000B4909" w:rsidRPr="000B4909" w:rsidRDefault="000B4909" w:rsidP="000B4909">
      <w:r w:rsidRPr="000B4909">
        <w:t xml:space="preserve">Real asset values are displayed in rows 11 to </w:t>
      </w:r>
      <w:r w:rsidR="00925272">
        <w:t>7</w:t>
      </w:r>
      <w:r w:rsidRPr="000B4909">
        <w:t xml:space="preserve">65. The real actual net capex values (as-incurred, including a half-nominal vanilla WACC allowance) for each asset class </w:t>
      </w:r>
      <w:r w:rsidR="00B5191C">
        <w:t xml:space="preserve">are displayed in rows 12 to </w:t>
      </w:r>
      <w:r w:rsidR="00925272">
        <w:t>6</w:t>
      </w:r>
      <w:r w:rsidR="00B5191C">
        <w:t>1.</w:t>
      </w:r>
      <w:r w:rsidR="00B5191C">
        <w:rPr>
          <w:rStyle w:val="FootnoteReference"/>
        </w:rPr>
        <w:footnoteReference w:id="21"/>
      </w:r>
      <w:r w:rsidRPr="000B4909">
        <w:t xml:space="preserve"> Row 11 displays the sum of each asset class values for those rows. The real actual net capex values (as-commissioned, including a half-nominal vanilla WACC allowance) for each asset class are displayed in rows </w:t>
      </w:r>
      <w:r w:rsidR="00925272">
        <w:t>6</w:t>
      </w:r>
      <w:r w:rsidRPr="000B4909">
        <w:t xml:space="preserve">4 to </w:t>
      </w:r>
      <w:r w:rsidR="00925272">
        <w:t>11</w:t>
      </w:r>
      <w:r w:rsidRPr="000B4909">
        <w:t xml:space="preserve">3. Row </w:t>
      </w:r>
      <w:r w:rsidR="00925272">
        <w:t>6</w:t>
      </w:r>
      <w:r w:rsidRPr="000B4909">
        <w:t>3 displays the sum of each asset class values for those rows.</w:t>
      </w:r>
    </w:p>
    <w:p w:rsidR="000B4909" w:rsidRPr="000B4909" w:rsidRDefault="000B4909" w:rsidP="000B4909">
      <w:r w:rsidRPr="000B4909">
        <w:t xml:space="preserve">The capex values (as-incurred and as-commissioned) for the current regulatory control period (sourced from the </w:t>
      </w:r>
      <w:r w:rsidR="00925272">
        <w:rPr>
          <w:rStyle w:val="Strong"/>
        </w:rPr>
        <w:t>RFM i</w:t>
      </w:r>
      <w:r w:rsidRPr="003A48E6">
        <w:rPr>
          <w:rStyle w:val="Strong"/>
        </w:rPr>
        <w:t>nput</w:t>
      </w:r>
      <w:r w:rsidRPr="000B4909">
        <w:t xml:space="preserve"> sheet) are those provided by the TNSP to the AER for the purpose of rolling forward </w:t>
      </w:r>
      <w:r w:rsidR="00925272">
        <w:t>its RAB</w:t>
      </w:r>
      <w:r w:rsidRPr="000B4909">
        <w:t xml:space="preserve"> to the end of the current regulatory control period.</w:t>
      </w:r>
    </w:p>
    <w:p w:rsidR="000B4909" w:rsidRPr="000B4909" w:rsidRDefault="000B4909" w:rsidP="000B4909">
      <w:r w:rsidRPr="009876E9">
        <w:rPr>
          <w:highlight w:val="yellow"/>
        </w:rPr>
        <w:t xml:space="preserve">The real straight-line depreciation values for each asset class </w:t>
      </w:r>
      <w:r w:rsidR="00925272" w:rsidRPr="009876E9">
        <w:rPr>
          <w:highlight w:val="yellow"/>
        </w:rPr>
        <w:t xml:space="preserve">are set out at </w:t>
      </w:r>
      <w:r w:rsidRPr="009876E9">
        <w:rPr>
          <w:highlight w:val="yellow"/>
        </w:rPr>
        <w:t xml:space="preserve">rows </w:t>
      </w:r>
      <w:r w:rsidR="00925272" w:rsidRPr="009876E9">
        <w:rPr>
          <w:highlight w:val="yellow"/>
        </w:rPr>
        <w:t>11</w:t>
      </w:r>
      <w:r w:rsidRPr="009876E9">
        <w:rPr>
          <w:highlight w:val="yellow"/>
        </w:rPr>
        <w:t xml:space="preserve">6 to </w:t>
      </w:r>
      <w:r w:rsidR="00925272" w:rsidRPr="009876E9">
        <w:rPr>
          <w:highlight w:val="yellow"/>
        </w:rPr>
        <w:t>7</w:t>
      </w:r>
      <w:r w:rsidRPr="009876E9">
        <w:rPr>
          <w:highlight w:val="yellow"/>
        </w:rPr>
        <w:t>65</w:t>
      </w:r>
      <w:r w:rsidR="00925272" w:rsidRPr="009876E9">
        <w:rPr>
          <w:highlight w:val="yellow"/>
        </w:rPr>
        <w:t xml:space="preserve">. </w:t>
      </w:r>
      <w:r w:rsidR="007729E2" w:rsidRPr="009876E9">
        <w:rPr>
          <w:highlight w:val="yellow"/>
        </w:rPr>
        <w:t xml:space="preserve">Row 75 displays the sum of each asset class calculations for those rows. </w:t>
      </w:r>
      <w:r w:rsidR="00925272" w:rsidRPr="009876E9">
        <w:rPr>
          <w:highlight w:val="yellow"/>
        </w:rPr>
        <w:t>If the forecast depreciation</w:t>
      </w:r>
      <w:r w:rsidRPr="009876E9">
        <w:rPr>
          <w:highlight w:val="yellow"/>
        </w:rPr>
        <w:t xml:space="preserve"> </w:t>
      </w:r>
      <w:r w:rsidR="00925272" w:rsidRPr="009876E9">
        <w:rPr>
          <w:highlight w:val="yellow"/>
        </w:rPr>
        <w:t xml:space="preserve">option was selected, then the forecast depreciation inputs </w:t>
      </w:r>
      <w:r w:rsidRPr="009876E9">
        <w:rPr>
          <w:highlight w:val="yellow"/>
        </w:rPr>
        <w:t xml:space="preserve">are </w:t>
      </w:r>
      <w:r w:rsidR="00925272" w:rsidRPr="009876E9">
        <w:rPr>
          <w:highlight w:val="yellow"/>
        </w:rPr>
        <w:t xml:space="preserve">sourced from the </w:t>
      </w:r>
      <w:r w:rsidR="00925272" w:rsidRPr="009876E9">
        <w:rPr>
          <w:rStyle w:val="Bold"/>
          <w:highlight w:val="yellow"/>
        </w:rPr>
        <w:t>RFM input</w:t>
      </w:r>
      <w:r w:rsidR="00925272" w:rsidRPr="009876E9">
        <w:rPr>
          <w:highlight w:val="yellow"/>
        </w:rPr>
        <w:t xml:space="preserve"> sheet. If</w:t>
      </w:r>
      <w:r w:rsidR="007729E2" w:rsidRPr="009876E9">
        <w:rPr>
          <w:highlight w:val="yellow"/>
        </w:rPr>
        <w:t xml:space="preserve"> the</w:t>
      </w:r>
      <w:r w:rsidR="00925272" w:rsidRPr="009876E9">
        <w:rPr>
          <w:highlight w:val="yellow"/>
        </w:rPr>
        <w:t xml:space="preserve"> </w:t>
      </w:r>
      <w:r w:rsidR="007729E2" w:rsidRPr="009876E9">
        <w:rPr>
          <w:highlight w:val="yellow"/>
        </w:rPr>
        <w:t>actual depreciation option was selected,</w:t>
      </w:r>
      <w:r w:rsidR="00925272" w:rsidRPr="009876E9">
        <w:rPr>
          <w:highlight w:val="yellow"/>
        </w:rPr>
        <w:t xml:space="preserve"> </w:t>
      </w:r>
      <w:r w:rsidR="007729E2" w:rsidRPr="009876E9">
        <w:rPr>
          <w:highlight w:val="yellow"/>
        </w:rPr>
        <w:t xml:space="preserve">then the depreciation </w:t>
      </w:r>
      <w:r w:rsidRPr="009876E9">
        <w:rPr>
          <w:highlight w:val="yellow"/>
        </w:rPr>
        <w:t>calculat</w:t>
      </w:r>
      <w:r w:rsidR="007729E2" w:rsidRPr="009876E9">
        <w:rPr>
          <w:highlight w:val="yellow"/>
        </w:rPr>
        <w:t>ions are</w:t>
      </w:r>
      <w:r w:rsidRPr="009876E9">
        <w:rPr>
          <w:highlight w:val="yellow"/>
        </w:rPr>
        <w:t xml:space="preserve"> based on the opening RAB, actual net capex values (as-commissioned) and asset lives from the </w:t>
      </w:r>
      <w:r w:rsidR="00925272" w:rsidRPr="009876E9">
        <w:rPr>
          <w:rStyle w:val="Strong"/>
          <w:highlight w:val="yellow"/>
        </w:rPr>
        <w:t>RFM i</w:t>
      </w:r>
      <w:r w:rsidRPr="009876E9">
        <w:rPr>
          <w:rStyle w:val="Strong"/>
          <w:highlight w:val="yellow"/>
        </w:rPr>
        <w:t>nput</w:t>
      </w:r>
      <w:r w:rsidRPr="009876E9">
        <w:rPr>
          <w:highlight w:val="yellow"/>
        </w:rPr>
        <w:t xml:space="preserve"> </w:t>
      </w:r>
      <w:r w:rsidR="007729E2" w:rsidRPr="009876E9">
        <w:rPr>
          <w:highlight w:val="yellow"/>
        </w:rPr>
        <w:t xml:space="preserve">and </w:t>
      </w:r>
      <w:r w:rsidR="007729E2" w:rsidRPr="009876E9">
        <w:rPr>
          <w:rStyle w:val="Bold"/>
          <w:highlight w:val="yellow"/>
        </w:rPr>
        <w:t>RAB roll forward</w:t>
      </w:r>
      <w:r w:rsidR="007729E2" w:rsidRPr="009876E9">
        <w:rPr>
          <w:highlight w:val="yellow"/>
        </w:rPr>
        <w:t xml:space="preserve"> </w:t>
      </w:r>
      <w:r w:rsidRPr="009876E9">
        <w:rPr>
          <w:highlight w:val="yellow"/>
        </w:rPr>
        <w:t>sheet</w:t>
      </w:r>
      <w:r w:rsidR="007729E2" w:rsidRPr="009876E9">
        <w:rPr>
          <w:highlight w:val="yellow"/>
        </w:rPr>
        <w:t>s</w:t>
      </w:r>
      <w:r w:rsidRPr="009876E9">
        <w:rPr>
          <w:highlight w:val="yellow"/>
        </w:rPr>
        <w:t>.</w:t>
      </w:r>
      <w:r w:rsidRPr="000B4909">
        <w:t xml:space="preserve"> </w:t>
      </w:r>
    </w:p>
    <w:p w:rsidR="000B4909" w:rsidRPr="000B4909" w:rsidRDefault="000B4909" w:rsidP="00FE4BB7">
      <w:pPr>
        <w:pStyle w:val="Heading3"/>
      </w:pPr>
      <w:bookmarkStart w:id="54" w:name="_Toc423696205"/>
      <w:r w:rsidRPr="000B4909">
        <w:t>Nominal asset values—partially as-incurred</w:t>
      </w:r>
      <w:bookmarkEnd w:id="54"/>
    </w:p>
    <w:p w:rsidR="000B4909" w:rsidRPr="000B4909" w:rsidRDefault="000B4909" w:rsidP="000B4909">
      <w:r w:rsidRPr="009876E9">
        <w:rPr>
          <w:highlight w:val="yellow"/>
        </w:rPr>
        <w:t xml:space="preserve">Partially as-incurred nominal asset values are displayed in rows </w:t>
      </w:r>
      <w:r w:rsidR="007729E2" w:rsidRPr="009876E9">
        <w:rPr>
          <w:highlight w:val="yellow"/>
        </w:rPr>
        <w:t>7</w:t>
      </w:r>
      <w:r w:rsidRPr="009876E9">
        <w:rPr>
          <w:highlight w:val="yellow"/>
        </w:rPr>
        <w:t xml:space="preserve">69 to </w:t>
      </w:r>
      <w:r w:rsidR="007729E2" w:rsidRPr="009876E9">
        <w:rPr>
          <w:highlight w:val="yellow"/>
        </w:rPr>
        <w:t>118</w:t>
      </w:r>
      <w:r w:rsidRPr="009876E9">
        <w:rPr>
          <w:highlight w:val="yellow"/>
        </w:rPr>
        <w:t xml:space="preserve">5. The nominal opening RAB values for each year are displayed in row </w:t>
      </w:r>
      <w:r w:rsidR="007729E2" w:rsidRPr="009876E9">
        <w:rPr>
          <w:highlight w:val="yellow"/>
        </w:rPr>
        <w:t>7</w:t>
      </w:r>
      <w:r w:rsidRPr="009876E9">
        <w:rPr>
          <w:highlight w:val="yellow"/>
        </w:rPr>
        <w:t>69</w:t>
      </w:r>
      <w:r w:rsidR="00D90AA6" w:rsidRPr="009876E9">
        <w:rPr>
          <w:highlight w:val="yellow"/>
        </w:rPr>
        <w:t>, based on the sum of each asset class calculations for rows 770 to 819</w:t>
      </w:r>
      <w:r w:rsidRPr="009876E9">
        <w:rPr>
          <w:highlight w:val="yellow"/>
        </w:rPr>
        <w:t xml:space="preserve">. The nominal opening RAB for the first year of the current regulatory control period (cell </w:t>
      </w:r>
      <w:r w:rsidR="00324194" w:rsidRPr="009876E9">
        <w:rPr>
          <w:highlight w:val="yellow"/>
        </w:rPr>
        <w:t>H</w:t>
      </w:r>
      <w:r w:rsidR="00DB39B6" w:rsidRPr="009876E9">
        <w:rPr>
          <w:highlight w:val="yellow"/>
        </w:rPr>
        <w:t>7</w:t>
      </w:r>
      <w:r w:rsidRPr="009876E9">
        <w:rPr>
          <w:highlight w:val="yellow"/>
        </w:rPr>
        <w:t xml:space="preserve">69) is </w:t>
      </w:r>
      <w:r w:rsidR="00DB39B6" w:rsidRPr="009876E9">
        <w:rPr>
          <w:highlight w:val="yellow"/>
        </w:rPr>
        <w:t xml:space="preserve">calculated by taking the </w:t>
      </w:r>
      <w:r w:rsidR="0085103D" w:rsidRPr="009876E9">
        <w:rPr>
          <w:highlight w:val="yellow"/>
        </w:rPr>
        <w:t xml:space="preserve">partially as-incurred </w:t>
      </w:r>
      <w:r w:rsidR="00DB39B6" w:rsidRPr="009876E9">
        <w:rPr>
          <w:highlight w:val="yellow"/>
        </w:rPr>
        <w:t>opening RAB value for the final year of the previous regulatory control period</w:t>
      </w:r>
      <w:r w:rsidR="00324194" w:rsidRPr="009876E9">
        <w:rPr>
          <w:highlight w:val="yellow"/>
        </w:rPr>
        <w:t xml:space="preserve"> (cell G769)</w:t>
      </w:r>
      <w:r w:rsidR="00DB39B6" w:rsidRPr="009876E9">
        <w:rPr>
          <w:highlight w:val="yellow"/>
        </w:rPr>
        <w:t xml:space="preserve">, adding </w:t>
      </w:r>
      <w:r w:rsidR="0085103D" w:rsidRPr="009876E9">
        <w:rPr>
          <w:highlight w:val="yellow"/>
        </w:rPr>
        <w:t xml:space="preserve">as-incurred </w:t>
      </w:r>
      <w:r w:rsidR="00DB39B6" w:rsidRPr="009876E9">
        <w:rPr>
          <w:highlight w:val="yellow"/>
        </w:rPr>
        <w:t>forecast net capex value for that year</w:t>
      </w:r>
      <w:r w:rsidR="00324194" w:rsidRPr="009876E9">
        <w:rPr>
          <w:highlight w:val="yellow"/>
        </w:rPr>
        <w:t xml:space="preserve"> (G821)</w:t>
      </w:r>
      <w:r w:rsidR="00DB39B6" w:rsidRPr="009876E9">
        <w:rPr>
          <w:highlight w:val="yellow"/>
        </w:rPr>
        <w:t xml:space="preserve">, </w:t>
      </w:r>
      <w:r w:rsidR="00324194" w:rsidRPr="009876E9">
        <w:rPr>
          <w:highlight w:val="yellow"/>
        </w:rPr>
        <w:t xml:space="preserve">adding (typically negative) </w:t>
      </w:r>
      <w:r w:rsidR="0085103D" w:rsidRPr="009876E9">
        <w:rPr>
          <w:highlight w:val="yellow"/>
        </w:rPr>
        <w:t xml:space="preserve">partially as-incurred </w:t>
      </w:r>
      <w:r w:rsidR="00324194" w:rsidRPr="009876E9">
        <w:rPr>
          <w:highlight w:val="yellow"/>
        </w:rPr>
        <w:t>regulatory depreciation value for that year (G873) and adding other</w:t>
      </w:r>
      <w:r w:rsidR="0085103D" w:rsidRPr="009876E9">
        <w:rPr>
          <w:highlight w:val="yellow"/>
        </w:rPr>
        <w:t xml:space="preserve"> as-incurred</w:t>
      </w:r>
      <w:r w:rsidR="00324194" w:rsidRPr="009876E9">
        <w:rPr>
          <w:highlight w:val="yellow"/>
        </w:rPr>
        <w:t xml:space="preserve"> capex/asset adjustment</w:t>
      </w:r>
      <w:r w:rsidR="008D69CC" w:rsidRPr="009876E9">
        <w:rPr>
          <w:highlight w:val="yellow"/>
        </w:rPr>
        <w:t xml:space="preserve"> value</w:t>
      </w:r>
      <w:r w:rsidR="00324194" w:rsidRPr="009876E9">
        <w:rPr>
          <w:highlight w:val="yellow"/>
        </w:rPr>
        <w:t>s where relevant (cells G925, G977 and G1029</w:t>
      </w:r>
      <w:r w:rsidR="00447DFC" w:rsidRPr="009876E9">
        <w:rPr>
          <w:highlight w:val="yellow"/>
        </w:rPr>
        <w:t>)</w:t>
      </w:r>
      <w:r w:rsidRPr="009876E9">
        <w:rPr>
          <w:highlight w:val="yellow"/>
        </w:rPr>
        <w:t>.</w:t>
      </w:r>
      <w:r w:rsidR="00324194" w:rsidRPr="009876E9">
        <w:rPr>
          <w:highlight w:val="yellow"/>
        </w:rPr>
        <w:t xml:space="preserve"> These values are all sourced from the </w:t>
      </w:r>
      <w:r w:rsidR="00324194" w:rsidRPr="009876E9">
        <w:rPr>
          <w:rStyle w:val="Bold"/>
          <w:highlight w:val="yellow"/>
        </w:rPr>
        <w:t>RFM input</w:t>
      </w:r>
      <w:r w:rsidR="00324194" w:rsidRPr="009876E9">
        <w:rPr>
          <w:highlight w:val="yellow"/>
        </w:rPr>
        <w:t xml:space="preserve"> sheet.</w:t>
      </w:r>
    </w:p>
    <w:p w:rsidR="000B4909" w:rsidRPr="000B4909" w:rsidRDefault="000B4909" w:rsidP="000B4909">
      <w:r w:rsidRPr="000B4909">
        <w:t xml:space="preserve">The </w:t>
      </w:r>
      <w:r w:rsidR="0097040F">
        <w:t xml:space="preserve">partially as-incurred </w:t>
      </w:r>
      <w:r w:rsidRPr="000B4909">
        <w:t xml:space="preserve">nominal opening RAB </w:t>
      </w:r>
      <w:r w:rsidR="00DB39B6">
        <w:t xml:space="preserve">values </w:t>
      </w:r>
      <w:r w:rsidRPr="000B4909">
        <w:t xml:space="preserve">for the remaining years of the current regulatory control period </w:t>
      </w:r>
      <w:r w:rsidR="0085103D">
        <w:t>are</w:t>
      </w:r>
      <w:r w:rsidRPr="000B4909">
        <w:t xml:space="preserve"> calculated in accordance with</w:t>
      </w:r>
      <w:r w:rsidR="0021562D">
        <w:t xml:space="preserve"> </w:t>
      </w:r>
      <w:r w:rsidR="0021562D">
        <w:fldChar w:fldCharType="begin"/>
      </w:r>
      <w:r w:rsidR="0021562D">
        <w:instrText xml:space="preserve"> REF _Ref420594921 \h </w:instrText>
      </w:r>
      <w:r w:rsidR="0021562D">
        <w:fldChar w:fldCharType="separate"/>
      </w:r>
      <w:r w:rsidR="00F92CE8">
        <w:t xml:space="preserve">Box </w:t>
      </w:r>
      <w:r w:rsidR="00F92CE8">
        <w:rPr>
          <w:noProof/>
        </w:rPr>
        <w:t>3</w:t>
      </w:r>
      <w:r w:rsidR="0021562D">
        <w:fldChar w:fldCharType="end"/>
      </w:r>
      <w:r w:rsidRPr="000B4909">
        <w:t xml:space="preserve">. The </w:t>
      </w:r>
      <w:r w:rsidR="0097040F">
        <w:t xml:space="preserve">as-incurred </w:t>
      </w:r>
      <w:r w:rsidRPr="000B4909">
        <w:t xml:space="preserve">nominal actual net capex values for each year (row </w:t>
      </w:r>
      <w:r w:rsidR="007729E2">
        <w:t>82</w:t>
      </w:r>
      <w:r w:rsidRPr="000B4909">
        <w:t xml:space="preserve">1) </w:t>
      </w:r>
      <w:r w:rsidR="0085103D">
        <w:t>are</w:t>
      </w:r>
      <w:r w:rsidRPr="000B4909">
        <w:t xml:space="preserve"> equal to the </w:t>
      </w:r>
      <w:r w:rsidR="0097040F">
        <w:t xml:space="preserve">as-incurred </w:t>
      </w:r>
      <w:r w:rsidR="009876E9">
        <w:t>real actual net capex values</w:t>
      </w:r>
      <w:r w:rsidRPr="000B4909">
        <w:t xml:space="preserve"> (row 11) indexed by actual inflation (row 7). The </w:t>
      </w:r>
      <w:r w:rsidR="0097040F">
        <w:t xml:space="preserve">partially as-incurred </w:t>
      </w:r>
      <w:r w:rsidRPr="000B4909">
        <w:t xml:space="preserve">nominal regulatory depreciation values (row </w:t>
      </w:r>
      <w:r w:rsidR="00DB39B6">
        <w:t>87</w:t>
      </w:r>
      <w:r w:rsidRPr="000B4909">
        <w:t xml:space="preserve">3) are calculated as </w:t>
      </w:r>
      <w:r w:rsidR="00DB39B6">
        <w:t xml:space="preserve">the net total of the </w:t>
      </w:r>
      <w:r w:rsidRPr="000B4909">
        <w:t xml:space="preserve">nominal straight-line depreciation (row </w:t>
      </w:r>
      <w:r w:rsidR="00DB39B6">
        <w:t>108</w:t>
      </w:r>
      <w:r w:rsidRPr="000B4909">
        <w:t xml:space="preserve">3) </w:t>
      </w:r>
      <w:r w:rsidR="00DB39B6">
        <w:t>and</w:t>
      </w:r>
      <w:r w:rsidRPr="000B4909">
        <w:t xml:space="preserve"> the actual inflation applied to the </w:t>
      </w:r>
      <w:r w:rsidR="0085103D">
        <w:t xml:space="preserve">partially as-incurred </w:t>
      </w:r>
      <w:r w:rsidRPr="000B4909">
        <w:t xml:space="preserve">opening RAB (row </w:t>
      </w:r>
      <w:r w:rsidR="00DB39B6">
        <w:t>113</w:t>
      </w:r>
      <w:r w:rsidRPr="000B4909">
        <w:t>5).</w:t>
      </w:r>
    </w:p>
    <w:p w:rsidR="000B4909" w:rsidRPr="000B4909" w:rsidRDefault="000B4909" w:rsidP="00FE4BB7">
      <w:pPr>
        <w:pStyle w:val="Heading3"/>
      </w:pPr>
      <w:bookmarkStart w:id="55" w:name="_Toc423696206"/>
      <w:r w:rsidRPr="000B4909">
        <w:t>Nominal asset values—as-commissioned</w:t>
      </w:r>
      <w:bookmarkEnd w:id="55"/>
    </w:p>
    <w:p w:rsidR="000B4909" w:rsidRPr="000B4909" w:rsidRDefault="000B4909" w:rsidP="008D69CC">
      <w:r w:rsidRPr="000B4909">
        <w:t xml:space="preserve">As-commissioned nominal asset values are displayed in rows </w:t>
      </w:r>
      <w:r w:rsidR="00324194">
        <w:t>118</w:t>
      </w:r>
      <w:r w:rsidRPr="000B4909">
        <w:t xml:space="preserve">9 to </w:t>
      </w:r>
      <w:r w:rsidR="00324194">
        <w:t>1605</w:t>
      </w:r>
      <w:r w:rsidRPr="000B4909">
        <w:t xml:space="preserve">. </w:t>
      </w:r>
      <w:r w:rsidRPr="009876E9">
        <w:rPr>
          <w:highlight w:val="yellow"/>
        </w:rPr>
        <w:t xml:space="preserve">The nominal opening RAB values for each year are displayed in row </w:t>
      </w:r>
      <w:r w:rsidR="008D69CC" w:rsidRPr="009876E9">
        <w:rPr>
          <w:highlight w:val="yellow"/>
        </w:rPr>
        <w:t>118</w:t>
      </w:r>
      <w:r w:rsidRPr="009876E9">
        <w:rPr>
          <w:highlight w:val="yellow"/>
        </w:rPr>
        <w:t>9</w:t>
      </w:r>
      <w:r w:rsidR="00D90AA6" w:rsidRPr="009876E9">
        <w:rPr>
          <w:highlight w:val="yellow"/>
        </w:rPr>
        <w:t>, based on the sum of each asset class calculations for rows 1190 to 1239</w:t>
      </w:r>
      <w:r w:rsidRPr="009876E9">
        <w:rPr>
          <w:highlight w:val="yellow"/>
        </w:rPr>
        <w:t xml:space="preserve">. The nominal opening RAB for the first year of the current regulatory control period (cell </w:t>
      </w:r>
      <w:r w:rsidR="008D69CC" w:rsidRPr="009876E9">
        <w:rPr>
          <w:highlight w:val="yellow"/>
        </w:rPr>
        <w:t>H118</w:t>
      </w:r>
      <w:r w:rsidRPr="009876E9">
        <w:rPr>
          <w:highlight w:val="yellow"/>
        </w:rPr>
        <w:t xml:space="preserve">9) is calculated </w:t>
      </w:r>
      <w:r w:rsidR="008D69CC" w:rsidRPr="009876E9">
        <w:rPr>
          <w:highlight w:val="yellow"/>
        </w:rPr>
        <w:t>by taking the as-commissioned opening RAB value for the final year of the previous regulatory control period (cell G1189), adding as-commissioned forecast net capex value for that year (G1241), adding (typically negative) as-commissioned regulatory depreciation value for that year (G1293) and adding other as-commissioned capex/asset adjustment values where relevant (cells G1345, G1397 and G1449</w:t>
      </w:r>
      <w:r w:rsidR="00447DFC" w:rsidRPr="009876E9">
        <w:rPr>
          <w:highlight w:val="yellow"/>
        </w:rPr>
        <w:t>)</w:t>
      </w:r>
      <w:r w:rsidR="008D69CC" w:rsidRPr="009876E9">
        <w:rPr>
          <w:highlight w:val="yellow"/>
        </w:rPr>
        <w:t xml:space="preserve">. These values are all sourced from the </w:t>
      </w:r>
      <w:r w:rsidR="008D69CC" w:rsidRPr="009876E9">
        <w:rPr>
          <w:rStyle w:val="Bold"/>
          <w:highlight w:val="yellow"/>
        </w:rPr>
        <w:t>RFM input</w:t>
      </w:r>
      <w:r w:rsidR="008D69CC" w:rsidRPr="009876E9">
        <w:rPr>
          <w:highlight w:val="yellow"/>
        </w:rPr>
        <w:t xml:space="preserve"> sheet.</w:t>
      </w:r>
    </w:p>
    <w:p w:rsidR="000B4909" w:rsidRPr="000B4909" w:rsidRDefault="000B4909" w:rsidP="000B4909">
      <w:r w:rsidRPr="000B4909">
        <w:t xml:space="preserve">The </w:t>
      </w:r>
      <w:r w:rsidR="0097040F">
        <w:t xml:space="preserve">as-commissioned </w:t>
      </w:r>
      <w:r w:rsidRPr="000B4909">
        <w:t xml:space="preserve">nominal opening RAB </w:t>
      </w:r>
      <w:r w:rsidR="008D69CC">
        <w:t xml:space="preserve">values </w:t>
      </w:r>
      <w:r w:rsidRPr="000B4909">
        <w:t xml:space="preserve">for the remaining years of the current regulatory control period </w:t>
      </w:r>
      <w:r w:rsidR="0085103D">
        <w:t>are</w:t>
      </w:r>
      <w:r w:rsidRPr="000B4909">
        <w:t xml:space="preserve"> calculated in accordance with</w:t>
      </w:r>
      <w:r w:rsidR="0021562D">
        <w:t xml:space="preserve"> </w:t>
      </w:r>
      <w:r w:rsidR="0021562D">
        <w:fldChar w:fldCharType="begin"/>
      </w:r>
      <w:r w:rsidR="0021562D">
        <w:instrText xml:space="preserve"> REF _Ref420594921 \h </w:instrText>
      </w:r>
      <w:r w:rsidR="0021562D">
        <w:fldChar w:fldCharType="separate"/>
      </w:r>
      <w:r w:rsidR="00F92CE8">
        <w:t xml:space="preserve">Box </w:t>
      </w:r>
      <w:r w:rsidR="00F92CE8">
        <w:rPr>
          <w:noProof/>
        </w:rPr>
        <w:t>3</w:t>
      </w:r>
      <w:r w:rsidR="0021562D">
        <w:fldChar w:fldCharType="end"/>
      </w:r>
      <w:r w:rsidRPr="000B4909">
        <w:t xml:space="preserve">. The </w:t>
      </w:r>
      <w:r w:rsidR="0097040F">
        <w:t xml:space="preserve">as-commissioned </w:t>
      </w:r>
      <w:r w:rsidRPr="000B4909">
        <w:t xml:space="preserve">nominal actual net capex values for each year (row </w:t>
      </w:r>
      <w:r w:rsidR="008D69CC">
        <w:t>124</w:t>
      </w:r>
      <w:r w:rsidRPr="000B4909">
        <w:t xml:space="preserve">1) are equal to the </w:t>
      </w:r>
      <w:r w:rsidR="0097040F">
        <w:t xml:space="preserve">as-commissioned </w:t>
      </w:r>
      <w:r w:rsidRPr="000B4909">
        <w:t xml:space="preserve">real actual net capex (row </w:t>
      </w:r>
      <w:r w:rsidR="008D69CC">
        <w:t>6</w:t>
      </w:r>
      <w:r w:rsidRPr="000B4909">
        <w:t xml:space="preserve">3) indexed by actual inflation (row 7). The </w:t>
      </w:r>
      <w:r w:rsidR="0097040F">
        <w:t xml:space="preserve">as-commissioned </w:t>
      </w:r>
      <w:r w:rsidRPr="000B4909">
        <w:t xml:space="preserve">nominal regulatory depreciation </w:t>
      </w:r>
      <w:r w:rsidR="008D69CC">
        <w:t xml:space="preserve">values </w:t>
      </w:r>
      <w:r w:rsidRPr="000B4909">
        <w:t xml:space="preserve">(row </w:t>
      </w:r>
      <w:r w:rsidR="008D69CC">
        <w:t>12</w:t>
      </w:r>
      <w:r w:rsidRPr="000B4909">
        <w:t xml:space="preserve">93) </w:t>
      </w:r>
      <w:r w:rsidR="008D69CC">
        <w:t>are</w:t>
      </w:r>
      <w:r w:rsidRPr="000B4909">
        <w:t xml:space="preserve"> calculated as </w:t>
      </w:r>
      <w:r w:rsidR="008D69CC">
        <w:t xml:space="preserve">the net total of the </w:t>
      </w:r>
      <w:r w:rsidRPr="000B4909">
        <w:t xml:space="preserve">nominal straight-line depreciation (row </w:t>
      </w:r>
      <w:r w:rsidR="008D69CC">
        <w:t>1503</w:t>
      </w:r>
      <w:r w:rsidRPr="000B4909">
        <w:t xml:space="preserve">) </w:t>
      </w:r>
      <w:r w:rsidR="008D69CC">
        <w:t>and</w:t>
      </w:r>
      <w:r w:rsidRPr="000B4909">
        <w:t xml:space="preserve"> the actual inflation applied to the </w:t>
      </w:r>
      <w:r w:rsidR="008D69CC">
        <w:t xml:space="preserve">as-commissioned </w:t>
      </w:r>
      <w:r w:rsidRPr="000B4909">
        <w:t xml:space="preserve">opening RAB (row </w:t>
      </w:r>
      <w:r w:rsidR="008D69CC">
        <w:t>1555</w:t>
      </w:r>
      <w:r w:rsidRPr="000B4909">
        <w:t>).</w:t>
      </w:r>
    </w:p>
    <w:p w:rsidR="000B4909" w:rsidRPr="000B4909" w:rsidRDefault="000B4909" w:rsidP="003671EE">
      <w:pPr>
        <w:pStyle w:val="Heading2"/>
      </w:pPr>
      <w:bookmarkStart w:id="56" w:name="_Toc423696207"/>
      <w:r w:rsidRPr="000B4909">
        <w:t>Total RAB roll forward sheet</w:t>
      </w:r>
      <w:bookmarkEnd w:id="56"/>
    </w:p>
    <w:p w:rsidR="000B4909" w:rsidRPr="000B4909" w:rsidRDefault="000B4909" w:rsidP="000B4909">
      <w:r w:rsidRPr="000B4909">
        <w:t xml:space="preserve">The </w:t>
      </w:r>
      <w:r w:rsidRPr="003A48E6">
        <w:rPr>
          <w:rStyle w:val="Strong"/>
        </w:rPr>
        <w:t>Total RAB roll forward</w:t>
      </w:r>
      <w:r w:rsidRPr="000B4909">
        <w:t xml:space="preserve"> sheet brings together the relevant data from the </w:t>
      </w:r>
      <w:r w:rsidRPr="003A48E6">
        <w:rPr>
          <w:rStyle w:val="Strong"/>
        </w:rPr>
        <w:t>Adjustment for previous period</w:t>
      </w:r>
      <w:r w:rsidRPr="000B4909">
        <w:t xml:space="preserve"> and </w:t>
      </w:r>
      <w:r w:rsidRPr="003A48E6">
        <w:rPr>
          <w:rStyle w:val="Strong"/>
        </w:rPr>
        <w:t>RAB roll forward</w:t>
      </w:r>
      <w:r w:rsidRPr="000B4909">
        <w:t xml:space="preserve"> sheets to calculate the final closing RAB for the current regulatory control period in nominal terms.</w:t>
      </w:r>
      <w:r w:rsidR="009570E3">
        <w:rPr>
          <w:rStyle w:val="FootnoteReference"/>
        </w:rPr>
        <w:footnoteReference w:id="22"/>
      </w:r>
      <w:r w:rsidRPr="000B4909">
        <w:t xml:space="preserve"> The sheet is separated into two sections—the first section rolls forward the RAB under the partially as-incurred approach to recognising capex and the second section rolls forward the RAB under the as-commissioned approach to recognising capex.</w:t>
      </w:r>
    </w:p>
    <w:p w:rsidR="000B4909" w:rsidRPr="000B4909" w:rsidRDefault="000B4909" w:rsidP="00FE4BB7">
      <w:pPr>
        <w:pStyle w:val="Heading3"/>
      </w:pPr>
      <w:bookmarkStart w:id="57" w:name="_Toc423696208"/>
      <w:r w:rsidRPr="000B4909">
        <w:t>Partially as-incurred RAB roll forward</w:t>
      </w:r>
      <w:bookmarkEnd w:id="57"/>
    </w:p>
    <w:p w:rsidR="000B4909" w:rsidRPr="000B4909" w:rsidRDefault="000B4909" w:rsidP="000B4909">
      <w:r w:rsidRPr="009876E9">
        <w:rPr>
          <w:highlight w:val="yellow"/>
        </w:rPr>
        <w:t xml:space="preserve">Under the partially as-incurred approach to recognising capex, row 7 </w:t>
      </w:r>
      <w:r w:rsidR="00D90AA6" w:rsidRPr="009876E9">
        <w:rPr>
          <w:highlight w:val="yellow"/>
        </w:rPr>
        <w:t>displays</w:t>
      </w:r>
      <w:r w:rsidRPr="009876E9">
        <w:rPr>
          <w:highlight w:val="yellow"/>
        </w:rPr>
        <w:t xml:space="preserve"> the opening RAB values for each year of the current regulatory control period, </w:t>
      </w:r>
      <w:r w:rsidR="00D90AA6" w:rsidRPr="009876E9">
        <w:rPr>
          <w:highlight w:val="yellow"/>
        </w:rPr>
        <w:t>based on the sum of each asset class calculations for rows 8 to 57. These rows are in turn</w:t>
      </w:r>
      <w:r w:rsidRPr="009876E9">
        <w:rPr>
          <w:highlight w:val="yellow"/>
        </w:rPr>
        <w:t xml:space="preserve"> based on the interim closing RAB (partially as-incurred) in row </w:t>
      </w:r>
      <w:r w:rsidR="00D90AA6" w:rsidRPr="009876E9">
        <w:rPr>
          <w:highlight w:val="yellow"/>
        </w:rPr>
        <w:t>321</w:t>
      </w:r>
      <w:r w:rsidRPr="009876E9">
        <w:rPr>
          <w:highlight w:val="yellow"/>
        </w:rPr>
        <w:t xml:space="preserve">. The calculations </w:t>
      </w:r>
      <w:r w:rsidR="00CF224B" w:rsidRPr="009876E9">
        <w:rPr>
          <w:highlight w:val="yellow"/>
        </w:rPr>
        <w:t xml:space="preserve">at rows 8 to 57 </w:t>
      </w:r>
      <w:r w:rsidR="00447DFC" w:rsidRPr="009876E9">
        <w:rPr>
          <w:highlight w:val="yellow"/>
        </w:rPr>
        <w:t>reflect th</w:t>
      </w:r>
      <w:r w:rsidR="00CF224B" w:rsidRPr="009876E9">
        <w:rPr>
          <w:highlight w:val="yellow"/>
        </w:rPr>
        <w:t>e partially as-incurred opening RAB values</w:t>
      </w:r>
      <w:r w:rsidR="00447DFC" w:rsidRPr="009876E9">
        <w:rPr>
          <w:highlight w:val="yellow"/>
        </w:rPr>
        <w:t xml:space="preserve"> in</w:t>
      </w:r>
      <w:r w:rsidRPr="009876E9">
        <w:rPr>
          <w:highlight w:val="yellow"/>
        </w:rPr>
        <w:t xml:space="preserve"> the </w:t>
      </w:r>
      <w:r w:rsidRPr="009876E9">
        <w:rPr>
          <w:rStyle w:val="Strong"/>
          <w:highlight w:val="yellow"/>
        </w:rPr>
        <w:t>RAB roll forward</w:t>
      </w:r>
      <w:r w:rsidRPr="009876E9">
        <w:rPr>
          <w:highlight w:val="yellow"/>
        </w:rPr>
        <w:t xml:space="preserve"> sheet. </w:t>
      </w:r>
      <w:r w:rsidR="00CF224B" w:rsidRPr="009876E9">
        <w:rPr>
          <w:highlight w:val="yellow"/>
        </w:rPr>
        <w:t>T</w:t>
      </w:r>
      <w:r w:rsidRPr="009876E9">
        <w:rPr>
          <w:highlight w:val="yellow"/>
        </w:rPr>
        <w:t xml:space="preserve">he nominal </w:t>
      </w:r>
      <w:r w:rsidR="00BE4A06" w:rsidRPr="009876E9">
        <w:rPr>
          <w:highlight w:val="yellow"/>
        </w:rPr>
        <w:t xml:space="preserve">as-incurred </w:t>
      </w:r>
      <w:r w:rsidRPr="009876E9">
        <w:rPr>
          <w:highlight w:val="yellow"/>
        </w:rPr>
        <w:t xml:space="preserve">actual net capex (row </w:t>
      </w:r>
      <w:r w:rsidR="00CF224B" w:rsidRPr="009876E9">
        <w:rPr>
          <w:highlight w:val="yellow"/>
        </w:rPr>
        <w:t>5</w:t>
      </w:r>
      <w:r w:rsidRPr="009876E9">
        <w:rPr>
          <w:highlight w:val="yellow"/>
        </w:rPr>
        <w:t>9)</w:t>
      </w:r>
      <w:r w:rsidR="00CF224B" w:rsidRPr="009876E9">
        <w:rPr>
          <w:highlight w:val="yellow"/>
        </w:rPr>
        <w:t>,</w:t>
      </w:r>
      <w:r w:rsidRPr="009876E9">
        <w:rPr>
          <w:highlight w:val="yellow"/>
        </w:rPr>
        <w:t xml:space="preserve"> </w:t>
      </w:r>
      <w:r w:rsidR="00BE4A06" w:rsidRPr="009876E9">
        <w:rPr>
          <w:highlight w:val="yellow"/>
        </w:rPr>
        <w:t xml:space="preserve">partially as-incurred </w:t>
      </w:r>
      <w:r w:rsidRPr="009876E9">
        <w:rPr>
          <w:highlight w:val="yellow"/>
        </w:rPr>
        <w:t xml:space="preserve">regulatory depreciation (row </w:t>
      </w:r>
      <w:r w:rsidR="00CF224B" w:rsidRPr="009876E9">
        <w:rPr>
          <w:highlight w:val="yellow"/>
        </w:rPr>
        <w:t>11</w:t>
      </w:r>
      <w:r w:rsidRPr="009876E9">
        <w:rPr>
          <w:highlight w:val="yellow"/>
        </w:rPr>
        <w:t xml:space="preserve">1) values </w:t>
      </w:r>
      <w:r w:rsidR="00CF224B" w:rsidRPr="009876E9">
        <w:rPr>
          <w:highlight w:val="yellow"/>
        </w:rPr>
        <w:t>and</w:t>
      </w:r>
      <w:r w:rsidRPr="009876E9">
        <w:rPr>
          <w:highlight w:val="yellow"/>
        </w:rPr>
        <w:t xml:space="preserve"> </w:t>
      </w:r>
      <w:r w:rsidR="00CF224B" w:rsidRPr="009876E9">
        <w:rPr>
          <w:highlight w:val="yellow"/>
        </w:rPr>
        <w:t>other as-incurred capex/asset</w:t>
      </w:r>
      <w:r w:rsidRPr="009876E9">
        <w:rPr>
          <w:highlight w:val="yellow"/>
        </w:rPr>
        <w:t xml:space="preserve"> adjustments that may be required—e.g. </w:t>
      </w:r>
      <w:r w:rsidR="00CF224B" w:rsidRPr="009876E9">
        <w:rPr>
          <w:highlight w:val="yellow"/>
        </w:rPr>
        <w:t>difference in final year capex</w:t>
      </w:r>
      <w:r w:rsidRPr="009876E9">
        <w:rPr>
          <w:highlight w:val="yellow"/>
        </w:rPr>
        <w:t xml:space="preserve"> (row 1</w:t>
      </w:r>
      <w:r w:rsidR="00CF224B" w:rsidRPr="009876E9">
        <w:rPr>
          <w:highlight w:val="yellow"/>
        </w:rPr>
        <w:t>6</w:t>
      </w:r>
      <w:r w:rsidRPr="009876E9">
        <w:rPr>
          <w:highlight w:val="yellow"/>
        </w:rPr>
        <w:t xml:space="preserve">3), return on </w:t>
      </w:r>
      <w:r w:rsidR="00CF224B" w:rsidRPr="009876E9">
        <w:rPr>
          <w:highlight w:val="yellow"/>
        </w:rPr>
        <w:t>difference in final year</w:t>
      </w:r>
      <w:r w:rsidRPr="009876E9">
        <w:rPr>
          <w:highlight w:val="yellow"/>
        </w:rPr>
        <w:t xml:space="preserve"> capex (row </w:t>
      </w:r>
      <w:r w:rsidR="00CF224B" w:rsidRPr="009876E9">
        <w:rPr>
          <w:highlight w:val="yellow"/>
        </w:rPr>
        <w:t>2</w:t>
      </w:r>
      <w:r w:rsidRPr="009876E9">
        <w:rPr>
          <w:highlight w:val="yellow"/>
        </w:rPr>
        <w:t xml:space="preserve">15) and </w:t>
      </w:r>
      <w:r w:rsidR="00CF224B" w:rsidRPr="009876E9">
        <w:rPr>
          <w:highlight w:val="yellow"/>
        </w:rPr>
        <w:t>other final year adjustments</w:t>
      </w:r>
      <w:r w:rsidRPr="009876E9">
        <w:rPr>
          <w:highlight w:val="yellow"/>
        </w:rPr>
        <w:t xml:space="preserve"> (row </w:t>
      </w:r>
      <w:r w:rsidR="00CF224B" w:rsidRPr="009876E9">
        <w:rPr>
          <w:highlight w:val="yellow"/>
        </w:rPr>
        <w:t>2</w:t>
      </w:r>
      <w:r w:rsidRPr="009876E9">
        <w:rPr>
          <w:highlight w:val="yellow"/>
        </w:rPr>
        <w:t xml:space="preserve">67) are sourced from the </w:t>
      </w:r>
      <w:r w:rsidRPr="009876E9">
        <w:rPr>
          <w:rStyle w:val="Strong"/>
          <w:highlight w:val="yellow"/>
        </w:rPr>
        <w:t>RAB roll forward</w:t>
      </w:r>
      <w:r w:rsidRPr="009876E9">
        <w:rPr>
          <w:highlight w:val="yellow"/>
        </w:rPr>
        <w:t xml:space="preserve"> sheet.</w:t>
      </w:r>
    </w:p>
    <w:p w:rsidR="000B4909" w:rsidRPr="000B4909" w:rsidRDefault="000B4909" w:rsidP="000B4909">
      <w:r w:rsidRPr="000B4909">
        <w:t>Rows 3</w:t>
      </w:r>
      <w:r w:rsidR="00CF224B">
        <w:t>7</w:t>
      </w:r>
      <w:r w:rsidRPr="000B4909">
        <w:t xml:space="preserve">3 to </w:t>
      </w:r>
      <w:r w:rsidR="00C9348E">
        <w:t>527</w:t>
      </w:r>
      <w:r w:rsidRPr="000B4909">
        <w:t xml:space="preserve"> represent the required adjustments </w:t>
      </w:r>
      <w:r w:rsidR="006F25F8">
        <w:t xml:space="preserve">to be made </w:t>
      </w:r>
      <w:r w:rsidR="00C173A0">
        <w:t>for</w:t>
      </w:r>
      <w:r w:rsidRPr="000B4909">
        <w:t xml:space="preserve"> the final year of the </w:t>
      </w:r>
      <w:r w:rsidR="006F25F8">
        <w:t>current</w:t>
      </w:r>
      <w:r w:rsidRPr="000B4909">
        <w:t xml:space="preserve"> regulatory control period and are sourced from the </w:t>
      </w:r>
      <w:r w:rsidRPr="009F0854">
        <w:rPr>
          <w:rStyle w:val="Strong"/>
        </w:rPr>
        <w:t>Adjustment for previous period</w:t>
      </w:r>
      <w:r w:rsidRPr="000B4909">
        <w:t xml:space="preserve"> </w:t>
      </w:r>
      <w:r w:rsidR="00C9348E">
        <w:t xml:space="preserve">and </w:t>
      </w:r>
      <w:r w:rsidR="00C9348E" w:rsidRPr="009876E9">
        <w:rPr>
          <w:rStyle w:val="Bold"/>
        </w:rPr>
        <w:t>RFM input</w:t>
      </w:r>
      <w:r w:rsidR="00C9348E">
        <w:t xml:space="preserve"> </w:t>
      </w:r>
      <w:r w:rsidRPr="000B4909">
        <w:t>sheet</w:t>
      </w:r>
      <w:r w:rsidR="00C9348E">
        <w:t>s</w:t>
      </w:r>
      <w:r w:rsidRPr="000B4909">
        <w:t>. These adjustments include:</w:t>
      </w:r>
    </w:p>
    <w:p w:rsidR="000B4909" w:rsidRPr="009876E9" w:rsidRDefault="000B4909" w:rsidP="00B223FB">
      <w:pPr>
        <w:pStyle w:val="ListBullet"/>
        <w:rPr>
          <w:highlight w:val="yellow"/>
        </w:rPr>
      </w:pPr>
      <w:r w:rsidRPr="009876E9">
        <w:rPr>
          <w:highlight w:val="yellow"/>
        </w:rPr>
        <w:t xml:space="preserve">the difference between </w:t>
      </w:r>
      <w:r w:rsidR="000E74FB" w:rsidRPr="009876E9">
        <w:rPr>
          <w:highlight w:val="yellow"/>
        </w:rPr>
        <w:t xml:space="preserve">as-incurred </w:t>
      </w:r>
      <w:r w:rsidRPr="009876E9">
        <w:rPr>
          <w:highlight w:val="yellow"/>
        </w:rPr>
        <w:t xml:space="preserve">forecast and actual net capex </w:t>
      </w:r>
      <w:r w:rsidR="00C9348E" w:rsidRPr="009876E9">
        <w:rPr>
          <w:highlight w:val="yellow"/>
        </w:rPr>
        <w:t xml:space="preserve">for the final year of the previous regulatory control period </w:t>
      </w:r>
      <w:r w:rsidRPr="009876E9">
        <w:rPr>
          <w:highlight w:val="yellow"/>
        </w:rPr>
        <w:t>(and a compounded return on that difference)</w:t>
      </w:r>
    </w:p>
    <w:p w:rsidR="000B4909" w:rsidRPr="009876E9" w:rsidRDefault="0003033C" w:rsidP="00FA06B5">
      <w:pPr>
        <w:pStyle w:val="ListBullet"/>
        <w:rPr>
          <w:highlight w:val="yellow"/>
        </w:rPr>
      </w:pPr>
      <w:r>
        <w:rPr>
          <w:highlight w:val="yellow"/>
        </w:rPr>
        <w:t>other</w:t>
      </w:r>
      <w:r w:rsidR="00C9348E" w:rsidRPr="009876E9">
        <w:rPr>
          <w:highlight w:val="yellow"/>
        </w:rPr>
        <w:t xml:space="preserve"> asset adjustment</w:t>
      </w:r>
      <w:r w:rsidR="006F25F8" w:rsidRPr="009876E9">
        <w:rPr>
          <w:highlight w:val="yellow"/>
        </w:rPr>
        <w:t>s (as-incurred)</w:t>
      </w:r>
      <w:r w:rsidR="00C9348E" w:rsidRPr="009876E9">
        <w:rPr>
          <w:highlight w:val="yellow"/>
        </w:rPr>
        <w:t xml:space="preserve"> </w:t>
      </w:r>
      <w:r w:rsidR="006F25F8" w:rsidRPr="009876E9">
        <w:rPr>
          <w:highlight w:val="yellow"/>
        </w:rPr>
        <w:t>for the final year of the current regulatory control period</w:t>
      </w:r>
      <w:r w:rsidR="000B4909" w:rsidRPr="009876E9">
        <w:rPr>
          <w:highlight w:val="yellow"/>
        </w:rPr>
        <w:t xml:space="preserve">. </w:t>
      </w:r>
    </w:p>
    <w:p w:rsidR="000B4909" w:rsidRPr="000B4909" w:rsidRDefault="000B4909" w:rsidP="000B4909">
      <w:r w:rsidRPr="000B4909">
        <w:t>The process for calculating the final closing RAB (partially as-incurred) for the current regulatory control period is set out in</w:t>
      </w:r>
      <w:r w:rsidR="0021562D">
        <w:t xml:space="preserve"> </w:t>
      </w:r>
      <w:r w:rsidR="0021562D">
        <w:fldChar w:fldCharType="begin"/>
      </w:r>
      <w:r w:rsidR="0021562D">
        <w:instrText xml:space="preserve"> REF _Ref420595061 \h </w:instrText>
      </w:r>
      <w:r w:rsidR="0021562D">
        <w:fldChar w:fldCharType="separate"/>
      </w:r>
      <w:r w:rsidR="00F92CE8">
        <w:t xml:space="preserve">Box </w:t>
      </w:r>
      <w:r w:rsidR="00F92CE8">
        <w:rPr>
          <w:noProof/>
        </w:rPr>
        <w:t>4</w:t>
      </w:r>
      <w:r w:rsidR="0021562D">
        <w:fldChar w:fldCharType="end"/>
      </w:r>
      <w:r w:rsidRPr="000B4909">
        <w:t>.</w:t>
      </w:r>
    </w:p>
    <w:p w:rsidR="000B4909" w:rsidRDefault="000B4909" w:rsidP="0021562D">
      <w:pPr>
        <w:pStyle w:val="NoSpacing"/>
      </w:pPr>
    </w:p>
    <w:tbl>
      <w:tblPr>
        <w:tblStyle w:val="AERTable-Text"/>
        <w:tblW w:w="0" w:type="auto"/>
        <w:tblLook w:val="04A0" w:firstRow="1" w:lastRow="0" w:firstColumn="1" w:lastColumn="0" w:noHBand="0" w:noVBand="1"/>
      </w:tblPr>
      <w:tblGrid>
        <w:gridCol w:w="9242"/>
      </w:tblGrid>
      <w:tr w:rsidR="003A48E6" w:rsidTr="003A48E6">
        <w:trPr>
          <w:cnfStyle w:val="100000000000" w:firstRow="1" w:lastRow="0" w:firstColumn="0" w:lastColumn="0" w:oddVBand="0" w:evenVBand="0" w:oddHBand="0" w:evenHBand="0" w:firstRowFirstColumn="0" w:firstRowLastColumn="0" w:lastRowFirstColumn="0" w:lastRowLastColumn="0"/>
        </w:trPr>
        <w:tc>
          <w:tcPr>
            <w:tcW w:w="9242" w:type="dxa"/>
          </w:tcPr>
          <w:p w:rsidR="003A48E6" w:rsidRDefault="0021562D" w:rsidP="00F72795">
            <w:pPr>
              <w:pStyle w:val="Tabletext"/>
            </w:pPr>
            <w:bookmarkStart w:id="58" w:name="_Ref420595061"/>
            <w:r>
              <w:t xml:space="preserve">Box </w:t>
            </w:r>
            <w:fldSimple w:instr=" SEQ Box \* ARABIC ">
              <w:r w:rsidR="00F92CE8">
                <w:rPr>
                  <w:noProof/>
                </w:rPr>
                <w:t>4</w:t>
              </w:r>
            </w:fldSimple>
            <w:bookmarkEnd w:id="58"/>
            <w:r w:rsidRPr="0021562D">
              <w:t xml:space="preserve"> </w:t>
            </w:r>
            <w:r w:rsidRPr="0021562D">
              <w:tab/>
            </w:r>
            <w:r w:rsidR="006F25F8">
              <w:t xml:space="preserve">Calculating the final closing RAB </w:t>
            </w:r>
            <w:r w:rsidRPr="0021562D">
              <w:t>(partially as-incurred)</w:t>
            </w:r>
            <w:r w:rsidR="006F25F8">
              <w:t xml:space="preserve"> for the current regulatory </w:t>
            </w:r>
            <w:r w:rsidR="006F25F8">
              <w:tab/>
            </w:r>
            <w:r w:rsidR="006F25F8">
              <w:tab/>
            </w:r>
            <w:r w:rsidR="006F25F8">
              <w:tab/>
            </w:r>
            <w:r w:rsidR="006F25F8">
              <w:tab/>
              <w:t>control period</w:t>
            </w:r>
          </w:p>
        </w:tc>
      </w:tr>
      <w:tr w:rsidR="003A48E6" w:rsidTr="003A48E6">
        <w:tc>
          <w:tcPr>
            <w:tcW w:w="9242" w:type="dxa"/>
          </w:tcPr>
          <w:p w:rsidR="0021562D" w:rsidRPr="009876E9" w:rsidRDefault="00C173A0" w:rsidP="0021562D">
            <w:pPr>
              <w:rPr>
                <w:rStyle w:val="Bold"/>
              </w:rPr>
            </w:pPr>
            <w:r w:rsidRPr="009876E9">
              <w:rPr>
                <w:rStyle w:val="Bold"/>
                <w:highlight w:val="yellow"/>
              </w:rPr>
              <w:t>Adjustments to be made for the final year of the current regulatory control period to calculate final closing RAB</w:t>
            </w:r>
          </w:p>
          <w:p w:rsidR="00C173A0" w:rsidRDefault="0021562D" w:rsidP="0021562D">
            <w:r w:rsidRPr="000B4909">
              <w:t xml:space="preserve">    </w:t>
            </w:r>
            <w:r w:rsidR="00C173A0">
              <w:tab/>
            </w:r>
            <w:r w:rsidRPr="000B4909">
              <w:t>Interim closing RAB (partially as-incurred) for the current regulatory control period</w:t>
            </w:r>
            <w:r w:rsidR="00C173A0">
              <w:t xml:space="preserve"> </w:t>
            </w:r>
            <w:r w:rsidRPr="000B4909">
              <w:t xml:space="preserve">+  </w:t>
            </w:r>
          </w:p>
          <w:p w:rsidR="00C173A0" w:rsidRPr="009876E9" w:rsidRDefault="00C173A0" w:rsidP="0021562D">
            <w:pPr>
              <w:rPr>
                <w:highlight w:val="yellow"/>
              </w:rPr>
            </w:pPr>
            <w:r>
              <w:tab/>
            </w:r>
            <w:r w:rsidR="0021562D" w:rsidRPr="009876E9">
              <w:rPr>
                <w:highlight w:val="yellow"/>
              </w:rPr>
              <w:t>Difference between nominal actual net capex and forecast net capex (</w:t>
            </w:r>
            <w:r w:rsidRPr="009876E9">
              <w:rPr>
                <w:highlight w:val="yellow"/>
              </w:rPr>
              <w:t>as-incurred</w:t>
            </w:r>
            <w:r w:rsidR="0021562D" w:rsidRPr="009876E9">
              <w:rPr>
                <w:highlight w:val="yellow"/>
              </w:rPr>
              <w:t>)</w:t>
            </w:r>
            <w:r w:rsidRPr="009876E9">
              <w:rPr>
                <w:highlight w:val="yellow"/>
              </w:rPr>
              <w:t xml:space="preserve"> </w:t>
            </w:r>
            <w:r w:rsidR="0021562D" w:rsidRPr="009876E9">
              <w:rPr>
                <w:highlight w:val="yellow"/>
              </w:rPr>
              <w:t>+</w:t>
            </w:r>
          </w:p>
          <w:p w:rsidR="00C173A0" w:rsidRPr="009876E9" w:rsidRDefault="00C173A0" w:rsidP="0021562D">
            <w:pPr>
              <w:rPr>
                <w:highlight w:val="yellow"/>
              </w:rPr>
            </w:pPr>
            <w:r w:rsidRPr="009876E9">
              <w:rPr>
                <w:highlight w:val="yellow"/>
              </w:rPr>
              <w:tab/>
            </w:r>
            <w:r w:rsidR="0021562D" w:rsidRPr="009876E9">
              <w:rPr>
                <w:highlight w:val="yellow"/>
              </w:rPr>
              <w:t xml:space="preserve">Compounded </w:t>
            </w:r>
            <w:r w:rsidR="00FA06B5" w:rsidRPr="009876E9">
              <w:rPr>
                <w:highlight w:val="yellow"/>
              </w:rPr>
              <w:t xml:space="preserve">nominal </w:t>
            </w:r>
            <w:r w:rsidR="0021562D" w:rsidRPr="009876E9">
              <w:rPr>
                <w:highlight w:val="yellow"/>
              </w:rPr>
              <w:t>return on that difference for net capex</w:t>
            </w:r>
            <w:r w:rsidRPr="009876E9">
              <w:rPr>
                <w:highlight w:val="yellow"/>
              </w:rPr>
              <w:t xml:space="preserve"> </w:t>
            </w:r>
            <w:r w:rsidR="00FA06B5" w:rsidRPr="009876E9">
              <w:rPr>
                <w:highlight w:val="yellow"/>
              </w:rPr>
              <w:t xml:space="preserve">(as-incurred) </w:t>
            </w:r>
            <w:r w:rsidR="0021562D" w:rsidRPr="009876E9">
              <w:rPr>
                <w:highlight w:val="yellow"/>
              </w:rPr>
              <w:t xml:space="preserve">+  </w:t>
            </w:r>
          </w:p>
          <w:p w:rsidR="00C173A0" w:rsidRDefault="00C173A0" w:rsidP="0021562D">
            <w:r w:rsidRPr="009876E9">
              <w:rPr>
                <w:highlight w:val="yellow"/>
              </w:rPr>
              <w:tab/>
              <w:t xml:space="preserve">Final year asset adjustments (as-incurred, where applicable) </w:t>
            </w:r>
            <w:r w:rsidR="0021562D" w:rsidRPr="009876E9">
              <w:rPr>
                <w:highlight w:val="yellow"/>
              </w:rPr>
              <w:t>=</w:t>
            </w:r>
            <w:r w:rsidR="0021562D" w:rsidRPr="000B4909">
              <w:t xml:space="preserve">  </w:t>
            </w:r>
          </w:p>
          <w:p w:rsidR="00C173A0" w:rsidRDefault="00C173A0" w:rsidP="00FA06B5">
            <w:r>
              <w:tab/>
            </w:r>
            <w:r w:rsidR="0021562D" w:rsidRPr="000B4909">
              <w:t>Closing RAB (partially as-incurred) for the current regulatory control period</w:t>
            </w:r>
            <w:r>
              <w:t xml:space="preserve"> </w:t>
            </w:r>
            <w:r w:rsidR="0021562D" w:rsidRPr="000B4909">
              <w:t xml:space="preserve">=  </w:t>
            </w:r>
          </w:p>
          <w:p w:rsidR="003A48E6" w:rsidRDefault="00C173A0" w:rsidP="00FA06B5">
            <w:r>
              <w:tab/>
            </w:r>
            <w:r w:rsidR="0021562D" w:rsidRPr="000B4909">
              <w:t>Opening RAB (partially as-incurred) for the first year of the next regulatory control period</w:t>
            </w:r>
            <w:r w:rsidR="009C24ED">
              <w:t>.</w:t>
            </w:r>
          </w:p>
        </w:tc>
      </w:tr>
      <w:tr w:rsidR="003A48E6" w:rsidTr="003A48E6">
        <w:trPr>
          <w:cnfStyle w:val="000000010000" w:firstRow="0" w:lastRow="0" w:firstColumn="0" w:lastColumn="0" w:oddVBand="0" w:evenVBand="0" w:oddHBand="0" w:evenHBand="1" w:firstRowFirstColumn="0" w:firstRowLastColumn="0" w:lastRowFirstColumn="0" w:lastRowLastColumn="0"/>
        </w:trPr>
        <w:tc>
          <w:tcPr>
            <w:tcW w:w="9242" w:type="dxa"/>
          </w:tcPr>
          <w:p w:rsidR="003A48E6" w:rsidRPr="000B4909" w:rsidRDefault="003A48E6" w:rsidP="003A48E6">
            <w:r w:rsidRPr="000B4909">
              <w:t>Note:</w:t>
            </w:r>
          </w:p>
          <w:p w:rsidR="003A48E6" w:rsidRDefault="003A48E6" w:rsidP="003A48E6">
            <w:pPr>
              <w:pStyle w:val="ListBullet"/>
            </w:pPr>
            <w:r w:rsidRPr="000B4909">
              <w:t>The opening RAB (partially as-incurred) for the first year of the next regulatory control period becomes an input into the PTRM for the purposes of determining the return on capital for the next regulatory control period.</w:t>
            </w:r>
          </w:p>
        </w:tc>
      </w:tr>
    </w:tbl>
    <w:p w:rsidR="000B4909" w:rsidRPr="000B4909" w:rsidRDefault="000B4909" w:rsidP="000B4909">
      <w:r w:rsidRPr="000B4909">
        <w:t>The closing RAB (partially as-incurred) for the current regulatory control period is shown in cell L</w:t>
      </w:r>
      <w:r w:rsidR="00BE4A06">
        <w:t>529</w:t>
      </w:r>
      <w:r w:rsidRPr="000B4909">
        <w:t xml:space="preserve">. This value becomes the opening RAB (partially as-incurred) for the next regulatory control period and is used as an input into the PTRM for calculating the allowed return on capital in the next revenue determination. A breakdown of the closing RAB </w:t>
      </w:r>
      <w:r w:rsidR="0003033C">
        <w:t xml:space="preserve">(partially as-incurred) </w:t>
      </w:r>
      <w:r w:rsidRPr="000B4909">
        <w:t xml:space="preserve">values by asset classes are displayed in rows </w:t>
      </w:r>
      <w:r w:rsidR="00BE4A06">
        <w:t>530</w:t>
      </w:r>
      <w:r w:rsidRPr="000B4909">
        <w:t xml:space="preserve"> to </w:t>
      </w:r>
      <w:r w:rsidR="00BE4A06">
        <w:t>579</w:t>
      </w:r>
      <w:r w:rsidRPr="000B4909">
        <w:t>.</w:t>
      </w:r>
    </w:p>
    <w:p w:rsidR="000B4909" w:rsidRPr="000B4909" w:rsidRDefault="000B4909" w:rsidP="00FE4BB7">
      <w:pPr>
        <w:pStyle w:val="Heading3"/>
      </w:pPr>
      <w:bookmarkStart w:id="59" w:name="_Toc423696209"/>
      <w:r w:rsidRPr="000B4909">
        <w:t>As-commissioned RAB roll forward</w:t>
      </w:r>
      <w:bookmarkEnd w:id="59"/>
    </w:p>
    <w:p w:rsidR="000B4909" w:rsidRPr="000B4909" w:rsidRDefault="000B4909" w:rsidP="000B4909">
      <w:r w:rsidRPr="009876E9">
        <w:rPr>
          <w:highlight w:val="yellow"/>
        </w:rPr>
        <w:t xml:space="preserve">Under the as-commissioned approach to recognising capex, row </w:t>
      </w:r>
      <w:r w:rsidR="00BE4A06" w:rsidRPr="009876E9">
        <w:rPr>
          <w:highlight w:val="yellow"/>
        </w:rPr>
        <w:t>58</w:t>
      </w:r>
      <w:r w:rsidRPr="009876E9">
        <w:rPr>
          <w:highlight w:val="yellow"/>
        </w:rPr>
        <w:t xml:space="preserve">3 </w:t>
      </w:r>
      <w:r w:rsidR="00BE4A06" w:rsidRPr="009876E9">
        <w:rPr>
          <w:highlight w:val="yellow"/>
        </w:rPr>
        <w:t>display</w:t>
      </w:r>
      <w:r w:rsidRPr="009876E9">
        <w:rPr>
          <w:highlight w:val="yellow"/>
        </w:rPr>
        <w:t xml:space="preserve">s the opening RAB values for each year of the current regulatory control period, </w:t>
      </w:r>
      <w:r w:rsidR="00BE4A06" w:rsidRPr="009876E9">
        <w:rPr>
          <w:highlight w:val="yellow"/>
        </w:rPr>
        <w:t>based on the sum of each asset class calculations for rows 584 to 633. These rows are in turn</w:t>
      </w:r>
      <w:r w:rsidRPr="009876E9">
        <w:rPr>
          <w:highlight w:val="yellow"/>
        </w:rPr>
        <w:t xml:space="preserve"> based on the interim closing RAB (as-commissioned) in row </w:t>
      </w:r>
      <w:r w:rsidR="00BE4A06" w:rsidRPr="009876E9">
        <w:rPr>
          <w:highlight w:val="yellow"/>
        </w:rPr>
        <w:t>89</w:t>
      </w:r>
      <w:r w:rsidRPr="009876E9">
        <w:rPr>
          <w:highlight w:val="yellow"/>
        </w:rPr>
        <w:t xml:space="preserve">7. The calculations </w:t>
      </w:r>
      <w:r w:rsidR="00BE4A06" w:rsidRPr="009876E9">
        <w:rPr>
          <w:highlight w:val="yellow"/>
        </w:rPr>
        <w:t>at row 584 to 633 reflect the as-commissioned opening RAB values in</w:t>
      </w:r>
      <w:r w:rsidRPr="009876E9">
        <w:rPr>
          <w:highlight w:val="yellow"/>
        </w:rPr>
        <w:t xml:space="preserve"> the </w:t>
      </w:r>
      <w:r w:rsidRPr="009876E9">
        <w:rPr>
          <w:rStyle w:val="Strong"/>
          <w:highlight w:val="yellow"/>
        </w:rPr>
        <w:t>RAB roll forward</w:t>
      </w:r>
      <w:r w:rsidRPr="009876E9">
        <w:rPr>
          <w:highlight w:val="yellow"/>
        </w:rPr>
        <w:t xml:space="preserve"> sheet. </w:t>
      </w:r>
      <w:r w:rsidR="00BE4A06" w:rsidRPr="009876E9">
        <w:rPr>
          <w:highlight w:val="yellow"/>
        </w:rPr>
        <w:t>T</w:t>
      </w:r>
      <w:r w:rsidRPr="009876E9">
        <w:rPr>
          <w:highlight w:val="yellow"/>
        </w:rPr>
        <w:t xml:space="preserve">he nominal </w:t>
      </w:r>
      <w:r w:rsidR="00BE4A06" w:rsidRPr="009876E9">
        <w:rPr>
          <w:highlight w:val="yellow"/>
        </w:rPr>
        <w:t xml:space="preserve">as-commissioned </w:t>
      </w:r>
      <w:r w:rsidRPr="009876E9">
        <w:rPr>
          <w:highlight w:val="yellow"/>
        </w:rPr>
        <w:t xml:space="preserve">actual net capex (row </w:t>
      </w:r>
      <w:r w:rsidR="00BE4A06" w:rsidRPr="009876E9">
        <w:rPr>
          <w:highlight w:val="yellow"/>
        </w:rPr>
        <w:t>635</w:t>
      </w:r>
      <w:r w:rsidRPr="009876E9">
        <w:rPr>
          <w:highlight w:val="yellow"/>
        </w:rPr>
        <w:t>)</w:t>
      </w:r>
      <w:r w:rsidR="00BE4A06" w:rsidRPr="009876E9">
        <w:rPr>
          <w:highlight w:val="yellow"/>
        </w:rPr>
        <w:t>, as-commissioned</w:t>
      </w:r>
      <w:r w:rsidRPr="009876E9">
        <w:rPr>
          <w:highlight w:val="yellow"/>
        </w:rPr>
        <w:t xml:space="preserve"> regulatory depreciation (row</w:t>
      </w:r>
      <w:r w:rsidR="00BE4A06" w:rsidRPr="009876E9">
        <w:rPr>
          <w:highlight w:val="yellow"/>
        </w:rPr>
        <w:t> 687</w:t>
      </w:r>
      <w:r w:rsidRPr="009876E9">
        <w:rPr>
          <w:highlight w:val="yellow"/>
        </w:rPr>
        <w:t xml:space="preserve">) values </w:t>
      </w:r>
      <w:r w:rsidR="00BE4A06" w:rsidRPr="009876E9">
        <w:rPr>
          <w:highlight w:val="yellow"/>
        </w:rPr>
        <w:t xml:space="preserve">and other as-commissioned asset </w:t>
      </w:r>
      <w:r w:rsidRPr="009876E9">
        <w:rPr>
          <w:highlight w:val="yellow"/>
        </w:rPr>
        <w:t xml:space="preserve">adjustments that may be required—e.g. </w:t>
      </w:r>
      <w:r w:rsidR="000E74FB" w:rsidRPr="009876E9">
        <w:rPr>
          <w:highlight w:val="yellow"/>
        </w:rPr>
        <w:t>difference in final year</w:t>
      </w:r>
      <w:r w:rsidRPr="009876E9">
        <w:rPr>
          <w:highlight w:val="yellow"/>
        </w:rPr>
        <w:t xml:space="preserve"> capex (row </w:t>
      </w:r>
      <w:r w:rsidR="000E74FB" w:rsidRPr="009876E9">
        <w:rPr>
          <w:highlight w:val="yellow"/>
        </w:rPr>
        <w:t>739</w:t>
      </w:r>
      <w:r w:rsidRPr="009876E9">
        <w:rPr>
          <w:highlight w:val="yellow"/>
        </w:rPr>
        <w:t>)</w:t>
      </w:r>
      <w:r w:rsidR="000E74FB" w:rsidRPr="009876E9">
        <w:rPr>
          <w:highlight w:val="yellow"/>
        </w:rPr>
        <w:t>,</w:t>
      </w:r>
      <w:r w:rsidRPr="009876E9">
        <w:rPr>
          <w:highlight w:val="yellow"/>
        </w:rPr>
        <w:t xml:space="preserve"> return on </w:t>
      </w:r>
      <w:r w:rsidR="000E74FB" w:rsidRPr="009876E9">
        <w:rPr>
          <w:highlight w:val="yellow"/>
        </w:rPr>
        <w:t>difference in final year</w:t>
      </w:r>
      <w:r w:rsidRPr="009876E9">
        <w:rPr>
          <w:highlight w:val="yellow"/>
        </w:rPr>
        <w:t xml:space="preserve"> capex (row </w:t>
      </w:r>
      <w:r w:rsidR="000E74FB" w:rsidRPr="009876E9">
        <w:rPr>
          <w:highlight w:val="yellow"/>
        </w:rPr>
        <w:t>791</w:t>
      </w:r>
      <w:r w:rsidRPr="009876E9">
        <w:rPr>
          <w:highlight w:val="yellow"/>
        </w:rPr>
        <w:t>)</w:t>
      </w:r>
      <w:r w:rsidR="000E74FB" w:rsidRPr="009876E9">
        <w:rPr>
          <w:highlight w:val="yellow"/>
        </w:rPr>
        <w:t xml:space="preserve"> and other final year adjustments (row 843</w:t>
      </w:r>
      <w:r w:rsidRPr="009876E9">
        <w:rPr>
          <w:highlight w:val="yellow"/>
        </w:rPr>
        <w:t xml:space="preserve">) are sourced from the </w:t>
      </w:r>
      <w:r w:rsidRPr="009876E9">
        <w:rPr>
          <w:rStyle w:val="Strong"/>
          <w:highlight w:val="yellow"/>
        </w:rPr>
        <w:t>RAB roll forward</w:t>
      </w:r>
      <w:r w:rsidRPr="009876E9">
        <w:rPr>
          <w:highlight w:val="yellow"/>
        </w:rPr>
        <w:t xml:space="preserve"> sheet.</w:t>
      </w:r>
    </w:p>
    <w:p w:rsidR="000E74FB" w:rsidRDefault="000B4909" w:rsidP="000B4909">
      <w:r w:rsidRPr="000B4909">
        <w:t>Rows 9</w:t>
      </w:r>
      <w:r w:rsidR="000E74FB">
        <w:t>49</w:t>
      </w:r>
      <w:r w:rsidRPr="000B4909">
        <w:t xml:space="preserve"> to </w:t>
      </w:r>
      <w:r w:rsidR="000E74FB">
        <w:t>1103</w:t>
      </w:r>
      <w:r w:rsidRPr="000B4909">
        <w:t xml:space="preserve"> represent the required adjustments </w:t>
      </w:r>
      <w:r w:rsidR="000E74FB">
        <w:t>to be made for</w:t>
      </w:r>
      <w:r w:rsidRPr="000B4909">
        <w:t xml:space="preserve"> the final year of the </w:t>
      </w:r>
      <w:r w:rsidR="000E74FB">
        <w:t>current</w:t>
      </w:r>
      <w:r w:rsidRPr="000B4909">
        <w:t xml:space="preserve"> regulatory control period and are sourced from the </w:t>
      </w:r>
      <w:r w:rsidRPr="009F0854">
        <w:rPr>
          <w:rStyle w:val="Strong"/>
        </w:rPr>
        <w:t>Adjustment for previous period</w:t>
      </w:r>
      <w:r w:rsidRPr="000B4909">
        <w:t xml:space="preserve"> </w:t>
      </w:r>
      <w:r w:rsidR="000E74FB">
        <w:t xml:space="preserve">and </w:t>
      </w:r>
      <w:r w:rsidR="000E74FB" w:rsidRPr="009876E9">
        <w:rPr>
          <w:rStyle w:val="Bold"/>
        </w:rPr>
        <w:t xml:space="preserve">RFM input </w:t>
      </w:r>
      <w:r w:rsidRPr="000B4909">
        <w:t>sheet</w:t>
      </w:r>
      <w:r w:rsidR="000E74FB">
        <w:t>s</w:t>
      </w:r>
      <w:r w:rsidRPr="000B4909">
        <w:t>. Th</w:t>
      </w:r>
      <w:r w:rsidR="000E74FB">
        <w:t>ese</w:t>
      </w:r>
      <w:r w:rsidRPr="000B4909">
        <w:t xml:space="preserve"> adjustment</w:t>
      </w:r>
      <w:r w:rsidR="000E74FB">
        <w:t>s</w:t>
      </w:r>
      <w:r w:rsidRPr="000B4909">
        <w:t xml:space="preserve"> include</w:t>
      </w:r>
      <w:r w:rsidR="000E74FB">
        <w:t>:</w:t>
      </w:r>
    </w:p>
    <w:p w:rsidR="000E74FB" w:rsidRPr="009876E9" w:rsidRDefault="000B4909" w:rsidP="009876E9">
      <w:pPr>
        <w:pStyle w:val="Bulletpoint"/>
        <w:rPr>
          <w:highlight w:val="yellow"/>
        </w:rPr>
      </w:pPr>
      <w:r w:rsidRPr="009876E9">
        <w:rPr>
          <w:highlight w:val="yellow"/>
        </w:rPr>
        <w:t xml:space="preserve">the difference between </w:t>
      </w:r>
      <w:r w:rsidR="000E74FB" w:rsidRPr="009876E9">
        <w:rPr>
          <w:rStyle w:val="Emphasis"/>
          <w:highlight w:val="yellow"/>
        </w:rPr>
        <w:t>as-commissioned</w:t>
      </w:r>
      <w:r w:rsidR="000E74FB" w:rsidRPr="009876E9">
        <w:rPr>
          <w:highlight w:val="yellow"/>
        </w:rPr>
        <w:t xml:space="preserve"> </w:t>
      </w:r>
      <w:r w:rsidRPr="009876E9">
        <w:rPr>
          <w:highlight w:val="yellow"/>
        </w:rPr>
        <w:t xml:space="preserve">forecast and actual net capex </w:t>
      </w:r>
      <w:r w:rsidR="000E74FB" w:rsidRPr="009876E9">
        <w:rPr>
          <w:highlight w:val="yellow"/>
        </w:rPr>
        <w:t xml:space="preserve">for the final year of the previous regulatory control period </w:t>
      </w:r>
      <w:r w:rsidRPr="009876E9">
        <w:rPr>
          <w:highlight w:val="yellow"/>
        </w:rPr>
        <w:t>(and a compounded return on th</w:t>
      </w:r>
      <w:r w:rsidR="000E74FB" w:rsidRPr="009876E9">
        <w:rPr>
          <w:highlight w:val="yellow"/>
        </w:rPr>
        <w:t>e</w:t>
      </w:r>
      <w:r w:rsidRPr="009876E9">
        <w:rPr>
          <w:highlight w:val="yellow"/>
        </w:rPr>
        <w:t xml:space="preserve"> difference</w:t>
      </w:r>
      <w:r w:rsidR="000E74FB" w:rsidRPr="009876E9">
        <w:rPr>
          <w:highlight w:val="yellow"/>
        </w:rPr>
        <w:t xml:space="preserve"> between </w:t>
      </w:r>
      <w:r w:rsidR="000E74FB" w:rsidRPr="009876E9">
        <w:rPr>
          <w:rStyle w:val="Emphasis"/>
          <w:highlight w:val="yellow"/>
        </w:rPr>
        <w:t>as-incurred</w:t>
      </w:r>
      <w:r w:rsidR="000E74FB" w:rsidRPr="009876E9">
        <w:rPr>
          <w:highlight w:val="yellow"/>
        </w:rPr>
        <w:t xml:space="preserve"> forecast and actual net capex for the final year of the previous regulatory control period</w:t>
      </w:r>
      <w:r w:rsidRPr="009876E9">
        <w:rPr>
          <w:highlight w:val="yellow"/>
        </w:rPr>
        <w:t>)</w:t>
      </w:r>
    </w:p>
    <w:p w:rsidR="000B4909" w:rsidRPr="009876E9" w:rsidRDefault="0003033C" w:rsidP="009876E9">
      <w:pPr>
        <w:pStyle w:val="Bulletpoint"/>
        <w:rPr>
          <w:highlight w:val="yellow"/>
        </w:rPr>
      </w:pPr>
      <w:r>
        <w:rPr>
          <w:highlight w:val="yellow"/>
        </w:rPr>
        <w:t>other</w:t>
      </w:r>
      <w:r w:rsidR="000E74FB" w:rsidRPr="009876E9">
        <w:rPr>
          <w:highlight w:val="yellow"/>
        </w:rPr>
        <w:t xml:space="preserve"> asset adjustments (as-commissioned) for the final year of the current regulatory control period</w:t>
      </w:r>
      <w:r w:rsidR="000B4909" w:rsidRPr="009876E9">
        <w:rPr>
          <w:highlight w:val="yellow"/>
        </w:rPr>
        <w:t>.</w:t>
      </w:r>
    </w:p>
    <w:p w:rsidR="000B4909" w:rsidRDefault="000B4909" w:rsidP="000B4909">
      <w:r w:rsidRPr="000B4909">
        <w:t>The process for calculating the final closing RAB (as-commissioned) for the current regulatory control period is set out in</w:t>
      </w:r>
      <w:r w:rsidR="0021562D">
        <w:t xml:space="preserve"> </w:t>
      </w:r>
      <w:r w:rsidR="0021562D">
        <w:fldChar w:fldCharType="begin"/>
      </w:r>
      <w:r w:rsidR="0021562D">
        <w:instrText xml:space="preserve"> REF _Ref420595118 \h </w:instrText>
      </w:r>
      <w:r w:rsidR="0021562D">
        <w:fldChar w:fldCharType="separate"/>
      </w:r>
      <w:r w:rsidR="00F92CE8">
        <w:t xml:space="preserve">Box </w:t>
      </w:r>
      <w:r w:rsidR="00F92CE8">
        <w:rPr>
          <w:noProof/>
        </w:rPr>
        <w:t>5</w:t>
      </w:r>
      <w:r w:rsidR="0021562D">
        <w:fldChar w:fldCharType="end"/>
      </w:r>
      <w:r w:rsidRPr="000B4909">
        <w:t>.</w:t>
      </w:r>
    </w:p>
    <w:p w:rsidR="0021562D" w:rsidRPr="000B4909" w:rsidRDefault="0021562D" w:rsidP="0021562D">
      <w:pPr>
        <w:pStyle w:val="NoSpacing"/>
      </w:pPr>
    </w:p>
    <w:tbl>
      <w:tblPr>
        <w:tblStyle w:val="AERTable-Text"/>
        <w:tblW w:w="9322" w:type="dxa"/>
        <w:tblLook w:val="04A0" w:firstRow="1" w:lastRow="0" w:firstColumn="1" w:lastColumn="0" w:noHBand="0" w:noVBand="1"/>
      </w:tblPr>
      <w:tblGrid>
        <w:gridCol w:w="9322"/>
      </w:tblGrid>
      <w:tr w:rsidR="003A48E6" w:rsidTr="00F72795">
        <w:trPr>
          <w:cnfStyle w:val="100000000000" w:firstRow="1" w:lastRow="0" w:firstColumn="0" w:lastColumn="0" w:oddVBand="0" w:evenVBand="0" w:oddHBand="0" w:evenHBand="0" w:firstRowFirstColumn="0" w:firstRowLastColumn="0" w:lastRowFirstColumn="0" w:lastRowLastColumn="0"/>
        </w:trPr>
        <w:tc>
          <w:tcPr>
            <w:tcW w:w="9322" w:type="dxa"/>
          </w:tcPr>
          <w:p w:rsidR="003A48E6" w:rsidRDefault="0021562D" w:rsidP="00F72795">
            <w:pPr>
              <w:pStyle w:val="Tabletext"/>
            </w:pPr>
            <w:bookmarkStart w:id="60" w:name="_Ref420595118"/>
            <w:r>
              <w:t xml:space="preserve">Box </w:t>
            </w:r>
            <w:fldSimple w:instr=" SEQ Box \* ARABIC ">
              <w:r w:rsidR="00F92CE8">
                <w:rPr>
                  <w:noProof/>
                </w:rPr>
                <w:t>5</w:t>
              </w:r>
            </w:fldSimple>
            <w:bookmarkEnd w:id="60"/>
            <w:r w:rsidRPr="000B4909">
              <w:t xml:space="preserve"> </w:t>
            </w:r>
            <w:r>
              <w:tab/>
            </w:r>
            <w:r w:rsidR="000E74FB">
              <w:t>Calculating the final closing RAB</w:t>
            </w:r>
            <w:r w:rsidRPr="000B4909">
              <w:t xml:space="preserve"> (as-commissioned)</w:t>
            </w:r>
            <w:r w:rsidR="000E74FB">
              <w:t xml:space="preserve"> for the current regulatory control </w:t>
            </w:r>
            <w:r w:rsidR="000E74FB">
              <w:tab/>
            </w:r>
            <w:r w:rsidR="000E74FB">
              <w:tab/>
              <w:t>period</w:t>
            </w:r>
          </w:p>
        </w:tc>
      </w:tr>
      <w:tr w:rsidR="003A48E6" w:rsidTr="009876E9">
        <w:tc>
          <w:tcPr>
            <w:tcW w:w="9322" w:type="dxa"/>
          </w:tcPr>
          <w:p w:rsidR="003A48E6" w:rsidRPr="009876E9" w:rsidRDefault="000E74FB" w:rsidP="000B4909">
            <w:pPr>
              <w:rPr>
                <w:rStyle w:val="Bold"/>
              </w:rPr>
            </w:pPr>
            <w:r w:rsidRPr="009876E9">
              <w:rPr>
                <w:rStyle w:val="Bold"/>
                <w:highlight w:val="yellow"/>
              </w:rPr>
              <w:t>Adjustments to be made for the final year of the current regulatory control period to calculate final closing RAB</w:t>
            </w:r>
          </w:p>
          <w:p w:rsidR="000E74FB" w:rsidRDefault="0021562D" w:rsidP="0021562D">
            <w:r w:rsidRPr="000B4909">
              <w:t xml:space="preserve">    </w:t>
            </w:r>
            <w:r w:rsidR="000E74FB">
              <w:tab/>
            </w:r>
            <w:r w:rsidRPr="000B4909">
              <w:t>Interim closing RAB (as-commissioned) for the current regulatory control period</w:t>
            </w:r>
            <w:r w:rsidR="000E74FB">
              <w:t xml:space="preserve"> </w:t>
            </w:r>
            <w:r w:rsidRPr="000B4909">
              <w:t xml:space="preserve">+  </w:t>
            </w:r>
          </w:p>
          <w:p w:rsidR="000E74FB" w:rsidRPr="009876E9" w:rsidRDefault="000E74FB" w:rsidP="0021562D">
            <w:pPr>
              <w:rPr>
                <w:highlight w:val="yellow"/>
              </w:rPr>
            </w:pPr>
            <w:r>
              <w:tab/>
            </w:r>
            <w:r w:rsidR="0021562D" w:rsidRPr="009876E9">
              <w:rPr>
                <w:highlight w:val="yellow"/>
              </w:rPr>
              <w:t>Difference between actual net capex and forecast net capex (a</w:t>
            </w:r>
            <w:r w:rsidRPr="009876E9">
              <w:rPr>
                <w:highlight w:val="yellow"/>
              </w:rPr>
              <w:t>s-commissioned</w:t>
            </w:r>
            <w:r w:rsidR="0021562D" w:rsidRPr="009876E9">
              <w:rPr>
                <w:highlight w:val="yellow"/>
              </w:rPr>
              <w:t>)</w:t>
            </w:r>
            <w:r w:rsidRPr="009876E9">
              <w:rPr>
                <w:highlight w:val="yellow"/>
              </w:rPr>
              <w:t xml:space="preserve"> </w:t>
            </w:r>
            <w:r w:rsidR="00FA06B5" w:rsidRPr="009876E9">
              <w:rPr>
                <w:highlight w:val="yellow"/>
              </w:rPr>
              <w:t xml:space="preserve">indexed forward </w:t>
            </w:r>
            <w:r w:rsidR="0021562D" w:rsidRPr="009876E9">
              <w:rPr>
                <w:highlight w:val="yellow"/>
              </w:rPr>
              <w:t xml:space="preserve">+  </w:t>
            </w:r>
          </w:p>
          <w:p w:rsidR="00FA06B5" w:rsidRPr="009876E9" w:rsidRDefault="000E74FB" w:rsidP="0021562D">
            <w:pPr>
              <w:rPr>
                <w:highlight w:val="yellow"/>
              </w:rPr>
            </w:pPr>
            <w:r w:rsidRPr="009876E9">
              <w:rPr>
                <w:highlight w:val="yellow"/>
              </w:rPr>
              <w:tab/>
            </w:r>
            <w:r w:rsidR="0021562D" w:rsidRPr="009876E9">
              <w:rPr>
                <w:highlight w:val="yellow"/>
              </w:rPr>
              <w:t xml:space="preserve">Compounded </w:t>
            </w:r>
            <w:r w:rsidR="00FA06B5" w:rsidRPr="009876E9">
              <w:rPr>
                <w:highlight w:val="yellow"/>
              </w:rPr>
              <w:t xml:space="preserve">real </w:t>
            </w:r>
            <w:r w:rsidR="0021562D" w:rsidRPr="009876E9">
              <w:rPr>
                <w:highlight w:val="yellow"/>
              </w:rPr>
              <w:t>return on th</w:t>
            </w:r>
            <w:r w:rsidR="00FA06B5" w:rsidRPr="009876E9">
              <w:rPr>
                <w:highlight w:val="yellow"/>
              </w:rPr>
              <w:t>e</w:t>
            </w:r>
            <w:r w:rsidR="0021562D" w:rsidRPr="009876E9">
              <w:rPr>
                <w:highlight w:val="yellow"/>
              </w:rPr>
              <w:t xml:space="preserve"> difference for net capex</w:t>
            </w:r>
            <w:r w:rsidR="00FA06B5" w:rsidRPr="009876E9">
              <w:rPr>
                <w:highlight w:val="yellow"/>
              </w:rPr>
              <w:t xml:space="preserve"> (as-incurred) +</w:t>
            </w:r>
          </w:p>
          <w:p w:rsidR="00FA06B5" w:rsidRDefault="00FA06B5" w:rsidP="0021562D">
            <w:r w:rsidRPr="009876E9">
              <w:rPr>
                <w:highlight w:val="yellow"/>
              </w:rPr>
              <w:tab/>
              <w:t xml:space="preserve">Final year asset adjustments (as-commissioned, where applicable) </w:t>
            </w:r>
            <w:r w:rsidR="0021562D" w:rsidRPr="009876E9">
              <w:rPr>
                <w:highlight w:val="yellow"/>
              </w:rPr>
              <w:t>=</w:t>
            </w:r>
            <w:r w:rsidR="0021562D" w:rsidRPr="000B4909">
              <w:t xml:space="preserve">  </w:t>
            </w:r>
          </w:p>
          <w:p w:rsidR="00FA06B5" w:rsidRDefault="00FA06B5" w:rsidP="00FA06B5">
            <w:r>
              <w:tab/>
            </w:r>
            <w:r w:rsidR="0021562D" w:rsidRPr="000B4909">
              <w:t>Closing RAB (as-commissioned) for the current regulatory control period</w:t>
            </w:r>
            <w:r>
              <w:t xml:space="preserve"> </w:t>
            </w:r>
            <w:r w:rsidR="0021562D" w:rsidRPr="000B4909">
              <w:t xml:space="preserve">=  </w:t>
            </w:r>
          </w:p>
          <w:p w:rsidR="0021562D" w:rsidRDefault="00FA06B5" w:rsidP="00FA06B5">
            <w:r>
              <w:tab/>
            </w:r>
            <w:r w:rsidR="0021562D" w:rsidRPr="000B4909">
              <w:t>Opening RAB (as-commissioned) for the first year of the next regulatory control period</w:t>
            </w:r>
            <w:r w:rsidR="009C24ED">
              <w:t>.</w:t>
            </w:r>
          </w:p>
        </w:tc>
      </w:tr>
      <w:tr w:rsidR="003A48E6" w:rsidTr="009876E9">
        <w:trPr>
          <w:cnfStyle w:val="000000010000" w:firstRow="0" w:lastRow="0" w:firstColumn="0" w:lastColumn="0" w:oddVBand="0" w:evenVBand="0" w:oddHBand="0" w:evenHBand="1" w:firstRowFirstColumn="0" w:firstRowLastColumn="0" w:lastRowFirstColumn="0" w:lastRowLastColumn="0"/>
        </w:trPr>
        <w:tc>
          <w:tcPr>
            <w:tcW w:w="9322" w:type="dxa"/>
          </w:tcPr>
          <w:p w:rsidR="003A48E6" w:rsidRPr="000B4909" w:rsidRDefault="003A48E6" w:rsidP="003A48E6">
            <w:r w:rsidRPr="000B4909">
              <w:t>Note:</w:t>
            </w:r>
          </w:p>
          <w:p w:rsidR="003A48E6" w:rsidRDefault="003A48E6" w:rsidP="003A48E6">
            <w:pPr>
              <w:pStyle w:val="ListBullet"/>
            </w:pPr>
            <w:r>
              <w:t>T</w:t>
            </w:r>
            <w:r w:rsidRPr="000B4909">
              <w:t>he opening RAB (as-commissioned) for the first year of the next regulatory control period becomes an input into the PTRM for the purposes of determining the return of capital (depreciation) for the next regulatory control period.</w:t>
            </w:r>
          </w:p>
        </w:tc>
      </w:tr>
    </w:tbl>
    <w:p w:rsidR="000B4909" w:rsidRPr="000B4909" w:rsidRDefault="000B4909" w:rsidP="000B4909">
      <w:r w:rsidRPr="000B4909">
        <w:t>The closing RAB (as-commissioned) for the current regulatory control period is shown in cell L</w:t>
      </w:r>
      <w:r w:rsidR="00FA06B5">
        <w:t>1105</w:t>
      </w:r>
      <w:r w:rsidRPr="000B4909">
        <w:t xml:space="preserve">. This value becomes the opening RAB (as-commissioned) for the next regulatory control period and is used as an input into the PTRM for calculating the allowed return of capital (depreciation) in the next revenue determination. A breakdown of the closing RAB </w:t>
      </w:r>
      <w:r w:rsidR="0003033C">
        <w:t xml:space="preserve">(as-commissioned) </w:t>
      </w:r>
      <w:r w:rsidRPr="000B4909">
        <w:t xml:space="preserve">values by asset classes are displayed in rows </w:t>
      </w:r>
      <w:r w:rsidR="00FA06B5">
        <w:t>110</w:t>
      </w:r>
      <w:r w:rsidRPr="000B4909">
        <w:t xml:space="preserve">6 to </w:t>
      </w:r>
      <w:r w:rsidR="00FA06B5">
        <w:t>1155</w:t>
      </w:r>
      <w:r w:rsidRPr="000B4909">
        <w:t>.</w:t>
      </w:r>
    </w:p>
    <w:p w:rsidR="000B4909" w:rsidRPr="000B4909" w:rsidRDefault="0021562D" w:rsidP="000B4909">
      <w:r>
        <w:fldChar w:fldCharType="begin"/>
      </w:r>
      <w:r>
        <w:instrText xml:space="preserve"> REF _Ref420595162 \h </w:instrText>
      </w:r>
      <w:r>
        <w:fldChar w:fldCharType="separate"/>
      </w:r>
      <w:r w:rsidR="00F92CE8">
        <w:t xml:space="preserve">Figure </w:t>
      </w:r>
      <w:r w:rsidR="00F92CE8">
        <w:rPr>
          <w:noProof/>
        </w:rPr>
        <w:t>6</w:t>
      </w:r>
      <w:r>
        <w:fldChar w:fldCharType="end"/>
      </w:r>
      <w:r>
        <w:t xml:space="preserve"> </w:t>
      </w:r>
      <w:r w:rsidR="000B4909" w:rsidRPr="000B4909">
        <w:t xml:space="preserve">provides an example of the </w:t>
      </w:r>
      <w:r w:rsidR="000B4909" w:rsidRPr="009F0854">
        <w:rPr>
          <w:rStyle w:val="Strong"/>
        </w:rPr>
        <w:t>Total RAB roll forward</w:t>
      </w:r>
      <w:r w:rsidR="000B4909" w:rsidRPr="000B4909">
        <w:t xml:space="preserve"> sheet.</w:t>
      </w:r>
    </w:p>
    <w:p w:rsidR="0021562D" w:rsidRDefault="0021562D" w:rsidP="0021562D">
      <w:pPr>
        <w:pStyle w:val="Caption"/>
        <w:keepNext/>
      </w:pPr>
      <w:bookmarkStart w:id="61" w:name="_Ref420595162"/>
      <w:r>
        <w:t xml:space="preserve">Figure </w:t>
      </w:r>
      <w:fldSimple w:instr=" SEQ Figure \* ARABIC ">
        <w:r w:rsidR="00F92CE8">
          <w:rPr>
            <w:noProof/>
          </w:rPr>
          <w:t>6</w:t>
        </w:r>
      </w:fldSimple>
      <w:bookmarkEnd w:id="61"/>
      <w:r>
        <w:tab/>
      </w:r>
      <w:r w:rsidRPr="000B4909">
        <w:t>Total RAB roll forward sheet</w:t>
      </w:r>
    </w:p>
    <w:p w:rsidR="000B4909" w:rsidRPr="000B4909" w:rsidRDefault="00841C2E" w:rsidP="000B4909">
      <w:r>
        <w:rPr>
          <w:noProof/>
          <w:lang w:eastAsia="en-AU"/>
        </w:rPr>
        <w:drawing>
          <wp:inline distT="0" distB="0" distL="0" distR="0" wp14:anchorId="22CF2417" wp14:editId="684757D0">
            <wp:extent cx="5731510" cy="438864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4388647"/>
                    </a:xfrm>
                    <a:prstGeom prst="rect">
                      <a:avLst/>
                    </a:prstGeom>
                  </pic:spPr>
                </pic:pic>
              </a:graphicData>
            </a:graphic>
          </wp:inline>
        </w:drawing>
      </w:r>
    </w:p>
    <w:p w:rsidR="000B4909" w:rsidRPr="000B4909" w:rsidRDefault="000B4909" w:rsidP="003671EE">
      <w:pPr>
        <w:pStyle w:val="Heading2"/>
      </w:pPr>
      <w:bookmarkStart w:id="62" w:name="_Toc423696210"/>
      <w:r w:rsidRPr="000B4909">
        <w:t>T</w:t>
      </w:r>
      <w:r w:rsidR="00F63C0C">
        <w:t>AB</w:t>
      </w:r>
      <w:r w:rsidRPr="000B4909">
        <w:t xml:space="preserve"> roll forward sheet</w:t>
      </w:r>
      <w:bookmarkEnd w:id="62"/>
    </w:p>
    <w:p w:rsidR="000B4909" w:rsidRPr="000B4909" w:rsidRDefault="000B4909" w:rsidP="000B4909">
      <w:r w:rsidRPr="009876E9">
        <w:rPr>
          <w:highlight w:val="yellow"/>
        </w:rPr>
        <w:t xml:space="preserve">The </w:t>
      </w:r>
      <w:r w:rsidRPr="009876E9">
        <w:rPr>
          <w:rStyle w:val="Strong"/>
          <w:highlight w:val="yellow"/>
        </w:rPr>
        <w:t>T</w:t>
      </w:r>
      <w:r w:rsidR="00F63C0C" w:rsidRPr="009876E9">
        <w:rPr>
          <w:rStyle w:val="Strong"/>
          <w:highlight w:val="yellow"/>
        </w:rPr>
        <w:t>AB</w:t>
      </w:r>
      <w:r w:rsidRPr="009876E9">
        <w:rPr>
          <w:rStyle w:val="Strong"/>
          <w:highlight w:val="yellow"/>
        </w:rPr>
        <w:t xml:space="preserve"> roll forward</w:t>
      </w:r>
      <w:r w:rsidRPr="009876E9">
        <w:rPr>
          <w:highlight w:val="yellow"/>
        </w:rPr>
        <w:t xml:space="preserve"> sheet calculates the nominal opening </w:t>
      </w:r>
      <w:r w:rsidR="001D3159" w:rsidRPr="009876E9">
        <w:rPr>
          <w:highlight w:val="yellow"/>
        </w:rPr>
        <w:t>TAB</w:t>
      </w:r>
      <w:r w:rsidRPr="009876E9">
        <w:rPr>
          <w:highlight w:val="yellow"/>
        </w:rPr>
        <w:t xml:space="preserve"> values for each year of the current regulatory control period by taking the opening </w:t>
      </w:r>
      <w:r w:rsidR="001D3159" w:rsidRPr="009876E9">
        <w:rPr>
          <w:highlight w:val="yellow"/>
        </w:rPr>
        <w:t>TAB</w:t>
      </w:r>
      <w:r w:rsidRPr="009876E9">
        <w:rPr>
          <w:highlight w:val="yellow"/>
        </w:rPr>
        <w:t xml:space="preserve"> value for the start of the current regulatory control period and </w:t>
      </w:r>
      <w:r w:rsidR="001D3159" w:rsidRPr="009876E9">
        <w:rPr>
          <w:highlight w:val="yellow"/>
        </w:rPr>
        <w:t>adjusting for</w:t>
      </w:r>
      <w:r w:rsidR="0049371C" w:rsidRPr="009876E9">
        <w:rPr>
          <w:highlight w:val="yellow"/>
        </w:rPr>
        <w:t xml:space="preserve"> forecast</w:t>
      </w:r>
      <w:r w:rsidR="001D3159" w:rsidRPr="009876E9">
        <w:rPr>
          <w:highlight w:val="yellow"/>
        </w:rPr>
        <w:t xml:space="preserve"> </w:t>
      </w:r>
      <w:r w:rsidR="0049371C" w:rsidRPr="009876E9">
        <w:rPr>
          <w:highlight w:val="yellow"/>
        </w:rPr>
        <w:t>net capex</w:t>
      </w:r>
      <w:r w:rsidR="008B2DED" w:rsidRPr="009876E9">
        <w:rPr>
          <w:highlight w:val="yellow"/>
        </w:rPr>
        <w:t xml:space="preserve"> (as-commissioned)</w:t>
      </w:r>
      <w:r w:rsidR="0049371C" w:rsidRPr="009876E9">
        <w:rPr>
          <w:highlight w:val="yellow"/>
        </w:rPr>
        <w:t xml:space="preserve">, which was included in the final year of the previous regulatory control period, with actual net capex </w:t>
      </w:r>
      <w:r w:rsidR="008B2DED" w:rsidRPr="009876E9">
        <w:rPr>
          <w:highlight w:val="yellow"/>
        </w:rPr>
        <w:t xml:space="preserve">(as-commissioned) </w:t>
      </w:r>
      <w:r w:rsidR="0049371C" w:rsidRPr="009876E9">
        <w:rPr>
          <w:highlight w:val="yellow"/>
        </w:rPr>
        <w:t xml:space="preserve">for that year. The opening TAB value is then </w:t>
      </w:r>
      <w:r w:rsidRPr="009876E9">
        <w:rPr>
          <w:highlight w:val="yellow"/>
        </w:rPr>
        <w:t>roll</w:t>
      </w:r>
      <w:r w:rsidR="0049371C" w:rsidRPr="009876E9">
        <w:rPr>
          <w:highlight w:val="yellow"/>
        </w:rPr>
        <w:t>ed</w:t>
      </w:r>
      <w:r w:rsidRPr="009876E9">
        <w:rPr>
          <w:highlight w:val="yellow"/>
        </w:rPr>
        <w:t xml:space="preserve"> forward for actual net capex (as-commissioned) and tax depreciation values</w:t>
      </w:r>
      <w:r w:rsidR="0049371C" w:rsidRPr="009876E9">
        <w:rPr>
          <w:highlight w:val="yellow"/>
        </w:rPr>
        <w:t xml:space="preserve"> for each year of the current regulatory control period</w:t>
      </w:r>
      <w:r w:rsidRPr="009876E9">
        <w:rPr>
          <w:highlight w:val="yellow"/>
        </w:rPr>
        <w:t>.</w:t>
      </w:r>
      <w:r w:rsidR="003F219D">
        <w:t xml:space="preserve"> </w:t>
      </w:r>
      <w:r w:rsidRPr="000B4909">
        <w:t xml:space="preserve">Since the calculations are based on actual nominal data the roll forward of the </w:t>
      </w:r>
      <w:r w:rsidR="0049371C">
        <w:t>TAB</w:t>
      </w:r>
      <w:r w:rsidRPr="000B4909">
        <w:t xml:space="preserve"> values does not require any adjustments for inflation.</w:t>
      </w:r>
      <w:r w:rsidR="009C0566" w:rsidRPr="009C0566">
        <w:t xml:space="preserve"> </w:t>
      </w:r>
      <w:r w:rsidR="009C0566" w:rsidRPr="009876E9">
        <w:rPr>
          <w:highlight w:val="yellow"/>
        </w:rPr>
        <w:t>Any required adjustments to be made to the TAB for the final year of the current regulatory control period are also applied in this sheet.</w:t>
      </w:r>
    </w:p>
    <w:p w:rsidR="000B4909" w:rsidRPr="000B4909" w:rsidRDefault="000B4909" w:rsidP="000B4909">
      <w:r w:rsidRPr="009876E9">
        <w:rPr>
          <w:highlight w:val="yellow"/>
        </w:rPr>
        <w:t xml:space="preserve">The process for rolling forward the </w:t>
      </w:r>
      <w:r w:rsidR="0049371C" w:rsidRPr="009876E9">
        <w:rPr>
          <w:highlight w:val="yellow"/>
        </w:rPr>
        <w:t>TAB for year to year over the current regulatory control period</w:t>
      </w:r>
      <w:r w:rsidRPr="009876E9">
        <w:rPr>
          <w:highlight w:val="yellow"/>
        </w:rPr>
        <w:t xml:space="preserve"> is set out in</w:t>
      </w:r>
      <w:r w:rsidR="0021562D" w:rsidRPr="009876E9">
        <w:rPr>
          <w:highlight w:val="yellow"/>
        </w:rPr>
        <w:t xml:space="preserve"> </w:t>
      </w:r>
      <w:r w:rsidR="0021562D" w:rsidRPr="009876E9">
        <w:rPr>
          <w:highlight w:val="yellow"/>
        </w:rPr>
        <w:fldChar w:fldCharType="begin"/>
      </w:r>
      <w:r w:rsidR="0021562D" w:rsidRPr="009876E9">
        <w:rPr>
          <w:highlight w:val="yellow"/>
        </w:rPr>
        <w:instrText xml:space="preserve"> REF _Ref420595205 \h </w:instrText>
      </w:r>
      <w:r w:rsidR="009876E9">
        <w:rPr>
          <w:highlight w:val="yellow"/>
        </w:rPr>
        <w:instrText xml:space="preserve"> \* MERGEFORMAT </w:instrText>
      </w:r>
      <w:r w:rsidR="0021562D" w:rsidRPr="009876E9">
        <w:rPr>
          <w:highlight w:val="yellow"/>
        </w:rPr>
      </w:r>
      <w:r w:rsidR="0021562D" w:rsidRPr="009876E9">
        <w:rPr>
          <w:highlight w:val="yellow"/>
        </w:rPr>
        <w:fldChar w:fldCharType="separate"/>
      </w:r>
      <w:r w:rsidR="00F92CE8" w:rsidRPr="00F92CE8">
        <w:rPr>
          <w:highlight w:val="yellow"/>
        </w:rPr>
        <w:t xml:space="preserve">Box </w:t>
      </w:r>
      <w:r w:rsidR="00F92CE8" w:rsidRPr="00F92CE8">
        <w:rPr>
          <w:noProof/>
          <w:highlight w:val="yellow"/>
        </w:rPr>
        <w:t>6</w:t>
      </w:r>
      <w:r w:rsidR="0021562D" w:rsidRPr="009876E9">
        <w:rPr>
          <w:highlight w:val="yellow"/>
        </w:rPr>
        <w:fldChar w:fldCharType="end"/>
      </w:r>
      <w:r w:rsidR="00B5191C">
        <w:t>.</w:t>
      </w:r>
      <w:r w:rsidR="00B5191C">
        <w:rPr>
          <w:rStyle w:val="FootnoteReference"/>
        </w:rPr>
        <w:footnoteReference w:id="23"/>
      </w:r>
    </w:p>
    <w:p w:rsidR="00416FA6" w:rsidRPr="000B4909" w:rsidRDefault="00416FA6" w:rsidP="0021562D">
      <w:pPr>
        <w:pStyle w:val="NoSpacing"/>
      </w:pPr>
    </w:p>
    <w:tbl>
      <w:tblPr>
        <w:tblStyle w:val="AERTable-Text"/>
        <w:tblW w:w="0" w:type="auto"/>
        <w:tblLook w:val="04A0" w:firstRow="1" w:lastRow="0" w:firstColumn="1" w:lastColumn="0" w:noHBand="0" w:noVBand="1"/>
      </w:tblPr>
      <w:tblGrid>
        <w:gridCol w:w="9242"/>
      </w:tblGrid>
      <w:tr w:rsidR="003A48E6" w:rsidTr="003A48E6">
        <w:trPr>
          <w:cnfStyle w:val="100000000000" w:firstRow="1" w:lastRow="0" w:firstColumn="0" w:lastColumn="0" w:oddVBand="0" w:evenVBand="0" w:oddHBand="0" w:evenHBand="0" w:firstRowFirstColumn="0" w:firstRowLastColumn="0" w:lastRowFirstColumn="0" w:lastRowLastColumn="0"/>
        </w:trPr>
        <w:tc>
          <w:tcPr>
            <w:tcW w:w="9242" w:type="dxa"/>
          </w:tcPr>
          <w:p w:rsidR="003A48E6" w:rsidRDefault="0021562D" w:rsidP="00F72795">
            <w:pPr>
              <w:pStyle w:val="Tabletext"/>
            </w:pPr>
            <w:bookmarkStart w:id="63" w:name="_Ref420595205"/>
            <w:r>
              <w:t xml:space="preserve">Box </w:t>
            </w:r>
            <w:fldSimple w:instr=" SEQ Box \* ARABIC ">
              <w:r w:rsidR="00F92CE8">
                <w:rPr>
                  <w:noProof/>
                </w:rPr>
                <w:t>6</w:t>
              </w:r>
            </w:fldSimple>
            <w:bookmarkEnd w:id="63"/>
            <w:r w:rsidRPr="0021562D">
              <w:t xml:space="preserve"> </w:t>
            </w:r>
            <w:r w:rsidRPr="0021562D">
              <w:tab/>
              <w:t xml:space="preserve">Rolling forward the </w:t>
            </w:r>
            <w:r w:rsidR="00F63C0C">
              <w:t>TAB in the current regulatory control period</w:t>
            </w:r>
          </w:p>
        </w:tc>
      </w:tr>
      <w:tr w:rsidR="003A48E6" w:rsidTr="003A48E6">
        <w:tc>
          <w:tcPr>
            <w:tcW w:w="9242" w:type="dxa"/>
          </w:tcPr>
          <w:p w:rsidR="003A48E6" w:rsidRPr="009876E9" w:rsidRDefault="003A48E6" w:rsidP="003A48E6">
            <w:pPr>
              <w:rPr>
                <w:rStyle w:val="Bold"/>
              </w:rPr>
            </w:pPr>
            <w:r w:rsidRPr="009876E9">
              <w:rPr>
                <w:rStyle w:val="Bold"/>
              </w:rPr>
              <w:t xml:space="preserve">Rolling forward actual net capex and depreciation </w:t>
            </w:r>
            <w:r w:rsidR="0049371C" w:rsidRPr="009876E9">
              <w:rPr>
                <w:rStyle w:val="Bold"/>
              </w:rPr>
              <w:t>amounts</w:t>
            </w:r>
            <w:r w:rsidRPr="009876E9">
              <w:rPr>
                <w:rStyle w:val="Bold"/>
              </w:rPr>
              <w:t xml:space="preserve"> into the </w:t>
            </w:r>
            <w:r w:rsidR="0049371C" w:rsidRPr="009876E9">
              <w:rPr>
                <w:rStyle w:val="Bold"/>
              </w:rPr>
              <w:t>TAB</w:t>
            </w:r>
          </w:p>
          <w:p w:rsidR="009C24ED" w:rsidRDefault="0021562D" w:rsidP="0021562D">
            <w:r w:rsidRPr="000B4909">
              <w:t xml:space="preserve">    </w:t>
            </w:r>
            <w:r w:rsidR="009C24ED">
              <w:tab/>
            </w:r>
            <w:r w:rsidRPr="000B4909">
              <w:t xml:space="preserve">Opening </w:t>
            </w:r>
            <w:r w:rsidR="0049371C">
              <w:t>TAB</w:t>
            </w:r>
            <w:r w:rsidRPr="000B4909">
              <w:t xml:space="preserve"> for the first year of the current regulatory control period</w:t>
            </w:r>
            <w:r w:rsidR="009C24ED">
              <w:t xml:space="preserve"> </w:t>
            </w:r>
            <w:r w:rsidRPr="000B4909">
              <w:t xml:space="preserve">–  </w:t>
            </w:r>
          </w:p>
          <w:p w:rsidR="009C24ED" w:rsidRPr="009876E9" w:rsidRDefault="009C24ED" w:rsidP="0021562D">
            <w:pPr>
              <w:rPr>
                <w:highlight w:val="yellow"/>
              </w:rPr>
            </w:pPr>
            <w:r>
              <w:tab/>
            </w:r>
            <w:r w:rsidR="0021562D" w:rsidRPr="009876E9">
              <w:rPr>
                <w:highlight w:val="yellow"/>
              </w:rPr>
              <w:t xml:space="preserve">Nominal forecast net capex </w:t>
            </w:r>
            <w:r w:rsidRPr="009876E9">
              <w:rPr>
                <w:highlight w:val="yellow"/>
              </w:rPr>
              <w:t xml:space="preserve">(as-commissioned) </w:t>
            </w:r>
            <w:r w:rsidR="0021562D" w:rsidRPr="009876E9">
              <w:rPr>
                <w:highlight w:val="yellow"/>
              </w:rPr>
              <w:t xml:space="preserve">for the final year of the previous period +  </w:t>
            </w:r>
          </w:p>
          <w:p w:rsidR="009C24ED" w:rsidRDefault="009C24ED" w:rsidP="0021562D">
            <w:r w:rsidRPr="009876E9">
              <w:rPr>
                <w:highlight w:val="yellow"/>
              </w:rPr>
              <w:tab/>
            </w:r>
            <w:r w:rsidR="0021562D" w:rsidRPr="009876E9">
              <w:rPr>
                <w:highlight w:val="yellow"/>
              </w:rPr>
              <w:t>Nominal actual net capex</w:t>
            </w:r>
            <w:r w:rsidRPr="009876E9">
              <w:rPr>
                <w:highlight w:val="yellow"/>
              </w:rPr>
              <w:t xml:space="preserve"> (as-commissioned)</w:t>
            </w:r>
            <w:r w:rsidR="0021562D" w:rsidRPr="009876E9">
              <w:rPr>
                <w:highlight w:val="yellow"/>
              </w:rPr>
              <w:t xml:space="preserve"> for the final year of the period</w:t>
            </w:r>
            <w:r w:rsidRPr="009876E9">
              <w:rPr>
                <w:highlight w:val="yellow"/>
              </w:rPr>
              <w:t xml:space="preserve"> </w:t>
            </w:r>
            <w:r w:rsidR="0021562D" w:rsidRPr="009876E9">
              <w:rPr>
                <w:highlight w:val="yellow"/>
              </w:rPr>
              <w:t>=</w:t>
            </w:r>
            <w:r w:rsidR="0021562D" w:rsidRPr="000B4909">
              <w:t xml:space="preserve">  </w:t>
            </w:r>
          </w:p>
          <w:p w:rsidR="0021562D" w:rsidRDefault="009C24ED" w:rsidP="0021562D">
            <w:r>
              <w:tab/>
            </w:r>
            <w:r w:rsidR="0021562D" w:rsidRPr="000B4909">
              <w:t xml:space="preserve">Adjusted opening </w:t>
            </w:r>
            <w:r>
              <w:t>TAB</w:t>
            </w:r>
            <w:r w:rsidR="0021562D" w:rsidRPr="000B4909">
              <w:t xml:space="preserve"> for year 1 of the current regulatory control period</w:t>
            </w:r>
            <w:r>
              <w:t>.</w:t>
            </w:r>
          </w:p>
          <w:p w:rsidR="009C24ED" w:rsidRPr="009876E9" w:rsidRDefault="009C24ED" w:rsidP="0021562D">
            <w:pPr>
              <w:rPr>
                <w:highlight w:val="yellow"/>
              </w:rPr>
            </w:pPr>
            <w:r>
              <w:tab/>
            </w:r>
            <w:r w:rsidRPr="009876E9">
              <w:rPr>
                <w:highlight w:val="yellow"/>
              </w:rPr>
              <w:t xml:space="preserve">Adjusted opening TAB for year 1 of the current regulatory control period </w:t>
            </w:r>
            <w:r w:rsidR="0021562D" w:rsidRPr="009876E9">
              <w:rPr>
                <w:highlight w:val="yellow"/>
              </w:rPr>
              <w:t xml:space="preserve">+  </w:t>
            </w:r>
          </w:p>
          <w:p w:rsidR="009C24ED" w:rsidRDefault="009C24ED" w:rsidP="0021562D">
            <w:r w:rsidRPr="009876E9">
              <w:rPr>
                <w:highlight w:val="yellow"/>
              </w:rPr>
              <w:tab/>
            </w:r>
            <w:r w:rsidR="0021562D" w:rsidRPr="009876E9">
              <w:rPr>
                <w:highlight w:val="yellow"/>
              </w:rPr>
              <w:t>Nominal actual net capex</w:t>
            </w:r>
            <w:r w:rsidR="0087267F" w:rsidRPr="009876E9">
              <w:rPr>
                <w:highlight w:val="yellow"/>
              </w:rPr>
              <w:t xml:space="preserve"> (as-commissioned)</w:t>
            </w:r>
            <w:r w:rsidR="0021562D" w:rsidRPr="009876E9">
              <w:rPr>
                <w:highlight w:val="yellow"/>
              </w:rPr>
              <w:t xml:space="preserve"> for year 1</w:t>
            </w:r>
            <w:r w:rsidR="0021562D" w:rsidRPr="000B4909">
              <w:t xml:space="preserve"> –  </w:t>
            </w:r>
          </w:p>
          <w:p w:rsidR="009C24ED" w:rsidRDefault="009C24ED" w:rsidP="0021562D">
            <w:r>
              <w:tab/>
            </w:r>
            <w:r w:rsidR="0021562D" w:rsidRPr="000B4909">
              <w:t>Nominal actual tax depreciation for year 1</w:t>
            </w:r>
            <w:r>
              <w:t xml:space="preserve"> </w:t>
            </w:r>
            <w:r w:rsidR="0021562D" w:rsidRPr="000B4909">
              <w:t xml:space="preserve">=  </w:t>
            </w:r>
          </w:p>
          <w:p w:rsidR="0021562D" w:rsidRPr="000B4909" w:rsidRDefault="009C24ED" w:rsidP="0021562D">
            <w:r>
              <w:tab/>
            </w:r>
            <w:r w:rsidR="0021562D" w:rsidRPr="000B4909">
              <w:t xml:space="preserve">Closing </w:t>
            </w:r>
            <w:r>
              <w:t>TAB</w:t>
            </w:r>
            <w:r w:rsidR="0021562D" w:rsidRPr="000B4909">
              <w:t xml:space="preserve"> for year 1 of the current regulatory control period</w:t>
            </w:r>
            <w:r>
              <w:t>. This becomes:</w:t>
            </w:r>
          </w:p>
          <w:p w:rsidR="009C24ED" w:rsidRDefault="009C24ED" w:rsidP="0021562D">
            <w:r>
              <w:tab/>
            </w:r>
            <w:r w:rsidR="0021562D" w:rsidRPr="000B4909">
              <w:t xml:space="preserve">Opening </w:t>
            </w:r>
            <w:r>
              <w:t>TAB</w:t>
            </w:r>
            <w:r w:rsidR="0021562D" w:rsidRPr="000B4909">
              <w:t xml:space="preserve"> for year 2 of the current regulatory control period</w:t>
            </w:r>
            <w:r>
              <w:t xml:space="preserve"> +</w:t>
            </w:r>
          </w:p>
          <w:p w:rsidR="009C24ED" w:rsidRPr="009876E9" w:rsidRDefault="009C24ED" w:rsidP="009C24ED">
            <w:pPr>
              <w:rPr>
                <w:highlight w:val="yellow"/>
              </w:rPr>
            </w:pPr>
            <w:r>
              <w:tab/>
            </w:r>
            <w:r w:rsidRPr="009876E9">
              <w:rPr>
                <w:highlight w:val="yellow"/>
              </w:rPr>
              <w:t xml:space="preserve">Nominal actual net capex </w:t>
            </w:r>
            <w:r w:rsidR="003C5387" w:rsidRPr="009876E9">
              <w:rPr>
                <w:highlight w:val="yellow"/>
              </w:rPr>
              <w:t xml:space="preserve">(as-commissioned) </w:t>
            </w:r>
            <w:r w:rsidRPr="009876E9">
              <w:rPr>
                <w:highlight w:val="yellow"/>
              </w:rPr>
              <w:t xml:space="preserve">for year 2 –  </w:t>
            </w:r>
          </w:p>
          <w:p w:rsidR="009C24ED" w:rsidRPr="009876E9" w:rsidRDefault="009C24ED" w:rsidP="009C24ED">
            <w:pPr>
              <w:rPr>
                <w:highlight w:val="yellow"/>
              </w:rPr>
            </w:pPr>
            <w:r w:rsidRPr="009876E9">
              <w:rPr>
                <w:highlight w:val="yellow"/>
              </w:rPr>
              <w:tab/>
              <w:t xml:space="preserve">Nominal actual tax depreciation for year 2 =  </w:t>
            </w:r>
          </w:p>
          <w:p w:rsidR="009C24ED" w:rsidRPr="009876E9" w:rsidRDefault="009C24ED" w:rsidP="009C24ED">
            <w:pPr>
              <w:rPr>
                <w:highlight w:val="yellow"/>
              </w:rPr>
            </w:pPr>
            <w:r w:rsidRPr="009876E9">
              <w:rPr>
                <w:highlight w:val="yellow"/>
              </w:rPr>
              <w:tab/>
              <w:t>Closing TAB for year 2 of the current regulatory control period. This becomes:</w:t>
            </w:r>
          </w:p>
          <w:p w:rsidR="009C24ED" w:rsidRPr="009876E9" w:rsidRDefault="009C24ED" w:rsidP="009C24ED">
            <w:pPr>
              <w:rPr>
                <w:highlight w:val="yellow"/>
              </w:rPr>
            </w:pPr>
            <w:r w:rsidRPr="009876E9">
              <w:rPr>
                <w:highlight w:val="yellow"/>
              </w:rPr>
              <w:tab/>
              <w:t xml:space="preserve">Opening TAB for year 3 of the current regulatory control period </w:t>
            </w:r>
          </w:p>
          <w:p w:rsidR="009C24ED" w:rsidRPr="009876E9" w:rsidRDefault="009C24ED" w:rsidP="0021562D">
            <w:pPr>
              <w:rPr>
                <w:highlight w:val="yellow"/>
              </w:rPr>
            </w:pPr>
            <w:r w:rsidRPr="009876E9">
              <w:rPr>
                <w:highlight w:val="yellow"/>
              </w:rPr>
              <w:tab/>
            </w:r>
            <w:r w:rsidR="0021562D" w:rsidRPr="009876E9">
              <w:rPr>
                <w:highlight w:val="yellow"/>
              </w:rPr>
              <w:t>…</w:t>
            </w:r>
            <w:r w:rsidRPr="009876E9">
              <w:rPr>
                <w:highlight w:val="yellow"/>
              </w:rPr>
              <w:t xml:space="preserve"> </w:t>
            </w:r>
            <w:r w:rsidR="0021562D" w:rsidRPr="009876E9">
              <w:rPr>
                <w:highlight w:val="yellow"/>
              </w:rPr>
              <w:t xml:space="preserve">=  </w:t>
            </w:r>
          </w:p>
          <w:p w:rsidR="003C5387" w:rsidRPr="009876E9" w:rsidRDefault="003F219D" w:rsidP="003F219D">
            <w:pPr>
              <w:rPr>
                <w:highlight w:val="yellow"/>
              </w:rPr>
            </w:pPr>
            <w:r w:rsidRPr="009876E9">
              <w:rPr>
                <w:highlight w:val="yellow"/>
              </w:rPr>
              <w:tab/>
            </w:r>
            <w:r w:rsidR="003C5387" w:rsidRPr="009876E9">
              <w:rPr>
                <w:highlight w:val="yellow"/>
              </w:rPr>
              <w:t>Closing TAB for year 4 of the current regulatory control period. This becomes:</w:t>
            </w:r>
          </w:p>
          <w:p w:rsidR="003F219D" w:rsidRPr="009876E9" w:rsidRDefault="003C5387" w:rsidP="003F219D">
            <w:pPr>
              <w:rPr>
                <w:highlight w:val="yellow"/>
              </w:rPr>
            </w:pPr>
            <w:r w:rsidRPr="009876E9">
              <w:rPr>
                <w:highlight w:val="yellow"/>
              </w:rPr>
              <w:tab/>
            </w:r>
            <w:r w:rsidR="003F219D" w:rsidRPr="009876E9">
              <w:rPr>
                <w:highlight w:val="yellow"/>
              </w:rPr>
              <w:t>Opening TAB</w:t>
            </w:r>
            <w:r w:rsidRPr="009876E9">
              <w:rPr>
                <w:highlight w:val="yellow"/>
              </w:rPr>
              <w:t xml:space="preserve"> for year 5</w:t>
            </w:r>
            <w:r w:rsidR="003F219D" w:rsidRPr="009876E9">
              <w:rPr>
                <w:highlight w:val="yellow"/>
              </w:rPr>
              <w:t xml:space="preserve"> of the current regulatory control period +</w:t>
            </w:r>
          </w:p>
          <w:p w:rsidR="003F219D" w:rsidRPr="009876E9" w:rsidRDefault="003F219D" w:rsidP="003F219D">
            <w:pPr>
              <w:rPr>
                <w:highlight w:val="yellow"/>
              </w:rPr>
            </w:pPr>
            <w:r w:rsidRPr="009876E9">
              <w:rPr>
                <w:highlight w:val="yellow"/>
              </w:rPr>
              <w:tab/>
              <w:t xml:space="preserve">Nominal actual net capex </w:t>
            </w:r>
            <w:r w:rsidR="003C5387" w:rsidRPr="009876E9">
              <w:rPr>
                <w:highlight w:val="yellow"/>
              </w:rPr>
              <w:t xml:space="preserve">(as-commissioned) </w:t>
            </w:r>
            <w:r w:rsidRPr="009876E9">
              <w:rPr>
                <w:highlight w:val="yellow"/>
              </w:rPr>
              <w:t xml:space="preserve">for year </w:t>
            </w:r>
            <w:r w:rsidR="003C5387" w:rsidRPr="009876E9">
              <w:rPr>
                <w:highlight w:val="yellow"/>
              </w:rPr>
              <w:t>5</w:t>
            </w:r>
            <w:r w:rsidRPr="009876E9">
              <w:rPr>
                <w:highlight w:val="yellow"/>
              </w:rPr>
              <w:t xml:space="preserve"> –  </w:t>
            </w:r>
          </w:p>
          <w:p w:rsidR="003C5387" w:rsidRPr="009876E9" w:rsidRDefault="003F219D" w:rsidP="003F219D">
            <w:pPr>
              <w:rPr>
                <w:highlight w:val="yellow"/>
              </w:rPr>
            </w:pPr>
            <w:r w:rsidRPr="009876E9">
              <w:rPr>
                <w:highlight w:val="yellow"/>
              </w:rPr>
              <w:tab/>
              <w:t xml:space="preserve">Nominal actual tax depreciation for year </w:t>
            </w:r>
            <w:r w:rsidR="003C5387" w:rsidRPr="009876E9">
              <w:rPr>
                <w:highlight w:val="yellow"/>
              </w:rPr>
              <w:t>5 +</w:t>
            </w:r>
          </w:p>
          <w:p w:rsidR="003F219D" w:rsidRDefault="003C5387" w:rsidP="0021562D">
            <w:r w:rsidRPr="009876E9">
              <w:rPr>
                <w:highlight w:val="yellow"/>
              </w:rPr>
              <w:tab/>
              <w:t xml:space="preserve">Final year asset adjustments (where applicable) </w:t>
            </w:r>
            <w:r w:rsidR="003F219D" w:rsidRPr="009876E9">
              <w:rPr>
                <w:highlight w:val="yellow"/>
              </w:rPr>
              <w:t>=</w:t>
            </w:r>
            <w:r w:rsidR="003F219D" w:rsidRPr="003F219D">
              <w:t xml:space="preserve"> </w:t>
            </w:r>
          </w:p>
          <w:p w:rsidR="009C24ED" w:rsidRDefault="009C24ED" w:rsidP="003F219D">
            <w:r>
              <w:tab/>
            </w:r>
            <w:r w:rsidR="0021562D" w:rsidRPr="000B4909">
              <w:t xml:space="preserve">Closing </w:t>
            </w:r>
            <w:r>
              <w:t>TAB</w:t>
            </w:r>
            <w:r w:rsidR="0021562D" w:rsidRPr="000B4909">
              <w:t xml:space="preserve"> for year 5 of the current regulatory control period</w:t>
            </w:r>
            <w:r>
              <w:t xml:space="preserve"> </w:t>
            </w:r>
            <w:r w:rsidR="0021562D" w:rsidRPr="000B4909">
              <w:t xml:space="preserve">=  </w:t>
            </w:r>
          </w:p>
          <w:p w:rsidR="0021562D" w:rsidRDefault="009C24ED" w:rsidP="003F219D">
            <w:r>
              <w:tab/>
            </w:r>
            <w:r w:rsidR="0021562D" w:rsidRPr="000B4909">
              <w:t xml:space="preserve">Opening </w:t>
            </w:r>
            <w:r>
              <w:t>TAB</w:t>
            </w:r>
            <w:r w:rsidR="0021562D" w:rsidRPr="000B4909">
              <w:t xml:space="preserve"> for the first year of the next regulatory control period</w:t>
            </w:r>
            <w:r>
              <w:t>.</w:t>
            </w:r>
          </w:p>
        </w:tc>
      </w:tr>
      <w:tr w:rsidR="003A48E6" w:rsidTr="003A48E6">
        <w:trPr>
          <w:cnfStyle w:val="000000010000" w:firstRow="0" w:lastRow="0" w:firstColumn="0" w:lastColumn="0" w:oddVBand="0" w:evenVBand="0" w:oddHBand="0" w:evenHBand="1" w:firstRowFirstColumn="0" w:firstRowLastColumn="0" w:lastRowFirstColumn="0" w:lastRowLastColumn="0"/>
        </w:trPr>
        <w:tc>
          <w:tcPr>
            <w:tcW w:w="9242" w:type="dxa"/>
          </w:tcPr>
          <w:p w:rsidR="003A48E6" w:rsidRPr="000B4909" w:rsidRDefault="003A48E6" w:rsidP="003A48E6">
            <w:r w:rsidRPr="000B4909">
              <w:t>Where:</w:t>
            </w:r>
          </w:p>
          <w:p w:rsidR="003A48E6" w:rsidRPr="009876E9" w:rsidRDefault="003A48E6" w:rsidP="003A48E6">
            <w:pPr>
              <w:pStyle w:val="ListBullet"/>
              <w:rPr>
                <w:highlight w:val="yellow"/>
              </w:rPr>
            </w:pPr>
            <w:r w:rsidRPr="009876E9">
              <w:rPr>
                <w:highlight w:val="yellow"/>
              </w:rPr>
              <w:t xml:space="preserve">Nominal actual net capex </w:t>
            </w:r>
            <w:r w:rsidR="003F219D" w:rsidRPr="009876E9">
              <w:rPr>
                <w:highlight w:val="yellow"/>
              </w:rPr>
              <w:t xml:space="preserve">(as-commissioned) </w:t>
            </w:r>
            <w:r w:rsidRPr="009876E9">
              <w:rPr>
                <w:highlight w:val="yellow"/>
              </w:rPr>
              <w:t xml:space="preserve">= nominal actual capex </w:t>
            </w:r>
            <w:r w:rsidR="003F219D" w:rsidRPr="009876E9">
              <w:rPr>
                <w:highlight w:val="yellow"/>
              </w:rPr>
              <w:t xml:space="preserve">(as-commissioned) </w:t>
            </w:r>
            <w:r w:rsidRPr="009876E9">
              <w:rPr>
                <w:highlight w:val="yellow"/>
              </w:rPr>
              <w:t>– nominal actual asset disposals</w:t>
            </w:r>
            <w:r w:rsidR="003F219D" w:rsidRPr="009876E9">
              <w:rPr>
                <w:highlight w:val="yellow"/>
              </w:rPr>
              <w:t xml:space="preserve"> (as-decommissioned)</w:t>
            </w:r>
            <w:r w:rsidRPr="009876E9">
              <w:rPr>
                <w:highlight w:val="yellow"/>
              </w:rPr>
              <w:t>.</w:t>
            </w:r>
          </w:p>
          <w:p w:rsidR="003A48E6" w:rsidRPr="000B4909" w:rsidRDefault="003A48E6" w:rsidP="003A48E6">
            <w:pPr>
              <w:pStyle w:val="ListBullet"/>
            </w:pPr>
            <w:r w:rsidRPr="000B4909">
              <w:t>Nominal actual tax depreciation = nominal actual straight-line tax depreciation.</w:t>
            </w:r>
          </w:p>
          <w:p w:rsidR="003A48E6" w:rsidRPr="000B4909" w:rsidRDefault="003A48E6" w:rsidP="003A48E6">
            <w:r w:rsidRPr="000B4909">
              <w:t>Note:</w:t>
            </w:r>
          </w:p>
          <w:p w:rsidR="003A48E6" w:rsidRDefault="003A48E6" w:rsidP="009876E9">
            <w:pPr>
              <w:pStyle w:val="Bulletpoint"/>
            </w:pPr>
            <w:r w:rsidRPr="000B4909">
              <w:t xml:space="preserve">The closing </w:t>
            </w:r>
            <w:r w:rsidR="003F219D">
              <w:t>TAB</w:t>
            </w:r>
            <w:r w:rsidRPr="000B4909">
              <w:t xml:space="preserve"> for the current regulatory control period becomes the opening </w:t>
            </w:r>
            <w:r w:rsidR="003F219D">
              <w:t>TAB</w:t>
            </w:r>
            <w:r w:rsidRPr="000B4909">
              <w:t xml:space="preserve"> for the next regulatory control period.</w:t>
            </w:r>
          </w:p>
        </w:tc>
      </w:tr>
    </w:tbl>
    <w:p w:rsidR="000B4909" w:rsidRPr="000B4909" w:rsidRDefault="0021562D" w:rsidP="000B4909">
      <w:r>
        <w:fldChar w:fldCharType="begin"/>
      </w:r>
      <w:r>
        <w:instrText xml:space="preserve"> REF _Ref420595268 \h </w:instrText>
      </w:r>
      <w:r>
        <w:fldChar w:fldCharType="separate"/>
      </w:r>
      <w:r w:rsidR="00F92CE8">
        <w:t xml:space="preserve">Figure </w:t>
      </w:r>
      <w:r w:rsidR="00F92CE8">
        <w:rPr>
          <w:noProof/>
        </w:rPr>
        <w:t>7</w:t>
      </w:r>
      <w:r>
        <w:fldChar w:fldCharType="end"/>
      </w:r>
      <w:r>
        <w:t xml:space="preserve"> </w:t>
      </w:r>
      <w:r w:rsidR="000B4909" w:rsidRPr="000B4909">
        <w:t xml:space="preserve">provides an example of the </w:t>
      </w:r>
      <w:r w:rsidR="000B4909" w:rsidRPr="009F0854">
        <w:rPr>
          <w:rStyle w:val="Strong"/>
        </w:rPr>
        <w:t>T</w:t>
      </w:r>
      <w:r w:rsidR="003F219D">
        <w:rPr>
          <w:rStyle w:val="Strong"/>
        </w:rPr>
        <w:t>AB</w:t>
      </w:r>
      <w:r w:rsidR="000B4909" w:rsidRPr="009F0854">
        <w:rPr>
          <w:rStyle w:val="Strong"/>
        </w:rPr>
        <w:t xml:space="preserve"> roll forward</w:t>
      </w:r>
      <w:r w:rsidR="000B4909" w:rsidRPr="000B4909">
        <w:t xml:space="preserve"> sheet.</w:t>
      </w:r>
    </w:p>
    <w:p w:rsidR="0021562D" w:rsidRDefault="0021562D" w:rsidP="0021562D">
      <w:pPr>
        <w:pStyle w:val="Caption"/>
        <w:keepNext/>
      </w:pPr>
      <w:bookmarkStart w:id="64" w:name="_Ref420595268"/>
      <w:bookmarkStart w:id="65" w:name="_Ref420595258"/>
      <w:r>
        <w:t xml:space="preserve">Figure </w:t>
      </w:r>
      <w:fldSimple w:instr=" SEQ Figure \* ARABIC ">
        <w:r w:rsidR="00F92CE8">
          <w:rPr>
            <w:noProof/>
          </w:rPr>
          <w:t>7</w:t>
        </w:r>
      </w:fldSimple>
      <w:bookmarkEnd w:id="64"/>
      <w:r>
        <w:tab/>
      </w:r>
      <w:r w:rsidRPr="0021562D">
        <w:t>Tax value roll forward sheet</w:t>
      </w:r>
      <w:bookmarkEnd w:id="65"/>
    </w:p>
    <w:p w:rsidR="000B4909" w:rsidRPr="000B4909" w:rsidRDefault="00416FA6" w:rsidP="000B4909">
      <w:r>
        <w:rPr>
          <w:noProof/>
          <w:lang w:eastAsia="en-AU"/>
        </w:rPr>
        <w:drawing>
          <wp:inline distT="0" distB="0" distL="0" distR="0" wp14:anchorId="60110C16" wp14:editId="3E5583D8">
            <wp:extent cx="5558382" cy="4183039"/>
            <wp:effectExtent l="0" t="0" r="444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58382" cy="4183039"/>
                    </a:xfrm>
                    <a:prstGeom prst="rect">
                      <a:avLst/>
                    </a:prstGeom>
                  </pic:spPr>
                </pic:pic>
              </a:graphicData>
            </a:graphic>
          </wp:inline>
        </w:drawing>
      </w:r>
    </w:p>
    <w:p w:rsidR="000B4909" w:rsidRPr="000B4909" w:rsidRDefault="000B4909" w:rsidP="00FE4BB7">
      <w:pPr>
        <w:pStyle w:val="Heading3"/>
      </w:pPr>
      <w:bookmarkStart w:id="66" w:name="_Toc423696211"/>
      <w:r w:rsidRPr="000B4909">
        <w:t>Opening tax asset values</w:t>
      </w:r>
      <w:bookmarkEnd w:id="66"/>
    </w:p>
    <w:p w:rsidR="000B4909" w:rsidRPr="000B4909" w:rsidRDefault="000B4909" w:rsidP="000B4909">
      <w:r w:rsidRPr="000B4909">
        <w:t xml:space="preserve">The opening tax asset value </w:t>
      </w:r>
      <w:r w:rsidR="00A744E1">
        <w:t xml:space="preserve">(cells H7 to H57) </w:t>
      </w:r>
      <w:r w:rsidRPr="000B4909">
        <w:t xml:space="preserve">at the start of the first year of the current regulatory control period is adjusted by removing forecast </w:t>
      </w:r>
      <w:r w:rsidR="00A744E1">
        <w:t xml:space="preserve">net </w:t>
      </w:r>
      <w:r w:rsidRPr="000B4909">
        <w:t>capex for the final year of the previous regulatory control period so that actual</w:t>
      </w:r>
      <w:r w:rsidR="00A744E1">
        <w:t xml:space="preserve"> net</w:t>
      </w:r>
      <w:r w:rsidRPr="000B4909">
        <w:t xml:space="preserve"> capex for that year is included in the </w:t>
      </w:r>
      <w:r w:rsidR="00A744E1">
        <w:t>TAB</w:t>
      </w:r>
      <w:r w:rsidRPr="000B4909">
        <w:t xml:space="preserve">. Rows 8 to </w:t>
      </w:r>
      <w:r w:rsidR="00A744E1">
        <w:t>5</w:t>
      </w:r>
      <w:r w:rsidRPr="000B4909">
        <w:t xml:space="preserve">7 roll forward the </w:t>
      </w:r>
      <w:r w:rsidR="00A744E1">
        <w:t>opening TAB</w:t>
      </w:r>
      <w:r w:rsidRPr="000B4909">
        <w:t xml:space="preserve"> values for each asset class by taking the previous year’s nominal opening </w:t>
      </w:r>
      <w:r w:rsidR="00A744E1">
        <w:t>TAB</w:t>
      </w:r>
      <w:r w:rsidRPr="000B4909">
        <w:t xml:space="preserve"> value, then adding nominal actual net capex (as-commissioned) for the year and subtracting nominal actual tax depreciation for the year.</w:t>
      </w:r>
    </w:p>
    <w:p w:rsidR="000B4909" w:rsidRPr="000B4909" w:rsidRDefault="000B4909" w:rsidP="000B4909">
      <w:r w:rsidRPr="000B4909">
        <w:t xml:space="preserve">Based on the sum of each asset class calculations for those rows, the opening </w:t>
      </w:r>
      <w:r w:rsidR="00A744E1">
        <w:t>TAB</w:t>
      </w:r>
      <w:r w:rsidRPr="000B4909">
        <w:t xml:space="preserve"> value for each year of the current regulatory control period is displayed in row 7. These values are calculated in accordance with</w:t>
      </w:r>
      <w:r w:rsidR="0021562D">
        <w:t xml:space="preserve"> </w:t>
      </w:r>
      <w:r w:rsidR="0021562D">
        <w:fldChar w:fldCharType="begin"/>
      </w:r>
      <w:r w:rsidR="0021562D">
        <w:instrText xml:space="preserve"> REF _Ref420595205 \h </w:instrText>
      </w:r>
      <w:r w:rsidR="0021562D">
        <w:fldChar w:fldCharType="separate"/>
      </w:r>
      <w:r w:rsidR="00F92CE8">
        <w:t xml:space="preserve">Box </w:t>
      </w:r>
      <w:r w:rsidR="00F92CE8">
        <w:rPr>
          <w:noProof/>
        </w:rPr>
        <w:t>6</w:t>
      </w:r>
      <w:r w:rsidR="0021562D">
        <w:fldChar w:fldCharType="end"/>
      </w:r>
      <w:r w:rsidRPr="000B4909">
        <w:t xml:space="preserve">. The opening </w:t>
      </w:r>
      <w:r w:rsidR="00A744E1">
        <w:t>TAB</w:t>
      </w:r>
      <w:r w:rsidRPr="000B4909">
        <w:t xml:space="preserve"> value for the next regulatory control period is shown in cell M7. This value is used as an input into the PTRM for calculating the tax depreciation in the next revenue determination. A breakdown of the closing </w:t>
      </w:r>
      <w:r w:rsidR="00A744E1">
        <w:t>TAB</w:t>
      </w:r>
      <w:r w:rsidRPr="000B4909">
        <w:t xml:space="preserve"> values by asset classes are displayed in cells M8 to M</w:t>
      </w:r>
      <w:r w:rsidR="00A744E1">
        <w:t>5</w:t>
      </w:r>
      <w:r w:rsidRPr="000B4909">
        <w:t>7.</w:t>
      </w:r>
    </w:p>
    <w:p w:rsidR="000B4909" w:rsidRPr="000B4909" w:rsidRDefault="000B4909" w:rsidP="00FE4BB7">
      <w:pPr>
        <w:pStyle w:val="Heading3"/>
      </w:pPr>
      <w:bookmarkStart w:id="67" w:name="_Toc423696212"/>
      <w:r w:rsidRPr="000B4909">
        <w:t>Actual net capex</w:t>
      </w:r>
      <w:bookmarkEnd w:id="67"/>
    </w:p>
    <w:p w:rsidR="000B4909" w:rsidRPr="000B4909" w:rsidRDefault="000B4909" w:rsidP="000B4909">
      <w:r w:rsidRPr="000B4909">
        <w:t xml:space="preserve">The actual net capex values for each asset class (rows </w:t>
      </w:r>
      <w:r w:rsidR="00A744E1">
        <w:t>6</w:t>
      </w:r>
      <w:r w:rsidRPr="000B4909">
        <w:t xml:space="preserve">0 to </w:t>
      </w:r>
      <w:r w:rsidR="00A744E1">
        <w:t>10</w:t>
      </w:r>
      <w:r w:rsidRPr="000B4909">
        <w:t xml:space="preserve">9) </w:t>
      </w:r>
      <w:r w:rsidR="00A744E1">
        <w:t xml:space="preserve">and each year of the current regulatory control period </w:t>
      </w:r>
      <w:r w:rsidRPr="000B4909">
        <w:t xml:space="preserve">are calculated by taking nominal actual capex (as-commissioned) from the </w:t>
      </w:r>
      <w:r w:rsidR="00A744E1">
        <w:rPr>
          <w:rStyle w:val="Strong"/>
        </w:rPr>
        <w:t>RFM i</w:t>
      </w:r>
      <w:r w:rsidRPr="009F0854">
        <w:rPr>
          <w:rStyle w:val="Strong"/>
        </w:rPr>
        <w:t>nput</w:t>
      </w:r>
      <w:r w:rsidRPr="000B4909">
        <w:t xml:space="preserve"> sheet (rows </w:t>
      </w:r>
      <w:r w:rsidR="00A744E1">
        <w:t>22</w:t>
      </w:r>
      <w:r w:rsidRPr="000B4909">
        <w:t xml:space="preserve">3 to </w:t>
      </w:r>
      <w:r w:rsidR="00A744E1">
        <w:t>2</w:t>
      </w:r>
      <w:r w:rsidRPr="000B4909">
        <w:t xml:space="preserve">72) and subtracting nominal actual de-commissioned assets from the same sheet (rows </w:t>
      </w:r>
      <w:r w:rsidR="00A744E1">
        <w:t>2</w:t>
      </w:r>
      <w:r w:rsidRPr="000B4909">
        <w:t xml:space="preserve">77 to </w:t>
      </w:r>
      <w:r w:rsidR="00A744E1">
        <w:t>3</w:t>
      </w:r>
      <w:r w:rsidRPr="000B4909">
        <w:t xml:space="preserve">26). Row </w:t>
      </w:r>
      <w:r w:rsidR="00A744E1">
        <w:t>5</w:t>
      </w:r>
      <w:r w:rsidRPr="000B4909">
        <w:t xml:space="preserve">9 displays the sum of each asset class calculations for rows </w:t>
      </w:r>
      <w:r w:rsidR="00A744E1">
        <w:t>6</w:t>
      </w:r>
      <w:r w:rsidRPr="000B4909">
        <w:t xml:space="preserve">0 to </w:t>
      </w:r>
      <w:r w:rsidR="00A744E1">
        <w:t>10</w:t>
      </w:r>
      <w:r w:rsidRPr="000B4909">
        <w:t>9.</w:t>
      </w:r>
    </w:p>
    <w:p w:rsidR="000B4909" w:rsidRPr="000B4909" w:rsidRDefault="000B4909" w:rsidP="00FE4BB7">
      <w:pPr>
        <w:pStyle w:val="Heading3"/>
      </w:pPr>
      <w:bookmarkStart w:id="68" w:name="_Toc423696213"/>
      <w:r w:rsidRPr="000B4909">
        <w:t>Actual tax depreciation</w:t>
      </w:r>
      <w:bookmarkEnd w:id="68"/>
    </w:p>
    <w:p w:rsidR="000B4909" w:rsidRPr="000B4909" w:rsidRDefault="000B4909" w:rsidP="000B4909">
      <w:r w:rsidRPr="000B4909">
        <w:t xml:space="preserve">The actual tax depreciation values for each asset class (rows </w:t>
      </w:r>
      <w:r w:rsidR="00A744E1">
        <w:t>11</w:t>
      </w:r>
      <w:r w:rsidRPr="000B4909">
        <w:t xml:space="preserve">2 to </w:t>
      </w:r>
      <w:r w:rsidR="00A744E1">
        <w:t>7</w:t>
      </w:r>
      <w:r w:rsidRPr="000B4909">
        <w:t xml:space="preserve">61) </w:t>
      </w:r>
      <w:r w:rsidR="00A744E1">
        <w:t xml:space="preserve">and each year of the current regulatory control period </w:t>
      </w:r>
      <w:r w:rsidRPr="000B4909">
        <w:t xml:space="preserve">are calculated based on the nominal opening </w:t>
      </w:r>
      <w:r w:rsidR="00A744E1">
        <w:t>TAB</w:t>
      </w:r>
      <w:r w:rsidRPr="000B4909">
        <w:t xml:space="preserve"> values, nominal actual net capex (as-commissioned) values and tax asset lives, in accordance with the straight-line method. Row </w:t>
      </w:r>
      <w:r w:rsidR="00A744E1">
        <w:t>11</w:t>
      </w:r>
      <w:r w:rsidRPr="000B4909">
        <w:t>1 displays the sum of each asset class calculations for those rows.</w:t>
      </w:r>
    </w:p>
    <w:p w:rsidR="000B4909" w:rsidRPr="0005646F" w:rsidRDefault="0031430F" w:rsidP="003671EE">
      <w:pPr>
        <w:pStyle w:val="Heading2"/>
        <w:rPr>
          <w:highlight w:val="yellow"/>
        </w:rPr>
      </w:pPr>
      <w:bookmarkStart w:id="69" w:name="_Toc423696214"/>
      <w:r w:rsidRPr="0005646F">
        <w:rPr>
          <w:highlight w:val="yellow"/>
        </w:rPr>
        <w:t>RAB remaining lives</w:t>
      </w:r>
      <w:r w:rsidR="000B4909" w:rsidRPr="0005646F">
        <w:rPr>
          <w:highlight w:val="yellow"/>
        </w:rPr>
        <w:t xml:space="preserve"> sheet</w:t>
      </w:r>
      <w:bookmarkEnd w:id="69"/>
    </w:p>
    <w:p w:rsidR="00361005" w:rsidRDefault="000B4909" w:rsidP="000B4909">
      <w:r w:rsidRPr="00B53F57">
        <w:rPr>
          <w:highlight w:val="yellow"/>
        </w:rPr>
        <w:t xml:space="preserve">The </w:t>
      </w:r>
      <w:r w:rsidR="0031430F" w:rsidRPr="00B53F57">
        <w:rPr>
          <w:rStyle w:val="Strong"/>
          <w:highlight w:val="yellow"/>
        </w:rPr>
        <w:t>RAB remaining lives</w:t>
      </w:r>
      <w:r w:rsidRPr="00B53F57">
        <w:rPr>
          <w:highlight w:val="yellow"/>
        </w:rPr>
        <w:t xml:space="preserve"> sheet calculates the average </w:t>
      </w:r>
      <w:r w:rsidR="00DF1B96" w:rsidRPr="00B53F57">
        <w:rPr>
          <w:highlight w:val="yellow"/>
        </w:rPr>
        <w:t xml:space="preserve">RAB </w:t>
      </w:r>
      <w:r w:rsidRPr="00B53F57">
        <w:rPr>
          <w:highlight w:val="yellow"/>
        </w:rPr>
        <w:t xml:space="preserve">remaining lives of each asset class using a weighted average method. The weighted average remaining lives </w:t>
      </w:r>
      <w:r w:rsidR="0031430F" w:rsidRPr="00B53F57">
        <w:rPr>
          <w:highlight w:val="yellow"/>
        </w:rPr>
        <w:t xml:space="preserve">at the end of the current </w:t>
      </w:r>
      <w:r w:rsidR="00620A9D" w:rsidRPr="00B53F57">
        <w:rPr>
          <w:highlight w:val="yellow"/>
        </w:rPr>
        <w:t xml:space="preserve">regulatory control </w:t>
      </w:r>
      <w:r w:rsidR="0031430F" w:rsidRPr="00B53F57">
        <w:rPr>
          <w:highlight w:val="yellow"/>
        </w:rPr>
        <w:t xml:space="preserve">period </w:t>
      </w:r>
      <w:r w:rsidR="00DF1B96" w:rsidRPr="00B53F57">
        <w:rPr>
          <w:highlight w:val="yellow"/>
        </w:rPr>
        <w:t xml:space="preserve">for the RAB </w:t>
      </w:r>
      <w:r w:rsidRPr="00B53F57">
        <w:rPr>
          <w:highlight w:val="yellow"/>
        </w:rPr>
        <w:t xml:space="preserve">are used as inputs to the PTRM for the next regulatory control period to calculate the depreciation </w:t>
      </w:r>
      <w:r w:rsidR="0031430F" w:rsidRPr="00B53F57">
        <w:rPr>
          <w:highlight w:val="yellow"/>
        </w:rPr>
        <w:t xml:space="preserve">schedules </w:t>
      </w:r>
      <w:r w:rsidRPr="00B53F57">
        <w:rPr>
          <w:highlight w:val="yellow"/>
        </w:rPr>
        <w:t xml:space="preserve">in the revenue determination. </w:t>
      </w:r>
      <w:r w:rsidR="00361005" w:rsidRPr="00B53F57">
        <w:rPr>
          <w:highlight w:val="yellow"/>
        </w:rPr>
        <w:t>The sheet is set up to accommodate asset life tracking over four five-year periods, however the calculations can be expanded to cover more if required.</w:t>
      </w:r>
    </w:p>
    <w:p w:rsidR="00CD6D6F" w:rsidRDefault="0031430F" w:rsidP="000B4909">
      <w:r w:rsidRPr="005666B6">
        <w:rPr>
          <w:highlight w:val="yellow"/>
        </w:rPr>
        <w:t>For the first period that</w:t>
      </w:r>
      <w:r w:rsidR="008C1212" w:rsidRPr="005666B6">
        <w:rPr>
          <w:highlight w:val="yellow"/>
        </w:rPr>
        <w:t xml:space="preserve"> the</w:t>
      </w:r>
      <w:r w:rsidRPr="005666B6">
        <w:rPr>
          <w:highlight w:val="yellow"/>
        </w:rPr>
        <w:t xml:space="preserve"> </w:t>
      </w:r>
      <w:r w:rsidR="003C6E34" w:rsidRPr="005666B6">
        <w:rPr>
          <w:highlight w:val="yellow"/>
        </w:rPr>
        <w:t xml:space="preserve">RFM </w:t>
      </w:r>
      <w:r w:rsidRPr="005666B6">
        <w:rPr>
          <w:highlight w:val="yellow"/>
        </w:rPr>
        <w:t>version 3 is used</w:t>
      </w:r>
      <w:r w:rsidR="00245C05" w:rsidRPr="005666B6">
        <w:rPr>
          <w:highlight w:val="yellow"/>
        </w:rPr>
        <w:t>,</w:t>
      </w:r>
      <w:r w:rsidRPr="005666B6">
        <w:rPr>
          <w:highlight w:val="yellow"/>
        </w:rPr>
        <w:t xml:space="preserve"> t</w:t>
      </w:r>
      <w:r w:rsidR="000B4909" w:rsidRPr="005666B6">
        <w:rPr>
          <w:highlight w:val="yellow"/>
        </w:rPr>
        <w:t xml:space="preserve">he inputs for these calculations are sourced from the </w:t>
      </w:r>
      <w:r w:rsidRPr="005666B6">
        <w:rPr>
          <w:rStyle w:val="Bold"/>
          <w:highlight w:val="yellow"/>
        </w:rPr>
        <w:t>RFM</w:t>
      </w:r>
      <w:r w:rsidRPr="005666B6">
        <w:rPr>
          <w:highlight w:val="yellow"/>
        </w:rPr>
        <w:t xml:space="preserve"> </w:t>
      </w:r>
      <w:r w:rsidRPr="005666B6">
        <w:rPr>
          <w:rStyle w:val="Strong"/>
          <w:highlight w:val="yellow"/>
        </w:rPr>
        <w:t>i</w:t>
      </w:r>
      <w:r w:rsidR="000B4909" w:rsidRPr="005666B6">
        <w:rPr>
          <w:rStyle w:val="Strong"/>
          <w:highlight w:val="yellow"/>
        </w:rPr>
        <w:t>nput</w:t>
      </w:r>
      <w:r w:rsidR="000B4909" w:rsidRPr="005666B6">
        <w:rPr>
          <w:highlight w:val="yellow"/>
        </w:rPr>
        <w:t xml:space="preserve"> sheet.</w:t>
      </w:r>
      <w:r w:rsidR="00245C05" w:rsidRPr="005666B6">
        <w:rPr>
          <w:highlight w:val="yellow"/>
        </w:rPr>
        <w:t xml:space="preserve"> The input cells include</w:t>
      </w:r>
      <w:r w:rsidRPr="005666B6">
        <w:rPr>
          <w:highlight w:val="yellow"/>
        </w:rPr>
        <w:t xml:space="preserve"> </w:t>
      </w:r>
      <w:r w:rsidR="00245C05" w:rsidRPr="005666B6">
        <w:rPr>
          <w:highlight w:val="yellow"/>
        </w:rPr>
        <w:t xml:space="preserve">formula references to the correct cells within the RFM. </w:t>
      </w:r>
      <w:r w:rsidRPr="005666B6">
        <w:rPr>
          <w:highlight w:val="yellow"/>
        </w:rPr>
        <w:t xml:space="preserve">In future periods </w:t>
      </w:r>
      <w:r w:rsidR="00245C05" w:rsidRPr="005666B6">
        <w:rPr>
          <w:highlight w:val="yellow"/>
        </w:rPr>
        <w:t xml:space="preserve">the </w:t>
      </w:r>
      <w:r w:rsidR="00245C05" w:rsidRPr="005666B6">
        <w:rPr>
          <w:rStyle w:val="Bold"/>
          <w:highlight w:val="yellow"/>
        </w:rPr>
        <w:t xml:space="preserve">RAB </w:t>
      </w:r>
      <w:r w:rsidR="00620A9D" w:rsidRPr="005666B6">
        <w:rPr>
          <w:rStyle w:val="Bold"/>
          <w:highlight w:val="yellow"/>
        </w:rPr>
        <w:t>remaining</w:t>
      </w:r>
      <w:r w:rsidR="00245C05" w:rsidRPr="005666B6">
        <w:rPr>
          <w:rStyle w:val="Bold"/>
          <w:highlight w:val="yellow"/>
        </w:rPr>
        <w:t xml:space="preserve"> lives</w:t>
      </w:r>
      <w:r w:rsidRPr="005666B6">
        <w:rPr>
          <w:highlight w:val="yellow"/>
        </w:rPr>
        <w:t xml:space="preserve"> sheet will also require inputs </w:t>
      </w:r>
      <w:r w:rsidR="00620A9D" w:rsidRPr="005666B6">
        <w:rPr>
          <w:highlight w:val="yellow"/>
        </w:rPr>
        <w:t xml:space="preserve">obtained </w:t>
      </w:r>
      <w:r w:rsidRPr="005666B6">
        <w:rPr>
          <w:highlight w:val="yellow"/>
        </w:rPr>
        <w:t>from the RFM</w:t>
      </w:r>
      <w:r w:rsidR="00620A9D" w:rsidRPr="005666B6">
        <w:rPr>
          <w:highlight w:val="yellow"/>
        </w:rPr>
        <w:t>s for decisions relating to previous periods</w:t>
      </w:r>
      <w:r w:rsidRPr="005666B6">
        <w:rPr>
          <w:highlight w:val="yellow"/>
        </w:rPr>
        <w:t xml:space="preserve">. The process for updating this data is set out in </w:t>
      </w:r>
      <w:r w:rsidR="00CD6D6F" w:rsidRPr="005666B6">
        <w:rPr>
          <w:highlight w:val="yellow"/>
        </w:rPr>
        <w:fldChar w:fldCharType="begin"/>
      </w:r>
      <w:r w:rsidR="00CD6D6F" w:rsidRPr="005666B6">
        <w:rPr>
          <w:highlight w:val="yellow"/>
        </w:rPr>
        <w:instrText xml:space="preserve"> REF _Ref422398350 \h </w:instrText>
      </w:r>
      <w:r w:rsidR="005666B6">
        <w:rPr>
          <w:highlight w:val="yellow"/>
        </w:rPr>
        <w:instrText xml:space="preserve"> \* MERGEFORMAT </w:instrText>
      </w:r>
      <w:r w:rsidR="00CD6D6F" w:rsidRPr="005666B6">
        <w:rPr>
          <w:highlight w:val="yellow"/>
        </w:rPr>
      </w:r>
      <w:r w:rsidR="00CD6D6F" w:rsidRPr="005666B6">
        <w:rPr>
          <w:highlight w:val="yellow"/>
        </w:rPr>
        <w:fldChar w:fldCharType="separate"/>
      </w:r>
      <w:r w:rsidR="00F92CE8" w:rsidRPr="00F92CE8">
        <w:rPr>
          <w:highlight w:val="yellow"/>
        </w:rPr>
        <w:t xml:space="preserve">Box </w:t>
      </w:r>
      <w:r w:rsidR="00F92CE8" w:rsidRPr="00F92CE8">
        <w:rPr>
          <w:noProof/>
          <w:highlight w:val="yellow"/>
        </w:rPr>
        <w:t>7</w:t>
      </w:r>
      <w:r w:rsidR="00CD6D6F" w:rsidRPr="005666B6">
        <w:rPr>
          <w:highlight w:val="yellow"/>
        </w:rPr>
        <w:fldChar w:fldCharType="end"/>
      </w:r>
      <w:r w:rsidRPr="005666B6">
        <w:rPr>
          <w:highlight w:val="yellow"/>
        </w:rPr>
        <w:t>.</w:t>
      </w:r>
    </w:p>
    <w:p w:rsidR="00CD6D6F" w:rsidRDefault="00CD6D6F" w:rsidP="005666B6">
      <w:pPr>
        <w:pStyle w:val="NoSpacing"/>
      </w:pPr>
    </w:p>
    <w:tbl>
      <w:tblPr>
        <w:tblStyle w:val="AERTable-Text"/>
        <w:tblW w:w="0" w:type="auto"/>
        <w:tblLook w:val="04A0" w:firstRow="1" w:lastRow="0" w:firstColumn="1" w:lastColumn="0" w:noHBand="0" w:noVBand="1"/>
      </w:tblPr>
      <w:tblGrid>
        <w:gridCol w:w="9242"/>
      </w:tblGrid>
      <w:tr w:rsidR="00CD6D6F" w:rsidTr="007261A0">
        <w:trPr>
          <w:cnfStyle w:val="100000000000" w:firstRow="1" w:lastRow="0" w:firstColumn="0" w:lastColumn="0" w:oddVBand="0" w:evenVBand="0" w:oddHBand="0" w:evenHBand="0" w:firstRowFirstColumn="0" w:firstRowLastColumn="0" w:lastRowFirstColumn="0" w:lastRowLastColumn="0"/>
        </w:trPr>
        <w:tc>
          <w:tcPr>
            <w:tcW w:w="9242" w:type="dxa"/>
          </w:tcPr>
          <w:p w:rsidR="00CD6D6F" w:rsidRPr="00CD6D6F" w:rsidRDefault="00CD6D6F" w:rsidP="005666B6">
            <w:pPr>
              <w:pStyle w:val="Tabletext"/>
            </w:pPr>
            <w:bookmarkStart w:id="70" w:name="_Ref422398350"/>
            <w:r>
              <w:t xml:space="preserve">Box </w:t>
            </w:r>
            <w:fldSimple w:instr=" SEQ Box \* ARABIC ">
              <w:r w:rsidR="00F92CE8">
                <w:rPr>
                  <w:noProof/>
                </w:rPr>
                <w:t>7</w:t>
              </w:r>
            </w:fldSimple>
            <w:bookmarkEnd w:id="70"/>
            <w:r w:rsidRPr="00CD6D6F">
              <w:t xml:space="preserve"> </w:t>
            </w:r>
            <w:r w:rsidRPr="00CD6D6F">
              <w:tab/>
            </w:r>
            <w:r>
              <w:t xml:space="preserve">Input process required for updating </w:t>
            </w:r>
            <w:r w:rsidR="00620A9D">
              <w:t xml:space="preserve">RAB </w:t>
            </w:r>
            <w:r>
              <w:t>remaining life calculations</w:t>
            </w:r>
          </w:p>
        </w:tc>
      </w:tr>
      <w:tr w:rsidR="00CD6D6F" w:rsidRPr="005666B6" w:rsidTr="007261A0">
        <w:tc>
          <w:tcPr>
            <w:tcW w:w="9242" w:type="dxa"/>
          </w:tcPr>
          <w:p w:rsidR="00CD6D6F" w:rsidRPr="005666B6" w:rsidRDefault="007261A0" w:rsidP="005666B6">
            <w:pPr>
              <w:rPr>
                <w:rStyle w:val="Bold"/>
                <w:highlight w:val="yellow"/>
              </w:rPr>
            </w:pPr>
            <w:r w:rsidRPr="005666B6">
              <w:rPr>
                <w:rStyle w:val="Bold"/>
                <w:highlight w:val="yellow"/>
              </w:rPr>
              <w:t xml:space="preserve">First period that </w:t>
            </w:r>
            <w:r w:rsidR="003C6E34" w:rsidRPr="005666B6">
              <w:rPr>
                <w:rStyle w:val="Bold"/>
                <w:highlight w:val="yellow"/>
              </w:rPr>
              <w:t xml:space="preserve">RFM </w:t>
            </w:r>
            <w:r w:rsidRPr="005666B6">
              <w:rPr>
                <w:rStyle w:val="Bold"/>
                <w:highlight w:val="yellow"/>
              </w:rPr>
              <w:t>version 3 is used:</w:t>
            </w:r>
          </w:p>
          <w:p w:rsidR="007261A0" w:rsidRPr="005666B6" w:rsidRDefault="007261A0" w:rsidP="00A8019B">
            <w:pPr>
              <w:pStyle w:val="Tabletext"/>
              <w:rPr>
                <w:highlight w:val="yellow"/>
              </w:rPr>
            </w:pPr>
            <w:r w:rsidRPr="005666B6">
              <w:rPr>
                <w:highlight w:val="yellow"/>
              </w:rPr>
              <w:t>All inputs for the remaining life calculations are linked to the relevant value within the RFM.</w:t>
            </w:r>
          </w:p>
          <w:p w:rsidR="007261A0" w:rsidRPr="005666B6" w:rsidRDefault="007261A0" w:rsidP="00A8019B">
            <w:pPr>
              <w:pStyle w:val="Tabletext"/>
              <w:rPr>
                <w:highlight w:val="yellow"/>
              </w:rPr>
            </w:pPr>
            <w:r w:rsidRPr="005666B6">
              <w:rPr>
                <w:highlight w:val="yellow"/>
              </w:rPr>
              <w:t>No further inputs are required.</w:t>
            </w:r>
          </w:p>
        </w:tc>
      </w:tr>
      <w:tr w:rsidR="00CD6D6F" w:rsidRPr="00595BA4" w:rsidTr="007261A0">
        <w:trPr>
          <w:cnfStyle w:val="000000010000" w:firstRow="0" w:lastRow="0" w:firstColumn="0" w:lastColumn="0" w:oddVBand="0" w:evenVBand="0" w:oddHBand="0" w:evenHBand="1" w:firstRowFirstColumn="0" w:firstRowLastColumn="0" w:lastRowFirstColumn="0" w:lastRowLastColumn="0"/>
        </w:trPr>
        <w:tc>
          <w:tcPr>
            <w:tcW w:w="9242" w:type="dxa"/>
          </w:tcPr>
          <w:p w:rsidR="007261A0" w:rsidRPr="005666B6" w:rsidRDefault="00F3507B" w:rsidP="005666B6">
            <w:pPr>
              <w:rPr>
                <w:rStyle w:val="Bold"/>
                <w:highlight w:val="yellow"/>
              </w:rPr>
            </w:pPr>
            <w:r w:rsidRPr="005666B6">
              <w:rPr>
                <w:rStyle w:val="Bold"/>
                <w:highlight w:val="yellow"/>
              </w:rPr>
              <w:t xml:space="preserve">Subsequent period </w:t>
            </w:r>
            <w:r w:rsidR="007261A0" w:rsidRPr="005666B6">
              <w:rPr>
                <w:rStyle w:val="Bold"/>
                <w:highlight w:val="yellow"/>
              </w:rPr>
              <w:t xml:space="preserve">that </w:t>
            </w:r>
            <w:r w:rsidR="003C6E34" w:rsidRPr="005666B6">
              <w:rPr>
                <w:rStyle w:val="Bold"/>
                <w:highlight w:val="yellow"/>
              </w:rPr>
              <w:t xml:space="preserve">RFM </w:t>
            </w:r>
            <w:r w:rsidR="007261A0" w:rsidRPr="005666B6">
              <w:rPr>
                <w:rStyle w:val="Bold"/>
                <w:highlight w:val="yellow"/>
              </w:rPr>
              <w:t>version 3 is used:</w:t>
            </w:r>
          </w:p>
          <w:p w:rsidR="00F3507B" w:rsidRPr="005666B6" w:rsidRDefault="00245C05" w:rsidP="00A8019B">
            <w:pPr>
              <w:pStyle w:val="Tabletext"/>
              <w:rPr>
                <w:highlight w:val="yellow"/>
              </w:rPr>
            </w:pPr>
            <w:r w:rsidRPr="005666B6">
              <w:rPr>
                <w:highlight w:val="yellow"/>
              </w:rPr>
              <w:t>I</w:t>
            </w:r>
            <w:r w:rsidR="003C6E34" w:rsidRPr="005666B6">
              <w:rPr>
                <w:highlight w:val="yellow"/>
              </w:rPr>
              <w:t xml:space="preserve">nput cells </w:t>
            </w:r>
            <w:r w:rsidRPr="005666B6">
              <w:rPr>
                <w:highlight w:val="yellow"/>
              </w:rPr>
              <w:t xml:space="preserve">(light blue) </w:t>
            </w:r>
            <w:r w:rsidR="00F3507B" w:rsidRPr="005666B6">
              <w:rPr>
                <w:highlight w:val="yellow"/>
              </w:rPr>
              <w:t>will</w:t>
            </w:r>
            <w:r w:rsidR="003C6E34" w:rsidRPr="005666B6">
              <w:rPr>
                <w:highlight w:val="yellow"/>
              </w:rPr>
              <w:t xml:space="preserve"> no longer </w:t>
            </w:r>
            <w:r w:rsidR="00F3507B" w:rsidRPr="005666B6">
              <w:rPr>
                <w:highlight w:val="yellow"/>
              </w:rPr>
              <w:t xml:space="preserve">be </w:t>
            </w:r>
            <w:r w:rsidR="003C6E34" w:rsidRPr="005666B6">
              <w:rPr>
                <w:highlight w:val="yellow"/>
              </w:rPr>
              <w:t xml:space="preserve">referencing the correct cells. These links must </w:t>
            </w:r>
            <w:r w:rsidR="00F3507B" w:rsidRPr="005666B6">
              <w:rPr>
                <w:highlight w:val="yellow"/>
              </w:rPr>
              <w:t>be replaced with the actual values approved in the previous decision RFM</w:t>
            </w:r>
            <w:r w:rsidR="003C6E34" w:rsidRPr="005666B6">
              <w:rPr>
                <w:highlight w:val="yellow"/>
              </w:rPr>
              <w:t>.</w:t>
            </w:r>
            <w:r w:rsidR="00F3507B" w:rsidRPr="005666B6">
              <w:rPr>
                <w:highlight w:val="yellow"/>
              </w:rPr>
              <w:t xml:space="preserve"> These values include:</w:t>
            </w:r>
          </w:p>
          <w:p w:rsidR="00F3507B" w:rsidRPr="005666B6" w:rsidRDefault="00F3507B" w:rsidP="00F3507B">
            <w:pPr>
              <w:pStyle w:val="Bulletpoint"/>
              <w:rPr>
                <w:highlight w:val="yellow"/>
              </w:rPr>
            </w:pPr>
            <w:r w:rsidRPr="005666B6">
              <w:rPr>
                <w:highlight w:val="yellow"/>
              </w:rPr>
              <w:t>Start period</w:t>
            </w:r>
          </w:p>
          <w:p w:rsidR="00F3507B" w:rsidRPr="005666B6" w:rsidRDefault="00F3507B" w:rsidP="00F3507B">
            <w:pPr>
              <w:pStyle w:val="Bulletpoint"/>
              <w:rPr>
                <w:highlight w:val="yellow"/>
              </w:rPr>
            </w:pPr>
            <w:r w:rsidRPr="005666B6">
              <w:rPr>
                <w:highlight w:val="yellow"/>
              </w:rPr>
              <w:t>CPI</w:t>
            </w:r>
          </w:p>
          <w:p w:rsidR="00F3507B" w:rsidRPr="005666B6" w:rsidRDefault="00F3507B" w:rsidP="00F3507B">
            <w:pPr>
              <w:pStyle w:val="Bulletpoint"/>
              <w:rPr>
                <w:highlight w:val="yellow"/>
              </w:rPr>
            </w:pPr>
            <w:r w:rsidRPr="005666B6">
              <w:rPr>
                <w:highlight w:val="yellow"/>
              </w:rPr>
              <w:t>Nominal vanilla WACC (fixed real time varying)</w:t>
            </w:r>
          </w:p>
          <w:p w:rsidR="00F3507B" w:rsidRPr="005666B6" w:rsidRDefault="00F3507B" w:rsidP="00F3507B">
            <w:pPr>
              <w:pStyle w:val="Bulletpoint"/>
              <w:rPr>
                <w:highlight w:val="yellow"/>
              </w:rPr>
            </w:pPr>
            <w:r w:rsidRPr="005666B6">
              <w:rPr>
                <w:highlight w:val="yellow"/>
              </w:rPr>
              <w:t>Value of net addition (capex)</w:t>
            </w:r>
          </w:p>
          <w:p w:rsidR="00F3507B" w:rsidRPr="005666B6" w:rsidRDefault="00F3507B" w:rsidP="00F3507B">
            <w:pPr>
              <w:pStyle w:val="Bulletpoint"/>
              <w:rPr>
                <w:highlight w:val="yellow"/>
              </w:rPr>
            </w:pPr>
            <w:r w:rsidRPr="005666B6">
              <w:rPr>
                <w:highlight w:val="yellow"/>
              </w:rPr>
              <w:t>Standard</w:t>
            </w:r>
            <w:r w:rsidR="005666B6" w:rsidRPr="005666B6">
              <w:rPr>
                <w:highlight w:val="yellow"/>
              </w:rPr>
              <w:t xml:space="preserve"> asset</w:t>
            </w:r>
            <w:r w:rsidRPr="005666B6">
              <w:rPr>
                <w:highlight w:val="yellow"/>
              </w:rPr>
              <w:t xml:space="preserve"> life</w:t>
            </w:r>
            <w:r w:rsidR="008F5E6F" w:rsidRPr="005666B6">
              <w:rPr>
                <w:highlight w:val="yellow"/>
              </w:rPr>
              <w:t>.</w:t>
            </w:r>
          </w:p>
          <w:p w:rsidR="00F3507B" w:rsidRPr="005666B6" w:rsidRDefault="00F3507B" w:rsidP="00A8019B">
            <w:pPr>
              <w:pStyle w:val="Tabletext"/>
              <w:rPr>
                <w:highlight w:val="yellow"/>
              </w:rPr>
            </w:pPr>
            <w:r w:rsidRPr="005666B6">
              <w:rPr>
                <w:highlight w:val="yellow"/>
              </w:rPr>
              <w:t xml:space="preserve">These </w:t>
            </w:r>
            <w:r w:rsidR="002C2EF1" w:rsidRPr="005666B6">
              <w:rPr>
                <w:highlight w:val="yellow"/>
              </w:rPr>
              <w:t xml:space="preserve">values </w:t>
            </w:r>
            <w:r w:rsidRPr="005666B6">
              <w:rPr>
                <w:highlight w:val="yellow"/>
              </w:rPr>
              <w:t xml:space="preserve">can be copied from the previous </w:t>
            </w:r>
            <w:r w:rsidR="002C2EF1" w:rsidRPr="005666B6">
              <w:rPr>
                <w:highlight w:val="yellow"/>
              </w:rPr>
              <w:t>de</w:t>
            </w:r>
            <w:r w:rsidR="008F5E6F" w:rsidRPr="005666B6">
              <w:rPr>
                <w:highlight w:val="yellow"/>
              </w:rPr>
              <w:t>cision</w:t>
            </w:r>
            <w:r w:rsidR="002C2EF1" w:rsidRPr="005666B6">
              <w:rPr>
                <w:highlight w:val="yellow"/>
              </w:rPr>
              <w:t xml:space="preserve"> </w:t>
            </w:r>
            <w:r w:rsidRPr="005666B6">
              <w:rPr>
                <w:highlight w:val="yellow"/>
              </w:rPr>
              <w:t xml:space="preserve">RFM's </w:t>
            </w:r>
            <w:r w:rsidRPr="005666B6">
              <w:rPr>
                <w:rStyle w:val="Strong"/>
                <w:highlight w:val="yellow"/>
              </w:rPr>
              <w:t>RAB remaining lives</w:t>
            </w:r>
            <w:r w:rsidRPr="005666B6">
              <w:rPr>
                <w:highlight w:val="yellow"/>
              </w:rPr>
              <w:t xml:space="preserve"> sheet for each year of the </w:t>
            </w:r>
            <w:r w:rsidR="002C2EF1" w:rsidRPr="005666B6">
              <w:rPr>
                <w:highlight w:val="yellow"/>
              </w:rPr>
              <w:t xml:space="preserve">preceding </w:t>
            </w:r>
            <w:r w:rsidRPr="005666B6">
              <w:rPr>
                <w:highlight w:val="yellow"/>
              </w:rPr>
              <w:t>periods.</w:t>
            </w:r>
          </w:p>
          <w:p w:rsidR="004E439A" w:rsidRPr="00595BA4" w:rsidRDefault="003C6E34" w:rsidP="00A8019B">
            <w:pPr>
              <w:pStyle w:val="Tabletext"/>
            </w:pPr>
            <w:r w:rsidRPr="005666B6">
              <w:rPr>
                <w:highlight w:val="yellow"/>
              </w:rPr>
              <w:t xml:space="preserve">The </w:t>
            </w:r>
            <w:r w:rsidR="00F3507B" w:rsidRPr="005666B6">
              <w:rPr>
                <w:highlight w:val="yellow"/>
              </w:rPr>
              <w:t xml:space="preserve">original </w:t>
            </w:r>
            <w:r w:rsidR="00245C05" w:rsidRPr="005666B6">
              <w:rPr>
                <w:highlight w:val="yellow"/>
              </w:rPr>
              <w:t xml:space="preserve">input cell </w:t>
            </w:r>
            <w:r w:rsidRPr="005666B6">
              <w:rPr>
                <w:highlight w:val="yellow"/>
              </w:rPr>
              <w:t xml:space="preserve">formulae for CPI, WACC, </w:t>
            </w:r>
            <w:r w:rsidR="003A47F2" w:rsidRPr="005666B6">
              <w:rPr>
                <w:highlight w:val="yellow"/>
              </w:rPr>
              <w:t xml:space="preserve">capex and standard lives (columns D to H) can be replicated in the relevant year of the </w:t>
            </w:r>
            <w:r w:rsidR="00F3507B" w:rsidRPr="005666B6">
              <w:rPr>
                <w:highlight w:val="yellow"/>
              </w:rPr>
              <w:t>subsequent</w:t>
            </w:r>
            <w:r w:rsidR="003A47F2" w:rsidRPr="005666B6">
              <w:rPr>
                <w:highlight w:val="yellow"/>
              </w:rPr>
              <w:t xml:space="preserve"> period</w:t>
            </w:r>
            <w:r w:rsidR="00245C05" w:rsidRPr="005666B6">
              <w:rPr>
                <w:highlight w:val="yellow"/>
              </w:rPr>
              <w:t xml:space="preserve"> to ensure automatic updates</w:t>
            </w:r>
            <w:r w:rsidR="003A47F2" w:rsidRPr="005666B6">
              <w:rPr>
                <w:highlight w:val="yellow"/>
              </w:rPr>
              <w:t xml:space="preserve">. i.e. formulae for year 1 of </w:t>
            </w:r>
            <w:r w:rsidR="002C2EF1" w:rsidRPr="005666B6">
              <w:rPr>
                <w:highlight w:val="yellow"/>
              </w:rPr>
              <w:t>original RFM</w:t>
            </w:r>
            <w:r w:rsidR="003A47F2" w:rsidRPr="005666B6">
              <w:rPr>
                <w:highlight w:val="yellow"/>
              </w:rPr>
              <w:t xml:space="preserve"> </w:t>
            </w:r>
            <w:r w:rsidR="008F5E6F" w:rsidRPr="005666B6">
              <w:rPr>
                <w:highlight w:val="yellow"/>
              </w:rPr>
              <w:t xml:space="preserve">(column D) </w:t>
            </w:r>
            <w:r w:rsidR="003A47F2" w:rsidRPr="005666B6">
              <w:rPr>
                <w:highlight w:val="yellow"/>
              </w:rPr>
              <w:t xml:space="preserve">can be replicated </w:t>
            </w:r>
            <w:r w:rsidR="002C2EF1" w:rsidRPr="005666B6">
              <w:rPr>
                <w:highlight w:val="yellow"/>
              </w:rPr>
              <w:t>for</w:t>
            </w:r>
            <w:r w:rsidR="003A47F2" w:rsidRPr="005666B6">
              <w:rPr>
                <w:highlight w:val="yellow"/>
              </w:rPr>
              <w:t xml:space="preserve"> </w:t>
            </w:r>
            <w:r w:rsidR="002C2EF1" w:rsidRPr="005666B6">
              <w:rPr>
                <w:highlight w:val="yellow"/>
              </w:rPr>
              <w:t xml:space="preserve">the first year of the </w:t>
            </w:r>
            <w:r w:rsidR="008F5E6F" w:rsidRPr="005666B6">
              <w:rPr>
                <w:highlight w:val="yellow"/>
              </w:rPr>
              <w:t>subsequent</w:t>
            </w:r>
            <w:r w:rsidR="003A47F2" w:rsidRPr="005666B6">
              <w:rPr>
                <w:highlight w:val="yellow"/>
              </w:rPr>
              <w:t xml:space="preserve"> period </w:t>
            </w:r>
            <w:r w:rsidR="00245C05" w:rsidRPr="005666B6">
              <w:rPr>
                <w:highlight w:val="yellow"/>
              </w:rPr>
              <w:t>input cell</w:t>
            </w:r>
            <w:r w:rsidR="008F5E6F" w:rsidRPr="005666B6">
              <w:rPr>
                <w:highlight w:val="yellow"/>
              </w:rPr>
              <w:t>s (column I)</w:t>
            </w:r>
            <w:r w:rsidR="002C2EF1" w:rsidRPr="005666B6">
              <w:rPr>
                <w:highlight w:val="yellow"/>
              </w:rPr>
              <w:t>, etc</w:t>
            </w:r>
            <w:r w:rsidR="003A47F2" w:rsidRPr="005666B6">
              <w:rPr>
                <w:highlight w:val="yellow"/>
              </w:rPr>
              <w:t>.</w:t>
            </w:r>
          </w:p>
        </w:tc>
      </w:tr>
    </w:tbl>
    <w:p w:rsidR="00CD6D6F" w:rsidRPr="000B4909" w:rsidRDefault="000B4909" w:rsidP="000B4909">
      <w:r w:rsidRPr="000B4909">
        <w:t>The process for calculating the weighted average rem</w:t>
      </w:r>
      <w:r w:rsidR="0021562D">
        <w:t>aining lives</w:t>
      </w:r>
      <w:r w:rsidR="00B01CCB">
        <w:t xml:space="preserve"> for the RAB </w:t>
      </w:r>
      <w:r w:rsidR="0021562D">
        <w:t>is set out in</w:t>
      </w:r>
      <w:r w:rsidR="00CD6D6F">
        <w:t xml:space="preserve"> </w:t>
      </w:r>
      <w:r w:rsidR="002714EE">
        <w:t>Box 8</w:t>
      </w:r>
      <w:r w:rsidRPr="000B4909">
        <w:t>.</w:t>
      </w:r>
      <w:r w:rsidR="00AD5B6F" w:rsidRPr="005666B6">
        <w:rPr>
          <w:rStyle w:val="FootnoteReference"/>
          <w:highlight w:val="yellow"/>
        </w:rPr>
        <w:footnoteReference w:id="24"/>
      </w:r>
      <w:r w:rsidRPr="005666B6">
        <w:rPr>
          <w:highlight w:val="yellow"/>
        </w:rPr>
        <w:t xml:space="preserve"> </w:t>
      </w:r>
      <w:r w:rsidR="003D1933" w:rsidRPr="005666B6">
        <w:rPr>
          <w:highlight w:val="yellow"/>
        </w:rPr>
        <w:t>A similar process applies for calculating the weighted average remaining lives for the TAB.</w:t>
      </w:r>
    </w:p>
    <w:p w:rsidR="000B4909" w:rsidRPr="000B4909" w:rsidRDefault="000B4909">
      <w:pPr>
        <w:pStyle w:val="NoSpacing"/>
      </w:pPr>
    </w:p>
    <w:tbl>
      <w:tblPr>
        <w:tblStyle w:val="AERTable-Text"/>
        <w:tblW w:w="0" w:type="auto"/>
        <w:tblLook w:val="04A0" w:firstRow="1" w:lastRow="0" w:firstColumn="1" w:lastColumn="0" w:noHBand="0" w:noVBand="1"/>
      </w:tblPr>
      <w:tblGrid>
        <w:gridCol w:w="9242"/>
      </w:tblGrid>
      <w:tr w:rsidR="00CD6D6F" w:rsidTr="007261A0">
        <w:trPr>
          <w:cnfStyle w:val="100000000000" w:firstRow="1" w:lastRow="0" w:firstColumn="0" w:lastColumn="0" w:oddVBand="0" w:evenVBand="0" w:oddHBand="0" w:evenHBand="0" w:firstRowFirstColumn="0" w:firstRowLastColumn="0" w:lastRowFirstColumn="0" w:lastRowLastColumn="0"/>
        </w:trPr>
        <w:tc>
          <w:tcPr>
            <w:tcW w:w="9242" w:type="dxa"/>
          </w:tcPr>
          <w:p w:rsidR="00CD6D6F" w:rsidRPr="00CD6D6F" w:rsidRDefault="00CD6D6F" w:rsidP="00B01CCB">
            <w:pPr>
              <w:pStyle w:val="Tabletext"/>
            </w:pPr>
            <w:r>
              <w:t xml:space="preserve">Box </w:t>
            </w:r>
            <w:fldSimple w:instr=" SEQ Box \* ARABIC ">
              <w:r w:rsidR="00F92CE8">
                <w:rPr>
                  <w:noProof/>
                </w:rPr>
                <w:t>8</w:t>
              </w:r>
            </w:fldSimple>
            <w:r w:rsidRPr="00CD6D6F">
              <w:t xml:space="preserve"> </w:t>
            </w:r>
            <w:r w:rsidRPr="00CD6D6F">
              <w:tab/>
            </w:r>
            <w:r w:rsidRPr="0021562D">
              <w:t xml:space="preserve">Calculating the </w:t>
            </w:r>
            <w:r w:rsidR="00B01CCB">
              <w:t xml:space="preserve">RAB </w:t>
            </w:r>
            <w:r w:rsidRPr="0021562D">
              <w:t>weighted average remaining asset lives</w:t>
            </w:r>
          </w:p>
        </w:tc>
      </w:tr>
      <w:tr w:rsidR="003A48E6" w:rsidTr="003A48E6">
        <w:tc>
          <w:tcPr>
            <w:tcW w:w="9242" w:type="dxa"/>
          </w:tcPr>
          <w:p w:rsidR="0021562D" w:rsidRPr="005666B6" w:rsidRDefault="003A48E6" w:rsidP="0021562D">
            <w:pPr>
              <w:rPr>
                <w:rStyle w:val="Bold"/>
              </w:rPr>
            </w:pPr>
            <w:r w:rsidRPr="005666B6">
              <w:rPr>
                <w:rStyle w:val="Bold"/>
              </w:rPr>
              <w:t>Calculating the</w:t>
            </w:r>
            <w:r w:rsidR="003D1933">
              <w:rPr>
                <w:rStyle w:val="Bold"/>
              </w:rPr>
              <w:t xml:space="preserve"> RAB</w:t>
            </w:r>
            <w:r w:rsidRPr="005666B6">
              <w:rPr>
                <w:rStyle w:val="Bold"/>
              </w:rPr>
              <w:t xml:space="preserve"> weighted average remaining asset lives by asset class</w:t>
            </w:r>
          </w:p>
          <w:p w:rsidR="00B01CCB" w:rsidRDefault="0021562D" w:rsidP="0021562D">
            <w:r w:rsidRPr="000B4909">
              <w:t xml:space="preserve">    </w:t>
            </w:r>
            <w:r w:rsidR="00B01CCB">
              <w:tab/>
            </w:r>
            <w:r w:rsidRPr="000B4909">
              <w:t xml:space="preserve">Opening RAB for </w:t>
            </w:r>
            <w:r w:rsidR="0017503E">
              <w:t>start year</w:t>
            </w:r>
            <w:r w:rsidR="00B01CCB">
              <w:t xml:space="preserve"> </w:t>
            </w:r>
            <w:r w:rsidRPr="000B4909">
              <w:t xml:space="preserve">–  </w:t>
            </w:r>
          </w:p>
          <w:p w:rsidR="00B01CCB" w:rsidRDefault="00B01CCB" w:rsidP="0021562D">
            <w:r>
              <w:tab/>
            </w:r>
            <w:r w:rsidR="0021562D" w:rsidRPr="000B4909">
              <w:t xml:space="preserve">Total real actual depreciation on opening RAB =  </w:t>
            </w:r>
          </w:p>
          <w:p w:rsidR="0021562D" w:rsidRPr="000B4909" w:rsidRDefault="00B01CCB" w:rsidP="0021562D">
            <w:r>
              <w:tab/>
            </w:r>
            <w:r w:rsidR="0021562D" w:rsidRPr="000B4909">
              <w:t>Closing capital value of opening RAB</w:t>
            </w:r>
            <w:r>
              <w:t>.</w:t>
            </w:r>
          </w:p>
          <w:p w:rsidR="00B01CCB" w:rsidRDefault="0021562D" w:rsidP="0021562D">
            <w:r w:rsidRPr="000B4909">
              <w:t xml:space="preserve">    </w:t>
            </w:r>
            <w:r w:rsidR="00B01CCB">
              <w:tab/>
            </w:r>
            <w:r w:rsidRPr="000B4909">
              <w:t>Real actual net capex for year 1</w:t>
            </w:r>
            <w:r w:rsidR="00B01CCB">
              <w:t xml:space="preserve"> </w:t>
            </w:r>
            <w:r w:rsidRPr="000B4909">
              <w:t xml:space="preserve">–  </w:t>
            </w:r>
          </w:p>
          <w:p w:rsidR="00B01CCB" w:rsidRDefault="00B01CCB" w:rsidP="0021562D">
            <w:r>
              <w:tab/>
            </w:r>
            <w:r w:rsidR="0021562D" w:rsidRPr="000B4909">
              <w:t>Total real actual depreciation on net capex for year 1</w:t>
            </w:r>
            <w:r>
              <w:t xml:space="preserve"> </w:t>
            </w:r>
            <w:r w:rsidR="0021562D" w:rsidRPr="000B4909">
              <w:t xml:space="preserve">=  </w:t>
            </w:r>
          </w:p>
          <w:p w:rsidR="0021562D" w:rsidRPr="000B4909" w:rsidRDefault="00B01CCB" w:rsidP="0021562D">
            <w:r>
              <w:tab/>
            </w:r>
            <w:r w:rsidR="0021562D" w:rsidRPr="000B4909">
              <w:t>Closing capital value of net capex for year 1</w:t>
            </w:r>
            <w:r>
              <w:t>.</w:t>
            </w:r>
          </w:p>
          <w:p w:rsidR="0021562D" w:rsidRPr="000B4909" w:rsidRDefault="00B01CCB" w:rsidP="0021562D">
            <w:r>
              <w:tab/>
            </w:r>
            <w:r w:rsidR="0021562D" w:rsidRPr="000B4909">
              <w:t>...</w:t>
            </w:r>
          </w:p>
          <w:p w:rsidR="00B01CCB" w:rsidRDefault="0021562D" w:rsidP="0021562D">
            <w:r w:rsidRPr="000B4909">
              <w:t xml:space="preserve">    </w:t>
            </w:r>
            <w:r w:rsidR="00B01CCB">
              <w:tab/>
            </w:r>
            <w:r w:rsidRPr="000B4909">
              <w:t>Sum of closing capital values</w:t>
            </w:r>
            <w:r w:rsidR="00B01CCB">
              <w:t xml:space="preserve"> </w:t>
            </w:r>
            <w:r w:rsidRPr="000B4909">
              <w:t xml:space="preserve">=  </w:t>
            </w:r>
          </w:p>
          <w:p w:rsidR="003A48E6" w:rsidRDefault="00B01CCB" w:rsidP="0021562D">
            <w:r>
              <w:tab/>
            </w:r>
            <w:r w:rsidR="0021562D" w:rsidRPr="000B4909">
              <w:t>Total closing capital value for the asset class</w:t>
            </w:r>
            <w:r>
              <w:t>.</w:t>
            </w:r>
          </w:p>
          <w:p w:rsidR="0021562D" w:rsidRDefault="0021562D" w:rsidP="0021562D"/>
          <w:p w:rsidR="00B01CCB" w:rsidRDefault="0021562D" w:rsidP="0021562D">
            <w:r w:rsidRPr="000B4909">
              <w:t xml:space="preserve">    </w:t>
            </w:r>
            <w:r w:rsidR="00B01CCB">
              <w:tab/>
            </w:r>
            <w:r w:rsidRPr="000B4909">
              <w:t xml:space="preserve">Opening RAB average remaining life – </w:t>
            </w:r>
            <w:r w:rsidR="0017503E" w:rsidRPr="000B4909">
              <w:t xml:space="preserve"> number of years of depreciation applied to</w:t>
            </w:r>
            <w:r w:rsidR="0017503E">
              <w:t xml:space="preserve"> opening RAB</w:t>
            </w:r>
            <w:r w:rsidR="00B01CCB">
              <w:t xml:space="preserve"> </w:t>
            </w:r>
            <w:r w:rsidRPr="000B4909">
              <w:t>=</w:t>
            </w:r>
            <w:r w:rsidR="00B01CCB">
              <w:t xml:space="preserve"> </w:t>
            </w:r>
          </w:p>
          <w:p w:rsidR="0021562D" w:rsidRPr="000B4909" w:rsidRDefault="00B01CCB" w:rsidP="0021562D">
            <w:r>
              <w:tab/>
            </w:r>
            <w:r w:rsidR="0021562D" w:rsidRPr="000B4909">
              <w:t>Closing average remaining life of opening RAB</w:t>
            </w:r>
            <w:r>
              <w:t>.</w:t>
            </w:r>
          </w:p>
          <w:p w:rsidR="00B01CCB" w:rsidRDefault="0021562D" w:rsidP="0021562D">
            <w:r w:rsidRPr="000B4909">
              <w:t xml:space="preserve">    </w:t>
            </w:r>
            <w:r w:rsidR="00B01CCB">
              <w:tab/>
            </w:r>
            <w:r w:rsidRPr="000B4909">
              <w:t xml:space="preserve">Asset class </w:t>
            </w:r>
            <w:r w:rsidR="003D1933">
              <w:t xml:space="preserve">RAB </w:t>
            </w:r>
            <w:r w:rsidRPr="000B4909">
              <w:t>standard life – number of years of depreciation applied to capex for year 1</w:t>
            </w:r>
            <w:r w:rsidR="00B01CCB">
              <w:t xml:space="preserve"> </w:t>
            </w:r>
            <w:r w:rsidRPr="000B4909">
              <w:t xml:space="preserve">=  </w:t>
            </w:r>
          </w:p>
          <w:p w:rsidR="0021562D" w:rsidRPr="000B4909" w:rsidRDefault="00B01CCB" w:rsidP="0021562D">
            <w:r>
              <w:tab/>
            </w:r>
            <w:r w:rsidR="0021562D" w:rsidRPr="000B4909">
              <w:t xml:space="preserve">Closing average </w:t>
            </w:r>
            <w:r w:rsidR="003D1933">
              <w:t xml:space="preserve">RAB </w:t>
            </w:r>
            <w:r w:rsidR="0021562D" w:rsidRPr="000B4909">
              <w:t>remaining life of capex for year 1</w:t>
            </w:r>
            <w:r>
              <w:t>.</w:t>
            </w:r>
          </w:p>
          <w:p w:rsidR="0021562D" w:rsidRDefault="00B01CCB" w:rsidP="0021562D">
            <w:r>
              <w:tab/>
            </w:r>
            <w:r w:rsidR="0021562D" w:rsidRPr="000B4909">
              <w:t>…</w:t>
            </w:r>
          </w:p>
          <w:p w:rsidR="00B01CCB" w:rsidRDefault="0021562D" w:rsidP="0021562D">
            <w:r w:rsidRPr="000B4909">
              <w:t xml:space="preserve">    </w:t>
            </w:r>
            <w:r w:rsidR="00B01CCB">
              <w:tab/>
            </w:r>
            <w:r w:rsidRPr="000B4909">
              <w:t>Closing capital value of opening RAB ÷ Total closing capital value for the asset class</w:t>
            </w:r>
            <w:r w:rsidR="00B01CCB">
              <w:t xml:space="preserve"> </w:t>
            </w:r>
            <w:r w:rsidRPr="000B4909">
              <w:t xml:space="preserve">×  </w:t>
            </w:r>
          </w:p>
          <w:p w:rsidR="0021562D" w:rsidRPr="000B4909" w:rsidRDefault="00B01CCB" w:rsidP="0021562D">
            <w:r>
              <w:tab/>
            </w:r>
            <w:r w:rsidR="0021562D" w:rsidRPr="000B4909">
              <w:t>Closing average remaining life of opening RAB</w:t>
            </w:r>
            <w:r>
              <w:t xml:space="preserve"> </w:t>
            </w:r>
            <w:r w:rsidR="0021562D" w:rsidRPr="000B4909">
              <w:t>+</w:t>
            </w:r>
          </w:p>
          <w:p w:rsidR="00B01CCB" w:rsidRDefault="0021562D" w:rsidP="0021562D">
            <w:r w:rsidRPr="000B4909">
              <w:t xml:space="preserve">    </w:t>
            </w:r>
            <w:r w:rsidR="00B01CCB">
              <w:tab/>
            </w:r>
            <w:r w:rsidRPr="000B4909">
              <w:t>Closing capital value of net capex for year 1 ÷ Total closing capital value for the asset class</w:t>
            </w:r>
            <w:r w:rsidR="00B01CCB">
              <w:t xml:space="preserve"> </w:t>
            </w:r>
            <w:r w:rsidRPr="000B4909">
              <w:t xml:space="preserve">× </w:t>
            </w:r>
          </w:p>
          <w:p w:rsidR="0021562D" w:rsidRPr="000B4909" w:rsidRDefault="0021562D" w:rsidP="0021562D">
            <w:r w:rsidRPr="000B4909">
              <w:t xml:space="preserve"> </w:t>
            </w:r>
            <w:r w:rsidR="00B01CCB">
              <w:tab/>
            </w:r>
            <w:r w:rsidRPr="000B4909">
              <w:t xml:space="preserve">Closing average </w:t>
            </w:r>
            <w:r w:rsidR="003D1933">
              <w:t xml:space="preserve">RAB </w:t>
            </w:r>
            <w:r w:rsidRPr="000B4909">
              <w:t>remaining life of capex for year 1</w:t>
            </w:r>
            <w:r w:rsidR="00B01CCB">
              <w:t xml:space="preserve"> </w:t>
            </w:r>
            <w:r w:rsidRPr="000B4909">
              <w:t>+</w:t>
            </w:r>
          </w:p>
          <w:p w:rsidR="00B01CCB" w:rsidRDefault="00B01CCB" w:rsidP="003D1933">
            <w:r>
              <w:tab/>
            </w:r>
            <w:r w:rsidR="0021562D" w:rsidRPr="000B4909">
              <w:t>…</w:t>
            </w:r>
            <w:r>
              <w:t xml:space="preserve"> </w:t>
            </w:r>
            <w:r w:rsidR="0021562D" w:rsidRPr="000B4909">
              <w:t xml:space="preserve">= </w:t>
            </w:r>
          </w:p>
          <w:p w:rsidR="0021562D" w:rsidRDefault="00B01CCB" w:rsidP="00257DC0">
            <w:r>
              <w:tab/>
            </w:r>
            <w:r w:rsidR="0021562D" w:rsidRPr="000B4909">
              <w:t xml:space="preserve">Weighted average remaining life for the </w:t>
            </w:r>
            <w:r w:rsidR="003D1933">
              <w:t xml:space="preserve">RAB </w:t>
            </w:r>
            <w:r w:rsidR="0021562D" w:rsidRPr="000B4909">
              <w:t>asset class</w:t>
            </w:r>
            <w:r>
              <w:t>.</w:t>
            </w:r>
          </w:p>
        </w:tc>
      </w:tr>
      <w:tr w:rsidR="003A48E6" w:rsidTr="003A48E6">
        <w:trPr>
          <w:cnfStyle w:val="000000010000" w:firstRow="0" w:lastRow="0" w:firstColumn="0" w:lastColumn="0" w:oddVBand="0" w:evenVBand="0" w:oddHBand="0" w:evenHBand="1" w:firstRowFirstColumn="0" w:firstRowLastColumn="0" w:lastRowFirstColumn="0" w:lastRowLastColumn="0"/>
        </w:trPr>
        <w:tc>
          <w:tcPr>
            <w:tcW w:w="9242" w:type="dxa"/>
          </w:tcPr>
          <w:p w:rsidR="003A48E6" w:rsidRPr="000B4909" w:rsidRDefault="003A48E6" w:rsidP="003A48E6">
            <w:r w:rsidRPr="000B4909">
              <w:t>Where:</w:t>
            </w:r>
          </w:p>
          <w:p w:rsidR="003A48E6" w:rsidRPr="000B4909" w:rsidRDefault="003A48E6" w:rsidP="003A48E6">
            <w:pPr>
              <w:pStyle w:val="ListBullet"/>
            </w:pPr>
            <w:r w:rsidRPr="000B4909">
              <w:t xml:space="preserve">Opening RAB for </w:t>
            </w:r>
            <w:r w:rsidR="0017503E">
              <w:t>start year</w:t>
            </w:r>
            <w:r w:rsidRPr="000B4909">
              <w:t xml:space="preserve"> = closing RAB for the final year of the regulatory control period </w:t>
            </w:r>
            <w:r w:rsidR="00875B55">
              <w:t>preceding first use of version 3 of the RFM.</w:t>
            </w:r>
          </w:p>
          <w:p w:rsidR="003A48E6" w:rsidRPr="000B4909" w:rsidRDefault="003A48E6" w:rsidP="003A48E6">
            <w:pPr>
              <w:pStyle w:val="ListBullet"/>
            </w:pPr>
            <w:r w:rsidRPr="000B4909">
              <w:t>Total real actual depreciation on opening RAB = the sum of the real actual depreciation on opening RAB</w:t>
            </w:r>
            <w:r w:rsidR="00B01CCB">
              <w:t xml:space="preserve"> </w:t>
            </w:r>
            <w:r w:rsidR="00874D71">
              <w:t>calculated for</w:t>
            </w:r>
            <w:r w:rsidR="00B01CCB">
              <w:t xml:space="preserve"> the regulatory control period.</w:t>
            </w:r>
            <w:r w:rsidRPr="000B4909">
              <w:t xml:space="preserve"> </w:t>
            </w:r>
          </w:p>
          <w:p w:rsidR="003A48E6" w:rsidRPr="000B4909" w:rsidRDefault="003A48E6" w:rsidP="003A48E6">
            <w:pPr>
              <w:pStyle w:val="ListBullet"/>
            </w:pPr>
            <w:r w:rsidRPr="000B4909">
              <w:t>Real actual net capex = real actual net capex (including half-nominal vanilla WACC allowance)</w:t>
            </w:r>
          </w:p>
          <w:p w:rsidR="003A48E6" w:rsidRPr="000B4909" w:rsidRDefault="003A48E6" w:rsidP="003A48E6">
            <w:pPr>
              <w:pStyle w:val="ListBullet"/>
            </w:pPr>
            <w:r w:rsidRPr="000B4909">
              <w:t xml:space="preserve">Total real actual depreciation on net capex = the sum of the real actual depreciation on net capex </w:t>
            </w:r>
            <w:r w:rsidR="00874D71">
              <w:t>calculated for</w:t>
            </w:r>
            <w:r w:rsidR="00B01CCB">
              <w:t xml:space="preserve"> the regulatory control period</w:t>
            </w:r>
          </w:p>
          <w:p w:rsidR="003A48E6" w:rsidRPr="000B4909" w:rsidRDefault="003A48E6" w:rsidP="003A48E6">
            <w:pPr>
              <w:pStyle w:val="ListBullet"/>
            </w:pPr>
            <w:r w:rsidRPr="000B4909">
              <w:t xml:space="preserve">The opening RAB average remaining life is that used for </w:t>
            </w:r>
            <w:r w:rsidR="00874D71">
              <w:t xml:space="preserve">the </w:t>
            </w:r>
            <w:r w:rsidRPr="000B4909">
              <w:t>revenue determination</w:t>
            </w:r>
            <w:r w:rsidR="00875B55">
              <w:t xml:space="preserve"> where version 3</w:t>
            </w:r>
            <w:r w:rsidR="00875B55" w:rsidRPr="00875B55">
              <w:t xml:space="preserve"> of the RFM</w:t>
            </w:r>
            <w:r w:rsidR="00875B55">
              <w:t xml:space="preserve"> is first used</w:t>
            </w:r>
            <w:r w:rsidRPr="000B4909">
              <w:t xml:space="preserve">. </w:t>
            </w:r>
          </w:p>
          <w:p w:rsidR="003A48E6" w:rsidRDefault="003A48E6" w:rsidP="003A48E6">
            <w:pPr>
              <w:pStyle w:val="ListBullet"/>
            </w:pPr>
            <w:r w:rsidRPr="000B4909">
              <w:t xml:space="preserve">The asset class </w:t>
            </w:r>
            <w:r w:rsidR="003D1933">
              <w:t xml:space="preserve">RAB </w:t>
            </w:r>
            <w:r w:rsidRPr="000B4909">
              <w:t xml:space="preserve">standard life is that used for the current revenue determination. </w:t>
            </w:r>
          </w:p>
          <w:p w:rsidR="00874D71" w:rsidRPr="005666B6" w:rsidRDefault="00874D71" w:rsidP="00874D71">
            <w:pPr>
              <w:rPr>
                <w:highlight w:val="yellow"/>
              </w:rPr>
            </w:pPr>
            <w:r w:rsidRPr="005666B6">
              <w:rPr>
                <w:highlight w:val="yellow"/>
              </w:rPr>
              <w:t>Note:</w:t>
            </w:r>
          </w:p>
          <w:p w:rsidR="00874D71" w:rsidRPr="000B4909" w:rsidRDefault="00874D71" w:rsidP="003D1933">
            <w:r w:rsidRPr="005666B6">
              <w:rPr>
                <w:highlight w:val="yellow"/>
              </w:rPr>
              <w:t>The calculati</w:t>
            </w:r>
            <w:r w:rsidR="003D1933" w:rsidRPr="005666B6">
              <w:rPr>
                <w:highlight w:val="yellow"/>
              </w:rPr>
              <w:t>on</w:t>
            </w:r>
            <w:r w:rsidRPr="005666B6">
              <w:rPr>
                <w:highlight w:val="yellow"/>
              </w:rPr>
              <w:t xml:space="preserve"> of the TAB weighted average remaining lives by asset class follows the same process, with opening TAB replacing opening RAB, t</w:t>
            </w:r>
            <w:r w:rsidR="00064959" w:rsidRPr="005666B6">
              <w:rPr>
                <w:highlight w:val="yellow"/>
              </w:rPr>
              <w:t>otal actual depreciation on opening TAB rep</w:t>
            </w:r>
            <w:r w:rsidRPr="005666B6">
              <w:rPr>
                <w:highlight w:val="yellow"/>
              </w:rPr>
              <w:t xml:space="preserve">lacing </w:t>
            </w:r>
            <w:r w:rsidR="00064959" w:rsidRPr="005666B6">
              <w:rPr>
                <w:highlight w:val="yellow"/>
              </w:rPr>
              <w:t>total real actual depreciation on opening RAB</w:t>
            </w:r>
            <w:r w:rsidR="003D1933" w:rsidRPr="005666B6">
              <w:rPr>
                <w:highlight w:val="yellow"/>
              </w:rPr>
              <w:t>, actual net capex (excluding half-nominal vanilla WACC) replacing real actual net capex (including half-nominal vanilla WACC), total actual depreciation on net capex replacing total real actual depreciation on net capex, opening TAB average remaining life replacing opening TAB average remaining life</w:t>
            </w:r>
            <w:r w:rsidRPr="005666B6">
              <w:rPr>
                <w:highlight w:val="yellow"/>
              </w:rPr>
              <w:t xml:space="preserve"> and </w:t>
            </w:r>
            <w:r w:rsidR="003D1933" w:rsidRPr="005666B6">
              <w:rPr>
                <w:highlight w:val="yellow"/>
              </w:rPr>
              <w:t>asset class TAB standard life replacing asset class RAB standard life</w:t>
            </w:r>
            <w:r w:rsidR="00257DC0" w:rsidRPr="005666B6">
              <w:rPr>
                <w:highlight w:val="yellow"/>
              </w:rPr>
              <w:t>.</w:t>
            </w:r>
          </w:p>
        </w:tc>
      </w:tr>
    </w:tbl>
    <w:p w:rsidR="00A3063F" w:rsidRDefault="000B4909" w:rsidP="000B4909">
      <w:r w:rsidRPr="005666B6">
        <w:rPr>
          <w:highlight w:val="yellow"/>
        </w:rPr>
        <w:t xml:space="preserve">In calculating the weighted average remaining lives for each asset class, </w:t>
      </w:r>
      <w:r w:rsidR="005C1CDD" w:rsidRPr="005666B6">
        <w:rPr>
          <w:highlight w:val="yellow"/>
        </w:rPr>
        <w:t xml:space="preserve">first the </w:t>
      </w:r>
      <w:r w:rsidR="003C6E34" w:rsidRPr="005666B6">
        <w:rPr>
          <w:highlight w:val="yellow"/>
        </w:rPr>
        <w:t xml:space="preserve">actual </w:t>
      </w:r>
      <w:r w:rsidR="005C1CDD" w:rsidRPr="005666B6">
        <w:rPr>
          <w:highlight w:val="yellow"/>
        </w:rPr>
        <w:t xml:space="preserve">depreciated </w:t>
      </w:r>
      <w:r w:rsidR="00132ADA" w:rsidRPr="005666B6">
        <w:rPr>
          <w:highlight w:val="yellow"/>
        </w:rPr>
        <w:t xml:space="preserve">capital (or asset) value </w:t>
      </w:r>
      <w:r w:rsidR="005C1CDD" w:rsidRPr="005666B6">
        <w:rPr>
          <w:highlight w:val="yellow"/>
        </w:rPr>
        <w:t xml:space="preserve">and </w:t>
      </w:r>
      <w:r w:rsidRPr="005666B6">
        <w:rPr>
          <w:highlight w:val="yellow"/>
        </w:rPr>
        <w:t xml:space="preserve">remaining life of each capital stream is </w:t>
      </w:r>
      <w:r w:rsidR="00132ADA" w:rsidRPr="005666B6">
        <w:rPr>
          <w:highlight w:val="yellow"/>
        </w:rPr>
        <w:t>calculated</w:t>
      </w:r>
      <w:r w:rsidR="00245C05" w:rsidRPr="005666B6">
        <w:rPr>
          <w:highlight w:val="yellow"/>
        </w:rPr>
        <w:t xml:space="preserve"> for each year</w:t>
      </w:r>
      <w:r w:rsidR="00132ADA" w:rsidRPr="005666B6">
        <w:rPr>
          <w:highlight w:val="yellow"/>
        </w:rPr>
        <w:t>.</w:t>
      </w:r>
      <w:r w:rsidR="00245C05" w:rsidRPr="005666B6">
        <w:rPr>
          <w:rStyle w:val="FootnoteReference"/>
          <w:highlight w:val="yellow"/>
        </w:rPr>
        <w:footnoteReference w:id="25"/>
      </w:r>
      <w:r w:rsidR="00132ADA" w:rsidRPr="005666B6">
        <w:rPr>
          <w:highlight w:val="yellow"/>
        </w:rPr>
        <w:t xml:space="preserve"> For asset class 1 these calculations </w:t>
      </w:r>
      <w:r w:rsidR="008C1212" w:rsidRPr="005666B6">
        <w:rPr>
          <w:highlight w:val="yellow"/>
        </w:rPr>
        <w:t xml:space="preserve">in real dollar terms </w:t>
      </w:r>
      <w:r w:rsidR="00132ADA" w:rsidRPr="005666B6">
        <w:rPr>
          <w:highlight w:val="yellow"/>
        </w:rPr>
        <w:t>are</w:t>
      </w:r>
      <w:r w:rsidR="008C1212" w:rsidRPr="005666B6">
        <w:rPr>
          <w:highlight w:val="yellow"/>
        </w:rPr>
        <w:t xml:space="preserve"> set out</w:t>
      </w:r>
      <w:r w:rsidR="00132ADA" w:rsidRPr="005666B6">
        <w:rPr>
          <w:highlight w:val="yellow"/>
        </w:rPr>
        <w:t xml:space="preserve"> in </w:t>
      </w:r>
      <w:r w:rsidR="005C1CDD" w:rsidRPr="005666B6">
        <w:rPr>
          <w:highlight w:val="yellow"/>
        </w:rPr>
        <w:t>rows 16</w:t>
      </w:r>
      <w:r w:rsidR="005666B6" w:rsidRPr="005666B6">
        <w:rPr>
          <w:highlight w:val="yellow"/>
        </w:rPr>
        <w:t> to </w:t>
      </w:r>
      <w:r w:rsidR="000A04E1" w:rsidRPr="005666B6">
        <w:rPr>
          <w:highlight w:val="yellow"/>
        </w:rPr>
        <w:t>36</w:t>
      </w:r>
      <w:r w:rsidR="005C1CDD" w:rsidRPr="005666B6">
        <w:rPr>
          <w:highlight w:val="yellow"/>
        </w:rPr>
        <w:t xml:space="preserve"> and </w:t>
      </w:r>
      <w:r w:rsidR="00132ADA" w:rsidRPr="005666B6">
        <w:rPr>
          <w:highlight w:val="yellow"/>
        </w:rPr>
        <w:t>3</w:t>
      </w:r>
      <w:r w:rsidR="000A04E1" w:rsidRPr="005666B6">
        <w:rPr>
          <w:highlight w:val="yellow"/>
        </w:rPr>
        <w:t>9</w:t>
      </w:r>
      <w:r w:rsidR="005666B6" w:rsidRPr="005666B6">
        <w:rPr>
          <w:highlight w:val="yellow"/>
        </w:rPr>
        <w:t xml:space="preserve"> to </w:t>
      </w:r>
      <w:r w:rsidR="00132ADA" w:rsidRPr="005666B6">
        <w:rPr>
          <w:highlight w:val="yellow"/>
        </w:rPr>
        <w:t>5</w:t>
      </w:r>
      <w:r w:rsidR="000A04E1" w:rsidRPr="005666B6">
        <w:rPr>
          <w:highlight w:val="yellow"/>
        </w:rPr>
        <w:t>9</w:t>
      </w:r>
      <w:r w:rsidR="00132ADA" w:rsidRPr="005666B6">
        <w:rPr>
          <w:highlight w:val="yellow"/>
        </w:rPr>
        <w:t xml:space="preserve"> respectively</w:t>
      </w:r>
      <w:r w:rsidR="005C1CDD" w:rsidRPr="005666B6">
        <w:rPr>
          <w:highlight w:val="yellow"/>
        </w:rPr>
        <w:t xml:space="preserve">. </w:t>
      </w:r>
      <w:r w:rsidR="00245C05" w:rsidRPr="005666B6">
        <w:rPr>
          <w:highlight w:val="yellow"/>
        </w:rPr>
        <w:t>For each year, t</w:t>
      </w:r>
      <w:r w:rsidR="005C1CDD" w:rsidRPr="005666B6">
        <w:rPr>
          <w:highlight w:val="yellow"/>
        </w:rPr>
        <w:t xml:space="preserve">he remaining life of each capital stream is </w:t>
      </w:r>
      <w:r w:rsidR="00132ADA" w:rsidRPr="005666B6">
        <w:rPr>
          <w:highlight w:val="yellow"/>
        </w:rPr>
        <w:t xml:space="preserve">then </w:t>
      </w:r>
      <w:r w:rsidRPr="005666B6">
        <w:rPr>
          <w:highlight w:val="yellow"/>
        </w:rPr>
        <w:t xml:space="preserve">weighted by </w:t>
      </w:r>
      <w:r w:rsidR="00245C05" w:rsidRPr="005666B6">
        <w:rPr>
          <w:highlight w:val="yellow"/>
        </w:rPr>
        <w:t xml:space="preserve">its </w:t>
      </w:r>
      <w:r w:rsidRPr="005666B6">
        <w:rPr>
          <w:highlight w:val="yellow"/>
        </w:rPr>
        <w:t>associated closing</w:t>
      </w:r>
      <w:r w:rsidR="00245C05" w:rsidRPr="005666B6">
        <w:rPr>
          <w:highlight w:val="yellow"/>
        </w:rPr>
        <w:t xml:space="preserve"> capital</w:t>
      </w:r>
      <w:r w:rsidR="00977CDB" w:rsidRPr="005666B6">
        <w:rPr>
          <w:highlight w:val="yellow"/>
        </w:rPr>
        <w:t xml:space="preserve"> value </w:t>
      </w:r>
      <w:r w:rsidRPr="005666B6">
        <w:rPr>
          <w:highlight w:val="yellow"/>
        </w:rPr>
        <w:t>as a proportion of the total closing capital value of the asset class. The result</w:t>
      </w:r>
      <w:r w:rsidR="00245C05" w:rsidRPr="005666B6">
        <w:rPr>
          <w:highlight w:val="yellow"/>
        </w:rPr>
        <w:t xml:space="preserve"> is the</w:t>
      </w:r>
      <w:r w:rsidRPr="005666B6">
        <w:rPr>
          <w:highlight w:val="yellow"/>
        </w:rPr>
        <w:t xml:space="preserve"> weighted average remaining life for the </w:t>
      </w:r>
      <w:r w:rsidR="00977CDB" w:rsidRPr="005666B6">
        <w:rPr>
          <w:highlight w:val="yellow"/>
        </w:rPr>
        <w:t xml:space="preserve">asset class </w:t>
      </w:r>
      <w:r w:rsidR="00245C05" w:rsidRPr="005666B6">
        <w:rPr>
          <w:highlight w:val="yellow"/>
        </w:rPr>
        <w:t>as a whole.</w:t>
      </w:r>
      <w:r w:rsidR="00132ADA" w:rsidRPr="005666B6">
        <w:rPr>
          <w:highlight w:val="yellow"/>
        </w:rPr>
        <w:t xml:space="preserve"> For asset class 1, this </w:t>
      </w:r>
      <w:r w:rsidR="00245C05" w:rsidRPr="005666B6">
        <w:rPr>
          <w:highlight w:val="yellow"/>
        </w:rPr>
        <w:t xml:space="preserve">value </w:t>
      </w:r>
      <w:r w:rsidR="00132ADA" w:rsidRPr="005666B6">
        <w:rPr>
          <w:highlight w:val="yellow"/>
        </w:rPr>
        <w:t xml:space="preserve">is shown in row </w:t>
      </w:r>
      <w:r w:rsidR="000A04E1" w:rsidRPr="005666B6">
        <w:rPr>
          <w:highlight w:val="yellow"/>
        </w:rPr>
        <w:t>61</w:t>
      </w:r>
      <w:r w:rsidRPr="005666B6">
        <w:rPr>
          <w:highlight w:val="yellow"/>
        </w:rPr>
        <w:t xml:space="preserve">. </w:t>
      </w:r>
      <w:r w:rsidR="00D86778" w:rsidRPr="005666B6">
        <w:rPr>
          <w:highlight w:val="yellow"/>
        </w:rPr>
        <w:t>The weighted average remaining lives for the other asset classes in the RAB are calculated and shown at rows 1</w:t>
      </w:r>
      <w:r w:rsidR="000A04E1" w:rsidRPr="005666B6">
        <w:rPr>
          <w:highlight w:val="yellow"/>
        </w:rPr>
        <w:t>11</w:t>
      </w:r>
      <w:r w:rsidR="00D86778" w:rsidRPr="005666B6">
        <w:rPr>
          <w:highlight w:val="yellow"/>
        </w:rPr>
        <w:t xml:space="preserve"> to 2</w:t>
      </w:r>
      <w:r w:rsidR="000A04E1" w:rsidRPr="005666B6">
        <w:rPr>
          <w:highlight w:val="yellow"/>
        </w:rPr>
        <w:t>5</w:t>
      </w:r>
      <w:r w:rsidR="00D86778" w:rsidRPr="005666B6">
        <w:rPr>
          <w:highlight w:val="yellow"/>
        </w:rPr>
        <w:t>11.</w:t>
      </w:r>
      <w:r w:rsidR="00D86778">
        <w:t xml:space="preserve"> </w:t>
      </w:r>
    </w:p>
    <w:p w:rsidR="00F72795" w:rsidRDefault="00A3063F" w:rsidP="000B4909">
      <w:r w:rsidRPr="005666B6">
        <w:rPr>
          <w:highlight w:val="yellow"/>
        </w:rPr>
        <w:t xml:space="preserve">In certain circumstances, a TNSP may have end of period asset adjustments that impact on the average remaining life of the asset class. The calculations in the </w:t>
      </w:r>
      <w:r w:rsidRPr="005666B6">
        <w:rPr>
          <w:rStyle w:val="Strong"/>
          <w:highlight w:val="yellow"/>
        </w:rPr>
        <w:t>RAB remaining lives</w:t>
      </w:r>
      <w:r w:rsidRPr="005666B6">
        <w:rPr>
          <w:highlight w:val="yellow"/>
        </w:rPr>
        <w:t xml:space="preserve"> sheet do not currently accommodate any end of period </w:t>
      </w:r>
      <w:r w:rsidR="002B14DE">
        <w:rPr>
          <w:highlight w:val="yellow"/>
        </w:rPr>
        <w:t xml:space="preserve">asset </w:t>
      </w:r>
      <w:r w:rsidRPr="005666B6">
        <w:rPr>
          <w:highlight w:val="yellow"/>
        </w:rPr>
        <w:t xml:space="preserve">adjustments. The calculations assume that any adjustments made will not have a material impact on the average remaining life of an asset class. In the case of a material end of period asset adjustment, the calculations would need to be amended to accommodate this adjustment on a </w:t>
      </w:r>
      <w:r w:rsidR="00FE4BB7" w:rsidRPr="005666B6">
        <w:rPr>
          <w:highlight w:val="yellow"/>
        </w:rPr>
        <w:t>case-by-case</w:t>
      </w:r>
      <w:r w:rsidRPr="005666B6">
        <w:rPr>
          <w:highlight w:val="yellow"/>
        </w:rPr>
        <w:t xml:space="preserve"> basis.</w:t>
      </w:r>
      <w:r w:rsidRPr="000B4909" w:rsidDel="00132ADA">
        <w:t xml:space="preserve"> </w:t>
      </w:r>
    </w:p>
    <w:p w:rsidR="000B4909" w:rsidRPr="000B4909" w:rsidRDefault="00F72795" w:rsidP="000B4909">
      <w:r w:rsidRPr="0005646F">
        <w:rPr>
          <w:highlight w:val="yellow"/>
        </w:rPr>
        <w:fldChar w:fldCharType="begin"/>
      </w:r>
      <w:r w:rsidRPr="0005646F">
        <w:rPr>
          <w:highlight w:val="yellow"/>
        </w:rPr>
        <w:instrText xml:space="preserve"> REF _Ref422730722 \h </w:instrText>
      </w:r>
      <w:r w:rsidR="0005646F">
        <w:rPr>
          <w:highlight w:val="yellow"/>
        </w:rPr>
        <w:instrText xml:space="preserve"> \* MERGEFORMAT </w:instrText>
      </w:r>
      <w:r w:rsidRPr="0005646F">
        <w:rPr>
          <w:highlight w:val="yellow"/>
        </w:rPr>
      </w:r>
      <w:r w:rsidRPr="0005646F">
        <w:rPr>
          <w:highlight w:val="yellow"/>
        </w:rPr>
        <w:fldChar w:fldCharType="separate"/>
      </w:r>
      <w:r w:rsidR="00F92CE8" w:rsidRPr="0005646F">
        <w:rPr>
          <w:highlight w:val="yellow"/>
        </w:rPr>
        <w:t xml:space="preserve">Figure </w:t>
      </w:r>
      <w:r w:rsidR="00F92CE8">
        <w:rPr>
          <w:noProof/>
          <w:highlight w:val="yellow"/>
        </w:rPr>
        <w:t>8</w:t>
      </w:r>
      <w:r w:rsidRPr="0005646F">
        <w:rPr>
          <w:highlight w:val="yellow"/>
        </w:rPr>
        <w:fldChar w:fldCharType="end"/>
      </w:r>
      <w:r w:rsidRPr="0005646F">
        <w:rPr>
          <w:highlight w:val="yellow"/>
        </w:rPr>
        <w:t xml:space="preserve"> </w:t>
      </w:r>
      <w:r w:rsidR="000B4909" w:rsidRPr="0005646F">
        <w:rPr>
          <w:highlight w:val="yellow"/>
        </w:rPr>
        <w:t xml:space="preserve">provides an example of the </w:t>
      </w:r>
      <w:r w:rsidR="00132ADA" w:rsidRPr="0005646F">
        <w:rPr>
          <w:rStyle w:val="Strong"/>
          <w:highlight w:val="yellow"/>
        </w:rPr>
        <w:t xml:space="preserve">RAB remaining </w:t>
      </w:r>
      <w:r w:rsidR="000B4909" w:rsidRPr="0005646F">
        <w:rPr>
          <w:rStyle w:val="Strong"/>
          <w:highlight w:val="yellow"/>
        </w:rPr>
        <w:t xml:space="preserve">lives </w:t>
      </w:r>
      <w:r w:rsidR="000B4909" w:rsidRPr="0005646F">
        <w:rPr>
          <w:highlight w:val="yellow"/>
        </w:rPr>
        <w:t>sheet.</w:t>
      </w:r>
    </w:p>
    <w:p w:rsidR="00595BA4" w:rsidRDefault="00595BA4" w:rsidP="0021562D">
      <w:pPr>
        <w:pStyle w:val="Caption"/>
        <w:keepNext/>
        <w:sectPr w:rsidR="00595BA4" w:rsidSect="00F72795">
          <w:pgSz w:w="11906" w:h="16838"/>
          <w:pgMar w:top="1440" w:right="1440" w:bottom="1440" w:left="1440" w:header="709" w:footer="91" w:gutter="0"/>
          <w:cols w:space="708"/>
          <w:docGrid w:linePitch="360"/>
        </w:sectPr>
      </w:pPr>
      <w:bookmarkStart w:id="71" w:name="_Ref420595395"/>
    </w:p>
    <w:p w:rsidR="0021562D" w:rsidRDefault="0021562D" w:rsidP="0021562D">
      <w:pPr>
        <w:pStyle w:val="Caption"/>
        <w:keepNext/>
      </w:pPr>
      <w:bookmarkStart w:id="72" w:name="_Ref422730722"/>
      <w:r w:rsidRPr="0005646F">
        <w:rPr>
          <w:highlight w:val="yellow"/>
        </w:rPr>
        <w:t xml:space="preserve">Figure </w:t>
      </w:r>
      <w:r w:rsidR="00402F4C" w:rsidRPr="0005646F">
        <w:rPr>
          <w:highlight w:val="yellow"/>
        </w:rPr>
        <w:fldChar w:fldCharType="begin"/>
      </w:r>
      <w:r w:rsidR="00402F4C" w:rsidRPr="0005646F">
        <w:rPr>
          <w:highlight w:val="yellow"/>
        </w:rPr>
        <w:instrText xml:space="preserve"> SEQ Figure \* ARABIC </w:instrText>
      </w:r>
      <w:r w:rsidR="00402F4C" w:rsidRPr="0005646F">
        <w:rPr>
          <w:highlight w:val="yellow"/>
        </w:rPr>
        <w:fldChar w:fldCharType="separate"/>
      </w:r>
      <w:r w:rsidR="00F92CE8">
        <w:rPr>
          <w:noProof/>
          <w:highlight w:val="yellow"/>
        </w:rPr>
        <w:t>8</w:t>
      </w:r>
      <w:r w:rsidR="00402F4C" w:rsidRPr="0005646F">
        <w:rPr>
          <w:highlight w:val="yellow"/>
        </w:rPr>
        <w:fldChar w:fldCharType="end"/>
      </w:r>
      <w:bookmarkEnd w:id="72"/>
      <w:bookmarkEnd w:id="71"/>
      <w:r w:rsidRPr="0005646F">
        <w:rPr>
          <w:highlight w:val="yellow"/>
        </w:rPr>
        <w:tab/>
      </w:r>
      <w:r w:rsidR="00132ADA" w:rsidRPr="0005646F">
        <w:rPr>
          <w:highlight w:val="yellow"/>
        </w:rPr>
        <w:t xml:space="preserve">RAB remaining </w:t>
      </w:r>
      <w:r w:rsidRPr="0005646F">
        <w:rPr>
          <w:highlight w:val="yellow"/>
        </w:rPr>
        <w:t>lives sheet</w:t>
      </w:r>
    </w:p>
    <w:p w:rsidR="000B4909" w:rsidRDefault="00173D47" w:rsidP="000B4909">
      <w:r w:rsidRPr="00173D47">
        <w:rPr>
          <w:noProof/>
          <w:lang w:eastAsia="en-AU"/>
        </w:rPr>
        <w:drawing>
          <wp:inline distT="0" distB="0" distL="0" distR="0" wp14:anchorId="47169808" wp14:editId="48D332EA">
            <wp:extent cx="9162647" cy="4449170"/>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162647" cy="4449170"/>
                    </a:xfrm>
                    <a:prstGeom prst="rect">
                      <a:avLst/>
                    </a:prstGeom>
                  </pic:spPr>
                </pic:pic>
              </a:graphicData>
            </a:graphic>
          </wp:inline>
        </w:drawing>
      </w:r>
    </w:p>
    <w:p w:rsidR="00595BA4" w:rsidRDefault="00595BA4">
      <w:pPr>
        <w:spacing w:line="240" w:lineRule="auto"/>
        <w:rPr>
          <w:rFonts w:eastAsiaTheme="majorEastAsia" w:cstheme="majorBidi"/>
          <w:b/>
          <w:bCs/>
          <w:color w:val="70635A" w:themeColor="text2"/>
          <w:sz w:val="32"/>
          <w:szCs w:val="26"/>
        </w:rPr>
      </w:pPr>
      <w:r>
        <w:br w:type="page"/>
      </w:r>
    </w:p>
    <w:p w:rsidR="00595BA4" w:rsidRDefault="00595BA4">
      <w:pPr>
        <w:pStyle w:val="Heading2"/>
        <w:sectPr w:rsidR="00595BA4" w:rsidSect="00361005">
          <w:pgSz w:w="16838" w:h="11906" w:orient="landscape"/>
          <w:pgMar w:top="1440" w:right="1440" w:bottom="1440" w:left="1440" w:header="709" w:footer="91" w:gutter="0"/>
          <w:cols w:space="708"/>
          <w:docGrid w:linePitch="360"/>
        </w:sectPr>
      </w:pPr>
    </w:p>
    <w:p w:rsidR="0031430F" w:rsidRPr="0005646F" w:rsidRDefault="0031430F" w:rsidP="0005646F">
      <w:pPr>
        <w:pStyle w:val="Heading2"/>
        <w:rPr>
          <w:highlight w:val="yellow"/>
        </w:rPr>
      </w:pPr>
      <w:bookmarkStart w:id="73" w:name="_Toc423696215"/>
      <w:r w:rsidRPr="0005646F">
        <w:rPr>
          <w:highlight w:val="yellow"/>
        </w:rPr>
        <w:t>TAB remaining lives sheet</w:t>
      </w:r>
      <w:bookmarkEnd w:id="73"/>
    </w:p>
    <w:p w:rsidR="0031430F" w:rsidRPr="006959A5" w:rsidRDefault="00595BA4">
      <w:pPr>
        <w:rPr>
          <w:highlight w:val="yellow"/>
        </w:rPr>
      </w:pPr>
      <w:r w:rsidRPr="006959A5">
        <w:rPr>
          <w:highlight w:val="yellow"/>
        </w:rPr>
        <w:t xml:space="preserve">The </w:t>
      </w:r>
      <w:r w:rsidRPr="006959A5">
        <w:rPr>
          <w:rStyle w:val="Strong"/>
          <w:highlight w:val="yellow"/>
        </w:rPr>
        <w:t>TAB remaining lives</w:t>
      </w:r>
      <w:r w:rsidRPr="006959A5">
        <w:rPr>
          <w:highlight w:val="yellow"/>
        </w:rPr>
        <w:t xml:space="preserve"> sheet calculates the average </w:t>
      </w:r>
      <w:r w:rsidR="00DF1B96" w:rsidRPr="006959A5">
        <w:rPr>
          <w:highlight w:val="yellow"/>
        </w:rPr>
        <w:t xml:space="preserve">TAB </w:t>
      </w:r>
      <w:r w:rsidRPr="006959A5">
        <w:rPr>
          <w:highlight w:val="yellow"/>
        </w:rPr>
        <w:t xml:space="preserve">remaining lives of each asset class using a weighted average method. The process for calculating </w:t>
      </w:r>
      <w:r w:rsidR="00DF1B96" w:rsidRPr="006959A5">
        <w:rPr>
          <w:highlight w:val="yellow"/>
        </w:rPr>
        <w:t xml:space="preserve">the </w:t>
      </w:r>
      <w:r w:rsidRPr="006959A5">
        <w:rPr>
          <w:highlight w:val="yellow"/>
        </w:rPr>
        <w:t xml:space="preserve">remaining asset lives </w:t>
      </w:r>
      <w:r w:rsidR="00DF1B96" w:rsidRPr="006959A5">
        <w:rPr>
          <w:highlight w:val="yellow"/>
        </w:rPr>
        <w:t xml:space="preserve">for the TAB </w:t>
      </w:r>
      <w:r w:rsidRPr="006959A5">
        <w:rPr>
          <w:highlight w:val="yellow"/>
        </w:rPr>
        <w:t xml:space="preserve">is </w:t>
      </w:r>
      <w:r w:rsidR="00DF1B96" w:rsidRPr="006959A5">
        <w:rPr>
          <w:highlight w:val="yellow"/>
        </w:rPr>
        <w:t xml:space="preserve">broadly </w:t>
      </w:r>
      <w:r w:rsidRPr="006959A5">
        <w:rPr>
          <w:highlight w:val="yellow"/>
        </w:rPr>
        <w:t>the same as described</w:t>
      </w:r>
      <w:r w:rsidR="002B14DE">
        <w:rPr>
          <w:highlight w:val="yellow"/>
        </w:rPr>
        <w:t xml:space="preserve"> in</w:t>
      </w:r>
      <w:r w:rsidRPr="006959A5">
        <w:rPr>
          <w:highlight w:val="yellow"/>
        </w:rPr>
        <w:t xml:space="preserve"> </w:t>
      </w:r>
      <w:r w:rsidR="002714EE" w:rsidRPr="006959A5">
        <w:rPr>
          <w:highlight w:val="yellow"/>
        </w:rPr>
        <w:t xml:space="preserve">Box </w:t>
      </w:r>
      <w:r w:rsidR="008C1212" w:rsidRPr="006959A5">
        <w:rPr>
          <w:highlight w:val="yellow"/>
        </w:rPr>
        <w:t>8</w:t>
      </w:r>
      <w:r w:rsidR="006959A5" w:rsidRPr="006959A5">
        <w:rPr>
          <w:highlight w:val="yellow"/>
        </w:rPr>
        <w:t>.</w:t>
      </w:r>
      <w:r w:rsidRPr="006959A5">
        <w:rPr>
          <w:highlight w:val="yellow"/>
        </w:rPr>
        <w:t xml:space="preserve"> </w:t>
      </w:r>
      <w:r w:rsidR="006959A5" w:rsidRPr="006959A5">
        <w:rPr>
          <w:highlight w:val="yellow"/>
        </w:rPr>
        <w:t>H</w:t>
      </w:r>
      <w:r w:rsidRPr="006959A5">
        <w:rPr>
          <w:highlight w:val="yellow"/>
        </w:rPr>
        <w:t>owever</w:t>
      </w:r>
      <w:r w:rsidR="006959A5" w:rsidRPr="006959A5">
        <w:rPr>
          <w:highlight w:val="yellow"/>
        </w:rPr>
        <w:t>,</w:t>
      </w:r>
      <w:r w:rsidRPr="006959A5">
        <w:rPr>
          <w:highlight w:val="yellow"/>
        </w:rPr>
        <w:t xml:space="preserve"> all calculations are </w:t>
      </w:r>
      <w:r w:rsidR="00245C05" w:rsidRPr="006959A5">
        <w:rPr>
          <w:highlight w:val="yellow"/>
        </w:rPr>
        <w:t xml:space="preserve">performed </w:t>
      </w:r>
      <w:r w:rsidRPr="006959A5">
        <w:rPr>
          <w:highlight w:val="yellow"/>
        </w:rPr>
        <w:t xml:space="preserve">in nominal dollar terms and </w:t>
      </w:r>
      <w:r w:rsidR="008C1212" w:rsidRPr="006959A5">
        <w:rPr>
          <w:highlight w:val="yellow"/>
        </w:rPr>
        <w:t>the</w:t>
      </w:r>
      <w:r w:rsidRPr="006959A5">
        <w:rPr>
          <w:highlight w:val="yellow"/>
        </w:rPr>
        <w:t xml:space="preserve"> half-nominal vanilla WACC allowance is </w:t>
      </w:r>
      <w:r w:rsidR="008C1212" w:rsidRPr="006959A5">
        <w:rPr>
          <w:highlight w:val="yellow"/>
        </w:rPr>
        <w:t xml:space="preserve">not </w:t>
      </w:r>
      <w:r w:rsidR="00245C05" w:rsidRPr="006959A5">
        <w:rPr>
          <w:highlight w:val="yellow"/>
        </w:rPr>
        <w:t xml:space="preserve">included in </w:t>
      </w:r>
      <w:r w:rsidR="008C1212" w:rsidRPr="006959A5">
        <w:rPr>
          <w:highlight w:val="yellow"/>
        </w:rPr>
        <w:t xml:space="preserve">actual net </w:t>
      </w:r>
      <w:r w:rsidRPr="006959A5">
        <w:rPr>
          <w:highlight w:val="yellow"/>
        </w:rPr>
        <w:t xml:space="preserve">capex. The weighted average remaining lives at the end of the current </w:t>
      </w:r>
      <w:r w:rsidR="008C1212" w:rsidRPr="006959A5">
        <w:rPr>
          <w:highlight w:val="yellow"/>
        </w:rPr>
        <w:t xml:space="preserve">regulatory control </w:t>
      </w:r>
      <w:r w:rsidRPr="006959A5">
        <w:rPr>
          <w:highlight w:val="yellow"/>
        </w:rPr>
        <w:t xml:space="preserve">period </w:t>
      </w:r>
      <w:r w:rsidR="008C1212" w:rsidRPr="006959A5">
        <w:rPr>
          <w:highlight w:val="yellow"/>
        </w:rPr>
        <w:t xml:space="preserve">for the TAB </w:t>
      </w:r>
      <w:r w:rsidRPr="006959A5">
        <w:rPr>
          <w:highlight w:val="yellow"/>
        </w:rPr>
        <w:t xml:space="preserve">are used as inputs to the PTRM for the next </w:t>
      </w:r>
      <w:r w:rsidR="008C1212" w:rsidRPr="006959A5">
        <w:rPr>
          <w:highlight w:val="yellow"/>
        </w:rPr>
        <w:t xml:space="preserve">regulatory control </w:t>
      </w:r>
      <w:r w:rsidRPr="006959A5">
        <w:rPr>
          <w:highlight w:val="yellow"/>
        </w:rPr>
        <w:t xml:space="preserve">period to calculate the tax depreciation schedules </w:t>
      </w:r>
      <w:r w:rsidR="008C1212" w:rsidRPr="006959A5">
        <w:rPr>
          <w:highlight w:val="yellow"/>
        </w:rPr>
        <w:t xml:space="preserve">for the purposes of tax analysis </w:t>
      </w:r>
      <w:r w:rsidRPr="006959A5">
        <w:rPr>
          <w:highlight w:val="yellow"/>
        </w:rPr>
        <w:t>in the revenue determination.</w:t>
      </w:r>
    </w:p>
    <w:p w:rsidR="002B14DE" w:rsidRDefault="00595BA4">
      <w:r w:rsidRPr="006959A5">
        <w:rPr>
          <w:highlight w:val="yellow"/>
        </w:rPr>
        <w:t xml:space="preserve">For the first period that </w:t>
      </w:r>
      <w:r w:rsidR="008C1212" w:rsidRPr="006959A5">
        <w:rPr>
          <w:highlight w:val="yellow"/>
        </w:rPr>
        <w:t xml:space="preserve">the </w:t>
      </w:r>
      <w:r w:rsidRPr="006959A5">
        <w:rPr>
          <w:highlight w:val="yellow"/>
        </w:rPr>
        <w:t>RFM version 3 is used</w:t>
      </w:r>
      <w:r w:rsidR="008C1212" w:rsidRPr="006959A5">
        <w:rPr>
          <w:highlight w:val="yellow"/>
        </w:rPr>
        <w:t>,</w:t>
      </w:r>
      <w:r w:rsidRPr="006959A5">
        <w:rPr>
          <w:highlight w:val="yellow"/>
        </w:rPr>
        <w:t xml:space="preserve"> </w:t>
      </w:r>
      <w:r w:rsidR="008C1212" w:rsidRPr="006959A5">
        <w:rPr>
          <w:highlight w:val="yellow"/>
        </w:rPr>
        <w:t xml:space="preserve">the inputs for these calculations are sourced from the </w:t>
      </w:r>
      <w:r w:rsidR="008C1212" w:rsidRPr="006959A5">
        <w:rPr>
          <w:rStyle w:val="Bold"/>
          <w:highlight w:val="yellow"/>
        </w:rPr>
        <w:t>RFM input</w:t>
      </w:r>
      <w:r w:rsidR="008C1212" w:rsidRPr="006959A5">
        <w:rPr>
          <w:highlight w:val="yellow"/>
        </w:rPr>
        <w:t xml:space="preserve"> sheet </w:t>
      </w:r>
      <w:r w:rsidRPr="006959A5">
        <w:rPr>
          <w:highlight w:val="yellow"/>
        </w:rPr>
        <w:t xml:space="preserve">and no manual updating is required. For subsequent periods the same </w:t>
      </w:r>
      <w:r w:rsidR="0016029B" w:rsidRPr="006959A5">
        <w:rPr>
          <w:highlight w:val="yellow"/>
        </w:rPr>
        <w:t xml:space="preserve">update </w:t>
      </w:r>
      <w:r w:rsidRPr="006959A5">
        <w:rPr>
          <w:highlight w:val="yellow"/>
        </w:rPr>
        <w:t xml:space="preserve">process as described in </w:t>
      </w:r>
      <w:r w:rsidRPr="006959A5">
        <w:rPr>
          <w:highlight w:val="yellow"/>
        </w:rPr>
        <w:fldChar w:fldCharType="begin"/>
      </w:r>
      <w:r w:rsidRPr="006959A5">
        <w:rPr>
          <w:highlight w:val="yellow"/>
        </w:rPr>
        <w:instrText xml:space="preserve"> REF _Ref422398350 \h </w:instrText>
      </w:r>
      <w:r w:rsidR="006959A5">
        <w:rPr>
          <w:highlight w:val="yellow"/>
        </w:rPr>
        <w:instrText xml:space="preserve"> \* MERGEFORMAT </w:instrText>
      </w:r>
      <w:r w:rsidRPr="006959A5">
        <w:rPr>
          <w:highlight w:val="yellow"/>
        </w:rPr>
      </w:r>
      <w:r w:rsidRPr="006959A5">
        <w:rPr>
          <w:highlight w:val="yellow"/>
        </w:rPr>
        <w:fldChar w:fldCharType="separate"/>
      </w:r>
      <w:r w:rsidR="00F92CE8" w:rsidRPr="00F92CE8">
        <w:rPr>
          <w:highlight w:val="yellow"/>
        </w:rPr>
        <w:t xml:space="preserve">Box </w:t>
      </w:r>
      <w:r w:rsidR="00F92CE8" w:rsidRPr="00F92CE8">
        <w:rPr>
          <w:noProof/>
          <w:highlight w:val="yellow"/>
        </w:rPr>
        <w:t>7</w:t>
      </w:r>
      <w:r w:rsidRPr="006959A5">
        <w:rPr>
          <w:highlight w:val="yellow"/>
        </w:rPr>
        <w:fldChar w:fldCharType="end"/>
      </w:r>
      <w:r w:rsidRPr="006959A5">
        <w:rPr>
          <w:highlight w:val="yellow"/>
        </w:rPr>
        <w:t xml:space="preserve"> is required for the </w:t>
      </w:r>
      <w:r w:rsidRPr="006959A5">
        <w:rPr>
          <w:rStyle w:val="Bold"/>
          <w:highlight w:val="yellow"/>
        </w:rPr>
        <w:t>TAB remaining lives</w:t>
      </w:r>
      <w:r w:rsidRPr="006959A5">
        <w:rPr>
          <w:highlight w:val="yellow"/>
        </w:rPr>
        <w:t xml:space="preserve"> sheet</w:t>
      </w:r>
      <w:r w:rsidR="00245C05" w:rsidRPr="006959A5">
        <w:rPr>
          <w:highlight w:val="yellow"/>
        </w:rPr>
        <w:t>. H</w:t>
      </w:r>
      <w:r w:rsidR="0016029B" w:rsidRPr="006959A5">
        <w:rPr>
          <w:highlight w:val="yellow"/>
        </w:rPr>
        <w:t>owever</w:t>
      </w:r>
      <w:r w:rsidR="00245C05" w:rsidRPr="006959A5">
        <w:rPr>
          <w:highlight w:val="yellow"/>
        </w:rPr>
        <w:t>,</w:t>
      </w:r>
      <w:r w:rsidR="0016029B" w:rsidRPr="006959A5">
        <w:rPr>
          <w:highlight w:val="yellow"/>
        </w:rPr>
        <w:t xml:space="preserve"> only the opening</w:t>
      </w:r>
      <w:r w:rsidR="008C1212" w:rsidRPr="006959A5">
        <w:rPr>
          <w:highlight w:val="yellow"/>
        </w:rPr>
        <w:t xml:space="preserve"> TAB</w:t>
      </w:r>
      <w:r w:rsidR="0016029B" w:rsidRPr="006959A5">
        <w:rPr>
          <w:highlight w:val="yellow"/>
        </w:rPr>
        <w:t xml:space="preserve"> value and standard </w:t>
      </w:r>
      <w:r w:rsidR="005666B6">
        <w:rPr>
          <w:highlight w:val="yellow"/>
        </w:rPr>
        <w:t xml:space="preserve">tax asset </w:t>
      </w:r>
      <w:r w:rsidR="0016029B" w:rsidRPr="006959A5">
        <w:rPr>
          <w:highlight w:val="yellow"/>
        </w:rPr>
        <w:t>lives are required inputs for this sheet.</w:t>
      </w:r>
      <w:r w:rsidR="00245C05" w:rsidRPr="006959A5">
        <w:rPr>
          <w:highlight w:val="yellow"/>
        </w:rPr>
        <w:t xml:space="preserve"> All other </w:t>
      </w:r>
      <w:r w:rsidR="008C1212" w:rsidRPr="006959A5">
        <w:rPr>
          <w:highlight w:val="yellow"/>
        </w:rPr>
        <w:t xml:space="preserve">TAB </w:t>
      </w:r>
      <w:r w:rsidR="00245C05" w:rsidRPr="006959A5">
        <w:rPr>
          <w:highlight w:val="yellow"/>
        </w:rPr>
        <w:t xml:space="preserve">inputs are </w:t>
      </w:r>
      <w:r w:rsidR="008C1212" w:rsidRPr="006959A5">
        <w:rPr>
          <w:highlight w:val="yellow"/>
        </w:rPr>
        <w:t xml:space="preserve">common with the RAB and therefore </w:t>
      </w:r>
      <w:r w:rsidR="00245C05" w:rsidRPr="006959A5">
        <w:rPr>
          <w:highlight w:val="yellow"/>
        </w:rPr>
        <w:t>source</w:t>
      </w:r>
      <w:r w:rsidR="00064959" w:rsidRPr="006959A5">
        <w:rPr>
          <w:highlight w:val="yellow"/>
        </w:rPr>
        <w:t>d</w:t>
      </w:r>
      <w:r w:rsidR="00245C05" w:rsidRPr="006959A5">
        <w:rPr>
          <w:highlight w:val="yellow"/>
        </w:rPr>
        <w:t xml:space="preserve"> from the </w:t>
      </w:r>
      <w:r w:rsidR="00245C05" w:rsidRPr="006959A5">
        <w:rPr>
          <w:rStyle w:val="Bold"/>
          <w:highlight w:val="yellow"/>
        </w:rPr>
        <w:t>RAB remaining lives</w:t>
      </w:r>
      <w:r w:rsidR="00245C05" w:rsidRPr="006959A5">
        <w:rPr>
          <w:highlight w:val="yellow"/>
        </w:rPr>
        <w:t xml:space="preserve"> sheet.</w:t>
      </w:r>
      <w:r w:rsidR="0016029B" w:rsidRPr="006959A5">
        <w:rPr>
          <w:highlight w:val="yellow"/>
        </w:rPr>
        <w:t xml:space="preserve"> </w:t>
      </w:r>
      <w:r w:rsidR="00D86778" w:rsidRPr="006959A5">
        <w:rPr>
          <w:highlight w:val="yellow"/>
        </w:rPr>
        <w:t>The weighted average remaining lives for the asset classes in the TAB are calculated and shown at rows 5</w:t>
      </w:r>
      <w:r w:rsidR="006959A5" w:rsidRPr="006959A5">
        <w:rPr>
          <w:highlight w:val="yellow"/>
        </w:rPr>
        <w:t>6</w:t>
      </w:r>
      <w:r w:rsidR="00D86778" w:rsidRPr="006959A5">
        <w:rPr>
          <w:highlight w:val="yellow"/>
        </w:rPr>
        <w:t xml:space="preserve"> to 2</w:t>
      </w:r>
      <w:r w:rsidR="006959A5" w:rsidRPr="006959A5">
        <w:rPr>
          <w:highlight w:val="yellow"/>
        </w:rPr>
        <w:t>506</w:t>
      </w:r>
      <w:r w:rsidR="00D86778" w:rsidRPr="006959A5">
        <w:rPr>
          <w:highlight w:val="yellow"/>
        </w:rPr>
        <w:t>.</w:t>
      </w:r>
      <w:r w:rsidR="009F1FA9" w:rsidRPr="009F1FA9">
        <w:t xml:space="preserve"> </w:t>
      </w:r>
    </w:p>
    <w:p w:rsidR="009F1FA9" w:rsidRDefault="002B14DE">
      <w:r>
        <w:rPr>
          <w:highlight w:val="yellow"/>
        </w:rPr>
        <w:t xml:space="preserve">Similar to the </w:t>
      </w:r>
      <w:r w:rsidRPr="002B14DE">
        <w:rPr>
          <w:b/>
          <w:highlight w:val="yellow"/>
        </w:rPr>
        <w:t>RAB remaining lives</w:t>
      </w:r>
      <w:r>
        <w:rPr>
          <w:highlight w:val="yellow"/>
        </w:rPr>
        <w:t xml:space="preserve"> sheet, t</w:t>
      </w:r>
      <w:r w:rsidRPr="005666B6">
        <w:rPr>
          <w:highlight w:val="yellow"/>
        </w:rPr>
        <w:t xml:space="preserve">he calculations in the </w:t>
      </w:r>
      <w:r>
        <w:rPr>
          <w:rStyle w:val="Strong"/>
          <w:highlight w:val="yellow"/>
        </w:rPr>
        <w:t>T</w:t>
      </w:r>
      <w:r w:rsidRPr="005666B6">
        <w:rPr>
          <w:rStyle w:val="Strong"/>
          <w:highlight w:val="yellow"/>
        </w:rPr>
        <w:t>AB remaining lives</w:t>
      </w:r>
      <w:r w:rsidRPr="005666B6">
        <w:rPr>
          <w:highlight w:val="yellow"/>
        </w:rPr>
        <w:t xml:space="preserve"> sheet do not currently accommodate any end of period </w:t>
      </w:r>
      <w:r>
        <w:rPr>
          <w:highlight w:val="yellow"/>
        </w:rPr>
        <w:t xml:space="preserve">asset </w:t>
      </w:r>
      <w:r w:rsidRPr="005666B6">
        <w:rPr>
          <w:highlight w:val="yellow"/>
        </w:rPr>
        <w:t>adjustments</w:t>
      </w:r>
      <w:r>
        <w:rPr>
          <w:highlight w:val="yellow"/>
        </w:rPr>
        <w:t xml:space="preserve"> that may impact on the average remaining life of the asset class</w:t>
      </w:r>
      <w:r w:rsidRPr="005666B6">
        <w:rPr>
          <w:highlight w:val="yellow"/>
        </w:rPr>
        <w:t>. The calculations assume that any adjustments made will not have a material impact on the average remaining life of an asset class. In the case of a material end of period asset adjustment, the calculations would need to be amended to accommodate this adjustment on a case-by-case basis.</w:t>
      </w:r>
      <w:r w:rsidRPr="000B4909" w:rsidDel="00132ADA">
        <w:t xml:space="preserve"> </w:t>
      </w:r>
      <w:r w:rsidR="009F1FA9" w:rsidRPr="009F1FA9">
        <w:t xml:space="preserve"> </w:t>
      </w:r>
    </w:p>
    <w:p w:rsidR="00595BA4" w:rsidRDefault="0032227C">
      <w:r>
        <w:rPr>
          <w:highlight w:val="yellow"/>
        </w:rPr>
        <w:fldChar w:fldCharType="begin"/>
      </w:r>
      <w:r>
        <w:rPr>
          <w:highlight w:val="yellow"/>
        </w:rPr>
        <w:instrText xml:space="preserve"> REF _Ref423079930 \h </w:instrText>
      </w:r>
      <w:r>
        <w:rPr>
          <w:highlight w:val="yellow"/>
        </w:rPr>
      </w:r>
      <w:r>
        <w:rPr>
          <w:highlight w:val="yellow"/>
        </w:rPr>
        <w:fldChar w:fldCharType="separate"/>
      </w:r>
      <w:r w:rsidR="00F92CE8" w:rsidRPr="006959A5">
        <w:rPr>
          <w:highlight w:val="yellow"/>
        </w:rPr>
        <w:t xml:space="preserve">Figure </w:t>
      </w:r>
      <w:r w:rsidR="00F92CE8">
        <w:rPr>
          <w:noProof/>
          <w:highlight w:val="yellow"/>
        </w:rPr>
        <w:t>9</w:t>
      </w:r>
      <w:r>
        <w:rPr>
          <w:highlight w:val="yellow"/>
        </w:rPr>
        <w:fldChar w:fldCharType="end"/>
      </w:r>
      <w:r>
        <w:rPr>
          <w:highlight w:val="yellow"/>
        </w:rPr>
        <w:t xml:space="preserve"> </w:t>
      </w:r>
      <w:r w:rsidR="009F1FA9" w:rsidRPr="009F1FA9">
        <w:rPr>
          <w:highlight w:val="yellow"/>
        </w:rPr>
        <w:t xml:space="preserve">provides an example of the </w:t>
      </w:r>
      <w:r w:rsidR="009F1FA9" w:rsidRPr="009F1FA9">
        <w:rPr>
          <w:b/>
          <w:highlight w:val="yellow"/>
        </w:rPr>
        <w:t>TAB remaining lives</w:t>
      </w:r>
      <w:r w:rsidR="009F1FA9" w:rsidRPr="009F1FA9">
        <w:rPr>
          <w:highlight w:val="yellow"/>
        </w:rPr>
        <w:t xml:space="preserve"> sheet.</w:t>
      </w:r>
    </w:p>
    <w:p w:rsidR="00A05ED1" w:rsidRDefault="00A05ED1" w:rsidP="0005646F">
      <w:pPr>
        <w:pStyle w:val="Caption"/>
        <w:rPr>
          <w:highlight w:val="yellow"/>
        </w:rPr>
        <w:sectPr w:rsidR="00A05ED1" w:rsidSect="00361005">
          <w:pgSz w:w="11906" w:h="16838"/>
          <w:pgMar w:top="1440" w:right="1440" w:bottom="1440" w:left="1440" w:header="709" w:footer="91" w:gutter="0"/>
          <w:cols w:space="708"/>
          <w:docGrid w:linePitch="360"/>
        </w:sectPr>
      </w:pPr>
      <w:bookmarkStart w:id="74" w:name="_Ref422759329"/>
    </w:p>
    <w:p w:rsidR="0016029B" w:rsidRDefault="0016029B" w:rsidP="0005646F">
      <w:pPr>
        <w:pStyle w:val="Caption"/>
      </w:pPr>
      <w:bookmarkStart w:id="75" w:name="_Ref423079930"/>
      <w:r w:rsidRPr="006959A5">
        <w:rPr>
          <w:highlight w:val="yellow"/>
        </w:rPr>
        <w:t xml:space="preserve">Figure </w:t>
      </w:r>
      <w:r w:rsidR="000A04E1" w:rsidRPr="006959A5">
        <w:rPr>
          <w:highlight w:val="yellow"/>
        </w:rPr>
        <w:fldChar w:fldCharType="begin"/>
      </w:r>
      <w:r w:rsidR="000A04E1" w:rsidRPr="006959A5">
        <w:rPr>
          <w:highlight w:val="yellow"/>
        </w:rPr>
        <w:instrText xml:space="preserve"> SEQ Figure \* ARABIC </w:instrText>
      </w:r>
      <w:r w:rsidR="000A04E1" w:rsidRPr="006959A5">
        <w:rPr>
          <w:highlight w:val="yellow"/>
        </w:rPr>
        <w:fldChar w:fldCharType="separate"/>
      </w:r>
      <w:r w:rsidR="00F92CE8">
        <w:rPr>
          <w:noProof/>
          <w:highlight w:val="yellow"/>
        </w:rPr>
        <w:t>9</w:t>
      </w:r>
      <w:r w:rsidR="000A04E1" w:rsidRPr="006959A5">
        <w:rPr>
          <w:noProof/>
          <w:highlight w:val="yellow"/>
        </w:rPr>
        <w:fldChar w:fldCharType="end"/>
      </w:r>
      <w:bookmarkEnd w:id="74"/>
      <w:bookmarkEnd w:id="75"/>
      <w:r w:rsidRPr="006959A5">
        <w:rPr>
          <w:highlight w:val="yellow"/>
        </w:rPr>
        <w:tab/>
        <w:t>TAB remaining lives sheet</w:t>
      </w:r>
    </w:p>
    <w:p w:rsidR="0016029B" w:rsidRPr="0016029B" w:rsidRDefault="00173D47" w:rsidP="0016029B">
      <w:r>
        <w:rPr>
          <w:noProof/>
          <w:lang w:eastAsia="en-AU"/>
        </w:rPr>
        <w:drawing>
          <wp:inline distT="0" distB="0" distL="0" distR="0" wp14:anchorId="3368FE60" wp14:editId="623534CA">
            <wp:extent cx="9168726" cy="4244454"/>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9173497" cy="4246663"/>
                    </a:xfrm>
                    <a:prstGeom prst="rect">
                      <a:avLst/>
                    </a:prstGeom>
                  </pic:spPr>
                </pic:pic>
              </a:graphicData>
            </a:graphic>
          </wp:inline>
        </w:drawing>
      </w:r>
    </w:p>
    <w:p w:rsidR="00A05ED1" w:rsidRDefault="00A05ED1" w:rsidP="003671EE">
      <w:pPr>
        <w:pStyle w:val="Heading2"/>
        <w:sectPr w:rsidR="00A05ED1" w:rsidSect="00A05ED1">
          <w:pgSz w:w="16838" w:h="11906" w:orient="landscape"/>
          <w:pgMar w:top="1440" w:right="1440" w:bottom="1440" w:left="1440" w:header="709" w:footer="91" w:gutter="0"/>
          <w:cols w:space="708"/>
          <w:docGrid w:linePitch="360"/>
        </w:sectPr>
      </w:pPr>
    </w:p>
    <w:p w:rsidR="000B4909" w:rsidRPr="000B4909" w:rsidRDefault="0005646F" w:rsidP="003671EE">
      <w:pPr>
        <w:pStyle w:val="Heading2"/>
      </w:pPr>
      <w:bookmarkStart w:id="76" w:name="_Toc423696216"/>
      <w:r>
        <w:t>PTRM in</w:t>
      </w:r>
      <w:r w:rsidR="000B4909" w:rsidRPr="000B4909">
        <w:t>put summary sheet</w:t>
      </w:r>
      <w:bookmarkEnd w:id="76"/>
    </w:p>
    <w:p w:rsidR="000B4909" w:rsidRPr="000B4909" w:rsidRDefault="000B4909" w:rsidP="006A08D2">
      <w:pPr>
        <w:pStyle w:val="BodyText"/>
      </w:pPr>
      <w:r w:rsidRPr="0005646F">
        <w:rPr>
          <w:highlight w:val="yellow"/>
        </w:rPr>
        <w:t xml:space="preserve">The </w:t>
      </w:r>
      <w:r w:rsidR="00C572D8" w:rsidRPr="0005646F">
        <w:rPr>
          <w:rStyle w:val="Strong"/>
          <w:highlight w:val="yellow"/>
        </w:rPr>
        <w:t>PTRM in</w:t>
      </w:r>
      <w:r w:rsidRPr="0005646F">
        <w:rPr>
          <w:rStyle w:val="Strong"/>
          <w:highlight w:val="yellow"/>
        </w:rPr>
        <w:t>put summary</w:t>
      </w:r>
      <w:r w:rsidRPr="0005646F">
        <w:rPr>
          <w:highlight w:val="yellow"/>
        </w:rPr>
        <w:t xml:space="preserve"> sheet outlines </w:t>
      </w:r>
      <w:r w:rsidR="00977CDB" w:rsidRPr="0005646F">
        <w:rPr>
          <w:highlight w:val="yellow"/>
        </w:rPr>
        <w:t>the opening RAB values (columns </w:t>
      </w:r>
      <w:r w:rsidRPr="0005646F">
        <w:rPr>
          <w:highlight w:val="yellow"/>
        </w:rPr>
        <w:t xml:space="preserve">J </w:t>
      </w:r>
      <w:r w:rsidR="00C572D8" w:rsidRPr="0005646F">
        <w:rPr>
          <w:highlight w:val="yellow"/>
        </w:rPr>
        <w:t xml:space="preserve">for partially as-incurred </w:t>
      </w:r>
      <w:r w:rsidRPr="0005646F">
        <w:rPr>
          <w:highlight w:val="yellow"/>
        </w:rPr>
        <w:t>and K</w:t>
      </w:r>
      <w:r w:rsidR="00C572D8" w:rsidRPr="0005646F">
        <w:rPr>
          <w:highlight w:val="yellow"/>
        </w:rPr>
        <w:t xml:space="preserve"> for as-commissioned</w:t>
      </w:r>
      <w:r w:rsidRPr="0005646F">
        <w:rPr>
          <w:highlight w:val="yellow"/>
        </w:rPr>
        <w:t>) and</w:t>
      </w:r>
      <w:r w:rsidR="00977CDB" w:rsidRPr="0005646F">
        <w:rPr>
          <w:highlight w:val="yellow"/>
        </w:rPr>
        <w:t xml:space="preserve"> the opening </w:t>
      </w:r>
      <w:r w:rsidR="00C572D8" w:rsidRPr="0005646F">
        <w:rPr>
          <w:highlight w:val="yellow"/>
        </w:rPr>
        <w:t>TAB</w:t>
      </w:r>
      <w:r w:rsidR="00977CDB" w:rsidRPr="0005646F">
        <w:rPr>
          <w:highlight w:val="yellow"/>
        </w:rPr>
        <w:t xml:space="preserve"> values (column </w:t>
      </w:r>
      <w:r w:rsidRPr="0005646F">
        <w:rPr>
          <w:highlight w:val="yellow"/>
        </w:rPr>
        <w:t>N) for the next regulatory control period.</w:t>
      </w:r>
      <w:r w:rsidRPr="000B4909">
        <w:t xml:space="preserve"> These values are set out by asset classes in rows 7 to </w:t>
      </w:r>
      <w:r w:rsidR="00C572D8">
        <w:t>5</w:t>
      </w:r>
      <w:r w:rsidRPr="000B4909">
        <w:t xml:space="preserve">6, based on the closing RAB and </w:t>
      </w:r>
      <w:r w:rsidR="00C572D8">
        <w:t>TAB</w:t>
      </w:r>
      <w:r w:rsidRPr="000B4909">
        <w:t xml:space="preserve"> values as </w:t>
      </w:r>
      <w:r w:rsidR="00C572D8">
        <w:t>calculated</w:t>
      </w:r>
      <w:r w:rsidRPr="000B4909">
        <w:t xml:space="preserve"> in the RFM. The average remaining lives for regulatory and tax purposes, and the base </w:t>
      </w:r>
      <w:r w:rsidR="00C572D8">
        <w:t xml:space="preserve">regulatory </w:t>
      </w:r>
      <w:r w:rsidRPr="000B4909">
        <w:t xml:space="preserve">year for the start of the next regulatory control period are also </w:t>
      </w:r>
      <w:r w:rsidR="00977CDB">
        <w:t>displayed in columns </w:t>
      </w:r>
      <w:r w:rsidRPr="000B4909">
        <w:t xml:space="preserve">L, O and Q respectively. All values are outputs from the RFM that need to be entered into the </w:t>
      </w:r>
      <w:r w:rsidR="000463B6">
        <w:rPr>
          <w:rStyle w:val="Strong"/>
        </w:rPr>
        <w:t>PTRM i</w:t>
      </w:r>
      <w:r w:rsidRPr="009F0854">
        <w:rPr>
          <w:rStyle w:val="Strong"/>
        </w:rPr>
        <w:t>nput</w:t>
      </w:r>
      <w:r w:rsidRPr="000B4909">
        <w:t xml:space="preserve"> sheet of the PTRM for the next regulatory control period. </w:t>
      </w:r>
      <w:r w:rsidRPr="0005646F">
        <w:rPr>
          <w:highlight w:val="yellow"/>
        </w:rPr>
        <w:t xml:space="preserve">The information from the </w:t>
      </w:r>
      <w:r w:rsidR="000463B6" w:rsidRPr="0005646F">
        <w:rPr>
          <w:rStyle w:val="Strong"/>
          <w:highlight w:val="yellow"/>
        </w:rPr>
        <w:t>PTRM in</w:t>
      </w:r>
      <w:r w:rsidRPr="0005646F">
        <w:rPr>
          <w:rStyle w:val="Strong"/>
          <w:highlight w:val="yellow"/>
        </w:rPr>
        <w:t>put summary</w:t>
      </w:r>
      <w:r w:rsidRPr="0005646F">
        <w:rPr>
          <w:highlight w:val="yellow"/>
        </w:rPr>
        <w:t xml:space="preserve"> sheet is sourced from the </w:t>
      </w:r>
      <w:r w:rsidR="000463B6" w:rsidRPr="0005646F">
        <w:rPr>
          <w:rStyle w:val="Strong"/>
          <w:highlight w:val="yellow"/>
        </w:rPr>
        <w:t>RFM i</w:t>
      </w:r>
      <w:r w:rsidRPr="0005646F">
        <w:rPr>
          <w:rStyle w:val="Strong"/>
          <w:highlight w:val="yellow"/>
        </w:rPr>
        <w:t>nput</w:t>
      </w:r>
      <w:r w:rsidRPr="0005646F">
        <w:rPr>
          <w:highlight w:val="yellow"/>
        </w:rPr>
        <w:t xml:space="preserve">, </w:t>
      </w:r>
      <w:r w:rsidRPr="0005646F">
        <w:rPr>
          <w:rStyle w:val="Strong"/>
          <w:highlight w:val="yellow"/>
        </w:rPr>
        <w:t>Total RAB roll forward</w:t>
      </w:r>
      <w:r w:rsidRPr="0005646F">
        <w:rPr>
          <w:highlight w:val="yellow"/>
        </w:rPr>
        <w:t xml:space="preserve">, </w:t>
      </w:r>
      <w:r w:rsidRPr="0005646F">
        <w:rPr>
          <w:rStyle w:val="Strong"/>
          <w:highlight w:val="yellow"/>
        </w:rPr>
        <w:t>T</w:t>
      </w:r>
      <w:r w:rsidR="000463B6" w:rsidRPr="0005646F">
        <w:rPr>
          <w:rStyle w:val="Strong"/>
          <w:highlight w:val="yellow"/>
        </w:rPr>
        <w:t>AB</w:t>
      </w:r>
      <w:r w:rsidRPr="0005646F">
        <w:rPr>
          <w:rStyle w:val="Strong"/>
          <w:highlight w:val="yellow"/>
        </w:rPr>
        <w:t xml:space="preserve"> roll forward</w:t>
      </w:r>
      <w:r w:rsidR="006A08D2" w:rsidRPr="0005646F">
        <w:rPr>
          <w:rStyle w:val="Strong"/>
          <w:b w:val="0"/>
          <w:bCs w:val="0"/>
          <w:highlight w:val="yellow"/>
        </w:rPr>
        <w:t xml:space="preserve">, </w:t>
      </w:r>
      <w:r w:rsidR="006A08D2" w:rsidRPr="0005646F">
        <w:rPr>
          <w:rStyle w:val="Strong"/>
          <w:highlight w:val="yellow"/>
        </w:rPr>
        <w:t>RAB remaining lives</w:t>
      </w:r>
      <w:r w:rsidRPr="0005646F">
        <w:rPr>
          <w:highlight w:val="yellow"/>
        </w:rPr>
        <w:t xml:space="preserve"> and </w:t>
      </w:r>
      <w:r w:rsidR="006A08D2" w:rsidRPr="0005646F">
        <w:rPr>
          <w:rStyle w:val="Strong"/>
          <w:highlight w:val="yellow"/>
        </w:rPr>
        <w:t xml:space="preserve">TAB remaining </w:t>
      </w:r>
      <w:r w:rsidRPr="0005646F">
        <w:rPr>
          <w:rStyle w:val="Strong"/>
          <w:highlight w:val="yellow"/>
        </w:rPr>
        <w:t xml:space="preserve">lives </w:t>
      </w:r>
      <w:r w:rsidRPr="0005646F">
        <w:rPr>
          <w:highlight w:val="yellow"/>
        </w:rPr>
        <w:t>sheets.</w:t>
      </w:r>
      <w:r w:rsidR="00504396">
        <w:rPr>
          <w:rStyle w:val="FootnoteReference"/>
          <w:highlight w:val="yellow"/>
        </w:rPr>
        <w:footnoteReference w:id="26"/>
      </w:r>
    </w:p>
    <w:p w:rsidR="000B4909" w:rsidRPr="000B4909" w:rsidRDefault="0021562D" w:rsidP="000B4909">
      <w:r>
        <w:fldChar w:fldCharType="begin"/>
      </w:r>
      <w:r>
        <w:instrText xml:space="preserve"> REF _Ref420595418 \h </w:instrText>
      </w:r>
      <w:r>
        <w:fldChar w:fldCharType="separate"/>
      </w:r>
      <w:r w:rsidR="00F92CE8">
        <w:t xml:space="preserve">Figure </w:t>
      </w:r>
      <w:r w:rsidR="00F92CE8">
        <w:rPr>
          <w:noProof/>
        </w:rPr>
        <w:t>10</w:t>
      </w:r>
      <w:r>
        <w:fldChar w:fldCharType="end"/>
      </w:r>
      <w:r>
        <w:t xml:space="preserve"> </w:t>
      </w:r>
      <w:r w:rsidR="000B4909" w:rsidRPr="000B4909">
        <w:t xml:space="preserve">provides an example of the </w:t>
      </w:r>
      <w:r w:rsidR="000463B6">
        <w:rPr>
          <w:rStyle w:val="Strong"/>
        </w:rPr>
        <w:t>PTRM in</w:t>
      </w:r>
      <w:r w:rsidR="000B4909" w:rsidRPr="009F0854">
        <w:rPr>
          <w:rStyle w:val="Strong"/>
        </w:rPr>
        <w:t>put summary</w:t>
      </w:r>
      <w:r w:rsidR="000B4909" w:rsidRPr="000B4909">
        <w:t xml:space="preserve"> sheet.</w:t>
      </w:r>
    </w:p>
    <w:p w:rsidR="0021562D" w:rsidRDefault="0021562D" w:rsidP="0021562D">
      <w:pPr>
        <w:pStyle w:val="Caption"/>
        <w:keepNext/>
      </w:pPr>
      <w:bookmarkStart w:id="77" w:name="_Ref420595418"/>
      <w:r>
        <w:t xml:space="preserve">Figure </w:t>
      </w:r>
      <w:fldSimple w:instr=" SEQ Figure \* ARABIC ">
        <w:r w:rsidR="00F92CE8">
          <w:rPr>
            <w:noProof/>
          </w:rPr>
          <w:t>10</w:t>
        </w:r>
      </w:fldSimple>
      <w:bookmarkEnd w:id="77"/>
      <w:r>
        <w:tab/>
      </w:r>
      <w:r w:rsidR="000463B6">
        <w:t>PTRM in</w:t>
      </w:r>
      <w:r w:rsidRPr="000B4909">
        <w:t>put summary sheet</w:t>
      </w:r>
    </w:p>
    <w:p w:rsidR="000B4909" w:rsidRPr="000B4909" w:rsidRDefault="00173D47" w:rsidP="000B4909">
      <w:r>
        <w:rPr>
          <w:noProof/>
          <w:lang w:eastAsia="en-AU"/>
        </w:rPr>
        <w:drawing>
          <wp:inline distT="0" distB="0" distL="0" distR="0" wp14:anchorId="6BC4CB02" wp14:editId="1DB81365">
            <wp:extent cx="5731510" cy="3903673"/>
            <wp:effectExtent l="0" t="0" r="254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1510" cy="3903673"/>
                    </a:xfrm>
                    <a:prstGeom prst="rect">
                      <a:avLst/>
                    </a:prstGeom>
                  </pic:spPr>
                </pic:pic>
              </a:graphicData>
            </a:graphic>
          </wp:inline>
        </w:drawing>
      </w:r>
      <w:r w:rsidR="000B4909" w:rsidRPr="000B4909">
        <w:t xml:space="preserve"> </w:t>
      </w:r>
    </w:p>
    <w:p w:rsidR="0020492C" w:rsidRDefault="0020492C" w:rsidP="00C67A92"/>
    <w:sectPr w:rsidR="0020492C" w:rsidSect="00361005">
      <w:pgSz w:w="11906" w:h="16838"/>
      <w:pgMar w:top="1440" w:right="1440" w:bottom="1440" w:left="1440" w:header="709"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87" w:rsidRDefault="006B6187" w:rsidP="004B4412">
      <w:pPr>
        <w:spacing w:before="0"/>
      </w:pPr>
      <w:r>
        <w:separator/>
      </w:r>
    </w:p>
    <w:p w:rsidR="006B6187" w:rsidRDefault="006B6187"/>
    <w:p w:rsidR="006B6187" w:rsidRDefault="006B6187"/>
  </w:endnote>
  <w:endnote w:type="continuationSeparator" w:id="0">
    <w:p w:rsidR="006B6187" w:rsidRDefault="006B6187" w:rsidP="004B4412">
      <w:pPr>
        <w:spacing w:before="0"/>
      </w:pPr>
      <w:r>
        <w:continuationSeparator/>
      </w:r>
    </w:p>
    <w:p w:rsidR="006B6187" w:rsidRDefault="006B6187"/>
    <w:p w:rsidR="006B6187" w:rsidRDefault="006B6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7" w:rsidRDefault="006B6187" w:rsidP="00977CDB">
    <w:pPr>
      <w:pStyle w:val="Footer"/>
    </w:pPr>
    <w:r>
      <w:t>Roll forward model handbook | Electricity transmission networks service providers</w:t>
    </w:r>
    <w:r w:rsidRPr="007A4D1F">
      <w:rPr>
        <w:rFonts w:eastAsia="Arial" w:cs="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7" w:rsidRPr="00A91A9E" w:rsidRDefault="006B6187" w:rsidP="002F05C0">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6B6187" w:rsidRDefault="006B6187"/>
  <w:p w:rsidR="006B6187" w:rsidRDefault="006B618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7" w:rsidRDefault="006B6187" w:rsidP="00CC7F1D">
    <w:pPr>
      <w:pStyle w:val="Footer"/>
      <w:tabs>
        <w:tab w:val="clear" w:pos="9026"/>
        <w:tab w:val="right" w:pos="8505"/>
      </w:tabs>
    </w:pPr>
    <w:r>
      <w:t>Roll forward model handbook | Electricity transmission network service providers</w:t>
    </w:r>
    <w:r>
      <w:tab/>
    </w:r>
    <w:r>
      <w:ptab w:relativeTo="margin" w:alignment="right" w:leader="none"/>
    </w:r>
    <w:r w:rsidRPr="00361005">
      <w:fldChar w:fldCharType="begin"/>
    </w:r>
    <w:r w:rsidRPr="00361005">
      <w:instrText xml:space="preserve"> PAGE   \* MERGEFORMAT </w:instrText>
    </w:r>
    <w:r w:rsidRPr="00361005">
      <w:fldChar w:fldCharType="separate"/>
    </w:r>
    <w:r w:rsidR="00F92CE8">
      <w:rPr>
        <w:noProof/>
      </w:rPr>
      <w:t>32</w:t>
    </w:r>
    <w:r w:rsidRPr="00361005">
      <w:fldChar w:fldCharType="end"/>
    </w:r>
    <w:r>
      <w:rPr>
        <w:noProof/>
      </w:rPr>
      <w:ptab w:relativeTo="margin" w:alignment="right" w:leader="none"/>
    </w:r>
  </w:p>
  <w:p w:rsidR="006B6187" w:rsidRDefault="006B6187"/>
  <w:p w:rsidR="006B6187" w:rsidRDefault="006B618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7" w:rsidRDefault="007378D8" w:rsidP="00977CDB">
    <w:pPr>
      <w:pStyle w:val="Footer"/>
      <w:tabs>
        <w:tab w:val="clear" w:pos="9026"/>
        <w:tab w:val="right" w:pos="8505"/>
      </w:tabs>
    </w:pPr>
    <w:fldSimple w:instr=" STYLEREF  &quot;Report Title&quot;  \* MERGEFORMAT ">
      <w:r w:rsidR="00F92CE8">
        <w:rPr>
          <w:noProof/>
        </w:rPr>
        <w:t>Proposed amendment</w:t>
      </w:r>
    </w:fldSimple>
    <w:r w:rsidR="006B6187">
      <w:tab/>
    </w:r>
    <w:r w:rsidR="006B6187">
      <w:tab/>
    </w:r>
    <w:r w:rsidR="006B6187">
      <w:fldChar w:fldCharType="begin"/>
    </w:r>
    <w:r w:rsidR="006B6187">
      <w:instrText xml:space="preserve"> PAGE   \* MERGEFORMAT </w:instrText>
    </w:r>
    <w:r w:rsidR="006B6187">
      <w:fldChar w:fldCharType="separate"/>
    </w:r>
    <w:r w:rsidR="006B6187">
      <w:rPr>
        <w:noProof/>
      </w:rPr>
      <w:t>1</w:t>
    </w:r>
    <w:r w:rsidR="006B6187">
      <w:fldChar w:fldCharType="end"/>
    </w:r>
  </w:p>
  <w:p w:rsidR="006B6187" w:rsidRDefault="006B61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87" w:rsidRDefault="006B6187" w:rsidP="00182906">
      <w:pPr>
        <w:spacing w:before="0"/>
      </w:pPr>
      <w:r>
        <w:separator/>
      </w:r>
    </w:p>
  </w:footnote>
  <w:footnote w:type="continuationSeparator" w:id="0">
    <w:p w:rsidR="006B6187" w:rsidRDefault="006B6187" w:rsidP="00182906">
      <w:pPr>
        <w:spacing w:before="0"/>
      </w:pPr>
      <w:r>
        <w:continuationSeparator/>
      </w:r>
    </w:p>
  </w:footnote>
  <w:footnote w:type="continuationNotice" w:id="1">
    <w:p w:rsidR="006B6187" w:rsidRDefault="006B6187">
      <w:pPr>
        <w:spacing w:before="0" w:line="240" w:lineRule="auto"/>
      </w:pPr>
    </w:p>
  </w:footnote>
  <w:footnote w:id="2">
    <w:p w:rsidR="006B6187" w:rsidRDefault="006B6187">
      <w:pPr>
        <w:pStyle w:val="FootnoteText"/>
      </w:pPr>
      <w:r w:rsidRPr="00DA70BA">
        <w:rPr>
          <w:rStyle w:val="FootnoteReference"/>
          <w:highlight w:val="yellow"/>
        </w:rPr>
        <w:footnoteRef/>
      </w:r>
      <w:r w:rsidRPr="00DA70BA">
        <w:rPr>
          <w:highlight w:val="yellow"/>
        </w:rPr>
        <w:t xml:space="preserve"> </w:t>
      </w:r>
      <w:r w:rsidRPr="00DA70BA">
        <w:rPr>
          <w:highlight w:val="yellow"/>
        </w:rPr>
        <w:tab/>
        <w:t>The set of Microsoft Excel spreadsheets which constitute the RFM were created in Microsoft Excel 2010. The AER recommends this or a later version of Microsoft Excel be used in applying these spreadsheets.</w:t>
      </w:r>
    </w:p>
  </w:footnote>
  <w:footnote w:id="3">
    <w:p w:rsidR="006B6187" w:rsidRDefault="006B6187">
      <w:pPr>
        <w:pStyle w:val="FootnoteText"/>
      </w:pPr>
      <w:r w:rsidRPr="009B4D48">
        <w:rPr>
          <w:rStyle w:val="FootnoteReference"/>
          <w:highlight w:val="yellow"/>
        </w:rPr>
        <w:footnoteRef/>
      </w:r>
      <w:r w:rsidRPr="009B4D48">
        <w:rPr>
          <w:highlight w:val="yellow"/>
        </w:rPr>
        <w:t xml:space="preserve"> </w:t>
      </w:r>
      <w:r w:rsidRPr="009B4D48">
        <w:rPr>
          <w:highlight w:val="yellow"/>
        </w:rPr>
        <w:tab/>
        <w:t>Consistent with tax law, the TAB is rolled forward in nominal dollar terms and so there is no indexation required.</w:t>
      </w:r>
    </w:p>
  </w:footnote>
  <w:footnote w:id="4">
    <w:p w:rsidR="006B6187" w:rsidRPr="00955F62" w:rsidRDefault="006B6187" w:rsidP="00FE333A">
      <w:pPr>
        <w:pStyle w:val="FootnoteText"/>
        <w:rPr>
          <w:rFonts w:cs="Arial"/>
        </w:rPr>
      </w:pPr>
      <w:r w:rsidRPr="009B4D48">
        <w:rPr>
          <w:rStyle w:val="FootnoteReference"/>
          <w:rFonts w:cs="Arial"/>
          <w:highlight w:val="yellow"/>
        </w:rPr>
        <w:footnoteRef/>
      </w:r>
      <w:r w:rsidRPr="009B4D48">
        <w:rPr>
          <w:rFonts w:cs="Arial"/>
          <w:highlight w:val="yellow"/>
        </w:rPr>
        <w:t xml:space="preserve"> </w:t>
      </w:r>
      <w:r w:rsidRPr="009B4D48">
        <w:rPr>
          <w:rFonts w:cs="Arial"/>
          <w:highlight w:val="yellow"/>
        </w:rPr>
        <w:tab/>
        <w:t xml:space="preserve">For example, whether the </w:t>
      </w:r>
      <w:r w:rsidRPr="009B4D48">
        <w:rPr>
          <w:highlight w:val="yellow"/>
        </w:rPr>
        <w:t>RFM</w:t>
      </w:r>
      <w:r w:rsidRPr="009B4D48">
        <w:rPr>
          <w:rFonts w:cs="Arial"/>
          <w:highlight w:val="yellow"/>
        </w:rPr>
        <w:t xml:space="preserve"> relates to the Regulatory proposal, Draft decision, Revised regulatory proposal or Final decision.</w:t>
      </w:r>
    </w:p>
  </w:footnote>
  <w:footnote w:id="5">
    <w:p w:rsidR="006B6187" w:rsidRPr="009B4D48" w:rsidRDefault="006B6187">
      <w:pPr>
        <w:pStyle w:val="FootnoteText"/>
        <w:rPr>
          <w:highlight w:val="yellow"/>
        </w:rPr>
      </w:pPr>
      <w:r w:rsidRPr="009B4D48">
        <w:rPr>
          <w:rStyle w:val="FootnoteReference"/>
          <w:highlight w:val="yellow"/>
        </w:rPr>
        <w:footnoteRef/>
      </w:r>
      <w:r w:rsidRPr="009B4D48">
        <w:rPr>
          <w:highlight w:val="yellow"/>
        </w:rPr>
        <w:t xml:space="preserve"> </w:t>
      </w:r>
      <w:r w:rsidRPr="009B4D48">
        <w:rPr>
          <w:highlight w:val="yellow"/>
        </w:rPr>
        <w:tab/>
        <w:t>The depreciation profiles would be subject to satisfying the requirements of clauses 6A.6.3(b) and 6A.6.4 of the NER.</w:t>
      </w:r>
    </w:p>
  </w:footnote>
  <w:footnote w:id="6">
    <w:p w:rsidR="006B6187" w:rsidRPr="009B4D48" w:rsidRDefault="006B6187">
      <w:pPr>
        <w:pStyle w:val="FootnoteText"/>
        <w:rPr>
          <w:highlight w:val="yellow"/>
        </w:rPr>
      </w:pPr>
      <w:r w:rsidRPr="009B4D48">
        <w:rPr>
          <w:rStyle w:val="FootnoteReference"/>
          <w:highlight w:val="yellow"/>
        </w:rPr>
        <w:footnoteRef/>
      </w:r>
      <w:r w:rsidRPr="009B4D48">
        <w:rPr>
          <w:highlight w:val="yellow"/>
        </w:rPr>
        <w:t xml:space="preserve"> </w:t>
      </w:r>
      <w:r w:rsidRPr="009B4D48">
        <w:rPr>
          <w:highlight w:val="yellow"/>
        </w:rPr>
        <w:tab/>
        <w:t>Clause 6A.10.1A of the NER sets out the requirements of the framework and approach applying to a determination.</w:t>
      </w:r>
    </w:p>
  </w:footnote>
  <w:footnote w:id="7">
    <w:p w:rsidR="006B6187" w:rsidRDefault="006B6187">
      <w:pPr>
        <w:pStyle w:val="FootnoteText"/>
      </w:pPr>
      <w:r w:rsidRPr="009B4D48">
        <w:rPr>
          <w:rStyle w:val="FootnoteReference"/>
          <w:highlight w:val="yellow"/>
        </w:rPr>
        <w:footnoteRef/>
      </w:r>
      <w:r w:rsidRPr="009B4D48">
        <w:rPr>
          <w:highlight w:val="yellow"/>
        </w:rPr>
        <w:t xml:space="preserve"> </w:t>
      </w:r>
      <w:r w:rsidRPr="009B4D48">
        <w:rPr>
          <w:highlight w:val="yellow"/>
        </w:rPr>
        <w:tab/>
        <w:t>It is a partially as-incurred RAB because the depreciation used in the roll forward is based on as-commissioned capex.</w:t>
      </w:r>
    </w:p>
  </w:footnote>
  <w:footnote w:id="8">
    <w:p w:rsidR="006B6187" w:rsidRDefault="006B6187">
      <w:pPr>
        <w:pStyle w:val="FootnoteText"/>
      </w:pPr>
      <w:r w:rsidRPr="00D81C0E">
        <w:rPr>
          <w:rStyle w:val="FootnoteReference"/>
          <w:highlight w:val="yellow"/>
        </w:rPr>
        <w:footnoteRef/>
      </w:r>
      <w:r w:rsidRPr="00D81C0E">
        <w:rPr>
          <w:highlight w:val="yellow"/>
        </w:rPr>
        <w:t xml:space="preserve"> </w:t>
      </w:r>
      <w:r w:rsidRPr="00D81C0E">
        <w:rPr>
          <w:highlight w:val="yellow"/>
        </w:rPr>
        <w:tab/>
        <w:t>The button at the left of row 56 may be pressed to display/hide rows 37 to 55 (asset classes 31 to 49).</w:t>
      </w:r>
    </w:p>
  </w:footnote>
  <w:footnote w:id="9">
    <w:p w:rsidR="006B6187" w:rsidRDefault="006B6187">
      <w:pPr>
        <w:pStyle w:val="FootnoteText"/>
      </w:pPr>
      <w:r>
        <w:rPr>
          <w:rStyle w:val="FootnoteReference"/>
        </w:rPr>
        <w:footnoteRef/>
      </w:r>
      <w:r>
        <w:t xml:space="preserve"> </w:t>
      </w:r>
      <w:r>
        <w:tab/>
      </w:r>
      <w:r w:rsidRPr="00B5191C">
        <w:t>The RFM can be expanded to accommodate additional asset classes, when necessary.</w:t>
      </w:r>
    </w:p>
  </w:footnote>
  <w:footnote w:id="10">
    <w:p w:rsidR="006B6187" w:rsidRDefault="006B6187">
      <w:pPr>
        <w:pStyle w:val="FootnoteText"/>
      </w:pPr>
      <w:r w:rsidRPr="00D81C0E">
        <w:rPr>
          <w:rStyle w:val="FootnoteReference"/>
          <w:highlight w:val="yellow"/>
        </w:rPr>
        <w:footnoteRef/>
      </w:r>
      <w:r w:rsidRPr="00D81C0E">
        <w:rPr>
          <w:highlight w:val="yellow"/>
        </w:rPr>
        <w:t xml:space="preserve"> </w:t>
      </w:r>
      <w:r w:rsidRPr="00D81C0E">
        <w:rPr>
          <w:highlight w:val="yellow"/>
        </w:rPr>
        <w:tab/>
        <w:t>The 50th asset class in the RFM is designed to be used with the 'Equity raising costs' asset class, consistent with the PTRM.</w:t>
      </w:r>
    </w:p>
  </w:footnote>
  <w:footnote w:id="11">
    <w:p w:rsidR="006B6187" w:rsidRDefault="006B6187">
      <w:pPr>
        <w:pStyle w:val="FootnoteText"/>
      </w:pPr>
      <w:r w:rsidRPr="000E482C">
        <w:rPr>
          <w:rStyle w:val="FootnoteReference"/>
          <w:highlight w:val="yellow"/>
        </w:rPr>
        <w:footnoteRef/>
      </w:r>
      <w:r w:rsidRPr="000E482C">
        <w:rPr>
          <w:highlight w:val="yellow"/>
        </w:rPr>
        <w:t xml:space="preserve"> </w:t>
      </w:r>
      <w:r w:rsidRPr="000E482C">
        <w:rPr>
          <w:highlight w:val="yellow"/>
        </w:rPr>
        <w:tab/>
        <w:t>Alternatively, the other final year adjustment values may be obtained from the opening RAB input in the PTRM used for the current revenue determination for the TNSP.</w:t>
      </w:r>
    </w:p>
  </w:footnote>
  <w:footnote w:id="12">
    <w:p w:rsidR="006B6187" w:rsidRDefault="006B6187" w:rsidP="00994ED0">
      <w:pPr>
        <w:pStyle w:val="FootnoteText"/>
      </w:pPr>
      <w:r w:rsidRPr="000E482C">
        <w:rPr>
          <w:rStyle w:val="FootnoteReference"/>
          <w:highlight w:val="yellow"/>
        </w:rPr>
        <w:footnoteRef/>
      </w:r>
      <w:r w:rsidRPr="000E482C">
        <w:rPr>
          <w:highlight w:val="yellow"/>
        </w:rPr>
        <w:t xml:space="preserve"> </w:t>
      </w:r>
      <w:r w:rsidRPr="000E482C">
        <w:rPr>
          <w:highlight w:val="yellow"/>
        </w:rPr>
        <w:tab/>
        <w:t>Alternatively, the other final year adjustment values may be obtained from the opening RAB input in the PTRM used for the current revenue determination for the TNSP.</w:t>
      </w:r>
    </w:p>
  </w:footnote>
  <w:footnote w:id="13">
    <w:p w:rsidR="006B6187" w:rsidRDefault="006B6187">
      <w:pPr>
        <w:pStyle w:val="FootnoteText"/>
      </w:pPr>
      <w:r>
        <w:rPr>
          <w:rStyle w:val="FootnoteReference"/>
        </w:rPr>
        <w:footnoteRef/>
      </w:r>
      <w:r>
        <w:t xml:space="preserve"> </w:t>
      </w:r>
      <w:r>
        <w:tab/>
      </w:r>
      <w:r w:rsidRPr="00B5191C">
        <w:t>Actual capex and actual asset disposals are undertaken evenly over a year and therefore the reported capex values are assumed to be in middle of the year terms. All other input values are assumed to be in end of the year terms.</w:t>
      </w:r>
    </w:p>
  </w:footnote>
  <w:footnote w:id="14">
    <w:p w:rsidR="006B6187" w:rsidRPr="006F5D26" w:rsidRDefault="006B6187">
      <w:pPr>
        <w:pStyle w:val="FootnoteText"/>
        <w:rPr>
          <w:highlight w:val="yellow"/>
        </w:rPr>
      </w:pPr>
      <w:r w:rsidRPr="006F5D26">
        <w:rPr>
          <w:rStyle w:val="FootnoteReference"/>
          <w:highlight w:val="yellow"/>
        </w:rPr>
        <w:footnoteRef/>
      </w:r>
      <w:r w:rsidRPr="006F5D26">
        <w:rPr>
          <w:highlight w:val="yellow"/>
        </w:rPr>
        <w:t xml:space="preserve"> </w:t>
      </w:r>
      <w:r w:rsidRPr="006F5D26">
        <w:rPr>
          <w:highlight w:val="yellow"/>
        </w:rPr>
        <w:tab/>
        <w:t>Consider the example where the difference in final year net capex incurred for the previous regulatory control period is positive (i.e. actual was higher than estimated). This means there is a foregone return associated with as-incurred net capex. This is the relevant amount to be capitalised and returned to the TNSP at the end of the current regulatory control period. That is, the return on difference in net capex as-incurred is to be capitalised, not the return on difference in net capex as-commissioned. The same reasoning applies for actual net capex being lower than estimated for the final year of the previous regulatory control period.</w:t>
      </w:r>
    </w:p>
  </w:footnote>
  <w:footnote w:id="15">
    <w:p w:rsidR="006B6187" w:rsidRPr="006F5D26" w:rsidRDefault="006B6187">
      <w:pPr>
        <w:pStyle w:val="FootnoteText"/>
        <w:rPr>
          <w:highlight w:val="yellow"/>
        </w:rPr>
      </w:pPr>
      <w:r w:rsidRPr="006F5D26">
        <w:rPr>
          <w:rStyle w:val="FootnoteReference"/>
          <w:highlight w:val="yellow"/>
        </w:rPr>
        <w:footnoteRef/>
      </w:r>
      <w:r w:rsidRPr="006F5D26">
        <w:rPr>
          <w:highlight w:val="yellow"/>
        </w:rPr>
        <w:t xml:space="preserve"> </w:t>
      </w:r>
      <w:r w:rsidRPr="006F5D26">
        <w:rPr>
          <w:highlight w:val="yellow"/>
        </w:rPr>
        <w:tab/>
        <w:t xml:space="preserve">Based on inputs to U7:V56 of the </w:t>
      </w:r>
      <w:r w:rsidRPr="006F5D26">
        <w:rPr>
          <w:rStyle w:val="Bold"/>
          <w:highlight w:val="yellow"/>
        </w:rPr>
        <w:t>RFM input</w:t>
      </w:r>
      <w:r w:rsidRPr="006F5D26">
        <w:rPr>
          <w:highlight w:val="yellow"/>
        </w:rPr>
        <w:t xml:space="preserve"> sheet.</w:t>
      </w:r>
    </w:p>
  </w:footnote>
  <w:footnote w:id="16">
    <w:p w:rsidR="006B6187" w:rsidRDefault="006B6187">
      <w:pPr>
        <w:pStyle w:val="FootnoteText"/>
      </w:pPr>
      <w:r w:rsidRPr="006F5D26">
        <w:rPr>
          <w:rStyle w:val="FootnoteReference"/>
          <w:highlight w:val="yellow"/>
        </w:rPr>
        <w:footnoteRef/>
      </w:r>
      <w:r w:rsidRPr="006F5D26">
        <w:rPr>
          <w:highlight w:val="yellow"/>
        </w:rPr>
        <w:t xml:space="preserve"> </w:t>
      </w:r>
      <w:r w:rsidRPr="006F5D26">
        <w:rPr>
          <w:highlight w:val="yellow"/>
        </w:rPr>
        <w:tab/>
        <w:t>AusNet Services have Group 3 assets that are usually rolled into the RAB at the end of the regulatory control period and a true-up is required. During a regulatory control period, AEMO or a distribution business may request AusNet Services to provide augmentations to the transmission network or distribution connection services. While these Group 3 assets constructed due to these requests provide prescribed transmission services, the capex associated with these assets sit outside of the revenue determination. This is because SP AusNet is not responsible for the planning of these capex. Group 3 assets sit outside of the RAB and are governed by commercial contracts until such time as they are rolled into the RAB, usually at the end of the regulatory control period.</w:t>
      </w:r>
      <w:r w:rsidRPr="00315464">
        <w:t xml:space="preserve"> </w:t>
      </w:r>
      <w:r>
        <w:t xml:space="preserve"> </w:t>
      </w:r>
    </w:p>
  </w:footnote>
  <w:footnote w:id="17">
    <w:p w:rsidR="006B6187" w:rsidRDefault="006B6187">
      <w:pPr>
        <w:pStyle w:val="FootnoteText"/>
      </w:pPr>
      <w:r>
        <w:rPr>
          <w:rStyle w:val="FootnoteReference"/>
        </w:rPr>
        <w:footnoteRef/>
      </w:r>
      <w:r>
        <w:t xml:space="preserve"> </w:t>
      </w:r>
      <w:r>
        <w:tab/>
      </w:r>
      <w:r w:rsidRPr="00B5191C">
        <w:t xml:space="preserve">AER, </w:t>
      </w:r>
      <w:r w:rsidRPr="00B5191C">
        <w:rPr>
          <w:rStyle w:val="Emphasis"/>
        </w:rPr>
        <w:t>Roll forward model: Final decision</w:t>
      </w:r>
      <w:r w:rsidRPr="00B5191C">
        <w:t>, September 2007. See section 4.3.1 which discusses the need for the application of a half-nominal WACC allowance.</w:t>
      </w:r>
    </w:p>
  </w:footnote>
  <w:footnote w:id="18">
    <w:p w:rsidR="006B6187" w:rsidRDefault="006B6187">
      <w:pPr>
        <w:pStyle w:val="FootnoteText"/>
      </w:pPr>
      <w:r>
        <w:rPr>
          <w:rStyle w:val="FootnoteReference"/>
        </w:rPr>
        <w:footnoteRef/>
      </w:r>
      <w:r>
        <w:t xml:space="preserve"> </w:t>
      </w:r>
      <w:r>
        <w:tab/>
      </w:r>
      <w:r w:rsidRPr="00B5191C">
        <w:t>The nominal vanilla WACC is based on a fixed real time varying WACC—that is, a fixed real vanilla WACC adjusted for actual inflation.</w:t>
      </w:r>
    </w:p>
  </w:footnote>
  <w:footnote w:id="19">
    <w:p w:rsidR="006B6187" w:rsidRDefault="006B6187">
      <w:pPr>
        <w:pStyle w:val="FootnoteText"/>
      </w:pPr>
      <w:r w:rsidRPr="00A72F64">
        <w:rPr>
          <w:rStyle w:val="FootnoteReference"/>
          <w:highlight w:val="yellow"/>
        </w:rPr>
        <w:footnoteRef/>
      </w:r>
      <w:r w:rsidRPr="00A72F64">
        <w:rPr>
          <w:highlight w:val="yellow"/>
        </w:rPr>
        <w:t xml:space="preserve"> </w:t>
      </w:r>
      <w:r w:rsidRPr="00A72F64">
        <w:rPr>
          <w:highlight w:val="yellow"/>
        </w:rPr>
        <w:tab/>
        <w:t>Regulatory depreciation is based on the nominal straight-line depreciation less the inflation applied to the opening RAB.</w:t>
      </w:r>
    </w:p>
  </w:footnote>
  <w:footnote w:id="20">
    <w:p w:rsidR="006B6187" w:rsidRDefault="006B6187">
      <w:pPr>
        <w:pStyle w:val="FootnoteText"/>
      </w:pPr>
      <w:r>
        <w:rPr>
          <w:rStyle w:val="FootnoteReference"/>
        </w:rPr>
        <w:footnoteRef/>
      </w:r>
      <w:r>
        <w:t xml:space="preserve"> </w:t>
      </w:r>
      <w:r>
        <w:tab/>
      </w:r>
      <w:r w:rsidRPr="00E971EE">
        <w:t>For illustrative purposes this is based on a standard</w:t>
      </w:r>
      <w:r>
        <w:t xml:space="preserve"> five-year regulatory control period.</w:t>
      </w:r>
    </w:p>
  </w:footnote>
  <w:footnote w:id="21">
    <w:p w:rsidR="006B6187" w:rsidRDefault="006B6187">
      <w:pPr>
        <w:pStyle w:val="FootnoteText"/>
      </w:pPr>
      <w:r>
        <w:rPr>
          <w:rStyle w:val="FootnoteReference"/>
        </w:rPr>
        <w:footnoteRef/>
      </w:r>
      <w:r>
        <w:t xml:space="preserve"> </w:t>
      </w:r>
      <w:r>
        <w:tab/>
      </w:r>
      <w:r w:rsidRPr="00B5191C">
        <w:t>The half-nominal vanilla WACC is based on a fixed real time varying WACC—that is, a fixed real vanilla WACC adjusted for actual inflation.</w:t>
      </w:r>
    </w:p>
  </w:footnote>
  <w:footnote w:id="22">
    <w:p w:rsidR="006B6187" w:rsidRDefault="006B6187">
      <w:pPr>
        <w:pStyle w:val="FootnoteText"/>
      </w:pPr>
      <w:r w:rsidRPr="009876E9">
        <w:rPr>
          <w:rStyle w:val="FootnoteReference"/>
          <w:highlight w:val="yellow"/>
        </w:rPr>
        <w:footnoteRef/>
      </w:r>
      <w:r w:rsidRPr="009876E9">
        <w:rPr>
          <w:highlight w:val="yellow"/>
        </w:rPr>
        <w:t xml:space="preserve"> </w:t>
      </w:r>
      <w:r w:rsidRPr="009876E9">
        <w:rPr>
          <w:highlight w:val="yellow"/>
        </w:rPr>
        <w:tab/>
        <w:t>This sheet has been configured to display the RAB roll forward for a regulatory control period of 2 to 10 years.</w:t>
      </w:r>
    </w:p>
  </w:footnote>
  <w:footnote w:id="23">
    <w:p w:rsidR="006B6187" w:rsidRDefault="006B6187">
      <w:pPr>
        <w:pStyle w:val="FootnoteText"/>
      </w:pPr>
      <w:r>
        <w:rPr>
          <w:rStyle w:val="FootnoteReference"/>
        </w:rPr>
        <w:footnoteRef/>
      </w:r>
      <w:r>
        <w:t xml:space="preserve"> </w:t>
      </w:r>
      <w:r>
        <w:tab/>
      </w:r>
      <w:r w:rsidRPr="00B5191C">
        <w:t>For illustrative purposes this is based on a standard five-year regulatory control period.</w:t>
      </w:r>
    </w:p>
  </w:footnote>
  <w:footnote w:id="24">
    <w:p w:rsidR="006B6187" w:rsidRDefault="006B6187">
      <w:pPr>
        <w:pStyle w:val="FootnoteText"/>
      </w:pPr>
      <w:r w:rsidRPr="005666B6">
        <w:rPr>
          <w:rStyle w:val="FootnoteReference"/>
          <w:highlight w:val="yellow"/>
        </w:rPr>
        <w:footnoteRef/>
      </w:r>
      <w:r w:rsidRPr="005666B6">
        <w:rPr>
          <w:highlight w:val="yellow"/>
        </w:rPr>
        <w:t xml:space="preserve"> </w:t>
      </w:r>
      <w:r w:rsidRPr="005666B6">
        <w:rPr>
          <w:highlight w:val="yellow"/>
        </w:rPr>
        <w:tab/>
        <w:t>For assets that do not depreciate, there is no remaining life, and the user should input the remaining life as “n/a”. Note that although it is possible to enter “n/a” for some years of capex and a numerical value for others, this is conceptually invalid and should not be done.</w:t>
      </w:r>
    </w:p>
  </w:footnote>
  <w:footnote w:id="25">
    <w:p w:rsidR="006B6187" w:rsidRDefault="006B6187" w:rsidP="00245C05">
      <w:pPr>
        <w:pStyle w:val="FootnoteText"/>
      </w:pPr>
      <w:r w:rsidRPr="005666B6">
        <w:rPr>
          <w:rStyle w:val="FootnoteReference"/>
          <w:highlight w:val="yellow"/>
        </w:rPr>
        <w:footnoteRef/>
      </w:r>
      <w:r w:rsidRPr="005666B6">
        <w:rPr>
          <w:highlight w:val="yellow"/>
        </w:rPr>
        <w:t xml:space="preserve"> </w:t>
      </w:r>
      <w:r w:rsidRPr="005666B6">
        <w:rPr>
          <w:highlight w:val="yellow"/>
        </w:rPr>
        <w:tab/>
        <w:t>A capital stream represents the opening asset value and each individual year of capex, for each asset class.</w:t>
      </w:r>
    </w:p>
  </w:footnote>
  <w:footnote w:id="26">
    <w:p w:rsidR="006B6187" w:rsidRDefault="006B6187">
      <w:pPr>
        <w:pStyle w:val="FootnoteText"/>
      </w:pPr>
      <w:r w:rsidRPr="006959A5">
        <w:rPr>
          <w:rStyle w:val="FootnoteReference"/>
          <w:highlight w:val="yellow"/>
        </w:rPr>
        <w:footnoteRef/>
      </w:r>
      <w:r w:rsidRPr="006959A5">
        <w:rPr>
          <w:highlight w:val="yellow"/>
        </w:rPr>
        <w:t xml:space="preserve"> </w:t>
      </w:r>
      <w:r w:rsidRPr="006959A5">
        <w:rPr>
          <w:highlight w:val="yellow"/>
        </w:rPr>
        <w:tab/>
        <w:t xml:space="preserve">Where the as-commissioned RAB value is negative, the remaining life will be set to the lower of the standard asset life for the asset class and the regulatory period length. Similarly, where the as-commissioned RAB value is positive but the calculated remaining life is zero, the remaining life will be set to the lower of the standard life for the asset class and the regulatory </w:t>
      </w:r>
      <w:r>
        <w:rPr>
          <w:highlight w:val="yellow"/>
        </w:rPr>
        <w:t xml:space="preserve">control </w:t>
      </w:r>
      <w:r w:rsidRPr="006959A5">
        <w:rPr>
          <w:highlight w:val="yellow"/>
        </w:rPr>
        <w:t>period length.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D3D17E9"/>
    <w:multiLevelType w:val="hybridMultilevel"/>
    <w:tmpl w:val="0978A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19"/>
    <w:lvlOverride w:ilvl="0">
      <w:lvl w:ilvl="0" w:tplc="D66A534E">
        <w:start w:val="1"/>
        <w:numFmt w:val="none"/>
        <w:pStyle w:val="ListBullet"/>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 w:numId="33">
    <w:abstractNumId w:val="2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2."/>
        <w:lvlJc w:val="left"/>
        <w:pPr>
          <w:tabs>
            <w:tab w:val="num" w:pos="499"/>
          </w:tabs>
          <w:ind w:left="499" w:hanging="357"/>
        </w:pPr>
        <w:rPr>
          <w:rFonts w:hint="default"/>
        </w:rPr>
      </w:lvl>
    </w:lvlOverride>
    <w:lvlOverride w:ilvl="2">
      <w:lvl w:ilvl="2">
        <w:start w:val="1"/>
        <w:numFmt w:val="lowerLetter"/>
        <w:lvlText w:val="%3."/>
        <w:lvlJc w:val="left"/>
        <w:pPr>
          <w:tabs>
            <w:tab w:val="num" w:pos="720"/>
          </w:tabs>
          <w:ind w:left="720" w:hanging="363"/>
        </w:pPr>
        <w:rPr>
          <w:rFonts w:hint="default"/>
        </w:rPr>
      </w:lvl>
    </w:lvlOverride>
    <w:lvlOverride w:ilvl="3">
      <w:lvl w:ilvl="3">
        <w:start w:val="1"/>
        <w:numFmt w:val="lowerRoman"/>
        <w:lvlText w:val="%4."/>
        <w:lvlJc w:val="left"/>
        <w:pPr>
          <w:tabs>
            <w:tab w:val="num" w:pos="1077"/>
          </w:tabs>
          <w:ind w:left="1077" w:hanging="357"/>
        </w:pPr>
        <w:rPr>
          <w:rFonts w:hint="default"/>
        </w:rPr>
      </w:lvl>
    </w:lvlOverride>
    <w:lvlOverride w:ilvl="4">
      <w:lvl w:ilvl="4">
        <w:start w:val="1"/>
        <w:numFmt w:val="decimal"/>
        <w:lvlRestart w:val="1"/>
        <w:lvlText w:val="(%5)"/>
        <w:lvlJc w:val="left"/>
        <w:pPr>
          <w:tabs>
            <w:tab w:val="num" w:pos="454"/>
          </w:tabs>
          <w:ind w:left="454" w:hanging="454"/>
        </w:pPr>
        <w:rPr>
          <w:rFonts w:hint="default"/>
        </w:rPr>
      </w:lvl>
    </w:lvlOverride>
    <w:lvlOverride w:ilvl="5">
      <w:lvl w:ilvl="5">
        <w:start w:val="1"/>
        <w:numFmt w:val="lowerLetter"/>
        <w:lvlText w:val="(%6)"/>
        <w:lvlJc w:val="left"/>
        <w:pPr>
          <w:tabs>
            <w:tab w:val="num" w:pos="811"/>
          </w:tabs>
          <w:ind w:left="811" w:hanging="357"/>
        </w:pPr>
        <w:rPr>
          <w:rFonts w:hint="default"/>
        </w:rPr>
      </w:lvl>
    </w:lvlOverride>
    <w:lvlOverride w:ilvl="6">
      <w:lvl w:ilvl="6">
        <w:start w:val="1"/>
        <w:numFmt w:val="lowerRoman"/>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9"/>
  </w:num>
  <w:num w:numId="35">
    <w:abstractNumId w:val="24"/>
  </w:num>
  <w:num w:numId="36">
    <w:abstractNumId w:val="19"/>
    <w:lvlOverride w:ilvl="0">
      <w:lvl w:ilvl="0" w:tplc="D66A534E">
        <w:start w:val="1"/>
        <w:numFmt w:val="none"/>
        <w:pStyle w:val="ListBullet"/>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 w:numId="37">
    <w:abstractNumId w:val="2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2."/>
        <w:lvlJc w:val="left"/>
        <w:pPr>
          <w:tabs>
            <w:tab w:val="num" w:pos="499"/>
          </w:tabs>
          <w:ind w:left="499" w:hanging="357"/>
        </w:pPr>
        <w:rPr>
          <w:rFonts w:hint="default"/>
        </w:rPr>
      </w:lvl>
    </w:lvlOverride>
    <w:lvlOverride w:ilvl="2">
      <w:lvl w:ilvl="2">
        <w:start w:val="1"/>
        <w:numFmt w:val="lowerLetter"/>
        <w:lvlText w:val="%3."/>
        <w:lvlJc w:val="left"/>
        <w:pPr>
          <w:tabs>
            <w:tab w:val="num" w:pos="720"/>
          </w:tabs>
          <w:ind w:left="720" w:hanging="363"/>
        </w:pPr>
        <w:rPr>
          <w:rFonts w:hint="default"/>
        </w:rPr>
      </w:lvl>
    </w:lvlOverride>
    <w:lvlOverride w:ilvl="3">
      <w:lvl w:ilvl="3">
        <w:start w:val="1"/>
        <w:numFmt w:val="lowerRoman"/>
        <w:lvlText w:val="%4."/>
        <w:lvlJc w:val="left"/>
        <w:pPr>
          <w:tabs>
            <w:tab w:val="num" w:pos="1077"/>
          </w:tabs>
          <w:ind w:left="1077" w:hanging="357"/>
        </w:pPr>
        <w:rPr>
          <w:rFonts w:hint="default"/>
        </w:rPr>
      </w:lvl>
    </w:lvlOverride>
    <w:lvlOverride w:ilvl="4">
      <w:lvl w:ilvl="4">
        <w:start w:val="1"/>
        <w:numFmt w:val="decimal"/>
        <w:lvlRestart w:val="1"/>
        <w:lvlText w:val="(%5)"/>
        <w:lvlJc w:val="left"/>
        <w:pPr>
          <w:tabs>
            <w:tab w:val="num" w:pos="454"/>
          </w:tabs>
          <w:ind w:left="454" w:hanging="454"/>
        </w:pPr>
        <w:rPr>
          <w:rFonts w:hint="default"/>
        </w:rPr>
      </w:lvl>
    </w:lvlOverride>
    <w:lvlOverride w:ilvl="5">
      <w:lvl w:ilvl="5">
        <w:start w:val="1"/>
        <w:numFmt w:val="lowerLetter"/>
        <w:lvlText w:val="(%6)"/>
        <w:lvlJc w:val="left"/>
        <w:pPr>
          <w:tabs>
            <w:tab w:val="num" w:pos="811"/>
          </w:tabs>
          <w:ind w:left="811" w:hanging="357"/>
        </w:pPr>
        <w:rPr>
          <w:rFonts w:hint="default"/>
        </w:rPr>
      </w:lvl>
    </w:lvlOverride>
    <w:lvlOverride w:ilvl="6">
      <w:lvl w:ilvl="6">
        <w:start w:val="1"/>
        <w:numFmt w:val="lowerRoman"/>
        <w:lvlText w:val="(%7)"/>
        <w:lvlJc w:val="left"/>
        <w:pPr>
          <w:tabs>
            <w:tab w:val="num" w:pos="1446"/>
          </w:tabs>
          <w:ind w:left="1446" w:hanging="63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24"/>
  </w:num>
  <w:num w:numId="39">
    <w:abstractNumId w:val="19"/>
    <w:lvlOverride w:ilvl="0">
      <w:lvl w:ilvl="0" w:tplc="D66A534E">
        <w:start w:val="1"/>
        <w:numFmt w:val="none"/>
        <w:pStyle w:val="ListBullet"/>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 w:numId="40">
    <w:abstractNumId w:val="20"/>
  </w:num>
  <w:num w:numId="41">
    <w:abstractNumId w:val="19"/>
  </w:num>
  <w:num w:numId="42">
    <w:abstractNumId w:val="19"/>
    <w:lvlOverride w:ilvl="0">
      <w:lvl w:ilvl="0" w:tplc="D66A534E">
        <w:start w:val="1"/>
        <w:numFmt w:val="none"/>
        <w:pStyle w:val="ListBullet"/>
        <w:lvlText w:val="%1"/>
        <w:lvlJc w:val="left"/>
        <w:pPr>
          <w:tabs>
            <w:tab w:val="num" w:pos="0"/>
          </w:tabs>
          <w:ind w:left="0" w:firstLine="0"/>
        </w:pPr>
        <w:rPr>
          <w:rFonts w:hint="default"/>
        </w:rPr>
      </w:lvl>
    </w:lvlOverride>
    <w:lvlOverride w:ilvl="1">
      <w:lvl w:ilvl="1" w:tplc="0C090003">
        <w:start w:val="1"/>
        <w:numFmt w:val="decimal"/>
        <w:lvlText w:val="%1%2"/>
        <w:lvlJc w:val="left"/>
        <w:pPr>
          <w:tabs>
            <w:tab w:val="num" w:pos="0"/>
          </w:tabs>
          <w:ind w:left="0" w:hanging="851"/>
        </w:pPr>
        <w:rPr>
          <w:rFonts w:hint="default"/>
        </w:rPr>
      </w:lvl>
    </w:lvlOverride>
    <w:lvlOverride w:ilvl="2">
      <w:lvl w:ilvl="2" w:tplc="0C090005">
        <w:start w:val="1"/>
        <w:numFmt w:val="decimal"/>
        <w:lvlText w:val="%1%2.%3"/>
        <w:lvlJc w:val="left"/>
        <w:pPr>
          <w:tabs>
            <w:tab w:val="num" w:pos="0"/>
          </w:tabs>
          <w:ind w:left="0" w:hanging="851"/>
        </w:pPr>
        <w:rPr>
          <w:rFonts w:hint="default"/>
        </w:rPr>
      </w:lvl>
    </w:lvlOverride>
    <w:lvlOverride w:ilvl="3">
      <w:lvl w:ilvl="3" w:tplc="0C090001">
        <w:start w:val="1"/>
        <w:numFmt w:val="decimal"/>
        <w:lvlText w:val="%2.%3.%4"/>
        <w:lvlJc w:val="left"/>
        <w:pPr>
          <w:tabs>
            <w:tab w:val="num" w:pos="0"/>
          </w:tabs>
          <w:ind w:left="0" w:hanging="851"/>
        </w:pPr>
        <w:rPr>
          <w:rFonts w:hint="default"/>
        </w:rPr>
      </w:lvl>
    </w:lvlOverride>
    <w:lvlOverride w:ilvl="4">
      <w:lvl w:ilvl="4" w:tplc="0C090003">
        <w:start w:val="1"/>
        <w:numFmt w:val="upperLetter"/>
        <w:lvlRestart w:val="1"/>
        <w:lvlText w:val="%5"/>
        <w:lvlJc w:val="left"/>
        <w:pPr>
          <w:tabs>
            <w:tab w:val="num" w:pos="0"/>
          </w:tabs>
          <w:ind w:left="0" w:hanging="851"/>
        </w:pPr>
        <w:rPr>
          <w:rFonts w:hint="default"/>
        </w:rPr>
      </w:lvl>
    </w:lvlOverride>
    <w:lvlOverride w:ilvl="5">
      <w:lvl w:ilvl="5" w:tplc="0C090005">
        <w:start w:val="1"/>
        <w:numFmt w:val="decimal"/>
        <w:lvlText w:val="%5.%6"/>
        <w:lvlJc w:val="left"/>
        <w:pPr>
          <w:tabs>
            <w:tab w:val="num" w:pos="0"/>
          </w:tabs>
          <w:ind w:left="0" w:hanging="851"/>
        </w:pPr>
        <w:rPr>
          <w:rFonts w:hint="default"/>
        </w:rPr>
      </w:lvl>
    </w:lvlOverride>
    <w:lvlOverride w:ilvl="6">
      <w:lvl w:ilvl="6" w:tplc="0C090001">
        <w:start w:val="1"/>
        <w:numFmt w:val="decimal"/>
        <w:lvlText w:val="%5.%6.%7"/>
        <w:lvlJc w:val="left"/>
        <w:pPr>
          <w:tabs>
            <w:tab w:val="num" w:pos="0"/>
          </w:tabs>
          <w:ind w:left="0" w:hanging="851"/>
        </w:pPr>
        <w:rPr>
          <w:rFonts w:hint="default"/>
        </w:rPr>
      </w:lvl>
    </w:lvlOverride>
    <w:lvlOverride w:ilvl="7">
      <w:lvl w:ilvl="7" w:tplc="0C090003">
        <w:start w:val="1"/>
        <w:numFmt w:val="none"/>
        <w:lvlRestart w:val="0"/>
        <w:lvlText w:val=""/>
        <w:lvlJc w:val="left"/>
        <w:pPr>
          <w:tabs>
            <w:tab w:val="num" w:pos="0"/>
          </w:tabs>
          <w:ind w:left="0" w:firstLine="0"/>
        </w:pPr>
        <w:rPr>
          <w:rFonts w:hint="default"/>
        </w:rPr>
      </w:lvl>
    </w:lvlOverride>
    <w:lvlOverride w:ilvl="8">
      <w:lvl w:ilvl="8" w:tplc="0C090005">
        <w:start w:val="1"/>
        <w:numFmt w:val="none"/>
        <w:lvlRestart w:val="0"/>
        <w:lvlText w:val=""/>
        <w:lvlJc w:val="left"/>
        <w:pPr>
          <w:ind w:left="0" w:firstLine="0"/>
        </w:pPr>
        <w:rPr>
          <w:rFonts w:hint="default"/>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styleLockTheme/>
  <w:defaultTabStop w:val="340"/>
  <w:characterSpacingControl w:val="doNotCompress"/>
  <w:hdrShapeDefaults>
    <o:shapedefaults v:ext="edit" spidmax="7168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jseym\AER\Web loading\Appendix B - Proposed amended transmission roll forward model handbook - version 3.DOCX"/>
  </w:docVars>
  <w:rsids>
    <w:rsidRoot w:val="00A84CB6"/>
    <w:rsid w:val="00002284"/>
    <w:rsid w:val="00021202"/>
    <w:rsid w:val="0002517F"/>
    <w:rsid w:val="0003033C"/>
    <w:rsid w:val="0003578C"/>
    <w:rsid w:val="00043DFF"/>
    <w:rsid w:val="000463B6"/>
    <w:rsid w:val="0005646F"/>
    <w:rsid w:val="00057234"/>
    <w:rsid w:val="00063247"/>
    <w:rsid w:val="00064959"/>
    <w:rsid w:val="00070F9F"/>
    <w:rsid w:val="0007137B"/>
    <w:rsid w:val="00074341"/>
    <w:rsid w:val="00085663"/>
    <w:rsid w:val="00085EBF"/>
    <w:rsid w:val="000A04E1"/>
    <w:rsid w:val="000A6272"/>
    <w:rsid w:val="000A6C7B"/>
    <w:rsid w:val="000B4909"/>
    <w:rsid w:val="000C3D9B"/>
    <w:rsid w:val="000D122C"/>
    <w:rsid w:val="000E1819"/>
    <w:rsid w:val="000E482C"/>
    <w:rsid w:val="000E6C72"/>
    <w:rsid w:val="000E74FB"/>
    <w:rsid w:val="00100E79"/>
    <w:rsid w:val="00107CC7"/>
    <w:rsid w:val="00110B99"/>
    <w:rsid w:val="00116EB2"/>
    <w:rsid w:val="00124609"/>
    <w:rsid w:val="00130C3C"/>
    <w:rsid w:val="00131C80"/>
    <w:rsid w:val="00132ADA"/>
    <w:rsid w:val="00136883"/>
    <w:rsid w:val="0014573B"/>
    <w:rsid w:val="00145B5D"/>
    <w:rsid w:val="001573E4"/>
    <w:rsid w:val="0016029B"/>
    <w:rsid w:val="00160756"/>
    <w:rsid w:val="00170114"/>
    <w:rsid w:val="00170C3B"/>
    <w:rsid w:val="0017232E"/>
    <w:rsid w:val="00173D47"/>
    <w:rsid w:val="00174102"/>
    <w:rsid w:val="0017503E"/>
    <w:rsid w:val="0017602A"/>
    <w:rsid w:val="00180157"/>
    <w:rsid w:val="00182906"/>
    <w:rsid w:val="00183124"/>
    <w:rsid w:val="00183AD2"/>
    <w:rsid w:val="00185CB9"/>
    <w:rsid w:val="0018692A"/>
    <w:rsid w:val="00186F77"/>
    <w:rsid w:val="001926A4"/>
    <w:rsid w:val="00192AD5"/>
    <w:rsid w:val="001B2F70"/>
    <w:rsid w:val="001B45A0"/>
    <w:rsid w:val="001C7014"/>
    <w:rsid w:val="001D055E"/>
    <w:rsid w:val="001D245B"/>
    <w:rsid w:val="001D3159"/>
    <w:rsid w:val="001F492E"/>
    <w:rsid w:val="001F6DA3"/>
    <w:rsid w:val="002010BC"/>
    <w:rsid w:val="00202E03"/>
    <w:rsid w:val="0020492C"/>
    <w:rsid w:val="00207FDC"/>
    <w:rsid w:val="0021037D"/>
    <w:rsid w:val="0021562D"/>
    <w:rsid w:val="00224972"/>
    <w:rsid w:val="00224DB9"/>
    <w:rsid w:val="00225615"/>
    <w:rsid w:val="00233775"/>
    <w:rsid w:val="00245C05"/>
    <w:rsid w:val="00251745"/>
    <w:rsid w:val="00257DC0"/>
    <w:rsid w:val="00263AC0"/>
    <w:rsid w:val="00263F73"/>
    <w:rsid w:val="0026772D"/>
    <w:rsid w:val="002714EE"/>
    <w:rsid w:val="0027275A"/>
    <w:rsid w:val="00286874"/>
    <w:rsid w:val="00293A09"/>
    <w:rsid w:val="00294688"/>
    <w:rsid w:val="00296B65"/>
    <w:rsid w:val="002A3021"/>
    <w:rsid w:val="002A7DEF"/>
    <w:rsid w:val="002B14DE"/>
    <w:rsid w:val="002B49FF"/>
    <w:rsid w:val="002B75A3"/>
    <w:rsid w:val="002C2EF1"/>
    <w:rsid w:val="002E1BE5"/>
    <w:rsid w:val="002E2BFC"/>
    <w:rsid w:val="002F05C0"/>
    <w:rsid w:val="002F7986"/>
    <w:rsid w:val="00301B40"/>
    <w:rsid w:val="00305CC8"/>
    <w:rsid w:val="00307F6D"/>
    <w:rsid w:val="0031430F"/>
    <w:rsid w:val="003149B3"/>
    <w:rsid w:val="00315464"/>
    <w:rsid w:val="003177A2"/>
    <w:rsid w:val="0032227C"/>
    <w:rsid w:val="00324194"/>
    <w:rsid w:val="00324ACF"/>
    <w:rsid w:val="00325FA9"/>
    <w:rsid w:val="003271B5"/>
    <w:rsid w:val="00327A1E"/>
    <w:rsid w:val="00331264"/>
    <w:rsid w:val="00334C8D"/>
    <w:rsid w:val="00335744"/>
    <w:rsid w:val="003518B3"/>
    <w:rsid w:val="00355511"/>
    <w:rsid w:val="00361005"/>
    <w:rsid w:val="003671EE"/>
    <w:rsid w:val="003746D4"/>
    <w:rsid w:val="003776AF"/>
    <w:rsid w:val="003846F1"/>
    <w:rsid w:val="00393C3D"/>
    <w:rsid w:val="00396D48"/>
    <w:rsid w:val="003A47F2"/>
    <w:rsid w:val="003A48E6"/>
    <w:rsid w:val="003A497B"/>
    <w:rsid w:val="003C5387"/>
    <w:rsid w:val="003C6E34"/>
    <w:rsid w:val="003D1933"/>
    <w:rsid w:val="003F219D"/>
    <w:rsid w:val="004002EF"/>
    <w:rsid w:val="00402F4C"/>
    <w:rsid w:val="00416FA6"/>
    <w:rsid w:val="004440AF"/>
    <w:rsid w:val="00445952"/>
    <w:rsid w:val="0044656F"/>
    <w:rsid w:val="00447DFC"/>
    <w:rsid w:val="00472EE8"/>
    <w:rsid w:val="00480B4B"/>
    <w:rsid w:val="00485DC4"/>
    <w:rsid w:val="0049371C"/>
    <w:rsid w:val="004A224D"/>
    <w:rsid w:val="004A43D1"/>
    <w:rsid w:val="004B4412"/>
    <w:rsid w:val="004C30B3"/>
    <w:rsid w:val="004C348C"/>
    <w:rsid w:val="004D1423"/>
    <w:rsid w:val="004D55BA"/>
    <w:rsid w:val="004E22EC"/>
    <w:rsid w:val="004E439A"/>
    <w:rsid w:val="004F26AA"/>
    <w:rsid w:val="00500FBB"/>
    <w:rsid w:val="00504396"/>
    <w:rsid w:val="00530128"/>
    <w:rsid w:val="00532467"/>
    <w:rsid w:val="0056080A"/>
    <w:rsid w:val="00562632"/>
    <w:rsid w:val="00564A4D"/>
    <w:rsid w:val="00565620"/>
    <w:rsid w:val="005666B6"/>
    <w:rsid w:val="00567BA5"/>
    <w:rsid w:val="00571B35"/>
    <w:rsid w:val="00571D57"/>
    <w:rsid w:val="00577A09"/>
    <w:rsid w:val="005829C2"/>
    <w:rsid w:val="00584D8F"/>
    <w:rsid w:val="00587BCF"/>
    <w:rsid w:val="00595BA4"/>
    <w:rsid w:val="00595C7C"/>
    <w:rsid w:val="005A404D"/>
    <w:rsid w:val="005A4A83"/>
    <w:rsid w:val="005A6CBD"/>
    <w:rsid w:val="005B1E3C"/>
    <w:rsid w:val="005C1CDD"/>
    <w:rsid w:val="005C26CC"/>
    <w:rsid w:val="005C4261"/>
    <w:rsid w:val="00601F7F"/>
    <w:rsid w:val="00615C6B"/>
    <w:rsid w:val="00620A9D"/>
    <w:rsid w:val="00632D6D"/>
    <w:rsid w:val="00642C3E"/>
    <w:rsid w:val="00651C2B"/>
    <w:rsid w:val="00663DAD"/>
    <w:rsid w:val="00670957"/>
    <w:rsid w:val="00676132"/>
    <w:rsid w:val="00676679"/>
    <w:rsid w:val="00677C2D"/>
    <w:rsid w:val="006959A5"/>
    <w:rsid w:val="006A08D2"/>
    <w:rsid w:val="006B2DEC"/>
    <w:rsid w:val="006B4CF9"/>
    <w:rsid w:val="006B6187"/>
    <w:rsid w:val="006B7AC8"/>
    <w:rsid w:val="006C1FEB"/>
    <w:rsid w:val="006C7703"/>
    <w:rsid w:val="006D25F0"/>
    <w:rsid w:val="006D550F"/>
    <w:rsid w:val="006D58FC"/>
    <w:rsid w:val="006E63EC"/>
    <w:rsid w:val="006F25F8"/>
    <w:rsid w:val="006F4AFB"/>
    <w:rsid w:val="006F5D26"/>
    <w:rsid w:val="00701CAB"/>
    <w:rsid w:val="00707563"/>
    <w:rsid w:val="0072348C"/>
    <w:rsid w:val="00724A37"/>
    <w:rsid w:val="007261A0"/>
    <w:rsid w:val="007303C3"/>
    <w:rsid w:val="007378D8"/>
    <w:rsid w:val="00743223"/>
    <w:rsid w:val="00746E01"/>
    <w:rsid w:val="00757BDF"/>
    <w:rsid w:val="007603CB"/>
    <w:rsid w:val="007628EE"/>
    <w:rsid w:val="00763E5D"/>
    <w:rsid w:val="00767740"/>
    <w:rsid w:val="007729E2"/>
    <w:rsid w:val="00777EE6"/>
    <w:rsid w:val="00782EEA"/>
    <w:rsid w:val="007A48E4"/>
    <w:rsid w:val="007A4D1F"/>
    <w:rsid w:val="007A587E"/>
    <w:rsid w:val="007B252F"/>
    <w:rsid w:val="007B2C72"/>
    <w:rsid w:val="007C1C53"/>
    <w:rsid w:val="007C74BB"/>
    <w:rsid w:val="007C793B"/>
    <w:rsid w:val="007E4904"/>
    <w:rsid w:val="007E4CB5"/>
    <w:rsid w:val="007F066B"/>
    <w:rsid w:val="007F2869"/>
    <w:rsid w:val="008033C4"/>
    <w:rsid w:val="00806C88"/>
    <w:rsid w:val="0081034E"/>
    <w:rsid w:val="008279B5"/>
    <w:rsid w:val="008344F6"/>
    <w:rsid w:val="0083510F"/>
    <w:rsid w:val="00841C2E"/>
    <w:rsid w:val="00843704"/>
    <w:rsid w:val="0085103D"/>
    <w:rsid w:val="00851209"/>
    <w:rsid w:val="0087267F"/>
    <w:rsid w:val="00874D71"/>
    <w:rsid w:val="00875B55"/>
    <w:rsid w:val="008837AC"/>
    <w:rsid w:val="0088541B"/>
    <w:rsid w:val="00897D95"/>
    <w:rsid w:val="008A3E3C"/>
    <w:rsid w:val="008A587D"/>
    <w:rsid w:val="008B2DED"/>
    <w:rsid w:val="008C1212"/>
    <w:rsid w:val="008C5486"/>
    <w:rsid w:val="008C7D8D"/>
    <w:rsid w:val="008D1661"/>
    <w:rsid w:val="008D69CC"/>
    <w:rsid w:val="008E7031"/>
    <w:rsid w:val="008F1C31"/>
    <w:rsid w:val="008F2354"/>
    <w:rsid w:val="008F41DA"/>
    <w:rsid w:val="008F5566"/>
    <w:rsid w:val="008F5E6F"/>
    <w:rsid w:val="00910EB1"/>
    <w:rsid w:val="009233EE"/>
    <w:rsid w:val="00925272"/>
    <w:rsid w:val="009431DB"/>
    <w:rsid w:val="009460AA"/>
    <w:rsid w:val="00951978"/>
    <w:rsid w:val="00951C82"/>
    <w:rsid w:val="009570E3"/>
    <w:rsid w:val="009661DE"/>
    <w:rsid w:val="0097040F"/>
    <w:rsid w:val="00977CDB"/>
    <w:rsid w:val="009856B7"/>
    <w:rsid w:val="009876E9"/>
    <w:rsid w:val="00994ED0"/>
    <w:rsid w:val="009A5FC3"/>
    <w:rsid w:val="009B4D48"/>
    <w:rsid w:val="009B74B0"/>
    <w:rsid w:val="009C0566"/>
    <w:rsid w:val="009C24ED"/>
    <w:rsid w:val="009D6B46"/>
    <w:rsid w:val="009E2D13"/>
    <w:rsid w:val="009F0854"/>
    <w:rsid w:val="009F1FA9"/>
    <w:rsid w:val="009F4940"/>
    <w:rsid w:val="009F5BA1"/>
    <w:rsid w:val="00A02A88"/>
    <w:rsid w:val="00A0562E"/>
    <w:rsid w:val="00A05ED1"/>
    <w:rsid w:val="00A0726D"/>
    <w:rsid w:val="00A13AE4"/>
    <w:rsid w:val="00A1702A"/>
    <w:rsid w:val="00A22495"/>
    <w:rsid w:val="00A26898"/>
    <w:rsid w:val="00A3063F"/>
    <w:rsid w:val="00A32FBB"/>
    <w:rsid w:val="00A430D9"/>
    <w:rsid w:val="00A4478A"/>
    <w:rsid w:val="00A44852"/>
    <w:rsid w:val="00A57D04"/>
    <w:rsid w:val="00A60023"/>
    <w:rsid w:val="00A60A26"/>
    <w:rsid w:val="00A61598"/>
    <w:rsid w:val="00A72F64"/>
    <w:rsid w:val="00A744E1"/>
    <w:rsid w:val="00A75077"/>
    <w:rsid w:val="00A8019B"/>
    <w:rsid w:val="00A84CB6"/>
    <w:rsid w:val="00A84F46"/>
    <w:rsid w:val="00A871F4"/>
    <w:rsid w:val="00A93215"/>
    <w:rsid w:val="00A96E52"/>
    <w:rsid w:val="00AA1386"/>
    <w:rsid w:val="00AA233F"/>
    <w:rsid w:val="00AA6380"/>
    <w:rsid w:val="00AC1B2C"/>
    <w:rsid w:val="00AC3264"/>
    <w:rsid w:val="00AD2DB7"/>
    <w:rsid w:val="00AD5B6F"/>
    <w:rsid w:val="00AE1BF1"/>
    <w:rsid w:val="00AF0857"/>
    <w:rsid w:val="00AF0B2C"/>
    <w:rsid w:val="00AF0DD2"/>
    <w:rsid w:val="00AF1ED6"/>
    <w:rsid w:val="00B008D7"/>
    <w:rsid w:val="00B01CCB"/>
    <w:rsid w:val="00B13048"/>
    <w:rsid w:val="00B1716D"/>
    <w:rsid w:val="00B17A1D"/>
    <w:rsid w:val="00B207A0"/>
    <w:rsid w:val="00B223FB"/>
    <w:rsid w:val="00B37E38"/>
    <w:rsid w:val="00B514DD"/>
    <w:rsid w:val="00B5191C"/>
    <w:rsid w:val="00B52AF0"/>
    <w:rsid w:val="00B53F57"/>
    <w:rsid w:val="00B56E03"/>
    <w:rsid w:val="00B8080B"/>
    <w:rsid w:val="00B81030"/>
    <w:rsid w:val="00B84B2F"/>
    <w:rsid w:val="00B87C39"/>
    <w:rsid w:val="00B927D8"/>
    <w:rsid w:val="00BA3C98"/>
    <w:rsid w:val="00BA4665"/>
    <w:rsid w:val="00BB1B82"/>
    <w:rsid w:val="00BB2FB2"/>
    <w:rsid w:val="00BB3304"/>
    <w:rsid w:val="00BD3446"/>
    <w:rsid w:val="00BE1F1B"/>
    <w:rsid w:val="00BE47B5"/>
    <w:rsid w:val="00BE4A06"/>
    <w:rsid w:val="00BE7F75"/>
    <w:rsid w:val="00C0259C"/>
    <w:rsid w:val="00C173A0"/>
    <w:rsid w:val="00C25FA6"/>
    <w:rsid w:val="00C25FED"/>
    <w:rsid w:val="00C46AAB"/>
    <w:rsid w:val="00C538A9"/>
    <w:rsid w:val="00C53B5A"/>
    <w:rsid w:val="00C54F5A"/>
    <w:rsid w:val="00C569B4"/>
    <w:rsid w:val="00C572D8"/>
    <w:rsid w:val="00C67A92"/>
    <w:rsid w:val="00C73E74"/>
    <w:rsid w:val="00C86679"/>
    <w:rsid w:val="00C9201A"/>
    <w:rsid w:val="00C9348E"/>
    <w:rsid w:val="00CA489E"/>
    <w:rsid w:val="00CB3BBE"/>
    <w:rsid w:val="00CB666B"/>
    <w:rsid w:val="00CC1B34"/>
    <w:rsid w:val="00CC213C"/>
    <w:rsid w:val="00CC7F1D"/>
    <w:rsid w:val="00CD6D6F"/>
    <w:rsid w:val="00CF224B"/>
    <w:rsid w:val="00D01CF0"/>
    <w:rsid w:val="00D0442A"/>
    <w:rsid w:val="00D04683"/>
    <w:rsid w:val="00D0484E"/>
    <w:rsid w:val="00D11BAA"/>
    <w:rsid w:val="00D41DCB"/>
    <w:rsid w:val="00D57544"/>
    <w:rsid w:val="00D60E1E"/>
    <w:rsid w:val="00D61388"/>
    <w:rsid w:val="00D61A54"/>
    <w:rsid w:val="00D64DEA"/>
    <w:rsid w:val="00D7168E"/>
    <w:rsid w:val="00D71E57"/>
    <w:rsid w:val="00D80893"/>
    <w:rsid w:val="00D81C0E"/>
    <w:rsid w:val="00D81EF4"/>
    <w:rsid w:val="00D86778"/>
    <w:rsid w:val="00D90AA6"/>
    <w:rsid w:val="00D92CF1"/>
    <w:rsid w:val="00D92D38"/>
    <w:rsid w:val="00D942BD"/>
    <w:rsid w:val="00D950F5"/>
    <w:rsid w:val="00DA70BA"/>
    <w:rsid w:val="00DB0F93"/>
    <w:rsid w:val="00DB1A67"/>
    <w:rsid w:val="00DB1C30"/>
    <w:rsid w:val="00DB39B6"/>
    <w:rsid w:val="00DB5074"/>
    <w:rsid w:val="00DB723B"/>
    <w:rsid w:val="00DC7981"/>
    <w:rsid w:val="00DD26A3"/>
    <w:rsid w:val="00DE386D"/>
    <w:rsid w:val="00DE4EFA"/>
    <w:rsid w:val="00DE5520"/>
    <w:rsid w:val="00DF1B96"/>
    <w:rsid w:val="00E005C5"/>
    <w:rsid w:val="00E04818"/>
    <w:rsid w:val="00E05F31"/>
    <w:rsid w:val="00E06442"/>
    <w:rsid w:val="00E137FB"/>
    <w:rsid w:val="00E16751"/>
    <w:rsid w:val="00E17C66"/>
    <w:rsid w:val="00E22820"/>
    <w:rsid w:val="00E23993"/>
    <w:rsid w:val="00E25B8C"/>
    <w:rsid w:val="00E328B8"/>
    <w:rsid w:val="00E4507E"/>
    <w:rsid w:val="00E60193"/>
    <w:rsid w:val="00E65C85"/>
    <w:rsid w:val="00E66199"/>
    <w:rsid w:val="00E755EC"/>
    <w:rsid w:val="00E7624D"/>
    <w:rsid w:val="00E804C3"/>
    <w:rsid w:val="00E92E2D"/>
    <w:rsid w:val="00EA3D42"/>
    <w:rsid w:val="00EA44AA"/>
    <w:rsid w:val="00EA6B1B"/>
    <w:rsid w:val="00EB505D"/>
    <w:rsid w:val="00EC0053"/>
    <w:rsid w:val="00EC21A3"/>
    <w:rsid w:val="00EE28F3"/>
    <w:rsid w:val="00EF5110"/>
    <w:rsid w:val="00F04A31"/>
    <w:rsid w:val="00F15882"/>
    <w:rsid w:val="00F166F1"/>
    <w:rsid w:val="00F171E0"/>
    <w:rsid w:val="00F20BD3"/>
    <w:rsid w:val="00F27D32"/>
    <w:rsid w:val="00F30753"/>
    <w:rsid w:val="00F3507B"/>
    <w:rsid w:val="00F373A5"/>
    <w:rsid w:val="00F46B6E"/>
    <w:rsid w:val="00F47559"/>
    <w:rsid w:val="00F63C0C"/>
    <w:rsid w:val="00F64C7B"/>
    <w:rsid w:val="00F676DD"/>
    <w:rsid w:val="00F71778"/>
    <w:rsid w:val="00F72795"/>
    <w:rsid w:val="00F75A26"/>
    <w:rsid w:val="00F835C9"/>
    <w:rsid w:val="00F83FAD"/>
    <w:rsid w:val="00F92CE8"/>
    <w:rsid w:val="00F952A0"/>
    <w:rsid w:val="00F96B0D"/>
    <w:rsid w:val="00FA06B5"/>
    <w:rsid w:val="00FA3C7F"/>
    <w:rsid w:val="00FB6F90"/>
    <w:rsid w:val="00FB74E2"/>
    <w:rsid w:val="00FD5614"/>
    <w:rsid w:val="00FE0BE1"/>
    <w:rsid w:val="00FE1DE9"/>
    <w:rsid w:val="00FE333A"/>
    <w:rsid w:val="00FE39C2"/>
    <w:rsid w:val="00FE3C32"/>
    <w:rsid w:val="00FE4BB7"/>
    <w:rsid w:val="00FE64AE"/>
    <w:rsid w:val="00FE73B9"/>
    <w:rsid w:val="00FE75ED"/>
    <w:rsid w:val="00FF61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6B2DEC"/>
    <w:pPr>
      <w:spacing w:line="240" w:lineRule="auto"/>
    </w:pPr>
    <w:rPr>
      <w:sz w:val="20"/>
      <w:szCs w:val="20"/>
    </w:rPr>
  </w:style>
  <w:style w:type="character" w:customStyle="1" w:styleId="CommentTextChar">
    <w:name w:val="Comment Text Char"/>
    <w:basedOn w:val="DefaultParagraphFont"/>
    <w:link w:val="CommentText"/>
    <w:uiPriority w:val="99"/>
    <w:semiHidden/>
    <w:rsid w:val="006B2D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2DEC"/>
    <w:rPr>
      <w:b/>
      <w:bCs/>
    </w:rPr>
  </w:style>
  <w:style w:type="character" w:customStyle="1" w:styleId="CommentSubjectChar">
    <w:name w:val="Comment Subject Char"/>
    <w:basedOn w:val="CommentTextChar"/>
    <w:link w:val="CommentSubject"/>
    <w:uiPriority w:val="99"/>
    <w:semiHidden/>
    <w:rsid w:val="006B2DEC"/>
    <w:rPr>
      <w:rFonts w:ascii="Arial" w:hAnsi="Arial"/>
      <w:b/>
      <w:bCs/>
      <w:sz w:val="20"/>
      <w:szCs w:val="20"/>
    </w:rPr>
  </w:style>
  <w:style w:type="paragraph" w:styleId="NormalWeb">
    <w:name w:val="Normal (Web)"/>
    <w:basedOn w:val="Normal"/>
    <w:uiPriority w:val="99"/>
    <w:unhideWhenUsed/>
    <w:rsid w:val="00F46B6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99"/>
    <w:unhideWhenUsed/>
    <w:rsid w:val="006A08D2"/>
    <w:pPr>
      <w:spacing w:after="120"/>
    </w:pPr>
  </w:style>
  <w:style w:type="character" w:customStyle="1" w:styleId="BodyTextChar">
    <w:name w:val="Body Text Char"/>
    <w:basedOn w:val="DefaultParagraphFont"/>
    <w:link w:val="BodyText"/>
    <w:uiPriority w:val="99"/>
    <w:rsid w:val="006A08D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uiPriority w:val="9"/>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6B2DEC"/>
    <w:pPr>
      <w:spacing w:line="240" w:lineRule="auto"/>
    </w:pPr>
    <w:rPr>
      <w:sz w:val="20"/>
      <w:szCs w:val="20"/>
    </w:rPr>
  </w:style>
  <w:style w:type="character" w:customStyle="1" w:styleId="CommentTextChar">
    <w:name w:val="Comment Text Char"/>
    <w:basedOn w:val="DefaultParagraphFont"/>
    <w:link w:val="CommentText"/>
    <w:uiPriority w:val="99"/>
    <w:semiHidden/>
    <w:rsid w:val="006B2DE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B2DEC"/>
    <w:rPr>
      <w:b/>
      <w:bCs/>
    </w:rPr>
  </w:style>
  <w:style w:type="character" w:customStyle="1" w:styleId="CommentSubjectChar">
    <w:name w:val="Comment Subject Char"/>
    <w:basedOn w:val="CommentTextChar"/>
    <w:link w:val="CommentSubject"/>
    <w:uiPriority w:val="99"/>
    <w:semiHidden/>
    <w:rsid w:val="006B2DEC"/>
    <w:rPr>
      <w:rFonts w:ascii="Arial" w:hAnsi="Arial"/>
      <w:b/>
      <w:bCs/>
      <w:sz w:val="20"/>
      <w:szCs w:val="20"/>
    </w:rPr>
  </w:style>
  <w:style w:type="paragraph" w:styleId="NormalWeb">
    <w:name w:val="Normal (Web)"/>
    <w:basedOn w:val="Normal"/>
    <w:uiPriority w:val="99"/>
    <w:unhideWhenUsed/>
    <w:rsid w:val="00F46B6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
    <w:name w:val="Body Text"/>
    <w:basedOn w:val="Normal"/>
    <w:link w:val="BodyTextChar"/>
    <w:uiPriority w:val="99"/>
    <w:unhideWhenUsed/>
    <w:rsid w:val="006A08D2"/>
    <w:pPr>
      <w:spacing w:after="120"/>
    </w:pPr>
  </w:style>
  <w:style w:type="character" w:customStyle="1" w:styleId="BodyTextChar">
    <w:name w:val="Body Text Char"/>
    <w:basedOn w:val="DefaultParagraphFont"/>
    <w:link w:val="BodyText"/>
    <w:uiPriority w:val="99"/>
    <w:rsid w:val="006A08D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4092">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0.png"/><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A2F870-CC76-4E73-A495-CCCD7EA1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2015.dotm</Template>
  <TotalTime>3797</TotalTime>
  <Pages>37</Pages>
  <Words>10170</Words>
  <Characters>57970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Appendix B - Proposed amended transmission roll forward model handbook - version 3</vt:lpstr>
    </vt:vector>
  </TitlesOfParts>
  <Company>AER</Company>
  <LinksUpToDate>false</LinksUpToDate>
  <CharactersWithSpaces>68004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Proposed amended transmission roll forward model handbook - version 3</dc:title>
  <dc:creator>Australian Energy Regulator</dc:creator>
  <cp:lastModifiedBy>Seymour, Jonathan</cp:lastModifiedBy>
  <cp:revision>5</cp:revision>
  <cp:lastPrinted>2015-07-03T04:25:00Z</cp:lastPrinted>
  <dcterms:created xsi:type="dcterms:W3CDTF">2015-05-27T06:29:00Z</dcterms:created>
  <dcterms:modified xsi:type="dcterms:W3CDTF">2015-07-03T04:25:00Z</dcterms:modified>
  <cp:version>1</cp:version>
</cp:coreProperties>
</file>