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E4" w:rsidRPr="004C1E2A" w:rsidRDefault="003069E4" w:rsidP="00BC6DA2">
      <w:pPr>
        <w:tabs>
          <w:tab w:val="left" w:pos="567"/>
        </w:tabs>
        <w:spacing w:after="0" w:line="240" w:lineRule="auto"/>
        <w:ind w:left="567" w:hanging="567"/>
        <w:jc w:val="both"/>
        <w:rPr>
          <w:rFonts w:ascii="Arial Narrow" w:hAnsi="Arial Narrow"/>
          <w:b/>
          <w:color w:val="17365D" w:themeColor="text2" w:themeShade="BF"/>
          <w:sz w:val="32"/>
          <w:szCs w:val="32"/>
        </w:rPr>
      </w:pPr>
      <w:r w:rsidRPr="004C1E2A">
        <w:rPr>
          <w:rFonts w:ascii="Arial Narrow" w:hAnsi="Arial Narrow"/>
          <w:b/>
          <w:color w:val="17365D" w:themeColor="text2" w:themeShade="BF"/>
          <w:sz w:val="32"/>
          <w:szCs w:val="32"/>
        </w:rPr>
        <w:t>11</w:t>
      </w:r>
      <w:r w:rsidR="00D0059C" w:rsidRPr="004C1E2A">
        <w:rPr>
          <w:rFonts w:ascii="Arial Narrow" w:hAnsi="Arial Narrow"/>
          <w:b/>
          <w:color w:val="17365D" w:themeColor="text2" w:themeShade="BF"/>
          <w:sz w:val="32"/>
          <w:szCs w:val="32"/>
        </w:rPr>
        <w:t>-1</w:t>
      </w:r>
      <w:r w:rsidRPr="004C1E2A">
        <w:rPr>
          <w:rFonts w:ascii="Arial Narrow" w:hAnsi="Arial Narrow"/>
          <w:b/>
          <w:color w:val="17365D" w:themeColor="text2" w:themeShade="BF"/>
          <w:sz w:val="32"/>
          <w:szCs w:val="32"/>
        </w:rPr>
        <w:tab/>
      </w:r>
      <w:r w:rsidR="00D0059C" w:rsidRPr="004C1E2A">
        <w:rPr>
          <w:rFonts w:ascii="Arial Narrow" w:hAnsi="Arial Narrow"/>
          <w:b/>
          <w:color w:val="17365D" w:themeColor="text2" w:themeShade="BF"/>
          <w:sz w:val="32"/>
          <w:szCs w:val="32"/>
        </w:rPr>
        <w:t xml:space="preserve">Response to Draft Decision: </w:t>
      </w:r>
      <w:r w:rsidR="005551A2" w:rsidRPr="004C1E2A">
        <w:rPr>
          <w:rFonts w:ascii="Arial Narrow" w:hAnsi="Arial Narrow"/>
          <w:b/>
          <w:color w:val="17365D" w:themeColor="text2" w:themeShade="BF"/>
          <w:sz w:val="32"/>
          <w:szCs w:val="32"/>
        </w:rPr>
        <w:t xml:space="preserve">Incentive Mechanism </w:t>
      </w:r>
    </w:p>
    <w:p w:rsidR="003069E4" w:rsidRPr="004C1E2A" w:rsidRDefault="003069E4" w:rsidP="004C1E2A">
      <w:pPr>
        <w:spacing w:after="0" w:line="240" w:lineRule="auto"/>
        <w:jc w:val="both"/>
        <w:rPr>
          <w:rFonts w:ascii="Arial Narrow" w:hAnsi="Arial Narrow"/>
          <w:sz w:val="24"/>
          <w:szCs w:val="24"/>
        </w:rPr>
      </w:pPr>
    </w:p>
    <w:p w:rsidR="003069E4" w:rsidRPr="004C1E2A" w:rsidRDefault="003069E4" w:rsidP="004C1E2A">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1</w:t>
      </w:r>
      <w:r w:rsidRPr="004C1E2A">
        <w:rPr>
          <w:rFonts w:ascii="Arial Narrow" w:hAnsi="Arial Narrow"/>
          <w:b/>
          <w:color w:val="17365D" w:themeColor="text2" w:themeShade="BF"/>
          <w:sz w:val="24"/>
          <w:szCs w:val="24"/>
        </w:rPr>
        <w:tab/>
      </w:r>
      <w:r w:rsidR="00BE01B6" w:rsidRPr="004C1E2A">
        <w:rPr>
          <w:rFonts w:ascii="Arial Narrow" w:hAnsi="Arial Narrow"/>
          <w:b/>
          <w:color w:val="17365D" w:themeColor="text2" w:themeShade="BF"/>
          <w:sz w:val="24"/>
          <w:szCs w:val="24"/>
        </w:rPr>
        <w:t>Introduction</w:t>
      </w:r>
    </w:p>
    <w:p w:rsidR="003069E4" w:rsidRPr="004C1E2A" w:rsidRDefault="003069E4" w:rsidP="004C1E2A">
      <w:pPr>
        <w:spacing w:after="0" w:line="240" w:lineRule="auto"/>
        <w:jc w:val="both"/>
        <w:rPr>
          <w:rFonts w:ascii="Arial Narrow" w:hAnsi="Arial Narrow"/>
          <w:b/>
          <w:sz w:val="24"/>
          <w:szCs w:val="24"/>
        </w:rPr>
      </w:pPr>
    </w:p>
    <w:p w:rsidR="002F2485" w:rsidRPr="004C1E2A" w:rsidRDefault="000C12FB"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AER’s </w:t>
      </w:r>
      <w:r w:rsidR="005831D7" w:rsidRPr="004C1E2A">
        <w:rPr>
          <w:rFonts w:ascii="Arial Narrow" w:hAnsi="Arial Narrow"/>
          <w:sz w:val="24"/>
          <w:szCs w:val="24"/>
        </w:rPr>
        <w:t>Dra</w:t>
      </w:r>
      <w:r w:rsidR="00F543A8" w:rsidRPr="004C1E2A">
        <w:rPr>
          <w:rFonts w:ascii="Arial Narrow" w:hAnsi="Arial Narrow"/>
          <w:sz w:val="24"/>
          <w:szCs w:val="24"/>
        </w:rPr>
        <w:t xml:space="preserve">ft Decision did not </w:t>
      </w:r>
      <w:r w:rsidR="003B76F0" w:rsidRPr="004C1E2A">
        <w:rPr>
          <w:rFonts w:ascii="Arial Narrow" w:hAnsi="Arial Narrow"/>
          <w:sz w:val="24"/>
          <w:szCs w:val="24"/>
        </w:rPr>
        <w:t>ap</w:t>
      </w:r>
      <w:r w:rsidR="00F543A8" w:rsidRPr="004C1E2A">
        <w:rPr>
          <w:rFonts w:ascii="Arial Narrow" w:hAnsi="Arial Narrow"/>
          <w:sz w:val="24"/>
          <w:szCs w:val="24"/>
        </w:rPr>
        <w:t xml:space="preserve">prove Envestra’s proposed carry over </w:t>
      </w:r>
      <w:r w:rsidR="004D39B8" w:rsidRPr="004C1E2A">
        <w:rPr>
          <w:rFonts w:ascii="Arial Narrow" w:hAnsi="Arial Narrow"/>
          <w:sz w:val="24"/>
          <w:szCs w:val="24"/>
        </w:rPr>
        <w:t>amount</w:t>
      </w:r>
      <w:r w:rsidR="00BD1453" w:rsidRPr="004C1E2A">
        <w:rPr>
          <w:rFonts w:ascii="Arial Narrow" w:hAnsi="Arial Narrow"/>
          <w:sz w:val="24"/>
          <w:szCs w:val="24"/>
        </w:rPr>
        <w:t>s</w:t>
      </w:r>
      <w:r w:rsidR="004D39B8" w:rsidRPr="004C1E2A">
        <w:rPr>
          <w:rFonts w:ascii="Arial Narrow" w:hAnsi="Arial Narrow"/>
          <w:sz w:val="24"/>
          <w:szCs w:val="24"/>
        </w:rPr>
        <w:t xml:space="preserve"> </w:t>
      </w:r>
      <w:r w:rsidR="00BD1453" w:rsidRPr="004C1E2A">
        <w:rPr>
          <w:rFonts w:ascii="Arial Narrow" w:hAnsi="Arial Narrow"/>
          <w:sz w:val="24"/>
          <w:szCs w:val="24"/>
        </w:rPr>
        <w:t xml:space="preserve">from the 2008 to 2012 Access Arrangement period </w:t>
      </w:r>
      <w:r w:rsidR="00F543A8" w:rsidRPr="004C1E2A">
        <w:rPr>
          <w:rFonts w:ascii="Arial Narrow" w:hAnsi="Arial Narrow"/>
          <w:sz w:val="24"/>
          <w:szCs w:val="24"/>
        </w:rPr>
        <w:t>of $4.7 mi</w:t>
      </w:r>
      <w:r w:rsidR="001A3F69" w:rsidRPr="004C1E2A">
        <w:rPr>
          <w:rFonts w:ascii="Arial Narrow" w:hAnsi="Arial Narrow"/>
          <w:sz w:val="24"/>
          <w:szCs w:val="24"/>
        </w:rPr>
        <w:t xml:space="preserve">llion ($2012) </w:t>
      </w:r>
      <w:r w:rsidR="00BD1453" w:rsidRPr="004C1E2A">
        <w:rPr>
          <w:rFonts w:ascii="Arial Narrow" w:hAnsi="Arial Narrow"/>
          <w:sz w:val="24"/>
          <w:szCs w:val="24"/>
        </w:rPr>
        <w:t xml:space="preserve">for Victoria and zero for Albury, </w:t>
      </w:r>
      <w:r w:rsidR="003B76F0" w:rsidRPr="004C1E2A">
        <w:rPr>
          <w:rFonts w:ascii="Arial Narrow" w:hAnsi="Arial Narrow"/>
          <w:sz w:val="24"/>
          <w:szCs w:val="24"/>
        </w:rPr>
        <w:t xml:space="preserve">instead calculating </w:t>
      </w:r>
      <w:r w:rsidR="00F543A8" w:rsidRPr="004C1E2A">
        <w:rPr>
          <w:rFonts w:ascii="Arial Narrow" w:hAnsi="Arial Narrow"/>
          <w:sz w:val="24"/>
          <w:szCs w:val="24"/>
        </w:rPr>
        <w:t xml:space="preserve">carry over </w:t>
      </w:r>
      <w:r w:rsidR="004D39B8" w:rsidRPr="004C1E2A">
        <w:rPr>
          <w:rFonts w:ascii="Arial Narrow" w:hAnsi="Arial Narrow"/>
          <w:sz w:val="24"/>
          <w:szCs w:val="24"/>
        </w:rPr>
        <w:t>amount</w:t>
      </w:r>
      <w:r w:rsidR="00BD1453" w:rsidRPr="004C1E2A">
        <w:rPr>
          <w:rFonts w:ascii="Arial Narrow" w:hAnsi="Arial Narrow"/>
          <w:sz w:val="24"/>
          <w:szCs w:val="24"/>
        </w:rPr>
        <w:t>s</w:t>
      </w:r>
      <w:r w:rsidR="004D39B8" w:rsidRPr="004C1E2A">
        <w:rPr>
          <w:rFonts w:ascii="Arial Narrow" w:hAnsi="Arial Narrow"/>
          <w:sz w:val="24"/>
          <w:szCs w:val="24"/>
        </w:rPr>
        <w:t xml:space="preserve"> </w:t>
      </w:r>
      <w:r w:rsidR="00F543A8" w:rsidRPr="004C1E2A">
        <w:rPr>
          <w:rFonts w:ascii="Arial Narrow" w:hAnsi="Arial Narrow"/>
          <w:sz w:val="24"/>
          <w:szCs w:val="24"/>
        </w:rPr>
        <w:t>of -$8.6 million ($2012)</w:t>
      </w:r>
      <w:r w:rsidR="00BD1453" w:rsidRPr="004C1E2A">
        <w:rPr>
          <w:rFonts w:ascii="Arial Narrow" w:hAnsi="Arial Narrow"/>
          <w:sz w:val="24"/>
          <w:szCs w:val="24"/>
        </w:rPr>
        <w:t xml:space="preserve"> for Victoria and -$2.3 million ($2012) for Albury</w:t>
      </w:r>
      <w:r w:rsidR="00F543A8" w:rsidRPr="004C1E2A">
        <w:rPr>
          <w:rFonts w:ascii="Arial Narrow" w:hAnsi="Arial Narrow"/>
          <w:sz w:val="24"/>
          <w:szCs w:val="24"/>
        </w:rPr>
        <w:t xml:space="preserve">. </w:t>
      </w:r>
      <w:r w:rsidR="003B76F0" w:rsidRPr="004C1E2A">
        <w:rPr>
          <w:rFonts w:ascii="Arial Narrow" w:hAnsi="Arial Narrow"/>
          <w:sz w:val="24"/>
          <w:szCs w:val="24"/>
        </w:rPr>
        <w:t>The AER also propose</w:t>
      </w:r>
      <w:r w:rsidR="002F2485" w:rsidRPr="004C1E2A">
        <w:rPr>
          <w:rFonts w:ascii="Arial Narrow" w:hAnsi="Arial Narrow"/>
          <w:sz w:val="24"/>
          <w:szCs w:val="24"/>
        </w:rPr>
        <w:t>d</w:t>
      </w:r>
      <w:r w:rsidR="003B76F0" w:rsidRPr="004C1E2A">
        <w:rPr>
          <w:rFonts w:ascii="Arial Narrow" w:hAnsi="Arial Narrow"/>
          <w:sz w:val="24"/>
          <w:szCs w:val="24"/>
        </w:rPr>
        <w:t xml:space="preserve"> to impose an incentive mechanism on </w:t>
      </w:r>
      <w:r w:rsidR="00BD1453" w:rsidRPr="004C1E2A">
        <w:rPr>
          <w:rFonts w:ascii="Arial Narrow" w:hAnsi="Arial Narrow"/>
          <w:sz w:val="24"/>
          <w:szCs w:val="24"/>
        </w:rPr>
        <w:t>the two networks</w:t>
      </w:r>
      <w:r w:rsidR="003B76F0" w:rsidRPr="004C1E2A">
        <w:rPr>
          <w:rFonts w:ascii="Arial Narrow" w:hAnsi="Arial Narrow"/>
          <w:sz w:val="24"/>
          <w:szCs w:val="24"/>
        </w:rPr>
        <w:t xml:space="preserve"> for the</w:t>
      </w:r>
      <w:r w:rsidR="002F2485" w:rsidRPr="004C1E2A">
        <w:rPr>
          <w:rFonts w:ascii="Arial Narrow" w:hAnsi="Arial Narrow"/>
          <w:sz w:val="24"/>
          <w:szCs w:val="24"/>
        </w:rPr>
        <w:t xml:space="preserve"> 20</w:t>
      </w:r>
      <w:r w:rsidR="003B76F0" w:rsidRPr="004C1E2A">
        <w:rPr>
          <w:rFonts w:ascii="Arial Narrow" w:hAnsi="Arial Narrow"/>
          <w:sz w:val="24"/>
          <w:szCs w:val="24"/>
        </w:rPr>
        <w:t>13</w:t>
      </w:r>
      <w:r w:rsidR="00445991" w:rsidRPr="004C1E2A">
        <w:rPr>
          <w:rFonts w:ascii="Arial Narrow" w:hAnsi="Arial Narrow"/>
          <w:sz w:val="24"/>
          <w:szCs w:val="24"/>
        </w:rPr>
        <w:t xml:space="preserve"> to </w:t>
      </w:r>
      <w:r w:rsidR="004D39B8" w:rsidRPr="004C1E2A">
        <w:rPr>
          <w:rFonts w:ascii="Arial Narrow" w:hAnsi="Arial Narrow"/>
          <w:sz w:val="24"/>
          <w:szCs w:val="24"/>
        </w:rPr>
        <w:t>20</w:t>
      </w:r>
      <w:r w:rsidR="003B76F0" w:rsidRPr="004C1E2A">
        <w:rPr>
          <w:rFonts w:ascii="Arial Narrow" w:hAnsi="Arial Narrow"/>
          <w:sz w:val="24"/>
          <w:szCs w:val="24"/>
        </w:rPr>
        <w:t xml:space="preserve">17 </w:t>
      </w:r>
      <w:r w:rsidR="001A3F69" w:rsidRPr="004C1E2A">
        <w:rPr>
          <w:rFonts w:ascii="Arial Narrow" w:hAnsi="Arial Narrow"/>
          <w:sz w:val="24"/>
          <w:szCs w:val="24"/>
        </w:rPr>
        <w:t>Access A</w:t>
      </w:r>
      <w:r w:rsidR="003B76F0" w:rsidRPr="004C1E2A">
        <w:rPr>
          <w:rFonts w:ascii="Arial Narrow" w:hAnsi="Arial Narrow"/>
          <w:sz w:val="24"/>
          <w:szCs w:val="24"/>
        </w:rPr>
        <w:t xml:space="preserve">rrangement </w:t>
      </w:r>
      <w:r w:rsidR="00445991" w:rsidRPr="004C1E2A">
        <w:rPr>
          <w:rFonts w:ascii="Arial Narrow" w:hAnsi="Arial Narrow"/>
          <w:sz w:val="24"/>
          <w:szCs w:val="24"/>
        </w:rPr>
        <w:t>period</w:t>
      </w:r>
      <w:r w:rsidR="002F2485" w:rsidRPr="004C1E2A">
        <w:rPr>
          <w:rFonts w:ascii="Arial Narrow" w:hAnsi="Arial Narrow"/>
          <w:sz w:val="24"/>
          <w:szCs w:val="24"/>
        </w:rPr>
        <w:t>, rejecting Envestra’s p</w:t>
      </w:r>
      <w:r w:rsidR="003B76F0" w:rsidRPr="004C1E2A">
        <w:rPr>
          <w:rFonts w:ascii="Arial Narrow" w:hAnsi="Arial Narrow"/>
          <w:sz w:val="24"/>
          <w:szCs w:val="24"/>
        </w:rPr>
        <w:t xml:space="preserve">roposal to not apply an incentive mechanism </w:t>
      </w:r>
      <w:r w:rsidR="002F2485" w:rsidRPr="004C1E2A">
        <w:rPr>
          <w:rFonts w:ascii="Arial Narrow" w:hAnsi="Arial Narrow"/>
          <w:sz w:val="24"/>
          <w:szCs w:val="24"/>
        </w:rPr>
        <w:t>during this period.</w:t>
      </w:r>
    </w:p>
    <w:p w:rsidR="002F2485" w:rsidRPr="004C1E2A" w:rsidRDefault="002F2485" w:rsidP="004C1E2A">
      <w:pPr>
        <w:spacing w:after="0" w:line="240" w:lineRule="auto"/>
        <w:jc w:val="both"/>
        <w:rPr>
          <w:rFonts w:ascii="Arial Narrow" w:hAnsi="Arial Narrow"/>
          <w:sz w:val="24"/>
          <w:szCs w:val="24"/>
        </w:rPr>
      </w:pPr>
    </w:p>
    <w:p w:rsidR="003069E4" w:rsidRPr="004C1E2A" w:rsidRDefault="004E147D"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has </w:t>
      </w:r>
      <w:r w:rsidR="004D39B8" w:rsidRPr="004C1E2A">
        <w:rPr>
          <w:rFonts w:ascii="Arial Narrow" w:hAnsi="Arial Narrow"/>
          <w:sz w:val="24"/>
          <w:szCs w:val="24"/>
        </w:rPr>
        <w:t>incorrectly</w:t>
      </w:r>
      <w:r w:rsidRPr="004C1E2A">
        <w:rPr>
          <w:rFonts w:ascii="Arial Narrow" w:hAnsi="Arial Narrow"/>
          <w:sz w:val="24"/>
          <w:szCs w:val="24"/>
        </w:rPr>
        <w:t xml:space="preserve"> calculat</w:t>
      </w:r>
      <w:r w:rsidR="004D39B8" w:rsidRPr="004C1E2A">
        <w:rPr>
          <w:rFonts w:ascii="Arial Narrow" w:hAnsi="Arial Narrow"/>
          <w:sz w:val="24"/>
          <w:szCs w:val="24"/>
        </w:rPr>
        <w:t>ed</w:t>
      </w:r>
      <w:r w:rsidRPr="004C1E2A">
        <w:rPr>
          <w:rFonts w:ascii="Arial Narrow" w:hAnsi="Arial Narrow"/>
          <w:sz w:val="24"/>
          <w:szCs w:val="24"/>
        </w:rPr>
        <w:t xml:space="preserve"> the negative carry over </w:t>
      </w:r>
      <w:r w:rsidR="004D39B8" w:rsidRPr="004C1E2A">
        <w:rPr>
          <w:rFonts w:ascii="Arial Narrow" w:hAnsi="Arial Narrow"/>
          <w:sz w:val="24"/>
          <w:szCs w:val="24"/>
        </w:rPr>
        <w:t xml:space="preserve">amount </w:t>
      </w:r>
      <w:r w:rsidRPr="004C1E2A">
        <w:rPr>
          <w:rFonts w:ascii="Arial Narrow" w:hAnsi="Arial Narrow"/>
          <w:sz w:val="24"/>
          <w:szCs w:val="24"/>
        </w:rPr>
        <w:t>from the 2008</w:t>
      </w:r>
      <w:r w:rsidR="00445991" w:rsidRPr="004C1E2A">
        <w:rPr>
          <w:rFonts w:ascii="Arial Narrow" w:hAnsi="Arial Narrow"/>
          <w:sz w:val="24"/>
          <w:szCs w:val="24"/>
        </w:rPr>
        <w:t xml:space="preserve"> to</w:t>
      </w:r>
      <w:r w:rsidR="00DE58A8" w:rsidRPr="004C1E2A">
        <w:rPr>
          <w:rFonts w:ascii="Arial Narrow" w:hAnsi="Arial Narrow"/>
          <w:sz w:val="24"/>
          <w:szCs w:val="24"/>
        </w:rPr>
        <w:t xml:space="preserve"> </w:t>
      </w:r>
      <w:r w:rsidR="004D39B8" w:rsidRPr="004C1E2A">
        <w:rPr>
          <w:rFonts w:ascii="Arial Narrow" w:hAnsi="Arial Narrow"/>
          <w:sz w:val="24"/>
          <w:szCs w:val="24"/>
        </w:rPr>
        <w:t>20</w:t>
      </w:r>
      <w:r w:rsidRPr="004C1E2A">
        <w:rPr>
          <w:rFonts w:ascii="Arial Narrow" w:hAnsi="Arial Narrow"/>
          <w:sz w:val="24"/>
          <w:szCs w:val="24"/>
        </w:rPr>
        <w:t xml:space="preserve">12 </w:t>
      </w:r>
      <w:r w:rsidR="001A3F69" w:rsidRPr="004C1E2A">
        <w:rPr>
          <w:rFonts w:ascii="Arial Narrow" w:hAnsi="Arial Narrow"/>
          <w:sz w:val="24"/>
          <w:szCs w:val="24"/>
        </w:rPr>
        <w:t>A</w:t>
      </w:r>
      <w:r w:rsidRPr="004C1E2A">
        <w:rPr>
          <w:rFonts w:ascii="Arial Narrow" w:hAnsi="Arial Narrow"/>
          <w:sz w:val="24"/>
          <w:szCs w:val="24"/>
        </w:rPr>
        <w:t xml:space="preserve">ccess </w:t>
      </w:r>
      <w:r w:rsidR="001A3F69" w:rsidRPr="004C1E2A">
        <w:rPr>
          <w:rFonts w:ascii="Arial Narrow" w:hAnsi="Arial Narrow"/>
          <w:sz w:val="24"/>
          <w:szCs w:val="24"/>
        </w:rPr>
        <w:t xml:space="preserve">Arrangement </w:t>
      </w:r>
      <w:r w:rsidR="00445991" w:rsidRPr="004C1E2A">
        <w:rPr>
          <w:rFonts w:ascii="Arial Narrow" w:hAnsi="Arial Narrow"/>
          <w:sz w:val="24"/>
          <w:szCs w:val="24"/>
        </w:rPr>
        <w:t xml:space="preserve">period </w:t>
      </w:r>
      <w:r w:rsidRPr="004C1E2A">
        <w:rPr>
          <w:rFonts w:ascii="Arial Narrow" w:hAnsi="Arial Narrow"/>
          <w:sz w:val="24"/>
          <w:szCs w:val="24"/>
        </w:rPr>
        <w:t xml:space="preserve">and, more importantly, erred by applying the negative carry over </w:t>
      </w:r>
      <w:r w:rsidR="004D39B8" w:rsidRPr="004C1E2A">
        <w:rPr>
          <w:rFonts w:ascii="Arial Narrow" w:hAnsi="Arial Narrow"/>
          <w:sz w:val="24"/>
          <w:szCs w:val="24"/>
        </w:rPr>
        <w:t xml:space="preserve">amount </w:t>
      </w:r>
      <w:r w:rsidRPr="004C1E2A">
        <w:rPr>
          <w:rFonts w:ascii="Arial Narrow" w:hAnsi="Arial Narrow"/>
          <w:sz w:val="24"/>
          <w:szCs w:val="24"/>
        </w:rPr>
        <w:t>when determining the 2013</w:t>
      </w:r>
      <w:r w:rsidR="00445991" w:rsidRPr="004C1E2A">
        <w:rPr>
          <w:rFonts w:ascii="Arial Narrow" w:hAnsi="Arial Narrow"/>
          <w:sz w:val="24"/>
          <w:szCs w:val="24"/>
        </w:rPr>
        <w:t xml:space="preserve"> to </w:t>
      </w:r>
      <w:r w:rsidR="004D39B8" w:rsidRPr="004C1E2A">
        <w:rPr>
          <w:rFonts w:ascii="Arial Narrow" w:hAnsi="Arial Narrow"/>
          <w:sz w:val="24"/>
          <w:szCs w:val="24"/>
        </w:rPr>
        <w:t>20</w:t>
      </w:r>
      <w:r w:rsidRPr="004C1E2A">
        <w:rPr>
          <w:rFonts w:ascii="Arial Narrow" w:hAnsi="Arial Narrow"/>
          <w:sz w:val="24"/>
          <w:szCs w:val="24"/>
        </w:rPr>
        <w:t>17 allowed revenue</w:t>
      </w:r>
      <w:r w:rsidR="003B01E9" w:rsidRPr="004C1E2A">
        <w:rPr>
          <w:rFonts w:ascii="Arial Narrow" w:hAnsi="Arial Narrow"/>
          <w:sz w:val="24"/>
          <w:szCs w:val="24"/>
        </w:rPr>
        <w:t xml:space="preserve"> for both networks</w:t>
      </w:r>
      <w:r w:rsidRPr="004C1E2A">
        <w:rPr>
          <w:rFonts w:ascii="Arial Narrow" w:hAnsi="Arial Narrow"/>
          <w:sz w:val="24"/>
          <w:szCs w:val="24"/>
        </w:rPr>
        <w:t xml:space="preserve">. </w:t>
      </w:r>
      <w:r w:rsidR="00453DD1" w:rsidRPr="004C1E2A">
        <w:rPr>
          <w:rFonts w:ascii="Arial Narrow" w:hAnsi="Arial Narrow"/>
          <w:sz w:val="24"/>
          <w:szCs w:val="24"/>
        </w:rPr>
        <w:t>T</w:t>
      </w:r>
      <w:r w:rsidR="00551F22" w:rsidRPr="004C1E2A">
        <w:rPr>
          <w:rFonts w:ascii="Arial Narrow" w:hAnsi="Arial Narrow"/>
          <w:sz w:val="24"/>
          <w:szCs w:val="24"/>
        </w:rPr>
        <w:t>his attachment details</w:t>
      </w:r>
      <w:r w:rsidR="00453DD1" w:rsidRPr="004C1E2A">
        <w:rPr>
          <w:rFonts w:ascii="Arial Narrow" w:hAnsi="Arial Narrow"/>
          <w:sz w:val="24"/>
          <w:szCs w:val="24"/>
        </w:rPr>
        <w:t xml:space="preserve"> </w:t>
      </w:r>
      <w:r w:rsidR="00F03CBC" w:rsidRPr="004C1E2A">
        <w:rPr>
          <w:rFonts w:ascii="Arial Narrow" w:hAnsi="Arial Narrow"/>
          <w:sz w:val="24"/>
          <w:szCs w:val="24"/>
        </w:rPr>
        <w:t xml:space="preserve">Envestra’s </w:t>
      </w:r>
      <w:r w:rsidR="00C32FDA" w:rsidRPr="004C1E2A">
        <w:rPr>
          <w:rFonts w:ascii="Arial Narrow" w:hAnsi="Arial Narrow"/>
          <w:sz w:val="24"/>
          <w:szCs w:val="24"/>
        </w:rPr>
        <w:t>calculation of the</w:t>
      </w:r>
      <w:r w:rsidR="001A3F69" w:rsidRPr="004C1E2A">
        <w:rPr>
          <w:rFonts w:ascii="Arial Narrow" w:hAnsi="Arial Narrow"/>
          <w:sz w:val="24"/>
          <w:szCs w:val="24"/>
        </w:rPr>
        <w:t xml:space="preserve"> carry over </w:t>
      </w:r>
      <w:r w:rsidR="004D39B8" w:rsidRPr="004C1E2A">
        <w:rPr>
          <w:rFonts w:ascii="Arial Narrow" w:hAnsi="Arial Narrow"/>
          <w:sz w:val="24"/>
          <w:szCs w:val="24"/>
        </w:rPr>
        <w:t>amount</w:t>
      </w:r>
      <w:r w:rsidR="00BD1453" w:rsidRPr="004C1E2A">
        <w:rPr>
          <w:rFonts w:ascii="Arial Narrow" w:hAnsi="Arial Narrow"/>
          <w:sz w:val="24"/>
          <w:szCs w:val="24"/>
        </w:rPr>
        <w:t>s</w:t>
      </w:r>
      <w:r w:rsidR="004D39B8" w:rsidRPr="004C1E2A">
        <w:rPr>
          <w:rFonts w:ascii="Arial Narrow" w:hAnsi="Arial Narrow"/>
          <w:sz w:val="24"/>
          <w:szCs w:val="24"/>
        </w:rPr>
        <w:t xml:space="preserve"> </w:t>
      </w:r>
      <w:r w:rsidR="001A3F69" w:rsidRPr="004C1E2A">
        <w:rPr>
          <w:rFonts w:ascii="Arial Narrow" w:hAnsi="Arial Narrow"/>
          <w:sz w:val="24"/>
          <w:szCs w:val="24"/>
        </w:rPr>
        <w:t>from the 2008</w:t>
      </w:r>
      <w:r w:rsidR="00445991" w:rsidRPr="004C1E2A">
        <w:rPr>
          <w:rFonts w:ascii="Arial Narrow" w:hAnsi="Arial Narrow"/>
          <w:sz w:val="24"/>
          <w:szCs w:val="24"/>
        </w:rPr>
        <w:t xml:space="preserve"> to</w:t>
      </w:r>
      <w:r w:rsidR="004D39B8" w:rsidRPr="004C1E2A">
        <w:rPr>
          <w:rFonts w:ascii="Arial Narrow" w:hAnsi="Arial Narrow"/>
          <w:sz w:val="24"/>
          <w:szCs w:val="24"/>
        </w:rPr>
        <w:t xml:space="preserve"> 20</w:t>
      </w:r>
      <w:r w:rsidR="001A3F69" w:rsidRPr="004C1E2A">
        <w:rPr>
          <w:rFonts w:ascii="Arial Narrow" w:hAnsi="Arial Narrow"/>
          <w:sz w:val="24"/>
          <w:szCs w:val="24"/>
        </w:rPr>
        <w:t xml:space="preserve">12 Access Arrangement </w:t>
      </w:r>
      <w:r w:rsidR="00445991" w:rsidRPr="004C1E2A">
        <w:rPr>
          <w:rFonts w:ascii="Arial Narrow" w:hAnsi="Arial Narrow"/>
          <w:sz w:val="24"/>
          <w:szCs w:val="24"/>
        </w:rPr>
        <w:t xml:space="preserve">period </w:t>
      </w:r>
      <w:r w:rsidR="00665E84" w:rsidRPr="004C1E2A">
        <w:rPr>
          <w:rFonts w:ascii="Arial Narrow" w:hAnsi="Arial Narrow"/>
          <w:sz w:val="24"/>
          <w:szCs w:val="24"/>
        </w:rPr>
        <w:t xml:space="preserve">and explains why the AER cannot apply a negative carry over to </w:t>
      </w:r>
      <w:r w:rsidR="00445991" w:rsidRPr="004C1E2A">
        <w:rPr>
          <w:rFonts w:ascii="Arial Narrow" w:hAnsi="Arial Narrow"/>
          <w:sz w:val="24"/>
          <w:szCs w:val="24"/>
        </w:rPr>
        <w:t xml:space="preserve">determine </w:t>
      </w:r>
      <w:r w:rsidR="00665E84" w:rsidRPr="004C1E2A">
        <w:rPr>
          <w:rFonts w:ascii="Arial Narrow" w:hAnsi="Arial Narrow"/>
          <w:sz w:val="24"/>
          <w:szCs w:val="24"/>
        </w:rPr>
        <w:t>the 2013</w:t>
      </w:r>
      <w:r w:rsidR="00445991" w:rsidRPr="004C1E2A">
        <w:rPr>
          <w:rFonts w:ascii="Arial Narrow" w:hAnsi="Arial Narrow"/>
          <w:sz w:val="24"/>
          <w:szCs w:val="24"/>
        </w:rPr>
        <w:t xml:space="preserve"> to</w:t>
      </w:r>
      <w:r w:rsidR="004D39B8" w:rsidRPr="004C1E2A">
        <w:rPr>
          <w:rFonts w:ascii="Arial Narrow" w:hAnsi="Arial Narrow"/>
          <w:sz w:val="24"/>
          <w:szCs w:val="24"/>
        </w:rPr>
        <w:t xml:space="preserve"> 20</w:t>
      </w:r>
      <w:r w:rsidR="00665E84" w:rsidRPr="004C1E2A">
        <w:rPr>
          <w:rFonts w:ascii="Arial Narrow" w:hAnsi="Arial Narrow"/>
          <w:sz w:val="24"/>
          <w:szCs w:val="24"/>
        </w:rPr>
        <w:t>17 allowed revenue.</w:t>
      </w:r>
      <w:r w:rsidR="00BE01B6" w:rsidRPr="004C1E2A">
        <w:rPr>
          <w:rFonts w:ascii="Arial Narrow" w:hAnsi="Arial Narrow"/>
          <w:sz w:val="24"/>
          <w:szCs w:val="24"/>
        </w:rPr>
        <w:t xml:space="preserve"> </w:t>
      </w:r>
    </w:p>
    <w:p w:rsidR="003069E4" w:rsidRPr="004C1E2A" w:rsidRDefault="003069E4" w:rsidP="004C1E2A">
      <w:pPr>
        <w:pStyle w:val="ListParagraph"/>
        <w:tabs>
          <w:tab w:val="left" w:pos="851"/>
        </w:tabs>
        <w:spacing w:after="0" w:line="240" w:lineRule="auto"/>
        <w:ind w:left="851" w:hanging="284"/>
        <w:jc w:val="both"/>
        <w:rPr>
          <w:rFonts w:ascii="Arial Narrow" w:hAnsi="Arial Narrow"/>
          <w:sz w:val="24"/>
          <w:szCs w:val="24"/>
        </w:rPr>
      </w:pPr>
    </w:p>
    <w:p w:rsidR="003069E4" w:rsidRPr="004C1E2A" w:rsidRDefault="003069E4" w:rsidP="004C1E2A">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2</w:t>
      </w:r>
      <w:r w:rsidRPr="004C1E2A">
        <w:rPr>
          <w:rFonts w:ascii="Arial Narrow" w:hAnsi="Arial Narrow"/>
          <w:b/>
          <w:color w:val="17365D" w:themeColor="text2" w:themeShade="BF"/>
          <w:sz w:val="24"/>
          <w:szCs w:val="24"/>
        </w:rPr>
        <w:tab/>
      </w:r>
      <w:r w:rsidR="00665E84" w:rsidRPr="004C1E2A">
        <w:rPr>
          <w:rFonts w:ascii="Arial Narrow" w:hAnsi="Arial Narrow"/>
          <w:b/>
          <w:color w:val="17365D" w:themeColor="text2" w:themeShade="BF"/>
          <w:sz w:val="24"/>
          <w:szCs w:val="24"/>
        </w:rPr>
        <w:t xml:space="preserve">Incentive Mechanism Outcomes for the 2008 to 2012 Access Arrangement Period </w:t>
      </w:r>
    </w:p>
    <w:p w:rsidR="00665E84" w:rsidRPr="004C1E2A" w:rsidRDefault="00665E84" w:rsidP="004C1E2A">
      <w:pPr>
        <w:tabs>
          <w:tab w:val="left" w:pos="567"/>
        </w:tabs>
        <w:spacing w:after="0" w:line="240" w:lineRule="auto"/>
        <w:ind w:left="567" w:hanging="567"/>
        <w:jc w:val="both"/>
        <w:rPr>
          <w:rFonts w:ascii="Arial Narrow" w:hAnsi="Arial Narrow"/>
          <w:b/>
          <w:color w:val="17365D" w:themeColor="text2" w:themeShade="BF"/>
          <w:sz w:val="24"/>
          <w:szCs w:val="24"/>
        </w:rPr>
      </w:pPr>
    </w:p>
    <w:p w:rsidR="008F7BB9" w:rsidRPr="004C1E2A" w:rsidRDefault="008C7A30"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 has determined the carry over </w:t>
      </w:r>
      <w:r w:rsidR="004D39B8" w:rsidRPr="004C1E2A">
        <w:rPr>
          <w:rFonts w:ascii="Arial Narrow" w:hAnsi="Arial Narrow"/>
          <w:sz w:val="24"/>
          <w:szCs w:val="24"/>
        </w:rPr>
        <w:t xml:space="preserve">amount </w:t>
      </w:r>
      <w:r w:rsidRPr="004C1E2A">
        <w:rPr>
          <w:rFonts w:ascii="Arial Narrow" w:hAnsi="Arial Narrow"/>
          <w:sz w:val="24"/>
          <w:szCs w:val="24"/>
        </w:rPr>
        <w:t xml:space="preserve">from the 2008 to 2012 Access Arrangement </w:t>
      </w:r>
      <w:r w:rsidR="00445991" w:rsidRPr="004C1E2A">
        <w:rPr>
          <w:rFonts w:ascii="Arial Narrow" w:hAnsi="Arial Narrow"/>
          <w:sz w:val="24"/>
          <w:szCs w:val="24"/>
        </w:rPr>
        <w:t xml:space="preserve">period </w:t>
      </w:r>
      <w:r w:rsidR="00326DF7" w:rsidRPr="004C1E2A">
        <w:rPr>
          <w:rFonts w:ascii="Arial Narrow" w:hAnsi="Arial Narrow"/>
          <w:sz w:val="24"/>
          <w:szCs w:val="24"/>
        </w:rPr>
        <w:t>to be</w:t>
      </w:r>
      <w:r w:rsidR="00BD1453" w:rsidRPr="004C1E2A">
        <w:rPr>
          <w:rFonts w:ascii="Arial Narrow" w:hAnsi="Arial Narrow"/>
          <w:sz w:val="24"/>
          <w:szCs w:val="24"/>
        </w:rPr>
        <w:t xml:space="preserve"> </w:t>
      </w:r>
      <w:r w:rsidR="00DB3A7B">
        <w:rPr>
          <w:rFonts w:ascii="Arial Narrow" w:hAnsi="Arial Narrow"/>
          <w:sz w:val="24"/>
          <w:szCs w:val="24"/>
        </w:rPr>
        <w:t xml:space="preserve">zero </w:t>
      </w:r>
      <w:r w:rsidR="00BD1453" w:rsidRPr="004C1E2A">
        <w:rPr>
          <w:rFonts w:ascii="Arial Narrow" w:hAnsi="Arial Narrow"/>
          <w:sz w:val="24"/>
          <w:szCs w:val="24"/>
        </w:rPr>
        <w:t xml:space="preserve">for Victoria and Albury.  In its Draft Decision the AER had imposed negative carry over amounts of </w:t>
      </w:r>
      <w:r w:rsidR="003B01E9" w:rsidRPr="004C1E2A">
        <w:rPr>
          <w:rFonts w:ascii="Arial Narrow" w:hAnsi="Arial Narrow"/>
          <w:sz w:val="24"/>
          <w:szCs w:val="24"/>
        </w:rPr>
        <w:t>-</w:t>
      </w:r>
      <w:r w:rsidR="00BD1453" w:rsidRPr="004C1E2A">
        <w:rPr>
          <w:rFonts w:ascii="Arial Narrow" w:hAnsi="Arial Narrow"/>
          <w:sz w:val="24"/>
          <w:szCs w:val="24"/>
        </w:rPr>
        <w:t>$8.6 million ($2012) for Victoria and -$2.3 million ($2012) for Albury. Figures 1 and 2 below comprise</w:t>
      </w:r>
      <w:r w:rsidR="008F7BB9" w:rsidRPr="004C1E2A">
        <w:rPr>
          <w:rFonts w:ascii="Arial Narrow" w:hAnsi="Arial Narrow"/>
          <w:sz w:val="24"/>
          <w:szCs w:val="24"/>
        </w:rPr>
        <w:t xml:space="preserve"> extract</w:t>
      </w:r>
      <w:r w:rsidR="00BD1453" w:rsidRPr="004C1E2A">
        <w:rPr>
          <w:rFonts w:ascii="Arial Narrow" w:hAnsi="Arial Narrow"/>
          <w:sz w:val="24"/>
          <w:szCs w:val="24"/>
        </w:rPr>
        <w:t>s</w:t>
      </w:r>
      <w:r w:rsidR="008F7BB9" w:rsidRPr="004C1E2A">
        <w:rPr>
          <w:rFonts w:ascii="Arial Narrow" w:hAnsi="Arial Narrow"/>
          <w:sz w:val="24"/>
          <w:szCs w:val="24"/>
        </w:rPr>
        <w:t xml:space="preserve"> from </w:t>
      </w:r>
      <w:r w:rsidR="00BD1453" w:rsidRPr="004C1E2A">
        <w:rPr>
          <w:rFonts w:ascii="Arial Narrow" w:hAnsi="Arial Narrow"/>
          <w:sz w:val="24"/>
          <w:szCs w:val="24"/>
        </w:rPr>
        <w:t xml:space="preserve">the </w:t>
      </w:r>
      <w:r w:rsidR="008F7BB9" w:rsidRPr="004C1E2A">
        <w:rPr>
          <w:rFonts w:ascii="Arial Narrow" w:hAnsi="Arial Narrow"/>
          <w:sz w:val="24"/>
          <w:szCs w:val="24"/>
        </w:rPr>
        <w:t>post-tax revenue model</w:t>
      </w:r>
      <w:r w:rsidR="00BD1453" w:rsidRPr="004C1E2A">
        <w:rPr>
          <w:rFonts w:ascii="Arial Narrow" w:hAnsi="Arial Narrow"/>
          <w:sz w:val="24"/>
          <w:szCs w:val="24"/>
        </w:rPr>
        <w:t>s</w:t>
      </w:r>
      <w:r w:rsidR="008F7BB9" w:rsidRPr="004C1E2A">
        <w:rPr>
          <w:rFonts w:ascii="Arial Narrow" w:hAnsi="Arial Narrow"/>
          <w:sz w:val="24"/>
          <w:szCs w:val="24"/>
        </w:rPr>
        <w:t xml:space="preserve"> used for calculating the carry over amount</w:t>
      </w:r>
      <w:r w:rsidR="00BD1453" w:rsidRPr="004C1E2A">
        <w:rPr>
          <w:rFonts w:ascii="Arial Narrow" w:hAnsi="Arial Narrow"/>
          <w:sz w:val="24"/>
          <w:szCs w:val="24"/>
        </w:rPr>
        <w:t>s to apply in Victoria and Albury</w:t>
      </w:r>
      <w:r w:rsidR="0090793B">
        <w:rPr>
          <w:rFonts w:ascii="Arial Narrow" w:hAnsi="Arial Narrow"/>
          <w:sz w:val="24"/>
          <w:szCs w:val="24"/>
        </w:rPr>
        <w:t>, which carryover amounts are zero.</w:t>
      </w:r>
      <w:r w:rsidR="008F7BB9" w:rsidRPr="004C1E2A">
        <w:rPr>
          <w:rFonts w:ascii="Arial Narrow" w:hAnsi="Arial Narrow"/>
          <w:sz w:val="24"/>
          <w:szCs w:val="24"/>
        </w:rPr>
        <w:t xml:space="preserve"> </w:t>
      </w:r>
    </w:p>
    <w:p w:rsidR="00497EDD" w:rsidRPr="004C1E2A" w:rsidRDefault="00497EDD" w:rsidP="004C1E2A">
      <w:pPr>
        <w:spacing w:after="0" w:line="240" w:lineRule="auto"/>
        <w:jc w:val="both"/>
        <w:rPr>
          <w:rFonts w:ascii="Arial Narrow" w:hAnsi="Arial Narrow"/>
          <w:sz w:val="24"/>
          <w:szCs w:val="24"/>
        </w:rPr>
      </w:pPr>
    </w:p>
    <w:p w:rsidR="00497EDD" w:rsidRPr="004C1E2A" w:rsidRDefault="00497EDD" w:rsidP="004C1E2A">
      <w:pPr>
        <w:keepNext/>
        <w:spacing w:after="0" w:line="240" w:lineRule="auto"/>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Figure 1</w:t>
      </w:r>
      <w:r w:rsidR="004C1E2A">
        <w:rPr>
          <w:rFonts w:ascii="Arial Narrow" w:hAnsi="Arial Narrow"/>
          <w:b/>
          <w:color w:val="17365D" w:themeColor="text2" w:themeShade="BF"/>
          <w:sz w:val="24"/>
          <w:szCs w:val="24"/>
        </w:rPr>
        <w:t xml:space="preserve">:  </w:t>
      </w:r>
      <w:r w:rsidRPr="004C1E2A">
        <w:rPr>
          <w:rFonts w:ascii="Arial Narrow" w:hAnsi="Arial Narrow"/>
          <w:b/>
          <w:color w:val="17365D" w:themeColor="text2" w:themeShade="BF"/>
          <w:sz w:val="24"/>
          <w:szCs w:val="24"/>
        </w:rPr>
        <w:t>Victorian Incentive Mechanism Carry Over</w:t>
      </w:r>
      <w:r w:rsidR="003B01E9" w:rsidRPr="004C1E2A">
        <w:rPr>
          <w:rFonts w:ascii="Arial Narrow" w:hAnsi="Arial Narrow"/>
          <w:b/>
          <w:color w:val="17365D" w:themeColor="text2" w:themeShade="BF"/>
          <w:sz w:val="24"/>
          <w:szCs w:val="24"/>
        </w:rPr>
        <w:t xml:space="preserve"> Amounts</w:t>
      </w:r>
    </w:p>
    <w:p w:rsidR="008F7BB9" w:rsidRPr="004C1E2A" w:rsidRDefault="008F7BB9" w:rsidP="004C1E2A">
      <w:pPr>
        <w:spacing w:after="0" w:line="240" w:lineRule="auto"/>
        <w:jc w:val="both"/>
        <w:rPr>
          <w:rFonts w:ascii="Arial Narrow" w:hAnsi="Arial Narrow"/>
          <w:sz w:val="24"/>
          <w:szCs w:val="24"/>
        </w:rPr>
      </w:pPr>
    </w:p>
    <w:p w:rsidR="008F7BB9" w:rsidRPr="004C1E2A" w:rsidRDefault="00837034" w:rsidP="004C1E2A">
      <w:pPr>
        <w:spacing w:after="0" w:line="240" w:lineRule="auto"/>
        <w:jc w:val="both"/>
        <w:rPr>
          <w:rFonts w:ascii="Arial Narrow" w:hAnsi="Arial Narrow"/>
          <w:sz w:val="24"/>
          <w:szCs w:val="24"/>
        </w:rPr>
      </w:pPr>
      <w:r w:rsidRPr="00837034">
        <w:rPr>
          <w:noProof/>
          <w:lang w:eastAsia="en-AU"/>
        </w:rPr>
        <w:drawing>
          <wp:inline distT="0" distB="0" distL="0" distR="0" wp14:anchorId="483E675D" wp14:editId="1D103EAB">
            <wp:extent cx="5579745" cy="337467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9745" cy="3374673"/>
                    </a:xfrm>
                    <a:prstGeom prst="rect">
                      <a:avLst/>
                    </a:prstGeom>
                  </pic:spPr>
                </pic:pic>
              </a:graphicData>
            </a:graphic>
          </wp:inline>
        </w:drawing>
      </w:r>
    </w:p>
    <w:p w:rsidR="008F7BB9" w:rsidRPr="004C1E2A" w:rsidRDefault="008F7BB9" w:rsidP="004C1E2A">
      <w:pPr>
        <w:spacing w:after="0" w:line="240" w:lineRule="auto"/>
        <w:jc w:val="both"/>
        <w:rPr>
          <w:rFonts w:ascii="Arial Narrow" w:hAnsi="Arial Narrow"/>
          <w:sz w:val="24"/>
          <w:szCs w:val="24"/>
        </w:rPr>
      </w:pPr>
    </w:p>
    <w:p w:rsidR="00497EDD" w:rsidRPr="004C1E2A" w:rsidRDefault="004C1E2A" w:rsidP="004C1E2A">
      <w:pPr>
        <w:keepNext/>
        <w:spacing w:after="0" w:line="240" w:lineRule="auto"/>
        <w:jc w:val="both"/>
        <w:rPr>
          <w:rFonts w:ascii="Arial Narrow" w:hAnsi="Arial Narrow"/>
          <w:b/>
          <w:color w:val="17365D" w:themeColor="text2" w:themeShade="BF"/>
          <w:sz w:val="24"/>
          <w:szCs w:val="24"/>
        </w:rPr>
      </w:pPr>
      <w:r>
        <w:rPr>
          <w:rFonts w:ascii="Arial Narrow" w:hAnsi="Arial Narrow"/>
          <w:b/>
          <w:color w:val="17365D" w:themeColor="text2" w:themeShade="BF"/>
          <w:sz w:val="24"/>
          <w:szCs w:val="24"/>
        </w:rPr>
        <w:lastRenderedPageBreak/>
        <w:t xml:space="preserve">Figure 2:  </w:t>
      </w:r>
      <w:r w:rsidR="00497EDD" w:rsidRPr="004C1E2A">
        <w:rPr>
          <w:rFonts w:ascii="Arial Narrow" w:hAnsi="Arial Narrow"/>
          <w:b/>
          <w:color w:val="17365D" w:themeColor="text2" w:themeShade="BF"/>
          <w:sz w:val="24"/>
          <w:szCs w:val="24"/>
        </w:rPr>
        <w:t>Albury Incentive Mechanism Carry Over</w:t>
      </w:r>
      <w:r w:rsidR="003B01E9" w:rsidRPr="004C1E2A">
        <w:rPr>
          <w:rFonts w:ascii="Arial Narrow" w:hAnsi="Arial Narrow"/>
          <w:b/>
          <w:color w:val="17365D" w:themeColor="text2" w:themeShade="BF"/>
          <w:sz w:val="24"/>
          <w:szCs w:val="24"/>
        </w:rPr>
        <w:t xml:space="preserve"> Amounts</w:t>
      </w:r>
    </w:p>
    <w:p w:rsidR="00497EDD" w:rsidRPr="004C1E2A" w:rsidRDefault="00497EDD" w:rsidP="004C1E2A">
      <w:pPr>
        <w:keepNext/>
        <w:spacing w:after="0" w:line="240" w:lineRule="auto"/>
        <w:jc w:val="both"/>
        <w:rPr>
          <w:rFonts w:ascii="Arial Narrow" w:hAnsi="Arial Narrow"/>
          <w:b/>
          <w:color w:val="17365D" w:themeColor="text2" w:themeShade="BF"/>
          <w:sz w:val="24"/>
          <w:szCs w:val="24"/>
        </w:rPr>
      </w:pPr>
    </w:p>
    <w:p w:rsidR="00F056E9" w:rsidRPr="004C1E2A" w:rsidRDefault="00403AA2" w:rsidP="004C1E2A">
      <w:pPr>
        <w:spacing w:after="0" w:line="240" w:lineRule="auto"/>
        <w:jc w:val="both"/>
        <w:rPr>
          <w:rFonts w:ascii="Arial Narrow" w:hAnsi="Arial Narrow"/>
          <w:sz w:val="24"/>
          <w:szCs w:val="24"/>
        </w:rPr>
      </w:pPr>
      <w:r w:rsidRPr="00403AA2">
        <w:rPr>
          <w:noProof/>
          <w:lang w:eastAsia="en-AU"/>
        </w:rPr>
        <w:drawing>
          <wp:inline distT="0" distB="0" distL="0" distR="0" wp14:anchorId="264AE9E4" wp14:editId="22FB86C1">
            <wp:extent cx="5579745" cy="337467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9745" cy="3374673"/>
                    </a:xfrm>
                    <a:prstGeom prst="rect">
                      <a:avLst/>
                    </a:prstGeom>
                  </pic:spPr>
                </pic:pic>
              </a:graphicData>
            </a:graphic>
          </wp:inline>
        </w:drawing>
      </w:r>
    </w:p>
    <w:p w:rsidR="00F056E9" w:rsidRPr="004C1E2A" w:rsidRDefault="00F056E9" w:rsidP="004C1E2A">
      <w:pPr>
        <w:spacing w:after="0" w:line="240" w:lineRule="auto"/>
        <w:jc w:val="both"/>
        <w:rPr>
          <w:rFonts w:ascii="Arial Narrow" w:hAnsi="Arial Narrow"/>
          <w:sz w:val="24"/>
          <w:szCs w:val="24"/>
        </w:rPr>
      </w:pPr>
    </w:p>
    <w:p w:rsidR="00DB77F4" w:rsidRPr="004C1E2A" w:rsidRDefault="0002204C"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 </w:t>
      </w:r>
      <w:r w:rsidR="00DB77F4" w:rsidRPr="004C1E2A">
        <w:rPr>
          <w:rFonts w:ascii="Arial Narrow" w:hAnsi="Arial Narrow"/>
          <w:sz w:val="24"/>
          <w:szCs w:val="24"/>
        </w:rPr>
        <w:t xml:space="preserve">has accepted some of the changes to the calculation of the carry over </w:t>
      </w:r>
      <w:r w:rsidR="004D39B8" w:rsidRPr="004C1E2A">
        <w:rPr>
          <w:rFonts w:ascii="Arial Narrow" w:hAnsi="Arial Narrow"/>
          <w:sz w:val="24"/>
          <w:szCs w:val="24"/>
        </w:rPr>
        <w:t xml:space="preserve">amount </w:t>
      </w:r>
      <w:r w:rsidR="00A97117" w:rsidRPr="004C1E2A">
        <w:rPr>
          <w:rFonts w:ascii="Arial Narrow" w:hAnsi="Arial Narrow"/>
          <w:sz w:val="24"/>
          <w:szCs w:val="24"/>
        </w:rPr>
        <w:t>made</w:t>
      </w:r>
      <w:r w:rsidR="00DB77F4" w:rsidRPr="004C1E2A">
        <w:rPr>
          <w:rFonts w:ascii="Arial Narrow" w:hAnsi="Arial Narrow"/>
          <w:sz w:val="24"/>
          <w:szCs w:val="24"/>
        </w:rPr>
        <w:t xml:space="preserve"> by the AER in the Draft Decision. </w:t>
      </w:r>
      <w:r w:rsidR="00445991" w:rsidRPr="004C1E2A">
        <w:rPr>
          <w:rFonts w:ascii="Arial Narrow" w:hAnsi="Arial Narrow"/>
          <w:sz w:val="24"/>
          <w:szCs w:val="24"/>
        </w:rPr>
        <w:t xml:space="preserve">This includes changes made by the AER to the benchmark amounts used in the carry over calculation, partly reflecting that Envestra did not have </w:t>
      </w:r>
      <w:r w:rsidR="004D39B8" w:rsidRPr="004C1E2A">
        <w:rPr>
          <w:rFonts w:ascii="Arial Narrow" w:hAnsi="Arial Narrow"/>
          <w:sz w:val="24"/>
          <w:szCs w:val="24"/>
        </w:rPr>
        <w:t xml:space="preserve">access to </w:t>
      </w:r>
      <w:r w:rsidR="00445991" w:rsidRPr="004C1E2A">
        <w:rPr>
          <w:rFonts w:ascii="Arial Narrow" w:hAnsi="Arial Narrow"/>
          <w:sz w:val="24"/>
          <w:szCs w:val="24"/>
        </w:rPr>
        <w:t xml:space="preserve">the </w:t>
      </w:r>
      <w:r w:rsidR="004D39B8" w:rsidRPr="004C1E2A">
        <w:rPr>
          <w:rFonts w:ascii="Arial Narrow" w:hAnsi="Arial Narrow"/>
          <w:sz w:val="24"/>
          <w:szCs w:val="24"/>
        </w:rPr>
        <w:t xml:space="preserve">necessary </w:t>
      </w:r>
      <w:r w:rsidR="00445991" w:rsidRPr="004C1E2A">
        <w:rPr>
          <w:rFonts w:ascii="Arial Narrow" w:hAnsi="Arial Narrow"/>
          <w:sz w:val="24"/>
          <w:szCs w:val="24"/>
        </w:rPr>
        <w:t>data to make the required adjustments</w:t>
      </w:r>
      <w:r w:rsidR="004D39B8" w:rsidRPr="004C1E2A">
        <w:rPr>
          <w:rFonts w:ascii="Arial Narrow" w:hAnsi="Arial Narrow"/>
          <w:sz w:val="24"/>
          <w:szCs w:val="24"/>
        </w:rPr>
        <w:t xml:space="preserve"> at the time of its initial proposal</w:t>
      </w:r>
      <w:r w:rsidR="00445991" w:rsidRPr="004C1E2A">
        <w:rPr>
          <w:rFonts w:ascii="Arial Narrow" w:hAnsi="Arial Narrow"/>
          <w:sz w:val="24"/>
          <w:szCs w:val="24"/>
        </w:rPr>
        <w:t>.</w:t>
      </w:r>
      <w:r w:rsidR="00DB77F4" w:rsidRPr="004C1E2A">
        <w:rPr>
          <w:rFonts w:ascii="Arial Narrow" w:hAnsi="Arial Narrow"/>
          <w:sz w:val="24"/>
          <w:szCs w:val="24"/>
        </w:rPr>
        <w:t xml:space="preserve"> Envestra has however </w:t>
      </w:r>
      <w:r w:rsidR="004D39B8" w:rsidRPr="004C1E2A">
        <w:rPr>
          <w:rFonts w:ascii="Arial Narrow" w:hAnsi="Arial Narrow"/>
          <w:sz w:val="24"/>
          <w:szCs w:val="24"/>
        </w:rPr>
        <w:t>not accepted</w:t>
      </w:r>
      <w:r w:rsidR="00DB77F4" w:rsidRPr="004C1E2A">
        <w:rPr>
          <w:rFonts w:ascii="Arial Narrow" w:hAnsi="Arial Narrow"/>
          <w:sz w:val="24"/>
          <w:szCs w:val="24"/>
        </w:rPr>
        <w:t xml:space="preserve"> </w:t>
      </w:r>
      <w:r w:rsidR="004D39B8" w:rsidRPr="004C1E2A">
        <w:rPr>
          <w:rFonts w:ascii="Arial Narrow" w:hAnsi="Arial Narrow"/>
          <w:sz w:val="24"/>
          <w:szCs w:val="24"/>
        </w:rPr>
        <w:t xml:space="preserve">the following two </w:t>
      </w:r>
      <w:r w:rsidR="00445991" w:rsidRPr="004C1E2A">
        <w:rPr>
          <w:rFonts w:ascii="Arial Narrow" w:hAnsi="Arial Narrow"/>
          <w:sz w:val="24"/>
          <w:szCs w:val="24"/>
        </w:rPr>
        <w:t xml:space="preserve">key </w:t>
      </w:r>
      <w:r w:rsidR="00DB77F4" w:rsidRPr="004C1E2A">
        <w:rPr>
          <w:rFonts w:ascii="Arial Narrow" w:hAnsi="Arial Narrow"/>
          <w:sz w:val="24"/>
          <w:szCs w:val="24"/>
        </w:rPr>
        <w:t>amendments:</w:t>
      </w:r>
    </w:p>
    <w:p w:rsidR="00445991" w:rsidRPr="004C1E2A" w:rsidRDefault="00445991" w:rsidP="004C1E2A">
      <w:pPr>
        <w:spacing w:after="0" w:line="240" w:lineRule="auto"/>
        <w:jc w:val="both"/>
        <w:rPr>
          <w:rFonts w:ascii="Arial Narrow" w:hAnsi="Arial Narrow"/>
          <w:sz w:val="24"/>
          <w:szCs w:val="24"/>
        </w:rPr>
      </w:pPr>
    </w:p>
    <w:p w:rsidR="00DB77F4" w:rsidRPr="004C1E2A" w:rsidRDefault="00445991" w:rsidP="004C1E2A">
      <w:pPr>
        <w:pStyle w:val="ListParagraph"/>
        <w:numPr>
          <w:ilvl w:val="0"/>
          <w:numId w:val="17"/>
        </w:numPr>
        <w:spacing w:after="0" w:line="240" w:lineRule="auto"/>
        <w:jc w:val="both"/>
        <w:rPr>
          <w:rFonts w:ascii="Arial Narrow" w:hAnsi="Arial Narrow"/>
          <w:sz w:val="24"/>
          <w:szCs w:val="24"/>
        </w:rPr>
      </w:pPr>
      <w:r w:rsidRPr="004C1E2A">
        <w:rPr>
          <w:rFonts w:ascii="Arial Narrow" w:hAnsi="Arial Narrow"/>
          <w:sz w:val="24"/>
          <w:szCs w:val="24"/>
        </w:rPr>
        <w:t>t</w:t>
      </w:r>
      <w:r w:rsidR="00DB77F4" w:rsidRPr="004C1E2A">
        <w:rPr>
          <w:rFonts w:ascii="Arial Narrow" w:hAnsi="Arial Narrow"/>
          <w:sz w:val="24"/>
          <w:szCs w:val="24"/>
        </w:rPr>
        <w:t>he real pre</w:t>
      </w:r>
      <w:r w:rsidR="004D39B8" w:rsidRPr="004C1E2A">
        <w:rPr>
          <w:rFonts w:ascii="Arial Narrow" w:hAnsi="Arial Narrow"/>
          <w:sz w:val="24"/>
          <w:szCs w:val="24"/>
        </w:rPr>
        <w:t>-</w:t>
      </w:r>
      <w:r w:rsidR="00DB77F4" w:rsidRPr="004C1E2A">
        <w:rPr>
          <w:rFonts w:ascii="Arial Narrow" w:hAnsi="Arial Narrow"/>
          <w:sz w:val="24"/>
          <w:szCs w:val="24"/>
        </w:rPr>
        <w:t xml:space="preserve">tax WACC to be applied (refer attachment </w:t>
      </w:r>
      <w:r w:rsidR="0090793B">
        <w:rPr>
          <w:rFonts w:ascii="Arial Narrow" w:hAnsi="Arial Narrow"/>
          <w:sz w:val="24"/>
          <w:szCs w:val="24"/>
        </w:rPr>
        <w:t>9-11</w:t>
      </w:r>
      <w:r w:rsidR="00DB77F4" w:rsidRPr="004C1E2A">
        <w:rPr>
          <w:rFonts w:ascii="Arial Narrow" w:hAnsi="Arial Narrow"/>
          <w:sz w:val="24"/>
          <w:szCs w:val="24"/>
        </w:rPr>
        <w:t>); and</w:t>
      </w:r>
    </w:p>
    <w:p w:rsidR="00A97117" w:rsidRPr="004C1E2A" w:rsidRDefault="00445991" w:rsidP="004C1E2A">
      <w:pPr>
        <w:pStyle w:val="ListParagraph"/>
        <w:numPr>
          <w:ilvl w:val="0"/>
          <w:numId w:val="17"/>
        </w:numPr>
        <w:spacing w:after="0" w:line="240" w:lineRule="auto"/>
        <w:jc w:val="both"/>
        <w:rPr>
          <w:rFonts w:ascii="Arial Narrow" w:hAnsi="Arial Narrow"/>
          <w:sz w:val="24"/>
          <w:szCs w:val="24"/>
        </w:rPr>
      </w:pPr>
      <w:r w:rsidRPr="004C1E2A">
        <w:rPr>
          <w:rFonts w:ascii="Arial Narrow" w:hAnsi="Arial Narrow"/>
          <w:sz w:val="24"/>
          <w:szCs w:val="24"/>
        </w:rPr>
        <w:t>c</w:t>
      </w:r>
      <w:r w:rsidR="00A97117" w:rsidRPr="004C1E2A">
        <w:rPr>
          <w:rFonts w:ascii="Arial Narrow" w:hAnsi="Arial Narrow"/>
          <w:sz w:val="24"/>
          <w:szCs w:val="24"/>
        </w:rPr>
        <w:t>hanges to actual operating expenditure to account for movement in provisions.</w:t>
      </w:r>
    </w:p>
    <w:p w:rsidR="00665E84" w:rsidRPr="004C1E2A" w:rsidRDefault="00665E84" w:rsidP="004C1E2A">
      <w:pPr>
        <w:pStyle w:val="ListParagraph"/>
        <w:spacing w:after="0" w:line="240" w:lineRule="auto"/>
        <w:jc w:val="both"/>
        <w:rPr>
          <w:rFonts w:ascii="Arial Narrow" w:hAnsi="Arial Narrow"/>
          <w:sz w:val="24"/>
          <w:szCs w:val="24"/>
        </w:rPr>
      </w:pPr>
    </w:p>
    <w:p w:rsidR="00665E84" w:rsidRPr="004C1E2A" w:rsidRDefault="00EA3B56" w:rsidP="000D5281">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2</w:t>
      </w:r>
      <w:r w:rsidR="00665E84" w:rsidRPr="004C1E2A">
        <w:rPr>
          <w:rFonts w:ascii="Arial Narrow" w:hAnsi="Arial Narrow"/>
          <w:b/>
          <w:color w:val="17365D" w:themeColor="text2" w:themeShade="BF"/>
          <w:sz w:val="24"/>
          <w:szCs w:val="24"/>
        </w:rPr>
        <w:t>.1</w:t>
      </w:r>
      <w:r w:rsidR="00665E84" w:rsidRPr="004C1E2A">
        <w:rPr>
          <w:rFonts w:ascii="Arial Narrow" w:hAnsi="Arial Narrow"/>
          <w:b/>
          <w:color w:val="17365D" w:themeColor="text2" w:themeShade="BF"/>
          <w:sz w:val="24"/>
          <w:szCs w:val="24"/>
        </w:rPr>
        <w:tab/>
      </w:r>
      <w:r w:rsidR="00A97117" w:rsidRPr="004C1E2A">
        <w:rPr>
          <w:rFonts w:ascii="Arial Narrow" w:hAnsi="Arial Narrow"/>
          <w:b/>
          <w:color w:val="17365D" w:themeColor="text2" w:themeShade="BF"/>
          <w:sz w:val="24"/>
          <w:szCs w:val="24"/>
        </w:rPr>
        <w:t>Changes to actual operating expenditure</w:t>
      </w:r>
      <w:r w:rsidR="00497EDD" w:rsidRPr="004C1E2A">
        <w:rPr>
          <w:rFonts w:ascii="Arial Narrow" w:hAnsi="Arial Narrow"/>
          <w:b/>
          <w:color w:val="17365D" w:themeColor="text2" w:themeShade="BF"/>
          <w:sz w:val="24"/>
          <w:szCs w:val="24"/>
        </w:rPr>
        <w:t xml:space="preserve"> – Victoria</w:t>
      </w:r>
    </w:p>
    <w:p w:rsidR="00665E84" w:rsidRPr="004C1E2A" w:rsidRDefault="00665E84" w:rsidP="004C1E2A">
      <w:pPr>
        <w:spacing w:after="0" w:line="240" w:lineRule="auto"/>
        <w:jc w:val="both"/>
        <w:rPr>
          <w:rFonts w:ascii="Arial Narrow" w:hAnsi="Arial Narrow"/>
          <w:sz w:val="24"/>
          <w:szCs w:val="24"/>
        </w:rPr>
      </w:pPr>
    </w:p>
    <w:p w:rsidR="00B25316" w:rsidRPr="004C1E2A" w:rsidRDefault="00A97117"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w:t>
      </w:r>
      <w:r w:rsidR="00FB422F" w:rsidRPr="004C1E2A">
        <w:rPr>
          <w:rFonts w:ascii="Arial Narrow" w:hAnsi="Arial Narrow"/>
          <w:sz w:val="24"/>
          <w:szCs w:val="24"/>
        </w:rPr>
        <w:t xml:space="preserve">amended the historic actual operating expenditure </w:t>
      </w:r>
      <w:r w:rsidR="00445991" w:rsidRPr="004C1E2A">
        <w:rPr>
          <w:rFonts w:ascii="Arial Narrow" w:hAnsi="Arial Narrow"/>
          <w:sz w:val="24"/>
          <w:szCs w:val="24"/>
        </w:rPr>
        <w:t xml:space="preserve">submitted by Envestra </w:t>
      </w:r>
      <w:r w:rsidR="00FB422F" w:rsidRPr="004C1E2A">
        <w:rPr>
          <w:rFonts w:ascii="Arial Narrow" w:hAnsi="Arial Narrow"/>
          <w:sz w:val="24"/>
          <w:szCs w:val="24"/>
        </w:rPr>
        <w:t xml:space="preserve">by removing </w:t>
      </w:r>
      <w:r w:rsidR="00B25316" w:rsidRPr="004C1E2A">
        <w:rPr>
          <w:rFonts w:ascii="Arial Narrow" w:hAnsi="Arial Narrow"/>
          <w:sz w:val="24"/>
          <w:szCs w:val="24"/>
        </w:rPr>
        <w:t xml:space="preserve">an amount for </w:t>
      </w:r>
      <w:r w:rsidR="00FB422F" w:rsidRPr="004C1E2A">
        <w:rPr>
          <w:rFonts w:ascii="Arial Narrow" w:hAnsi="Arial Narrow"/>
          <w:sz w:val="24"/>
          <w:szCs w:val="24"/>
        </w:rPr>
        <w:t>movements in provisions (refer section 7.4.1</w:t>
      </w:r>
      <w:r w:rsidR="0045374C" w:rsidRPr="004C1E2A">
        <w:rPr>
          <w:rFonts w:ascii="Arial Narrow" w:hAnsi="Arial Narrow"/>
          <w:sz w:val="24"/>
          <w:szCs w:val="24"/>
        </w:rPr>
        <w:t xml:space="preserve"> of Part 2 of the AER Draft Decision</w:t>
      </w:r>
      <w:r w:rsidR="00FB422F" w:rsidRPr="004C1E2A">
        <w:rPr>
          <w:rFonts w:ascii="Arial Narrow" w:hAnsi="Arial Narrow"/>
          <w:sz w:val="24"/>
          <w:szCs w:val="24"/>
        </w:rPr>
        <w:t>). This amendment is not required as movements in provisions are not disclosed as operating expenditure</w:t>
      </w:r>
      <w:r w:rsidR="0045374C" w:rsidRPr="004C1E2A">
        <w:rPr>
          <w:rFonts w:ascii="Arial Narrow" w:hAnsi="Arial Narrow"/>
          <w:sz w:val="24"/>
          <w:szCs w:val="24"/>
        </w:rPr>
        <w:t xml:space="preserve"> for the Victorian network</w:t>
      </w:r>
      <w:r w:rsidR="00FB422F" w:rsidRPr="004C1E2A">
        <w:rPr>
          <w:rFonts w:ascii="Arial Narrow" w:hAnsi="Arial Narrow"/>
          <w:sz w:val="24"/>
          <w:szCs w:val="24"/>
        </w:rPr>
        <w:t xml:space="preserve"> </w:t>
      </w:r>
      <w:r w:rsidR="00127F79" w:rsidRPr="004C1E2A">
        <w:rPr>
          <w:rFonts w:ascii="Arial Narrow" w:hAnsi="Arial Narrow"/>
          <w:sz w:val="24"/>
          <w:szCs w:val="24"/>
        </w:rPr>
        <w:t xml:space="preserve">in the </w:t>
      </w:r>
      <w:r w:rsidR="004D39B8" w:rsidRPr="004C1E2A">
        <w:rPr>
          <w:rFonts w:ascii="Arial Narrow" w:hAnsi="Arial Narrow"/>
          <w:sz w:val="24"/>
          <w:szCs w:val="24"/>
        </w:rPr>
        <w:t xml:space="preserve">audited </w:t>
      </w:r>
      <w:r w:rsidR="00127F79" w:rsidRPr="004C1E2A">
        <w:rPr>
          <w:rFonts w:ascii="Arial Narrow" w:hAnsi="Arial Narrow"/>
          <w:sz w:val="24"/>
          <w:szCs w:val="24"/>
        </w:rPr>
        <w:t xml:space="preserve">Regulatory Accounts, </w:t>
      </w:r>
      <w:r w:rsidR="00FB422F" w:rsidRPr="004C1E2A">
        <w:rPr>
          <w:rFonts w:ascii="Arial Narrow" w:hAnsi="Arial Narrow"/>
          <w:sz w:val="24"/>
          <w:szCs w:val="24"/>
        </w:rPr>
        <w:t xml:space="preserve">but are </w:t>
      </w:r>
      <w:r w:rsidR="00445991" w:rsidRPr="004C1E2A">
        <w:rPr>
          <w:rFonts w:ascii="Arial Narrow" w:hAnsi="Arial Narrow"/>
          <w:sz w:val="24"/>
          <w:szCs w:val="24"/>
        </w:rPr>
        <w:t xml:space="preserve">instead </w:t>
      </w:r>
      <w:r w:rsidR="00FB422F" w:rsidRPr="004C1E2A">
        <w:rPr>
          <w:rFonts w:ascii="Arial Narrow" w:hAnsi="Arial Narrow"/>
          <w:sz w:val="24"/>
          <w:szCs w:val="24"/>
        </w:rPr>
        <w:t>disclos</w:t>
      </w:r>
      <w:r w:rsidR="00127F79" w:rsidRPr="004C1E2A">
        <w:rPr>
          <w:rFonts w:ascii="Arial Narrow" w:hAnsi="Arial Narrow"/>
          <w:sz w:val="24"/>
          <w:szCs w:val="24"/>
        </w:rPr>
        <w:t>ed as depreciation/impairment.</w:t>
      </w:r>
      <w:r w:rsidR="00127F79" w:rsidRPr="004C1E2A">
        <w:rPr>
          <w:rStyle w:val="FootnoteReference"/>
          <w:rFonts w:ascii="Arial Narrow" w:hAnsi="Arial Narrow"/>
          <w:sz w:val="24"/>
          <w:szCs w:val="24"/>
        </w:rPr>
        <w:footnoteReference w:id="1"/>
      </w:r>
      <w:r w:rsidR="00EA3B56" w:rsidRPr="004C1E2A">
        <w:rPr>
          <w:rFonts w:ascii="Arial Narrow" w:hAnsi="Arial Narrow"/>
          <w:sz w:val="24"/>
          <w:szCs w:val="24"/>
        </w:rPr>
        <w:t xml:space="preserve"> </w:t>
      </w:r>
    </w:p>
    <w:p w:rsidR="00B25316" w:rsidRPr="004C1E2A" w:rsidRDefault="00B25316" w:rsidP="004C1E2A">
      <w:pPr>
        <w:spacing w:after="0" w:line="240" w:lineRule="auto"/>
        <w:jc w:val="both"/>
        <w:rPr>
          <w:rFonts w:ascii="Arial Narrow" w:hAnsi="Arial Narrow"/>
          <w:sz w:val="24"/>
          <w:szCs w:val="24"/>
        </w:rPr>
      </w:pPr>
    </w:p>
    <w:p w:rsidR="00FB422F" w:rsidRPr="004C1E2A" w:rsidRDefault="00EA3B56" w:rsidP="004C1E2A">
      <w:pPr>
        <w:spacing w:after="0" w:line="240" w:lineRule="auto"/>
        <w:jc w:val="both"/>
        <w:rPr>
          <w:rFonts w:ascii="Arial Narrow" w:hAnsi="Arial Narrow"/>
          <w:sz w:val="24"/>
          <w:szCs w:val="24"/>
        </w:rPr>
      </w:pPr>
      <w:r w:rsidRPr="004C1E2A">
        <w:rPr>
          <w:rFonts w:ascii="Arial Narrow" w:hAnsi="Arial Narrow"/>
          <w:sz w:val="24"/>
          <w:szCs w:val="24"/>
        </w:rPr>
        <w:t>For Albury however, movement</w:t>
      </w:r>
      <w:r w:rsidR="00445991" w:rsidRPr="004C1E2A">
        <w:rPr>
          <w:rFonts w:ascii="Arial Narrow" w:hAnsi="Arial Narrow"/>
          <w:sz w:val="24"/>
          <w:szCs w:val="24"/>
        </w:rPr>
        <w:t>s</w:t>
      </w:r>
      <w:r w:rsidRPr="004C1E2A">
        <w:rPr>
          <w:rFonts w:ascii="Arial Narrow" w:hAnsi="Arial Narrow"/>
          <w:sz w:val="24"/>
          <w:szCs w:val="24"/>
        </w:rPr>
        <w:t xml:space="preserve"> in provision</w:t>
      </w:r>
      <w:r w:rsidR="00445991" w:rsidRPr="004C1E2A">
        <w:rPr>
          <w:rFonts w:ascii="Arial Narrow" w:hAnsi="Arial Narrow"/>
          <w:sz w:val="24"/>
          <w:szCs w:val="24"/>
        </w:rPr>
        <w:t>s</w:t>
      </w:r>
      <w:r w:rsidRPr="004C1E2A">
        <w:rPr>
          <w:rFonts w:ascii="Arial Narrow" w:hAnsi="Arial Narrow"/>
          <w:sz w:val="24"/>
          <w:szCs w:val="24"/>
        </w:rPr>
        <w:t xml:space="preserve"> </w:t>
      </w:r>
      <w:r w:rsidR="00445991" w:rsidRPr="004C1E2A">
        <w:rPr>
          <w:rFonts w:ascii="Arial Narrow" w:hAnsi="Arial Narrow"/>
          <w:sz w:val="24"/>
          <w:szCs w:val="24"/>
        </w:rPr>
        <w:t>are</w:t>
      </w:r>
      <w:r w:rsidRPr="004C1E2A">
        <w:rPr>
          <w:rFonts w:ascii="Arial Narrow" w:hAnsi="Arial Narrow"/>
          <w:sz w:val="24"/>
          <w:szCs w:val="24"/>
        </w:rPr>
        <w:t xml:space="preserve"> disclosed as operating expenditure and not depreciation/impairment.</w:t>
      </w:r>
    </w:p>
    <w:p w:rsidR="00FB422F" w:rsidRPr="004C1E2A" w:rsidRDefault="00FB422F" w:rsidP="004C1E2A">
      <w:pPr>
        <w:spacing w:after="0" w:line="240" w:lineRule="auto"/>
        <w:jc w:val="both"/>
        <w:rPr>
          <w:rFonts w:ascii="Arial Narrow" w:hAnsi="Arial Narrow"/>
          <w:sz w:val="24"/>
          <w:szCs w:val="24"/>
        </w:rPr>
      </w:pPr>
    </w:p>
    <w:p w:rsidR="00A54510" w:rsidRPr="004C1E2A" w:rsidRDefault="00FB422F"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reason for the difference </w:t>
      </w:r>
      <w:r w:rsidR="009955D6" w:rsidRPr="004C1E2A">
        <w:rPr>
          <w:rFonts w:ascii="Arial Narrow" w:hAnsi="Arial Narrow"/>
          <w:sz w:val="24"/>
          <w:szCs w:val="24"/>
        </w:rPr>
        <w:t xml:space="preserve">between the Victorian and Albury networks </w:t>
      </w:r>
      <w:r w:rsidRPr="004C1E2A">
        <w:rPr>
          <w:rFonts w:ascii="Arial Narrow" w:hAnsi="Arial Narrow"/>
          <w:sz w:val="24"/>
          <w:szCs w:val="24"/>
        </w:rPr>
        <w:t xml:space="preserve">is due to the ownership status of the </w:t>
      </w:r>
      <w:r w:rsidR="00EA3B56" w:rsidRPr="004C1E2A">
        <w:rPr>
          <w:rFonts w:ascii="Arial Narrow" w:hAnsi="Arial Narrow"/>
          <w:sz w:val="24"/>
          <w:szCs w:val="24"/>
        </w:rPr>
        <w:t xml:space="preserve">assets to which the provisions relate. </w:t>
      </w:r>
      <w:r w:rsidR="003830C1" w:rsidRPr="004C1E2A">
        <w:rPr>
          <w:rFonts w:ascii="Arial Narrow" w:hAnsi="Arial Narrow"/>
          <w:sz w:val="24"/>
          <w:szCs w:val="24"/>
        </w:rPr>
        <w:t xml:space="preserve">Under “AASB 116 Property, </w:t>
      </w:r>
      <w:r w:rsidR="00A54510" w:rsidRPr="004C1E2A">
        <w:rPr>
          <w:rFonts w:ascii="Arial Narrow" w:hAnsi="Arial Narrow"/>
          <w:sz w:val="24"/>
          <w:szCs w:val="24"/>
        </w:rPr>
        <w:t>Plant and E</w:t>
      </w:r>
      <w:r w:rsidR="003830C1" w:rsidRPr="004C1E2A">
        <w:rPr>
          <w:rFonts w:ascii="Arial Narrow" w:hAnsi="Arial Narrow"/>
          <w:sz w:val="24"/>
          <w:szCs w:val="24"/>
        </w:rPr>
        <w:t xml:space="preserve">quipment”, an asset’s cost includes the costs of restoring an asset or site. </w:t>
      </w:r>
      <w:r w:rsidR="00F82BB6" w:rsidRPr="004C1E2A">
        <w:rPr>
          <w:rFonts w:ascii="Arial Narrow" w:hAnsi="Arial Narrow"/>
          <w:sz w:val="24"/>
          <w:szCs w:val="24"/>
        </w:rPr>
        <w:t xml:space="preserve">In the case of </w:t>
      </w:r>
      <w:r w:rsidR="003830C1" w:rsidRPr="004C1E2A">
        <w:rPr>
          <w:rFonts w:ascii="Arial Narrow" w:hAnsi="Arial Narrow"/>
          <w:sz w:val="24"/>
          <w:szCs w:val="24"/>
        </w:rPr>
        <w:t>Victoria,</w:t>
      </w:r>
      <w:r w:rsidR="00F82BB6" w:rsidRPr="004C1E2A">
        <w:rPr>
          <w:rFonts w:ascii="Arial Narrow" w:hAnsi="Arial Narrow"/>
          <w:sz w:val="24"/>
          <w:szCs w:val="24"/>
        </w:rPr>
        <w:t xml:space="preserve"> the relevant assets are owned by the business, and as such, </w:t>
      </w:r>
      <w:r w:rsidR="003830C1" w:rsidRPr="004C1E2A">
        <w:rPr>
          <w:rFonts w:ascii="Arial Narrow" w:hAnsi="Arial Narrow"/>
          <w:sz w:val="24"/>
          <w:szCs w:val="24"/>
        </w:rPr>
        <w:t>the remediation provisions have been added to the cost of the asset</w:t>
      </w:r>
      <w:r w:rsidR="00F82BB6" w:rsidRPr="004C1E2A">
        <w:rPr>
          <w:rFonts w:ascii="Arial Narrow" w:hAnsi="Arial Narrow"/>
          <w:sz w:val="24"/>
          <w:szCs w:val="24"/>
        </w:rPr>
        <w:t xml:space="preserve">. </w:t>
      </w:r>
    </w:p>
    <w:p w:rsidR="00A54510" w:rsidRPr="004C1E2A" w:rsidRDefault="00A54510" w:rsidP="004C1E2A">
      <w:pPr>
        <w:spacing w:after="0" w:line="240" w:lineRule="auto"/>
        <w:jc w:val="both"/>
        <w:rPr>
          <w:rFonts w:ascii="Arial Narrow" w:hAnsi="Arial Narrow"/>
          <w:sz w:val="24"/>
          <w:szCs w:val="24"/>
        </w:rPr>
      </w:pPr>
    </w:p>
    <w:p w:rsidR="00A54510" w:rsidRPr="004C1E2A" w:rsidRDefault="00F82BB6" w:rsidP="004C1E2A">
      <w:pPr>
        <w:spacing w:after="0" w:line="240" w:lineRule="auto"/>
        <w:jc w:val="both"/>
        <w:rPr>
          <w:rFonts w:ascii="Arial Narrow" w:hAnsi="Arial Narrow"/>
          <w:sz w:val="24"/>
          <w:szCs w:val="24"/>
        </w:rPr>
      </w:pPr>
      <w:r w:rsidRPr="004C1E2A">
        <w:rPr>
          <w:rFonts w:ascii="Arial Narrow" w:hAnsi="Arial Narrow"/>
          <w:sz w:val="24"/>
          <w:szCs w:val="24"/>
        </w:rPr>
        <w:lastRenderedPageBreak/>
        <w:t>Pursuant to</w:t>
      </w:r>
      <w:r w:rsidR="003830C1" w:rsidRPr="004C1E2A">
        <w:rPr>
          <w:rFonts w:ascii="Arial Narrow" w:hAnsi="Arial Narrow"/>
          <w:sz w:val="24"/>
          <w:szCs w:val="24"/>
        </w:rPr>
        <w:t xml:space="preserve"> “AASB 136 Impairment", </w:t>
      </w:r>
      <w:r w:rsidR="003C4616" w:rsidRPr="004C1E2A">
        <w:rPr>
          <w:rFonts w:ascii="Arial Narrow" w:hAnsi="Arial Narrow"/>
          <w:sz w:val="24"/>
          <w:szCs w:val="24"/>
        </w:rPr>
        <w:t xml:space="preserve">costs which are required to be written-off </w:t>
      </w:r>
      <w:r w:rsidR="00B25316" w:rsidRPr="004C1E2A">
        <w:rPr>
          <w:rFonts w:ascii="Arial Narrow" w:hAnsi="Arial Narrow"/>
          <w:sz w:val="24"/>
          <w:szCs w:val="24"/>
        </w:rPr>
        <w:t xml:space="preserve">against the </w:t>
      </w:r>
      <w:r w:rsidR="003830C1" w:rsidRPr="004C1E2A">
        <w:rPr>
          <w:rFonts w:ascii="Arial Narrow" w:hAnsi="Arial Narrow"/>
          <w:sz w:val="24"/>
          <w:szCs w:val="24"/>
        </w:rPr>
        <w:t>asset</w:t>
      </w:r>
      <w:r w:rsidR="003C4616" w:rsidRPr="004C1E2A">
        <w:rPr>
          <w:rFonts w:ascii="Arial Narrow" w:hAnsi="Arial Narrow"/>
          <w:sz w:val="24"/>
          <w:szCs w:val="24"/>
        </w:rPr>
        <w:t xml:space="preserve"> need to be</w:t>
      </w:r>
      <w:r w:rsidR="003830C1" w:rsidRPr="004C1E2A">
        <w:rPr>
          <w:rFonts w:ascii="Arial Narrow" w:hAnsi="Arial Narrow"/>
          <w:sz w:val="24"/>
          <w:szCs w:val="24"/>
        </w:rPr>
        <w:t xml:space="preserve"> recorded in the income statement and disclosed as “depreciation/impairment”. Th</w:t>
      </w:r>
      <w:r w:rsidR="00B25316" w:rsidRPr="004C1E2A">
        <w:rPr>
          <w:rFonts w:ascii="Arial Narrow" w:hAnsi="Arial Narrow"/>
          <w:sz w:val="24"/>
          <w:szCs w:val="24"/>
        </w:rPr>
        <w:t>is</w:t>
      </w:r>
      <w:r w:rsidR="003830C1" w:rsidRPr="004C1E2A">
        <w:rPr>
          <w:rFonts w:ascii="Arial Narrow" w:hAnsi="Arial Narrow"/>
          <w:sz w:val="24"/>
          <w:szCs w:val="24"/>
        </w:rPr>
        <w:t xml:space="preserve"> disclosure is in accordance with “AASB 101 Presentation of </w:t>
      </w:r>
      <w:r w:rsidR="00A54510" w:rsidRPr="004C1E2A">
        <w:rPr>
          <w:rFonts w:ascii="Arial Narrow" w:hAnsi="Arial Narrow"/>
          <w:sz w:val="24"/>
          <w:szCs w:val="24"/>
        </w:rPr>
        <w:t>F</w:t>
      </w:r>
      <w:r w:rsidR="003830C1" w:rsidRPr="004C1E2A">
        <w:rPr>
          <w:rFonts w:ascii="Arial Narrow" w:hAnsi="Arial Narrow"/>
          <w:sz w:val="24"/>
          <w:szCs w:val="24"/>
        </w:rPr>
        <w:t xml:space="preserve">inancial </w:t>
      </w:r>
      <w:r w:rsidR="00A54510" w:rsidRPr="004C1E2A">
        <w:rPr>
          <w:rFonts w:ascii="Arial Narrow" w:hAnsi="Arial Narrow"/>
          <w:sz w:val="24"/>
          <w:szCs w:val="24"/>
        </w:rPr>
        <w:t>S</w:t>
      </w:r>
      <w:r w:rsidR="003830C1" w:rsidRPr="004C1E2A">
        <w:rPr>
          <w:rFonts w:ascii="Arial Narrow" w:hAnsi="Arial Narrow"/>
          <w:sz w:val="24"/>
          <w:szCs w:val="24"/>
        </w:rPr>
        <w:t xml:space="preserve">tatements”, which requires classification of income statement items by either nature or function. </w:t>
      </w:r>
      <w:r w:rsidR="003C4616" w:rsidRPr="004C1E2A">
        <w:rPr>
          <w:rFonts w:ascii="Arial Narrow" w:hAnsi="Arial Narrow"/>
          <w:sz w:val="24"/>
          <w:szCs w:val="24"/>
        </w:rPr>
        <w:t xml:space="preserve">The remediation provisions have been recorded in Envestra’s statutory accounts </w:t>
      </w:r>
      <w:r w:rsidR="00B25316" w:rsidRPr="004C1E2A">
        <w:rPr>
          <w:rFonts w:ascii="Arial Narrow" w:hAnsi="Arial Narrow"/>
          <w:sz w:val="24"/>
          <w:szCs w:val="24"/>
        </w:rPr>
        <w:t>as “depreciation/impairment”</w:t>
      </w:r>
      <w:r w:rsidR="003830C1" w:rsidRPr="004C1E2A">
        <w:rPr>
          <w:rFonts w:ascii="Arial Narrow" w:hAnsi="Arial Narrow"/>
          <w:sz w:val="24"/>
          <w:szCs w:val="24"/>
        </w:rPr>
        <w:t xml:space="preserve">. </w:t>
      </w:r>
    </w:p>
    <w:p w:rsidR="00A54510" w:rsidRPr="004C1E2A" w:rsidRDefault="00A54510" w:rsidP="004C1E2A">
      <w:pPr>
        <w:spacing w:after="0" w:line="240" w:lineRule="auto"/>
        <w:jc w:val="both"/>
        <w:rPr>
          <w:rFonts w:ascii="Arial Narrow" w:hAnsi="Arial Narrow"/>
          <w:sz w:val="24"/>
          <w:szCs w:val="24"/>
        </w:rPr>
      </w:pPr>
    </w:p>
    <w:p w:rsidR="00FB422F" w:rsidRPr="004C1E2A" w:rsidRDefault="00415BE0"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Envestra’s </w:t>
      </w:r>
      <w:r w:rsidR="004D39B8" w:rsidRPr="004C1E2A">
        <w:rPr>
          <w:rFonts w:ascii="Arial Narrow" w:hAnsi="Arial Narrow"/>
          <w:sz w:val="24"/>
          <w:szCs w:val="24"/>
        </w:rPr>
        <w:t>audited R</w:t>
      </w:r>
      <w:r w:rsidRPr="004C1E2A">
        <w:rPr>
          <w:rFonts w:ascii="Arial Narrow" w:hAnsi="Arial Narrow"/>
          <w:sz w:val="24"/>
          <w:szCs w:val="24"/>
        </w:rPr>
        <w:t xml:space="preserve">egulatory </w:t>
      </w:r>
      <w:r w:rsidR="004D39B8" w:rsidRPr="004C1E2A">
        <w:rPr>
          <w:rFonts w:ascii="Arial Narrow" w:hAnsi="Arial Narrow"/>
          <w:sz w:val="24"/>
          <w:szCs w:val="24"/>
        </w:rPr>
        <w:t>A</w:t>
      </w:r>
      <w:r w:rsidRPr="004C1E2A">
        <w:rPr>
          <w:rFonts w:ascii="Arial Narrow" w:hAnsi="Arial Narrow"/>
          <w:sz w:val="24"/>
          <w:szCs w:val="24"/>
        </w:rPr>
        <w:t xml:space="preserve">ccounts have been prepared </w:t>
      </w:r>
      <w:r w:rsidR="000F75DB" w:rsidRPr="004C1E2A">
        <w:rPr>
          <w:rFonts w:ascii="Arial Narrow" w:hAnsi="Arial Narrow"/>
          <w:sz w:val="24"/>
          <w:szCs w:val="24"/>
        </w:rPr>
        <w:t xml:space="preserve">in a manner that is </w:t>
      </w:r>
      <w:r w:rsidRPr="004C1E2A">
        <w:rPr>
          <w:rFonts w:ascii="Arial Narrow" w:hAnsi="Arial Narrow"/>
          <w:sz w:val="24"/>
          <w:szCs w:val="24"/>
        </w:rPr>
        <w:t xml:space="preserve">consistent with the relevant accounting standards. </w:t>
      </w:r>
    </w:p>
    <w:p w:rsidR="008835F5" w:rsidRPr="004C1E2A" w:rsidRDefault="008835F5" w:rsidP="004C1E2A">
      <w:pPr>
        <w:spacing w:after="0" w:line="240" w:lineRule="auto"/>
        <w:jc w:val="both"/>
        <w:rPr>
          <w:rFonts w:ascii="Arial Narrow" w:hAnsi="Arial Narrow"/>
          <w:sz w:val="24"/>
          <w:szCs w:val="24"/>
        </w:rPr>
      </w:pPr>
    </w:p>
    <w:p w:rsidR="005D556D" w:rsidRPr="004C1E2A" w:rsidRDefault="00780E40" w:rsidP="004C1E2A">
      <w:pPr>
        <w:spacing w:after="0" w:line="240" w:lineRule="auto"/>
        <w:jc w:val="both"/>
        <w:rPr>
          <w:rFonts w:ascii="Arial Narrow" w:hAnsi="Arial Narrow"/>
          <w:sz w:val="24"/>
          <w:szCs w:val="24"/>
        </w:rPr>
      </w:pPr>
      <w:r w:rsidRPr="004C1E2A">
        <w:rPr>
          <w:rFonts w:ascii="Arial Narrow" w:hAnsi="Arial Narrow"/>
          <w:sz w:val="24"/>
          <w:szCs w:val="24"/>
        </w:rPr>
        <w:t>Th</w:t>
      </w:r>
      <w:r w:rsidR="00415BE0" w:rsidRPr="004C1E2A">
        <w:rPr>
          <w:rFonts w:ascii="Arial Narrow" w:hAnsi="Arial Narrow"/>
          <w:sz w:val="24"/>
          <w:szCs w:val="24"/>
        </w:rPr>
        <w:t xml:space="preserve">e actual treatment of provisions in the </w:t>
      </w:r>
      <w:r w:rsidR="004D39B8" w:rsidRPr="004C1E2A">
        <w:rPr>
          <w:rFonts w:ascii="Arial Narrow" w:hAnsi="Arial Narrow"/>
          <w:sz w:val="24"/>
          <w:szCs w:val="24"/>
        </w:rPr>
        <w:t xml:space="preserve">audited </w:t>
      </w:r>
      <w:r w:rsidR="00415BE0" w:rsidRPr="004C1E2A">
        <w:rPr>
          <w:rFonts w:ascii="Arial Narrow" w:hAnsi="Arial Narrow"/>
          <w:sz w:val="24"/>
          <w:szCs w:val="24"/>
        </w:rPr>
        <w:t xml:space="preserve">Regulatory Accounts </w:t>
      </w:r>
      <w:r w:rsidRPr="004C1E2A">
        <w:rPr>
          <w:rFonts w:ascii="Arial Narrow" w:hAnsi="Arial Narrow"/>
          <w:sz w:val="24"/>
          <w:szCs w:val="24"/>
        </w:rPr>
        <w:t>i</w:t>
      </w:r>
      <w:r w:rsidR="005D556D" w:rsidRPr="004C1E2A">
        <w:rPr>
          <w:rFonts w:ascii="Arial Narrow" w:hAnsi="Arial Narrow"/>
          <w:sz w:val="24"/>
          <w:szCs w:val="24"/>
        </w:rPr>
        <w:t xml:space="preserve">s provided </w:t>
      </w:r>
      <w:r w:rsidR="004D39B8" w:rsidRPr="004C1E2A">
        <w:rPr>
          <w:rFonts w:ascii="Arial Narrow" w:hAnsi="Arial Narrow"/>
          <w:sz w:val="24"/>
          <w:szCs w:val="24"/>
        </w:rPr>
        <w:t xml:space="preserve">in the </w:t>
      </w:r>
      <w:r w:rsidR="005D556D" w:rsidRPr="004C1E2A">
        <w:rPr>
          <w:rFonts w:ascii="Arial Narrow" w:hAnsi="Arial Narrow"/>
          <w:sz w:val="24"/>
          <w:szCs w:val="24"/>
        </w:rPr>
        <w:t>below</w:t>
      </w:r>
      <w:r w:rsidR="004D39B8" w:rsidRPr="004C1E2A">
        <w:rPr>
          <w:rFonts w:ascii="Arial Narrow" w:hAnsi="Arial Narrow"/>
          <w:sz w:val="24"/>
          <w:szCs w:val="24"/>
        </w:rPr>
        <w:t xml:space="preserve"> table</w:t>
      </w:r>
      <w:r w:rsidR="005D556D" w:rsidRPr="004C1E2A">
        <w:rPr>
          <w:rFonts w:ascii="Arial Narrow" w:hAnsi="Arial Narrow"/>
          <w:sz w:val="24"/>
          <w:szCs w:val="24"/>
        </w:rPr>
        <w:t>, which shows that the depreciation/impairment line of</w:t>
      </w:r>
      <w:r w:rsidR="004D39B8" w:rsidRPr="004C1E2A">
        <w:rPr>
          <w:rFonts w:ascii="Arial Narrow" w:hAnsi="Arial Narrow"/>
          <w:sz w:val="24"/>
          <w:szCs w:val="24"/>
        </w:rPr>
        <w:t xml:space="preserve"> Regulatory Accounting</w:t>
      </w:r>
      <w:r w:rsidR="005D556D" w:rsidRPr="004C1E2A">
        <w:rPr>
          <w:rFonts w:ascii="Arial Narrow" w:hAnsi="Arial Narrow"/>
          <w:sz w:val="24"/>
          <w:szCs w:val="24"/>
        </w:rPr>
        <w:t xml:space="preserve"> Statement 1 (</w:t>
      </w:r>
      <w:r w:rsidR="004D39B8" w:rsidRPr="004C1E2A">
        <w:rPr>
          <w:rFonts w:ascii="Arial Narrow" w:hAnsi="Arial Narrow"/>
          <w:sz w:val="24"/>
          <w:szCs w:val="24"/>
        </w:rPr>
        <w:t>Income Statement</w:t>
      </w:r>
      <w:r w:rsidR="005D556D" w:rsidRPr="004C1E2A">
        <w:rPr>
          <w:rFonts w:ascii="Arial Narrow" w:hAnsi="Arial Narrow"/>
          <w:sz w:val="24"/>
          <w:szCs w:val="24"/>
        </w:rPr>
        <w:t xml:space="preserve">) is the sum of </w:t>
      </w:r>
      <w:r w:rsidR="004D39B8" w:rsidRPr="004C1E2A">
        <w:rPr>
          <w:rFonts w:ascii="Arial Narrow" w:hAnsi="Arial Narrow"/>
          <w:sz w:val="24"/>
          <w:szCs w:val="24"/>
        </w:rPr>
        <w:t xml:space="preserve">Regulatory Accounting </w:t>
      </w:r>
      <w:r w:rsidR="005D556D" w:rsidRPr="004C1E2A">
        <w:rPr>
          <w:rFonts w:ascii="Arial Narrow" w:hAnsi="Arial Narrow"/>
          <w:sz w:val="24"/>
          <w:szCs w:val="24"/>
        </w:rPr>
        <w:t>Statement 5 (</w:t>
      </w:r>
      <w:r w:rsidR="004D39B8" w:rsidRPr="004C1E2A">
        <w:rPr>
          <w:rFonts w:ascii="Arial Narrow" w:hAnsi="Arial Narrow"/>
          <w:sz w:val="24"/>
          <w:szCs w:val="24"/>
        </w:rPr>
        <w:t>Fixed Assets Depreciation</w:t>
      </w:r>
      <w:r w:rsidR="005D556D" w:rsidRPr="004C1E2A">
        <w:rPr>
          <w:rFonts w:ascii="Arial Narrow" w:hAnsi="Arial Narrow"/>
          <w:sz w:val="24"/>
          <w:szCs w:val="24"/>
        </w:rPr>
        <w:t xml:space="preserve">) and </w:t>
      </w:r>
      <w:r w:rsidR="004D39B8" w:rsidRPr="004C1E2A">
        <w:rPr>
          <w:rFonts w:ascii="Arial Narrow" w:hAnsi="Arial Narrow"/>
          <w:sz w:val="24"/>
          <w:szCs w:val="24"/>
        </w:rPr>
        <w:t xml:space="preserve">Regulatory Accounting </w:t>
      </w:r>
      <w:r w:rsidR="005D556D" w:rsidRPr="004C1E2A">
        <w:rPr>
          <w:rFonts w:ascii="Arial Narrow" w:hAnsi="Arial Narrow"/>
          <w:sz w:val="24"/>
          <w:szCs w:val="24"/>
        </w:rPr>
        <w:t>Statement 9 (Provisions).</w:t>
      </w:r>
      <w:r w:rsidR="001E62A8" w:rsidRPr="004C1E2A">
        <w:rPr>
          <w:rFonts w:ascii="Arial Narrow" w:hAnsi="Arial Narrow"/>
          <w:sz w:val="24"/>
          <w:szCs w:val="24"/>
        </w:rPr>
        <w:t xml:space="preserve"> </w:t>
      </w:r>
      <w:r w:rsidR="00415BE0" w:rsidRPr="004C1E2A">
        <w:rPr>
          <w:rFonts w:ascii="Arial Narrow" w:hAnsi="Arial Narrow"/>
          <w:sz w:val="24"/>
          <w:szCs w:val="24"/>
        </w:rPr>
        <w:t xml:space="preserve">This reconciliation demonstrates that </w:t>
      </w:r>
      <w:r w:rsidR="00B25316" w:rsidRPr="004C1E2A">
        <w:rPr>
          <w:rFonts w:ascii="Arial Narrow" w:hAnsi="Arial Narrow"/>
          <w:sz w:val="24"/>
          <w:szCs w:val="24"/>
        </w:rPr>
        <w:t xml:space="preserve">movements in </w:t>
      </w:r>
      <w:r w:rsidR="00415BE0" w:rsidRPr="004C1E2A">
        <w:rPr>
          <w:rFonts w:ascii="Arial Narrow" w:hAnsi="Arial Narrow"/>
          <w:sz w:val="24"/>
          <w:szCs w:val="24"/>
        </w:rPr>
        <w:t xml:space="preserve">provisions are </w:t>
      </w:r>
      <w:r w:rsidR="00B25316" w:rsidRPr="004C1E2A">
        <w:rPr>
          <w:rFonts w:ascii="Arial Narrow" w:hAnsi="Arial Narrow"/>
          <w:sz w:val="24"/>
          <w:szCs w:val="24"/>
        </w:rPr>
        <w:t>captured as “depreciation/impairment”</w:t>
      </w:r>
      <w:r w:rsidR="000E2673" w:rsidRPr="004C1E2A">
        <w:rPr>
          <w:rFonts w:ascii="Arial Narrow" w:hAnsi="Arial Narrow"/>
          <w:sz w:val="24"/>
          <w:szCs w:val="24"/>
        </w:rPr>
        <w:t xml:space="preserve"> in Regulatory Accounting Statement 1</w:t>
      </w:r>
      <w:r w:rsidR="00B25316" w:rsidRPr="004C1E2A">
        <w:rPr>
          <w:rFonts w:ascii="Arial Narrow" w:hAnsi="Arial Narrow"/>
          <w:sz w:val="24"/>
          <w:szCs w:val="24"/>
        </w:rPr>
        <w:t xml:space="preserve"> and </w:t>
      </w:r>
      <w:r w:rsidR="00415BE0" w:rsidRPr="004C1E2A">
        <w:rPr>
          <w:rFonts w:ascii="Arial Narrow" w:hAnsi="Arial Narrow"/>
          <w:sz w:val="24"/>
          <w:szCs w:val="24"/>
        </w:rPr>
        <w:t xml:space="preserve">not </w:t>
      </w:r>
      <w:r w:rsidR="000E2673" w:rsidRPr="004C1E2A">
        <w:rPr>
          <w:rFonts w:ascii="Arial Narrow" w:hAnsi="Arial Narrow"/>
          <w:sz w:val="24"/>
          <w:szCs w:val="24"/>
        </w:rPr>
        <w:t>“</w:t>
      </w:r>
      <w:r w:rsidR="00415BE0" w:rsidRPr="004C1E2A">
        <w:rPr>
          <w:rFonts w:ascii="Arial Narrow" w:hAnsi="Arial Narrow"/>
          <w:sz w:val="24"/>
          <w:szCs w:val="24"/>
        </w:rPr>
        <w:t>oper</w:t>
      </w:r>
      <w:r w:rsidR="001E62A8" w:rsidRPr="004C1E2A">
        <w:rPr>
          <w:rFonts w:ascii="Arial Narrow" w:hAnsi="Arial Narrow"/>
          <w:sz w:val="24"/>
          <w:szCs w:val="24"/>
        </w:rPr>
        <w:t>ating expenditure</w:t>
      </w:r>
      <w:r w:rsidR="000E2673" w:rsidRPr="004C1E2A">
        <w:rPr>
          <w:rFonts w:ascii="Arial Narrow" w:hAnsi="Arial Narrow"/>
          <w:sz w:val="24"/>
          <w:szCs w:val="24"/>
        </w:rPr>
        <w:t>” in Regulatory Accounting Statement 8</w:t>
      </w:r>
      <w:r w:rsidR="001E62A8" w:rsidRPr="004C1E2A">
        <w:rPr>
          <w:rFonts w:ascii="Arial Narrow" w:hAnsi="Arial Narrow"/>
          <w:sz w:val="24"/>
          <w:szCs w:val="24"/>
        </w:rPr>
        <w:t>.</w:t>
      </w:r>
    </w:p>
    <w:p w:rsidR="0074435B" w:rsidRPr="004C1E2A" w:rsidRDefault="0074435B" w:rsidP="004C1E2A">
      <w:pPr>
        <w:spacing w:after="0" w:line="240" w:lineRule="auto"/>
        <w:jc w:val="both"/>
        <w:rPr>
          <w:rFonts w:ascii="Arial Narrow" w:hAnsi="Arial Narrow"/>
          <w:sz w:val="24"/>
          <w:szCs w:val="24"/>
        </w:rPr>
      </w:pPr>
    </w:p>
    <w:p w:rsidR="0074435B" w:rsidRPr="000F3B84" w:rsidRDefault="0074435B" w:rsidP="004C1E2A">
      <w:pPr>
        <w:keepNext/>
        <w:spacing w:after="0" w:line="240" w:lineRule="auto"/>
        <w:jc w:val="both"/>
        <w:rPr>
          <w:rFonts w:ascii="Arial Narrow" w:hAnsi="Arial Narrow"/>
          <w:color w:val="17365D" w:themeColor="text2" w:themeShade="BF"/>
          <w:sz w:val="24"/>
          <w:szCs w:val="24"/>
        </w:rPr>
      </w:pPr>
      <w:r w:rsidRPr="000F3B84">
        <w:rPr>
          <w:rFonts w:ascii="Arial Narrow" w:hAnsi="Arial Narrow"/>
          <w:b/>
          <w:color w:val="17365D" w:themeColor="text2" w:themeShade="BF"/>
          <w:sz w:val="24"/>
          <w:szCs w:val="24"/>
        </w:rPr>
        <w:t>Table 1</w:t>
      </w:r>
      <w:r w:rsidR="00545E9A" w:rsidRPr="000F3B84">
        <w:rPr>
          <w:rFonts w:ascii="Arial Narrow" w:hAnsi="Arial Narrow"/>
          <w:b/>
          <w:color w:val="17365D" w:themeColor="text2" w:themeShade="BF"/>
          <w:sz w:val="24"/>
          <w:szCs w:val="24"/>
        </w:rPr>
        <w:t xml:space="preserve">:  </w:t>
      </w:r>
      <w:r w:rsidRPr="000F3B84">
        <w:rPr>
          <w:rFonts w:ascii="Arial Narrow" w:hAnsi="Arial Narrow"/>
          <w:b/>
          <w:color w:val="17365D" w:themeColor="text2" w:themeShade="BF"/>
          <w:sz w:val="24"/>
          <w:szCs w:val="24"/>
        </w:rPr>
        <w:t>Treatment of Provisions in the Audited Regulatory Accounts, 2008 to 2011</w:t>
      </w:r>
    </w:p>
    <w:p w:rsidR="00582E28" w:rsidRPr="004C1E2A" w:rsidRDefault="00582E28" w:rsidP="004C1E2A">
      <w:pPr>
        <w:spacing w:after="0" w:line="240" w:lineRule="auto"/>
        <w:jc w:val="both"/>
        <w:rPr>
          <w:rFonts w:ascii="Arial Narrow" w:hAnsi="Arial Narrow"/>
          <w:sz w:val="24"/>
          <w:szCs w:val="24"/>
        </w:rPr>
      </w:pPr>
    </w:p>
    <w:tbl>
      <w:tblPr>
        <w:tblStyle w:val="TableGrid"/>
        <w:tblW w:w="872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332"/>
        <w:gridCol w:w="2633"/>
        <w:gridCol w:w="1191"/>
        <w:gridCol w:w="1191"/>
        <w:gridCol w:w="1191"/>
        <w:gridCol w:w="1191"/>
      </w:tblGrid>
      <w:tr w:rsidR="00063994" w:rsidRPr="00063994" w:rsidTr="00DD5723">
        <w:tc>
          <w:tcPr>
            <w:tcW w:w="1332" w:type="dxa"/>
            <w:shd w:val="clear" w:color="auto" w:fill="548DD4" w:themeFill="text2" w:themeFillTint="99"/>
          </w:tcPr>
          <w:p w:rsidR="00B96FF7" w:rsidRPr="00063994" w:rsidRDefault="00B96FF7" w:rsidP="00063994">
            <w:pPr>
              <w:spacing w:before="60" w:after="60"/>
              <w:jc w:val="both"/>
              <w:rPr>
                <w:rFonts w:ascii="Arial Narrow" w:hAnsi="Arial Narrow"/>
                <w:b/>
                <w:color w:val="FFFFFF" w:themeColor="background1"/>
                <w:sz w:val="24"/>
                <w:szCs w:val="24"/>
              </w:rPr>
            </w:pPr>
          </w:p>
        </w:tc>
        <w:tc>
          <w:tcPr>
            <w:tcW w:w="2633" w:type="dxa"/>
            <w:shd w:val="clear" w:color="auto" w:fill="548DD4" w:themeFill="text2" w:themeFillTint="99"/>
          </w:tcPr>
          <w:p w:rsidR="00B96FF7" w:rsidRPr="00063994" w:rsidRDefault="00B96FF7" w:rsidP="00063994">
            <w:pPr>
              <w:spacing w:before="60" w:after="60"/>
              <w:jc w:val="both"/>
              <w:rPr>
                <w:rFonts w:ascii="Arial Narrow" w:hAnsi="Arial Narrow"/>
                <w:b/>
                <w:color w:val="FFFFFF" w:themeColor="background1"/>
                <w:sz w:val="24"/>
                <w:szCs w:val="24"/>
              </w:rPr>
            </w:pPr>
          </w:p>
        </w:tc>
        <w:tc>
          <w:tcPr>
            <w:tcW w:w="1191" w:type="dxa"/>
            <w:shd w:val="clear" w:color="auto" w:fill="548DD4" w:themeFill="text2" w:themeFillTint="99"/>
            <w:vAlign w:val="bottom"/>
          </w:tcPr>
          <w:p w:rsidR="00B96FF7" w:rsidRPr="00063994" w:rsidRDefault="00B96FF7" w:rsidP="00977642">
            <w:pPr>
              <w:spacing w:before="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2008</w:t>
            </w:r>
          </w:p>
          <w:p w:rsidR="00B96FF7" w:rsidRPr="00063994" w:rsidRDefault="00B96FF7" w:rsidP="00977642">
            <w:pPr>
              <w:spacing w:after="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vAlign w:val="bottom"/>
          </w:tcPr>
          <w:p w:rsidR="00B96FF7" w:rsidRPr="00063994" w:rsidRDefault="00B96FF7" w:rsidP="00977642">
            <w:pPr>
              <w:spacing w:before="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2009</w:t>
            </w:r>
          </w:p>
          <w:p w:rsidR="00B96FF7" w:rsidRPr="00063994" w:rsidRDefault="00B96FF7" w:rsidP="00977642">
            <w:pPr>
              <w:spacing w:after="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vAlign w:val="bottom"/>
          </w:tcPr>
          <w:p w:rsidR="00B96FF7" w:rsidRPr="00063994" w:rsidRDefault="00B96FF7" w:rsidP="00977642">
            <w:pPr>
              <w:spacing w:before="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2010</w:t>
            </w:r>
          </w:p>
          <w:p w:rsidR="00B96FF7" w:rsidRPr="00063994" w:rsidRDefault="00B96FF7" w:rsidP="00977642">
            <w:pPr>
              <w:spacing w:after="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vAlign w:val="bottom"/>
          </w:tcPr>
          <w:p w:rsidR="00B96FF7" w:rsidRPr="00063994" w:rsidRDefault="00B96FF7" w:rsidP="00977642">
            <w:pPr>
              <w:spacing w:before="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2011</w:t>
            </w:r>
          </w:p>
          <w:p w:rsidR="00B96FF7" w:rsidRPr="00063994" w:rsidRDefault="00B96FF7" w:rsidP="00977642">
            <w:pPr>
              <w:spacing w:after="60"/>
              <w:jc w:val="center"/>
              <w:rPr>
                <w:rFonts w:ascii="Arial Narrow" w:eastAsia="Times New Roman" w:hAnsi="Arial Narrow" w:cs="Calibri"/>
                <w:b/>
                <w:bCs/>
                <w:color w:val="FFFFFF" w:themeColor="background1"/>
                <w:sz w:val="24"/>
                <w:szCs w:val="24"/>
                <w:lang w:eastAsia="en-AU"/>
              </w:rPr>
            </w:pPr>
            <w:r w:rsidRPr="00063994">
              <w:rPr>
                <w:rFonts w:ascii="Arial Narrow" w:eastAsia="Times New Roman" w:hAnsi="Arial Narrow" w:cs="Calibri"/>
                <w:b/>
                <w:bCs/>
                <w:color w:val="FFFFFF" w:themeColor="background1"/>
                <w:sz w:val="24"/>
                <w:szCs w:val="24"/>
                <w:lang w:eastAsia="en-AU"/>
              </w:rPr>
              <w:t>($m nom)</w:t>
            </w:r>
          </w:p>
        </w:tc>
      </w:tr>
      <w:tr w:rsidR="00B96FF7" w:rsidRPr="004C1E2A" w:rsidTr="00DD5723">
        <w:tc>
          <w:tcPr>
            <w:tcW w:w="1332" w:type="dxa"/>
          </w:tcPr>
          <w:p w:rsidR="00B96FF7" w:rsidRPr="004C1E2A" w:rsidRDefault="00B96FF7" w:rsidP="00063994">
            <w:pPr>
              <w:spacing w:before="60" w:after="60"/>
              <w:jc w:val="both"/>
              <w:rPr>
                <w:rFonts w:ascii="Arial Narrow" w:hAnsi="Arial Narrow"/>
                <w:sz w:val="24"/>
                <w:szCs w:val="24"/>
              </w:rPr>
            </w:pPr>
            <w:r w:rsidRPr="004C1E2A">
              <w:rPr>
                <w:rFonts w:ascii="Arial Narrow" w:hAnsi="Arial Narrow"/>
                <w:sz w:val="24"/>
                <w:szCs w:val="24"/>
              </w:rPr>
              <w:t>Statement 5</w:t>
            </w:r>
          </w:p>
        </w:tc>
        <w:tc>
          <w:tcPr>
            <w:tcW w:w="2633" w:type="dxa"/>
          </w:tcPr>
          <w:p w:rsidR="00B96FF7" w:rsidRPr="004C1E2A" w:rsidRDefault="00B96FF7" w:rsidP="00063994">
            <w:pPr>
              <w:spacing w:before="60" w:after="60"/>
              <w:jc w:val="both"/>
              <w:rPr>
                <w:rFonts w:ascii="Arial Narrow" w:hAnsi="Arial Narrow"/>
                <w:sz w:val="24"/>
                <w:szCs w:val="24"/>
              </w:rPr>
            </w:pPr>
            <w:r w:rsidRPr="004C1E2A">
              <w:rPr>
                <w:rFonts w:ascii="Arial Narrow" w:hAnsi="Arial Narrow"/>
                <w:sz w:val="24"/>
                <w:szCs w:val="24"/>
              </w:rPr>
              <w:t>Depreciation Expense</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19.68</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20.56</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21.76</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23.04</w:t>
            </w:r>
          </w:p>
        </w:tc>
      </w:tr>
      <w:tr w:rsidR="00B96FF7" w:rsidRPr="004C1E2A" w:rsidTr="00DD5723">
        <w:tc>
          <w:tcPr>
            <w:tcW w:w="1332" w:type="dxa"/>
          </w:tcPr>
          <w:p w:rsidR="00B96FF7" w:rsidRPr="004C1E2A" w:rsidRDefault="00B96FF7" w:rsidP="00063994">
            <w:pPr>
              <w:spacing w:before="60" w:after="60"/>
              <w:jc w:val="both"/>
              <w:rPr>
                <w:rFonts w:ascii="Arial Narrow" w:hAnsi="Arial Narrow"/>
                <w:sz w:val="24"/>
                <w:szCs w:val="24"/>
              </w:rPr>
            </w:pPr>
            <w:r w:rsidRPr="004C1E2A">
              <w:rPr>
                <w:rFonts w:ascii="Arial Narrow" w:hAnsi="Arial Narrow"/>
                <w:sz w:val="24"/>
                <w:szCs w:val="24"/>
              </w:rPr>
              <w:t>Statement 9</w:t>
            </w:r>
          </w:p>
        </w:tc>
        <w:tc>
          <w:tcPr>
            <w:tcW w:w="2633" w:type="dxa"/>
          </w:tcPr>
          <w:p w:rsidR="00B96FF7" w:rsidRPr="004C1E2A" w:rsidRDefault="00B96FF7" w:rsidP="00063994">
            <w:pPr>
              <w:spacing w:before="60" w:after="60"/>
              <w:jc w:val="both"/>
              <w:rPr>
                <w:rFonts w:ascii="Arial Narrow" w:hAnsi="Arial Narrow"/>
                <w:sz w:val="24"/>
                <w:szCs w:val="24"/>
              </w:rPr>
            </w:pPr>
            <w:r w:rsidRPr="004C1E2A">
              <w:rPr>
                <w:rFonts w:ascii="Arial Narrow" w:hAnsi="Arial Narrow"/>
                <w:sz w:val="24"/>
                <w:szCs w:val="24"/>
              </w:rPr>
              <w:t>Increase in Provision</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1.48</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4.83</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0.29</w:t>
            </w:r>
          </w:p>
        </w:tc>
        <w:tc>
          <w:tcPr>
            <w:tcW w:w="1191" w:type="dxa"/>
          </w:tcPr>
          <w:p w:rsidR="00B96FF7" w:rsidRPr="004C1E2A" w:rsidRDefault="00B96FF7" w:rsidP="009D0FD3">
            <w:pPr>
              <w:spacing w:before="60" w:after="60"/>
              <w:jc w:val="center"/>
              <w:rPr>
                <w:rFonts w:ascii="Arial Narrow" w:hAnsi="Arial Narrow"/>
                <w:sz w:val="24"/>
                <w:szCs w:val="24"/>
              </w:rPr>
            </w:pPr>
            <w:r w:rsidRPr="004C1E2A">
              <w:rPr>
                <w:rFonts w:ascii="Arial Narrow" w:hAnsi="Arial Narrow"/>
                <w:sz w:val="24"/>
                <w:szCs w:val="24"/>
              </w:rPr>
              <w:t>0.08</w:t>
            </w:r>
          </w:p>
        </w:tc>
      </w:tr>
      <w:tr w:rsidR="00B96FF7" w:rsidRPr="004C1E2A" w:rsidTr="00DD5723">
        <w:tc>
          <w:tcPr>
            <w:tcW w:w="1332" w:type="dxa"/>
          </w:tcPr>
          <w:p w:rsidR="00B96FF7" w:rsidRPr="004C1E2A" w:rsidRDefault="00B96FF7" w:rsidP="00063994">
            <w:pPr>
              <w:spacing w:before="60" w:after="60"/>
              <w:jc w:val="both"/>
              <w:rPr>
                <w:rFonts w:ascii="Arial Narrow" w:hAnsi="Arial Narrow"/>
                <w:b/>
                <w:sz w:val="24"/>
                <w:szCs w:val="24"/>
              </w:rPr>
            </w:pPr>
          </w:p>
        </w:tc>
        <w:tc>
          <w:tcPr>
            <w:tcW w:w="2633" w:type="dxa"/>
          </w:tcPr>
          <w:p w:rsidR="00B96FF7" w:rsidRPr="004C1E2A" w:rsidRDefault="00B96FF7" w:rsidP="00063994">
            <w:pPr>
              <w:spacing w:before="60" w:after="60"/>
              <w:jc w:val="both"/>
              <w:rPr>
                <w:rFonts w:ascii="Arial Narrow" w:hAnsi="Arial Narrow"/>
                <w:b/>
                <w:sz w:val="24"/>
                <w:szCs w:val="24"/>
              </w:rPr>
            </w:pPr>
            <w:r w:rsidRPr="004C1E2A">
              <w:rPr>
                <w:rFonts w:ascii="Arial Narrow" w:hAnsi="Arial Narrow"/>
                <w:b/>
                <w:sz w:val="24"/>
                <w:szCs w:val="24"/>
              </w:rPr>
              <w:t>Total</w:t>
            </w:r>
          </w:p>
        </w:tc>
        <w:tc>
          <w:tcPr>
            <w:tcW w:w="1191" w:type="dxa"/>
          </w:tcPr>
          <w:p w:rsidR="00B96FF7" w:rsidRPr="004C1E2A" w:rsidRDefault="00D41E2C" w:rsidP="009D0FD3">
            <w:pPr>
              <w:spacing w:before="60" w:after="60"/>
              <w:jc w:val="center"/>
              <w:rPr>
                <w:rFonts w:ascii="Arial Narrow" w:hAnsi="Arial Narrow"/>
                <w:b/>
                <w:sz w:val="24"/>
                <w:szCs w:val="24"/>
              </w:rPr>
            </w:pPr>
            <w:r w:rsidRPr="004C1E2A">
              <w:rPr>
                <w:rFonts w:ascii="Arial Narrow" w:hAnsi="Arial Narrow"/>
                <w:b/>
                <w:sz w:val="24"/>
                <w:szCs w:val="24"/>
              </w:rPr>
              <w:t>21.</w:t>
            </w:r>
            <w:r w:rsidR="00A66CD5" w:rsidRPr="004C1E2A">
              <w:rPr>
                <w:rFonts w:ascii="Arial Narrow" w:hAnsi="Arial Narrow"/>
                <w:b/>
                <w:sz w:val="24"/>
                <w:szCs w:val="24"/>
              </w:rPr>
              <w:t>1</w:t>
            </w:r>
            <w:r w:rsidRPr="004C1E2A">
              <w:rPr>
                <w:rFonts w:ascii="Arial Narrow" w:hAnsi="Arial Narrow"/>
                <w:b/>
                <w:sz w:val="24"/>
                <w:szCs w:val="24"/>
              </w:rPr>
              <w:t>6</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25.39</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22.04</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23.12</w:t>
            </w:r>
          </w:p>
        </w:tc>
      </w:tr>
      <w:tr w:rsidR="00B96FF7" w:rsidRPr="004C1E2A" w:rsidTr="00DD5723">
        <w:tc>
          <w:tcPr>
            <w:tcW w:w="1332" w:type="dxa"/>
          </w:tcPr>
          <w:p w:rsidR="00B96FF7" w:rsidRPr="004C1E2A" w:rsidRDefault="00B96FF7" w:rsidP="00063994">
            <w:pPr>
              <w:spacing w:before="60" w:after="60"/>
              <w:jc w:val="both"/>
              <w:rPr>
                <w:rFonts w:ascii="Arial Narrow" w:hAnsi="Arial Narrow"/>
                <w:sz w:val="24"/>
                <w:szCs w:val="24"/>
              </w:rPr>
            </w:pPr>
          </w:p>
        </w:tc>
        <w:tc>
          <w:tcPr>
            <w:tcW w:w="2633" w:type="dxa"/>
          </w:tcPr>
          <w:p w:rsidR="00B96FF7" w:rsidRPr="004C1E2A" w:rsidRDefault="00B96FF7" w:rsidP="00063994">
            <w:pPr>
              <w:spacing w:before="60" w:after="60"/>
              <w:jc w:val="both"/>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r>
      <w:tr w:rsidR="00B96FF7" w:rsidRPr="004C1E2A" w:rsidTr="00DD5723">
        <w:tc>
          <w:tcPr>
            <w:tcW w:w="1332" w:type="dxa"/>
          </w:tcPr>
          <w:p w:rsidR="00B96FF7" w:rsidRPr="004C1E2A" w:rsidRDefault="00B96FF7" w:rsidP="00063994">
            <w:pPr>
              <w:spacing w:before="60" w:after="60"/>
              <w:jc w:val="both"/>
              <w:rPr>
                <w:rFonts w:ascii="Arial Narrow" w:hAnsi="Arial Narrow"/>
                <w:sz w:val="24"/>
                <w:szCs w:val="24"/>
              </w:rPr>
            </w:pPr>
            <w:r w:rsidRPr="004C1E2A">
              <w:rPr>
                <w:rFonts w:ascii="Arial Narrow" w:hAnsi="Arial Narrow"/>
                <w:sz w:val="24"/>
                <w:szCs w:val="24"/>
              </w:rPr>
              <w:t>Statement 1</w:t>
            </w:r>
          </w:p>
        </w:tc>
        <w:tc>
          <w:tcPr>
            <w:tcW w:w="2633" w:type="dxa"/>
          </w:tcPr>
          <w:p w:rsidR="00B96FF7" w:rsidRPr="004C1E2A" w:rsidRDefault="00B96FF7" w:rsidP="00063994">
            <w:pPr>
              <w:spacing w:before="60" w:after="60"/>
              <w:jc w:val="both"/>
              <w:rPr>
                <w:rFonts w:ascii="Arial Narrow" w:hAnsi="Arial Narrow"/>
                <w:b/>
                <w:sz w:val="24"/>
                <w:szCs w:val="24"/>
              </w:rPr>
            </w:pPr>
            <w:r w:rsidRPr="004C1E2A">
              <w:rPr>
                <w:rFonts w:ascii="Arial Narrow" w:hAnsi="Arial Narrow"/>
                <w:b/>
                <w:sz w:val="24"/>
                <w:szCs w:val="24"/>
              </w:rPr>
              <w:t>Depreciation/impairment</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20.95</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25.39</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22.04</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23.12</w:t>
            </w:r>
          </w:p>
        </w:tc>
      </w:tr>
      <w:tr w:rsidR="00B96FF7" w:rsidRPr="004C1E2A" w:rsidTr="00DD5723">
        <w:tc>
          <w:tcPr>
            <w:tcW w:w="1332" w:type="dxa"/>
          </w:tcPr>
          <w:p w:rsidR="00B96FF7" w:rsidRPr="004C1E2A" w:rsidRDefault="00B96FF7" w:rsidP="00063994">
            <w:pPr>
              <w:spacing w:before="60" w:after="60"/>
              <w:jc w:val="both"/>
              <w:rPr>
                <w:rFonts w:ascii="Arial Narrow" w:hAnsi="Arial Narrow"/>
                <w:sz w:val="24"/>
                <w:szCs w:val="24"/>
              </w:rPr>
            </w:pPr>
          </w:p>
        </w:tc>
        <w:tc>
          <w:tcPr>
            <w:tcW w:w="2633" w:type="dxa"/>
          </w:tcPr>
          <w:p w:rsidR="00B96FF7" w:rsidRPr="004C1E2A" w:rsidRDefault="00B96FF7" w:rsidP="00063994">
            <w:pPr>
              <w:spacing w:before="60" w:after="60"/>
              <w:jc w:val="both"/>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c>
          <w:tcPr>
            <w:tcW w:w="1191" w:type="dxa"/>
          </w:tcPr>
          <w:p w:rsidR="00B96FF7" w:rsidRPr="004C1E2A" w:rsidRDefault="00B96FF7" w:rsidP="009D0FD3">
            <w:pPr>
              <w:spacing w:before="60" w:after="60"/>
              <w:jc w:val="center"/>
              <w:rPr>
                <w:rFonts w:ascii="Arial Narrow" w:hAnsi="Arial Narrow"/>
                <w:sz w:val="24"/>
                <w:szCs w:val="24"/>
              </w:rPr>
            </w:pPr>
          </w:p>
        </w:tc>
      </w:tr>
      <w:tr w:rsidR="00B96FF7" w:rsidRPr="004C1E2A" w:rsidTr="00DD5723">
        <w:tc>
          <w:tcPr>
            <w:tcW w:w="1332" w:type="dxa"/>
          </w:tcPr>
          <w:p w:rsidR="00B96FF7" w:rsidRPr="004C1E2A" w:rsidRDefault="00B96FF7" w:rsidP="00063994">
            <w:pPr>
              <w:spacing w:before="60" w:after="60"/>
              <w:jc w:val="both"/>
              <w:rPr>
                <w:rFonts w:ascii="Arial Narrow" w:hAnsi="Arial Narrow"/>
                <w:b/>
                <w:sz w:val="24"/>
                <w:szCs w:val="24"/>
              </w:rPr>
            </w:pPr>
          </w:p>
        </w:tc>
        <w:tc>
          <w:tcPr>
            <w:tcW w:w="2633" w:type="dxa"/>
          </w:tcPr>
          <w:p w:rsidR="00B96FF7" w:rsidRPr="004C1E2A" w:rsidRDefault="00B96FF7" w:rsidP="00063994">
            <w:pPr>
              <w:spacing w:before="60" w:after="60"/>
              <w:jc w:val="both"/>
              <w:rPr>
                <w:rFonts w:ascii="Arial Narrow" w:hAnsi="Arial Narrow"/>
                <w:b/>
                <w:sz w:val="24"/>
                <w:szCs w:val="24"/>
              </w:rPr>
            </w:pPr>
            <w:r w:rsidRPr="004C1E2A">
              <w:rPr>
                <w:rFonts w:ascii="Arial Narrow" w:hAnsi="Arial Narrow"/>
                <w:b/>
                <w:sz w:val="24"/>
                <w:szCs w:val="24"/>
              </w:rPr>
              <w:t>Variance</w:t>
            </w:r>
          </w:p>
        </w:tc>
        <w:tc>
          <w:tcPr>
            <w:tcW w:w="1191" w:type="dxa"/>
          </w:tcPr>
          <w:p w:rsidR="00B96FF7" w:rsidRPr="004C1E2A" w:rsidRDefault="00A66CD5" w:rsidP="009D0FD3">
            <w:pPr>
              <w:spacing w:before="60" w:after="60"/>
              <w:jc w:val="center"/>
              <w:rPr>
                <w:rFonts w:ascii="Arial Narrow" w:hAnsi="Arial Narrow"/>
                <w:b/>
                <w:sz w:val="24"/>
                <w:szCs w:val="24"/>
              </w:rPr>
            </w:pPr>
            <w:r w:rsidRPr="004C1E2A">
              <w:rPr>
                <w:rFonts w:ascii="Arial Narrow" w:hAnsi="Arial Narrow"/>
                <w:b/>
                <w:sz w:val="24"/>
                <w:szCs w:val="24"/>
              </w:rPr>
              <w:t>0.2</w:t>
            </w:r>
          </w:p>
        </w:tc>
        <w:tc>
          <w:tcPr>
            <w:tcW w:w="1191" w:type="dxa"/>
          </w:tcPr>
          <w:p w:rsidR="00B96FF7" w:rsidRPr="004C1E2A" w:rsidRDefault="00B96FF7" w:rsidP="009D0FD3">
            <w:pPr>
              <w:spacing w:before="60" w:after="60"/>
              <w:jc w:val="center"/>
              <w:rPr>
                <w:rFonts w:ascii="Arial Narrow" w:hAnsi="Arial Narrow"/>
                <w:b/>
                <w:sz w:val="24"/>
                <w:szCs w:val="24"/>
              </w:rPr>
            </w:pPr>
            <w:r w:rsidRPr="004C1E2A">
              <w:rPr>
                <w:rFonts w:ascii="Arial Narrow" w:hAnsi="Arial Narrow"/>
                <w:b/>
                <w:sz w:val="24"/>
                <w:szCs w:val="24"/>
              </w:rPr>
              <w:t>0</w:t>
            </w:r>
          </w:p>
        </w:tc>
        <w:tc>
          <w:tcPr>
            <w:tcW w:w="1191" w:type="dxa"/>
          </w:tcPr>
          <w:p w:rsidR="00B96FF7" w:rsidRPr="004C1E2A" w:rsidRDefault="00EB48BF" w:rsidP="009D0FD3">
            <w:pPr>
              <w:spacing w:before="60" w:after="60"/>
              <w:jc w:val="center"/>
              <w:rPr>
                <w:rFonts w:ascii="Arial Narrow" w:hAnsi="Arial Narrow"/>
                <w:b/>
                <w:sz w:val="24"/>
                <w:szCs w:val="24"/>
              </w:rPr>
            </w:pPr>
            <w:r w:rsidRPr="004C1E2A">
              <w:rPr>
                <w:rFonts w:ascii="Arial Narrow" w:hAnsi="Arial Narrow"/>
                <w:b/>
                <w:sz w:val="24"/>
                <w:szCs w:val="24"/>
              </w:rPr>
              <w:t>0</w:t>
            </w:r>
          </w:p>
        </w:tc>
        <w:tc>
          <w:tcPr>
            <w:tcW w:w="1191" w:type="dxa"/>
          </w:tcPr>
          <w:p w:rsidR="00B96FF7" w:rsidRPr="004C1E2A" w:rsidRDefault="00EB48BF" w:rsidP="009D0FD3">
            <w:pPr>
              <w:spacing w:before="60" w:after="60"/>
              <w:jc w:val="center"/>
              <w:rPr>
                <w:rFonts w:ascii="Arial Narrow" w:hAnsi="Arial Narrow"/>
                <w:b/>
                <w:sz w:val="24"/>
                <w:szCs w:val="24"/>
              </w:rPr>
            </w:pPr>
            <w:r w:rsidRPr="004C1E2A">
              <w:rPr>
                <w:rFonts w:ascii="Arial Narrow" w:hAnsi="Arial Narrow"/>
                <w:b/>
                <w:sz w:val="24"/>
                <w:szCs w:val="24"/>
              </w:rPr>
              <w:t>0</w:t>
            </w:r>
          </w:p>
        </w:tc>
      </w:tr>
    </w:tbl>
    <w:p w:rsidR="001D69F6" w:rsidRPr="004C1E2A" w:rsidRDefault="001D69F6" w:rsidP="004C1E2A">
      <w:pPr>
        <w:spacing w:after="0" w:line="240" w:lineRule="auto"/>
        <w:jc w:val="both"/>
        <w:rPr>
          <w:rFonts w:ascii="Arial Narrow" w:hAnsi="Arial Narrow"/>
          <w:sz w:val="24"/>
          <w:szCs w:val="24"/>
        </w:rPr>
      </w:pPr>
    </w:p>
    <w:p w:rsidR="00582E28" w:rsidRPr="004C1E2A" w:rsidRDefault="001D69F6" w:rsidP="004C1E2A">
      <w:pPr>
        <w:tabs>
          <w:tab w:val="left" w:pos="567"/>
        </w:tabs>
        <w:spacing w:after="0" w:line="240" w:lineRule="auto"/>
        <w:ind w:left="567" w:hanging="567"/>
        <w:jc w:val="both"/>
        <w:rPr>
          <w:rFonts w:ascii="Arial Narrow" w:hAnsi="Arial Narrow"/>
          <w:sz w:val="24"/>
          <w:szCs w:val="24"/>
        </w:rPr>
      </w:pPr>
      <w:r w:rsidRPr="004C1E2A">
        <w:rPr>
          <w:rFonts w:ascii="Arial Narrow" w:hAnsi="Arial Narrow"/>
          <w:sz w:val="24"/>
          <w:szCs w:val="24"/>
        </w:rPr>
        <w:t>Note:</w:t>
      </w:r>
      <w:r w:rsidRPr="004C1E2A">
        <w:rPr>
          <w:rFonts w:ascii="Arial Narrow" w:hAnsi="Arial Narrow"/>
          <w:sz w:val="24"/>
          <w:szCs w:val="24"/>
        </w:rPr>
        <w:tab/>
      </w:r>
      <w:r w:rsidR="00A66CD5" w:rsidRPr="004C1E2A">
        <w:rPr>
          <w:rFonts w:ascii="Arial Narrow" w:hAnsi="Arial Narrow"/>
          <w:sz w:val="24"/>
          <w:szCs w:val="24"/>
        </w:rPr>
        <w:t>The variance of $0.2 million in 2008 relates to a</w:t>
      </w:r>
      <w:r w:rsidR="006B22F4" w:rsidRPr="004C1E2A">
        <w:rPr>
          <w:rFonts w:ascii="Arial Narrow" w:hAnsi="Arial Narrow"/>
          <w:sz w:val="24"/>
          <w:szCs w:val="24"/>
        </w:rPr>
        <w:t xml:space="preserve"> decrease in impairment in Statement 1 resulting from a </w:t>
      </w:r>
      <w:r w:rsidR="00A66CD5" w:rsidRPr="004C1E2A">
        <w:rPr>
          <w:rFonts w:ascii="Arial Narrow" w:hAnsi="Arial Narrow"/>
          <w:sz w:val="24"/>
          <w:szCs w:val="24"/>
        </w:rPr>
        <w:t xml:space="preserve">revaluation of property </w:t>
      </w:r>
      <w:r w:rsidR="006B22F4" w:rsidRPr="004C1E2A">
        <w:rPr>
          <w:rFonts w:ascii="Arial Narrow" w:hAnsi="Arial Narrow"/>
          <w:sz w:val="24"/>
          <w:szCs w:val="24"/>
        </w:rPr>
        <w:t>subject to a remediation provision.</w:t>
      </w:r>
    </w:p>
    <w:p w:rsidR="00A66CD5" w:rsidRPr="004C1E2A" w:rsidRDefault="00A66CD5" w:rsidP="004C1E2A">
      <w:pPr>
        <w:spacing w:after="0" w:line="240" w:lineRule="auto"/>
        <w:jc w:val="both"/>
        <w:rPr>
          <w:rFonts w:ascii="Arial Narrow" w:hAnsi="Arial Narrow"/>
          <w:sz w:val="24"/>
          <w:szCs w:val="24"/>
        </w:rPr>
      </w:pPr>
    </w:p>
    <w:p w:rsidR="00950611" w:rsidRPr="004C1E2A" w:rsidRDefault="00415BE0" w:rsidP="004C1E2A">
      <w:pPr>
        <w:spacing w:after="0" w:line="240" w:lineRule="auto"/>
        <w:jc w:val="both"/>
        <w:rPr>
          <w:rFonts w:ascii="Arial Narrow" w:hAnsi="Arial Narrow"/>
          <w:sz w:val="24"/>
          <w:szCs w:val="24"/>
        </w:rPr>
      </w:pPr>
      <w:r w:rsidRPr="004C1E2A">
        <w:rPr>
          <w:rFonts w:ascii="Arial Narrow" w:hAnsi="Arial Narrow"/>
          <w:sz w:val="24"/>
          <w:szCs w:val="24"/>
        </w:rPr>
        <w:t xml:space="preserve">For the avoidance of doubt, the actual operating expenditure amounts </w:t>
      </w:r>
      <w:r w:rsidR="00487BED" w:rsidRPr="004C1E2A">
        <w:rPr>
          <w:rFonts w:ascii="Arial Narrow" w:hAnsi="Arial Narrow"/>
          <w:sz w:val="24"/>
          <w:szCs w:val="24"/>
        </w:rPr>
        <w:t xml:space="preserve">($ million nominal) </w:t>
      </w:r>
      <w:r w:rsidRPr="004C1E2A">
        <w:rPr>
          <w:rFonts w:ascii="Arial Narrow" w:hAnsi="Arial Narrow"/>
          <w:sz w:val="24"/>
          <w:szCs w:val="24"/>
        </w:rPr>
        <w:t xml:space="preserve">from the 2008 to 2011 </w:t>
      </w:r>
      <w:r w:rsidR="0074435B" w:rsidRPr="004C1E2A">
        <w:rPr>
          <w:rFonts w:ascii="Arial Narrow" w:hAnsi="Arial Narrow"/>
          <w:sz w:val="24"/>
          <w:szCs w:val="24"/>
        </w:rPr>
        <w:t>audited R</w:t>
      </w:r>
      <w:r w:rsidRPr="004C1E2A">
        <w:rPr>
          <w:rFonts w:ascii="Arial Narrow" w:hAnsi="Arial Narrow"/>
          <w:sz w:val="24"/>
          <w:szCs w:val="24"/>
        </w:rPr>
        <w:t xml:space="preserve">egulatory </w:t>
      </w:r>
      <w:r w:rsidR="0074435B" w:rsidRPr="004C1E2A">
        <w:rPr>
          <w:rFonts w:ascii="Arial Narrow" w:hAnsi="Arial Narrow"/>
          <w:sz w:val="24"/>
          <w:szCs w:val="24"/>
        </w:rPr>
        <w:t>A</w:t>
      </w:r>
      <w:r w:rsidRPr="004C1E2A">
        <w:rPr>
          <w:rFonts w:ascii="Arial Narrow" w:hAnsi="Arial Narrow"/>
          <w:sz w:val="24"/>
          <w:szCs w:val="24"/>
        </w:rPr>
        <w:t>ccounts</w:t>
      </w:r>
      <w:r w:rsidR="00487BED" w:rsidRPr="004C1E2A">
        <w:rPr>
          <w:rFonts w:ascii="Arial Narrow" w:hAnsi="Arial Narrow"/>
          <w:sz w:val="24"/>
          <w:szCs w:val="24"/>
        </w:rPr>
        <w:t xml:space="preserve"> is set out in the table below. Envestra has </w:t>
      </w:r>
      <w:r w:rsidR="00A3449A" w:rsidRPr="004C1E2A">
        <w:rPr>
          <w:rFonts w:ascii="Arial Narrow" w:hAnsi="Arial Narrow"/>
          <w:sz w:val="24"/>
          <w:szCs w:val="24"/>
        </w:rPr>
        <w:t xml:space="preserve">arrived at these operating expenditures by reversing the </w:t>
      </w:r>
      <w:r w:rsidR="00487BED" w:rsidRPr="004C1E2A">
        <w:rPr>
          <w:rFonts w:ascii="Arial Narrow" w:hAnsi="Arial Narrow"/>
          <w:sz w:val="24"/>
          <w:szCs w:val="24"/>
        </w:rPr>
        <w:t xml:space="preserve">AER’s amendments for </w:t>
      </w:r>
      <w:r w:rsidR="00950611" w:rsidRPr="004C1E2A">
        <w:rPr>
          <w:rFonts w:ascii="Arial Narrow" w:hAnsi="Arial Narrow"/>
          <w:sz w:val="24"/>
          <w:szCs w:val="24"/>
        </w:rPr>
        <w:t>movements in provisions.</w:t>
      </w:r>
    </w:p>
    <w:p w:rsidR="00497EDD" w:rsidRPr="004C1E2A" w:rsidRDefault="00497EDD" w:rsidP="004C1E2A">
      <w:pPr>
        <w:spacing w:after="0" w:line="240" w:lineRule="auto"/>
        <w:jc w:val="both"/>
        <w:rPr>
          <w:rFonts w:ascii="Arial Narrow" w:hAnsi="Arial Narrow"/>
          <w:sz w:val="24"/>
          <w:szCs w:val="24"/>
        </w:rPr>
      </w:pPr>
    </w:p>
    <w:p w:rsidR="0074435B" w:rsidRPr="000F3B84" w:rsidRDefault="0074435B" w:rsidP="004C1E2A">
      <w:pPr>
        <w:keepNext/>
        <w:spacing w:after="0" w:line="240" w:lineRule="auto"/>
        <w:jc w:val="both"/>
        <w:rPr>
          <w:rFonts w:ascii="Arial Narrow" w:hAnsi="Arial Narrow"/>
          <w:color w:val="17365D" w:themeColor="text2" w:themeShade="BF"/>
          <w:sz w:val="24"/>
          <w:szCs w:val="24"/>
        </w:rPr>
      </w:pPr>
      <w:r w:rsidRPr="000F3B84">
        <w:rPr>
          <w:rFonts w:ascii="Arial Narrow" w:hAnsi="Arial Narrow"/>
          <w:b/>
          <w:color w:val="17365D" w:themeColor="text2" w:themeShade="BF"/>
          <w:sz w:val="24"/>
          <w:szCs w:val="24"/>
        </w:rPr>
        <w:t xml:space="preserve">Table 2: </w:t>
      </w:r>
      <w:r w:rsidR="000F3B84">
        <w:rPr>
          <w:rFonts w:ascii="Arial Narrow" w:hAnsi="Arial Narrow"/>
          <w:b/>
          <w:color w:val="17365D" w:themeColor="text2" w:themeShade="BF"/>
          <w:sz w:val="24"/>
          <w:szCs w:val="24"/>
        </w:rPr>
        <w:t xml:space="preserve"> </w:t>
      </w:r>
      <w:r w:rsidRPr="000F3B84">
        <w:rPr>
          <w:rFonts w:ascii="Arial Narrow" w:hAnsi="Arial Narrow"/>
          <w:b/>
          <w:color w:val="17365D" w:themeColor="text2" w:themeShade="BF"/>
          <w:sz w:val="24"/>
          <w:szCs w:val="24"/>
        </w:rPr>
        <w:t>Actual Operating Expenditure from the Regulatory Accounts, 2008 to 2011</w:t>
      </w:r>
    </w:p>
    <w:p w:rsidR="00950611" w:rsidRPr="004C1E2A" w:rsidRDefault="00950611" w:rsidP="004C1E2A">
      <w:pPr>
        <w:spacing w:after="0" w:line="240" w:lineRule="auto"/>
        <w:jc w:val="both"/>
        <w:rPr>
          <w:rFonts w:ascii="Arial Narrow" w:hAnsi="Arial Narrow"/>
          <w:sz w:val="24"/>
          <w:szCs w:val="24"/>
        </w:rPr>
      </w:pPr>
    </w:p>
    <w:tbl>
      <w:tblPr>
        <w:tblW w:w="8727"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3963"/>
        <w:gridCol w:w="1191"/>
        <w:gridCol w:w="1191"/>
        <w:gridCol w:w="1191"/>
        <w:gridCol w:w="1191"/>
      </w:tblGrid>
      <w:tr w:rsidR="000F3B84" w:rsidRPr="000F3B84" w:rsidTr="000F3B84">
        <w:trPr>
          <w:trHeight w:val="300"/>
        </w:trPr>
        <w:tc>
          <w:tcPr>
            <w:tcW w:w="3963" w:type="dxa"/>
            <w:shd w:val="clear" w:color="auto" w:fill="548DD4" w:themeFill="text2" w:themeFillTint="99"/>
            <w:noWrap/>
            <w:vAlign w:val="bottom"/>
            <w:hideMark/>
          </w:tcPr>
          <w:p w:rsidR="00487BED" w:rsidRPr="000F3B84" w:rsidRDefault="00487BED" w:rsidP="000F3B84">
            <w:pPr>
              <w:spacing w:before="60" w:after="60" w:line="240" w:lineRule="auto"/>
              <w:jc w:val="both"/>
              <w:rPr>
                <w:rFonts w:ascii="Arial Narrow" w:eastAsia="Times New Roman" w:hAnsi="Arial Narrow" w:cs="Calibri"/>
                <w:color w:val="FFFFFF" w:themeColor="background1"/>
                <w:sz w:val="24"/>
                <w:szCs w:val="24"/>
                <w:lang w:eastAsia="en-AU"/>
              </w:rPr>
            </w:pPr>
          </w:p>
        </w:tc>
        <w:tc>
          <w:tcPr>
            <w:tcW w:w="1191" w:type="dxa"/>
            <w:shd w:val="clear" w:color="auto" w:fill="548DD4" w:themeFill="text2" w:themeFillTint="99"/>
            <w:noWrap/>
            <w:vAlign w:val="bottom"/>
            <w:hideMark/>
          </w:tcPr>
          <w:p w:rsidR="00487BED" w:rsidRPr="000F3B84" w:rsidRDefault="00487BED" w:rsidP="00977642">
            <w:pPr>
              <w:spacing w:before="60" w:after="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2008</w:t>
            </w:r>
          </w:p>
          <w:p w:rsidR="00B96FF7" w:rsidRPr="000F3B84" w:rsidRDefault="00B96FF7" w:rsidP="00977642">
            <w:pPr>
              <w:spacing w:after="6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bottom"/>
            <w:hideMark/>
          </w:tcPr>
          <w:p w:rsidR="00B96FF7" w:rsidRPr="000F3B84" w:rsidRDefault="00B96FF7" w:rsidP="00977642">
            <w:pPr>
              <w:spacing w:before="60" w:after="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2009</w:t>
            </w:r>
          </w:p>
          <w:p w:rsidR="00487BED" w:rsidRPr="000F3B84" w:rsidRDefault="00B96FF7" w:rsidP="00977642">
            <w:pPr>
              <w:spacing w:after="6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bottom"/>
            <w:hideMark/>
          </w:tcPr>
          <w:p w:rsidR="00B96FF7" w:rsidRPr="000F3B84" w:rsidRDefault="00B96FF7" w:rsidP="00977642">
            <w:pPr>
              <w:spacing w:before="60" w:after="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2010</w:t>
            </w:r>
          </w:p>
          <w:p w:rsidR="00487BED" w:rsidRPr="000F3B84" w:rsidRDefault="00B96FF7" w:rsidP="00977642">
            <w:pPr>
              <w:spacing w:after="6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bottom"/>
            <w:hideMark/>
          </w:tcPr>
          <w:p w:rsidR="00B96FF7" w:rsidRPr="000F3B84" w:rsidRDefault="00B96FF7" w:rsidP="00977642">
            <w:pPr>
              <w:spacing w:before="60" w:after="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2011</w:t>
            </w:r>
          </w:p>
          <w:p w:rsidR="00487BED" w:rsidRPr="000F3B84" w:rsidRDefault="00B96FF7" w:rsidP="00977642">
            <w:pPr>
              <w:spacing w:after="60" w:line="240" w:lineRule="auto"/>
              <w:jc w:val="center"/>
              <w:rPr>
                <w:rFonts w:ascii="Arial Narrow" w:eastAsia="Times New Roman" w:hAnsi="Arial Narrow" w:cs="Calibri"/>
                <w:b/>
                <w:bCs/>
                <w:color w:val="FFFFFF" w:themeColor="background1"/>
                <w:sz w:val="24"/>
                <w:szCs w:val="24"/>
                <w:lang w:eastAsia="en-AU"/>
              </w:rPr>
            </w:pPr>
            <w:r w:rsidRPr="000F3B84">
              <w:rPr>
                <w:rFonts w:ascii="Arial Narrow" w:eastAsia="Times New Roman" w:hAnsi="Arial Narrow" w:cs="Calibri"/>
                <w:b/>
                <w:bCs/>
                <w:color w:val="FFFFFF" w:themeColor="background1"/>
                <w:sz w:val="24"/>
                <w:szCs w:val="24"/>
                <w:lang w:eastAsia="en-AU"/>
              </w:rPr>
              <w:t>($m nom)</w:t>
            </w:r>
          </w:p>
        </w:tc>
      </w:tr>
      <w:tr w:rsidR="00487BED" w:rsidRPr="004C1E2A" w:rsidTr="000F3B84">
        <w:trPr>
          <w:trHeight w:val="315"/>
        </w:trPr>
        <w:tc>
          <w:tcPr>
            <w:tcW w:w="3963" w:type="dxa"/>
            <w:shd w:val="clear" w:color="auto" w:fill="auto"/>
            <w:noWrap/>
            <w:vAlign w:val="bottom"/>
            <w:hideMark/>
          </w:tcPr>
          <w:p w:rsidR="00487BED" w:rsidRPr="004C1E2A" w:rsidRDefault="00487BED" w:rsidP="000F3B8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AER Draft Decision ECM Opex</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44.64</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44.28</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50.48</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54.94</w:t>
            </w:r>
          </w:p>
        </w:tc>
      </w:tr>
      <w:tr w:rsidR="00487BED" w:rsidRPr="004C1E2A" w:rsidTr="000F3B84">
        <w:trPr>
          <w:trHeight w:val="300"/>
        </w:trPr>
        <w:tc>
          <w:tcPr>
            <w:tcW w:w="3963" w:type="dxa"/>
            <w:shd w:val="clear" w:color="auto" w:fill="auto"/>
            <w:noWrap/>
            <w:vAlign w:val="bottom"/>
            <w:hideMark/>
          </w:tcPr>
          <w:p w:rsidR="003830C1" w:rsidRPr="004C1E2A" w:rsidRDefault="003830C1" w:rsidP="000F3B84">
            <w:pPr>
              <w:spacing w:before="60" w:after="60" w:line="240" w:lineRule="auto"/>
              <w:jc w:val="both"/>
              <w:rPr>
                <w:rFonts w:ascii="Arial Narrow" w:eastAsia="Times New Roman" w:hAnsi="Arial Narrow" w:cs="Calibri"/>
                <w:b/>
                <w:bCs/>
                <w:i/>
                <w:color w:val="000000"/>
                <w:sz w:val="24"/>
                <w:szCs w:val="24"/>
                <w:lang w:eastAsia="en-AU"/>
              </w:rPr>
            </w:pPr>
            <w:r w:rsidRPr="004C1E2A">
              <w:rPr>
                <w:rFonts w:ascii="Arial Narrow" w:eastAsia="Times New Roman" w:hAnsi="Arial Narrow" w:cs="Calibri"/>
                <w:b/>
                <w:bCs/>
                <w:i/>
                <w:color w:val="000000"/>
                <w:sz w:val="24"/>
                <w:szCs w:val="24"/>
                <w:lang w:eastAsia="en-AU"/>
              </w:rPr>
              <w:t xml:space="preserve">back out AER adjustment for </w:t>
            </w:r>
          </w:p>
          <w:p w:rsidR="00487BED" w:rsidRPr="004C1E2A" w:rsidRDefault="00487BED" w:rsidP="000F3B8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Increase in Provision (RAS 9)</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1.48</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4.83</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0.29</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0.08</w:t>
            </w:r>
          </w:p>
        </w:tc>
      </w:tr>
      <w:tr w:rsidR="00487BED" w:rsidRPr="004C1E2A" w:rsidTr="000F3B84">
        <w:trPr>
          <w:trHeight w:val="300"/>
        </w:trPr>
        <w:tc>
          <w:tcPr>
            <w:tcW w:w="3963" w:type="dxa"/>
            <w:shd w:val="clear" w:color="auto" w:fill="auto"/>
            <w:noWrap/>
            <w:vAlign w:val="bottom"/>
            <w:hideMark/>
          </w:tcPr>
          <w:p w:rsidR="003830C1" w:rsidRPr="004C1E2A" w:rsidRDefault="003830C1" w:rsidP="000F3B84">
            <w:pPr>
              <w:spacing w:before="60" w:after="60" w:line="240" w:lineRule="auto"/>
              <w:jc w:val="both"/>
              <w:rPr>
                <w:rFonts w:ascii="Arial Narrow" w:eastAsia="Times New Roman" w:hAnsi="Arial Narrow" w:cs="Calibri"/>
                <w:b/>
                <w:bCs/>
                <w:i/>
                <w:color w:val="000000"/>
                <w:sz w:val="24"/>
                <w:szCs w:val="24"/>
                <w:lang w:eastAsia="en-AU"/>
              </w:rPr>
            </w:pPr>
            <w:r w:rsidRPr="004C1E2A">
              <w:rPr>
                <w:rFonts w:ascii="Arial Narrow" w:eastAsia="Times New Roman" w:hAnsi="Arial Narrow" w:cs="Calibri"/>
                <w:b/>
                <w:bCs/>
                <w:i/>
                <w:color w:val="000000"/>
                <w:sz w:val="24"/>
                <w:szCs w:val="24"/>
                <w:lang w:eastAsia="en-AU"/>
              </w:rPr>
              <w:t xml:space="preserve">back out AER adjustment for </w:t>
            </w:r>
          </w:p>
          <w:p w:rsidR="00487BED" w:rsidRPr="004C1E2A" w:rsidRDefault="00487BED" w:rsidP="000F3B8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Payments from Provision (RAS 9)</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0.22</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0.00</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0.00</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0.00</w:t>
            </w:r>
          </w:p>
        </w:tc>
      </w:tr>
      <w:tr w:rsidR="00487BED" w:rsidRPr="004C1E2A" w:rsidTr="000F3B84">
        <w:trPr>
          <w:trHeight w:val="315"/>
        </w:trPr>
        <w:tc>
          <w:tcPr>
            <w:tcW w:w="3963" w:type="dxa"/>
            <w:shd w:val="clear" w:color="auto" w:fill="auto"/>
            <w:noWrap/>
            <w:vAlign w:val="bottom"/>
            <w:hideMark/>
          </w:tcPr>
          <w:p w:rsidR="00487BED" w:rsidRPr="004C1E2A" w:rsidRDefault="00487BED" w:rsidP="000F3B8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Actual Opex</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45.89</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49.11</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50.77</w:t>
            </w:r>
          </w:p>
        </w:tc>
        <w:tc>
          <w:tcPr>
            <w:tcW w:w="1191" w:type="dxa"/>
            <w:shd w:val="clear" w:color="auto" w:fill="auto"/>
            <w:noWrap/>
            <w:vAlign w:val="center"/>
            <w:hideMark/>
          </w:tcPr>
          <w:p w:rsidR="00487BED" w:rsidRPr="004C1E2A" w:rsidRDefault="00487BED" w:rsidP="000F3B84">
            <w:pPr>
              <w:spacing w:before="60" w:after="60" w:line="240" w:lineRule="auto"/>
              <w:jc w:val="center"/>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55.02</w:t>
            </w:r>
          </w:p>
        </w:tc>
      </w:tr>
    </w:tbl>
    <w:p w:rsidR="00487BED" w:rsidRPr="004C1E2A" w:rsidRDefault="00487BED" w:rsidP="004C1E2A">
      <w:pPr>
        <w:spacing w:after="0" w:line="240" w:lineRule="auto"/>
        <w:jc w:val="both"/>
        <w:rPr>
          <w:rFonts w:ascii="Arial Narrow" w:hAnsi="Arial Narrow"/>
          <w:sz w:val="24"/>
          <w:szCs w:val="24"/>
        </w:rPr>
      </w:pPr>
    </w:p>
    <w:p w:rsidR="00497EDD" w:rsidRPr="004C1E2A" w:rsidRDefault="00497EDD" w:rsidP="00596FE9">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lastRenderedPageBreak/>
        <w:t>2.2</w:t>
      </w:r>
      <w:r w:rsidRPr="004C1E2A">
        <w:rPr>
          <w:rFonts w:ascii="Arial Narrow" w:hAnsi="Arial Narrow"/>
          <w:b/>
          <w:color w:val="17365D" w:themeColor="text2" w:themeShade="BF"/>
          <w:sz w:val="24"/>
          <w:szCs w:val="24"/>
        </w:rPr>
        <w:tab/>
        <w:t>Changes to actual operating expenditure – Albury</w:t>
      </w:r>
    </w:p>
    <w:p w:rsidR="00497EDD" w:rsidRPr="004C1E2A" w:rsidRDefault="00497EDD" w:rsidP="004C1E2A">
      <w:pPr>
        <w:tabs>
          <w:tab w:val="left" w:pos="567"/>
        </w:tabs>
        <w:spacing w:after="0" w:line="240" w:lineRule="auto"/>
        <w:ind w:left="567" w:hanging="567"/>
        <w:jc w:val="both"/>
        <w:rPr>
          <w:rFonts w:ascii="Arial Narrow" w:hAnsi="Arial Narrow"/>
          <w:b/>
          <w:color w:val="17365D" w:themeColor="text2" w:themeShade="BF"/>
          <w:sz w:val="24"/>
          <w:szCs w:val="24"/>
        </w:rPr>
      </w:pPr>
    </w:p>
    <w:p w:rsidR="0015251E" w:rsidRPr="004C1E2A" w:rsidRDefault="00497EDD"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treatment of provisions is different for the Albury network as the property is not owned by Envestra but is instead owned by the Albury City Council. As there is no asset on Envestra’s balance sheet, the movement in provisions are disclosed as operating expenditure and are shown in Regulatory Accounting Statement 8 under the category “Change in Provisions”. </w:t>
      </w:r>
    </w:p>
    <w:p w:rsidR="0015251E" w:rsidRPr="004C1E2A" w:rsidRDefault="0015251E" w:rsidP="004C1E2A">
      <w:pPr>
        <w:spacing w:after="0" w:line="240" w:lineRule="auto"/>
        <w:jc w:val="both"/>
        <w:rPr>
          <w:rFonts w:ascii="Arial Narrow" w:hAnsi="Arial Narrow"/>
          <w:sz w:val="24"/>
          <w:szCs w:val="24"/>
        </w:rPr>
      </w:pPr>
    </w:p>
    <w:p w:rsidR="00497EDD" w:rsidRPr="004C1E2A" w:rsidRDefault="00497EDD"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amended the historic actual operating expenditure submitted by Envestra by adding back </w:t>
      </w:r>
      <w:r w:rsidR="00AF496D" w:rsidRPr="004C1E2A">
        <w:rPr>
          <w:rFonts w:ascii="Arial Narrow" w:hAnsi="Arial Narrow"/>
          <w:sz w:val="24"/>
          <w:szCs w:val="24"/>
        </w:rPr>
        <w:t>payments from</w:t>
      </w:r>
      <w:r w:rsidRPr="004C1E2A">
        <w:rPr>
          <w:rFonts w:ascii="Arial Narrow" w:hAnsi="Arial Narrow"/>
          <w:sz w:val="24"/>
          <w:szCs w:val="24"/>
        </w:rPr>
        <w:t xml:space="preserve"> provisions</w:t>
      </w:r>
      <w:r w:rsidR="0015251E" w:rsidRPr="004C1E2A">
        <w:rPr>
          <w:rFonts w:ascii="Arial Narrow" w:hAnsi="Arial Narrow"/>
          <w:sz w:val="24"/>
          <w:szCs w:val="24"/>
        </w:rPr>
        <w:t xml:space="preserve">, but did so on the basis that the AER applied a negative carry over amount, which as explained in section 11.3 is not permissible under the National Third Party Access Code for Natural Gas Pipelines (the Code). </w:t>
      </w:r>
      <w:r w:rsidRPr="004C1E2A">
        <w:rPr>
          <w:rFonts w:ascii="Arial Narrow" w:hAnsi="Arial Narrow"/>
          <w:sz w:val="24"/>
          <w:szCs w:val="24"/>
        </w:rPr>
        <w:t xml:space="preserve">Envestra has therefore removed the </w:t>
      </w:r>
      <w:r w:rsidR="0015251E" w:rsidRPr="004C1E2A">
        <w:rPr>
          <w:rFonts w:ascii="Arial Narrow" w:hAnsi="Arial Narrow"/>
          <w:sz w:val="24"/>
          <w:szCs w:val="24"/>
        </w:rPr>
        <w:t>payment from provisions amount from the actual operating expenditure</w:t>
      </w:r>
      <w:r w:rsidRPr="004C1E2A">
        <w:rPr>
          <w:rFonts w:ascii="Arial Narrow" w:hAnsi="Arial Narrow"/>
          <w:sz w:val="24"/>
          <w:szCs w:val="24"/>
        </w:rPr>
        <w:t>.</w:t>
      </w:r>
    </w:p>
    <w:p w:rsidR="00497EDD" w:rsidRPr="004C1E2A" w:rsidRDefault="00497EDD" w:rsidP="004C1E2A">
      <w:pPr>
        <w:spacing w:after="0" w:line="240" w:lineRule="auto"/>
        <w:jc w:val="both"/>
        <w:rPr>
          <w:rFonts w:ascii="Arial Narrow" w:hAnsi="Arial Narrow"/>
          <w:sz w:val="24"/>
          <w:szCs w:val="24"/>
        </w:rPr>
      </w:pPr>
    </w:p>
    <w:p w:rsidR="00497EDD" w:rsidRPr="004C1E2A" w:rsidRDefault="00497EDD" w:rsidP="004C1E2A">
      <w:pPr>
        <w:spacing w:after="0" w:line="240" w:lineRule="auto"/>
        <w:jc w:val="both"/>
        <w:rPr>
          <w:rFonts w:ascii="Arial Narrow" w:hAnsi="Arial Narrow"/>
          <w:sz w:val="24"/>
          <w:szCs w:val="24"/>
        </w:rPr>
      </w:pPr>
      <w:r w:rsidRPr="004C1E2A">
        <w:rPr>
          <w:rFonts w:ascii="Arial Narrow" w:hAnsi="Arial Narrow"/>
          <w:sz w:val="24"/>
          <w:szCs w:val="24"/>
        </w:rPr>
        <w:t>For the avoidance of doubt, the actual operating expenditure amounts ($ million nominal) from the 2008 to 2011 audited Regulatory Accounts is set out in the table below. Envestra has arrived at these operating expenditures by reversing the AER’s amendments for movements</w:t>
      </w:r>
      <w:r w:rsidR="0015251E" w:rsidRPr="004C1E2A">
        <w:rPr>
          <w:rFonts w:ascii="Arial Narrow" w:hAnsi="Arial Narrow"/>
          <w:sz w:val="24"/>
          <w:szCs w:val="24"/>
        </w:rPr>
        <w:t>/payments from</w:t>
      </w:r>
      <w:r w:rsidRPr="004C1E2A">
        <w:rPr>
          <w:rFonts w:ascii="Arial Narrow" w:hAnsi="Arial Narrow"/>
          <w:sz w:val="24"/>
          <w:szCs w:val="24"/>
        </w:rPr>
        <w:t xml:space="preserve"> provisions.</w:t>
      </w:r>
    </w:p>
    <w:p w:rsidR="00497EDD" w:rsidRPr="004C1E2A" w:rsidRDefault="00497EDD" w:rsidP="004C1E2A">
      <w:pPr>
        <w:spacing w:after="0" w:line="240" w:lineRule="auto"/>
        <w:jc w:val="both"/>
        <w:rPr>
          <w:rFonts w:ascii="Arial Narrow" w:hAnsi="Arial Narrow"/>
          <w:sz w:val="24"/>
          <w:szCs w:val="24"/>
        </w:rPr>
      </w:pPr>
    </w:p>
    <w:p w:rsidR="00497EDD" w:rsidRPr="004C1E2A" w:rsidRDefault="00CA64DD" w:rsidP="004C1E2A">
      <w:pPr>
        <w:keepNext/>
        <w:spacing w:after="0" w:line="240" w:lineRule="auto"/>
        <w:jc w:val="both"/>
        <w:rPr>
          <w:rFonts w:ascii="Arial Narrow" w:hAnsi="Arial Narrow"/>
          <w:sz w:val="24"/>
          <w:szCs w:val="24"/>
        </w:rPr>
      </w:pPr>
      <w:r w:rsidRPr="004C1E2A">
        <w:rPr>
          <w:rFonts w:ascii="Arial Narrow" w:hAnsi="Arial Narrow"/>
          <w:b/>
          <w:color w:val="17365D" w:themeColor="text2" w:themeShade="BF"/>
          <w:sz w:val="24"/>
          <w:szCs w:val="24"/>
        </w:rPr>
        <w:t xml:space="preserve">Table </w:t>
      </w:r>
      <w:r w:rsidR="00497EDD" w:rsidRPr="004C1E2A">
        <w:rPr>
          <w:rFonts w:ascii="Arial Narrow" w:hAnsi="Arial Narrow"/>
          <w:b/>
          <w:color w:val="17365D" w:themeColor="text2" w:themeShade="BF"/>
          <w:sz w:val="24"/>
          <w:szCs w:val="24"/>
        </w:rPr>
        <w:t xml:space="preserve">3: </w:t>
      </w:r>
      <w:r w:rsidR="009050AF">
        <w:rPr>
          <w:rFonts w:ascii="Arial Narrow" w:hAnsi="Arial Narrow"/>
          <w:b/>
          <w:color w:val="17365D" w:themeColor="text2" w:themeShade="BF"/>
          <w:sz w:val="24"/>
          <w:szCs w:val="24"/>
        </w:rPr>
        <w:t xml:space="preserve"> </w:t>
      </w:r>
      <w:r w:rsidR="00497EDD" w:rsidRPr="004C1E2A">
        <w:rPr>
          <w:rFonts w:ascii="Arial Narrow" w:hAnsi="Arial Narrow"/>
          <w:b/>
          <w:color w:val="17365D" w:themeColor="text2" w:themeShade="BF"/>
          <w:sz w:val="24"/>
          <w:szCs w:val="24"/>
        </w:rPr>
        <w:t>Actual Operating Expenditure from the Regulatory Accounts, 2008 to 2011</w:t>
      </w:r>
    </w:p>
    <w:p w:rsidR="00497EDD" w:rsidRPr="004C1E2A" w:rsidRDefault="00497EDD" w:rsidP="004C1E2A">
      <w:pPr>
        <w:spacing w:after="0" w:line="240" w:lineRule="auto"/>
        <w:jc w:val="both"/>
        <w:rPr>
          <w:rFonts w:ascii="Arial Narrow" w:hAnsi="Arial Narrow"/>
          <w:sz w:val="24"/>
          <w:szCs w:val="24"/>
        </w:rPr>
      </w:pPr>
    </w:p>
    <w:tbl>
      <w:tblPr>
        <w:tblW w:w="8727"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963"/>
        <w:gridCol w:w="1191"/>
        <w:gridCol w:w="1191"/>
        <w:gridCol w:w="1191"/>
        <w:gridCol w:w="1191"/>
      </w:tblGrid>
      <w:tr w:rsidR="00294D24" w:rsidRPr="00294D24" w:rsidTr="00294D24">
        <w:trPr>
          <w:trHeight w:val="300"/>
        </w:trPr>
        <w:tc>
          <w:tcPr>
            <w:tcW w:w="3963" w:type="dxa"/>
            <w:shd w:val="clear" w:color="auto" w:fill="548DD4" w:themeFill="text2" w:themeFillTint="99"/>
            <w:noWrap/>
            <w:vAlign w:val="bottom"/>
            <w:hideMark/>
          </w:tcPr>
          <w:p w:rsidR="00497EDD" w:rsidRPr="00294D24" w:rsidRDefault="00497EDD" w:rsidP="00294D24">
            <w:pPr>
              <w:spacing w:before="60" w:after="60" w:line="240" w:lineRule="auto"/>
              <w:jc w:val="both"/>
              <w:rPr>
                <w:rFonts w:ascii="Arial Narrow" w:eastAsia="Times New Roman" w:hAnsi="Arial Narrow" w:cs="Calibri"/>
                <w:color w:val="FFFFFF" w:themeColor="background1"/>
                <w:sz w:val="24"/>
                <w:szCs w:val="24"/>
                <w:lang w:eastAsia="en-AU"/>
              </w:rPr>
            </w:pPr>
          </w:p>
        </w:tc>
        <w:tc>
          <w:tcPr>
            <w:tcW w:w="1191" w:type="dxa"/>
            <w:shd w:val="clear" w:color="auto" w:fill="548DD4" w:themeFill="text2" w:themeFillTint="99"/>
            <w:noWrap/>
            <w:vAlign w:val="center"/>
            <w:hideMark/>
          </w:tcPr>
          <w:p w:rsidR="00497EDD" w:rsidRPr="00294D24" w:rsidRDefault="00497EDD" w:rsidP="00770E88">
            <w:pPr>
              <w:spacing w:before="60" w:after="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2008</w:t>
            </w:r>
          </w:p>
          <w:p w:rsidR="00497EDD" w:rsidRPr="00294D24" w:rsidRDefault="00497EDD" w:rsidP="00770E88">
            <w:pPr>
              <w:spacing w:after="6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center"/>
            <w:hideMark/>
          </w:tcPr>
          <w:p w:rsidR="00497EDD" w:rsidRPr="00294D24" w:rsidRDefault="00497EDD" w:rsidP="00770E88">
            <w:pPr>
              <w:spacing w:before="60" w:after="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2009</w:t>
            </w:r>
          </w:p>
          <w:p w:rsidR="00497EDD" w:rsidRPr="00294D24" w:rsidRDefault="00497EDD" w:rsidP="00770E88">
            <w:pPr>
              <w:spacing w:after="6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center"/>
            <w:hideMark/>
          </w:tcPr>
          <w:p w:rsidR="00497EDD" w:rsidRPr="00294D24" w:rsidRDefault="00497EDD" w:rsidP="00770E88">
            <w:pPr>
              <w:spacing w:before="60" w:after="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2010</w:t>
            </w:r>
          </w:p>
          <w:p w:rsidR="00497EDD" w:rsidRPr="00294D24" w:rsidRDefault="00497EDD" w:rsidP="00770E88">
            <w:pPr>
              <w:spacing w:after="6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($m nom)</w:t>
            </w:r>
          </w:p>
        </w:tc>
        <w:tc>
          <w:tcPr>
            <w:tcW w:w="1191" w:type="dxa"/>
            <w:shd w:val="clear" w:color="auto" w:fill="548DD4" w:themeFill="text2" w:themeFillTint="99"/>
            <w:noWrap/>
            <w:vAlign w:val="center"/>
            <w:hideMark/>
          </w:tcPr>
          <w:p w:rsidR="00497EDD" w:rsidRPr="00294D24" w:rsidRDefault="00497EDD" w:rsidP="00770E88">
            <w:pPr>
              <w:spacing w:before="60" w:after="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2011</w:t>
            </w:r>
          </w:p>
          <w:p w:rsidR="00497EDD" w:rsidRPr="00294D24" w:rsidRDefault="00497EDD" w:rsidP="00770E88">
            <w:pPr>
              <w:spacing w:after="60" w:line="240" w:lineRule="auto"/>
              <w:jc w:val="center"/>
              <w:rPr>
                <w:rFonts w:ascii="Arial Narrow" w:eastAsia="Times New Roman" w:hAnsi="Arial Narrow" w:cs="Calibri"/>
                <w:b/>
                <w:bCs/>
                <w:color w:val="FFFFFF" w:themeColor="background1"/>
                <w:sz w:val="24"/>
                <w:szCs w:val="24"/>
                <w:lang w:eastAsia="en-AU"/>
              </w:rPr>
            </w:pPr>
            <w:r w:rsidRPr="00294D24">
              <w:rPr>
                <w:rFonts w:ascii="Arial Narrow" w:eastAsia="Times New Roman" w:hAnsi="Arial Narrow" w:cs="Calibri"/>
                <w:b/>
                <w:bCs/>
                <w:color w:val="FFFFFF" w:themeColor="background1"/>
                <w:sz w:val="24"/>
                <w:szCs w:val="24"/>
                <w:lang w:eastAsia="en-AU"/>
              </w:rPr>
              <w:t>($m nom)</w:t>
            </w:r>
          </w:p>
        </w:tc>
      </w:tr>
      <w:tr w:rsidR="00BA2D42" w:rsidRPr="004C1E2A" w:rsidTr="00294D24">
        <w:trPr>
          <w:trHeight w:val="315"/>
        </w:trPr>
        <w:tc>
          <w:tcPr>
            <w:tcW w:w="3963" w:type="dxa"/>
            <w:shd w:val="clear" w:color="auto" w:fill="auto"/>
            <w:noWrap/>
            <w:vAlign w:val="bottom"/>
            <w:hideMark/>
          </w:tcPr>
          <w:p w:rsidR="00BA2D42" w:rsidRPr="004C1E2A" w:rsidRDefault="00BA2D42" w:rsidP="00294D2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AER Draft Decision ECM Opex</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1.58</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1.70</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2.27</w:t>
            </w:r>
          </w:p>
        </w:tc>
        <w:tc>
          <w:tcPr>
            <w:tcW w:w="1191" w:type="dxa"/>
            <w:shd w:val="clear" w:color="auto" w:fill="auto"/>
            <w:noWrap/>
            <w:vAlign w:val="center"/>
            <w:hideMark/>
          </w:tcPr>
          <w:p w:rsidR="00BA2D42" w:rsidRPr="004C1E2A" w:rsidRDefault="00AF496D"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2.59</w:t>
            </w:r>
          </w:p>
        </w:tc>
      </w:tr>
      <w:tr w:rsidR="00046DD6" w:rsidRPr="004C1E2A" w:rsidTr="00294D24">
        <w:trPr>
          <w:trHeight w:val="300"/>
        </w:trPr>
        <w:tc>
          <w:tcPr>
            <w:tcW w:w="3963" w:type="dxa"/>
            <w:shd w:val="clear" w:color="auto" w:fill="auto"/>
            <w:noWrap/>
            <w:vAlign w:val="bottom"/>
            <w:hideMark/>
          </w:tcPr>
          <w:p w:rsidR="003830C1" w:rsidRPr="004C1E2A" w:rsidRDefault="003830C1" w:rsidP="00294D24">
            <w:pPr>
              <w:spacing w:before="60" w:after="60" w:line="240" w:lineRule="auto"/>
              <w:jc w:val="both"/>
              <w:rPr>
                <w:rFonts w:ascii="Arial Narrow" w:eastAsia="Times New Roman" w:hAnsi="Arial Narrow" w:cs="Calibri"/>
                <w:b/>
                <w:bCs/>
                <w:i/>
                <w:color w:val="000000"/>
                <w:sz w:val="24"/>
                <w:szCs w:val="24"/>
                <w:lang w:eastAsia="en-AU"/>
              </w:rPr>
            </w:pPr>
            <w:r w:rsidRPr="004C1E2A">
              <w:rPr>
                <w:rFonts w:ascii="Arial Narrow" w:eastAsia="Times New Roman" w:hAnsi="Arial Narrow" w:cs="Calibri"/>
                <w:b/>
                <w:bCs/>
                <w:i/>
                <w:color w:val="000000"/>
                <w:sz w:val="24"/>
                <w:szCs w:val="24"/>
                <w:lang w:eastAsia="en-AU"/>
              </w:rPr>
              <w:t>back out AER adjustment for</w:t>
            </w:r>
          </w:p>
          <w:p w:rsidR="00046DD6" w:rsidRPr="004C1E2A" w:rsidRDefault="00046DD6" w:rsidP="00294D2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Payments from Provision (RAS 9)</w:t>
            </w:r>
          </w:p>
        </w:tc>
        <w:tc>
          <w:tcPr>
            <w:tcW w:w="1191" w:type="dxa"/>
            <w:shd w:val="clear" w:color="auto" w:fill="auto"/>
            <w:noWrap/>
            <w:vAlign w:val="center"/>
          </w:tcPr>
          <w:p w:rsidR="00046DD6" w:rsidRPr="004C1E2A" w:rsidRDefault="00046DD6"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w:t>
            </w:r>
            <w:r w:rsidR="00D401F9" w:rsidRPr="004C1E2A">
              <w:rPr>
                <w:rFonts w:ascii="Arial Narrow" w:eastAsia="Times New Roman" w:hAnsi="Arial Narrow" w:cs="Calibri"/>
                <w:color w:val="000000"/>
                <w:sz w:val="24"/>
                <w:szCs w:val="24"/>
                <w:lang w:eastAsia="en-AU"/>
              </w:rPr>
              <w:t>00</w:t>
            </w:r>
          </w:p>
        </w:tc>
        <w:tc>
          <w:tcPr>
            <w:tcW w:w="1191" w:type="dxa"/>
            <w:shd w:val="clear" w:color="auto" w:fill="auto"/>
            <w:noWrap/>
            <w:vAlign w:val="center"/>
          </w:tcPr>
          <w:p w:rsidR="00046DD6" w:rsidRPr="004C1E2A" w:rsidRDefault="00046DD6"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0.00</w:t>
            </w:r>
          </w:p>
        </w:tc>
        <w:tc>
          <w:tcPr>
            <w:tcW w:w="1191" w:type="dxa"/>
            <w:shd w:val="clear" w:color="auto" w:fill="auto"/>
            <w:noWrap/>
            <w:vAlign w:val="center"/>
          </w:tcPr>
          <w:p w:rsidR="00046DD6" w:rsidRPr="004C1E2A" w:rsidRDefault="00046DD6"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0.40</w:t>
            </w:r>
          </w:p>
        </w:tc>
        <w:tc>
          <w:tcPr>
            <w:tcW w:w="1191" w:type="dxa"/>
            <w:shd w:val="clear" w:color="auto" w:fill="auto"/>
            <w:noWrap/>
            <w:vAlign w:val="center"/>
          </w:tcPr>
          <w:p w:rsidR="00046DD6" w:rsidRPr="004C1E2A" w:rsidRDefault="00046DD6"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0.59</w:t>
            </w:r>
          </w:p>
        </w:tc>
      </w:tr>
      <w:tr w:rsidR="00BA2D42" w:rsidRPr="004C1E2A" w:rsidTr="00294D24">
        <w:trPr>
          <w:trHeight w:val="315"/>
        </w:trPr>
        <w:tc>
          <w:tcPr>
            <w:tcW w:w="3963" w:type="dxa"/>
            <w:shd w:val="clear" w:color="auto" w:fill="auto"/>
            <w:noWrap/>
            <w:vAlign w:val="bottom"/>
            <w:hideMark/>
          </w:tcPr>
          <w:p w:rsidR="00BA2D42" w:rsidRPr="004C1E2A" w:rsidRDefault="00BA2D42" w:rsidP="00294D24">
            <w:pPr>
              <w:spacing w:before="60" w:after="60" w:line="240" w:lineRule="auto"/>
              <w:jc w:val="both"/>
              <w:rPr>
                <w:rFonts w:ascii="Arial Narrow" w:eastAsia="Times New Roman" w:hAnsi="Arial Narrow" w:cs="Calibri"/>
                <w:b/>
                <w:bCs/>
                <w:color w:val="000000"/>
                <w:sz w:val="24"/>
                <w:szCs w:val="24"/>
                <w:lang w:eastAsia="en-AU"/>
              </w:rPr>
            </w:pPr>
            <w:r w:rsidRPr="004C1E2A">
              <w:rPr>
                <w:rFonts w:ascii="Arial Narrow" w:eastAsia="Times New Roman" w:hAnsi="Arial Narrow" w:cs="Calibri"/>
                <w:b/>
                <w:bCs/>
                <w:color w:val="000000"/>
                <w:sz w:val="24"/>
                <w:szCs w:val="24"/>
                <w:lang w:eastAsia="en-AU"/>
              </w:rPr>
              <w:t>Actual Opex</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1.58</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w:t>
            </w:r>
            <w:r w:rsidR="00D401F9" w:rsidRPr="004C1E2A">
              <w:rPr>
                <w:rFonts w:ascii="Arial Narrow" w:eastAsia="Times New Roman" w:hAnsi="Arial Narrow" w:cs="Calibri"/>
                <w:color w:val="000000"/>
                <w:sz w:val="24"/>
                <w:szCs w:val="24"/>
                <w:lang w:eastAsia="en-AU"/>
              </w:rPr>
              <w:t>70</w:t>
            </w:r>
          </w:p>
        </w:tc>
        <w:tc>
          <w:tcPr>
            <w:tcW w:w="1191" w:type="dxa"/>
            <w:shd w:val="clear" w:color="auto" w:fill="auto"/>
            <w:noWrap/>
            <w:vAlign w:val="center"/>
            <w:hideMark/>
          </w:tcPr>
          <w:p w:rsidR="00BA2D42" w:rsidRPr="004C1E2A" w:rsidRDefault="00BA2D42"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1.89</w:t>
            </w:r>
          </w:p>
        </w:tc>
        <w:tc>
          <w:tcPr>
            <w:tcW w:w="1191" w:type="dxa"/>
            <w:shd w:val="clear" w:color="auto" w:fill="auto"/>
            <w:noWrap/>
            <w:vAlign w:val="center"/>
            <w:hideMark/>
          </w:tcPr>
          <w:p w:rsidR="00BA2D42" w:rsidRPr="004C1E2A" w:rsidRDefault="00AF496D" w:rsidP="00294D24">
            <w:pPr>
              <w:spacing w:before="60" w:after="60" w:line="240" w:lineRule="auto"/>
              <w:jc w:val="center"/>
              <w:rPr>
                <w:rFonts w:ascii="Arial Narrow" w:eastAsia="Times New Roman" w:hAnsi="Arial Narrow" w:cs="Calibri"/>
                <w:color w:val="000000"/>
                <w:sz w:val="24"/>
                <w:szCs w:val="24"/>
                <w:lang w:eastAsia="en-AU"/>
              </w:rPr>
            </w:pPr>
            <w:r w:rsidRPr="004C1E2A">
              <w:rPr>
                <w:rFonts w:ascii="Arial Narrow" w:eastAsia="Times New Roman" w:hAnsi="Arial Narrow" w:cs="Calibri"/>
                <w:color w:val="000000"/>
                <w:sz w:val="24"/>
                <w:szCs w:val="24"/>
                <w:lang w:eastAsia="en-AU"/>
              </w:rPr>
              <w:t>2.00</w:t>
            </w:r>
          </w:p>
        </w:tc>
      </w:tr>
    </w:tbl>
    <w:p w:rsidR="00497EDD" w:rsidRPr="004C1E2A" w:rsidRDefault="00497EDD" w:rsidP="004C1E2A">
      <w:pPr>
        <w:spacing w:after="0" w:line="240" w:lineRule="auto"/>
        <w:jc w:val="both"/>
        <w:rPr>
          <w:rFonts w:ascii="Arial Narrow" w:hAnsi="Arial Narrow"/>
          <w:sz w:val="24"/>
          <w:szCs w:val="24"/>
        </w:rPr>
      </w:pPr>
    </w:p>
    <w:p w:rsidR="00F96AC6" w:rsidRPr="004C1E2A" w:rsidRDefault="00EF3C60" w:rsidP="00DB141C">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3</w:t>
      </w:r>
      <w:r w:rsidRPr="004C1E2A">
        <w:rPr>
          <w:rFonts w:ascii="Arial Narrow" w:hAnsi="Arial Narrow"/>
          <w:b/>
          <w:color w:val="17365D" w:themeColor="text2" w:themeShade="BF"/>
          <w:sz w:val="24"/>
          <w:szCs w:val="24"/>
        </w:rPr>
        <w:tab/>
        <w:t xml:space="preserve">Imposition of a </w:t>
      </w:r>
      <w:r w:rsidR="00F96AC6" w:rsidRPr="004C1E2A">
        <w:rPr>
          <w:rFonts w:ascii="Arial Narrow" w:hAnsi="Arial Narrow"/>
          <w:b/>
          <w:color w:val="17365D" w:themeColor="text2" w:themeShade="BF"/>
          <w:sz w:val="24"/>
          <w:szCs w:val="24"/>
        </w:rPr>
        <w:t>Negative Carry Over</w:t>
      </w:r>
    </w:p>
    <w:p w:rsidR="00F96AC6" w:rsidRPr="004C1E2A" w:rsidRDefault="00F96AC6" w:rsidP="004C1E2A">
      <w:pPr>
        <w:spacing w:after="0" w:line="240" w:lineRule="auto"/>
        <w:jc w:val="both"/>
        <w:rPr>
          <w:rFonts w:ascii="Arial Narrow" w:hAnsi="Arial Narrow"/>
          <w:sz w:val="24"/>
          <w:szCs w:val="24"/>
        </w:rPr>
      </w:pPr>
    </w:p>
    <w:p w:rsidR="00AD1DC0" w:rsidRPr="004C1E2A" w:rsidRDefault="0015251E" w:rsidP="004C1E2A">
      <w:pPr>
        <w:spacing w:after="0" w:line="240" w:lineRule="auto"/>
        <w:jc w:val="both"/>
        <w:rPr>
          <w:rFonts w:ascii="Arial Narrow" w:hAnsi="Arial Narrow"/>
          <w:sz w:val="24"/>
          <w:szCs w:val="24"/>
        </w:rPr>
      </w:pPr>
      <w:r w:rsidRPr="004C1E2A">
        <w:rPr>
          <w:rFonts w:ascii="Arial Narrow" w:hAnsi="Arial Narrow"/>
          <w:sz w:val="24"/>
          <w:szCs w:val="24"/>
        </w:rPr>
        <w:t>T</w:t>
      </w:r>
      <w:r w:rsidR="00AD1DC0" w:rsidRPr="004C1E2A">
        <w:rPr>
          <w:rFonts w:ascii="Arial Narrow" w:hAnsi="Arial Narrow"/>
          <w:sz w:val="24"/>
          <w:szCs w:val="24"/>
        </w:rPr>
        <w:t xml:space="preserve">he AER </w:t>
      </w:r>
      <w:r w:rsidR="00EF3C60" w:rsidRPr="004C1E2A">
        <w:rPr>
          <w:rFonts w:ascii="Arial Narrow" w:hAnsi="Arial Narrow"/>
          <w:sz w:val="24"/>
          <w:szCs w:val="24"/>
        </w:rPr>
        <w:t xml:space="preserve">in its Draft Decision </w:t>
      </w:r>
      <w:r w:rsidR="00AD1DC0" w:rsidRPr="004C1E2A">
        <w:rPr>
          <w:rFonts w:ascii="Arial Narrow" w:hAnsi="Arial Narrow"/>
          <w:sz w:val="24"/>
          <w:szCs w:val="24"/>
        </w:rPr>
        <w:t xml:space="preserve">has </w:t>
      </w:r>
      <w:r w:rsidR="00EF3C60" w:rsidRPr="004C1E2A">
        <w:rPr>
          <w:rFonts w:ascii="Arial Narrow" w:hAnsi="Arial Narrow"/>
          <w:sz w:val="24"/>
          <w:szCs w:val="24"/>
        </w:rPr>
        <w:t xml:space="preserve">included negative </w:t>
      </w:r>
      <w:r w:rsidR="00AD1DC0" w:rsidRPr="004C1E2A">
        <w:rPr>
          <w:rFonts w:ascii="Arial Narrow" w:hAnsi="Arial Narrow"/>
          <w:sz w:val="24"/>
          <w:szCs w:val="24"/>
        </w:rPr>
        <w:t>carry over</w:t>
      </w:r>
      <w:r w:rsidR="00820BBA" w:rsidRPr="004C1E2A">
        <w:rPr>
          <w:rFonts w:ascii="Arial Narrow" w:hAnsi="Arial Narrow"/>
          <w:sz w:val="24"/>
          <w:szCs w:val="24"/>
        </w:rPr>
        <w:t xml:space="preserve"> amounts </w:t>
      </w:r>
      <w:r w:rsidR="00EF3C60" w:rsidRPr="004C1E2A">
        <w:rPr>
          <w:rFonts w:ascii="Arial Narrow" w:hAnsi="Arial Narrow"/>
          <w:sz w:val="24"/>
          <w:szCs w:val="24"/>
        </w:rPr>
        <w:t xml:space="preserve">arising </w:t>
      </w:r>
      <w:r w:rsidR="00820BBA" w:rsidRPr="004C1E2A">
        <w:rPr>
          <w:rFonts w:ascii="Arial Narrow" w:hAnsi="Arial Narrow"/>
          <w:sz w:val="24"/>
          <w:szCs w:val="24"/>
        </w:rPr>
        <w:t xml:space="preserve">from the 2008 to </w:t>
      </w:r>
      <w:r w:rsidR="00AD1DC0" w:rsidRPr="004C1E2A">
        <w:rPr>
          <w:rFonts w:ascii="Arial Narrow" w:hAnsi="Arial Narrow"/>
          <w:sz w:val="24"/>
          <w:szCs w:val="24"/>
        </w:rPr>
        <w:t xml:space="preserve">2012 </w:t>
      </w:r>
      <w:r w:rsidR="00EF3C60" w:rsidRPr="004C1E2A">
        <w:rPr>
          <w:rFonts w:ascii="Arial Narrow" w:hAnsi="Arial Narrow"/>
          <w:sz w:val="24"/>
          <w:szCs w:val="24"/>
        </w:rPr>
        <w:t>A</w:t>
      </w:r>
      <w:r w:rsidR="00AD1DC0" w:rsidRPr="004C1E2A">
        <w:rPr>
          <w:rFonts w:ascii="Arial Narrow" w:hAnsi="Arial Narrow"/>
          <w:sz w:val="24"/>
          <w:szCs w:val="24"/>
        </w:rPr>
        <w:t xml:space="preserve">ccess </w:t>
      </w:r>
      <w:r w:rsidR="00EF3C60" w:rsidRPr="004C1E2A">
        <w:rPr>
          <w:rFonts w:ascii="Arial Narrow" w:hAnsi="Arial Narrow"/>
          <w:sz w:val="24"/>
          <w:szCs w:val="24"/>
        </w:rPr>
        <w:t>A</w:t>
      </w:r>
      <w:r w:rsidR="00AD1DC0" w:rsidRPr="004C1E2A">
        <w:rPr>
          <w:rFonts w:ascii="Arial Narrow" w:hAnsi="Arial Narrow"/>
          <w:sz w:val="24"/>
          <w:szCs w:val="24"/>
        </w:rPr>
        <w:t xml:space="preserve">rrangement </w:t>
      </w:r>
      <w:r w:rsidR="00820BBA" w:rsidRPr="004C1E2A">
        <w:rPr>
          <w:rFonts w:ascii="Arial Narrow" w:hAnsi="Arial Narrow"/>
          <w:sz w:val="24"/>
          <w:szCs w:val="24"/>
        </w:rPr>
        <w:t xml:space="preserve">period </w:t>
      </w:r>
      <w:r w:rsidR="00EF3C60" w:rsidRPr="004C1E2A">
        <w:rPr>
          <w:rFonts w:ascii="Arial Narrow" w:hAnsi="Arial Narrow"/>
          <w:sz w:val="24"/>
          <w:szCs w:val="24"/>
        </w:rPr>
        <w:t xml:space="preserve">in determining allowed revenue for </w:t>
      </w:r>
      <w:r w:rsidR="00AD1DC0" w:rsidRPr="004C1E2A">
        <w:rPr>
          <w:rFonts w:ascii="Arial Narrow" w:hAnsi="Arial Narrow"/>
          <w:sz w:val="24"/>
          <w:szCs w:val="24"/>
        </w:rPr>
        <w:t>the 2013</w:t>
      </w:r>
      <w:r w:rsidR="00EF3C60" w:rsidRPr="004C1E2A">
        <w:rPr>
          <w:rFonts w:ascii="Arial Narrow" w:hAnsi="Arial Narrow"/>
          <w:sz w:val="24"/>
          <w:szCs w:val="24"/>
        </w:rPr>
        <w:t xml:space="preserve"> to </w:t>
      </w:r>
      <w:r w:rsidR="00AD1DC0" w:rsidRPr="004C1E2A">
        <w:rPr>
          <w:rFonts w:ascii="Arial Narrow" w:hAnsi="Arial Narrow"/>
          <w:sz w:val="24"/>
          <w:szCs w:val="24"/>
        </w:rPr>
        <w:t xml:space="preserve">2017 </w:t>
      </w:r>
      <w:r w:rsidR="00EF3C60" w:rsidRPr="004C1E2A">
        <w:rPr>
          <w:rFonts w:ascii="Arial Narrow" w:hAnsi="Arial Narrow"/>
          <w:sz w:val="24"/>
          <w:szCs w:val="24"/>
        </w:rPr>
        <w:t>A</w:t>
      </w:r>
      <w:r w:rsidR="00AD1DC0" w:rsidRPr="004C1E2A">
        <w:rPr>
          <w:rFonts w:ascii="Arial Narrow" w:hAnsi="Arial Narrow"/>
          <w:sz w:val="24"/>
          <w:szCs w:val="24"/>
        </w:rPr>
        <w:t xml:space="preserve">ccess </w:t>
      </w:r>
      <w:r w:rsidR="00EF3C60" w:rsidRPr="004C1E2A">
        <w:rPr>
          <w:rFonts w:ascii="Arial Narrow" w:hAnsi="Arial Narrow"/>
          <w:sz w:val="24"/>
          <w:szCs w:val="24"/>
        </w:rPr>
        <w:t>A</w:t>
      </w:r>
      <w:r w:rsidR="00AD1DC0" w:rsidRPr="004C1E2A">
        <w:rPr>
          <w:rFonts w:ascii="Arial Narrow" w:hAnsi="Arial Narrow"/>
          <w:sz w:val="24"/>
          <w:szCs w:val="24"/>
        </w:rPr>
        <w:t xml:space="preserve">rrangement period for both Envestra’s Victorian </w:t>
      </w:r>
      <w:r w:rsidRPr="004C1E2A">
        <w:rPr>
          <w:rFonts w:ascii="Arial Narrow" w:hAnsi="Arial Narrow"/>
          <w:sz w:val="24"/>
          <w:szCs w:val="24"/>
        </w:rPr>
        <w:t>and</w:t>
      </w:r>
      <w:r w:rsidR="00AD1DC0" w:rsidRPr="004C1E2A">
        <w:rPr>
          <w:rFonts w:ascii="Arial Narrow" w:hAnsi="Arial Narrow"/>
          <w:sz w:val="24"/>
          <w:szCs w:val="24"/>
        </w:rPr>
        <w:t xml:space="preserve"> Albury </w:t>
      </w:r>
      <w:r w:rsidRPr="004C1E2A">
        <w:rPr>
          <w:rFonts w:ascii="Arial Narrow" w:hAnsi="Arial Narrow"/>
          <w:sz w:val="24"/>
          <w:szCs w:val="24"/>
        </w:rPr>
        <w:t>n</w:t>
      </w:r>
      <w:r w:rsidR="00AD1DC0" w:rsidRPr="004C1E2A">
        <w:rPr>
          <w:rFonts w:ascii="Arial Narrow" w:hAnsi="Arial Narrow"/>
          <w:sz w:val="24"/>
          <w:szCs w:val="24"/>
        </w:rPr>
        <w:t>etwork</w:t>
      </w:r>
      <w:r w:rsidRPr="004C1E2A">
        <w:rPr>
          <w:rFonts w:ascii="Arial Narrow" w:hAnsi="Arial Narrow"/>
          <w:sz w:val="24"/>
          <w:szCs w:val="24"/>
        </w:rPr>
        <w:t>s</w:t>
      </w:r>
      <w:r w:rsidR="00AD1DC0" w:rsidRPr="004C1E2A">
        <w:rPr>
          <w:rFonts w:ascii="Arial Narrow" w:hAnsi="Arial Narrow"/>
          <w:sz w:val="24"/>
          <w:szCs w:val="24"/>
        </w:rPr>
        <w:t xml:space="preserve">. </w:t>
      </w:r>
    </w:p>
    <w:p w:rsidR="00AD1DC0" w:rsidRPr="004C1E2A" w:rsidRDefault="00AD1DC0" w:rsidP="004C1E2A">
      <w:pPr>
        <w:spacing w:after="0" w:line="240" w:lineRule="auto"/>
        <w:jc w:val="both"/>
        <w:rPr>
          <w:rFonts w:ascii="Arial Narrow" w:hAnsi="Arial Narrow"/>
          <w:sz w:val="24"/>
          <w:szCs w:val="24"/>
        </w:rPr>
      </w:pPr>
    </w:p>
    <w:p w:rsidR="00AD1DC0"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This is not </w:t>
      </w:r>
      <w:r w:rsidR="0015251E" w:rsidRPr="004C1E2A">
        <w:rPr>
          <w:rFonts w:ascii="Arial Narrow" w:hAnsi="Arial Narrow"/>
          <w:sz w:val="24"/>
          <w:szCs w:val="24"/>
        </w:rPr>
        <w:t>allowed</w:t>
      </w:r>
      <w:r w:rsidRPr="004C1E2A">
        <w:rPr>
          <w:rFonts w:ascii="Arial Narrow" w:hAnsi="Arial Narrow"/>
          <w:sz w:val="24"/>
          <w:szCs w:val="24"/>
        </w:rPr>
        <w:t xml:space="preserve"> under the Code nor under the transitional provisions which deal with moving from the Code to the National Gas Rules</w:t>
      </w:r>
      <w:r w:rsidR="0015251E" w:rsidRPr="004C1E2A">
        <w:rPr>
          <w:rFonts w:ascii="Arial Narrow" w:hAnsi="Arial Narrow"/>
          <w:sz w:val="24"/>
          <w:szCs w:val="24"/>
        </w:rPr>
        <w:t xml:space="preserve"> (NGR)</w:t>
      </w:r>
      <w:r w:rsidRPr="004C1E2A">
        <w:rPr>
          <w:rFonts w:ascii="Arial Narrow" w:hAnsi="Arial Narrow"/>
          <w:sz w:val="24"/>
          <w:szCs w:val="24"/>
        </w:rPr>
        <w:t xml:space="preserve">. The AER’s decision is therefore invalid. No negative </w:t>
      </w:r>
      <w:r w:rsidR="00EF3C60" w:rsidRPr="004C1E2A">
        <w:rPr>
          <w:rFonts w:ascii="Arial Narrow" w:hAnsi="Arial Narrow"/>
          <w:sz w:val="24"/>
          <w:szCs w:val="24"/>
        </w:rPr>
        <w:t xml:space="preserve">carry over </w:t>
      </w:r>
      <w:r w:rsidRPr="004C1E2A">
        <w:rPr>
          <w:rFonts w:ascii="Arial Narrow" w:hAnsi="Arial Narrow"/>
          <w:sz w:val="24"/>
          <w:szCs w:val="24"/>
        </w:rPr>
        <w:t xml:space="preserve">amounts </w:t>
      </w:r>
      <w:r w:rsidR="00EF3C60" w:rsidRPr="004C1E2A">
        <w:rPr>
          <w:rFonts w:ascii="Arial Narrow" w:hAnsi="Arial Narrow"/>
          <w:sz w:val="24"/>
          <w:szCs w:val="24"/>
        </w:rPr>
        <w:t>can</w:t>
      </w:r>
      <w:r w:rsidRPr="004C1E2A">
        <w:rPr>
          <w:rFonts w:ascii="Arial Narrow" w:hAnsi="Arial Narrow"/>
          <w:sz w:val="24"/>
          <w:szCs w:val="24"/>
        </w:rPr>
        <w:t xml:space="preserve"> be carried over from the 2008</w:t>
      </w:r>
      <w:r w:rsidR="00EF3C60" w:rsidRPr="004C1E2A">
        <w:rPr>
          <w:rFonts w:ascii="Arial Narrow" w:hAnsi="Arial Narrow"/>
          <w:sz w:val="24"/>
          <w:szCs w:val="24"/>
        </w:rPr>
        <w:t xml:space="preserve"> to </w:t>
      </w:r>
      <w:r w:rsidRPr="004C1E2A">
        <w:rPr>
          <w:rFonts w:ascii="Arial Narrow" w:hAnsi="Arial Narrow"/>
          <w:sz w:val="24"/>
          <w:szCs w:val="24"/>
        </w:rPr>
        <w:t xml:space="preserve">2012 Access Arrangement </w:t>
      </w:r>
      <w:r w:rsidR="00B12DD4" w:rsidRPr="004C1E2A">
        <w:rPr>
          <w:rFonts w:ascii="Arial Narrow" w:hAnsi="Arial Narrow"/>
          <w:sz w:val="24"/>
          <w:szCs w:val="24"/>
        </w:rPr>
        <w:t xml:space="preserve">period </w:t>
      </w:r>
      <w:r w:rsidRPr="004C1E2A">
        <w:rPr>
          <w:rFonts w:ascii="Arial Narrow" w:hAnsi="Arial Narrow"/>
          <w:sz w:val="24"/>
          <w:szCs w:val="24"/>
        </w:rPr>
        <w:t>to the 2013</w:t>
      </w:r>
      <w:r w:rsidR="00EF3C60" w:rsidRPr="004C1E2A">
        <w:rPr>
          <w:rFonts w:ascii="Arial Narrow" w:hAnsi="Arial Narrow"/>
          <w:sz w:val="24"/>
          <w:szCs w:val="24"/>
        </w:rPr>
        <w:t xml:space="preserve"> to </w:t>
      </w:r>
      <w:r w:rsidRPr="004C1E2A">
        <w:rPr>
          <w:rFonts w:ascii="Arial Narrow" w:hAnsi="Arial Narrow"/>
          <w:sz w:val="24"/>
          <w:szCs w:val="24"/>
        </w:rPr>
        <w:t>2017 Access Arrangement</w:t>
      </w:r>
      <w:r w:rsidR="00B12DD4" w:rsidRPr="004C1E2A">
        <w:rPr>
          <w:rFonts w:ascii="Arial Narrow" w:hAnsi="Arial Narrow"/>
          <w:sz w:val="24"/>
          <w:szCs w:val="24"/>
        </w:rPr>
        <w:t xml:space="preserve"> period</w:t>
      </w:r>
      <w:r w:rsidRPr="004C1E2A">
        <w:rPr>
          <w:rFonts w:ascii="Arial Narrow" w:hAnsi="Arial Narrow"/>
          <w:sz w:val="24"/>
          <w:szCs w:val="24"/>
        </w:rPr>
        <w:t xml:space="preserve">. </w:t>
      </w:r>
    </w:p>
    <w:p w:rsidR="00AD1DC0" w:rsidRPr="004C1E2A" w:rsidRDefault="00AD1DC0" w:rsidP="004C1E2A">
      <w:pPr>
        <w:spacing w:after="0" w:line="240" w:lineRule="auto"/>
        <w:jc w:val="both"/>
        <w:rPr>
          <w:rFonts w:ascii="Arial Narrow" w:hAnsi="Arial Narrow"/>
          <w:sz w:val="24"/>
          <w:szCs w:val="24"/>
        </w:rPr>
      </w:pPr>
    </w:p>
    <w:p w:rsidR="00AD1DC0"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does not seem, in making its decision, to have </w:t>
      </w:r>
      <w:r w:rsidR="00EF3C60" w:rsidRPr="004C1E2A">
        <w:rPr>
          <w:rFonts w:ascii="Arial Narrow" w:hAnsi="Arial Narrow"/>
          <w:sz w:val="24"/>
          <w:szCs w:val="24"/>
        </w:rPr>
        <w:t>accepted</w:t>
      </w:r>
      <w:r w:rsidRPr="004C1E2A">
        <w:rPr>
          <w:rFonts w:ascii="Arial Narrow" w:hAnsi="Arial Narrow"/>
          <w:sz w:val="24"/>
          <w:szCs w:val="24"/>
        </w:rPr>
        <w:t xml:space="preserve"> that the Essential Services Commission Appeal Panel </w:t>
      </w:r>
      <w:r w:rsidR="00EF3C60" w:rsidRPr="004C1E2A">
        <w:rPr>
          <w:rFonts w:ascii="Arial Narrow" w:hAnsi="Arial Narrow"/>
          <w:sz w:val="24"/>
          <w:szCs w:val="24"/>
        </w:rPr>
        <w:t xml:space="preserve">(the Panel) </w:t>
      </w:r>
      <w:r w:rsidRPr="004C1E2A">
        <w:rPr>
          <w:rFonts w:ascii="Arial Narrow" w:hAnsi="Arial Narrow"/>
          <w:sz w:val="24"/>
          <w:szCs w:val="24"/>
        </w:rPr>
        <w:t>determined that the Code does not allow the rollover between access arrangement periods of a negat</w:t>
      </w:r>
      <w:r w:rsidR="00EF3C60" w:rsidRPr="004C1E2A">
        <w:rPr>
          <w:rFonts w:ascii="Arial Narrow" w:hAnsi="Arial Narrow"/>
          <w:sz w:val="24"/>
          <w:szCs w:val="24"/>
        </w:rPr>
        <w:t xml:space="preserve">ive carryover. </w:t>
      </w:r>
      <w:r w:rsidRPr="004C1E2A">
        <w:rPr>
          <w:rFonts w:ascii="Arial Narrow" w:hAnsi="Arial Narrow"/>
          <w:sz w:val="24"/>
          <w:szCs w:val="24"/>
        </w:rPr>
        <w:t xml:space="preserve">In section 7.4.1 of the Draft Decision the AER has not correctly summarised the decision made by the Panel. The reasoning which supports the above submission is set out </w:t>
      </w:r>
      <w:r w:rsidR="00EF3C60" w:rsidRPr="004C1E2A">
        <w:rPr>
          <w:rFonts w:ascii="Arial Narrow" w:hAnsi="Arial Narrow"/>
          <w:sz w:val="24"/>
          <w:szCs w:val="24"/>
        </w:rPr>
        <w:t xml:space="preserve">in this section. </w:t>
      </w:r>
    </w:p>
    <w:p w:rsidR="000E2673" w:rsidRPr="004C1E2A" w:rsidRDefault="000E2673" w:rsidP="004C1E2A">
      <w:pPr>
        <w:spacing w:after="0" w:line="240" w:lineRule="auto"/>
        <w:jc w:val="both"/>
        <w:rPr>
          <w:rFonts w:ascii="Arial Narrow" w:hAnsi="Arial Narrow"/>
          <w:sz w:val="24"/>
          <w:szCs w:val="24"/>
        </w:rPr>
      </w:pPr>
    </w:p>
    <w:p w:rsidR="00AD1DC0" w:rsidRPr="004C1E2A" w:rsidRDefault="00EF3C60" w:rsidP="00B84FEE">
      <w:pPr>
        <w:tabs>
          <w:tab w:val="left" w:pos="567"/>
        </w:tabs>
        <w:spacing w:after="0" w:line="240" w:lineRule="auto"/>
        <w:ind w:left="567" w:hanging="567"/>
        <w:jc w:val="both"/>
        <w:rPr>
          <w:rFonts w:ascii="Arial Narrow" w:hAnsi="Arial Narrow"/>
          <w:b/>
          <w:color w:val="17365D"/>
          <w:sz w:val="24"/>
          <w:szCs w:val="24"/>
        </w:rPr>
      </w:pPr>
      <w:r w:rsidRPr="004C1E2A">
        <w:rPr>
          <w:rFonts w:ascii="Arial Narrow" w:hAnsi="Arial Narrow"/>
          <w:b/>
          <w:color w:val="17365D"/>
          <w:sz w:val="24"/>
          <w:szCs w:val="24"/>
        </w:rPr>
        <w:t>3.1</w:t>
      </w:r>
      <w:r w:rsidRPr="004C1E2A">
        <w:rPr>
          <w:rFonts w:ascii="Arial Narrow" w:hAnsi="Arial Narrow"/>
          <w:b/>
          <w:color w:val="17365D"/>
          <w:sz w:val="24"/>
          <w:szCs w:val="24"/>
        </w:rPr>
        <w:tab/>
      </w:r>
      <w:r w:rsidR="0015251E" w:rsidRPr="004C1E2A">
        <w:rPr>
          <w:rFonts w:ascii="Arial Narrow" w:hAnsi="Arial Narrow"/>
          <w:b/>
          <w:color w:val="17365D"/>
          <w:sz w:val="24"/>
          <w:szCs w:val="24"/>
        </w:rPr>
        <w:t xml:space="preserve">Requirements of </w:t>
      </w:r>
      <w:r w:rsidR="000E2673" w:rsidRPr="004C1E2A">
        <w:rPr>
          <w:rFonts w:ascii="Arial Narrow" w:hAnsi="Arial Narrow"/>
          <w:b/>
          <w:color w:val="17365D"/>
          <w:sz w:val="24"/>
          <w:szCs w:val="24"/>
        </w:rPr>
        <w:t>t</w:t>
      </w:r>
      <w:r w:rsidR="00AD1DC0" w:rsidRPr="004C1E2A">
        <w:rPr>
          <w:rFonts w:ascii="Arial Narrow" w:hAnsi="Arial Narrow"/>
          <w:b/>
          <w:color w:val="17365D"/>
          <w:sz w:val="24"/>
          <w:szCs w:val="24"/>
        </w:rPr>
        <w:t xml:space="preserve">he Code </w:t>
      </w:r>
    </w:p>
    <w:p w:rsidR="00AD1DC0" w:rsidRPr="004C1E2A" w:rsidRDefault="00AD1DC0" w:rsidP="004C1E2A">
      <w:pPr>
        <w:spacing w:after="0" w:line="240" w:lineRule="auto"/>
        <w:jc w:val="both"/>
        <w:rPr>
          <w:rFonts w:ascii="Arial Narrow" w:hAnsi="Arial Narrow"/>
          <w:sz w:val="24"/>
          <w:szCs w:val="24"/>
        </w:rPr>
      </w:pPr>
    </w:p>
    <w:p w:rsidR="00AD1DC0"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provisions of the Code do not allow the carry over from one access arrangement period to the next of </w:t>
      </w:r>
      <w:r w:rsidR="00EF3C60" w:rsidRPr="004C1E2A">
        <w:rPr>
          <w:rFonts w:ascii="Arial Narrow" w:hAnsi="Arial Narrow"/>
          <w:sz w:val="24"/>
          <w:szCs w:val="24"/>
        </w:rPr>
        <w:t>a net negative carry over amount</w:t>
      </w:r>
      <w:r w:rsidRPr="004C1E2A">
        <w:rPr>
          <w:rFonts w:ascii="Arial Narrow" w:hAnsi="Arial Narrow"/>
          <w:sz w:val="24"/>
          <w:szCs w:val="24"/>
        </w:rPr>
        <w:t xml:space="preserve">. This was </w:t>
      </w:r>
      <w:r w:rsidR="0097309A" w:rsidRPr="004C1E2A">
        <w:rPr>
          <w:rFonts w:ascii="Arial Narrow" w:hAnsi="Arial Narrow"/>
          <w:sz w:val="24"/>
          <w:szCs w:val="24"/>
        </w:rPr>
        <w:t>confirm</w:t>
      </w:r>
      <w:r w:rsidR="002440FA" w:rsidRPr="004C1E2A">
        <w:rPr>
          <w:rFonts w:ascii="Arial Narrow" w:hAnsi="Arial Narrow"/>
          <w:sz w:val="24"/>
          <w:szCs w:val="24"/>
        </w:rPr>
        <w:t>ed</w:t>
      </w:r>
      <w:r w:rsidRPr="004C1E2A">
        <w:rPr>
          <w:rFonts w:ascii="Arial Narrow" w:hAnsi="Arial Narrow"/>
          <w:sz w:val="24"/>
          <w:szCs w:val="24"/>
        </w:rPr>
        <w:t xml:space="preserve"> by the Essential Services Commission Appeal Panel</w:t>
      </w:r>
      <w:r w:rsidR="00585203" w:rsidRPr="004C1E2A">
        <w:rPr>
          <w:rFonts w:ascii="Arial Narrow" w:hAnsi="Arial Narrow"/>
          <w:sz w:val="24"/>
          <w:szCs w:val="24"/>
        </w:rPr>
        <w:t xml:space="preserve"> (refer Attachment 11</w:t>
      </w:r>
      <w:r w:rsidR="00B56DF3" w:rsidRPr="004C1E2A">
        <w:rPr>
          <w:rFonts w:ascii="Arial Narrow" w:hAnsi="Arial Narrow"/>
          <w:sz w:val="24"/>
          <w:szCs w:val="24"/>
        </w:rPr>
        <w:t>-2</w:t>
      </w:r>
      <w:r w:rsidR="00585203" w:rsidRPr="004C1E2A">
        <w:rPr>
          <w:rFonts w:ascii="Arial Narrow" w:hAnsi="Arial Narrow"/>
          <w:sz w:val="24"/>
          <w:szCs w:val="24"/>
        </w:rPr>
        <w:t>)</w:t>
      </w:r>
      <w:r w:rsidRPr="004C1E2A">
        <w:rPr>
          <w:rFonts w:ascii="Arial Narrow" w:hAnsi="Arial Narrow"/>
          <w:sz w:val="24"/>
          <w:szCs w:val="24"/>
        </w:rPr>
        <w:t xml:space="preserve">. Relevant extracts from the decision of the Panel in the 2008 appeal by the Albury Gas Company Ltd are set out below: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lastRenderedPageBreak/>
        <w:t>“164.</w:t>
      </w:r>
      <w:r w:rsidRPr="00C90A46">
        <w:rPr>
          <w:rFonts w:ascii="Arial Narrow" w:hAnsi="Arial Narrow"/>
          <w:i/>
          <w:sz w:val="24"/>
          <w:szCs w:val="24"/>
        </w:rPr>
        <w:tab/>
        <w:t xml:space="preserve">The other argument of the Applicant was that sections 8.44 to 8.46 of the Code provide only for positive incentive mechanisms, not for negative incentives. It was also submitted that no other section of the Code provides for negative incentives and that applying a negative efficiency carryover is inconsistent with the requirement in section 8.1(a) of the Code that a Reference Tariff should be designed to enable a distributor to recover the efficient cost of delivering the Reference Service under the Code.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165.</w:t>
      </w:r>
      <w:r w:rsidRPr="00C90A46">
        <w:rPr>
          <w:rFonts w:ascii="Arial Narrow" w:hAnsi="Arial Narrow"/>
          <w:i/>
          <w:sz w:val="24"/>
          <w:szCs w:val="24"/>
        </w:rPr>
        <w:tab/>
        <w:t xml:space="preserve">The Applicant referred to nine indicators within sections 8.44 to 8.46 all relating to positive incentive. It argued that the absence of any indicator of negative incentive is a persuasive reflection of the intention of the Code. Reference was also made to the fact that the Applicant's ECM contained in its Access Arrangement for the second regulatory period provided for only a positive efficiency carryover.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166.</w:t>
      </w:r>
      <w:r w:rsidRPr="00C90A46">
        <w:rPr>
          <w:rFonts w:ascii="Arial Narrow" w:hAnsi="Arial Narrow"/>
          <w:i/>
          <w:sz w:val="24"/>
          <w:szCs w:val="24"/>
        </w:rPr>
        <w:tab/>
        <w:t xml:space="preserve">Senior counsel for the Applicant submitted that section 8.49, which had been referred to in the Commission's submissions, could not be employed to enable the regulator to, in effect, "rewrite" the Code to the extent of reversing the clear intention of the preceding ECM provisions…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168.</w:t>
      </w:r>
      <w:r w:rsidRPr="00C90A46">
        <w:rPr>
          <w:rFonts w:ascii="Arial Narrow" w:hAnsi="Arial Narrow"/>
          <w:i/>
          <w:sz w:val="24"/>
          <w:szCs w:val="24"/>
        </w:rPr>
        <w:tab/>
        <w:t xml:space="preserve">As to the Code interpretation argument, senior counsel for the Commission referred at length to the Commission's statements in previous regulatory decisions and consultation material making clear that it would, where appropriate and within its discretion, consider the application of negative carryovers. It argued that the assessment of carryovers was a symmetrical exercise and that, in this context, in the interests of the integrity of the ECM scheme, it was necessary to apply negative as well as positive carryovers.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169.</w:t>
      </w:r>
      <w:r w:rsidRPr="00C90A46">
        <w:rPr>
          <w:rFonts w:ascii="Arial Narrow" w:hAnsi="Arial Narrow"/>
          <w:i/>
          <w:sz w:val="24"/>
          <w:szCs w:val="24"/>
        </w:rPr>
        <w:tab/>
        <w:t xml:space="preserve">The Commission disputed the Applicant's contention that sections 8.44 to 8.46 precluded negative mechanisms. It contended that section 8.49 permits the regulator to determine tests which adequately meet the overall requirements of part 8 of the Code in achieving efficient costs. Accordingly, it was argued that section 8.49, when looked at in parallel with the introductory words to section 8.45, is not restrictive in the manner suggested by the Applicant.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170.</w:t>
      </w:r>
      <w:r w:rsidRPr="00C90A46">
        <w:rPr>
          <w:rFonts w:ascii="Arial Narrow" w:hAnsi="Arial Narrow"/>
          <w:i/>
          <w:sz w:val="24"/>
          <w:szCs w:val="24"/>
        </w:rPr>
        <w:tab/>
        <w:t xml:space="preserve">In the Panel's view the contention of the Applicant that the ECM provisions of the Code contemplate only positive carryover mechanisms, on its face, seems to have considerable force. Clearly, as conceded by the Commission, Sections 8.44 to 8.46 are silent as to any negative connotation. On the other hand section 8.49 is worded in fairly general terms…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172.</w:t>
      </w:r>
      <w:r w:rsidRPr="00C90A46">
        <w:rPr>
          <w:rFonts w:ascii="Arial Narrow" w:hAnsi="Arial Narrow"/>
          <w:i/>
          <w:sz w:val="24"/>
          <w:szCs w:val="24"/>
        </w:rPr>
        <w:tab/>
        <w:t xml:space="preserve">Additionally, the Commission sought to emphasise in the Final Decision and its submissions to the Panel that the discretion to impose a negative carryover mechanism is necessary to preserve the integrity of the Code in this area. </w:t>
      </w:r>
    </w:p>
    <w:p w:rsidR="00AD1DC0" w:rsidRPr="00C90A46"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t>173</w:t>
      </w:r>
      <w:r w:rsidR="008A1736">
        <w:rPr>
          <w:rFonts w:ascii="Arial Narrow" w:hAnsi="Arial Narrow"/>
          <w:i/>
          <w:sz w:val="24"/>
          <w:szCs w:val="24"/>
        </w:rPr>
        <w:t>.</w:t>
      </w:r>
      <w:r w:rsidRPr="00C90A46">
        <w:rPr>
          <w:rFonts w:ascii="Arial Narrow" w:hAnsi="Arial Narrow"/>
          <w:i/>
          <w:sz w:val="24"/>
          <w:szCs w:val="24"/>
        </w:rPr>
        <w:tab/>
        <w:t xml:space="preserve">The Panel acknowledges the logic of this argument in practical terms. It </w:t>
      </w:r>
      <w:r w:rsidR="00820BBA" w:rsidRPr="00C90A46">
        <w:rPr>
          <w:rFonts w:ascii="Arial Narrow" w:hAnsi="Arial Narrow"/>
          <w:i/>
          <w:sz w:val="24"/>
          <w:szCs w:val="24"/>
        </w:rPr>
        <w:t xml:space="preserve">is </w:t>
      </w:r>
      <w:r w:rsidRPr="00C90A46">
        <w:rPr>
          <w:rFonts w:ascii="Arial Narrow" w:hAnsi="Arial Narrow"/>
          <w:i/>
          <w:sz w:val="24"/>
          <w:szCs w:val="24"/>
        </w:rPr>
        <w:t>also apparent that the overall intention of the Code is to provide a regulator with fairly broad discretions. The regulator is nevertheless required to comply with the language and intention of the Code. Accordingly, the practical issues raised by the Commission, whilst relevant, are not decisive in</w:t>
      </w:r>
      <w:r w:rsidR="00C90A46">
        <w:rPr>
          <w:rFonts w:ascii="Arial Narrow" w:hAnsi="Arial Narrow"/>
          <w:i/>
          <w:sz w:val="24"/>
          <w:szCs w:val="24"/>
        </w:rPr>
        <w:t xml:space="preserve"> the context of interpretation.</w:t>
      </w:r>
    </w:p>
    <w:p w:rsidR="00C90A46" w:rsidRPr="00C90A46" w:rsidRDefault="00C90A46" w:rsidP="002E630D">
      <w:pPr>
        <w:tabs>
          <w:tab w:val="left" w:pos="1134"/>
        </w:tabs>
        <w:spacing w:after="0" w:line="240" w:lineRule="auto"/>
        <w:ind w:left="1134" w:right="565" w:hanging="567"/>
        <w:jc w:val="both"/>
        <w:rPr>
          <w:rFonts w:ascii="Arial Narrow" w:hAnsi="Arial Narrow"/>
          <w:i/>
          <w:sz w:val="24"/>
          <w:szCs w:val="24"/>
        </w:rPr>
      </w:pPr>
    </w:p>
    <w:p w:rsidR="00AD1DC0" w:rsidRPr="004C1E2A" w:rsidRDefault="00AD1DC0" w:rsidP="002E630D">
      <w:pPr>
        <w:tabs>
          <w:tab w:val="left" w:pos="1134"/>
        </w:tabs>
        <w:spacing w:after="0" w:line="240" w:lineRule="auto"/>
        <w:ind w:left="1134" w:right="565" w:hanging="567"/>
        <w:jc w:val="both"/>
        <w:rPr>
          <w:rFonts w:ascii="Arial Narrow" w:hAnsi="Arial Narrow"/>
          <w:i/>
          <w:sz w:val="24"/>
          <w:szCs w:val="24"/>
        </w:rPr>
      </w:pPr>
      <w:r w:rsidRPr="00C90A46">
        <w:rPr>
          <w:rFonts w:ascii="Arial Narrow" w:hAnsi="Arial Narrow"/>
          <w:i/>
          <w:sz w:val="24"/>
          <w:szCs w:val="24"/>
        </w:rPr>
        <w:lastRenderedPageBreak/>
        <w:t>174.</w:t>
      </w:r>
      <w:r w:rsidRPr="00C90A46">
        <w:rPr>
          <w:rFonts w:ascii="Arial Narrow" w:hAnsi="Arial Narrow"/>
          <w:i/>
          <w:sz w:val="24"/>
          <w:szCs w:val="24"/>
        </w:rPr>
        <w:tab/>
        <w:t>The Panel considers that the paragraph in section 8.4 which is set out earlier in these reasons provides a strong indication of the intention of the Code in relation to efficiency gains and incentive mechanisms. It suggests that, in designing an</w:t>
      </w:r>
      <w:r w:rsidRPr="004C1E2A">
        <w:rPr>
          <w:rFonts w:ascii="Arial Narrow" w:hAnsi="Arial Narrow"/>
          <w:i/>
          <w:sz w:val="24"/>
          <w:szCs w:val="24"/>
        </w:rPr>
        <w:t xml:space="preserve"> incentive mechanism, a regulator is may allow a service provider to retain benefits only in the (positive) range of between 100% and 0%. This supports the interpretation of section 8.44 put by the Applicant. </w:t>
      </w:r>
    </w:p>
    <w:p w:rsidR="00AD1DC0" w:rsidRPr="004C1E2A"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4C1E2A" w:rsidRDefault="00AD1DC0" w:rsidP="002E630D">
      <w:pPr>
        <w:tabs>
          <w:tab w:val="left" w:pos="1134"/>
        </w:tabs>
        <w:spacing w:after="0" w:line="240" w:lineRule="auto"/>
        <w:ind w:left="1134" w:right="565" w:hanging="567"/>
        <w:jc w:val="both"/>
        <w:rPr>
          <w:rFonts w:ascii="Arial Narrow" w:hAnsi="Arial Narrow"/>
          <w:i/>
          <w:sz w:val="24"/>
          <w:szCs w:val="24"/>
        </w:rPr>
      </w:pPr>
      <w:r w:rsidRPr="004C1E2A">
        <w:rPr>
          <w:rFonts w:ascii="Arial Narrow" w:hAnsi="Arial Narrow"/>
          <w:i/>
          <w:sz w:val="24"/>
          <w:szCs w:val="24"/>
        </w:rPr>
        <w:t>175.</w:t>
      </w:r>
      <w:r w:rsidRPr="004C1E2A">
        <w:rPr>
          <w:rFonts w:ascii="Arial Narrow" w:hAnsi="Arial Narrow"/>
          <w:i/>
          <w:sz w:val="24"/>
          <w:szCs w:val="24"/>
        </w:rPr>
        <w:tab/>
        <w:t xml:space="preserve">The Panel also considers that sections 8.44 to 8.46 of the Code, when read with other sections of Part 8, including Section 8.4, indicate that only positive incentive mechanisms were contemplated and intended by the Code. Apart from there being only positive indicators within these three sections, the provisions are generally expressed in language consistent with positive incentive mechanisms whilst not consistent with negative mechanisms. The Panel believes that, notwithstanding the broad discretion given to the regulator under the Code, the intention to restrict incentive mechanisms to the positive, reflected in the natural meaning of the words of section 8.44, overrides any contrary implication to be derived from section 8.49. Indeed, this latter section itself is worded in a way which does not suggest negative mechanisms… </w:t>
      </w:r>
    </w:p>
    <w:p w:rsidR="00AD1DC0" w:rsidRPr="004C1E2A" w:rsidRDefault="00AD1DC0" w:rsidP="002E630D">
      <w:pPr>
        <w:tabs>
          <w:tab w:val="left" w:pos="1134"/>
        </w:tabs>
        <w:spacing w:after="0" w:line="240" w:lineRule="auto"/>
        <w:ind w:left="1134" w:right="565" w:hanging="567"/>
        <w:jc w:val="both"/>
        <w:rPr>
          <w:rFonts w:ascii="Arial Narrow" w:hAnsi="Arial Narrow"/>
          <w:i/>
          <w:sz w:val="24"/>
          <w:szCs w:val="24"/>
        </w:rPr>
      </w:pPr>
    </w:p>
    <w:p w:rsidR="00AD1DC0" w:rsidRPr="004C1E2A" w:rsidRDefault="00AD1DC0" w:rsidP="002E630D">
      <w:pPr>
        <w:tabs>
          <w:tab w:val="left" w:pos="1134"/>
        </w:tabs>
        <w:spacing w:after="0" w:line="240" w:lineRule="auto"/>
        <w:ind w:left="1134" w:right="565" w:hanging="567"/>
        <w:jc w:val="both"/>
        <w:rPr>
          <w:rFonts w:ascii="Arial Narrow" w:hAnsi="Arial Narrow"/>
          <w:i/>
          <w:sz w:val="24"/>
          <w:szCs w:val="24"/>
        </w:rPr>
      </w:pPr>
      <w:r w:rsidRPr="004C1E2A">
        <w:rPr>
          <w:rFonts w:ascii="Arial Narrow" w:hAnsi="Arial Narrow"/>
          <w:i/>
          <w:sz w:val="24"/>
          <w:szCs w:val="24"/>
        </w:rPr>
        <w:t>177.</w:t>
      </w:r>
      <w:r w:rsidRPr="004C1E2A">
        <w:rPr>
          <w:rFonts w:ascii="Arial Narrow" w:hAnsi="Arial Narrow"/>
          <w:i/>
          <w:sz w:val="24"/>
          <w:szCs w:val="24"/>
        </w:rPr>
        <w:tab/>
        <w:t>Accordingly, the Panel considers that there is no power or discretion provided by the Code enabling the Commission to include in the access arrangement of the Applicant a negative ECM. In the context of Section 39 (2) of the Law the Panel finds that the occasion for the Commission to exercise a discretion to this effect did not arise under the Code.”</w:t>
      </w:r>
    </w:p>
    <w:p w:rsidR="00AD1DC0" w:rsidRPr="004C1E2A" w:rsidRDefault="00AD1DC0" w:rsidP="004C1E2A">
      <w:pPr>
        <w:spacing w:after="0" w:line="240" w:lineRule="auto"/>
        <w:jc w:val="both"/>
        <w:rPr>
          <w:rFonts w:ascii="Arial Narrow" w:hAnsi="Arial Narrow"/>
          <w:sz w:val="24"/>
          <w:szCs w:val="24"/>
        </w:rPr>
      </w:pPr>
    </w:p>
    <w:p w:rsidR="00AD1DC0"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The reasoning of the Panel is clear: the Code did not allow negative carryovers from one access arrangement period to the next. As the Panel notes</w:t>
      </w:r>
      <w:r w:rsidR="00996E3D" w:rsidRPr="004C1E2A">
        <w:rPr>
          <w:rFonts w:ascii="Arial Narrow" w:hAnsi="Arial Narrow"/>
          <w:sz w:val="24"/>
          <w:szCs w:val="24"/>
        </w:rPr>
        <w:t>,</w:t>
      </w:r>
      <w:r w:rsidRPr="004C1E2A">
        <w:rPr>
          <w:rFonts w:ascii="Arial Narrow" w:hAnsi="Arial Narrow"/>
          <w:sz w:val="24"/>
          <w:szCs w:val="24"/>
        </w:rPr>
        <w:t xml:space="preserve"> the Code only refers to carry forward of positive amounts.  Nowhere in it is there a reference to</w:t>
      </w:r>
      <w:r w:rsidR="00297941" w:rsidRPr="004C1E2A">
        <w:rPr>
          <w:rFonts w:ascii="Arial Narrow" w:hAnsi="Arial Narrow"/>
          <w:sz w:val="24"/>
          <w:szCs w:val="24"/>
        </w:rPr>
        <w:t xml:space="preserve"> the</w:t>
      </w:r>
      <w:r w:rsidRPr="004C1E2A">
        <w:rPr>
          <w:rFonts w:ascii="Arial Narrow" w:hAnsi="Arial Narrow"/>
          <w:sz w:val="24"/>
          <w:szCs w:val="24"/>
        </w:rPr>
        <w:t xml:space="preserve"> carry forward of negative amounts.</w:t>
      </w:r>
      <w:r w:rsidR="00E157A8" w:rsidRPr="004C1E2A">
        <w:rPr>
          <w:rFonts w:ascii="Arial Narrow" w:hAnsi="Arial Narrow"/>
          <w:sz w:val="24"/>
          <w:szCs w:val="24"/>
        </w:rPr>
        <w:t xml:space="preserve"> </w:t>
      </w:r>
      <w:r w:rsidR="00B12DD4" w:rsidRPr="004C1E2A">
        <w:rPr>
          <w:rFonts w:ascii="Arial Narrow" w:hAnsi="Arial Narrow"/>
          <w:sz w:val="24"/>
          <w:szCs w:val="24"/>
        </w:rPr>
        <w:t>As</w:t>
      </w:r>
      <w:r w:rsidRPr="004C1E2A">
        <w:rPr>
          <w:rFonts w:ascii="Arial Narrow" w:hAnsi="Arial Narrow"/>
          <w:sz w:val="24"/>
          <w:szCs w:val="24"/>
        </w:rPr>
        <w:t xml:space="preserve"> the Code does not allow the roll forward of negative amounts, then an efficiency carryover mechanism developed under the Code clearly cannot allow the roll forward of negative amounts. </w:t>
      </w:r>
    </w:p>
    <w:p w:rsidR="00AD1DC0" w:rsidRPr="004C1E2A" w:rsidRDefault="00AD1DC0" w:rsidP="004C1E2A">
      <w:pPr>
        <w:spacing w:after="0" w:line="240" w:lineRule="auto"/>
        <w:jc w:val="both"/>
        <w:rPr>
          <w:rFonts w:ascii="Arial Narrow" w:hAnsi="Arial Narrow"/>
          <w:sz w:val="24"/>
          <w:szCs w:val="24"/>
        </w:rPr>
      </w:pPr>
    </w:p>
    <w:p w:rsidR="00E157A8"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As noted above the AER’s discussion of the Appeal Panel’s decision does not correctly capture the essence of that decision. The AER </w:t>
      </w:r>
      <w:r w:rsidR="00E157A8" w:rsidRPr="004C1E2A">
        <w:rPr>
          <w:rFonts w:ascii="Arial Narrow" w:hAnsi="Arial Narrow"/>
          <w:sz w:val="24"/>
          <w:szCs w:val="24"/>
        </w:rPr>
        <w:t xml:space="preserve">in its Draft Decision (part 2, pp. 275-276) </w:t>
      </w:r>
      <w:r w:rsidRPr="004C1E2A">
        <w:rPr>
          <w:rFonts w:ascii="Arial Narrow" w:hAnsi="Arial Narrow"/>
          <w:sz w:val="24"/>
          <w:szCs w:val="24"/>
        </w:rPr>
        <w:t xml:space="preserve">states: </w:t>
      </w:r>
    </w:p>
    <w:p w:rsidR="00E157A8" w:rsidRPr="004C1E2A" w:rsidRDefault="00E157A8" w:rsidP="004C1E2A">
      <w:pPr>
        <w:spacing w:after="0" w:line="240" w:lineRule="auto"/>
        <w:jc w:val="both"/>
        <w:rPr>
          <w:rFonts w:ascii="Arial Narrow" w:hAnsi="Arial Narrow"/>
          <w:sz w:val="24"/>
          <w:szCs w:val="24"/>
        </w:rPr>
      </w:pPr>
    </w:p>
    <w:p w:rsidR="00AD1DC0" w:rsidRPr="004C1E2A" w:rsidRDefault="00AD1DC0"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“The AER also recogni</w:t>
      </w:r>
      <w:r w:rsidR="00E157A8" w:rsidRPr="004C1E2A">
        <w:rPr>
          <w:rFonts w:ascii="Arial Narrow" w:hAnsi="Arial Narrow"/>
          <w:i/>
          <w:sz w:val="24"/>
          <w:szCs w:val="24"/>
        </w:rPr>
        <w:t>s</w:t>
      </w:r>
      <w:r w:rsidRPr="004C1E2A">
        <w:rPr>
          <w:rFonts w:ascii="Arial Narrow" w:hAnsi="Arial Narrow"/>
          <w:i/>
          <w:sz w:val="24"/>
          <w:szCs w:val="24"/>
        </w:rPr>
        <w:t xml:space="preserve">es the Essential Services Commission Appeal Panel varied Envestra Albury’s Final </w:t>
      </w:r>
      <w:r w:rsidR="00E157A8" w:rsidRPr="004C1E2A">
        <w:rPr>
          <w:rFonts w:ascii="Arial Narrow" w:hAnsi="Arial Narrow"/>
          <w:i/>
          <w:sz w:val="24"/>
          <w:szCs w:val="24"/>
        </w:rPr>
        <w:t xml:space="preserve">Decision </w:t>
      </w:r>
      <w:r w:rsidRPr="004C1E2A">
        <w:rPr>
          <w:rFonts w:ascii="Arial Narrow" w:hAnsi="Arial Narrow"/>
          <w:i/>
          <w:sz w:val="24"/>
          <w:szCs w:val="24"/>
        </w:rPr>
        <w:t xml:space="preserve">and Further Final Decision concerning the 2008-12 access arrangement to include a zero carryover between the 2003-07 and 2008-12 access arrangement periods.” </w:t>
      </w:r>
    </w:p>
    <w:p w:rsidR="00AD1DC0" w:rsidRPr="004C1E2A" w:rsidRDefault="00AD1DC0" w:rsidP="004C1E2A">
      <w:pPr>
        <w:spacing w:after="0" w:line="240" w:lineRule="auto"/>
        <w:jc w:val="both"/>
        <w:rPr>
          <w:rFonts w:ascii="Arial Narrow" w:hAnsi="Arial Narrow"/>
          <w:sz w:val="24"/>
          <w:szCs w:val="24"/>
        </w:rPr>
      </w:pPr>
    </w:p>
    <w:p w:rsidR="00E157A8"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This statement suggests that the Appeal Panel exercised some discretion to set the carryover to zero. That is not correct – the carryover was zero (or more accurately expressed there was no carryover) because the Appeal Panel determined </w:t>
      </w:r>
      <w:r w:rsidR="00E157A8" w:rsidRPr="004C1E2A">
        <w:rPr>
          <w:rFonts w:ascii="Arial Narrow" w:hAnsi="Arial Narrow"/>
          <w:sz w:val="24"/>
          <w:szCs w:val="24"/>
        </w:rPr>
        <w:t xml:space="preserve">that </w:t>
      </w:r>
      <w:r w:rsidRPr="004C1E2A">
        <w:rPr>
          <w:rFonts w:ascii="Arial Narrow" w:hAnsi="Arial Narrow"/>
          <w:sz w:val="24"/>
          <w:szCs w:val="24"/>
        </w:rPr>
        <w:t>the Code did not allow any negative carryover. The AER then states</w:t>
      </w:r>
      <w:r w:rsidR="00E157A8" w:rsidRPr="004C1E2A">
        <w:rPr>
          <w:rFonts w:ascii="Arial Narrow" w:hAnsi="Arial Narrow"/>
          <w:sz w:val="24"/>
          <w:szCs w:val="24"/>
        </w:rPr>
        <w:t xml:space="preserve"> (Part 2, pg. 276)</w:t>
      </w:r>
      <w:r w:rsidRPr="004C1E2A">
        <w:rPr>
          <w:rFonts w:ascii="Arial Narrow" w:hAnsi="Arial Narrow"/>
          <w:sz w:val="24"/>
          <w:szCs w:val="24"/>
        </w:rPr>
        <w:t xml:space="preserve">:  </w:t>
      </w:r>
    </w:p>
    <w:p w:rsidR="00E157A8" w:rsidRPr="004C1E2A" w:rsidRDefault="00E157A8" w:rsidP="004C1E2A">
      <w:pPr>
        <w:spacing w:after="0" w:line="240" w:lineRule="auto"/>
        <w:jc w:val="both"/>
        <w:rPr>
          <w:rFonts w:ascii="Arial Narrow" w:hAnsi="Arial Narrow"/>
          <w:sz w:val="24"/>
          <w:szCs w:val="24"/>
        </w:rPr>
      </w:pPr>
    </w:p>
    <w:p w:rsidR="00AD1DC0" w:rsidRPr="004C1E2A" w:rsidRDefault="00AD1DC0"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 xml:space="preserve">“The Appeal Panel did not vary the efficiency carryover mechanism in Envestra Albury’s access arrangement.” </w:t>
      </w:r>
    </w:p>
    <w:p w:rsidR="00AD1DC0" w:rsidRPr="004C1E2A" w:rsidRDefault="00AD1DC0" w:rsidP="004C1E2A">
      <w:pPr>
        <w:spacing w:after="0" w:line="240" w:lineRule="auto"/>
        <w:jc w:val="both"/>
        <w:rPr>
          <w:rFonts w:ascii="Arial Narrow" w:hAnsi="Arial Narrow"/>
          <w:sz w:val="24"/>
          <w:szCs w:val="24"/>
        </w:rPr>
      </w:pPr>
    </w:p>
    <w:p w:rsidR="00BB37AF"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Appeal Panel did not vary the efficiency carryover mechanism because that was not the issue in argument before it. The issue was that the efficiency carryover mechanism in Envestra’s Access Arrangement did not allow a negative carryover to be rolled over from one access arrangement period to the next.  The issue before the Appeal Panel did not involve varying the efficiency carryover </w:t>
      </w:r>
      <w:r w:rsidR="00BB37AF">
        <w:rPr>
          <w:rFonts w:ascii="Arial Narrow" w:hAnsi="Arial Narrow"/>
          <w:sz w:val="24"/>
          <w:szCs w:val="24"/>
        </w:rPr>
        <w:t>mechanism but interpreting it.</w:t>
      </w:r>
    </w:p>
    <w:p w:rsidR="00E157A8"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lastRenderedPageBreak/>
        <w:t xml:space="preserve">The Appeal Panel found that the </w:t>
      </w:r>
      <w:r w:rsidR="004F360C" w:rsidRPr="004C1E2A">
        <w:rPr>
          <w:rFonts w:ascii="Arial Narrow" w:hAnsi="Arial Narrow"/>
          <w:sz w:val="24"/>
          <w:szCs w:val="24"/>
        </w:rPr>
        <w:t xml:space="preserve">Code and the </w:t>
      </w:r>
      <w:r w:rsidRPr="004C1E2A">
        <w:rPr>
          <w:rFonts w:ascii="Arial Narrow" w:hAnsi="Arial Narrow"/>
          <w:sz w:val="24"/>
          <w:szCs w:val="24"/>
        </w:rPr>
        <w:t>efficiency carryover mechanism did not allow the carrying forward of loss</w:t>
      </w:r>
      <w:r w:rsidR="00817B39" w:rsidRPr="004C1E2A">
        <w:rPr>
          <w:rFonts w:ascii="Arial Narrow" w:hAnsi="Arial Narrow"/>
          <w:sz w:val="24"/>
          <w:szCs w:val="24"/>
        </w:rPr>
        <w:t>es from one period to the next, therefore no amendment to the efficiency carry over mechanism was necessary.</w:t>
      </w:r>
      <w:r w:rsidR="00E157A8" w:rsidRPr="004C1E2A">
        <w:rPr>
          <w:rFonts w:ascii="Arial Narrow" w:hAnsi="Arial Narrow"/>
          <w:sz w:val="24"/>
          <w:szCs w:val="24"/>
        </w:rPr>
        <w:t xml:space="preserve"> </w:t>
      </w:r>
    </w:p>
    <w:p w:rsidR="00E157A8" w:rsidRPr="004C1E2A" w:rsidRDefault="00E157A8" w:rsidP="004C1E2A">
      <w:pPr>
        <w:spacing w:after="0" w:line="240" w:lineRule="auto"/>
        <w:jc w:val="both"/>
        <w:rPr>
          <w:rFonts w:ascii="Arial Narrow" w:hAnsi="Arial Narrow"/>
          <w:sz w:val="24"/>
          <w:szCs w:val="24"/>
        </w:rPr>
      </w:pPr>
    </w:p>
    <w:p w:rsidR="006201BD"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The AER then states</w:t>
      </w:r>
      <w:r w:rsidR="00E157A8" w:rsidRPr="004C1E2A">
        <w:rPr>
          <w:rFonts w:ascii="Arial Narrow" w:hAnsi="Arial Narrow"/>
          <w:sz w:val="24"/>
          <w:szCs w:val="24"/>
        </w:rPr>
        <w:t xml:space="preserve"> (Part 2, pg. 276)</w:t>
      </w:r>
      <w:r w:rsidRPr="004C1E2A">
        <w:rPr>
          <w:rFonts w:ascii="Arial Narrow" w:hAnsi="Arial Narrow"/>
          <w:sz w:val="24"/>
          <w:szCs w:val="24"/>
        </w:rPr>
        <w:t xml:space="preserve">:  </w:t>
      </w:r>
    </w:p>
    <w:p w:rsidR="006201BD" w:rsidRPr="004C1E2A" w:rsidRDefault="006201BD" w:rsidP="004C1E2A">
      <w:pPr>
        <w:spacing w:after="0" w:line="240" w:lineRule="auto"/>
        <w:jc w:val="both"/>
        <w:rPr>
          <w:rFonts w:ascii="Arial Narrow" w:hAnsi="Arial Narrow"/>
          <w:sz w:val="24"/>
          <w:szCs w:val="24"/>
        </w:rPr>
      </w:pPr>
    </w:p>
    <w:p w:rsidR="006201BD" w:rsidRPr="004C1E2A" w:rsidRDefault="00817B39"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 xml:space="preserve">“Nor did it [the Appeal Panel] make any variations requiring any negative carryover accrued in the 2008-2012 access arrangement period be set to zero.”  </w:t>
      </w:r>
    </w:p>
    <w:p w:rsidR="006201BD" w:rsidRPr="004C1E2A" w:rsidRDefault="006201BD" w:rsidP="004C1E2A">
      <w:pPr>
        <w:spacing w:after="0" w:line="240" w:lineRule="auto"/>
        <w:jc w:val="both"/>
        <w:rPr>
          <w:rFonts w:ascii="Arial Narrow" w:hAnsi="Arial Narrow"/>
          <w:sz w:val="24"/>
          <w:szCs w:val="24"/>
        </w:rPr>
      </w:pP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This statement is incorrect.  The Appeal Panel determined a negative carryover cannot be carried forward from one access arrangement period to the next.  That is the same thing as deciding that any negative carryover from the 2008-2012 access arrangement period could not be rolled forward. </w:t>
      </w:r>
      <w:r w:rsidR="006201BD" w:rsidRPr="004C1E2A">
        <w:rPr>
          <w:rFonts w:ascii="Arial Narrow" w:hAnsi="Arial Narrow"/>
          <w:sz w:val="24"/>
          <w:szCs w:val="24"/>
        </w:rPr>
        <w:t xml:space="preserve">There was no reason to vary the efficiency carry over mechanism. </w:t>
      </w:r>
    </w:p>
    <w:p w:rsidR="00817B39" w:rsidRPr="004C1E2A" w:rsidRDefault="00817B39" w:rsidP="004C1E2A">
      <w:pPr>
        <w:spacing w:after="0" w:line="240" w:lineRule="auto"/>
        <w:jc w:val="both"/>
        <w:rPr>
          <w:rFonts w:ascii="Arial Narrow" w:hAnsi="Arial Narrow"/>
          <w:sz w:val="24"/>
          <w:szCs w:val="24"/>
        </w:rPr>
      </w:pP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As the AER has noted</w:t>
      </w:r>
      <w:r w:rsidR="006201BD" w:rsidRPr="004C1E2A">
        <w:rPr>
          <w:rFonts w:ascii="Arial Narrow" w:hAnsi="Arial Narrow"/>
          <w:sz w:val="24"/>
          <w:szCs w:val="24"/>
        </w:rPr>
        <w:t>,</w:t>
      </w:r>
      <w:r w:rsidRPr="004C1E2A">
        <w:rPr>
          <w:rFonts w:ascii="Arial Narrow" w:hAnsi="Arial Narrow"/>
          <w:sz w:val="24"/>
          <w:szCs w:val="24"/>
        </w:rPr>
        <w:t xml:space="preserve"> clause 5 of Schedule 1 to the National Gas Rules requires the AER to give effect to an incentive mechanism approved under section 8.44 of the Code.  This means applying the mechanism in accordance with its terms and the legal framework which regulates it. That framework does not allow the carry forward of losses from the third to the fourth access arrangement period. </w:t>
      </w:r>
    </w:p>
    <w:p w:rsidR="00817B39" w:rsidRPr="004C1E2A" w:rsidRDefault="00817B39" w:rsidP="004C1E2A">
      <w:pPr>
        <w:spacing w:after="0" w:line="240" w:lineRule="auto"/>
        <w:jc w:val="both"/>
        <w:rPr>
          <w:rFonts w:ascii="Arial Narrow" w:hAnsi="Arial Narrow"/>
          <w:sz w:val="24"/>
          <w:szCs w:val="24"/>
        </w:rPr>
      </w:pPr>
    </w:p>
    <w:p w:rsidR="00817B39" w:rsidRPr="004C1E2A" w:rsidRDefault="006201BD" w:rsidP="00B84FEE">
      <w:pPr>
        <w:tabs>
          <w:tab w:val="left" w:pos="567"/>
        </w:tabs>
        <w:spacing w:after="0" w:line="240" w:lineRule="auto"/>
        <w:ind w:left="567" w:hanging="567"/>
        <w:jc w:val="both"/>
        <w:rPr>
          <w:rFonts w:ascii="Arial Narrow" w:hAnsi="Arial Narrow"/>
          <w:b/>
          <w:color w:val="17365D"/>
          <w:sz w:val="24"/>
          <w:szCs w:val="24"/>
        </w:rPr>
      </w:pPr>
      <w:bookmarkStart w:id="0" w:name="_GoBack"/>
      <w:r w:rsidRPr="004C1E2A">
        <w:rPr>
          <w:rFonts w:ascii="Arial Narrow" w:hAnsi="Arial Narrow"/>
          <w:b/>
          <w:color w:val="17365D"/>
          <w:sz w:val="24"/>
          <w:szCs w:val="24"/>
        </w:rPr>
        <w:t>3.2</w:t>
      </w:r>
      <w:r w:rsidRPr="004C1E2A">
        <w:rPr>
          <w:rFonts w:ascii="Arial Narrow" w:hAnsi="Arial Narrow"/>
          <w:b/>
          <w:color w:val="17365D"/>
          <w:sz w:val="24"/>
          <w:szCs w:val="24"/>
        </w:rPr>
        <w:tab/>
      </w:r>
      <w:r w:rsidR="00817B39" w:rsidRPr="004C1E2A">
        <w:rPr>
          <w:rFonts w:ascii="Arial Narrow" w:hAnsi="Arial Narrow"/>
          <w:b/>
          <w:color w:val="17365D"/>
          <w:sz w:val="24"/>
          <w:szCs w:val="24"/>
        </w:rPr>
        <w:t xml:space="preserve">Envestra’s Access Arrangements </w:t>
      </w:r>
    </w:p>
    <w:bookmarkEnd w:id="0"/>
    <w:p w:rsidR="00817B39" w:rsidRPr="004C1E2A" w:rsidRDefault="00817B39" w:rsidP="004C1E2A">
      <w:pPr>
        <w:spacing w:after="0" w:line="240" w:lineRule="auto"/>
        <w:jc w:val="both"/>
        <w:rPr>
          <w:rFonts w:ascii="Arial Narrow" w:hAnsi="Arial Narrow"/>
          <w:sz w:val="24"/>
          <w:szCs w:val="24"/>
        </w:rPr>
      </w:pPr>
    </w:p>
    <w:p w:rsidR="006201BD"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efficiency carry over mechanisms which apply under Envestra’s Access Arrangements are set out in section 7 of Part B of those Access Arrangements. Clause 7.1(b) of the Access Arrangements provides:  </w:t>
      </w:r>
    </w:p>
    <w:p w:rsidR="006201BD" w:rsidRPr="004C1E2A" w:rsidRDefault="006201BD" w:rsidP="004C1E2A">
      <w:pPr>
        <w:spacing w:after="0" w:line="240" w:lineRule="auto"/>
        <w:jc w:val="both"/>
        <w:rPr>
          <w:rFonts w:ascii="Arial Narrow" w:hAnsi="Arial Narrow"/>
          <w:sz w:val="24"/>
          <w:szCs w:val="24"/>
        </w:rPr>
      </w:pPr>
    </w:p>
    <w:p w:rsidR="00817B39" w:rsidRPr="004C1E2A" w:rsidRDefault="00817B39"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 xml:space="preserve">“No Fixed Principle can be changed by the Regulator at a review of the Access Arrangement without the approval of the Service Provider.” </w:t>
      </w:r>
    </w:p>
    <w:p w:rsidR="00817B39" w:rsidRPr="004C1E2A" w:rsidRDefault="00817B39" w:rsidP="004C1E2A">
      <w:pPr>
        <w:tabs>
          <w:tab w:val="left" w:pos="0"/>
        </w:tabs>
        <w:spacing w:after="0" w:line="240" w:lineRule="auto"/>
        <w:ind w:left="567" w:right="565"/>
        <w:jc w:val="both"/>
        <w:rPr>
          <w:rFonts w:ascii="Arial Narrow" w:hAnsi="Arial Narrow"/>
          <w:i/>
          <w:sz w:val="24"/>
          <w:szCs w:val="24"/>
        </w:rPr>
      </w:pP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One of those fixed principles is (under clause 7.2) Envestra’s efficiency sharing mechanism. This is expressed to apply to the end of the Fourth Access Arrangement Period (i.e. the end of the 2013 to 2017 Access Arrangement</w:t>
      </w:r>
      <w:r w:rsidR="006201BD" w:rsidRPr="004C1E2A">
        <w:rPr>
          <w:rFonts w:ascii="Arial Narrow" w:hAnsi="Arial Narrow"/>
          <w:sz w:val="24"/>
          <w:szCs w:val="24"/>
        </w:rPr>
        <w:t xml:space="preserve"> period</w:t>
      </w:r>
      <w:r w:rsidRPr="004C1E2A">
        <w:rPr>
          <w:rFonts w:ascii="Arial Narrow" w:hAnsi="Arial Narrow"/>
          <w:sz w:val="24"/>
          <w:szCs w:val="24"/>
        </w:rPr>
        <w:t>). Notably</w:t>
      </w:r>
      <w:r w:rsidR="006201BD" w:rsidRPr="004C1E2A">
        <w:rPr>
          <w:rFonts w:ascii="Arial Narrow" w:hAnsi="Arial Narrow"/>
          <w:sz w:val="24"/>
          <w:szCs w:val="24"/>
        </w:rPr>
        <w:t>,</w:t>
      </w:r>
      <w:r w:rsidRPr="004C1E2A">
        <w:rPr>
          <w:rFonts w:ascii="Arial Narrow" w:hAnsi="Arial Narrow"/>
          <w:sz w:val="24"/>
          <w:szCs w:val="24"/>
        </w:rPr>
        <w:t xml:space="preserve"> clause </w:t>
      </w:r>
      <w:r w:rsidR="006201BD" w:rsidRPr="004C1E2A">
        <w:rPr>
          <w:rFonts w:ascii="Arial Narrow" w:hAnsi="Arial Narrow"/>
          <w:sz w:val="24"/>
          <w:szCs w:val="24"/>
        </w:rPr>
        <w:t>7.1</w:t>
      </w:r>
      <w:r w:rsidRPr="004C1E2A">
        <w:rPr>
          <w:rFonts w:ascii="Arial Narrow" w:hAnsi="Arial Narrow"/>
          <w:sz w:val="24"/>
          <w:szCs w:val="24"/>
        </w:rPr>
        <w:t xml:space="preserve">(b)(5) of this fixed principle provides: </w:t>
      </w:r>
    </w:p>
    <w:p w:rsidR="00817B39" w:rsidRPr="004C1E2A" w:rsidRDefault="00817B39" w:rsidP="004C1E2A">
      <w:pPr>
        <w:spacing w:after="0" w:line="240" w:lineRule="auto"/>
        <w:jc w:val="both"/>
        <w:rPr>
          <w:rFonts w:ascii="Arial Narrow" w:hAnsi="Arial Narrow"/>
          <w:sz w:val="24"/>
          <w:szCs w:val="24"/>
        </w:rPr>
      </w:pPr>
    </w:p>
    <w:p w:rsidR="00817B39" w:rsidRPr="004C1E2A" w:rsidRDefault="00817B39" w:rsidP="004C1E2A">
      <w:pPr>
        <w:spacing w:after="0" w:line="240" w:lineRule="auto"/>
        <w:ind w:left="567" w:right="679"/>
        <w:jc w:val="both"/>
        <w:rPr>
          <w:rFonts w:ascii="Arial Narrow" w:hAnsi="Arial Narrow"/>
          <w:i/>
          <w:sz w:val="24"/>
          <w:szCs w:val="24"/>
        </w:rPr>
      </w:pPr>
      <w:r w:rsidRPr="004C1E2A">
        <w:rPr>
          <w:rFonts w:ascii="Arial Narrow" w:hAnsi="Arial Narrow"/>
          <w:i/>
          <w:sz w:val="24"/>
          <w:szCs w:val="24"/>
        </w:rPr>
        <w:t xml:space="preserve">“To the extent that the application of this clause results in a positive efficiency carryover at the end of the Third Access Arrangement Period, the reward earned in the Third Access Arrangement Period is to be added to the Total Revenue and carried forward into the Fourth Access Arrangement Period, until it has been retained by the Service Provider for a period of five years, in accordance with this clause.” </w:t>
      </w:r>
    </w:p>
    <w:p w:rsidR="00817B39" w:rsidRPr="004C1E2A" w:rsidRDefault="00817B39" w:rsidP="004C1E2A">
      <w:pPr>
        <w:spacing w:after="0" w:line="240" w:lineRule="auto"/>
        <w:jc w:val="both"/>
        <w:rPr>
          <w:rFonts w:ascii="Arial Narrow" w:hAnsi="Arial Narrow"/>
          <w:sz w:val="24"/>
          <w:szCs w:val="24"/>
        </w:rPr>
      </w:pP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There is no reference to </w:t>
      </w:r>
      <w:r w:rsidR="006201BD" w:rsidRPr="004C1E2A">
        <w:rPr>
          <w:rFonts w:ascii="Arial Narrow" w:hAnsi="Arial Narrow"/>
          <w:sz w:val="24"/>
          <w:szCs w:val="24"/>
        </w:rPr>
        <w:t xml:space="preserve">the </w:t>
      </w:r>
      <w:r w:rsidRPr="004C1E2A">
        <w:rPr>
          <w:rFonts w:ascii="Arial Narrow" w:hAnsi="Arial Narrow"/>
          <w:sz w:val="24"/>
          <w:szCs w:val="24"/>
        </w:rPr>
        <w:t xml:space="preserve">carry forward of losses from the Third Access Arrangement Period to the Fourth Access Arrangement Period. </w:t>
      </w:r>
      <w:r w:rsidR="00297941" w:rsidRPr="004C1E2A">
        <w:rPr>
          <w:rFonts w:ascii="Arial Narrow" w:hAnsi="Arial Narrow"/>
          <w:sz w:val="24"/>
          <w:szCs w:val="24"/>
        </w:rPr>
        <w:t xml:space="preserve">This is the same efficiency carry over that was the subject to the aforementioned decision by the Panel. </w:t>
      </w:r>
    </w:p>
    <w:p w:rsidR="00817B39" w:rsidRPr="004C1E2A" w:rsidRDefault="00817B39" w:rsidP="004C1E2A">
      <w:pPr>
        <w:spacing w:after="0" w:line="240" w:lineRule="auto"/>
        <w:jc w:val="both"/>
        <w:rPr>
          <w:rFonts w:ascii="Arial Narrow" w:hAnsi="Arial Narrow"/>
          <w:sz w:val="24"/>
          <w:szCs w:val="24"/>
        </w:rPr>
      </w:pPr>
    </w:p>
    <w:p w:rsidR="006201BD"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Clause 99(3) of the National Gas Rules provides:  </w:t>
      </w:r>
    </w:p>
    <w:p w:rsidR="006201BD" w:rsidRPr="004C1E2A" w:rsidRDefault="006201BD" w:rsidP="004C1E2A">
      <w:pPr>
        <w:spacing w:after="0" w:line="240" w:lineRule="auto"/>
        <w:jc w:val="both"/>
        <w:rPr>
          <w:rFonts w:ascii="Arial Narrow" w:hAnsi="Arial Narrow"/>
          <w:sz w:val="24"/>
          <w:szCs w:val="24"/>
        </w:rPr>
      </w:pPr>
    </w:p>
    <w:p w:rsidR="00817B39" w:rsidRPr="004C1E2A" w:rsidRDefault="00817B39"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 xml:space="preserve">“A fixed principle approved before the commencement of these rules, or approved by the AER under these rules, is binding on the AER and the service provider for the period for which the principle is fixed.” </w:t>
      </w:r>
    </w:p>
    <w:p w:rsidR="006201BD" w:rsidRPr="004C1E2A" w:rsidRDefault="006201BD" w:rsidP="004C1E2A">
      <w:pPr>
        <w:spacing w:after="0" w:line="240" w:lineRule="auto"/>
        <w:jc w:val="both"/>
        <w:rPr>
          <w:rFonts w:ascii="Arial Narrow" w:hAnsi="Arial Narrow"/>
          <w:sz w:val="24"/>
          <w:szCs w:val="24"/>
        </w:rPr>
      </w:pPr>
    </w:p>
    <w:p w:rsidR="006201BD"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Clause 99(4)(b) </w:t>
      </w:r>
      <w:r w:rsidR="006201BD" w:rsidRPr="004C1E2A">
        <w:rPr>
          <w:rFonts w:ascii="Arial Narrow" w:hAnsi="Arial Narrow"/>
          <w:sz w:val="24"/>
          <w:szCs w:val="24"/>
        </w:rPr>
        <w:t xml:space="preserve">of the National Gas Rules </w:t>
      </w:r>
      <w:r w:rsidRPr="004C1E2A">
        <w:rPr>
          <w:rFonts w:ascii="Arial Narrow" w:hAnsi="Arial Narrow"/>
          <w:sz w:val="24"/>
          <w:szCs w:val="24"/>
        </w:rPr>
        <w:t>provides</w:t>
      </w:r>
      <w:r w:rsidR="006201BD" w:rsidRPr="004C1E2A">
        <w:rPr>
          <w:rFonts w:ascii="Arial Narrow" w:hAnsi="Arial Narrow"/>
          <w:sz w:val="24"/>
          <w:szCs w:val="24"/>
        </w:rPr>
        <w:t>:</w:t>
      </w:r>
      <w:r w:rsidRPr="004C1E2A">
        <w:rPr>
          <w:rFonts w:ascii="Arial Narrow" w:hAnsi="Arial Narrow"/>
          <w:sz w:val="24"/>
          <w:szCs w:val="24"/>
        </w:rPr>
        <w:t xml:space="preserve"> </w:t>
      </w:r>
    </w:p>
    <w:p w:rsidR="006201BD" w:rsidRPr="004C1E2A" w:rsidRDefault="006201BD" w:rsidP="004C1E2A">
      <w:pPr>
        <w:spacing w:after="0" w:line="240" w:lineRule="auto"/>
        <w:jc w:val="both"/>
        <w:rPr>
          <w:rFonts w:ascii="Arial Narrow" w:hAnsi="Arial Narrow"/>
          <w:sz w:val="24"/>
          <w:szCs w:val="24"/>
        </w:rPr>
      </w:pPr>
    </w:p>
    <w:p w:rsidR="00817B39" w:rsidRPr="004C1E2A" w:rsidRDefault="00817B39"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 xml:space="preserve">“However… if a rule is inconsistent with a fixed principle, the rule operates to the exclusion of the fixed principle.” </w:t>
      </w: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lastRenderedPageBreak/>
        <w:t xml:space="preserve">Nothing in clause 7.2 of the Access Arrangement is inconsistent with the National Gas Rules. </w:t>
      </w:r>
      <w:r w:rsidR="003A4493" w:rsidRPr="004C1E2A">
        <w:rPr>
          <w:rFonts w:ascii="Arial Narrow" w:hAnsi="Arial Narrow"/>
          <w:sz w:val="24"/>
          <w:szCs w:val="24"/>
        </w:rPr>
        <w:t xml:space="preserve"> This is because the National Gas Rules do not mandate the carry over of losses arising from an incentive mechanism. </w:t>
      </w:r>
    </w:p>
    <w:p w:rsidR="00817B39" w:rsidRPr="00636FCF" w:rsidRDefault="00817B39" w:rsidP="004C1E2A">
      <w:pPr>
        <w:spacing w:after="0" w:line="240" w:lineRule="auto"/>
        <w:jc w:val="both"/>
        <w:rPr>
          <w:rFonts w:ascii="Arial Narrow" w:hAnsi="Arial Narrow"/>
        </w:rPr>
      </w:pPr>
    </w:p>
    <w:p w:rsidR="00817B39" w:rsidRPr="004C1E2A" w:rsidRDefault="00817B39"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is therefore bound by the fixed principle set out in clause 7.2. </w:t>
      </w:r>
    </w:p>
    <w:p w:rsidR="00817B39" w:rsidRPr="00636FCF" w:rsidRDefault="00817B39" w:rsidP="004C1E2A">
      <w:pPr>
        <w:spacing w:after="0" w:line="240" w:lineRule="auto"/>
        <w:jc w:val="both"/>
        <w:rPr>
          <w:rFonts w:ascii="Arial Narrow" w:hAnsi="Arial Narrow"/>
        </w:rPr>
      </w:pPr>
    </w:p>
    <w:p w:rsidR="006201BD"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 acknowledges that the matter is different in respect of any incentive mechanism </w:t>
      </w:r>
      <w:r w:rsidR="006201BD" w:rsidRPr="004C1E2A">
        <w:rPr>
          <w:rFonts w:ascii="Arial Narrow" w:hAnsi="Arial Narrow"/>
          <w:sz w:val="24"/>
          <w:szCs w:val="24"/>
        </w:rPr>
        <w:t>that might</w:t>
      </w:r>
      <w:r w:rsidRPr="004C1E2A">
        <w:rPr>
          <w:rFonts w:ascii="Arial Narrow" w:hAnsi="Arial Narrow"/>
          <w:sz w:val="24"/>
          <w:szCs w:val="24"/>
        </w:rPr>
        <w:t xml:space="preserve"> appl</w:t>
      </w:r>
      <w:r w:rsidR="006201BD" w:rsidRPr="004C1E2A">
        <w:rPr>
          <w:rFonts w:ascii="Arial Narrow" w:hAnsi="Arial Narrow"/>
          <w:sz w:val="24"/>
          <w:szCs w:val="24"/>
        </w:rPr>
        <w:t>y</w:t>
      </w:r>
      <w:r w:rsidRPr="004C1E2A">
        <w:rPr>
          <w:rFonts w:ascii="Arial Narrow" w:hAnsi="Arial Narrow"/>
          <w:sz w:val="24"/>
          <w:szCs w:val="24"/>
        </w:rPr>
        <w:t xml:space="preserve"> during the </w:t>
      </w:r>
      <w:r w:rsidR="00B12DD4" w:rsidRPr="004C1E2A">
        <w:rPr>
          <w:rFonts w:ascii="Arial Narrow" w:hAnsi="Arial Narrow"/>
          <w:sz w:val="24"/>
          <w:szCs w:val="24"/>
        </w:rPr>
        <w:t>2013 to 2017 A</w:t>
      </w:r>
      <w:r w:rsidRPr="004C1E2A">
        <w:rPr>
          <w:rFonts w:ascii="Arial Narrow" w:hAnsi="Arial Narrow"/>
          <w:sz w:val="24"/>
          <w:szCs w:val="24"/>
        </w:rPr>
        <w:t xml:space="preserve">ccess </w:t>
      </w:r>
      <w:r w:rsidR="00B12DD4" w:rsidRPr="004C1E2A">
        <w:rPr>
          <w:rFonts w:ascii="Arial Narrow" w:hAnsi="Arial Narrow"/>
          <w:sz w:val="24"/>
          <w:szCs w:val="24"/>
        </w:rPr>
        <w:t>A</w:t>
      </w:r>
      <w:r w:rsidRPr="004C1E2A">
        <w:rPr>
          <w:rFonts w:ascii="Arial Narrow" w:hAnsi="Arial Narrow"/>
          <w:sz w:val="24"/>
          <w:szCs w:val="24"/>
        </w:rPr>
        <w:t>rr</w:t>
      </w:r>
      <w:r w:rsidR="00297941" w:rsidRPr="004C1E2A">
        <w:rPr>
          <w:rFonts w:ascii="Arial Narrow" w:hAnsi="Arial Narrow"/>
          <w:sz w:val="24"/>
          <w:szCs w:val="24"/>
        </w:rPr>
        <w:t>angement period. R</w:t>
      </w:r>
      <w:r w:rsidRPr="004C1E2A">
        <w:rPr>
          <w:rFonts w:ascii="Arial Narrow" w:hAnsi="Arial Narrow"/>
          <w:sz w:val="24"/>
          <w:szCs w:val="24"/>
        </w:rPr>
        <w:t>ule 98(2)</w:t>
      </w:r>
      <w:r w:rsidR="00297941" w:rsidRPr="004C1E2A">
        <w:rPr>
          <w:rFonts w:ascii="Arial Narrow" w:hAnsi="Arial Narrow"/>
          <w:sz w:val="24"/>
          <w:szCs w:val="24"/>
        </w:rPr>
        <w:t xml:space="preserve"> explicitly states that </w:t>
      </w:r>
      <w:r w:rsidRPr="004C1E2A">
        <w:rPr>
          <w:rFonts w:ascii="Arial Narrow" w:hAnsi="Arial Narrow"/>
          <w:sz w:val="24"/>
          <w:szCs w:val="24"/>
        </w:rPr>
        <w:t>an incentive mechanism developed under the N</w:t>
      </w:r>
      <w:r w:rsidR="00297941" w:rsidRPr="004C1E2A">
        <w:rPr>
          <w:rFonts w:ascii="Arial Narrow" w:hAnsi="Arial Narrow"/>
          <w:sz w:val="24"/>
          <w:szCs w:val="24"/>
        </w:rPr>
        <w:t>GR</w:t>
      </w:r>
      <w:r w:rsidRPr="004C1E2A">
        <w:rPr>
          <w:rFonts w:ascii="Arial Narrow" w:hAnsi="Arial Narrow"/>
          <w:sz w:val="24"/>
          <w:szCs w:val="24"/>
        </w:rPr>
        <w:t xml:space="preserve"> may provide for carrying forward of losses from one access arrangement period to the next. However</w:t>
      </w:r>
      <w:r w:rsidR="00297941" w:rsidRPr="004C1E2A">
        <w:rPr>
          <w:rFonts w:ascii="Arial Narrow" w:hAnsi="Arial Narrow"/>
          <w:sz w:val="24"/>
          <w:szCs w:val="24"/>
        </w:rPr>
        <w:t>,</w:t>
      </w:r>
      <w:r w:rsidRPr="004C1E2A">
        <w:rPr>
          <w:rFonts w:ascii="Arial Narrow" w:hAnsi="Arial Narrow"/>
          <w:sz w:val="24"/>
          <w:szCs w:val="24"/>
        </w:rPr>
        <w:t xml:space="preserve"> rule 98(2) only applies from the commencement of the fourth access arrangement and not to rollovers between the third and fourth access arrangement.  </w:t>
      </w:r>
    </w:p>
    <w:p w:rsidR="006201BD" w:rsidRPr="00636FCF" w:rsidRDefault="006201BD" w:rsidP="004C1E2A">
      <w:pPr>
        <w:spacing w:after="0" w:line="240" w:lineRule="auto"/>
        <w:jc w:val="both"/>
        <w:rPr>
          <w:rFonts w:ascii="Arial Narrow" w:hAnsi="Arial Narrow"/>
        </w:rPr>
      </w:pPr>
    </w:p>
    <w:p w:rsidR="003069E4" w:rsidRPr="004C1E2A" w:rsidRDefault="00AD1DC0" w:rsidP="004C1E2A">
      <w:pPr>
        <w:spacing w:after="0" w:line="240" w:lineRule="auto"/>
        <w:jc w:val="both"/>
        <w:rPr>
          <w:rFonts w:ascii="Arial Narrow" w:hAnsi="Arial Narrow"/>
          <w:sz w:val="24"/>
          <w:szCs w:val="24"/>
        </w:rPr>
      </w:pPr>
      <w:r w:rsidRPr="004C1E2A">
        <w:rPr>
          <w:rFonts w:ascii="Arial Narrow" w:hAnsi="Arial Narrow"/>
          <w:sz w:val="24"/>
          <w:szCs w:val="24"/>
        </w:rPr>
        <w:t>Rule 98(2) is to be contrasted with the Code, which contains no provisions providing for roll-forward of losses.</w:t>
      </w:r>
    </w:p>
    <w:p w:rsidR="00AD1DC0" w:rsidRPr="00636FCF" w:rsidRDefault="00AD1DC0" w:rsidP="004C1E2A">
      <w:pPr>
        <w:spacing w:after="0" w:line="240" w:lineRule="auto"/>
        <w:jc w:val="both"/>
        <w:rPr>
          <w:rFonts w:ascii="Arial Narrow" w:hAnsi="Arial Narrow"/>
        </w:rPr>
      </w:pPr>
    </w:p>
    <w:p w:rsidR="003069E4" w:rsidRPr="004C1E2A" w:rsidRDefault="006201BD" w:rsidP="004C1E2A">
      <w:pPr>
        <w:tabs>
          <w:tab w:val="left" w:pos="567"/>
        </w:tabs>
        <w:spacing w:after="0" w:line="240" w:lineRule="auto"/>
        <w:ind w:left="567" w:hanging="567"/>
        <w:jc w:val="both"/>
        <w:rPr>
          <w:rFonts w:ascii="Arial Narrow" w:hAnsi="Arial Narrow"/>
          <w:b/>
          <w:color w:val="17365D" w:themeColor="text2" w:themeShade="BF"/>
          <w:sz w:val="24"/>
          <w:szCs w:val="24"/>
        </w:rPr>
      </w:pPr>
      <w:r w:rsidRPr="004C1E2A">
        <w:rPr>
          <w:rFonts w:ascii="Arial Narrow" w:hAnsi="Arial Narrow"/>
          <w:b/>
          <w:color w:val="17365D" w:themeColor="text2" w:themeShade="BF"/>
          <w:sz w:val="24"/>
          <w:szCs w:val="24"/>
        </w:rPr>
        <w:t>4</w:t>
      </w:r>
      <w:r w:rsidR="003069E4" w:rsidRPr="004C1E2A">
        <w:rPr>
          <w:rFonts w:ascii="Arial Narrow" w:hAnsi="Arial Narrow"/>
          <w:b/>
          <w:color w:val="17365D" w:themeColor="text2" w:themeShade="BF"/>
          <w:sz w:val="24"/>
          <w:szCs w:val="24"/>
        </w:rPr>
        <w:tab/>
        <w:t xml:space="preserve">Proposed Incentive Mechanism for the </w:t>
      </w:r>
      <w:r w:rsidR="000624F3" w:rsidRPr="004C1E2A">
        <w:rPr>
          <w:rFonts w:ascii="Arial Narrow" w:hAnsi="Arial Narrow"/>
          <w:b/>
          <w:color w:val="17365D" w:themeColor="text2" w:themeShade="BF"/>
          <w:sz w:val="24"/>
          <w:szCs w:val="24"/>
        </w:rPr>
        <w:t>2013 to 2017</w:t>
      </w:r>
      <w:r w:rsidR="003069E4" w:rsidRPr="004C1E2A">
        <w:rPr>
          <w:rFonts w:ascii="Arial Narrow" w:hAnsi="Arial Narrow"/>
          <w:b/>
          <w:color w:val="17365D" w:themeColor="text2" w:themeShade="BF"/>
          <w:sz w:val="24"/>
          <w:szCs w:val="24"/>
        </w:rPr>
        <w:t xml:space="preserve"> Access Arrangement Period</w:t>
      </w:r>
    </w:p>
    <w:p w:rsidR="00F26832" w:rsidRPr="00636FCF" w:rsidRDefault="00F26832" w:rsidP="00636FCF">
      <w:pPr>
        <w:spacing w:after="0" w:line="240" w:lineRule="auto"/>
        <w:jc w:val="both"/>
        <w:rPr>
          <w:rFonts w:ascii="Arial Narrow" w:hAnsi="Arial Narrow"/>
        </w:rPr>
      </w:pPr>
    </w:p>
    <w:p w:rsidR="00EF736A" w:rsidRPr="004C1E2A" w:rsidRDefault="00AF297A"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 AER has rejected Envestra’s proposal to not </w:t>
      </w:r>
      <w:r w:rsidR="006201BD" w:rsidRPr="004C1E2A">
        <w:rPr>
          <w:rFonts w:ascii="Arial Narrow" w:hAnsi="Arial Narrow"/>
          <w:sz w:val="24"/>
          <w:szCs w:val="24"/>
        </w:rPr>
        <w:t>include</w:t>
      </w:r>
      <w:r w:rsidRPr="004C1E2A">
        <w:rPr>
          <w:rFonts w:ascii="Arial Narrow" w:hAnsi="Arial Narrow"/>
          <w:sz w:val="24"/>
          <w:szCs w:val="24"/>
        </w:rPr>
        <w:t xml:space="preserve"> an </w:t>
      </w:r>
      <w:r w:rsidR="00AB503A" w:rsidRPr="004C1E2A">
        <w:rPr>
          <w:rFonts w:ascii="Arial Narrow" w:hAnsi="Arial Narrow"/>
          <w:sz w:val="24"/>
          <w:szCs w:val="24"/>
        </w:rPr>
        <w:t xml:space="preserve">additional </w:t>
      </w:r>
      <w:r w:rsidRPr="004C1E2A">
        <w:rPr>
          <w:rFonts w:ascii="Arial Narrow" w:hAnsi="Arial Narrow"/>
          <w:sz w:val="24"/>
          <w:szCs w:val="24"/>
        </w:rPr>
        <w:t>incentive mechanism on operating and capital expenditure</w:t>
      </w:r>
      <w:r w:rsidR="00747C80" w:rsidRPr="004C1E2A">
        <w:rPr>
          <w:rFonts w:ascii="Arial Narrow" w:hAnsi="Arial Narrow"/>
          <w:sz w:val="24"/>
          <w:szCs w:val="24"/>
        </w:rPr>
        <w:t xml:space="preserve"> for the 2013 to 2017 Access Arrangement </w:t>
      </w:r>
      <w:r w:rsidR="00AB503A" w:rsidRPr="004C1E2A">
        <w:rPr>
          <w:rFonts w:ascii="Arial Narrow" w:hAnsi="Arial Narrow"/>
          <w:sz w:val="24"/>
          <w:szCs w:val="24"/>
        </w:rPr>
        <w:t>p</w:t>
      </w:r>
      <w:r w:rsidR="00747C80" w:rsidRPr="004C1E2A">
        <w:rPr>
          <w:rFonts w:ascii="Arial Narrow" w:hAnsi="Arial Narrow"/>
          <w:sz w:val="24"/>
          <w:szCs w:val="24"/>
        </w:rPr>
        <w:t>eriod</w:t>
      </w:r>
      <w:r w:rsidR="00297941" w:rsidRPr="004C1E2A">
        <w:rPr>
          <w:rFonts w:ascii="Arial Narrow" w:hAnsi="Arial Narrow"/>
          <w:sz w:val="24"/>
          <w:szCs w:val="24"/>
        </w:rPr>
        <w:t>. The AER has</w:t>
      </w:r>
      <w:r w:rsidRPr="004C1E2A">
        <w:rPr>
          <w:rFonts w:ascii="Arial Narrow" w:hAnsi="Arial Narrow"/>
          <w:sz w:val="24"/>
          <w:szCs w:val="24"/>
        </w:rPr>
        <w:t xml:space="preserve"> </w:t>
      </w:r>
      <w:r w:rsidR="00747C80" w:rsidRPr="004C1E2A">
        <w:rPr>
          <w:rFonts w:ascii="Arial Narrow" w:hAnsi="Arial Narrow"/>
          <w:sz w:val="24"/>
          <w:szCs w:val="24"/>
        </w:rPr>
        <w:t xml:space="preserve">instead </w:t>
      </w:r>
      <w:r w:rsidRPr="004C1E2A">
        <w:rPr>
          <w:rFonts w:ascii="Arial Narrow" w:hAnsi="Arial Narrow"/>
          <w:sz w:val="24"/>
          <w:szCs w:val="24"/>
        </w:rPr>
        <w:t>elect</w:t>
      </w:r>
      <w:r w:rsidR="00297941" w:rsidRPr="004C1E2A">
        <w:rPr>
          <w:rFonts w:ascii="Arial Narrow" w:hAnsi="Arial Narrow"/>
          <w:sz w:val="24"/>
          <w:szCs w:val="24"/>
        </w:rPr>
        <w:t xml:space="preserve">ed </w:t>
      </w:r>
      <w:r w:rsidRPr="004C1E2A">
        <w:rPr>
          <w:rFonts w:ascii="Arial Narrow" w:hAnsi="Arial Narrow"/>
          <w:sz w:val="24"/>
          <w:szCs w:val="24"/>
        </w:rPr>
        <w:t xml:space="preserve">to impose </w:t>
      </w:r>
      <w:r w:rsidR="00AB503A" w:rsidRPr="004C1E2A">
        <w:rPr>
          <w:rFonts w:ascii="Arial Narrow" w:hAnsi="Arial Narrow"/>
          <w:sz w:val="24"/>
          <w:szCs w:val="24"/>
        </w:rPr>
        <w:t>its own</w:t>
      </w:r>
      <w:r w:rsidRPr="004C1E2A">
        <w:rPr>
          <w:rFonts w:ascii="Arial Narrow" w:hAnsi="Arial Narrow"/>
          <w:sz w:val="24"/>
          <w:szCs w:val="24"/>
        </w:rPr>
        <w:t xml:space="preserve"> incentive mechanism to apply to operating expenditure</w:t>
      </w:r>
      <w:r w:rsidR="00747C80" w:rsidRPr="004C1E2A">
        <w:rPr>
          <w:rFonts w:ascii="Arial Narrow" w:hAnsi="Arial Narrow"/>
          <w:sz w:val="24"/>
          <w:szCs w:val="24"/>
        </w:rPr>
        <w:t xml:space="preserve"> only</w:t>
      </w:r>
      <w:r w:rsidRPr="004C1E2A">
        <w:rPr>
          <w:rFonts w:ascii="Arial Narrow" w:hAnsi="Arial Narrow"/>
          <w:sz w:val="24"/>
          <w:szCs w:val="24"/>
        </w:rPr>
        <w:t>. Envestra confirms</w:t>
      </w:r>
      <w:r w:rsidR="00747C80" w:rsidRPr="004C1E2A">
        <w:rPr>
          <w:rFonts w:ascii="Arial Narrow" w:hAnsi="Arial Narrow"/>
          <w:sz w:val="24"/>
          <w:szCs w:val="24"/>
        </w:rPr>
        <w:t xml:space="preserve"> its position </w:t>
      </w:r>
      <w:r w:rsidR="00EF736A" w:rsidRPr="004C1E2A">
        <w:rPr>
          <w:rFonts w:ascii="Arial Narrow" w:hAnsi="Arial Narrow"/>
          <w:sz w:val="24"/>
          <w:szCs w:val="24"/>
        </w:rPr>
        <w:t>that a separate</w:t>
      </w:r>
      <w:r w:rsidR="00AB503A" w:rsidRPr="004C1E2A">
        <w:rPr>
          <w:rFonts w:ascii="Arial Narrow" w:hAnsi="Arial Narrow"/>
          <w:sz w:val="24"/>
          <w:szCs w:val="24"/>
        </w:rPr>
        <w:t>/additional</w:t>
      </w:r>
      <w:r w:rsidRPr="004C1E2A">
        <w:rPr>
          <w:rFonts w:ascii="Arial Narrow" w:hAnsi="Arial Narrow"/>
          <w:sz w:val="24"/>
          <w:szCs w:val="24"/>
        </w:rPr>
        <w:t xml:space="preserve"> incentive mechanism is not required</w:t>
      </w:r>
      <w:r w:rsidR="00EF736A" w:rsidRPr="004C1E2A">
        <w:rPr>
          <w:rFonts w:ascii="Arial Narrow" w:hAnsi="Arial Narrow"/>
          <w:sz w:val="24"/>
          <w:szCs w:val="24"/>
        </w:rPr>
        <w:t xml:space="preserve"> </w:t>
      </w:r>
      <w:r w:rsidR="006201BD" w:rsidRPr="004C1E2A">
        <w:rPr>
          <w:rFonts w:ascii="Arial Narrow" w:hAnsi="Arial Narrow"/>
          <w:sz w:val="24"/>
          <w:szCs w:val="24"/>
        </w:rPr>
        <w:t>given the</w:t>
      </w:r>
      <w:r w:rsidR="00EF736A" w:rsidRPr="004C1E2A">
        <w:rPr>
          <w:rFonts w:ascii="Arial Narrow" w:hAnsi="Arial Narrow"/>
          <w:sz w:val="24"/>
          <w:szCs w:val="24"/>
        </w:rPr>
        <w:t xml:space="preserve"> existing efficiency incentives </w:t>
      </w:r>
      <w:r w:rsidR="003A4493" w:rsidRPr="004C1E2A">
        <w:rPr>
          <w:rFonts w:ascii="Arial Narrow" w:hAnsi="Arial Narrow"/>
          <w:sz w:val="24"/>
          <w:szCs w:val="24"/>
        </w:rPr>
        <w:t>included in</w:t>
      </w:r>
      <w:r w:rsidR="00EF736A" w:rsidRPr="004C1E2A">
        <w:rPr>
          <w:rFonts w:ascii="Arial Narrow" w:hAnsi="Arial Narrow"/>
          <w:sz w:val="24"/>
          <w:szCs w:val="24"/>
        </w:rPr>
        <w:t xml:space="preserve"> </w:t>
      </w:r>
      <w:r w:rsidR="000F75DB" w:rsidRPr="004C1E2A">
        <w:rPr>
          <w:rFonts w:ascii="Arial Narrow" w:hAnsi="Arial Narrow"/>
          <w:sz w:val="24"/>
          <w:szCs w:val="24"/>
        </w:rPr>
        <w:t>the 2007 O</w:t>
      </w:r>
      <w:r w:rsidR="00EF736A" w:rsidRPr="004C1E2A">
        <w:rPr>
          <w:rFonts w:ascii="Arial Narrow" w:hAnsi="Arial Narrow"/>
          <w:sz w:val="24"/>
          <w:szCs w:val="24"/>
        </w:rPr>
        <w:t xml:space="preserve">perating </w:t>
      </w:r>
      <w:r w:rsidR="000F75DB" w:rsidRPr="004C1E2A">
        <w:rPr>
          <w:rFonts w:ascii="Arial Narrow" w:hAnsi="Arial Narrow"/>
          <w:sz w:val="24"/>
          <w:szCs w:val="24"/>
        </w:rPr>
        <w:t>and Management A</w:t>
      </w:r>
      <w:r w:rsidR="00EF736A" w:rsidRPr="004C1E2A">
        <w:rPr>
          <w:rFonts w:ascii="Arial Narrow" w:hAnsi="Arial Narrow"/>
          <w:sz w:val="24"/>
          <w:szCs w:val="24"/>
        </w:rPr>
        <w:t xml:space="preserve">greement </w:t>
      </w:r>
      <w:r w:rsidR="00DB1AD6" w:rsidRPr="004C1E2A">
        <w:rPr>
          <w:rFonts w:ascii="Arial Narrow" w:hAnsi="Arial Narrow"/>
          <w:sz w:val="24"/>
          <w:szCs w:val="24"/>
        </w:rPr>
        <w:t xml:space="preserve">(OMA) </w:t>
      </w:r>
      <w:r w:rsidR="00EF736A" w:rsidRPr="004C1E2A">
        <w:rPr>
          <w:rFonts w:ascii="Arial Narrow" w:hAnsi="Arial Narrow"/>
          <w:sz w:val="24"/>
          <w:szCs w:val="24"/>
        </w:rPr>
        <w:t>with APA</w:t>
      </w:r>
      <w:r w:rsidR="00DB1AD6" w:rsidRPr="004C1E2A">
        <w:rPr>
          <w:rFonts w:ascii="Arial Narrow" w:hAnsi="Arial Narrow"/>
          <w:sz w:val="24"/>
          <w:szCs w:val="24"/>
        </w:rPr>
        <w:t>, which provides</w:t>
      </w:r>
      <w:r w:rsidR="00EF736A" w:rsidRPr="004C1E2A">
        <w:rPr>
          <w:rFonts w:ascii="Arial Narrow" w:hAnsi="Arial Narrow"/>
          <w:sz w:val="24"/>
          <w:szCs w:val="24"/>
        </w:rPr>
        <w:t xml:space="preserve"> </w:t>
      </w:r>
      <w:r w:rsidR="000F75DB" w:rsidRPr="004C1E2A">
        <w:rPr>
          <w:rFonts w:ascii="Arial Narrow" w:hAnsi="Arial Narrow"/>
          <w:sz w:val="24"/>
          <w:szCs w:val="24"/>
        </w:rPr>
        <w:t xml:space="preserve">the main drivers of </w:t>
      </w:r>
      <w:r w:rsidR="00747C80" w:rsidRPr="004C1E2A">
        <w:rPr>
          <w:rFonts w:ascii="Arial Narrow" w:hAnsi="Arial Narrow"/>
          <w:sz w:val="24"/>
          <w:szCs w:val="24"/>
        </w:rPr>
        <w:t>continuous improvement</w:t>
      </w:r>
      <w:r w:rsidR="000F75DB" w:rsidRPr="004C1E2A">
        <w:rPr>
          <w:rFonts w:ascii="Arial Narrow" w:hAnsi="Arial Narrow"/>
          <w:sz w:val="24"/>
          <w:szCs w:val="24"/>
        </w:rPr>
        <w:t xml:space="preserve"> in the company</w:t>
      </w:r>
      <w:r w:rsidR="00EF736A" w:rsidRPr="004C1E2A">
        <w:rPr>
          <w:rFonts w:ascii="Arial Narrow" w:hAnsi="Arial Narrow"/>
          <w:sz w:val="24"/>
          <w:szCs w:val="24"/>
        </w:rPr>
        <w:t xml:space="preserve">.  </w:t>
      </w:r>
      <w:r w:rsidRPr="004C1E2A">
        <w:rPr>
          <w:rFonts w:ascii="Arial Narrow" w:hAnsi="Arial Narrow"/>
          <w:sz w:val="24"/>
          <w:szCs w:val="24"/>
        </w:rPr>
        <w:t xml:space="preserve"> </w:t>
      </w:r>
    </w:p>
    <w:p w:rsidR="00002140" w:rsidRPr="00636FCF" w:rsidRDefault="00002140" w:rsidP="004C1E2A">
      <w:pPr>
        <w:spacing w:after="0" w:line="240" w:lineRule="auto"/>
        <w:jc w:val="both"/>
        <w:rPr>
          <w:rFonts w:ascii="Arial Narrow" w:hAnsi="Arial Narrow"/>
        </w:rPr>
      </w:pPr>
    </w:p>
    <w:p w:rsidR="00AB503A" w:rsidRPr="004C1E2A" w:rsidRDefault="003A4493" w:rsidP="004C1E2A">
      <w:pPr>
        <w:spacing w:after="0" w:line="240" w:lineRule="auto"/>
        <w:jc w:val="both"/>
        <w:rPr>
          <w:rFonts w:ascii="Arial Narrow" w:hAnsi="Arial Narrow"/>
          <w:sz w:val="24"/>
          <w:szCs w:val="24"/>
        </w:rPr>
      </w:pPr>
      <w:r w:rsidRPr="004C1E2A">
        <w:rPr>
          <w:rFonts w:ascii="Arial Narrow" w:hAnsi="Arial Narrow"/>
          <w:sz w:val="24"/>
          <w:szCs w:val="24"/>
        </w:rPr>
        <w:t>Envestra is</w:t>
      </w:r>
      <w:r w:rsidR="00E16BCB" w:rsidRPr="004C1E2A">
        <w:rPr>
          <w:rFonts w:ascii="Arial Narrow" w:hAnsi="Arial Narrow"/>
          <w:sz w:val="24"/>
          <w:szCs w:val="24"/>
        </w:rPr>
        <w:t xml:space="preserve"> of the view </w:t>
      </w:r>
      <w:r w:rsidR="002B68F8" w:rsidRPr="004C1E2A">
        <w:rPr>
          <w:rFonts w:ascii="Arial Narrow" w:hAnsi="Arial Narrow"/>
          <w:sz w:val="24"/>
          <w:szCs w:val="24"/>
        </w:rPr>
        <w:t xml:space="preserve">however </w:t>
      </w:r>
      <w:r w:rsidR="001D3CF9" w:rsidRPr="004C1E2A">
        <w:rPr>
          <w:rFonts w:ascii="Arial Narrow" w:hAnsi="Arial Narrow"/>
          <w:sz w:val="24"/>
          <w:szCs w:val="24"/>
        </w:rPr>
        <w:t>that if an incentive mechanism is</w:t>
      </w:r>
      <w:r w:rsidRPr="004C1E2A">
        <w:rPr>
          <w:rFonts w:ascii="Arial Narrow" w:hAnsi="Arial Narrow"/>
          <w:sz w:val="24"/>
          <w:szCs w:val="24"/>
        </w:rPr>
        <w:t xml:space="preserve"> to be</w:t>
      </w:r>
      <w:r w:rsidR="001D3CF9" w:rsidRPr="004C1E2A">
        <w:rPr>
          <w:rFonts w:ascii="Arial Narrow" w:hAnsi="Arial Narrow"/>
          <w:sz w:val="24"/>
          <w:szCs w:val="24"/>
        </w:rPr>
        <w:t xml:space="preserve"> imposed it should </w:t>
      </w:r>
      <w:r w:rsidR="00E16BCB" w:rsidRPr="004C1E2A">
        <w:rPr>
          <w:rFonts w:ascii="Arial Narrow" w:hAnsi="Arial Narrow"/>
          <w:sz w:val="24"/>
          <w:szCs w:val="24"/>
        </w:rPr>
        <w:t xml:space="preserve">incorporate </w:t>
      </w:r>
      <w:r w:rsidR="000F75DB" w:rsidRPr="004C1E2A">
        <w:rPr>
          <w:rFonts w:ascii="Arial Narrow" w:hAnsi="Arial Narrow"/>
          <w:sz w:val="24"/>
          <w:szCs w:val="24"/>
        </w:rPr>
        <w:t xml:space="preserve">both </w:t>
      </w:r>
      <w:r w:rsidR="00E16BCB" w:rsidRPr="004C1E2A">
        <w:rPr>
          <w:rFonts w:ascii="Arial Narrow" w:hAnsi="Arial Narrow"/>
          <w:sz w:val="24"/>
          <w:szCs w:val="24"/>
        </w:rPr>
        <w:t>operating and capital expenditure incentives</w:t>
      </w:r>
      <w:r w:rsidR="001D3CF9" w:rsidRPr="004C1E2A">
        <w:rPr>
          <w:rFonts w:ascii="Arial Narrow" w:hAnsi="Arial Narrow"/>
          <w:sz w:val="24"/>
          <w:szCs w:val="24"/>
        </w:rPr>
        <w:t xml:space="preserve">, not operating incentives </w:t>
      </w:r>
      <w:r w:rsidR="00DB1AD6" w:rsidRPr="004C1E2A">
        <w:rPr>
          <w:rFonts w:ascii="Arial Narrow" w:hAnsi="Arial Narrow"/>
          <w:sz w:val="24"/>
          <w:szCs w:val="24"/>
        </w:rPr>
        <w:t>only</w:t>
      </w:r>
      <w:r w:rsidR="001D3CF9" w:rsidRPr="004C1E2A">
        <w:rPr>
          <w:rFonts w:ascii="Arial Narrow" w:hAnsi="Arial Narrow"/>
          <w:sz w:val="24"/>
          <w:szCs w:val="24"/>
        </w:rPr>
        <w:t xml:space="preserve">. </w:t>
      </w:r>
      <w:r w:rsidR="00AB503A" w:rsidRPr="004C1E2A">
        <w:rPr>
          <w:rFonts w:ascii="Arial Narrow" w:hAnsi="Arial Narrow"/>
          <w:sz w:val="24"/>
          <w:szCs w:val="24"/>
        </w:rPr>
        <w:t>This is consistent with the 2007 O</w:t>
      </w:r>
      <w:r w:rsidR="00DB1AD6" w:rsidRPr="004C1E2A">
        <w:rPr>
          <w:rFonts w:ascii="Arial Narrow" w:hAnsi="Arial Narrow"/>
          <w:sz w:val="24"/>
          <w:szCs w:val="24"/>
        </w:rPr>
        <w:t>MA</w:t>
      </w:r>
      <w:r w:rsidR="00AB503A" w:rsidRPr="004C1E2A">
        <w:rPr>
          <w:rFonts w:ascii="Arial Narrow" w:hAnsi="Arial Narrow"/>
          <w:sz w:val="24"/>
          <w:szCs w:val="24"/>
        </w:rPr>
        <w:t xml:space="preserve">, which includes incentives on both operating and capital incentives. </w:t>
      </w:r>
      <w:r w:rsidR="00B323C6" w:rsidRPr="004C1E2A">
        <w:rPr>
          <w:rFonts w:ascii="Arial Narrow" w:hAnsi="Arial Narrow"/>
          <w:sz w:val="24"/>
          <w:szCs w:val="24"/>
        </w:rPr>
        <w:t xml:space="preserve">Importantly this view is also shared by </w:t>
      </w:r>
      <w:r w:rsidR="00AB503A" w:rsidRPr="004C1E2A">
        <w:rPr>
          <w:rFonts w:ascii="Arial Narrow" w:hAnsi="Arial Narrow"/>
          <w:sz w:val="24"/>
          <w:szCs w:val="24"/>
        </w:rPr>
        <w:t>the Productivity Commission</w:t>
      </w:r>
      <w:r w:rsidR="00B323C6" w:rsidRPr="004C1E2A">
        <w:rPr>
          <w:rFonts w:ascii="Arial Narrow" w:hAnsi="Arial Narrow"/>
          <w:sz w:val="24"/>
          <w:szCs w:val="24"/>
        </w:rPr>
        <w:t xml:space="preserve">, which </w:t>
      </w:r>
      <w:r w:rsidR="00AB503A" w:rsidRPr="004C1E2A">
        <w:rPr>
          <w:rFonts w:ascii="Arial Narrow" w:hAnsi="Arial Narrow"/>
          <w:sz w:val="24"/>
          <w:szCs w:val="24"/>
        </w:rPr>
        <w:t>in its recent review on</w:t>
      </w:r>
      <w:r w:rsidR="00B323C6" w:rsidRPr="004C1E2A">
        <w:rPr>
          <w:rFonts w:ascii="Arial Narrow" w:hAnsi="Arial Narrow"/>
          <w:sz w:val="24"/>
          <w:szCs w:val="24"/>
        </w:rPr>
        <w:t xml:space="preserve"> </w:t>
      </w:r>
      <w:r w:rsidR="00DB1AD6" w:rsidRPr="004C1E2A">
        <w:rPr>
          <w:rFonts w:ascii="Arial Narrow" w:hAnsi="Arial Narrow"/>
          <w:sz w:val="24"/>
          <w:szCs w:val="24"/>
        </w:rPr>
        <w:t>e</w:t>
      </w:r>
      <w:r w:rsidR="00B323C6" w:rsidRPr="004C1E2A">
        <w:rPr>
          <w:rFonts w:ascii="Arial Narrow" w:hAnsi="Arial Narrow"/>
          <w:sz w:val="24"/>
          <w:szCs w:val="24"/>
        </w:rPr>
        <w:t xml:space="preserve">lectricity </w:t>
      </w:r>
      <w:r w:rsidR="00DB1AD6" w:rsidRPr="004C1E2A">
        <w:rPr>
          <w:rFonts w:ascii="Arial Narrow" w:hAnsi="Arial Narrow"/>
          <w:sz w:val="24"/>
          <w:szCs w:val="24"/>
        </w:rPr>
        <w:t>n</w:t>
      </w:r>
      <w:r w:rsidR="00B323C6" w:rsidRPr="004C1E2A">
        <w:rPr>
          <w:rFonts w:ascii="Arial Narrow" w:hAnsi="Arial Narrow"/>
          <w:sz w:val="24"/>
          <w:szCs w:val="24"/>
        </w:rPr>
        <w:t xml:space="preserve">etwork </w:t>
      </w:r>
      <w:r w:rsidR="00DB1AD6" w:rsidRPr="004C1E2A">
        <w:rPr>
          <w:rFonts w:ascii="Arial Narrow" w:hAnsi="Arial Narrow"/>
          <w:sz w:val="24"/>
          <w:szCs w:val="24"/>
        </w:rPr>
        <w:t>r</w:t>
      </w:r>
      <w:r w:rsidR="00B323C6" w:rsidRPr="004C1E2A">
        <w:rPr>
          <w:rFonts w:ascii="Arial Narrow" w:hAnsi="Arial Narrow"/>
          <w:sz w:val="24"/>
          <w:szCs w:val="24"/>
        </w:rPr>
        <w:t xml:space="preserve">egulatory </w:t>
      </w:r>
      <w:r w:rsidR="00DB1AD6" w:rsidRPr="004C1E2A">
        <w:rPr>
          <w:rFonts w:ascii="Arial Narrow" w:hAnsi="Arial Narrow"/>
          <w:sz w:val="24"/>
          <w:szCs w:val="24"/>
        </w:rPr>
        <w:t>f</w:t>
      </w:r>
      <w:r w:rsidR="00B323C6" w:rsidRPr="004C1E2A">
        <w:rPr>
          <w:rFonts w:ascii="Arial Narrow" w:hAnsi="Arial Narrow"/>
          <w:sz w:val="24"/>
          <w:szCs w:val="24"/>
        </w:rPr>
        <w:t xml:space="preserve">rameworks </w:t>
      </w:r>
      <w:r w:rsidR="00AB503A" w:rsidRPr="004C1E2A">
        <w:rPr>
          <w:rFonts w:ascii="Arial Narrow" w:hAnsi="Arial Narrow"/>
          <w:sz w:val="24"/>
          <w:szCs w:val="24"/>
        </w:rPr>
        <w:t xml:space="preserve">has </w:t>
      </w:r>
      <w:r w:rsidR="00B323C6" w:rsidRPr="004C1E2A">
        <w:rPr>
          <w:rFonts w:ascii="Arial Narrow" w:hAnsi="Arial Narrow"/>
          <w:sz w:val="24"/>
          <w:szCs w:val="24"/>
        </w:rPr>
        <w:t>advised in Draft Recommendation 5.1 that</w:t>
      </w:r>
      <w:r w:rsidR="00AB503A" w:rsidRPr="004C1E2A">
        <w:rPr>
          <w:rFonts w:ascii="Arial Narrow" w:hAnsi="Arial Narrow"/>
          <w:sz w:val="24"/>
          <w:szCs w:val="24"/>
        </w:rPr>
        <w:t>:</w:t>
      </w:r>
    </w:p>
    <w:p w:rsidR="00B323C6" w:rsidRPr="00636FCF" w:rsidRDefault="00B323C6" w:rsidP="004C1E2A">
      <w:pPr>
        <w:spacing w:after="0" w:line="240" w:lineRule="auto"/>
        <w:jc w:val="both"/>
        <w:rPr>
          <w:rFonts w:ascii="Arial Narrow" w:hAnsi="Arial Narrow"/>
        </w:rPr>
      </w:pPr>
    </w:p>
    <w:p w:rsidR="00B323C6" w:rsidRPr="004C1E2A" w:rsidRDefault="00B323C6"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The Australian Energy Regulator should develop an efficiency benefit sharing scheme to apply to capital expenditure that provides consistent incentives to reduce capital expenditure, both over time and when compared with operating expenditure.</w:t>
      </w:r>
      <w:r w:rsidRPr="004C1E2A">
        <w:rPr>
          <w:rStyle w:val="FootnoteReference"/>
          <w:rFonts w:ascii="Arial Narrow" w:hAnsi="Arial Narrow"/>
          <w:i/>
          <w:sz w:val="24"/>
          <w:szCs w:val="24"/>
        </w:rPr>
        <w:footnoteReference w:id="2"/>
      </w:r>
    </w:p>
    <w:p w:rsidR="00AB503A" w:rsidRPr="00636FCF" w:rsidRDefault="00AB503A" w:rsidP="004C1E2A">
      <w:pPr>
        <w:spacing w:after="0" w:line="240" w:lineRule="auto"/>
        <w:jc w:val="both"/>
        <w:rPr>
          <w:rFonts w:ascii="Arial Narrow" w:hAnsi="Arial Narrow"/>
        </w:rPr>
      </w:pPr>
    </w:p>
    <w:p w:rsidR="00AB503A" w:rsidRPr="004C1E2A" w:rsidRDefault="00B323C6" w:rsidP="004C1E2A">
      <w:pPr>
        <w:spacing w:after="0" w:line="240" w:lineRule="auto"/>
        <w:jc w:val="both"/>
        <w:rPr>
          <w:rFonts w:ascii="Arial Narrow" w:hAnsi="Arial Narrow"/>
          <w:sz w:val="24"/>
          <w:szCs w:val="24"/>
        </w:rPr>
      </w:pPr>
      <w:r w:rsidRPr="004C1E2A">
        <w:rPr>
          <w:rFonts w:ascii="Arial Narrow" w:hAnsi="Arial Narrow"/>
          <w:sz w:val="24"/>
          <w:szCs w:val="24"/>
        </w:rPr>
        <w:t>While acknowledging the AER’s reservations with regards to capital incentive schemes, the Productivity Commission stated:</w:t>
      </w:r>
    </w:p>
    <w:p w:rsidR="00B323C6" w:rsidRPr="00636FCF" w:rsidRDefault="00B323C6" w:rsidP="004C1E2A">
      <w:pPr>
        <w:spacing w:after="0" w:line="240" w:lineRule="auto"/>
        <w:jc w:val="both"/>
        <w:rPr>
          <w:rFonts w:ascii="Arial Narrow" w:hAnsi="Arial Narrow"/>
        </w:rPr>
      </w:pPr>
    </w:p>
    <w:p w:rsidR="00B323C6" w:rsidRPr="004C1E2A" w:rsidRDefault="00B323C6" w:rsidP="004C1E2A">
      <w:pPr>
        <w:tabs>
          <w:tab w:val="left" w:pos="0"/>
        </w:tabs>
        <w:spacing w:after="0" w:line="240" w:lineRule="auto"/>
        <w:ind w:left="567" w:right="565"/>
        <w:jc w:val="both"/>
        <w:rPr>
          <w:rFonts w:ascii="Arial Narrow" w:hAnsi="Arial Narrow"/>
          <w:i/>
          <w:sz w:val="24"/>
          <w:szCs w:val="24"/>
        </w:rPr>
      </w:pPr>
      <w:r w:rsidRPr="004C1E2A">
        <w:rPr>
          <w:rFonts w:ascii="Arial Narrow" w:hAnsi="Arial Narrow"/>
          <w:i/>
          <w:sz w:val="24"/>
          <w:szCs w:val="24"/>
        </w:rPr>
        <w:t>Howeve</w:t>
      </w:r>
      <w:r w:rsidR="00DB1AD6" w:rsidRPr="004C1E2A">
        <w:rPr>
          <w:rFonts w:ascii="Arial Narrow" w:hAnsi="Arial Narrow"/>
          <w:i/>
          <w:sz w:val="24"/>
          <w:szCs w:val="24"/>
        </w:rPr>
        <w:t>r, there is experience of capex</w:t>
      </w:r>
      <w:r w:rsidRPr="004C1E2A">
        <w:rPr>
          <w:rFonts w:ascii="Arial Narrow" w:hAnsi="Arial Narrow"/>
          <w:i/>
          <w:sz w:val="24"/>
          <w:szCs w:val="24"/>
        </w:rPr>
        <w:t xml:space="preserve"> sharing schemes that have worked, both in Australia and overseas, suggesting that any implementation problems are not insurmountable.</w:t>
      </w:r>
      <w:r w:rsidRPr="004C1E2A">
        <w:rPr>
          <w:rStyle w:val="FootnoteReference"/>
          <w:rFonts w:ascii="Arial Narrow" w:hAnsi="Arial Narrow"/>
          <w:i/>
          <w:sz w:val="24"/>
          <w:szCs w:val="24"/>
        </w:rPr>
        <w:footnoteReference w:id="3"/>
      </w:r>
    </w:p>
    <w:p w:rsidR="00AB503A" w:rsidRPr="00636FCF" w:rsidRDefault="00AB503A" w:rsidP="004C1E2A">
      <w:pPr>
        <w:spacing w:after="0" w:line="240" w:lineRule="auto"/>
        <w:jc w:val="both"/>
        <w:rPr>
          <w:rFonts w:ascii="Arial Narrow" w:hAnsi="Arial Narrow"/>
        </w:rPr>
      </w:pPr>
    </w:p>
    <w:p w:rsidR="00E23382" w:rsidRDefault="000F75DB"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 </w:t>
      </w:r>
      <w:r w:rsidR="00AB503A" w:rsidRPr="004C1E2A">
        <w:rPr>
          <w:rFonts w:ascii="Arial Narrow" w:hAnsi="Arial Narrow"/>
          <w:sz w:val="24"/>
          <w:szCs w:val="24"/>
        </w:rPr>
        <w:t xml:space="preserve">also </w:t>
      </w:r>
      <w:r w:rsidRPr="004C1E2A">
        <w:rPr>
          <w:rFonts w:ascii="Arial Narrow" w:hAnsi="Arial Narrow"/>
          <w:sz w:val="24"/>
          <w:szCs w:val="24"/>
        </w:rPr>
        <w:t xml:space="preserve">notes </w:t>
      </w:r>
      <w:r w:rsidR="006A7C38" w:rsidRPr="004C1E2A">
        <w:rPr>
          <w:rFonts w:ascii="Arial Narrow" w:hAnsi="Arial Narrow"/>
          <w:sz w:val="24"/>
          <w:szCs w:val="24"/>
        </w:rPr>
        <w:t xml:space="preserve">that </w:t>
      </w:r>
      <w:r w:rsidRPr="004C1E2A">
        <w:rPr>
          <w:rFonts w:ascii="Arial Narrow" w:hAnsi="Arial Narrow"/>
          <w:sz w:val="24"/>
          <w:szCs w:val="24"/>
        </w:rPr>
        <w:t>the AEMC in it</w:t>
      </w:r>
      <w:r w:rsidR="00A3449A" w:rsidRPr="004C1E2A">
        <w:rPr>
          <w:rFonts w:ascii="Arial Narrow" w:hAnsi="Arial Narrow"/>
          <w:sz w:val="24"/>
          <w:szCs w:val="24"/>
        </w:rPr>
        <w:t>s</w:t>
      </w:r>
      <w:r w:rsidRPr="004C1E2A">
        <w:rPr>
          <w:rFonts w:ascii="Arial Narrow" w:hAnsi="Arial Narrow"/>
          <w:sz w:val="24"/>
          <w:szCs w:val="24"/>
        </w:rPr>
        <w:t xml:space="preserve"> Draft Decision on proposed changes to the National Electricity Rules </w:t>
      </w:r>
      <w:r w:rsidR="006A7C38" w:rsidRPr="004C1E2A">
        <w:rPr>
          <w:rFonts w:ascii="Arial Narrow" w:hAnsi="Arial Narrow"/>
          <w:sz w:val="24"/>
          <w:szCs w:val="24"/>
        </w:rPr>
        <w:t>broadens the scope for the introduction of</w:t>
      </w:r>
      <w:r w:rsidRPr="004C1E2A">
        <w:rPr>
          <w:rFonts w:ascii="Arial Narrow" w:hAnsi="Arial Narrow"/>
          <w:sz w:val="24"/>
          <w:szCs w:val="24"/>
        </w:rPr>
        <w:t xml:space="preserve"> </w:t>
      </w:r>
      <w:r w:rsidR="002B68F8" w:rsidRPr="004C1E2A">
        <w:rPr>
          <w:rFonts w:ascii="Arial Narrow" w:hAnsi="Arial Narrow"/>
          <w:sz w:val="24"/>
          <w:szCs w:val="24"/>
        </w:rPr>
        <w:t>capital expenditure efficiency schemes</w:t>
      </w:r>
      <w:r w:rsidR="002E5788" w:rsidRPr="004C1E2A">
        <w:rPr>
          <w:rFonts w:ascii="Arial Narrow" w:hAnsi="Arial Narrow"/>
          <w:sz w:val="24"/>
          <w:szCs w:val="24"/>
        </w:rPr>
        <w:t xml:space="preserve"> so the </w:t>
      </w:r>
      <w:r w:rsidR="002E5788" w:rsidRPr="004C1E2A">
        <w:rPr>
          <w:rFonts w:ascii="Arial Narrow" w:hAnsi="Arial Narrow"/>
          <w:i/>
          <w:sz w:val="24"/>
          <w:szCs w:val="24"/>
        </w:rPr>
        <w:t>“…AER can apply to provide adequate incentives for NSPs to spend capital expenditure efficiently”</w:t>
      </w:r>
      <w:r w:rsidR="002E5788" w:rsidRPr="004C1E2A">
        <w:rPr>
          <w:rStyle w:val="FootnoteReference"/>
          <w:rFonts w:ascii="Arial Narrow" w:hAnsi="Arial Narrow"/>
          <w:sz w:val="24"/>
          <w:szCs w:val="24"/>
        </w:rPr>
        <w:footnoteReference w:id="4"/>
      </w:r>
      <w:r w:rsidR="00E23382">
        <w:rPr>
          <w:rFonts w:ascii="Arial Narrow" w:hAnsi="Arial Narrow"/>
          <w:sz w:val="24"/>
          <w:szCs w:val="24"/>
        </w:rPr>
        <w:t>.</w:t>
      </w:r>
    </w:p>
    <w:p w:rsidR="00022B0A" w:rsidRPr="004C1E2A" w:rsidRDefault="00022B0A" w:rsidP="004C1E2A">
      <w:pPr>
        <w:spacing w:after="0" w:line="240" w:lineRule="auto"/>
        <w:jc w:val="both"/>
        <w:rPr>
          <w:rFonts w:ascii="Arial Narrow" w:hAnsi="Arial Narrow"/>
          <w:sz w:val="24"/>
          <w:szCs w:val="24"/>
        </w:rPr>
      </w:pPr>
      <w:r w:rsidRPr="004C1E2A">
        <w:rPr>
          <w:rFonts w:ascii="Arial Narrow" w:hAnsi="Arial Narrow"/>
          <w:sz w:val="24"/>
          <w:szCs w:val="24"/>
        </w:rPr>
        <w:lastRenderedPageBreak/>
        <w:t>The</w:t>
      </w:r>
      <w:r w:rsidR="000F75DB" w:rsidRPr="004C1E2A">
        <w:rPr>
          <w:rFonts w:ascii="Arial Narrow" w:hAnsi="Arial Narrow"/>
          <w:sz w:val="24"/>
          <w:szCs w:val="24"/>
        </w:rPr>
        <w:t xml:space="preserve"> proposed</w:t>
      </w:r>
      <w:r w:rsidRPr="004C1E2A">
        <w:rPr>
          <w:rFonts w:ascii="Arial Narrow" w:hAnsi="Arial Narrow"/>
          <w:sz w:val="24"/>
          <w:szCs w:val="24"/>
        </w:rPr>
        <w:t xml:space="preserve"> rule changes, amongst other </w:t>
      </w:r>
      <w:r w:rsidR="000F75DB" w:rsidRPr="004C1E2A">
        <w:rPr>
          <w:rFonts w:ascii="Arial Narrow" w:hAnsi="Arial Narrow"/>
          <w:sz w:val="24"/>
          <w:szCs w:val="24"/>
        </w:rPr>
        <w:t>things</w:t>
      </w:r>
      <w:r w:rsidRPr="004C1E2A">
        <w:rPr>
          <w:rFonts w:ascii="Arial Narrow" w:hAnsi="Arial Narrow"/>
          <w:sz w:val="24"/>
          <w:szCs w:val="24"/>
        </w:rPr>
        <w:t>, require the AER to publish a Capital Expenditure Incentive Guideline</w:t>
      </w:r>
      <w:r w:rsidRPr="004C1E2A">
        <w:rPr>
          <w:rStyle w:val="FootnoteReference"/>
          <w:rFonts w:ascii="Arial Narrow" w:hAnsi="Arial Narrow"/>
          <w:sz w:val="24"/>
          <w:szCs w:val="24"/>
        </w:rPr>
        <w:footnoteReference w:id="5"/>
      </w:r>
      <w:r w:rsidRPr="004C1E2A">
        <w:rPr>
          <w:rFonts w:ascii="Arial Narrow" w:hAnsi="Arial Narrow"/>
          <w:sz w:val="24"/>
          <w:szCs w:val="24"/>
        </w:rPr>
        <w:t xml:space="preserve"> annually.</w:t>
      </w:r>
    </w:p>
    <w:p w:rsidR="00BD5BBF" w:rsidRPr="004C1E2A" w:rsidRDefault="00BD5BBF" w:rsidP="004C1E2A">
      <w:pPr>
        <w:spacing w:after="0" w:line="240" w:lineRule="auto"/>
        <w:jc w:val="both"/>
        <w:rPr>
          <w:rFonts w:ascii="Arial Narrow" w:hAnsi="Arial Narrow"/>
          <w:sz w:val="24"/>
          <w:szCs w:val="24"/>
        </w:rPr>
      </w:pPr>
    </w:p>
    <w:p w:rsidR="00BD5BBF" w:rsidRPr="004C1E2A" w:rsidRDefault="00BD5BBF" w:rsidP="004C1E2A">
      <w:pPr>
        <w:spacing w:after="0" w:line="240" w:lineRule="auto"/>
        <w:jc w:val="both"/>
        <w:rPr>
          <w:rFonts w:ascii="Arial Narrow" w:hAnsi="Arial Narrow"/>
          <w:sz w:val="24"/>
          <w:szCs w:val="24"/>
        </w:rPr>
      </w:pPr>
      <w:r w:rsidRPr="004C1E2A">
        <w:rPr>
          <w:rFonts w:ascii="Arial Narrow" w:hAnsi="Arial Narrow"/>
          <w:sz w:val="24"/>
          <w:szCs w:val="24"/>
        </w:rPr>
        <w:t xml:space="preserve">There </w:t>
      </w:r>
      <w:r w:rsidR="00D70D63" w:rsidRPr="004C1E2A">
        <w:rPr>
          <w:rFonts w:ascii="Arial Narrow" w:hAnsi="Arial Narrow"/>
          <w:sz w:val="24"/>
          <w:szCs w:val="24"/>
        </w:rPr>
        <w:t xml:space="preserve">is </w:t>
      </w:r>
      <w:r w:rsidR="000E2673" w:rsidRPr="004C1E2A">
        <w:rPr>
          <w:rFonts w:ascii="Arial Narrow" w:hAnsi="Arial Narrow"/>
          <w:sz w:val="24"/>
          <w:szCs w:val="24"/>
        </w:rPr>
        <w:t xml:space="preserve">therefore </w:t>
      </w:r>
      <w:r w:rsidRPr="004C1E2A">
        <w:rPr>
          <w:rFonts w:ascii="Arial Narrow" w:hAnsi="Arial Narrow"/>
          <w:sz w:val="24"/>
          <w:szCs w:val="24"/>
        </w:rPr>
        <w:t xml:space="preserve">considerable expert consensus that capital expenditure should be included in any incentive arrangements imposed on businesses. </w:t>
      </w:r>
    </w:p>
    <w:p w:rsidR="00022B0A" w:rsidRPr="004C1E2A" w:rsidRDefault="00022B0A" w:rsidP="004C1E2A">
      <w:pPr>
        <w:spacing w:after="0" w:line="240" w:lineRule="auto"/>
        <w:jc w:val="both"/>
        <w:rPr>
          <w:rFonts w:ascii="Arial Narrow" w:hAnsi="Arial Narrow"/>
          <w:sz w:val="24"/>
          <w:szCs w:val="24"/>
        </w:rPr>
      </w:pPr>
    </w:p>
    <w:p w:rsidR="00BD5BBF" w:rsidRPr="004C1E2A" w:rsidRDefault="000E2673" w:rsidP="004C1E2A">
      <w:pPr>
        <w:spacing w:after="0" w:line="240" w:lineRule="auto"/>
        <w:jc w:val="both"/>
        <w:rPr>
          <w:rFonts w:ascii="Arial Narrow" w:hAnsi="Arial Narrow"/>
          <w:sz w:val="24"/>
          <w:szCs w:val="24"/>
        </w:rPr>
      </w:pPr>
      <w:r w:rsidRPr="004C1E2A">
        <w:rPr>
          <w:rFonts w:ascii="Arial Narrow" w:hAnsi="Arial Narrow"/>
          <w:sz w:val="24"/>
          <w:szCs w:val="24"/>
        </w:rPr>
        <w:t>I</w:t>
      </w:r>
      <w:r w:rsidR="0063341B" w:rsidRPr="004C1E2A">
        <w:rPr>
          <w:rFonts w:ascii="Arial Narrow" w:hAnsi="Arial Narrow"/>
          <w:sz w:val="24"/>
          <w:szCs w:val="24"/>
        </w:rPr>
        <w:t>n section 7.4.2 of the Draft Decision</w:t>
      </w:r>
      <w:r w:rsidRPr="004C1E2A">
        <w:rPr>
          <w:rFonts w:ascii="Arial Narrow" w:hAnsi="Arial Narrow"/>
          <w:sz w:val="24"/>
          <w:szCs w:val="24"/>
        </w:rPr>
        <w:t>,</w:t>
      </w:r>
      <w:r w:rsidR="0063341B" w:rsidRPr="004C1E2A">
        <w:rPr>
          <w:rFonts w:ascii="Arial Narrow" w:hAnsi="Arial Narrow"/>
          <w:sz w:val="24"/>
          <w:szCs w:val="24"/>
        </w:rPr>
        <w:t xml:space="preserve"> the AER infers that a capital expenditure </w:t>
      </w:r>
      <w:r w:rsidR="000F75DB" w:rsidRPr="004C1E2A">
        <w:rPr>
          <w:rFonts w:ascii="Arial Narrow" w:hAnsi="Arial Narrow"/>
          <w:sz w:val="24"/>
          <w:szCs w:val="24"/>
        </w:rPr>
        <w:t xml:space="preserve">incentive </w:t>
      </w:r>
      <w:r w:rsidR="0063341B" w:rsidRPr="004C1E2A">
        <w:rPr>
          <w:rFonts w:ascii="Arial Narrow" w:hAnsi="Arial Narrow"/>
          <w:sz w:val="24"/>
          <w:szCs w:val="24"/>
        </w:rPr>
        <w:t xml:space="preserve">scheme would provide Envestra with a perverse incentive to defer capital expenditure at the expense of existing service levels as no service standard incentive scheme is in place. </w:t>
      </w:r>
      <w:r w:rsidR="0065232A" w:rsidRPr="004C1E2A">
        <w:rPr>
          <w:rFonts w:ascii="Arial Narrow" w:hAnsi="Arial Narrow"/>
          <w:sz w:val="24"/>
          <w:szCs w:val="24"/>
        </w:rPr>
        <w:t xml:space="preserve">Envestra does not consider that there is any evidence to support this assertion. </w:t>
      </w:r>
      <w:r w:rsidR="00BD5BBF" w:rsidRPr="004C1E2A">
        <w:rPr>
          <w:rFonts w:ascii="Arial Narrow" w:hAnsi="Arial Narrow"/>
          <w:sz w:val="24"/>
          <w:szCs w:val="24"/>
        </w:rPr>
        <w:t xml:space="preserve">Envestra has maintained high levels of service over the past 10 years despite a capital incentive existing in the efficiency carry over mechanism. </w:t>
      </w:r>
    </w:p>
    <w:p w:rsidR="00BD5BBF" w:rsidRPr="004C1E2A" w:rsidRDefault="00BD5BBF" w:rsidP="004C1E2A">
      <w:pPr>
        <w:spacing w:after="0" w:line="240" w:lineRule="auto"/>
        <w:jc w:val="both"/>
        <w:rPr>
          <w:rFonts w:ascii="Arial Narrow" w:hAnsi="Arial Narrow"/>
          <w:sz w:val="24"/>
          <w:szCs w:val="24"/>
        </w:rPr>
      </w:pPr>
    </w:p>
    <w:p w:rsidR="002B68F8" w:rsidRPr="004C1E2A" w:rsidRDefault="000F75DB" w:rsidP="004C1E2A">
      <w:pPr>
        <w:spacing w:after="0" w:line="240" w:lineRule="auto"/>
        <w:jc w:val="both"/>
        <w:rPr>
          <w:rFonts w:ascii="Arial Narrow" w:hAnsi="Arial Narrow"/>
          <w:sz w:val="24"/>
          <w:szCs w:val="24"/>
        </w:rPr>
      </w:pPr>
      <w:r w:rsidRPr="004C1E2A">
        <w:rPr>
          <w:rFonts w:ascii="Arial Narrow" w:hAnsi="Arial Narrow"/>
          <w:sz w:val="24"/>
          <w:szCs w:val="24"/>
        </w:rPr>
        <w:t>The requirement to maintain a high level of service in part reflects</w:t>
      </w:r>
      <w:r w:rsidR="0063341B" w:rsidRPr="004C1E2A">
        <w:rPr>
          <w:rFonts w:ascii="Arial Narrow" w:hAnsi="Arial Narrow"/>
          <w:sz w:val="24"/>
          <w:szCs w:val="24"/>
        </w:rPr>
        <w:t xml:space="preserve"> that gas, unlike electricity, is a fuel of choice</w:t>
      </w:r>
      <w:r w:rsidR="00595861" w:rsidRPr="004C1E2A">
        <w:rPr>
          <w:rFonts w:ascii="Arial Narrow" w:hAnsi="Arial Narrow"/>
          <w:sz w:val="24"/>
          <w:szCs w:val="24"/>
        </w:rPr>
        <w:t xml:space="preserve"> for customers</w:t>
      </w:r>
      <w:r w:rsidRPr="004C1E2A">
        <w:rPr>
          <w:rFonts w:ascii="Arial Narrow" w:hAnsi="Arial Narrow"/>
          <w:sz w:val="24"/>
          <w:szCs w:val="24"/>
        </w:rPr>
        <w:t>. If</w:t>
      </w:r>
      <w:r w:rsidR="00595861" w:rsidRPr="004C1E2A">
        <w:rPr>
          <w:rFonts w:ascii="Arial Narrow" w:hAnsi="Arial Narrow"/>
          <w:sz w:val="24"/>
          <w:szCs w:val="24"/>
        </w:rPr>
        <w:t xml:space="preserve"> Envestra </w:t>
      </w:r>
      <w:r w:rsidRPr="004C1E2A">
        <w:rPr>
          <w:rFonts w:ascii="Arial Narrow" w:hAnsi="Arial Narrow"/>
          <w:sz w:val="24"/>
          <w:szCs w:val="24"/>
        </w:rPr>
        <w:t xml:space="preserve">were </w:t>
      </w:r>
      <w:r w:rsidR="00595861" w:rsidRPr="004C1E2A">
        <w:rPr>
          <w:rFonts w:ascii="Arial Narrow" w:hAnsi="Arial Narrow"/>
          <w:sz w:val="24"/>
          <w:szCs w:val="24"/>
        </w:rPr>
        <w:t>to provide poor service</w:t>
      </w:r>
      <w:r w:rsidRPr="004C1E2A">
        <w:rPr>
          <w:rFonts w:ascii="Arial Narrow" w:hAnsi="Arial Narrow"/>
          <w:sz w:val="24"/>
          <w:szCs w:val="24"/>
        </w:rPr>
        <w:t xml:space="preserve">, </w:t>
      </w:r>
      <w:r w:rsidR="00595861" w:rsidRPr="004C1E2A">
        <w:rPr>
          <w:rFonts w:ascii="Arial Narrow" w:hAnsi="Arial Narrow"/>
          <w:sz w:val="24"/>
          <w:szCs w:val="24"/>
        </w:rPr>
        <w:t xml:space="preserve">customers have the option to shift their energy requirements away from gas to electricity. </w:t>
      </w:r>
      <w:r w:rsidR="002B68F8" w:rsidRPr="004C1E2A">
        <w:rPr>
          <w:rFonts w:ascii="Arial Narrow" w:hAnsi="Arial Narrow"/>
          <w:sz w:val="24"/>
          <w:szCs w:val="24"/>
        </w:rPr>
        <w:t xml:space="preserve">The potential </w:t>
      </w:r>
      <w:r w:rsidR="004A5C46" w:rsidRPr="004C1E2A">
        <w:rPr>
          <w:rFonts w:ascii="Arial Narrow" w:hAnsi="Arial Narrow"/>
          <w:sz w:val="24"/>
          <w:szCs w:val="24"/>
        </w:rPr>
        <w:t>loss of customer</w:t>
      </w:r>
      <w:r w:rsidR="0065232A" w:rsidRPr="004C1E2A">
        <w:rPr>
          <w:rFonts w:ascii="Arial Narrow" w:hAnsi="Arial Narrow"/>
          <w:sz w:val="24"/>
          <w:szCs w:val="24"/>
        </w:rPr>
        <w:t>s</w:t>
      </w:r>
      <w:r w:rsidR="004A5C46" w:rsidRPr="004C1E2A">
        <w:rPr>
          <w:rFonts w:ascii="Arial Narrow" w:hAnsi="Arial Narrow"/>
          <w:sz w:val="24"/>
          <w:szCs w:val="24"/>
        </w:rPr>
        <w:t xml:space="preserve"> and demand</w:t>
      </w:r>
      <w:r w:rsidRPr="004C1E2A">
        <w:rPr>
          <w:rFonts w:ascii="Arial Narrow" w:hAnsi="Arial Narrow"/>
          <w:sz w:val="24"/>
          <w:szCs w:val="24"/>
        </w:rPr>
        <w:t xml:space="preserve"> provides strong </w:t>
      </w:r>
      <w:r w:rsidR="002B68F8" w:rsidRPr="004C1E2A">
        <w:rPr>
          <w:rFonts w:ascii="Arial Narrow" w:hAnsi="Arial Narrow"/>
          <w:sz w:val="24"/>
          <w:szCs w:val="24"/>
        </w:rPr>
        <w:t>motivat</w:t>
      </w:r>
      <w:r w:rsidRPr="004C1E2A">
        <w:rPr>
          <w:rFonts w:ascii="Arial Narrow" w:hAnsi="Arial Narrow"/>
          <w:sz w:val="24"/>
          <w:szCs w:val="24"/>
        </w:rPr>
        <w:t>ion</w:t>
      </w:r>
      <w:r w:rsidR="002B68F8" w:rsidRPr="004C1E2A">
        <w:rPr>
          <w:rFonts w:ascii="Arial Narrow" w:hAnsi="Arial Narrow"/>
          <w:sz w:val="24"/>
          <w:szCs w:val="24"/>
        </w:rPr>
        <w:t xml:space="preserve"> for Envestra to provide </w:t>
      </w:r>
      <w:r w:rsidR="004A5C46" w:rsidRPr="004C1E2A">
        <w:rPr>
          <w:rFonts w:ascii="Arial Narrow" w:hAnsi="Arial Narrow"/>
          <w:sz w:val="24"/>
          <w:szCs w:val="24"/>
        </w:rPr>
        <w:t xml:space="preserve">a </w:t>
      </w:r>
      <w:r w:rsidR="00BD5BBF" w:rsidRPr="004C1E2A">
        <w:rPr>
          <w:rFonts w:ascii="Arial Narrow" w:hAnsi="Arial Narrow"/>
          <w:sz w:val="24"/>
          <w:szCs w:val="24"/>
        </w:rPr>
        <w:t xml:space="preserve">safe and </w:t>
      </w:r>
      <w:r w:rsidR="002B68F8" w:rsidRPr="004C1E2A">
        <w:rPr>
          <w:rFonts w:ascii="Arial Narrow" w:hAnsi="Arial Narrow"/>
          <w:sz w:val="24"/>
          <w:szCs w:val="24"/>
        </w:rPr>
        <w:t>reliable service</w:t>
      </w:r>
      <w:r w:rsidR="00BD5BBF" w:rsidRPr="004C1E2A">
        <w:rPr>
          <w:rFonts w:ascii="Arial Narrow" w:hAnsi="Arial Narrow"/>
          <w:sz w:val="24"/>
          <w:szCs w:val="24"/>
        </w:rPr>
        <w:t xml:space="preserve"> with high levels of customer </w:t>
      </w:r>
      <w:r w:rsidR="00D70D63" w:rsidRPr="004C1E2A">
        <w:rPr>
          <w:rFonts w:ascii="Arial Narrow" w:hAnsi="Arial Narrow"/>
          <w:sz w:val="24"/>
          <w:szCs w:val="24"/>
        </w:rPr>
        <w:t>satisfaction</w:t>
      </w:r>
      <w:r w:rsidRPr="004C1E2A">
        <w:rPr>
          <w:rFonts w:ascii="Arial Narrow" w:hAnsi="Arial Narrow"/>
          <w:sz w:val="24"/>
          <w:szCs w:val="24"/>
        </w:rPr>
        <w:t xml:space="preserve">. </w:t>
      </w:r>
    </w:p>
    <w:p w:rsidR="00595861" w:rsidRPr="004C1E2A" w:rsidRDefault="00595861" w:rsidP="004C1E2A">
      <w:pPr>
        <w:spacing w:after="0" w:line="240" w:lineRule="auto"/>
        <w:jc w:val="both"/>
        <w:rPr>
          <w:rFonts w:ascii="Arial Narrow" w:hAnsi="Arial Narrow"/>
          <w:sz w:val="24"/>
          <w:szCs w:val="24"/>
        </w:rPr>
      </w:pPr>
    </w:p>
    <w:p w:rsidR="00747C80" w:rsidRPr="004C1E2A" w:rsidRDefault="00002140" w:rsidP="004C1E2A">
      <w:pPr>
        <w:spacing w:after="0" w:line="240" w:lineRule="auto"/>
        <w:jc w:val="both"/>
        <w:rPr>
          <w:rFonts w:ascii="Arial Narrow" w:hAnsi="Arial Narrow"/>
          <w:sz w:val="24"/>
          <w:szCs w:val="24"/>
        </w:rPr>
      </w:pPr>
      <w:r w:rsidRPr="004C1E2A">
        <w:rPr>
          <w:rFonts w:ascii="Arial Narrow" w:hAnsi="Arial Narrow"/>
          <w:sz w:val="24"/>
          <w:szCs w:val="24"/>
        </w:rPr>
        <w:t xml:space="preserve">Envestra </w:t>
      </w:r>
      <w:r w:rsidR="000F75DB" w:rsidRPr="004C1E2A">
        <w:rPr>
          <w:rFonts w:ascii="Arial Narrow" w:hAnsi="Arial Narrow"/>
          <w:sz w:val="24"/>
          <w:szCs w:val="24"/>
        </w:rPr>
        <w:t xml:space="preserve">considers that, if the AER insists on imposing its own incentive scheme on Envestra, that incentives to improve capital efficiency also be provided. </w:t>
      </w:r>
      <w:r w:rsidR="00D70D63" w:rsidRPr="004C1E2A">
        <w:rPr>
          <w:rFonts w:ascii="Arial Narrow" w:hAnsi="Arial Narrow"/>
          <w:sz w:val="24"/>
          <w:szCs w:val="24"/>
        </w:rPr>
        <w:t xml:space="preserve">Envestra therefore proposes the capital expenditure efficiency mechanism that applied in the 2008 to 2012 Access Arrangement period be carried over to the 2013 to 2017 Access Arrangement period.  Section </w:t>
      </w:r>
      <w:r w:rsidR="0090793B">
        <w:rPr>
          <w:rFonts w:ascii="Arial Narrow" w:hAnsi="Arial Narrow"/>
          <w:sz w:val="24"/>
          <w:szCs w:val="24"/>
        </w:rPr>
        <w:t>4.13</w:t>
      </w:r>
      <w:r w:rsidR="00D70D63" w:rsidRPr="004C1E2A">
        <w:rPr>
          <w:rFonts w:ascii="Arial Narrow" w:hAnsi="Arial Narrow"/>
          <w:sz w:val="24"/>
          <w:szCs w:val="24"/>
        </w:rPr>
        <w:t xml:space="preserve"> of the 2013 to 2017 </w:t>
      </w:r>
      <w:r w:rsidR="0090793B">
        <w:rPr>
          <w:rFonts w:ascii="Arial Narrow" w:hAnsi="Arial Narrow"/>
          <w:sz w:val="24"/>
          <w:szCs w:val="24"/>
        </w:rPr>
        <w:t xml:space="preserve">Victorian and Albury </w:t>
      </w:r>
      <w:r w:rsidR="00D70D63" w:rsidRPr="004C1E2A">
        <w:rPr>
          <w:rFonts w:ascii="Arial Narrow" w:hAnsi="Arial Narrow"/>
          <w:sz w:val="24"/>
          <w:szCs w:val="24"/>
        </w:rPr>
        <w:t>Access Arrangement</w:t>
      </w:r>
      <w:r w:rsidR="0090793B">
        <w:rPr>
          <w:rFonts w:ascii="Arial Narrow" w:hAnsi="Arial Narrow"/>
          <w:sz w:val="24"/>
          <w:szCs w:val="24"/>
        </w:rPr>
        <w:t>s</w:t>
      </w:r>
      <w:r w:rsidR="00D70D63" w:rsidRPr="004C1E2A">
        <w:rPr>
          <w:rFonts w:ascii="Arial Narrow" w:hAnsi="Arial Narrow"/>
          <w:sz w:val="24"/>
          <w:szCs w:val="24"/>
        </w:rPr>
        <w:t xml:space="preserve"> provide details of the </w:t>
      </w:r>
      <w:r w:rsidR="0090793B">
        <w:rPr>
          <w:rFonts w:ascii="Arial Narrow" w:hAnsi="Arial Narrow"/>
          <w:sz w:val="24"/>
          <w:szCs w:val="24"/>
        </w:rPr>
        <w:t xml:space="preserve">incentive </w:t>
      </w:r>
      <w:r w:rsidR="00D70D63" w:rsidRPr="004C1E2A">
        <w:rPr>
          <w:rFonts w:ascii="Arial Narrow" w:hAnsi="Arial Narrow"/>
          <w:sz w:val="24"/>
          <w:szCs w:val="24"/>
        </w:rPr>
        <w:t xml:space="preserve">mechanism </w:t>
      </w:r>
      <w:r w:rsidR="0090793B">
        <w:rPr>
          <w:rFonts w:ascii="Arial Narrow" w:hAnsi="Arial Narrow"/>
          <w:sz w:val="24"/>
          <w:szCs w:val="24"/>
        </w:rPr>
        <w:t xml:space="preserve">(operating and capital expenditure) </w:t>
      </w:r>
      <w:r w:rsidR="00D70D63" w:rsidRPr="004C1E2A">
        <w:rPr>
          <w:rFonts w:ascii="Arial Narrow" w:hAnsi="Arial Narrow"/>
          <w:sz w:val="24"/>
          <w:szCs w:val="24"/>
        </w:rPr>
        <w:t>and encompassing formulae.</w:t>
      </w:r>
    </w:p>
    <w:sectPr w:rsidR="00747C80" w:rsidRPr="004C1E2A" w:rsidSect="00636FCF">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34" w:rsidRDefault="00837034" w:rsidP="000F7ECD">
      <w:pPr>
        <w:spacing w:after="0" w:line="240" w:lineRule="auto"/>
      </w:pPr>
      <w:r>
        <w:separator/>
      </w:r>
    </w:p>
  </w:endnote>
  <w:endnote w:type="continuationSeparator" w:id="0">
    <w:p w:rsidR="00837034" w:rsidRDefault="00837034" w:rsidP="000F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3DC"/>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34" w:rsidRDefault="00837034" w:rsidP="000F7ECD">
      <w:pPr>
        <w:spacing w:after="0" w:line="240" w:lineRule="auto"/>
      </w:pPr>
      <w:r>
        <w:separator/>
      </w:r>
    </w:p>
  </w:footnote>
  <w:footnote w:type="continuationSeparator" w:id="0">
    <w:p w:rsidR="00837034" w:rsidRDefault="00837034" w:rsidP="000F7ECD">
      <w:pPr>
        <w:spacing w:after="0" w:line="240" w:lineRule="auto"/>
      </w:pPr>
      <w:r>
        <w:continuationSeparator/>
      </w:r>
    </w:p>
  </w:footnote>
  <w:footnote w:id="1">
    <w:p w:rsidR="00837034" w:rsidRPr="00950611" w:rsidRDefault="00837034" w:rsidP="00CF431E">
      <w:pPr>
        <w:pStyle w:val="FootnoteText"/>
        <w:tabs>
          <w:tab w:val="left" w:pos="284"/>
        </w:tabs>
        <w:ind w:left="284" w:hanging="284"/>
        <w:jc w:val="both"/>
      </w:pPr>
      <w:r w:rsidRPr="00950611">
        <w:rPr>
          <w:rStyle w:val="FootnoteReference"/>
          <w:rFonts w:ascii="Arial Narrow" w:hAnsi="Arial Narrow"/>
        </w:rPr>
        <w:footnoteRef/>
      </w:r>
      <w:r w:rsidRPr="00950611">
        <w:rPr>
          <w:rFonts w:ascii="Arial Narrow" w:hAnsi="Arial Narrow"/>
        </w:rPr>
        <w:tab/>
        <w:t>Envestra understands the AER made the adjustment</w:t>
      </w:r>
      <w:r>
        <w:rPr>
          <w:rFonts w:ascii="Arial Narrow" w:hAnsi="Arial Narrow"/>
        </w:rPr>
        <w:t>s</w:t>
      </w:r>
      <w:r w:rsidRPr="00950611">
        <w:rPr>
          <w:rFonts w:ascii="Arial Narrow" w:hAnsi="Arial Narrow"/>
        </w:rPr>
        <w:t xml:space="preserve"> to </w:t>
      </w:r>
      <w:r>
        <w:rPr>
          <w:rFonts w:ascii="Arial Narrow" w:hAnsi="Arial Narrow"/>
        </w:rPr>
        <w:t xml:space="preserve">actual </w:t>
      </w:r>
      <w:r w:rsidRPr="00950611">
        <w:rPr>
          <w:rFonts w:ascii="Arial Narrow" w:hAnsi="Arial Narrow"/>
        </w:rPr>
        <w:t xml:space="preserve">operating expenditure based on </w:t>
      </w:r>
      <w:r>
        <w:rPr>
          <w:rFonts w:ascii="Arial Narrow" w:hAnsi="Arial Narrow"/>
        </w:rPr>
        <w:t xml:space="preserve">incorrect </w:t>
      </w:r>
      <w:r w:rsidRPr="00950611">
        <w:rPr>
          <w:rFonts w:ascii="Arial Narrow" w:hAnsi="Arial Narrow"/>
        </w:rPr>
        <w:t xml:space="preserve">advice provided </w:t>
      </w:r>
      <w:r>
        <w:rPr>
          <w:rFonts w:ascii="Arial Narrow" w:hAnsi="Arial Narrow"/>
        </w:rPr>
        <w:t xml:space="preserve">by Envestra </w:t>
      </w:r>
      <w:r w:rsidRPr="00950611">
        <w:rPr>
          <w:rFonts w:ascii="Arial Narrow" w:hAnsi="Arial Narrow"/>
        </w:rPr>
        <w:t xml:space="preserve">in response to Information Requests 5 and 42, which advice indicated that </w:t>
      </w:r>
      <w:r>
        <w:rPr>
          <w:rFonts w:ascii="Arial Narrow" w:hAnsi="Arial Narrow"/>
        </w:rPr>
        <w:t>movements</w:t>
      </w:r>
      <w:r w:rsidRPr="00950611">
        <w:rPr>
          <w:rFonts w:ascii="Arial Narrow" w:hAnsi="Arial Narrow"/>
        </w:rPr>
        <w:t xml:space="preserve"> in provisions are disclosed in operating expenditure in the Victorian </w:t>
      </w:r>
      <w:r>
        <w:rPr>
          <w:rFonts w:ascii="Arial Narrow" w:hAnsi="Arial Narrow"/>
        </w:rPr>
        <w:t xml:space="preserve">audited </w:t>
      </w:r>
      <w:r w:rsidRPr="00950611">
        <w:rPr>
          <w:rFonts w:ascii="Arial Narrow" w:hAnsi="Arial Narrow"/>
        </w:rPr>
        <w:t>Regulatory Accounts. This is in fact not the case for Victoria but it is for Albury.</w:t>
      </w:r>
    </w:p>
  </w:footnote>
  <w:footnote w:id="2">
    <w:p w:rsidR="00837034" w:rsidRPr="006713E5" w:rsidRDefault="00837034" w:rsidP="00022E4D">
      <w:pPr>
        <w:pStyle w:val="FootnoteText"/>
        <w:tabs>
          <w:tab w:val="left" w:pos="284"/>
        </w:tabs>
        <w:ind w:left="284" w:hanging="284"/>
        <w:rPr>
          <w:rFonts w:ascii="Arial Narrow" w:hAnsi="Arial Narrow"/>
        </w:rPr>
      </w:pPr>
      <w:r w:rsidRPr="006713E5">
        <w:rPr>
          <w:rStyle w:val="FootnoteReference"/>
          <w:rFonts w:ascii="Arial Narrow" w:hAnsi="Arial Narrow"/>
        </w:rPr>
        <w:footnoteRef/>
      </w:r>
      <w:r w:rsidRPr="006713E5">
        <w:rPr>
          <w:rFonts w:ascii="Arial Narrow" w:hAnsi="Arial Narrow"/>
        </w:rPr>
        <w:t xml:space="preserve"> </w:t>
      </w:r>
      <w:r w:rsidRPr="006713E5">
        <w:rPr>
          <w:rFonts w:ascii="Arial Narrow" w:hAnsi="Arial Narrow"/>
        </w:rPr>
        <w:tab/>
      </w:r>
      <w:r w:rsidRPr="006713E5">
        <w:rPr>
          <w:rFonts w:ascii="Arial Narrow" w:hAnsi="Arial Narrow"/>
          <w:i/>
        </w:rPr>
        <w:t>Electricity Network Regulatory Frameworks – Productivity Commission Draft Report Volume 1 October 2012</w:t>
      </w:r>
      <w:r w:rsidRPr="006713E5">
        <w:rPr>
          <w:rFonts w:ascii="Arial Narrow" w:hAnsi="Arial Narrow"/>
        </w:rPr>
        <w:t>, page 194.</w:t>
      </w:r>
    </w:p>
  </w:footnote>
  <w:footnote w:id="3">
    <w:p w:rsidR="00837034" w:rsidRPr="006713E5" w:rsidRDefault="00837034" w:rsidP="00022E4D">
      <w:pPr>
        <w:pStyle w:val="FootnoteText"/>
        <w:tabs>
          <w:tab w:val="left" w:pos="284"/>
        </w:tabs>
        <w:ind w:left="284" w:hanging="284"/>
        <w:rPr>
          <w:rFonts w:ascii="Arial Narrow" w:hAnsi="Arial Narrow"/>
          <w:i/>
        </w:rPr>
      </w:pPr>
      <w:r w:rsidRPr="006713E5">
        <w:rPr>
          <w:rStyle w:val="FootnoteReference"/>
          <w:rFonts w:ascii="Arial Narrow" w:hAnsi="Arial Narrow"/>
        </w:rPr>
        <w:footnoteRef/>
      </w:r>
      <w:r w:rsidRPr="006713E5">
        <w:rPr>
          <w:rFonts w:ascii="Arial Narrow" w:hAnsi="Arial Narrow"/>
        </w:rPr>
        <w:t xml:space="preserve"> </w:t>
      </w:r>
      <w:r w:rsidRPr="006713E5">
        <w:rPr>
          <w:rFonts w:ascii="Arial Narrow" w:hAnsi="Arial Narrow"/>
        </w:rPr>
        <w:tab/>
      </w:r>
      <w:r w:rsidRPr="006713E5">
        <w:rPr>
          <w:rFonts w:ascii="Arial Narrow" w:hAnsi="Arial Narrow"/>
          <w:i/>
        </w:rPr>
        <w:t>Electricity Network Regulatory Frameworks – Productivity Commission Draft Report Volume 1 October 2012, page 194.</w:t>
      </w:r>
    </w:p>
  </w:footnote>
  <w:footnote w:id="4">
    <w:p w:rsidR="00837034" w:rsidRPr="00CD4AB8" w:rsidRDefault="00837034" w:rsidP="00CD4AB8">
      <w:pPr>
        <w:pStyle w:val="FootnoteText"/>
        <w:tabs>
          <w:tab w:val="left" w:pos="284"/>
        </w:tabs>
        <w:ind w:left="284" w:hanging="284"/>
        <w:jc w:val="both"/>
        <w:rPr>
          <w:rFonts w:ascii="Arial Narrow" w:hAnsi="Arial Narrow"/>
        </w:rPr>
      </w:pPr>
      <w:r w:rsidRPr="00CD4AB8">
        <w:rPr>
          <w:rStyle w:val="FootnoteReference"/>
          <w:rFonts w:ascii="Arial Narrow" w:hAnsi="Arial Narrow"/>
        </w:rPr>
        <w:footnoteRef/>
      </w:r>
      <w:r>
        <w:rPr>
          <w:rFonts w:ascii="Arial Narrow" w:hAnsi="Arial Narrow"/>
        </w:rPr>
        <w:tab/>
      </w:r>
      <w:r w:rsidRPr="00CD4AB8">
        <w:rPr>
          <w:rFonts w:ascii="Arial Narrow" w:hAnsi="Arial Narrow"/>
          <w:i/>
        </w:rPr>
        <w:t>Draft Rule Determinations - Draft National Electricity Amendment (Economic Regulation of Network Service Providers) Rule 2012 and Draft National Gas Amendment (Price and Revenue Regulation of Gas Services) Rule 2012</w:t>
      </w:r>
      <w:r w:rsidRPr="00CD4AB8">
        <w:rPr>
          <w:rFonts w:ascii="Arial Narrow" w:hAnsi="Arial Narrow"/>
        </w:rPr>
        <w:t xml:space="preserve"> issued by the AEMC on 23 August 2012</w:t>
      </w:r>
      <w:r>
        <w:rPr>
          <w:rFonts w:ascii="Arial Narrow" w:hAnsi="Arial Narrow"/>
        </w:rPr>
        <w:t>, page iv.</w:t>
      </w:r>
    </w:p>
  </w:footnote>
  <w:footnote w:id="5">
    <w:p w:rsidR="00837034" w:rsidRPr="00CD4AB8" w:rsidRDefault="00837034" w:rsidP="00CD4AB8">
      <w:pPr>
        <w:pStyle w:val="FootnoteText"/>
        <w:tabs>
          <w:tab w:val="left" w:pos="284"/>
        </w:tabs>
        <w:ind w:left="284" w:hanging="284"/>
        <w:jc w:val="both"/>
        <w:rPr>
          <w:rFonts w:ascii="Arial Narrow" w:hAnsi="Arial Narrow"/>
        </w:rPr>
      </w:pPr>
      <w:r w:rsidRPr="00CD4AB8">
        <w:rPr>
          <w:rStyle w:val="FootnoteReference"/>
          <w:rFonts w:ascii="Arial Narrow" w:hAnsi="Arial Narrow"/>
        </w:rPr>
        <w:footnoteRef/>
      </w:r>
      <w:r>
        <w:rPr>
          <w:rFonts w:ascii="Arial Narrow" w:hAnsi="Arial Narrow"/>
        </w:rPr>
        <w:tab/>
      </w:r>
      <w:r w:rsidRPr="00CD4AB8">
        <w:rPr>
          <w:rFonts w:ascii="Arial Narrow" w:hAnsi="Arial Narrow"/>
        </w:rPr>
        <w:t xml:space="preserve">Refer clause 6.4A Capital expenditure incentive mechanisms of the </w:t>
      </w:r>
      <w:r w:rsidRPr="00CD4AB8">
        <w:rPr>
          <w:rFonts w:ascii="Arial Narrow" w:hAnsi="Arial Narrow"/>
          <w:i/>
        </w:rPr>
        <w:t>Draft National Electricity Amendment (Economic Regulation of Network Service Providers) Rule 2012</w:t>
      </w:r>
      <w:r w:rsidRPr="00CD4AB8">
        <w:rPr>
          <w:rFonts w:ascii="Arial Narrow" w:hAnsi="Arial Narrow"/>
        </w:rPr>
        <w:t xml:space="preserve"> issued by the AEMC on 23 August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292923E"/>
    <w:lvl w:ilvl="0">
      <w:start w:val="1"/>
      <w:numFmt w:val="bullet"/>
      <w:lvlText w:val=""/>
      <w:lvlJc w:val="left"/>
      <w:pPr>
        <w:tabs>
          <w:tab w:val="num" w:pos="643"/>
        </w:tabs>
        <w:ind w:left="643" w:hanging="360"/>
      </w:pPr>
      <w:rPr>
        <w:rFonts w:ascii="Symbol" w:hAnsi="Symbol" w:cs="Symbol" w:hint="default"/>
      </w:rPr>
    </w:lvl>
  </w:abstractNum>
  <w:abstractNum w:abstractNumId="1">
    <w:nsid w:val="0652370D"/>
    <w:multiLevelType w:val="hybridMultilevel"/>
    <w:tmpl w:val="701E9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1319C1"/>
    <w:multiLevelType w:val="hybridMultilevel"/>
    <w:tmpl w:val="866A2F2C"/>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F620D27"/>
    <w:multiLevelType w:val="hybridMultilevel"/>
    <w:tmpl w:val="76E49160"/>
    <w:lvl w:ilvl="0" w:tplc="77521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151A0"/>
    <w:multiLevelType w:val="hybridMultilevel"/>
    <w:tmpl w:val="3C0021A2"/>
    <w:lvl w:ilvl="0" w:tplc="D9C617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040AA5"/>
    <w:multiLevelType w:val="singleLevel"/>
    <w:tmpl w:val="3F249D14"/>
    <w:lvl w:ilvl="0">
      <w:start w:val="1"/>
      <w:numFmt w:val="bullet"/>
      <w:lvlText w:val=""/>
      <w:lvlJc w:val="left"/>
      <w:pPr>
        <w:tabs>
          <w:tab w:val="num" w:pos="709"/>
        </w:tabs>
        <w:ind w:left="709" w:hanging="709"/>
      </w:pPr>
      <w:rPr>
        <w:rFonts w:ascii="Symbol" w:hAnsi="Symbol" w:cs="Symbol" w:hint="default"/>
        <w:sz w:val="20"/>
        <w:szCs w:val="20"/>
      </w:rPr>
    </w:lvl>
  </w:abstractNum>
  <w:abstractNum w:abstractNumId="6">
    <w:nsid w:val="447279AD"/>
    <w:multiLevelType w:val="hybridMultilevel"/>
    <w:tmpl w:val="51080F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nsid w:val="45271CF6"/>
    <w:multiLevelType w:val="singleLevel"/>
    <w:tmpl w:val="3F249D14"/>
    <w:lvl w:ilvl="0">
      <w:start w:val="1"/>
      <w:numFmt w:val="bullet"/>
      <w:lvlText w:val=""/>
      <w:lvlJc w:val="left"/>
      <w:pPr>
        <w:tabs>
          <w:tab w:val="num" w:pos="709"/>
        </w:tabs>
        <w:ind w:left="709" w:hanging="709"/>
      </w:pPr>
      <w:rPr>
        <w:rFonts w:ascii="Symbol" w:hAnsi="Symbol" w:cs="Symbol" w:hint="default"/>
        <w:sz w:val="20"/>
        <w:szCs w:val="20"/>
      </w:rPr>
    </w:lvl>
  </w:abstractNum>
  <w:abstractNum w:abstractNumId="8">
    <w:nsid w:val="4CA217AF"/>
    <w:multiLevelType w:val="hybridMultilevel"/>
    <w:tmpl w:val="1826EC8E"/>
    <w:lvl w:ilvl="0" w:tplc="40823BCA">
      <w:start w:val="1"/>
      <w:numFmt w:val="decimal"/>
      <w:lvlText w:val="(%1)"/>
      <w:lvlJc w:val="left"/>
      <w:pPr>
        <w:ind w:left="987" w:hanging="36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9">
    <w:nsid w:val="4CFE71DC"/>
    <w:multiLevelType w:val="hybridMultilevel"/>
    <w:tmpl w:val="BEC8A97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4F5C48AD"/>
    <w:multiLevelType w:val="hybridMultilevel"/>
    <w:tmpl w:val="9FDE82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797957"/>
    <w:multiLevelType w:val="hybridMultilevel"/>
    <w:tmpl w:val="3C0021A2"/>
    <w:lvl w:ilvl="0" w:tplc="D9C617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915197"/>
    <w:multiLevelType w:val="hybridMultilevel"/>
    <w:tmpl w:val="BB761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A8455A"/>
    <w:multiLevelType w:val="hybridMultilevel"/>
    <w:tmpl w:val="BD76F1C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C3F85"/>
    <w:multiLevelType w:val="hybridMultilevel"/>
    <w:tmpl w:val="05A86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61711D"/>
    <w:multiLevelType w:val="multilevel"/>
    <w:tmpl w:val="1700DDF2"/>
    <w:lvl w:ilvl="0">
      <w:start w:val="1"/>
      <w:numFmt w:val="decimal"/>
      <w:pStyle w:val="Heading1"/>
      <w:lvlText w:val="%1"/>
      <w:lvlJc w:val="left"/>
      <w:pPr>
        <w:tabs>
          <w:tab w:val="num" w:pos="709"/>
        </w:tabs>
        <w:ind w:left="709" w:hanging="709"/>
      </w:pPr>
      <w:rPr>
        <w:rFonts w:ascii="Arial Narrow" w:hAnsi="Arial Narrow" w:hint="default"/>
        <w:b/>
        <w:i w:val="0"/>
        <w:sz w:val="24"/>
        <w:szCs w:val="24"/>
      </w:rPr>
    </w:lvl>
    <w:lvl w:ilvl="1">
      <w:start w:val="1"/>
      <w:numFmt w:val="decimal"/>
      <w:pStyle w:val="Heading2"/>
      <w:lvlText w:val="%1.%2"/>
      <w:lvlJc w:val="left"/>
      <w:pPr>
        <w:tabs>
          <w:tab w:val="num" w:pos="1417"/>
        </w:tabs>
        <w:ind w:left="1417" w:hanging="708"/>
      </w:pPr>
      <w:rPr>
        <w:rFonts w:ascii="Arial Narrow" w:hAnsi="Arial Narrow" w:hint="default"/>
        <w:b/>
        <w:i w:val="0"/>
        <w:sz w:val="22"/>
        <w:szCs w:val="22"/>
      </w:rPr>
    </w:lvl>
    <w:lvl w:ilvl="2">
      <w:start w:val="1"/>
      <w:numFmt w:val="lowerLetter"/>
      <w:pStyle w:val="Heading3"/>
      <w:lvlText w:val="(%3)"/>
      <w:lvlJc w:val="left"/>
      <w:pPr>
        <w:tabs>
          <w:tab w:val="num" w:pos="2126"/>
        </w:tabs>
        <w:ind w:left="2126" w:hanging="709"/>
      </w:pPr>
      <w:rPr>
        <w:rFonts w:ascii="Arial Narrow" w:hAnsi="Arial Narrow" w:hint="default"/>
        <w:b/>
        <w:i w:val="0"/>
        <w:sz w:val="24"/>
      </w:rPr>
    </w:lvl>
    <w:lvl w:ilvl="3">
      <w:start w:val="1"/>
      <w:numFmt w:val="decimal"/>
      <w:pStyle w:val="Heading4"/>
      <w:lvlText w:val="(%4)"/>
      <w:lvlJc w:val="left"/>
      <w:pPr>
        <w:tabs>
          <w:tab w:val="num" w:pos="2835"/>
        </w:tabs>
        <w:ind w:left="2835" w:hanging="709"/>
      </w:pPr>
      <w:rPr>
        <w:rFonts w:ascii="Arial Narrow" w:hAnsi="Arial Narrow" w:hint="default"/>
        <w:b w:val="0"/>
        <w:i w:val="0"/>
        <w:sz w:val="22"/>
        <w:szCs w:val="22"/>
      </w:rPr>
    </w:lvl>
    <w:lvl w:ilvl="4">
      <w:start w:val="1"/>
      <w:numFmt w:val="upperLetter"/>
      <w:pStyle w:val="Heading5"/>
      <w:lvlText w:val="(%5)"/>
      <w:lvlJc w:val="left"/>
      <w:pPr>
        <w:tabs>
          <w:tab w:val="num" w:pos="3543"/>
        </w:tabs>
        <w:ind w:left="3543" w:hanging="708"/>
      </w:pPr>
      <w:rPr>
        <w:rFonts w:ascii="Arial Narrow" w:hAnsi="Arial Narrow" w:hint="default"/>
        <w:b w:val="0"/>
        <w:i w:val="0"/>
        <w:sz w:val="22"/>
        <w:szCs w:val="22"/>
      </w:rPr>
    </w:lvl>
    <w:lvl w:ilvl="5">
      <w:start w:val="1"/>
      <w:numFmt w:val="lowerRoman"/>
      <w:pStyle w:val="Heading6"/>
      <w:lvlText w:val="(%6)"/>
      <w:lvlJc w:val="left"/>
      <w:pPr>
        <w:tabs>
          <w:tab w:val="num" w:pos="4252"/>
        </w:tabs>
        <w:ind w:left="4252" w:hanging="709"/>
      </w:pPr>
      <w:rPr>
        <w:rFonts w:ascii="Times New Roman" w:hAnsi="Times New Roman"/>
        <w:b w:val="0"/>
        <w:i w:val="0"/>
        <w:sz w:val="24"/>
      </w:rPr>
    </w:lvl>
    <w:lvl w:ilvl="6">
      <w:start w:val="1"/>
      <w:numFmt w:val="none"/>
      <w:pStyle w:val="Heading7"/>
      <w:lvlText w:val="%7"/>
      <w:lvlJc w:val="left"/>
      <w:pPr>
        <w:tabs>
          <w:tab w:val="num" w:pos="1417"/>
        </w:tabs>
        <w:ind w:left="1417" w:hanging="708"/>
      </w:pPr>
      <w:rPr>
        <w:rFonts w:ascii="Times New Roman" w:hAnsi="Times New Roman"/>
        <w:b w:val="0"/>
        <w:i w:val="0"/>
        <w:sz w:val="24"/>
      </w:rPr>
    </w:lvl>
    <w:lvl w:ilvl="7">
      <w:start w:val="1"/>
      <w:numFmt w:val="none"/>
      <w:pStyle w:val="Heading8"/>
      <w:lvlText w:val="%8"/>
      <w:lvlJc w:val="left"/>
      <w:pPr>
        <w:tabs>
          <w:tab w:val="num" w:pos="1417"/>
        </w:tabs>
        <w:ind w:left="1417" w:hanging="708"/>
      </w:pPr>
      <w:rPr>
        <w:rFonts w:ascii="Times New Roman" w:hAnsi="Times New Roman"/>
        <w:b w:val="0"/>
        <w:i w:val="0"/>
        <w:sz w:val="24"/>
      </w:rPr>
    </w:lvl>
    <w:lvl w:ilvl="8">
      <w:start w:val="1"/>
      <w:numFmt w:val="none"/>
      <w:pStyle w:val="Heading9"/>
      <w:lvlText w:val="%9"/>
      <w:lvlJc w:val="left"/>
      <w:pPr>
        <w:tabs>
          <w:tab w:val="num" w:pos="1417"/>
        </w:tabs>
        <w:ind w:left="1417" w:hanging="708"/>
      </w:pPr>
      <w:rPr>
        <w:rFonts w:ascii="Times New Roman" w:hAnsi="Times New Roman"/>
        <w:b w:val="0"/>
        <w:i w:val="0"/>
        <w:sz w:val="24"/>
      </w:rPr>
    </w:lvl>
  </w:abstractNum>
  <w:abstractNum w:abstractNumId="16">
    <w:nsid w:val="7D491BB8"/>
    <w:multiLevelType w:val="hybridMultilevel"/>
    <w:tmpl w:val="4008C8BA"/>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4"/>
  </w:num>
  <w:num w:numId="2">
    <w:abstractNumId w:val="11"/>
  </w:num>
  <w:num w:numId="3">
    <w:abstractNumId w:val="13"/>
  </w:num>
  <w:num w:numId="4">
    <w:abstractNumId w:val="8"/>
  </w:num>
  <w:num w:numId="5">
    <w:abstractNumId w:val="1"/>
  </w:num>
  <w:num w:numId="6">
    <w:abstractNumId w:val="12"/>
  </w:num>
  <w:num w:numId="7">
    <w:abstractNumId w:val="15"/>
  </w:num>
  <w:num w:numId="8">
    <w:abstractNumId w:val="7"/>
  </w:num>
  <w:num w:numId="9">
    <w:abstractNumId w:val="5"/>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4"/>
  </w:num>
  <w:num w:numId="15">
    <w:abstractNumId w:val="16"/>
  </w:num>
  <w:num w:numId="16">
    <w:abstractNumId w:val="1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E4"/>
    <w:rsid w:val="000020CA"/>
    <w:rsid w:val="00002140"/>
    <w:rsid w:val="000128AE"/>
    <w:rsid w:val="0002204C"/>
    <w:rsid w:val="00022B0A"/>
    <w:rsid w:val="00022E4D"/>
    <w:rsid w:val="00036550"/>
    <w:rsid w:val="0004190E"/>
    <w:rsid w:val="00046DD6"/>
    <w:rsid w:val="000624F3"/>
    <w:rsid w:val="00063994"/>
    <w:rsid w:val="00075637"/>
    <w:rsid w:val="00080BF2"/>
    <w:rsid w:val="00084A9F"/>
    <w:rsid w:val="000C12FB"/>
    <w:rsid w:val="000D44DF"/>
    <w:rsid w:val="000D5281"/>
    <w:rsid w:val="000E2673"/>
    <w:rsid w:val="000E57EC"/>
    <w:rsid w:val="000F3B84"/>
    <w:rsid w:val="000F75DB"/>
    <w:rsid w:val="000F7ECD"/>
    <w:rsid w:val="00111E6D"/>
    <w:rsid w:val="0012033D"/>
    <w:rsid w:val="00127F79"/>
    <w:rsid w:val="00130DC9"/>
    <w:rsid w:val="0015251E"/>
    <w:rsid w:val="00156E5E"/>
    <w:rsid w:val="0016153F"/>
    <w:rsid w:val="001768C9"/>
    <w:rsid w:val="001A3F69"/>
    <w:rsid w:val="001B20C4"/>
    <w:rsid w:val="001C5FF8"/>
    <w:rsid w:val="001D3CF9"/>
    <w:rsid w:val="001D69F6"/>
    <w:rsid w:val="001D6A05"/>
    <w:rsid w:val="001E62A8"/>
    <w:rsid w:val="001F0F0D"/>
    <w:rsid w:val="001F2D6D"/>
    <w:rsid w:val="00201CB7"/>
    <w:rsid w:val="0022397E"/>
    <w:rsid w:val="0023210B"/>
    <w:rsid w:val="002440FA"/>
    <w:rsid w:val="00247BFF"/>
    <w:rsid w:val="002516B3"/>
    <w:rsid w:val="00257849"/>
    <w:rsid w:val="00266047"/>
    <w:rsid w:val="00294D24"/>
    <w:rsid w:val="00297941"/>
    <w:rsid w:val="002B68F8"/>
    <w:rsid w:val="002E5788"/>
    <w:rsid w:val="002E630D"/>
    <w:rsid w:val="002F2485"/>
    <w:rsid w:val="002F5863"/>
    <w:rsid w:val="003069E4"/>
    <w:rsid w:val="00313F91"/>
    <w:rsid w:val="00323B9E"/>
    <w:rsid w:val="00326749"/>
    <w:rsid w:val="00326DF7"/>
    <w:rsid w:val="00341BC4"/>
    <w:rsid w:val="003447A8"/>
    <w:rsid w:val="00346316"/>
    <w:rsid w:val="0035184C"/>
    <w:rsid w:val="00355916"/>
    <w:rsid w:val="003830C1"/>
    <w:rsid w:val="003A4493"/>
    <w:rsid w:val="003A46D0"/>
    <w:rsid w:val="003B01E9"/>
    <w:rsid w:val="003B76F0"/>
    <w:rsid w:val="003C4616"/>
    <w:rsid w:val="003D1527"/>
    <w:rsid w:val="003E2764"/>
    <w:rsid w:val="00403AA2"/>
    <w:rsid w:val="0041033F"/>
    <w:rsid w:val="00415622"/>
    <w:rsid w:val="00415BE0"/>
    <w:rsid w:val="00431027"/>
    <w:rsid w:val="004361F3"/>
    <w:rsid w:val="00445991"/>
    <w:rsid w:val="0045374C"/>
    <w:rsid w:val="00453DD1"/>
    <w:rsid w:val="00463802"/>
    <w:rsid w:val="00476F2B"/>
    <w:rsid w:val="00487BED"/>
    <w:rsid w:val="00497EDD"/>
    <w:rsid w:val="004A5C46"/>
    <w:rsid w:val="004C1D1A"/>
    <w:rsid w:val="004C1E2A"/>
    <w:rsid w:val="004D078D"/>
    <w:rsid w:val="004D39B8"/>
    <w:rsid w:val="004E147D"/>
    <w:rsid w:val="004F360C"/>
    <w:rsid w:val="00513BA9"/>
    <w:rsid w:val="00545E9A"/>
    <w:rsid w:val="00551F22"/>
    <w:rsid w:val="005551A2"/>
    <w:rsid w:val="00582E28"/>
    <w:rsid w:val="005831D7"/>
    <w:rsid w:val="00585203"/>
    <w:rsid w:val="00585C0B"/>
    <w:rsid w:val="00595861"/>
    <w:rsid w:val="00596FE9"/>
    <w:rsid w:val="005B0583"/>
    <w:rsid w:val="005C7526"/>
    <w:rsid w:val="005D556D"/>
    <w:rsid w:val="006201BD"/>
    <w:rsid w:val="0063341B"/>
    <w:rsid w:val="00635281"/>
    <w:rsid w:val="00636FCF"/>
    <w:rsid w:val="00643A96"/>
    <w:rsid w:val="0065232A"/>
    <w:rsid w:val="006552DA"/>
    <w:rsid w:val="00663AAE"/>
    <w:rsid w:val="00665E84"/>
    <w:rsid w:val="006713E5"/>
    <w:rsid w:val="0068702C"/>
    <w:rsid w:val="006A7C38"/>
    <w:rsid w:val="006B22F4"/>
    <w:rsid w:val="006F1A74"/>
    <w:rsid w:val="0074435B"/>
    <w:rsid w:val="00747C80"/>
    <w:rsid w:val="00770E88"/>
    <w:rsid w:val="00780E40"/>
    <w:rsid w:val="00787931"/>
    <w:rsid w:val="007A3F99"/>
    <w:rsid w:val="007D0420"/>
    <w:rsid w:val="007D2F61"/>
    <w:rsid w:val="007D6388"/>
    <w:rsid w:val="007E2F14"/>
    <w:rsid w:val="00806142"/>
    <w:rsid w:val="00817B39"/>
    <w:rsid w:val="00820BBA"/>
    <w:rsid w:val="00837034"/>
    <w:rsid w:val="00846AF6"/>
    <w:rsid w:val="0087144B"/>
    <w:rsid w:val="00873939"/>
    <w:rsid w:val="008804A9"/>
    <w:rsid w:val="00880D01"/>
    <w:rsid w:val="008835F5"/>
    <w:rsid w:val="008A1736"/>
    <w:rsid w:val="008A1CB0"/>
    <w:rsid w:val="008A4A4D"/>
    <w:rsid w:val="008A5B83"/>
    <w:rsid w:val="008C5FD5"/>
    <w:rsid w:val="008C7A30"/>
    <w:rsid w:val="008F7BB9"/>
    <w:rsid w:val="009027F9"/>
    <w:rsid w:val="009050AF"/>
    <w:rsid w:val="0090793B"/>
    <w:rsid w:val="00911301"/>
    <w:rsid w:val="009135FA"/>
    <w:rsid w:val="00937179"/>
    <w:rsid w:val="00945AC9"/>
    <w:rsid w:val="00950611"/>
    <w:rsid w:val="00950961"/>
    <w:rsid w:val="00953FA8"/>
    <w:rsid w:val="009625FD"/>
    <w:rsid w:val="0097309A"/>
    <w:rsid w:val="00977642"/>
    <w:rsid w:val="0098417F"/>
    <w:rsid w:val="009955D6"/>
    <w:rsid w:val="00996E3D"/>
    <w:rsid w:val="009A51CC"/>
    <w:rsid w:val="009C11F4"/>
    <w:rsid w:val="009C34B5"/>
    <w:rsid w:val="009D0FD3"/>
    <w:rsid w:val="009F1FFC"/>
    <w:rsid w:val="00A31B46"/>
    <w:rsid w:val="00A3449A"/>
    <w:rsid w:val="00A36EF0"/>
    <w:rsid w:val="00A54510"/>
    <w:rsid w:val="00A66CD5"/>
    <w:rsid w:val="00A92B98"/>
    <w:rsid w:val="00A97117"/>
    <w:rsid w:val="00AB503A"/>
    <w:rsid w:val="00AD1DC0"/>
    <w:rsid w:val="00AD4341"/>
    <w:rsid w:val="00AD7ECF"/>
    <w:rsid w:val="00AE2237"/>
    <w:rsid w:val="00AE7DC8"/>
    <w:rsid w:val="00AF297A"/>
    <w:rsid w:val="00AF496D"/>
    <w:rsid w:val="00B12DD4"/>
    <w:rsid w:val="00B25316"/>
    <w:rsid w:val="00B2641F"/>
    <w:rsid w:val="00B323C6"/>
    <w:rsid w:val="00B46723"/>
    <w:rsid w:val="00B56DF3"/>
    <w:rsid w:val="00B84FEE"/>
    <w:rsid w:val="00B96FF7"/>
    <w:rsid w:val="00BA2D42"/>
    <w:rsid w:val="00BA5162"/>
    <w:rsid w:val="00BB37AF"/>
    <w:rsid w:val="00BC6DA2"/>
    <w:rsid w:val="00BD1453"/>
    <w:rsid w:val="00BD5BBF"/>
    <w:rsid w:val="00BE01B6"/>
    <w:rsid w:val="00BE409F"/>
    <w:rsid w:val="00C04638"/>
    <w:rsid w:val="00C14067"/>
    <w:rsid w:val="00C16222"/>
    <w:rsid w:val="00C17AE7"/>
    <w:rsid w:val="00C27BBC"/>
    <w:rsid w:val="00C32FDA"/>
    <w:rsid w:val="00C37AE3"/>
    <w:rsid w:val="00C37E9B"/>
    <w:rsid w:val="00C450AE"/>
    <w:rsid w:val="00C47043"/>
    <w:rsid w:val="00C521F9"/>
    <w:rsid w:val="00C7565E"/>
    <w:rsid w:val="00C854A5"/>
    <w:rsid w:val="00C90A46"/>
    <w:rsid w:val="00CA64DD"/>
    <w:rsid w:val="00CD4AB8"/>
    <w:rsid w:val="00CF17AF"/>
    <w:rsid w:val="00CF182E"/>
    <w:rsid w:val="00CF431E"/>
    <w:rsid w:val="00CF53AA"/>
    <w:rsid w:val="00D0059C"/>
    <w:rsid w:val="00D056AA"/>
    <w:rsid w:val="00D15443"/>
    <w:rsid w:val="00D25FF0"/>
    <w:rsid w:val="00D3164E"/>
    <w:rsid w:val="00D401F9"/>
    <w:rsid w:val="00D41E2C"/>
    <w:rsid w:val="00D614A9"/>
    <w:rsid w:val="00D62554"/>
    <w:rsid w:val="00D625F0"/>
    <w:rsid w:val="00D701DC"/>
    <w:rsid w:val="00D70D63"/>
    <w:rsid w:val="00D71F26"/>
    <w:rsid w:val="00D76F0B"/>
    <w:rsid w:val="00D86ECD"/>
    <w:rsid w:val="00DA5190"/>
    <w:rsid w:val="00DB141C"/>
    <w:rsid w:val="00DB1AD6"/>
    <w:rsid w:val="00DB3A7B"/>
    <w:rsid w:val="00DB77F4"/>
    <w:rsid w:val="00DC3F7B"/>
    <w:rsid w:val="00DD468B"/>
    <w:rsid w:val="00DD5723"/>
    <w:rsid w:val="00DE58A8"/>
    <w:rsid w:val="00DF05E0"/>
    <w:rsid w:val="00DF2E88"/>
    <w:rsid w:val="00E0042F"/>
    <w:rsid w:val="00E0164C"/>
    <w:rsid w:val="00E157A8"/>
    <w:rsid w:val="00E16BCB"/>
    <w:rsid w:val="00E23382"/>
    <w:rsid w:val="00E747DC"/>
    <w:rsid w:val="00EA3B56"/>
    <w:rsid w:val="00EB48BF"/>
    <w:rsid w:val="00EF3359"/>
    <w:rsid w:val="00EF3C60"/>
    <w:rsid w:val="00EF736A"/>
    <w:rsid w:val="00F03CBC"/>
    <w:rsid w:val="00F056E9"/>
    <w:rsid w:val="00F26832"/>
    <w:rsid w:val="00F26F59"/>
    <w:rsid w:val="00F30964"/>
    <w:rsid w:val="00F34F8C"/>
    <w:rsid w:val="00F515DB"/>
    <w:rsid w:val="00F543A8"/>
    <w:rsid w:val="00F61921"/>
    <w:rsid w:val="00F67580"/>
    <w:rsid w:val="00F82BB6"/>
    <w:rsid w:val="00F94FD4"/>
    <w:rsid w:val="00F96AC6"/>
    <w:rsid w:val="00FA6209"/>
    <w:rsid w:val="00FB422F"/>
    <w:rsid w:val="00FD21BE"/>
    <w:rsid w:val="00FD4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E4"/>
    <w:rPr>
      <w:rFonts w:ascii="Calibri" w:eastAsia="Calibri" w:hAnsi="Calibri" w:cs="Times New Roman"/>
    </w:rPr>
  </w:style>
  <w:style w:type="paragraph" w:styleId="Heading1">
    <w:name w:val="heading 1"/>
    <w:aliases w:val="CGEY,h1"/>
    <w:basedOn w:val="Normal"/>
    <w:next w:val="Normal"/>
    <w:link w:val="Heading1Char"/>
    <w:qFormat/>
    <w:rsid w:val="008A5B83"/>
    <w:pPr>
      <w:keepNext/>
      <w:numPr>
        <w:numId w:val="7"/>
      </w:numPr>
      <w:pBdr>
        <w:top w:val="single" w:sz="12" w:space="6" w:color="auto"/>
      </w:pBdr>
      <w:tabs>
        <w:tab w:val="clear" w:pos="709"/>
      </w:tabs>
      <w:autoSpaceDE w:val="0"/>
      <w:autoSpaceDN w:val="0"/>
      <w:spacing w:after="0" w:line="240" w:lineRule="auto"/>
      <w:ind w:left="567" w:hanging="567"/>
      <w:jc w:val="both"/>
      <w:outlineLvl w:val="0"/>
    </w:pPr>
    <w:rPr>
      <w:rFonts w:ascii="Arial Narrow" w:eastAsia="Times New Roman" w:hAnsi="Arial Narrow" w:cs="Arial"/>
      <w:b/>
      <w:bCs/>
      <w:sz w:val="24"/>
      <w:szCs w:val="28"/>
      <w:lang w:eastAsia="en-AU"/>
    </w:rPr>
  </w:style>
  <w:style w:type="paragraph" w:styleId="Heading2">
    <w:name w:val="heading 2"/>
    <w:aliases w:val="CGEY Heading 2,h2,Major Heading,2,Titre 2,h21"/>
    <w:basedOn w:val="Normal"/>
    <w:next w:val="Normal"/>
    <w:link w:val="Heading2Char"/>
    <w:qFormat/>
    <w:rsid w:val="008A5B83"/>
    <w:pPr>
      <w:keepNext/>
      <w:numPr>
        <w:ilvl w:val="1"/>
        <w:numId w:val="7"/>
      </w:numPr>
      <w:autoSpaceDE w:val="0"/>
      <w:autoSpaceDN w:val="0"/>
      <w:spacing w:before="180" w:after="120" w:line="240" w:lineRule="auto"/>
      <w:jc w:val="both"/>
      <w:outlineLvl w:val="1"/>
    </w:pPr>
    <w:rPr>
      <w:rFonts w:ascii="Arial" w:eastAsia="Times New Roman" w:hAnsi="Arial" w:cs="Arial"/>
      <w:b/>
      <w:bCs/>
      <w:sz w:val="24"/>
      <w:szCs w:val="24"/>
      <w:lang w:eastAsia="en-AU"/>
    </w:rPr>
  </w:style>
  <w:style w:type="paragraph" w:styleId="Heading3">
    <w:name w:val="heading 3"/>
    <w:aliases w:val="h31,h3,3,Titre 3,Sub"/>
    <w:basedOn w:val="Normal"/>
    <w:next w:val="Normal"/>
    <w:link w:val="Heading3Char"/>
    <w:qFormat/>
    <w:rsid w:val="008A5B83"/>
    <w:pPr>
      <w:numPr>
        <w:ilvl w:val="2"/>
        <w:numId w:val="7"/>
      </w:numPr>
      <w:autoSpaceDE w:val="0"/>
      <w:autoSpaceDN w:val="0"/>
      <w:spacing w:after="120" w:line="240" w:lineRule="auto"/>
      <w:jc w:val="both"/>
      <w:outlineLvl w:val="2"/>
    </w:pPr>
    <w:rPr>
      <w:rFonts w:ascii="Times New Roman Bold" w:eastAsia="Times New Roman" w:hAnsi="Times New Roman Bold"/>
      <w:b/>
      <w:sz w:val="24"/>
      <w:szCs w:val="24"/>
      <w:lang w:eastAsia="en-AU"/>
    </w:rPr>
  </w:style>
  <w:style w:type="paragraph" w:styleId="Heading4">
    <w:name w:val="heading 4"/>
    <w:aliases w:val="h4,Level 2 - a"/>
    <w:basedOn w:val="Normal"/>
    <w:next w:val="Normal"/>
    <w:link w:val="Heading4Char"/>
    <w:qFormat/>
    <w:rsid w:val="008A5B83"/>
    <w:pPr>
      <w:numPr>
        <w:ilvl w:val="3"/>
        <w:numId w:val="7"/>
      </w:numPr>
      <w:autoSpaceDE w:val="0"/>
      <w:autoSpaceDN w:val="0"/>
      <w:spacing w:after="120" w:line="240" w:lineRule="auto"/>
      <w:jc w:val="both"/>
      <w:outlineLvl w:val="3"/>
    </w:pPr>
    <w:rPr>
      <w:rFonts w:ascii="Times New Roman" w:eastAsia="Times New Roman" w:hAnsi="Times New Roman"/>
      <w:sz w:val="24"/>
      <w:szCs w:val="24"/>
      <w:lang w:eastAsia="en-AU"/>
    </w:rPr>
  </w:style>
  <w:style w:type="paragraph" w:styleId="Heading5">
    <w:name w:val="heading 5"/>
    <w:basedOn w:val="Normal"/>
    <w:next w:val="Normal"/>
    <w:link w:val="Heading5Char"/>
    <w:qFormat/>
    <w:rsid w:val="008A5B83"/>
    <w:pPr>
      <w:numPr>
        <w:ilvl w:val="4"/>
        <w:numId w:val="7"/>
      </w:numPr>
      <w:autoSpaceDE w:val="0"/>
      <w:autoSpaceDN w:val="0"/>
      <w:spacing w:after="120" w:line="240" w:lineRule="auto"/>
      <w:jc w:val="both"/>
      <w:outlineLvl w:val="4"/>
    </w:pPr>
    <w:rPr>
      <w:rFonts w:ascii="Times New Roman" w:eastAsia="Times New Roman" w:hAnsi="Times New Roman"/>
      <w:sz w:val="24"/>
      <w:szCs w:val="24"/>
      <w:lang w:eastAsia="en-AU"/>
    </w:rPr>
  </w:style>
  <w:style w:type="paragraph" w:styleId="Heading6">
    <w:name w:val="heading 6"/>
    <w:basedOn w:val="Normal"/>
    <w:next w:val="Normal"/>
    <w:link w:val="Heading6Char"/>
    <w:qFormat/>
    <w:rsid w:val="008A5B83"/>
    <w:pPr>
      <w:numPr>
        <w:ilvl w:val="5"/>
        <w:numId w:val="7"/>
      </w:numPr>
      <w:autoSpaceDE w:val="0"/>
      <w:autoSpaceDN w:val="0"/>
      <w:spacing w:after="120" w:line="240" w:lineRule="auto"/>
      <w:jc w:val="both"/>
      <w:outlineLvl w:val="5"/>
    </w:pPr>
    <w:rPr>
      <w:rFonts w:ascii="Times New Roman" w:eastAsia="Times New Roman" w:hAnsi="Times New Roman"/>
      <w:sz w:val="24"/>
      <w:szCs w:val="24"/>
      <w:lang w:eastAsia="en-AU"/>
    </w:rPr>
  </w:style>
  <w:style w:type="paragraph" w:styleId="Heading7">
    <w:name w:val="heading 7"/>
    <w:basedOn w:val="Normal"/>
    <w:next w:val="Normal"/>
    <w:link w:val="Heading7Char"/>
    <w:qFormat/>
    <w:rsid w:val="008A5B83"/>
    <w:pPr>
      <w:numPr>
        <w:ilvl w:val="6"/>
        <w:numId w:val="7"/>
      </w:numPr>
      <w:autoSpaceDE w:val="0"/>
      <w:autoSpaceDN w:val="0"/>
      <w:spacing w:after="120" w:line="240" w:lineRule="auto"/>
      <w:jc w:val="both"/>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qFormat/>
    <w:rsid w:val="008A5B83"/>
    <w:pPr>
      <w:numPr>
        <w:ilvl w:val="7"/>
        <w:numId w:val="7"/>
      </w:numPr>
      <w:autoSpaceDE w:val="0"/>
      <w:autoSpaceDN w:val="0"/>
      <w:spacing w:after="120" w:line="240" w:lineRule="auto"/>
      <w:jc w:val="both"/>
      <w:outlineLvl w:val="7"/>
    </w:pPr>
    <w:rPr>
      <w:rFonts w:ascii="Times New Roman" w:eastAsia="Times New Roman" w:hAnsi="Times New Roman"/>
      <w:sz w:val="24"/>
      <w:szCs w:val="24"/>
      <w:lang w:eastAsia="en-AU"/>
    </w:rPr>
  </w:style>
  <w:style w:type="paragraph" w:styleId="Heading9">
    <w:name w:val="heading 9"/>
    <w:basedOn w:val="Normal"/>
    <w:next w:val="Normal"/>
    <w:link w:val="Heading9Char"/>
    <w:qFormat/>
    <w:rsid w:val="008A5B83"/>
    <w:pPr>
      <w:numPr>
        <w:ilvl w:val="8"/>
        <w:numId w:val="7"/>
      </w:numPr>
      <w:autoSpaceDE w:val="0"/>
      <w:autoSpaceDN w:val="0"/>
      <w:spacing w:before="240" w:after="60" w:line="240" w:lineRule="auto"/>
      <w:jc w:val="both"/>
      <w:outlineLvl w:val="8"/>
    </w:pPr>
    <w:rPr>
      <w:rFonts w:ascii="Arial" w:eastAsia="Times New Roman" w:hAnsi="Arial" w:cs="Arial"/>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069E4"/>
    <w:pPr>
      <w:ind w:left="720"/>
      <w:contextualSpacing/>
    </w:pPr>
  </w:style>
  <w:style w:type="paragraph" w:styleId="BalloonText">
    <w:name w:val="Balloon Text"/>
    <w:basedOn w:val="Normal"/>
    <w:link w:val="BalloonTextChar"/>
    <w:uiPriority w:val="99"/>
    <w:semiHidden/>
    <w:unhideWhenUsed/>
    <w:rsid w:val="0030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E4"/>
    <w:rPr>
      <w:rFonts w:ascii="Tahoma" w:eastAsia="Calibri" w:hAnsi="Tahoma" w:cs="Tahoma"/>
      <w:sz w:val="16"/>
      <w:szCs w:val="16"/>
    </w:rPr>
  </w:style>
  <w:style w:type="character" w:customStyle="1" w:styleId="Heading1Char">
    <w:name w:val="Heading 1 Char"/>
    <w:aliases w:val="CGEY Char,h1 Char"/>
    <w:basedOn w:val="DefaultParagraphFont"/>
    <w:link w:val="Heading1"/>
    <w:rsid w:val="008A5B83"/>
    <w:rPr>
      <w:rFonts w:ascii="Arial Narrow" w:eastAsia="Times New Roman" w:hAnsi="Arial Narrow" w:cs="Arial"/>
      <w:b/>
      <w:bCs/>
      <w:sz w:val="24"/>
      <w:szCs w:val="28"/>
      <w:lang w:eastAsia="en-AU"/>
    </w:rPr>
  </w:style>
  <w:style w:type="character" w:customStyle="1" w:styleId="Heading2Char">
    <w:name w:val="Heading 2 Char"/>
    <w:aliases w:val="CGEY Heading 2 Char,h2 Char,Major Heading Char,2 Char,Titre 2 Char,h21 Char"/>
    <w:basedOn w:val="DefaultParagraphFont"/>
    <w:link w:val="Heading2"/>
    <w:rsid w:val="008A5B83"/>
    <w:rPr>
      <w:rFonts w:ascii="Arial" w:eastAsia="Times New Roman" w:hAnsi="Arial" w:cs="Arial"/>
      <w:b/>
      <w:bCs/>
      <w:sz w:val="24"/>
      <w:szCs w:val="24"/>
      <w:lang w:eastAsia="en-AU"/>
    </w:rPr>
  </w:style>
  <w:style w:type="character" w:customStyle="1" w:styleId="Heading3Char">
    <w:name w:val="Heading 3 Char"/>
    <w:aliases w:val="h31 Char,h3 Char,3 Char,Titre 3 Char,Sub Char"/>
    <w:basedOn w:val="DefaultParagraphFont"/>
    <w:link w:val="Heading3"/>
    <w:rsid w:val="008A5B83"/>
    <w:rPr>
      <w:rFonts w:ascii="Times New Roman Bold" w:eastAsia="Times New Roman" w:hAnsi="Times New Roman Bold" w:cs="Times New Roman"/>
      <w:b/>
      <w:sz w:val="24"/>
      <w:szCs w:val="24"/>
      <w:lang w:eastAsia="en-AU"/>
    </w:rPr>
  </w:style>
  <w:style w:type="character" w:customStyle="1" w:styleId="Heading4Char">
    <w:name w:val="Heading 4 Char"/>
    <w:aliases w:val="h4 Char,Level 2 - a Char"/>
    <w:basedOn w:val="DefaultParagraphFont"/>
    <w:link w:val="Heading4"/>
    <w:rsid w:val="008A5B83"/>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8A5B83"/>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8A5B83"/>
    <w:rPr>
      <w:rFonts w:ascii="Times New Roman" w:eastAsia="Times New Roman" w:hAnsi="Times New Roman" w:cs="Times New Roman"/>
      <w:sz w:val="24"/>
      <w:szCs w:val="24"/>
      <w:lang w:eastAsia="en-AU"/>
    </w:rPr>
  </w:style>
  <w:style w:type="character" w:customStyle="1" w:styleId="Heading7Char">
    <w:name w:val="Heading 7 Char"/>
    <w:basedOn w:val="DefaultParagraphFont"/>
    <w:link w:val="Heading7"/>
    <w:rsid w:val="008A5B83"/>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8A5B83"/>
    <w:rPr>
      <w:rFonts w:ascii="Times New Roman" w:eastAsia="Times New Roman" w:hAnsi="Times New Roman" w:cs="Times New Roman"/>
      <w:sz w:val="24"/>
      <w:szCs w:val="24"/>
      <w:lang w:eastAsia="en-AU"/>
    </w:rPr>
  </w:style>
  <w:style w:type="character" w:customStyle="1" w:styleId="Heading9Char">
    <w:name w:val="Heading 9 Char"/>
    <w:basedOn w:val="DefaultParagraphFont"/>
    <w:link w:val="Heading9"/>
    <w:rsid w:val="008A5B83"/>
    <w:rPr>
      <w:rFonts w:ascii="Arial" w:eastAsia="Times New Roman" w:hAnsi="Arial" w:cs="Arial"/>
      <w:sz w:val="18"/>
      <w:szCs w:val="18"/>
      <w:lang w:eastAsia="en-AU"/>
    </w:r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semiHidden/>
    <w:unhideWhenUsed/>
    <w:rsid w:val="000F7ECD"/>
    <w:pPr>
      <w:spacing w:after="0" w:line="240" w:lineRule="auto"/>
    </w:pPr>
    <w:rPr>
      <w:sz w:val="20"/>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NECG) Footnote Text Char"/>
    <w:basedOn w:val="DefaultParagraphFont"/>
    <w:link w:val="FootnoteText"/>
    <w:uiPriority w:val="99"/>
    <w:semiHidden/>
    <w:rsid w:val="000F7ECD"/>
    <w:rPr>
      <w:rFonts w:ascii="Calibri" w:eastAsia="Calibri" w:hAnsi="Calibri" w:cs="Times New Roman"/>
      <w:sz w:val="20"/>
      <w:szCs w:val="20"/>
    </w:rPr>
  </w:style>
  <w:style w:type="character" w:styleId="FootnoteReference">
    <w:name w:val="footnote reference"/>
    <w:aliases w:val="(NECG) Footnote Reference,SFG_Footnote_Reference"/>
    <w:basedOn w:val="DefaultParagraphFont"/>
    <w:uiPriority w:val="99"/>
    <w:semiHidden/>
    <w:unhideWhenUsed/>
    <w:rsid w:val="000F7ECD"/>
    <w:rPr>
      <w:vertAlign w:val="superscript"/>
    </w:rPr>
  </w:style>
  <w:style w:type="paragraph" w:customStyle="1" w:styleId="jfootnote">
    <w:name w:val="jfootnote"/>
    <w:basedOn w:val="FootnoteText"/>
    <w:uiPriority w:val="99"/>
    <w:rsid w:val="00CF182E"/>
    <w:pPr>
      <w:spacing w:after="20"/>
    </w:pPr>
    <w:rPr>
      <w:rFonts w:ascii="Arial" w:hAnsi="Arial"/>
      <w:sz w:val="14"/>
      <w:szCs w:val="14"/>
      <w:lang w:eastAsia="en-AU"/>
    </w:rPr>
  </w:style>
  <w:style w:type="table" w:styleId="TableGrid">
    <w:name w:val="Table Grid"/>
    <w:basedOn w:val="TableNormal"/>
    <w:uiPriority w:val="59"/>
    <w:rsid w:val="0058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5BE0"/>
    <w:rPr>
      <w:sz w:val="16"/>
      <w:szCs w:val="16"/>
    </w:rPr>
  </w:style>
  <w:style w:type="paragraph" w:styleId="CommentText">
    <w:name w:val="annotation text"/>
    <w:basedOn w:val="Normal"/>
    <w:link w:val="CommentTextChar"/>
    <w:uiPriority w:val="99"/>
    <w:semiHidden/>
    <w:unhideWhenUsed/>
    <w:rsid w:val="00415BE0"/>
    <w:pPr>
      <w:spacing w:line="240" w:lineRule="auto"/>
    </w:pPr>
    <w:rPr>
      <w:sz w:val="20"/>
      <w:szCs w:val="20"/>
    </w:rPr>
  </w:style>
  <w:style w:type="character" w:customStyle="1" w:styleId="CommentTextChar">
    <w:name w:val="Comment Text Char"/>
    <w:basedOn w:val="DefaultParagraphFont"/>
    <w:link w:val="CommentText"/>
    <w:uiPriority w:val="99"/>
    <w:semiHidden/>
    <w:rsid w:val="00415B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5BE0"/>
    <w:rPr>
      <w:b/>
      <w:bCs/>
    </w:rPr>
  </w:style>
  <w:style w:type="character" w:customStyle="1" w:styleId="CommentSubjectChar">
    <w:name w:val="Comment Subject Char"/>
    <w:basedOn w:val="CommentTextChar"/>
    <w:link w:val="CommentSubject"/>
    <w:uiPriority w:val="99"/>
    <w:semiHidden/>
    <w:rsid w:val="00415BE0"/>
    <w:rPr>
      <w:rFonts w:ascii="Calibri" w:eastAsia="Calibri" w:hAnsi="Calibri" w:cs="Times New Roman"/>
      <w:b/>
      <w:bCs/>
      <w:sz w:val="20"/>
      <w:szCs w:val="20"/>
    </w:rPr>
  </w:style>
  <w:style w:type="character" w:customStyle="1" w:styleId="ListParagraphChar">
    <w:name w:val="List Paragraph Char"/>
    <w:link w:val="ListParagraph"/>
    <w:uiPriority w:val="99"/>
    <w:locked/>
    <w:rsid w:val="00BD5B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E4"/>
    <w:rPr>
      <w:rFonts w:ascii="Calibri" w:eastAsia="Calibri" w:hAnsi="Calibri" w:cs="Times New Roman"/>
    </w:rPr>
  </w:style>
  <w:style w:type="paragraph" w:styleId="Heading1">
    <w:name w:val="heading 1"/>
    <w:aliases w:val="CGEY,h1"/>
    <w:basedOn w:val="Normal"/>
    <w:next w:val="Normal"/>
    <w:link w:val="Heading1Char"/>
    <w:qFormat/>
    <w:rsid w:val="008A5B83"/>
    <w:pPr>
      <w:keepNext/>
      <w:numPr>
        <w:numId w:val="7"/>
      </w:numPr>
      <w:pBdr>
        <w:top w:val="single" w:sz="12" w:space="6" w:color="auto"/>
      </w:pBdr>
      <w:tabs>
        <w:tab w:val="clear" w:pos="709"/>
      </w:tabs>
      <w:autoSpaceDE w:val="0"/>
      <w:autoSpaceDN w:val="0"/>
      <w:spacing w:after="0" w:line="240" w:lineRule="auto"/>
      <w:ind w:left="567" w:hanging="567"/>
      <w:jc w:val="both"/>
      <w:outlineLvl w:val="0"/>
    </w:pPr>
    <w:rPr>
      <w:rFonts w:ascii="Arial Narrow" w:eastAsia="Times New Roman" w:hAnsi="Arial Narrow" w:cs="Arial"/>
      <w:b/>
      <w:bCs/>
      <w:sz w:val="24"/>
      <w:szCs w:val="28"/>
      <w:lang w:eastAsia="en-AU"/>
    </w:rPr>
  </w:style>
  <w:style w:type="paragraph" w:styleId="Heading2">
    <w:name w:val="heading 2"/>
    <w:aliases w:val="CGEY Heading 2,h2,Major Heading,2,Titre 2,h21"/>
    <w:basedOn w:val="Normal"/>
    <w:next w:val="Normal"/>
    <w:link w:val="Heading2Char"/>
    <w:qFormat/>
    <w:rsid w:val="008A5B83"/>
    <w:pPr>
      <w:keepNext/>
      <w:numPr>
        <w:ilvl w:val="1"/>
        <w:numId w:val="7"/>
      </w:numPr>
      <w:autoSpaceDE w:val="0"/>
      <w:autoSpaceDN w:val="0"/>
      <w:spacing w:before="180" w:after="120" w:line="240" w:lineRule="auto"/>
      <w:jc w:val="both"/>
      <w:outlineLvl w:val="1"/>
    </w:pPr>
    <w:rPr>
      <w:rFonts w:ascii="Arial" w:eastAsia="Times New Roman" w:hAnsi="Arial" w:cs="Arial"/>
      <w:b/>
      <w:bCs/>
      <w:sz w:val="24"/>
      <w:szCs w:val="24"/>
      <w:lang w:eastAsia="en-AU"/>
    </w:rPr>
  </w:style>
  <w:style w:type="paragraph" w:styleId="Heading3">
    <w:name w:val="heading 3"/>
    <w:aliases w:val="h31,h3,3,Titre 3,Sub"/>
    <w:basedOn w:val="Normal"/>
    <w:next w:val="Normal"/>
    <w:link w:val="Heading3Char"/>
    <w:qFormat/>
    <w:rsid w:val="008A5B83"/>
    <w:pPr>
      <w:numPr>
        <w:ilvl w:val="2"/>
        <w:numId w:val="7"/>
      </w:numPr>
      <w:autoSpaceDE w:val="0"/>
      <w:autoSpaceDN w:val="0"/>
      <w:spacing w:after="120" w:line="240" w:lineRule="auto"/>
      <w:jc w:val="both"/>
      <w:outlineLvl w:val="2"/>
    </w:pPr>
    <w:rPr>
      <w:rFonts w:ascii="Times New Roman Bold" w:eastAsia="Times New Roman" w:hAnsi="Times New Roman Bold"/>
      <w:b/>
      <w:sz w:val="24"/>
      <w:szCs w:val="24"/>
      <w:lang w:eastAsia="en-AU"/>
    </w:rPr>
  </w:style>
  <w:style w:type="paragraph" w:styleId="Heading4">
    <w:name w:val="heading 4"/>
    <w:aliases w:val="h4,Level 2 - a"/>
    <w:basedOn w:val="Normal"/>
    <w:next w:val="Normal"/>
    <w:link w:val="Heading4Char"/>
    <w:qFormat/>
    <w:rsid w:val="008A5B83"/>
    <w:pPr>
      <w:numPr>
        <w:ilvl w:val="3"/>
        <w:numId w:val="7"/>
      </w:numPr>
      <w:autoSpaceDE w:val="0"/>
      <w:autoSpaceDN w:val="0"/>
      <w:spacing w:after="120" w:line="240" w:lineRule="auto"/>
      <w:jc w:val="both"/>
      <w:outlineLvl w:val="3"/>
    </w:pPr>
    <w:rPr>
      <w:rFonts w:ascii="Times New Roman" w:eastAsia="Times New Roman" w:hAnsi="Times New Roman"/>
      <w:sz w:val="24"/>
      <w:szCs w:val="24"/>
      <w:lang w:eastAsia="en-AU"/>
    </w:rPr>
  </w:style>
  <w:style w:type="paragraph" w:styleId="Heading5">
    <w:name w:val="heading 5"/>
    <w:basedOn w:val="Normal"/>
    <w:next w:val="Normal"/>
    <w:link w:val="Heading5Char"/>
    <w:qFormat/>
    <w:rsid w:val="008A5B83"/>
    <w:pPr>
      <w:numPr>
        <w:ilvl w:val="4"/>
        <w:numId w:val="7"/>
      </w:numPr>
      <w:autoSpaceDE w:val="0"/>
      <w:autoSpaceDN w:val="0"/>
      <w:spacing w:after="120" w:line="240" w:lineRule="auto"/>
      <w:jc w:val="both"/>
      <w:outlineLvl w:val="4"/>
    </w:pPr>
    <w:rPr>
      <w:rFonts w:ascii="Times New Roman" w:eastAsia="Times New Roman" w:hAnsi="Times New Roman"/>
      <w:sz w:val="24"/>
      <w:szCs w:val="24"/>
      <w:lang w:eastAsia="en-AU"/>
    </w:rPr>
  </w:style>
  <w:style w:type="paragraph" w:styleId="Heading6">
    <w:name w:val="heading 6"/>
    <w:basedOn w:val="Normal"/>
    <w:next w:val="Normal"/>
    <w:link w:val="Heading6Char"/>
    <w:qFormat/>
    <w:rsid w:val="008A5B83"/>
    <w:pPr>
      <w:numPr>
        <w:ilvl w:val="5"/>
        <w:numId w:val="7"/>
      </w:numPr>
      <w:autoSpaceDE w:val="0"/>
      <w:autoSpaceDN w:val="0"/>
      <w:spacing w:after="120" w:line="240" w:lineRule="auto"/>
      <w:jc w:val="both"/>
      <w:outlineLvl w:val="5"/>
    </w:pPr>
    <w:rPr>
      <w:rFonts w:ascii="Times New Roman" w:eastAsia="Times New Roman" w:hAnsi="Times New Roman"/>
      <w:sz w:val="24"/>
      <w:szCs w:val="24"/>
      <w:lang w:eastAsia="en-AU"/>
    </w:rPr>
  </w:style>
  <w:style w:type="paragraph" w:styleId="Heading7">
    <w:name w:val="heading 7"/>
    <w:basedOn w:val="Normal"/>
    <w:next w:val="Normal"/>
    <w:link w:val="Heading7Char"/>
    <w:qFormat/>
    <w:rsid w:val="008A5B83"/>
    <w:pPr>
      <w:numPr>
        <w:ilvl w:val="6"/>
        <w:numId w:val="7"/>
      </w:numPr>
      <w:autoSpaceDE w:val="0"/>
      <w:autoSpaceDN w:val="0"/>
      <w:spacing w:after="120" w:line="240" w:lineRule="auto"/>
      <w:jc w:val="both"/>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qFormat/>
    <w:rsid w:val="008A5B83"/>
    <w:pPr>
      <w:numPr>
        <w:ilvl w:val="7"/>
        <w:numId w:val="7"/>
      </w:numPr>
      <w:autoSpaceDE w:val="0"/>
      <w:autoSpaceDN w:val="0"/>
      <w:spacing w:after="120" w:line="240" w:lineRule="auto"/>
      <w:jc w:val="both"/>
      <w:outlineLvl w:val="7"/>
    </w:pPr>
    <w:rPr>
      <w:rFonts w:ascii="Times New Roman" w:eastAsia="Times New Roman" w:hAnsi="Times New Roman"/>
      <w:sz w:val="24"/>
      <w:szCs w:val="24"/>
      <w:lang w:eastAsia="en-AU"/>
    </w:rPr>
  </w:style>
  <w:style w:type="paragraph" w:styleId="Heading9">
    <w:name w:val="heading 9"/>
    <w:basedOn w:val="Normal"/>
    <w:next w:val="Normal"/>
    <w:link w:val="Heading9Char"/>
    <w:qFormat/>
    <w:rsid w:val="008A5B83"/>
    <w:pPr>
      <w:numPr>
        <w:ilvl w:val="8"/>
        <w:numId w:val="7"/>
      </w:numPr>
      <w:autoSpaceDE w:val="0"/>
      <w:autoSpaceDN w:val="0"/>
      <w:spacing w:before="240" w:after="60" w:line="240" w:lineRule="auto"/>
      <w:jc w:val="both"/>
      <w:outlineLvl w:val="8"/>
    </w:pPr>
    <w:rPr>
      <w:rFonts w:ascii="Arial" w:eastAsia="Times New Roman" w:hAnsi="Arial" w:cs="Arial"/>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069E4"/>
    <w:pPr>
      <w:ind w:left="720"/>
      <w:contextualSpacing/>
    </w:pPr>
  </w:style>
  <w:style w:type="paragraph" w:styleId="BalloonText">
    <w:name w:val="Balloon Text"/>
    <w:basedOn w:val="Normal"/>
    <w:link w:val="BalloonTextChar"/>
    <w:uiPriority w:val="99"/>
    <w:semiHidden/>
    <w:unhideWhenUsed/>
    <w:rsid w:val="0030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E4"/>
    <w:rPr>
      <w:rFonts w:ascii="Tahoma" w:eastAsia="Calibri" w:hAnsi="Tahoma" w:cs="Tahoma"/>
      <w:sz w:val="16"/>
      <w:szCs w:val="16"/>
    </w:rPr>
  </w:style>
  <w:style w:type="character" w:customStyle="1" w:styleId="Heading1Char">
    <w:name w:val="Heading 1 Char"/>
    <w:aliases w:val="CGEY Char,h1 Char"/>
    <w:basedOn w:val="DefaultParagraphFont"/>
    <w:link w:val="Heading1"/>
    <w:rsid w:val="008A5B83"/>
    <w:rPr>
      <w:rFonts w:ascii="Arial Narrow" w:eastAsia="Times New Roman" w:hAnsi="Arial Narrow" w:cs="Arial"/>
      <w:b/>
      <w:bCs/>
      <w:sz w:val="24"/>
      <w:szCs w:val="28"/>
      <w:lang w:eastAsia="en-AU"/>
    </w:rPr>
  </w:style>
  <w:style w:type="character" w:customStyle="1" w:styleId="Heading2Char">
    <w:name w:val="Heading 2 Char"/>
    <w:aliases w:val="CGEY Heading 2 Char,h2 Char,Major Heading Char,2 Char,Titre 2 Char,h21 Char"/>
    <w:basedOn w:val="DefaultParagraphFont"/>
    <w:link w:val="Heading2"/>
    <w:rsid w:val="008A5B83"/>
    <w:rPr>
      <w:rFonts w:ascii="Arial" w:eastAsia="Times New Roman" w:hAnsi="Arial" w:cs="Arial"/>
      <w:b/>
      <w:bCs/>
      <w:sz w:val="24"/>
      <w:szCs w:val="24"/>
      <w:lang w:eastAsia="en-AU"/>
    </w:rPr>
  </w:style>
  <w:style w:type="character" w:customStyle="1" w:styleId="Heading3Char">
    <w:name w:val="Heading 3 Char"/>
    <w:aliases w:val="h31 Char,h3 Char,3 Char,Titre 3 Char,Sub Char"/>
    <w:basedOn w:val="DefaultParagraphFont"/>
    <w:link w:val="Heading3"/>
    <w:rsid w:val="008A5B83"/>
    <w:rPr>
      <w:rFonts w:ascii="Times New Roman Bold" w:eastAsia="Times New Roman" w:hAnsi="Times New Roman Bold" w:cs="Times New Roman"/>
      <w:b/>
      <w:sz w:val="24"/>
      <w:szCs w:val="24"/>
      <w:lang w:eastAsia="en-AU"/>
    </w:rPr>
  </w:style>
  <w:style w:type="character" w:customStyle="1" w:styleId="Heading4Char">
    <w:name w:val="Heading 4 Char"/>
    <w:aliases w:val="h4 Char,Level 2 - a Char"/>
    <w:basedOn w:val="DefaultParagraphFont"/>
    <w:link w:val="Heading4"/>
    <w:rsid w:val="008A5B83"/>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8A5B83"/>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8A5B83"/>
    <w:rPr>
      <w:rFonts w:ascii="Times New Roman" w:eastAsia="Times New Roman" w:hAnsi="Times New Roman" w:cs="Times New Roman"/>
      <w:sz w:val="24"/>
      <w:szCs w:val="24"/>
      <w:lang w:eastAsia="en-AU"/>
    </w:rPr>
  </w:style>
  <w:style w:type="character" w:customStyle="1" w:styleId="Heading7Char">
    <w:name w:val="Heading 7 Char"/>
    <w:basedOn w:val="DefaultParagraphFont"/>
    <w:link w:val="Heading7"/>
    <w:rsid w:val="008A5B83"/>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8A5B83"/>
    <w:rPr>
      <w:rFonts w:ascii="Times New Roman" w:eastAsia="Times New Roman" w:hAnsi="Times New Roman" w:cs="Times New Roman"/>
      <w:sz w:val="24"/>
      <w:szCs w:val="24"/>
      <w:lang w:eastAsia="en-AU"/>
    </w:rPr>
  </w:style>
  <w:style w:type="character" w:customStyle="1" w:styleId="Heading9Char">
    <w:name w:val="Heading 9 Char"/>
    <w:basedOn w:val="DefaultParagraphFont"/>
    <w:link w:val="Heading9"/>
    <w:rsid w:val="008A5B83"/>
    <w:rPr>
      <w:rFonts w:ascii="Arial" w:eastAsia="Times New Roman" w:hAnsi="Arial" w:cs="Arial"/>
      <w:sz w:val="18"/>
      <w:szCs w:val="18"/>
      <w:lang w:eastAsia="en-AU"/>
    </w:r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semiHidden/>
    <w:unhideWhenUsed/>
    <w:rsid w:val="000F7ECD"/>
    <w:pPr>
      <w:spacing w:after="0" w:line="240" w:lineRule="auto"/>
    </w:pPr>
    <w:rPr>
      <w:sz w:val="20"/>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NECG) Footnote Text Char"/>
    <w:basedOn w:val="DefaultParagraphFont"/>
    <w:link w:val="FootnoteText"/>
    <w:uiPriority w:val="99"/>
    <w:semiHidden/>
    <w:rsid w:val="000F7ECD"/>
    <w:rPr>
      <w:rFonts w:ascii="Calibri" w:eastAsia="Calibri" w:hAnsi="Calibri" w:cs="Times New Roman"/>
      <w:sz w:val="20"/>
      <w:szCs w:val="20"/>
    </w:rPr>
  </w:style>
  <w:style w:type="character" w:styleId="FootnoteReference">
    <w:name w:val="footnote reference"/>
    <w:aliases w:val="(NECG) Footnote Reference,SFG_Footnote_Reference"/>
    <w:basedOn w:val="DefaultParagraphFont"/>
    <w:uiPriority w:val="99"/>
    <w:semiHidden/>
    <w:unhideWhenUsed/>
    <w:rsid w:val="000F7ECD"/>
    <w:rPr>
      <w:vertAlign w:val="superscript"/>
    </w:rPr>
  </w:style>
  <w:style w:type="paragraph" w:customStyle="1" w:styleId="jfootnote">
    <w:name w:val="jfootnote"/>
    <w:basedOn w:val="FootnoteText"/>
    <w:uiPriority w:val="99"/>
    <w:rsid w:val="00CF182E"/>
    <w:pPr>
      <w:spacing w:after="20"/>
    </w:pPr>
    <w:rPr>
      <w:rFonts w:ascii="Arial" w:hAnsi="Arial"/>
      <w:sz w:val="14"/>
      <w:szCs w:val="14"/>
      <w:lang w:eastAsia="en-AU"/>
    </w:rPr>
  </w:style>
  <w:style w:type="table" w:styleId="TableGrid">
    <w:name w:val="Table Grid"/>
    <w:basedOn w:val="TableNormal"/>
    <w:uiPriority w:val="59"/>
    <w:rsid w:val="0058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5BE0"/>
    <w:rPr>
      <w:sz w:val="16"/>
      <w:szCs w:val="16"/>
    </w:rPr>
  </w:style>
  <w:style w:type="paragraph" w:styleId="CommentText">
    <w:name w:val="annotation text"/>
    <w:basedOn w:val="Normal"/>
    <w:link w:val="CommentTextChar"/>
    <w:uiPriority w:val="99"/>
    <w:semiHidden/>
    <w:unhideWhenUsed/>
    <w:rsid w:val="00415BE0"/>
    <w:pPr>
      <w:spacing w:line="240" w:lineRule="auto"/>
    </w:pPr>
    <w:rPr>
      <w:sz w:val="20"/>
      <w:szCs w:val="20"/>
    </w:rPr>
  </w:style>
  <w:style w:type="character" w:customStyle="1" w:styleId="CommentTextChar">
    <w:name w:val="Comment Text Char"/>
    <w:basedOn w:val="DefaultParagraphFont"/>
    <w:link w:val="CommentText"/>
    <w:uiPriority w:val="99"/>
    <w:semiHidden/>
    <w:rsid w:val="00415B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5BE0"/>
    <w:rPr>
      <w:b/>
      <w:bCs/>
    </w:rPr>
  </w:style>
  <w:style w:type="character" w:customStyle="1" w:styleId="CommentSubjectChar">
    <w:name w:val="Comment Subject Char"/>
    <w:basedOn w:val="CommentTextChar"/>
    <w:link w:val="CommentSubject"/>
    <w:uiPriority w:val="99"/>
    <w:semiHidden/>
    <w:rsid w:val="00415BE0"/>
    <w:rPr>
      <w:rFonts w:ascii="Calibri" w:eastAsia="Calibri" w:hAnsi="Calibri" w:cs="Times New Roman"/>
      <w:b/>
      <w:bCs/>
      <w:sz w:val="20"/>
      <w:szCs w:val="20"/>
    </w:rPr>
  </w:style>
  <w:style w:type="character" w:customStyle="1" w:styleId="ListParagraphChar">
    <w:name w:val="List Paragraph Char"/>
    <w:link w:val="ListParagraph"/>
    <w:uiPriority w:val="99"/>
    <w:locked/>
    <w:rsid w:val="00BD5B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9494">
      <w:bodyDiv w:val="1"/>
      <w:marLeft w:val="0"/>
      <w:marRight w:val="0"/>
      <w:marTop w:val="0"/>
      <w:marBottom w:val="0"/>
      <w:divBdr>
        <w:top w:val="none" w:sz="0" w:space="0" w:color="auto"/>
        <w:left w:val="none" w:sz="0" w:space="0" w:color="auto"/>
        <w:bottom w:val="none" w:sz="0" w:space="0" w:color="auto"/>
        <w:right w:val="none" w:sz="0" w:space="0" w:color="auto"/>
      </w:divBdr>
    </w:div>
    <w:div w:id="240910470">
      <w:bodyDiv w:val="1"/>
      <w:marLeft w:val="0"/>
      <w:marRight w:val="0"/>
      <w:marTop w:val="0"/>
      <w:marBottom w:val="0"/>
      <w:divBdr>
        <w:top w:val="none" w:sz="0" w:space="0" w:color="auto"/>
        <w:left w:val="none" w:sz="0" w:space="0" w:color="auto"/>
        <w:bottom w:val="none" w:sz="0" w:space="0" w:color="auto"/>
        <w:right w:val="none" w:sz="0" w:space="0" w:color="auto"/>
      </w:divBdr>
    </w:div>
    <w:div w:id="615521107">
      <w:bodyDiv w:val="1"/>
      <w:marLeft w:val="0"/>
      <w:marRight w:val="0"/>
      <w:marTop w:val="0"/>
      <w:marBottom w:val="0"/>
      <w:divBdr>
        <w:top w:val="none" w:sz="0" w:space="0" w:color="auto"/>
        <w:left w:val="none" w:sz="0" w:space="0" w:color="auto"/>
        <w:bottom w:val="none" w:sz="0" w:space="0" w:color="auto"/>
        <w:right w:val="none" w:sz="0" w:space="0" w:color="auto"/>
      </w:divBdr>
    </w:div>
    <w:div w:id="638875929">
      <w:bodyDiv w:val="1"/>
      <w:marLeft w:val="0"/>
      <w:marRight w:val="0"/>
      <w:marTop w:val="0"/>
      <w:marBottom w:val="0"/>
      <w:divBdr>
        <w:top w:val="none" w:sz="0" w:space="0" w:color="auto"/>
        <w:left w:val="none" w:sz="0" w:space="0" w:color="auto"/>
        <w:bottom w:val="none" w:sz="0" w:space="0" w:color="auto"/>
        <w:right w:val="none" w:sz="0" w:space="0" w:color="auto"/>
      </w:divBdr>
    </w:div>
    <w:div w:id="640428385">
      <w:bodyDiv w:val="1"/>
      <w:marLeft w:val="0"/>
      <w:marRight w:val="0"/>
      <w:marTop w:val="0"/>
      <w:marBottom w:val="0"/>
      <w:divBdr>
        <w:top w:val="none" w:sz="0" w:space="0" w:color="auto"/>
        <w:left w:val="none" w:sz="0" w:space="0" w:color="auto"/>
        <w:bottom w:val="none" w:sz="0" w:space="0" w:color="auto"/>
        <w:right w:val="none" w:sz="0" w:space="0" w:color="auto"/>
      </w:divBdr>
    </w:div>
    <w:div w:id="672487759">
      <w:bodyDiv w:val="1"/>
      <w:marLeft w:val="0"/>
      <w:marRight w:val="0"/>
      <w:marTop w:val="0"/>
      <w:marBottom w:val="0"/>
      <w:divBdr>
        <w:top w:val="none" w:sz="0" w:space="0" w:color="auto"/>
        <w:left w:val="none" w:sz="0" w:space="0" w:color="auto"/>
        <w:bottom w:val="none" w:sz="0" w:space="0" w:color="auto"/>
        <w:right w:val="none" w:sz="0" w:space="0" w:color="auto"/>
      </w:divBdr>
    </w:div>
    <w:div w:id="14065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CB2B-3A45-4D81-ACB0-32153373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Bucki</dc:creator>
  <cp:lastModifiedBy>Copeland, Tracey</cp:lastModifiedBy>
  <cp:revision>49</cp:revision>
  <cp:lastPrinted>2012-11-05T01:29:00Z</cp:lastPrinted>
  <dcterms:created xsi:type="dcterms:W3CDTF">2012-11-05T04:13:00Z</dcterms:created>
  <dcterms:modified xsi:type="dcterms:W3CDTF">2012-11-09T03:09:00Z</dcterms:modified>
</cp:coreProperties>
</file>