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CF" w:rsidRPr="009064EA" w:rsidRDefault="00CD5558" w:rsidP="00264934">
      <w:pPr>
        <w:tabs>
          <w:tab w:val="left" w:pos="567"/>
        </w:tabs>
        <w:spacing w:after="0" w:line="240" w:lineRule="auto"/>
        <w:ind w:left="567" w:hanging="567"/>
        <w:rPr>
          <w:rFonts w:ascii="Arial Narrow" w:hAnsi="Arial Narrow"/>
          <w:b/>
          <w:color w:val="17365D" w:themeColor="text2" w:themeShade="BF"/>
          <w:sz w:val="32"/>
          <w:szCs w:val="32"/>
        </w:rPr>
      </w:pPr>
      <w:bookmarkStart w:id="0" w:name="_GoBack"/>
      <w:bookmarkEnd w:id="0"/>
      <w:r>
        <w:rPr>
          <w:rFonts w:ascii="Arial Narrow" w:hAnsi="Arial Narrow"/>
          <w:b/>
          <w:color w:val="17365D" w:themeColor="text2" w:themeShade="BF"/>
          <w:sz w:val="32"/>
          <w:szCs w:val="32"/>
        </w:rPr>
        <w:t>13-6</w:t>
      </w:r>
      <w:r w:rsidR="00461CCF" w:rsidRPr="009064EA">
        <w:rPr>
          <w:rFonts w:ascii="Arial Narrow" w:hAnsi="Arial Narrow"/>
          <w:b/>
          <w:color w:val="17365D" w:themeColor="text2" w:themeShade="BF"/>
          <w:sz w:val="32"/>
          <w:szCs w:val="32"/>
        </w:rPr>
        <w:tab/>
      </w:r>
      <w:r w:rsidR="001C35C2">
        <w:rPr>
          <w:rFonts w:ascii="Arial Narrow" w:hAnsi="Arial Narrow"/>
          <w:b/>
          <w:color w:val="17365D" w:themeColor="text2" w:themeShade="BF"/>
          <w:sz w:val="32"/>
          <w:szCs w:val="32"/>
        </w:rPr>
        <w:t xml:space="preserve">Response to Draft Decision: </w:t>
      </w:r>
      <w:r w:rsidR="00264934">
        <w:rPr>
          <w:rFonts w:ascii="Arial Narrow" w:hAnsi="Arial Narrow"/>
          <w:b/>
          <w:color w:val="17365D" w:themeColor="text2" w:themeShade="BF"/>
          <w:sz w:val="32"/>
          <w:szCs w:val="32"/>
        </w:rPr>
        <w:t xml:space="preserve"> </w:t>
      </w:r>
      <w:r w:rsidR="009064EA">
        <w:rPr>
          <w:rFonts w:ascii="Arial Narrow" w:hAnsi="Arial Narrow"/>
          <w:b/>
          <w:color w:val="17365D" w:themeColor="text2" w:themeShade="BF"/>
          <w:sz w:val="32"/>
          <w:szCs w:val="32"/>
        </w:rPr>
        <w:t>Demand Forecasts</w:t>
      </w:r>
    </w:p>
    <w:p w:rsidR="00461CCF" w:rsidRDefault="00461CCF" w:rsidP="004571B9">
      <w:pPr>
        <w:tabs>
          <w:tab w:val="left" w:pos="567"/>
        </w:tabs>
        <w:spacing w:after="0" w:line="240" w:lineRule="auto"/>
        <w:ind w:left="567" w:hanging="567"/>
        <w:rPr>
          <w:rFonts w:ascii="Arial Narrow" w:hAnsi="Arial Narrow"/>
          <w:b/>
          <w:sz w:val="24"/>
          <w:szCs w:val="24"/>
        </w:rPr>
      </w:pPr>
    </w:p>
    <w:p w:rsidR="00461CCF" w:rsidRPr="00741C89" w:rsidRDefault="00461CCF" w:rsidP="004571B9">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741C89">
        <w:rPr>
          <w:rFonts w:ascii="Arial Narrow" w:hAnsi="Arial Narrow" w:cs="Arial Narrow"/>
          <w:b/>
          <w:bCs/>
          <w:color w:val="17365D" w:themeColor="text2" w:themeShade="BF"/>
          <w:sz w:val="24"/>
          <w:szCs w:val="24"/>
          <w:lang w:val="en-US"/>
        </w:rPr>
        <w:t>1</w:t>
      </w:r>
      <w:r w:rsidR="007C4E0E">
        <w:rPr>
          <w:rFonts w:ascii="Arial Narrow" w:hAnsi="Arial Narrow" w:cs="Arial Narrow"/>
          <w:b/>
          <w:bCs/>
          <w:color w:val="17365D" w:themeColor="text2" w:themeShade="BF"/>
          <w:sz w:val="24"/>
          <w:szCs w:val="24"/>
          <w:lang w:val="en-US"/>
        </w:rPr>
        <w:t>.</w:t>
      </w:r>
      <w:r w:rsidRPr="00741C89">
        <w:rPr>
          <w:rFonts w:ascii="Arial Narrow" w:hAnsi="Arial Narrow" w:cs="Arial Narrow"/>
          <w:b/>
          <w:bCs/>
          <w:color w:val="17365D" w:themeColor="text2" w:themeShade="BF"/>
          <w:sz w:val="24"/>
          <w:szCs w:val="24"/>
          <w:lang w:val="en-US"/>
        </w:rPr>
        <w:tab/>
        <w:t>Introduction</w:t>
      </w:r>
    </w:p>
    <w:p w:rsidR="00461CCF" w:rsidRPr="00461849" w:rsidRDefault="00461CCF" w:rsidP="004571B9">
      <w:pPr>
        <w:spacing w:after="0" w:line="240" w:lineRule="auto"/>
        <w:rPr>
          <w:rFonts w:ascii="Arial Narrow" w:hAnsi="Arial Narrow" w:cs="Arial Narrow"/>
          <w:b/>
          <w:bCs/>
          <w:sz w:val="24"/>
          <w:szCs w:val="24"/>
          <w:lang w:val="en-US"/>
        </w:rPr>
      </w:pPr>
    </w:p>
    <w:p w:rsidR="00207989" w:rsidRDefault="001C35C2" w:rsidP="004571B9">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The AER’s Draft Decision did not approve Envestra’s forecas</w:t>
      </w:r>
      <w:r w:rsidR="00CD2392">
        <w:rPr>
          <w:rFonts w:ascii="Arial Narrow" w:hAnsi="Arial Narrow" w:cs="Arial Narrow"/>
          <w:sz w:val="24"/>
          <w:szCs w:val="24"/>
          <w:lang w:val="en-US"/>
        </w:rPr>
        <w:t>t of customer numbers, volume or</w:t>
      </w:r>
      <w:r>
        <w:rPr>
          <w:rFonts w:ascii="Arial Narrow" w:hAnsi="Arial Narrow" w:cs="Arial Narrow"/>
          <w:sz w:val="24"/>
          <w:szCs w:val="24"/>
          <w:lang w:val="en-US"/>
        </w:rPr>
        <w:t xml:space="preserve"> Maximum Hourly Quantity (MHQ) for the Victorian and Albury networks. </w:t>
      </w:r>
      <w:r w:rsidR="00207989">
        <w:rPr>
          <w:rFonts w:ascii="Arial Narrow" w:hAnsi="Arial Narrow" w:cs="Arial Narrow"/>
          <w:sz w:val="24"/>
          <w:szCs w:val="24"/>
          <w:lang w:val="en-US"/>
        </w:rPr>
        <w:t>In short, t</w:t>
      </w:r>
      <w:r w:rsidR="00013146">
        <w:rPr>
          <w:rFonts w:ascii="Arial Narrow" w:hAnsi="Arial Narrow" w:cs="Arial Narrow"/>
          <w:sz w:val="24"/>
          <w:szCs w:val="24"/>
          <w:lang w:val="en-US"/>
        </w:rPr>
        <w:t>he AER</w:t>
      </w:r>
      <w:r w:rsidR="006B082C">
        <w:rPr>
          <w:rFonts w:ascii="Arial Narrow" w:hAnsi="Arial Narrow" w:cs="Arial Narrow"/>
          <w:sz w:val="24"/>
          <w:szCs w:val="24"/>
          <w:lang w:val="en-US"/>
        </w:rPr>
        <w:t xml:space="preserve"> accepted the methodology </w:t>
      </w:r>
      <w:r w:rsidR="00207989">
        <w:rPr>
          <w:rFonts w:ascii="Arial Narrow" w:hAnsi="Arial Narrow" w:cs="Arial Narrow"/>
          <w:sz w:val="24"/>
          <w:szCs w:val="24"/>
          <w:lang w:val="en-US"/>
        </w:rPr>
        <w:t>but</w:t>
      </w:r>
      <w:r w:rsidR="00C128B4">
        <w:rPr>
          <w:rFonts w:ascii="Arial Narrow" w:hAnsi="Arial Narrow" w:cs="Arial Narrow"/>
          <w:sz w:val="24"/>
          <w:szCs w:val="24"/>
          <w:lang w:val="en-US"/>
        </w:rPr>
        <w:t xml:space="preserve"> rejected certain of the input parameters </w:t>
      </w:r>
      <w:r w:rsidR="006B082C">
        <w:rPr>
          <w:rFonts w:ascii="Arial Narrow" w:hAnsi="Arial Narrow" w:cs="Arial Narrow"/>
          <w:sz w:val="24"/>
          <w:szCs w:val="24"/>
          <w:lang w:val="en-US"/>
        </w:rPr>
        <w:t>used by Envestra’s consultant</w:t>
      </w:r>
      <w:r w:rsidR="006102E5">
        <w:rPr>
          <w:rFonts w:ascii="Arial Narrow" w:hAnsi="Arial Narrow" w:cs="Arial Narrow"/>
          <w:sz w:val="24"/>
          <w:szCs w:val="24"/>
          <w:lang w:val="en-US"/>
        </w:rPr>
        <w:t>,</w:t>
      </w:r>
      <w:r w:rsidR="006B082C">
        <w:rPr>
          <w:rFonts w:ascii="Arial Narrow" w:hAnsi="Arial Narrow" w:cs="Arial Narrow"/>
          <w:sz w:val="24"/>
          <w:szCs w:val="24"/>
          <w:lang w:val="en-US"/>
        </w:rPr>
        <w:t xml:space="preserve"> Core Energy</w:t>
      </w:r>
      <w:r w:rsidR="006102E5">
        <w:rPr>
          <w:rFonts w:ascii="Arial Narrow" w:hAnsi="Arial Narrow" w:cs="Arial Narrow"/>
          <w:sz w:val="24"/>
          <w:szCs w:val="24"/>
          <w:lang w:val="en-US"/>
        </w:rPr>
        <w:t>,</w:t>
      </w:r>
      <w:r w:rsidR="006B082C">
        <w:rPr>
          <w:rFonts w:ascii="Arial Narrow" w:hAnsi="Arial Narrow" w:cs="Arial Narrow"/>
          <w:sz w:val="24"/>
          <w:szCs w:val="24"/>
          <w:lang w:val="en-US"/>
        </w:rPr>
        <w:t xml:space="preserve"> </w:t>
      </w:r>
      <w:r w:rsidR="00207989">
        <w:rPr>
          <w:rFonts w:ascii="Arial Narrow" w:hAnsi="Arial Narrow" w:cs="Arial Narrow"/>
          <w:sz w:val="24"/>
          <w:szCs w:val="24"/>
          <w:lang w:val="en-US"/>
        </w:rPr>
        <w:t>to develop the forecasts. The key changes made by the AER to Envestra’s proposed forecasts related to:</w:t>
      </w:r>
    </w:p>
    <w:p w:rsidR="00207989" w:rsidRDefault="00207989" w:rsidP="004571B9">
      <w:pPr>
        <w:spacing w:after="0" w:line="240" w:lineRule="auto"/>
        <w:jc w:val="both"/>
        <w:rPr>
          <w:rFonts w:ascii="Arial Narrow" w:hAnsi="Arial Narrow" w:cs="Arial Narrow"/>
          <w:sz w:val="24"/>
          <w:szCs w:val="24"/>
          <w:lang w:val="en-US"/>
        </w:rPr>
      </w:pPr>
    </w:p>
    <w:p w:rsidR="00207989" w:rsidRPr="0046283C" w:rsidRDefault="00207989" w:rsidP="008411E9">
      <w:pPr>
        <w:pStyle w:val="ListParagraph"/>
        <w:numPr>
          <w:ilvl w:val="0"/>
          <w:numId w:val="29"/>
        </w:numPr>
        <w:tabs>
          <w:tab w:val="left" w:pos="426"/>
        </w:tabs>
        <w:spacing w:after="0" w:line="240" w:lineRule="auto"/>
        <w:ind w:left="426" w:hanging="426"/>
        <w:jc w:val="both"/>
        <w:rPr>
          <w:rFonts w:ascii="Arial Narrow" w:hAnsi="Arial Narrow" w:cs="Arial Narrow"/>
          <w:sz w:val="24"/>
          <w:szCs w:val="24"/>
          <w:lang w:val="en-US"/>
        </w:rPr>
      </w:pPr>
      <w:r w:rsidRPr="0046283C">
        <w:rPr>
          <w:rFonts w:ascii="Arial Narrow" w:hAnsi="Arial Narrow" w:cs="Arial Narrow"/>
          <w:sz w:val="24"/>
          <w:szCs w:val="24"/>
          <w:lang w:val="en-US"/>
        </w:rPr>
        <w:t>a change to the approach to adjust actual volume information for the impact of weather</w:t>
      </w:r>
      <w:r w:rsidR="00432C17">
        <w:rPr>
          <w:rFonts w:ascii="Arial Narrow" w:hAnsi="Arial Narrow" w:cs="Arial Narrow"/>
          <w:sz w:val="24"/>
          <w:szCs w:val="24"/>
          <w:lang w:val="en-US"/>
        </w:rPr>
        <w:t xml:space="preserve"> (Victoria only)</w:t>
      </w:r>
      <w:r w:rsidRPr="0046283C">
        <w:rPr>
          <w:rFonts w:ascii="Arial Narrow" w:hAnsi="Arial Narrow" w:cs="Arial Narrow"/>
          <w:sz w:val="24"/>
          <w:szCs w:val="24"/>
          <w:lang w:val="en-US"/>
        </w:rPr>
        <w:t>;</w:t>
      </w:r>
    </w:p>
    <w:p w:rsidR="00207989" w:rsidRPr="0046283C" w:rsidRDefault="00207989" w:rsidP="008411E9">
      <w:pPr>
        <w:pStyle w:val="ListParagraph"/>
        <w:numPr>
          <w:ilvl w:val="0"/>
          <w:numId w:val="29"/>
        </w:numPr>
        <w:tabs>
          <w:tab w:val="left" w:pos="426"/>
        </w:tabs>
        <w:spacing w:after="0" w:line="240" w:lineRule="auto"/>
        <w:ind w:left="426" w:hanging="426"/>
        <w:jc w:val="both"/>
        <w:rPr>
          <w:rFonts w:ascii="Arial Narrow" w:hAnsi="Arial Narrow" w:cs="Arial Narrow"/>
          <w:sz w:val="24"/>
          <w:szCs w:val="24"/>
          <w:lang w:val="en-US"/>
        </w:rPr>
      </w:pPr>
      <w:r w:rsidRPr="0046283C">
        <w:rPr>
          <w:rFonts w:ascii="Arial Narrow" w:hAnsi="Arial Narrow" w:cs="Arial Narrow"/>
          <w:sz w:val="24"/>
          <w:szCs w:val="24"/>
          <w:lang w:val="en-US"/>
        </w:rPr>
        <w:t>a reduction in customer numbers and volume to reflect that the AER did not accept all of Envestra’s proposed network development expenditure</w:t>
      </w:r>
      <w:r w:rsidR="00432C17">
        <w:rPr>
          <w:rFonts w:ascii="Arial Narrow" w:hAnsi="Arial Narrow" w:cs="Arial Narrow"/>
          <w:sz w:val="24"/>
          <w:szCs w:val="24"/>
          <w:lang w:val="en-US"/>
        </w:rPr>
        <w:t xml:space="preserve"> (Victoria and Albury)</w:t>
      </w:r>
      <w:r w:rsidRPr="0046283C">
        <w:rPr>
          <w:rFonts w:ascii="Arial Narrow" w:hAnsi="Arial Narrow" w:cs="Arial Narrow"/>
          <w:sz w:val="24"/>
          <w:szCs w:val="24"/>
          <w:lang w:val="en-US"/>
        </w:rPr>
        <w:t xml:space="preserve">; </w:t>
      </w:r>
      <w:r w:rsidR="00F049A0" w:rsidRPr="0046283C">
        <w:rPr>
          <w:rFonts w:ascii="Arial Narrow" w:hAnsi="Arial Narrow" w:cs="Arial Narrow"/>
          <w:sz w:val="24"/>
          <w:szCs w:val="24"/>
          <w:lang w:val="en-US"/>
        </w:rPr>
        <w:t xml:space="preserve">and </w:t>
      </w:r>
    </w:p>
    <w:p w:rsidR="00461CCF" w:rsidRPr="0046283C" w:rsidRDefault="00207989" w:rsidP="008411E9">
      <w:pPr>
        <w:pStyle w:val="ListParagraph"/>
        <w:numPr>
          <w:ilvl w:val="0"/>
          <w:numId w:val="29"/>
        </w:numPr>
        <w:tabs>
          <w:tab w:val="left" w:pos="426"/>
        </w:tabs>
        <w:spacing w:after="0" w:line="240" w:lineRule="auto"/>
        <w:ind w:left="426" w:hanging="426"/>
        <w:jc w:val="both"/>
        <w:rPr>
          <w:rFonts w:ascii="Arial Narrow" w:hAnsi="Arial Narrow" w:cs="Arial Narrow"/>
          <w:sz w:val="24"/>
          <w:szCs w:val="24"/>
          <w:lang w:val="en-US"/>
        </w:rPr>
      </w:pPr>
      <w:r w:rsidRPr="0046283C">
        <w:rPr>
          <w:rFonts w:ascii="Arial Narrow" w:hAnsi="Arial Narrow" w:cs="Arial Narrow"/>
          <w:sz w:val="24"/>
          <w:szCs w:val="24"/>
          <w:lang w:val="en-US"/>
        </w:rPr>
        <w:t xml:space="preserve">a reduction in customer numbers and demand to reflect that the AER did not accept the </w:t>
      </w:r>
      <w:r w:rsidR="00F049A0" w:rsidRPr="0046283C">
        <w:rPr>
          <w:rFonts w:ascii="Arial Narrow" w:hAnsi="Arial Narrow" w:cs="Arial Narrow"/>
          <w:sz w:val="24"/>
          <w:szCs w:val="24"/>
          <w:lang w:val="en-US"/>
        </w:rPr>
        <w:t>ex</w:t>
      </w:r>
      <w:r w:rsidRPr="0046283C">
        <w:rPr>
          <w:rFonts w:ascii="Arial Narrow" w:hAnsi="Arial Narrow" w:cs="Arial Narrow"/>
          <w:sz w:val="24"/>
          <w:szCs w:val="24"/>
          <w:lang w:val="en-US"/>
        </w:rPr>
        <w:t xml:space="preserve">tension of </w:t>
      </w:r>
      <w:r w:rsidR="00F049A0" w:rsidRPr="0046283C">
        <w:rPr>
          <w:rFonts w:ascii="Arial Narrow" w:hAnsi="Arial Narrow" w:cs="Arial Narrow"/>
          <w:sz w:val="24"/>
          <w:szCs w:val="24"/>
          <w:lang w:val="en-US"/>
        </w:rPr>
        <w:t xml:space="preserve">the network to Merrifield and </w:t>
      </w:r>
      <w:r w:rsidRPr="0046283C">
        <w:rPr>
          <w:rFonts w:ascii="Arial Narrow" w:hAnsi="Arial Narrow" w:cs="Arial Narrow"/>
          <w:sz w:val="24"/>
          <w:szCs w:val="24"/>
          <w:lang w:val="en-US"/>
        </w:rPr>
        <w:t xml:space="preserve">several regional towns (Victoria only). </w:t>
      </w:r>
    </w:p>
    <w:p w:rsidR="00461CCF" w:rsidRPr="00461849" w:rsidRDefault="00461CCF" w:rsidP="004571B9">
      <w:pPr>
        <w:spacing w:after="0" w:line="240" w:lineRule="auto"/>
        <w:jc w:val="both"/>
        <w:rPr>
          <w:rFonts w:ascii="Arial Narrow" w:hAnsi="Arial Narrow" w:cs="Arial Narrow"/>
          <w:sz w:val="24"/>
          <w:szCs w:val="24"/>
          <w:lang w:val="en-US"/>
        </w:rPr>
      </w:pPr>
    </w:p>
    <w:p w:rsidR="0046283C" w:rsidRDefault="0046283C" w:rsidP="004571B9">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Envestra has accepted the adjustment made for weather but has not accepted the adjustments made in respect of the proposed network development program or extension of the network to Merrifield and one of the proposed new towns. These matters are discussed in the remainder of this attachment. </w:t>
      </w:r>
    </w:p>
    <w:p w:rsidR="0046283C" w:rsidRDefault="0046283C" w:rsidP="004571B9">
      <w:pPr>
        <w:spacing w:after="0" w:line="240" w:lineRule="auto"/>
        <w:jc w:val="both"/>
        <w:rPr>
          <w:rFonts w:ascii="Arial Narrow" w:hAnsi="Arial Narrow" w:cs="Arial Narrow"/>
          <w:sz w:val="24"/>
          <w:szCs w:val="24"/>
          <w:lang w:val="en-US"/>
        </w:rPr>
      </w:pPr>
    </w:p>
    <w:p w:rsidR="00461CCF" w:rsidRPr="00741C89" w:rsidRDefault="00461CCF" w:rsidP="00741C89">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741C89">
        <w:rPr>
          <w:rFonts w:ascii="Arial Narrow" w:hAnsi="Arial Narrow" w:cs="Arial Narrow"/>
          <w:b/>
          <w:bCs/>
          <w:color w:val="17365D" w:themeColor="text2" w:themeShade="BF"/>
          <w:sz w:val="24"/>
          <w:szCs w:val="24"/>
          <w:lang w:val="en-US"/>
        </w:rPr>
        <w:t>2</w:t>
      </w:r>
      <w:r w:rsidR="007C4E0E">
        <w:rPr>
          <w:rFonts w:ascii="Arial Narrow" w:hAnsi="Arial Narrow" w:cs="Arial Narrow"/>
          <w:b/>
          <w:bCs/>
          <w:color w:val="17365D" w:themeColor="text2" w:themeShade="BF"/>
          <w:sz w:val="24"/>
          <w:szCs w:val="24"/>
          <w:lang w:val="en-US"/>
        </w:rPr>
        <w:t>.</w:t>
      </w:r>
      <w:r w:rsidRPr="00741C89">
        <w:rPr>
          <w:rFonts w:ascii="Arial Narrow" w:hAnsi="Arial Narrow" w:cs="Arial Narrow"/>
          <w:b/>
          <w:bCs/>
          <w:color w:val="17365D" w:themeColor="text2" w:themeShade="BF"/>
          <w:sz w:val="24"/>
          <w:szCs w:val="24"/>
          <w:lang w:val="en-US"/>
        </w:rPr>
        <w:tab/>
      </w:r>
      <w:r w:rsidR="00C817A9" w:rsidRPr="00741C89">
        <w:rPr>
          <w:rFonts w:ascii="Arial Narrow" w:hAnsi="Arial Narrow" w:cs="Arial Narrow"/>
          <w:b/>
          <w:bCs/>
          <w:color w:val="17365D" w:themeColor="text2" w:themeShade="BF"/>
          <w:sz w:val="24"/>
          <w:szCs w:val="24"/>
          <w:lang w:val="en-US"/>
        </w:rPr>
        <w:t>Weather Standard</w:t>
      </w:r>
    </w:p>
    <w:p w:rsidR="00461CCF" w:rsidRPr="00461849" w:rsidRDefault="00461CCF" w:rsidP="004571B9">
      <w:pPr>
        <w:spacing w:after="0" w:line="240" w:lineRule="auto"/>
        <w:jc w:val="both"/>
        <w:rPr>
          <w:rFonts w:ascii="Arial Narrow" w:hAnsi="Arial Narrow"/>
          <w:b/>
          <w:sz w:val="24"/>
          <w:szCs w:val="24"/>
          <w:lang w:val="en-US"/>
        </w:rPr>
      </w:pPr>
    </w:p>
    <w:p w:rsidR="0046283C" w:rsidRDefault="00216FDE" w:rsidP="00730537">
      <w:pPr>
        <w:spacing w:after="0" w:line="240" w:lineRule="auto"/>
        <w:jc w:val="both"/>
        <w:rPr>
          <w:rFonts w:ascii="Arial Narrow" w:hAnsi="Arial Narrow"/>
          <w:sz w:val="24"/>
          <w:szCs w:val="24"/>
          <w:lang w:val="en-US"/>
        </w:rPr>
      </w:pPr>
      <w:r>
        <w:rPr>
          <w:rFonts w:ascii="Arial Narrow" w:hAnsi="Arial Narrow"/>
          <w:sz w:val="24"/>
          <w:szCs w:val="24"/>
          <w:lang w:val="en-US"/>
        </w:rPr>
        <w:t>Envestra</w:t>
      </w:r>
      <w:r w:rsidR="0046283C">
        <w:rPr>
          <w:rFonts w:ascii="Arial Narrow" w:hAnsi="Arial Narrow"/>
          <w:sz w:val="24"/>
          <w:szCs w:val="24"/>
          <w:lang w:val="en-US"/>
        </w:rPr>
        <w:t xml:space="preserve"> proposed to apply </w:t>
      </w:r>
      <w:r>
        <w:rPr>
          <w:rFonts w:ascii="Arial Narrow" w:hAnsi="Arial Narrow"/>
          <w:sz w:val="24"/>
          <w:szCs w:val="24"/>
          <w:lang w:val="en-US"/>
        </w:rPr>
        <w:t xml:space="preserve">the </w:t>
      </w:r>
      <w:r w:rsidR="0046283C">
        <w:rPr>
          <w:rFonts w:ascii="Arial Narrow" w:hAnsi="Arial Narrow"/>
          <w:sz w:val="24"/>
          <w:szCs w:val="24"/>
          <w:lang w:val="en-US"/>
        </w:rPr>
        <w:t xml:space="preserve">approach developed by </w:t>
      </w:r>
      <w:r>
        <w:rPr>
          <w:rFonts w:ascii="Arial Narrow" w:hAnsi="Arial Narrow"/>
          <w:sz w:val="24"/>
          <w:szCs w:val="24"/>
          <w:lang w:val="en-US"/>
        </w:rPr>
        <w:t xml:space="preserve">CSIRO </w:t>
      </w:r>
      <w:r w:rsidR="0046283C">
        <w:rPr>
          <w:rFonts w:ascii="Arial Narrow" w:hAnsi="Arial Narrow"/>
          <w:sz w:val="24"/>
          <w:szCs w:val="24"/>
          <w:lang w:val="en-US"/>
        </w:rPr>
        <w:t xml:space="preserve">to adjust actual volumes for the impact of weather (referred to as weather normalisation). This was </w:t>
      </w:r>
      <w:r w:rsidRPr="00216FDE">
        <w:rPr>
          <w:rFonts w:ascii="Arial Narrow" w:hAnsi="Arial Narrow"/>
          <w:sz w:val="24"/>
          <w:szCs w:val="24"/>
          <w:lang w:val="en-US"/>
        </w:rPr>
        <w:t>a continuation of the approach adopted by the E</w:t>
      </w:r>
      <w:r w:rsidR="0046283C">
        <w:rPr>
          <w:rFonts w:ascii="Arial Narrow" w:hAnsi="Arial Narrow"/>
          <w:sz w:val="24"/>
          <w:szCs w:val="24"/>
          <w:lang w:val="en-US"/>
        </w:rPr>
        <w:t xml:space="preserve">ssential </w:t>
      </w:r>
      <w:r w:rsidRPr="00216FDE">
        <w:rPr>
          <w:rFonts w:ascii="Arial Narrow" w:hAnsi="Arial Narrow"/>
          <w:sz w:val="24"/>
          <w:szCs w:val="24"/>
          <w:lang w:val="en-US"/>
        </w:rPr>
        <w:t>S</w:t>
      </w:r>
      <w:r w:rsidR="0046283C">
        <w:rPr>
          <w:rFonts w:ascii="Arial Narrow" w:hAnsi="Arial Narrow"/>
          <w:sz w:val="24"/>
          <w:szCs w:val="24"/>
          <w:lang w:val="en-US"/>
        </w:rPr>
        <w:t xml:space="preserve">ervices </w:t>
      </w:r>
      <w:r w:rsidRPr="00216FDE">
        <w:rPr>
          <w:rFonts w:ascii="Arial Narrow" w:hAnsi="Arial Narrow"/>
          <w:sz w:val="24"/>
          <w:szCs w:val="24"/>
          <w:lang w:val="en-US"/>
        </w:rPr>
        <w:t>C</w:t>
      </w:r>
      <w:r w:rsidR="0046283C">
        <w:rPr>
          <w:rFonts w:ascii="Arial Narrow" w:hAnsi="Arial Narrow"/>
          <w:sz w:val="24"/>
          <w:szCs w:val="24"/>
          <w:lang w:val="en-US"/>
        </w:rPr>
        <w:t xml:space="preserve">ommission of Victoria (ESCV) </w:t>
      </w:r>
      <w:r w:rsidRPr="00216FDE">
        <w:rPr>
          <w:rFonts w:ascii="Arial Narrow" w:hAnsi="Arial Narrow"/>
          <w:sz w:val="24"/>
          <w:szCs w:val="24"/>
          <w:lang w:val="en-US"/>
        </w:rPr>
        <w:t xml:space="preserve">to set the demand forecasts for the 2008 to 2012 Access Arrangement period. </w:t>
      </w:r>
    </w:p>
    <w:p w:rsidR="0046283C" w:rsidRDefault="0046283C" w:rsidP="00730537">
      <w:pPr>
        <w:spacing w:after="0" w:line="240" w:lineRule="auto"/>
        <w:jc w:val="both"/>
        <w:rPr>
          <w:rFonts w:ascii="Arial Narrow" w:hAnsi="Arial Narrow"/>
          <w:sz w:val="24"/>
          <w:szCs w:val="24"/>
          <w:lang w:val="en-US"/>
        </w:rPr>
      </w:pPr>
    </w:p>
    <w:p w:rsidR="00216FDE" w:rsidRDefault="00216FDE" w:rsidP="00216FDE">
      <w:pPr>
        <w:spacing w:after="0" w:line="240" w:lineRule="auto"/>
        <w:jc w:val="both"/>
        <w:rPr>
          <w:rFonts w:ascii="Arial Narrow" w:hAnsi="Arial Narrow"/>
          <w:sz w:val="24"/>
          <w:szCs w:val="24"/>
          <w:lang w:val="en-US"/>
        </w:rPr>
      </w:pPr>
      <w:r w:rsidRPr="00216FDE">
        <w:rPr>
          <w:rFonts w:ascii="Arial Narrow" w:hAnsi="Arial Narrow"/>
          <w:sz w:val="24"/>
          <w:szCs w:val="24"/>
          <w:lang w:val="en-US"/>
        </w:rPr>
        <w:t xml:space="preserve">The other </w:t>
      </w:r>
      <w:r w:rsidR="0046283C">
        <w:rPr>
          <w:rFonts w:ascii="Arial Narrow" w:hAnsi="Arial Narrow"/>
          <w:sz w:val="24"/>
          <w:szCs w:val="24"/>
          <w:lang w:val="en-US"/>
        </w:rPr>
        <w:t>approach a</w:t>
      </w:r>
      <w:r w:rsidRPr="00216FDE">
        <w:rPr>
          <w:rFonts w:ascii="Arial Narrow" w:hAnsi="Arial Narrow"/>
          <w:sz w:val="24"/>
          <w:szCs w:val="24"/>
          <w:lang w:val="en-US"/>
        </w:rPr>
        <w:t>vailable to the ESC</w:t>
      </w:r>
      <w:r w:rsidR="0046283C">
        <w:rPr>
          <w:rFonts w:ascii="Arial Narrow" w:hAnsi="Arial Narrow"/>
          <w:sz w:val="24"/>
          <w:szCs w:val="24"/>
          <w:lang w:val="en-US"/>
        </w:rPr>
        <w:t>V</w:t>
      </w:r>
      <w:r w:rsidRPr="00216FDE">
        <w:rPr>
          <w:rFonts w:ascii="Arial Narrow" w:hAnsi="Arial Narrow"/>
          <w:sz w:val="24"/>
          <w:szCs w:val="24"/>
          <w:lang w:val="en-US"/>
        </w:rPr>
        <w:t xml:space="preserve"> at the time was that </w:t>
      </w:r>
      <w:r w:rsidR="0046283C">
        <w:rPr>
          <w:rFonts w:ascii="Arial Narrow" w:hAnsi="Arial Narrow"/>
          <w:sz w:val="24"/>
          <w:szCs w:val="24"/>
          <w:lang w:val="en-US"/>
        </w:rPr>
        <w:t>used</w:t>
      </w:r>
      <w:r w:rsidRPr="00216FDE">
        <w:rPr>
          <w:rFonts w:ascii="Arial Narrow" w:hAnsi="Arial Narrow"/>
          <w:sz w:val="24"/>
          <w:szCs w:val="24"/>
          <w:lang w:val="en-US"/>
        </w:rPr>
        <w:t xml:space="preserve"> by VENCorp</w:t>
      </w:r>
      <w:r w:rsidR="0046283C">
        <w:rPr>
          <w:rFonts w:ascii="Arial Narrow" w:hAnsi="Arial Narrow"/>
          <w:sz w:val="24"/>
          <w:szCs w:val="24"/>
          <w:lang w:val="en-US"/>
        </w:rPr>
        <w:t>, whom are now part of the Australian Energy Market Operator (</w:t>
      </w:r>
      <w:r w:rsidRPr="00216FDE">
        <w:rPr>
          <w:rFonts w:ascii="Arial Narrow" w:hAnsi="Arial Narrow"/>
          <w:sz w:val="24"/>
          <w:szCs w:val="24"/>
          <w:lang w:val="en-US"/>
        </w:rPr>
        <w:t>AEMO), wh</w:t>
      </w:r>
      <w:r w:rsidR="0046283C">
        <w:rPr>
          <w:rFonts w:ascii="Arial Narrow" w:hAnsi="Arial Narrow"/>
          <w:sz w:val="24"/>
          <w:szCs w:val="24"/>
          <w:lang w:val="en-US"/>
        </w:rPr>
        <w:t>o</w:t>
      </w:r>
      <w:r w:rsidRPr="00216FDE">
        <w:rPr>
          <w:rFonts w:ascii="Arial Narrow" w:hAnsi="Arial Narrow"/>
          <w:sz w:val="24"/>
          <w:szCs w:val="24"/>
          <w:lang w:val="en-US"/>
        </w:rPr>
        <w:t xml:space="preserve"> </w:t>
      </w:r>
      <w:r w:rsidR="0046283C">
        <w:rPr>
          <w:rFonts w:ascii="Arial Narrow" w:hAnsi="Arial Narrow"/>
          <w:sz w:val="24"/>
          <w:szCs w:val="24"/>
          <w:lang w:val="en-US"/>
        </w:rPr>
        <w:t xml:space="preserve">applied </w:t>
      </w:r>
      <w:r w:rsidRPr="00216FDE">
        <w:rPr>
          <w:rFonts w:ascii="Arial Narrow" w:hAnsi="Arial Narrow"/>
          <w:sz w:val="24"/>
          <w:szCs w:val="24"/>
          <w:lang w:val="en-US"/>
        </w:rPr>
        <w:t>a similar approach to that use</w:t>
      </w:r>
      <w:r w:rsidR="0046283C">
        <w:rPr>
          <w:rFonts w:ascii="Arial Narrow" w:hAnsi="Arial Narrow"/>
          <w:sz w:val="24"/>
          <w:szCs w:val="24"/>
          <w:lang w:val="en-US"/>
        </w:rPr>
        <w:t>d</w:t>
      </w:r>
      <w:r w:rsidRPr="00216FDE">
        <w:rPr>
          <w:rFonts w:ascii="Arial Narrow" w:hAnsi="Arial Narrow"/>
          <w:sz w:val="24"/>
          <w:szCs w:val="24"/>
          <w:lang w:val="en-US"/>
        </w:rPr>
        <w:t xml:space="preserve"> by AEMO in its 2012 weather standard review. Comparing the CSIRO and VENCorp approaches, the ESC</w:t>
      </w:r>
      <w:r w:rsidR="0046283C">
        <w:rPr>
          <w:rFonts w:ascii="Arial Narrow" w:hAnsi="Arial Narrow"/>
          <w:sz w:val="24"/>
          <w:szCs w:val="24"/>
          <w:lang w:val="en-US"/>
        </w:rPr>
        <w:t>V</w:t>
      </w:r>
      <w:r w:rsidRPr="00216FDE">
        <w:rPr>
          <w:rFonts w:ascii="Arial Narrow" w:hAnsi="Arial Narrow"/>
          <w:sz w:val="24"/>
          <w:szCs w:val="24"/>
          <w:lang w:val="en-US"/>
        </w:rPr>
        <w:t xml:space="preserve"> concluded in its </w:t>
      </w:r>
      <w:r w:rsidR="0046283C">
        <w:rPr>
          <w:rFonts w:ascii="Arial Narrow" w:hAnsi="Arial Narrow"/>
          <w:sz w:val="24"/>
          <w:szCs w:val="24"/>
          <w:lang w:val="en-US"/>
        </w:rPr>
        <w:t>F</w:t>
      </w:r>
      <w:r w:rsidRPr="00216FDE">
        <w:rPr>
          <w:rFonts w:ascii="Arial Narrow" w:hAnsi="Arial Narrow"/>
          <w:sz w:val="24"/>
          <w:szCs w:val="24"/>
          <w:lang w:val="en-US"/>
        </w:rPr>
        <w:t xml:space="preserve">inal </w:t>
      </w:r>
      <w:r w:rsidR="0046283C">
        <w:rPr>
          <w:rFonts w:ascii="Arial Narrow" w:hAnsi="Arial Narrow"/>
          <w:sz w:val="24"/>
          <w:szCs w:val="24"/>
          <w:lang w:val="en-US"/>
        </w:rPr>
        <w:t>D</w:t>
      </w:r>
      <w:r w:rsidRPr="00216FDE">
        <w:rPr>
          <w:rFonts w:ascii="Arial Narrow" w:hAnsi="Arial Narrow"/>
          <w:sz w:val="24"/>
          <w:szCs w:val="24"/>
          <w:lang w:val="en-US"/>
        </w:rPr>
        <w:t>ecision:</w:t>
      </w:r>
    </w:p>
    <w:p w:rsidR="00216FDE" w:rsidRPr="00216FDE" w:rsidRDefault="00216FDE" w:rsidP="00216FDE">
      <w:pPr>
        <w:spacing w:after="0" w:line="240" w:lineRule="auto"/>
        <w:jc w:val="both"/>
        <w:rPr>
          <w:rFonts w:ascii="Arial Narrow" w:hAnsi="Arial Narrow"/>
          <w:sz w:val="24"/>
          <w:szCs w:val="24"/>
          <w:lang w:val="en-US"/>
        </w:rPr>
      </w:pPr>
    </w:p>
    <w:p w:rsidR="00216FDE" w:rsidRPr="00432C17" w:rsidRDefault="00216FDE" w:rsidP="00432C17">
      <w:pPr>
        <w:tabs>
          <w:tab w:val="left" w:pos="0"/>
        </w:tabs>
        <w:spacing w:after="0" w:line="240" w:lineRule="auto"/>
        <w:ind w:left="567" w:right="565"/>
        <w:jc w:val="both"/>
        <w:rPr>
          <w:rFonts w:ascii="Arial Narrow" w:hAnsi="Arial Narrow"/>
          <w:i/>
          <w:sz w:val="24"/>
          <w:szCs w:val="24"/>
        </w:rPr>
      </w:pPr>
      <w:r w:rsidRPr="00432C17">
        <w:rPr>
          <w:rFonts w:ascii="Arial Narrow" w:hAnsi="Arial Narrow"/>
          <w:i/>
          <w:sz w:val="24"/>
          <w:szCs w:val="24"/>
        </w:rPr>
        <w:t xml:space="preserve">“… the Commission is satisfied that the CSIRO analysis, which takes into account explicit modelling of future warming trends, is likely to represent the best estimate made on a reasonable basis.  The Commission therefore accepts that the CSIRO estimate of 1321 EDDs  as proposed by the distributors provides an appropriate measure of weather for the purposes of forecasting gas used for the third regulatory period.” </w:t>
      </w:r>
    </w:p>
    <w:p w:rsidR="00216FDE" w:rsidRPr="00216FDE" w:rsidRDefault="00216FDE" w:rsidP="00216FDE">
      <w:pPr>
        <w:spacing w:after="0" w:line="240" w:lineRule="auto"/>
        <w:jc w:val="both"/>
        <w:rPr>
          <w:rFonts w:ascii="Arial Narrow" w:hAnsi="Arial Narrow"/>
          <w:sz w:val="24"/>
          <w:szCs w:val="24"/>
          <w:lang w:val="en-US"/>
        </w:rPr>
      </w:pPr>
    </w:p>
    <w:p w:rsidR="00216FDE" w:rsidRDefault="00216FDE" w:rsidP="00216FDE">
      <w:pPr>
        <w:spacing w:after="0" w:line="240" w:lineRule="auto"/>
        <w:jc w:val="both"/>
        <w:rPr>
          <w:rFonts w:ascii="Arial Narrow" w:hAnsi="Arial Narrow"/>
          <w:sz w:val="24"/>
          <w:szCs w:val="24"/>
          <w:lang w:val="en-US"/>
        </w:rPr>
      </w:pPr>
      <w:r w:rsidRPr="00216FDE">
        <w:rPr>
          <w:rFonts w:ascii="Arial Narrow" w:hAnsi="Arial Narrow"/>
          <w:sz w:val="24"/>
          <w:szCs w:val="24"/>
          <w:lang w:val="en-US"/>
        </w:rPr>
        <w:t>Envestra</w:t>
      </w:r>
      <w:r w:rsidR="0046283C">
        <w:rPr>
          <w:rFonts w:ascii="Arial Narrow" w:hAnsi="Arial Narrow"/>
          <w:sz w:val="24"/>
          <w:szCs w:val="24"/>
          <w:lang w:val="en-US"/>
        </w:rPr>
        <w:t xml:space="preserve"> continues to </w:t>
      </w:r>
      <w:r w:rsidRPr="00216FDE">
        <w:rPr>
          <w:rFonts w:ascii="Arial Narrow" w:hAnsi="Arial Narrow"/>
          <w:sz w:val="24"/>
          <w:szCs w:val="24"/>
          <w:lang w:val="en-US"/>
        </w:rPr>
        <w:t>agree with the ESC</w:t>
      </w:r>
      <w:r w:rsidR="0046283C">
        <w:rPr>
          <w:rFonts w:ascii="Arial Narrow" w:hAnsi="Arial Narrow"/>
          <w:sz w:val="24"/>
          <w:szCs w:val="24"/>
          <w:lang w:val="en-US"/>
        </w:rPr>
        <w:t>V</w:t>
      </w:r>
      <w:r w:rsidRPr="00216FDE">
        <w:rPr>
          <w:rFonts w:ascii="Arial Narrow" w:hAnsi="Arial Narrow"/>
          <w:sz w:val="24"/>
          <w:szCs w:val="24"/>
          <w:lang w:val="en-US"/>
        </w:rPr>
        <w:t xml:space="preserve">, and holds that the methodology applied by CSIRO to arrive at the EDD baseline and projections remains most likely </w:t>
      </w:r>
      <w:r w:rsidRPr="00216FDE">
        <w:rPr>
          <w:rFonts w:ascii="Arial Narrow" w:hAnsi="Arial Narrow"/>
          <w:i/>
          <w:sz w:val="24"/>
          <w:szCs w:val="24"/>
          <w:lang w:val="en-US"/>
        </w:rPr>
        <w:t>“to represent the best estimate made on a reasonable basis”.</w:t>
      </w:r>
      <w:r w:rsidR="00C128B4">
        <w:rPr>
          <w:rFonts w:ascii="Arial Narrow" w:hAnsi="Arial Narrow"/>
          <w:sz w:val="24"/>
          <w:szCs w:val="24"/>
          <w:lang w:val="en-US"/>
        </w:rPr>
        <w:t xml:space="preserve"> This in large part reflects the considerable expertise of </w:t>
      </w:r>
      <w:r w:rsidRPr="00216FDE">
        <w:rPr>
          <w:rFonts w:ascii="Arial Narrow" w:hAnsi="Arial Narrow"/>
          <w:sz w:val="24"/>
          <w:szCs w:val="24"/>
          <w:lang w:val="en-US"/>
        </w:rPr>
        <w:t xml:space="preserve">the CSIRO Marine and Atmospheric Research Group, which houses Australia’s leading regional climate change modelling research teams. </w:t>
      </w:r>
    </w:p>
    <w:p w:rsidR="00C128B4" w:rsidRDefault="00C128B4" w:rsidP="00216FDE">
      <w:pPr>
        <w:spacing w:after="0" w:line="240" w:lineRule="auto"/>
        <w:jc w:val="both"/>
        <w:rPr>
          <w:rFonts w:ascii="Arial Narrow" w:hAnsi="Arial Narrow"/>
          <w:sz w:val="24"/>
          <w:szCs w:val="24"/>
          <w:lang w:val="en-US"/>
        </w:rPr>
      </w:pPr>
    </w:p>
    <w:p w:rsidR="00C128B4" w:rsidRDefault="00C128B4" w:rsidP="00C128B4">
      <w:pPr>
        <w:spacing w:after="0" w:line="240" w:lineRule="auto"/>
        <w:jc w:val="both"/>
        <w:rPr>
          <w:rFonts w:ascii="Arial Narrow" w:hAnsi="Arial Narrow"/>
          <w:sz w:val="24"/>
          <w:szCs w:val="24"/>
          <w:lang w:val="en-US"/>
        </w:rPr>
      </w:pPr>
      <w:r>
        <w:rPr>
          <w:rFonts w:ascii="Arial Narrow" w:hAnsi="Arial Narrow"/>
          <w:sz w:val="24"/>
          <w:szCs w:val="24"/>
          <w:lang w:val="en-US"/>
        </w:rPr>
        <w:t xml:space="preserve">Importantly, the CSIRO approach to weather normalisation was developed for the specific purposes of preparing demand forecasts under the National Gas Rules (NGR). In contrast, </w:t>
      </w:r>
      <w:r w:rsidRPr="00216FDE">
        <w:rPr>
          <w:rFonts w:ascii="Arial Narrow" w:hAnsi="Arial Narrow"/>
          <w:sz w:val="24"/>
          <w:szCs w:val="24"/>
          <w:lang w:val="en-US"/>
        </w:rPr>
        <w:t xml:space="preserve">AEMO acknowledge in its scope of works for </w:t>
      </w:r>
      <w:r>
        <w:rPr>
          <w:rFonts w:ascii="Arial Narrow" w:hAnsi="Arial Narrow"/>
          <w:sz w:val="24"/>
          <w:szCs w:val="24"/>
          <w:lang w:val="en-US"/>
        </w:rPr>
        <w:t>its</w:t>
      </w:r>
      <w:r w:rsidRPr="00216FDE">
        <w:rPr>
          <w:rFonts w:ascii="Arial Narrow" w:hAnsi="Arial Narrow"/>
          <w:sz w:val="24"/>
          <w:szCs w:val="24"/>
          <w:lang w:val="en-US"/>
        </w:rPr>
        <w:t xml:space="preserve"> weather review </w:t>
      </w:r>
      <w:r>
        <w:rPr>
          <w:rFonts w:ascii="Arial Narrow" w:hAnsi="Arial Narrow"/>
          <w:sz w:val="24"/>
          <w:szCs w:val="24"/>
          <w:lang w:val="en-US"/>
        </w:rPr>
        <w:t xml:space="preserve">states </w:t>
      </w:r>
      <w:r w:rsidRPr="00216FDE">
        <w:rPr>
          <w:rFonts w:ascii="Arial Narrow" w:hAnsi="Arial Narrow"/>
          <w:sz w:val="24"/>
          <w:szCs w:val="24"/>
          <w:lang w:val="en-US"/>
        </w:rPr>
        <w:t xml:space="preserve">that the forecasts were not intended for use in an Access Arrangement review process (where demand forecasts are primarily used to determine tariffs as opposed to capacity management): </w:t>
      </w:r>
    </w:p>
    <w:p w:rsidR="00C128B4" w:rsidRPr="00216FDE" w:rsidRDefault="00C128B4" w:rsidP="00C128B4">
      <w:pPr>
        <w:spacing w:after="0" w:line="240" w:lineRule="auto"/>
        <w:jc w:val="both"/>
        <w:rPr>
          <w:rFonts w:ascii="Arial Narrow" w:hAnsi="Arial Narrow"/>
          <w:sz w:val="24"/>
          <w:szCs w:val="24"/>
          <w:lang w:val="en-US"/>
        </w:rPr>
      </w:pPr>
    </w:p>
    <w:p w:rsidR="00C128B4" w:rsidRPr="00C128B4" w:rsidRDefault="00C128B4" w:rsidP="00E303A9">
      <w:pPr>
        <w:spacing w:after="0" w:line="240" w:lineRule="auto"/>
        <w:ind w:left="567" w:right="565"/>
        <w:jc w:val="both"/>
        <w:rPr>
          <w:rFonts w:ascii="Arial Narrow" w:hAnsi="Arial Narrow"/>
          <w:i/>
          <w:sz w:val="24"/>
          <w:szCs w:val="24"/>
          <w:lang w:val="en-US"/>
        </w:rPr>
      </w:pPr>
      <w:r w:rsidRPr="00216FDE">
        <w:rPr>
          <w:rFonts w:ascii="Arial Narrow" w:hAnsi="Arial Narrow"/>
          <w:i/>
          <w:sz w:val="24"/>
          <w:szCs w:val="24"/>
          <w:lang w:val="en-US"/>
        </w:rPr>
        <w:lastRenderedPageBreak/>
        <w:t>“The report does not conclude which EDD standards are appropriate for use in Access Arrangement (AA) forecasts.”</w:t>
      </w:r>
    </w:p>
    <w:p w:rsidR="00C128B4" w:rsidRDefault="00C128B4" w:rsidP="00216FDE">
      <w:pPr>
        <w:spacing w:after="0" w:line="240" w:lineRule="auto"/>
        <w:jc w:val="both"/>
        <w:rPr>
          <w:rFonts w:ascii="Arial Narrow" w:hAnsi="Arial Narrow"/>
          <w:sz w:val="24"/>
          <w:szCs w:val="24"/>
          <w:lang w:val="en-US"/>
        </w:rPr>
      </w:pPr>
    </w:p>
    <w:p w:rsidR="00216FDE" w:rsidRDefault="00C128B4" w:rsidP="00216FDE">
      <w:pPr>
        <w:spacing w:after="0" w:line="240" w:lineRule="auto"/>
        <w:jc w:val="both"/>
        <w:rPr>
          <w:rFonts w:ascii="Arial Narrow" w:hAnsi="Arial Narrow"/>
          <w:sz w:val="24"/>
          <w:szCs w:val="24"/>
          <w:lang w:val="en-US"/>
        </w:rPr>
      </w:pPr>
      <w:r>
        <w:rPr>
          <w:rFonts w:ascii="Arial Narrow" w:hAnsi="Arial Narrow"/>
          <w:sz w:val="24"/>
          <w:szCs w:val="24"/>
          <w:lang w:val="en-US"/>
        </w:rPr>
        <w:t xml:space="preserve">This is most likely to reflect that </w:t>
      </w:r>
      <w:r w:rsidR="00216FDE" w:rsidRPr="00216FDE">
        <w:rPr>
          <w:rFonts w:ascii="Arial Narrow" w:hAnsi="Arial Narrow"/>
          <w:sz w:val="24"/>
          <w:szCs w:val="24"/>
          <w:lang w:val="en-US"/>
        </w:rPr>
        <w:t xml:space="preserve">AEMO </w:t>
      </w:r>
      <w:r>
        <w:rPr>
          <w:rFonts w:ascii="Arial Narrow" w:hAnsi="Arial Narrow"/>
          <w:sz w:val="24"/>
          <w:szCs w:val="24"/>
          <w:lang w:val="en-US"/>
        </w:rPr>
        <w:t xml:space="preserve">is </w:t>
      </w:r>
      <w:r w:rsidR="00216FDE" w:rsidRPr="00216FDE">
        <w:rPr>
          <w:rFonts w:ascii="Arial Narrow" w:hAnsi="Arial Narrow"/>
          <w:sz w:val="24"/>
          <w:szCs w:val="24"/>
          <w:lang w:val="en-US"/>
        </w:rPr>
        <w:t>primarily concerned with determining forecasts that are suitable for use in transmission capacity planning</w:t>
      </w:r>
      <w:r>
        <w:rPr>
          <w:rFonts w:ascii="Arial Narrow" w:hAnsi="Arial Narrow"/>
          <w:sz w:val="24"/>
          <w:szCs w:val="24"/>
          <w:lang w:val="en-US"/>
        </w:rPr>
        <w:t xml:space="preserve">, which has as its central focus a need </w:t>
      </w:r>
      <w:r w:rsidR="00216FDE" w:rsidRPr="00216FDE">
        <w:rPr>
          <w:rFonts w:ascii="Arial Narrow" w:hAnsi="Arial Narrow"/>
          <w:sz w:val="24"/>
          <w:szCs w:val="24"/>
          <w:lang w:val="en-US"/>
        </w:rPr>
        <w:t xml:space="preserve">to ensure adequate gas supply into the Victorian Declared Transmission System (and hence are necessarily conservative).  </w:t>
      </w:r>
    </w:p>
    <w:p w:rsidR="00216FDE" w:rsidRPr="00216FDE" w:rsidRDefault="00216FDE" w:rsidP="00216FDE">
      <w:pPr>
        <w:spacing w:after="0" w:line="240" w:lineRule="auto"/>
        <w:jc w:val="both"/>
        <w:rPr>
          <w:rFonts w:ascii="Arial Narrow" w:hAnsi="Arial Narrow"/>
          <w:sz w:val="24"/>
          <w:szCs w:val="24"/>
          <w:lang w:val="en-US"/>
        </w:rPr>
      </w:pPr>
    </w:p>
    <w:p w:rsidR="00216FDE" w:rsidRDefault="00C128B4" w:rsidP="00C128B4">
      <w:pPr>
        <w:spacing w:after="0" w:line="240" w:lineRule="auto"/>
        <w:jc w:val="both"/>
        <w:rPr>
          <w:rFonts w:ascii="Arial Narrow" w:hAnsi="Arial Narrow"/>
          <w:sz w:val="24"/>
          <w:szCs w:val="24"/>
          <w:lang w:val="en-US"/>
        </w:rPr>
      </w:pPr>
      <w:r>
        <w:rPr>
          <w:rFonts w:ascii="Arial Narrow" w:hAnsi="Arial Narrow"/>
          <w:sz w:val="24"/>
          <w:szCs w:val="24"/>
          <w:lang w:val="en-US"/>
        </w:rPr>
        <w:t xml:space="preserve">The key concern stated by the AER in its Draft </w:t>
      </w:r>
      <w:r w:rsidR="00432C17">
        <w:rPr>
          <w:rFonts w:ascii="Arial Narrow" w:hAnsi="Arial Narrow"/>
          <w:sz w:val="24"/>
          <w:szCs w:val="24"/>
          <w:lang w:val="en-US"/>
        </w:rPr>
        <w:t>Decision (pg. 316)</w:t>
      </w:r>
      <w:r>
        <w:rPr>
          <w:rFonts w:ascii="Arial Narrow" w:hAnsi="Arial Narrow"/>
          <w:sz w:val="24"/>
          <w:szCs w:val="24"/>
          <w:lang w:val="en-US"/>
        </w:rPr>
        <w:t xml:space="preserve"> </w:t>
      </w:r>
      <w:r w:rsidR="00432C17">
        <w:rPr>
          <w:rFonts w:ascii="Arial Narrow" w:hAnsi="Arial Narrow"/>
          <w:sz w:val="24"/>
          <w:szCs w:val="24"/>
          <w:lang w:val="en-US"/>
        </w:rPr>
        <w:t>for not accepting the CSIRO approach to weather normalisation related to a finding by its advisor, ACIL Tasman, that the CSIRO forecasts were based on a projection of weather trends between 2005 and 2011 while the AEMO forecasts were based on actual information:</w:t>
      </w:r>
    </w:p>
    <w:p w:rsidR="00432C17" w:rsidRDefault="00432C17" w:rsidP="00C128B4">
      <w:pPr>
        <w:spacing w:after="0" w:line="240" w:lineRule="auto"/>
        <w:jc w:val="both"/>
        <w:rPr>
          <w:rFonts w:ascii="Arial Narrow" w:hAnsi="Arial Narrow"/>
          <w:sz w:val="24"/>
          <w:szCs w:val="24"/>
          <w:lang w:val="en-US"/>
        </w:rPr>
      </w:pPr>
    </w:p>
    <w:p w:rsidR="00432C17" w:rsidRPr="00432C17" w:rsidRDefault="00432C17" w:rsidP="00D848D2">
      <w:pPr>
        <w:tabs>
          <w:tab w:val="left" w:pos="0"/>
          <w:tab w:val="left" w:pos="8222"/>
        </w:tabs>
        <w:spacing w:after="0" w:line="240" w:lineRule="auto"/>
        <w:ind w:left="567" w:right="565"/>
        <w:jc w:val="both"/>
        <w:rPr>
          <w:rFonts w:ascii="Arial Narrow" w:hAnsi="Arial Narrow"/>
          <w:i/>
          <w:sz w:val="24"/>
          <w:szCs w:val="24"/>
        </w:rPr>
      </w:pPr>
      <w:r w:rsidRPr="00432C17">
        <w:rPr>
          <w:rFonts w:ascii="Arial Narrow" w:hAnsi="Arial Narrow"/>
          <w:i/>
          <w:sz w:val="24"/>
          <w:szCs w:val="24"/>
        </w:rPr>
        <w:t>“ACIL reviewed Envestra's approach to weather normalisation for the Victorian network by assessing the data used and assumptions made. ACIL noted that the key issue with Envestra's approach related to the assumption about normal weather between 2005 and the 2011. ACIL identified that Envestra's forecasts are based on a projection of EDD between 2005 and 2011. ACIL stated that this approach is unusual and that a more appropriate approach would be to base an assumption about normal weather conditions on historical data. Such historical data was published by AEMO following its 2012 review of weather standards for gas forecasting.”</w:t>
      </w:r>
    </w:p>
    <w:p w:rsidR="00216FDE" w:rsidRDefault="00216FDE" w:rsidP="00216FDE">
      <w:pPr>
        <w:spacing w:after="0" w:line="240" w:lineRule="auto"/>
        <w:jc w:val="both"/>
        <w:rPr>
          <w:rFonts w:ascii="Arial Narrow" w:hAnsi="Arial Narrow"/>
          <w:sz w:val="24"/>
          <w:szCs w:val="24"/>
          <w:lang w:val="en-US"/>
        </w:rPr>
      </w:pPr>
    </w:p>
    <w:p w:rsidR="00432C17" w:rsidRDefault="00432C17" w:rsidP="00216FDE">
      <w:pPr>
        <w:spacing w:after="0" w:line="240" w:lineRule="auto"/>
        <w:jc w:val="both"/>
        <w:rPr>
          <w:rFonts w:ascii="Arial Narrow" w:hAnsi="Arial Narrow"/>
          <w:sz w:val="24"/>
          <w:szCs w:val="24"/>
          <w:lang w:val="en-US"/>
        </w:rPr>
      </w:pPr>
      <w:r>
        <w:rPr>
          <w:rFonts w:ascii="Arial Narrow" w:hAnsi="Arial Narrow"/>
          <w:sz w:val="24"/>
          <w:szCs w:val="24"/>
          <w:lang w:val="en-US"/>
        </w:rPr>
        <w:t>The AER accepted the findings of ACIL Tasman, noting in its Draft Decision (pg. 318) that:</w:t>
      </w:r>
    </w:p>
    <w:p w:rsidR="00432C17" w:rsidRDefault="00432C17" w:rsidP="00216FDE">
      <w:pPr>
        <w:spacing w:after="0" w:line="240" w:lineRule="auto"/>
        <w:jc w:val="both"/>
        <w:rPr>
          <w:rFonts w:ascii="Arial Narrow" w:hAnsi="Arial Narrow"/>
          <w:sz w:val="24"/>
          <w:szCs w:val="24"/>
          <w:lang w:val="en-US"/>
        </w:rPr>
      </w:pPr>
    </w:p>
    <w:p w:rsidR="00432C17" w:rsidRPr="00432C17" w:rsidRDefault="00432C17" w:rsidP="00432C17">
      <w:pPr>
        <w:tabs>
          <w:tab w:val="left" w:pos="0"/>
        </w:tabs>
        <w:spacing w:after="0" w:line="240" w:lineRule="auto"/>
        <w:ind w:left="567" w:right="565"/>
        <w:jc w:val="both"/>
        <w:rPr>
          <w:rFonts w:ascii="Arial Narrow" w:hAnsi="Arial Narrow"/>
          <w:i/>
          <w:sz w:val="24"/>
          <w:szCs w:val="24"/>
        </w:rPr>
      </w:pPr>
      <w:r w:rsidRPr="00432C17">
        <w:rPr>
          <w:rFonts w:ascii="Arial Narrow" w:hAnsi="Arial Narrow"/>
          <w:i/>
          <w:sz w:val="24"/>
          <w:szCs w:val="24"/>
        </w:rPr>
        <w:t>“The AEMO's data for the six years to 2011 are based on actual observations (not on a projection as in the CSIRO's data). The AER considers that the AEMO's series is a reasonable basis and represents the best estimates possible under the circumstances. For this reason, it is appropriate for Envestra to use the current AEMO EDD standard as the basis for weather normalising the historical data. The use of AEMO data to weather normalise historic gas demand will increase Envestra's proposed tariff V demand forecasts by approximately 1.2 per cent. The AER requires Envestra Victoria to amend its demand forecasts as outlined in the revisions section below.”</w:t>
      </w:r>
    </w:p>
    <w:p w:rsidR="00432C17" w:rsidRDefault="00432C17" w:rsidP="00216FDE">
      <w:pPr>
        <w:spacing w:after="0" w:line="240" w:lineRule="auto"/>
        <w:jc w:val="both"/>
        <w:rPr>
          <w:rFonts w:ascii="Arial Narrow" w:hAnsi="Arial Narrow"/>
          <w:sz w:val="24"/>
          <w:szCs w:val="24"/>
          <w:lang w:val="en-US"/>
        </w:rPr>
      </w:pPr>
    </w:p>
    <w:p w:rsidR="00432C17" w:rsidRDefault="00432C17" w:rsidP="00216FDE">
      <w:pPr>
        <w:spacing w:after="0" w:line="240" w:lineRule="auto"/>
        <w:jc w:val="both"/>
        <w:rPr>
          <w:rFonts w:ascii="Arial Narrow" w:hAnsi="Arial Narrow"/>
          <w:sz w:val="24"/>
          <w:szCs w:val="24"/>
          <w:lang w:val="en-US"/>
        </w:rPr>
      </w:pPr>
      <w:r>
        <w:rPr>
          <w:rFonts w:ascii="Arial Narrow" w:hAnsi="Arial Narrow"/>
          <w:sz w:val="24"/>
          <w:szCs w:val="24"/>
          <w:lang w:val="en-US"/>
        </w:rPr>
        <w:t xml:space="preserve">Envestra notes that, although the AEMO approach used more recent data, its time series was considerably shorter than that used by CSIRO. Envestra also notes that updating the CSIRO approach for more recent data is likely to have a limited impact on the </w:t>
      </w:r>
      <w:r w:rsidR="00901DED">
        <w:rPr>
          <w:rFonts w:ascii="Arial Narrow" w:hAnsi="Arial Narrow"/>
          <w:sz w:val="24"/>
          <w:szCs w:val="24"/>
          <w:lang w:val="en-US"/>
        </w:rPr>
        <w:t xml:space="preserve">weather normalisation given the trends are based on a long time series dating back to 1970. However, CSIRO were not able to </w:t>
      </w:r>
      <w:r w:rsidR="00DC6C9D">
        <w:rPr>
          <w:rFonts w:ascii="Arial Narrow" w:hAnsi="Arial Narrow"/>
          <w:sz w:val="24"/>
          <w:szCs w:val="24"/>
          <w:lang w:val="en-US"/>
        </w:rPr>
        <w:t xml:space="preserve">allocate resources to </w:t>
      </w:r>
      <w:r w:rsidR="00901DED">
        <w:rPr>
          <w:rFonts w:ascii="Arial Narrow" w:hAnsi="Arial Narrow"/>
          <w:sz w:val="24"/>
          <w:szCs w:val="24"/>
          <w:lang w:val="en-US"/>
        </w:rPr>
        <w:t xml:space="preserve">update its forecasts </w:t>
      </w:r>
      <w:r w:rsidR="00DC6C9D">
        <w:rPr>
          <w:rFonts w:ascii="Arial Narrow" w:hAnsi="Arial Narrow"/>
          <w:sz w:val="24"/>
          <w:szCs w:val="24"/>
          <w:lang w:val="en-US"/>
        </w:rPr>
        <w:t>in the time period available for Envestra to respond to the Draft Decision (</w:t>
      </w:r>
      <w:r w:rsidR="00E842FA">
        <w:rPr>
          <w:rFonts w:ascii="Arial Narrow" w:hAnsi="Arial Narrow"/>
          <w:sz w:val="24"/>
          <w:szCs w:val="24"/>
          <w:lang w:val="en-US"/>
        </w:rPr>
        <w:t xml:space="preserve">i.e. </w:t>
      </w:r>
      <w:r w:rsidR="00901DED">
        <w:rPr>
          <w:rFonts w:ascii="Arial Narrow" w:hAnsi="Arial Narrow"/>
          <w:sz w:val="24"/>
          <w:szCs w:val="24"/>
          <w:lang w:val="en-US"/>
        </w:rPr>
        <w:t>9 November 2012</w:t>
      </w:r>
      <w:r w:rsidR="00E842FA">
        <w:rPr>
          <w:rFonts w:ascii="Arial Narrow" w:hAnsi="Arial Narrow"/>
          <w:sz w:val="24"/>
          <w:szCs w:val="24"/>
          <w:lang w:val="en-US"/>
        </w:rPr>
        <w:t>)</w:t>
      </w:r>
      <w:r w:rsidR="00901DED">
        <w:rPr>
          <w:rFonts w:ascii="Arial Narrow" w:hAnsi="Arial Narrow"/>
          <w:sz w:val="24"/>
          <w:szCs w:val="24"/>
          <w:lang w:val="en-US"/>
        </w:rPr>
        <w:t xml:space="preserve">. </w:t>
      </w:r>
    </w:p>
    <w:p w:rsidR="00901DED" w:rsidRDefault="00901DED" w:rsidP="00216FDE">
      <w:pPr>
        <w:spacing w:after="0" w:line="240" w:lineRule="auto"/>
        <w:jc w:val="both"/>
        <w:rPr>
          <w:rFonts w:ascii="Arial Narrow" w:hAnsi="Arial Narrow"/>
          <w:sz w:val="24"/>
          <w:szCs w:val="24"/>
          <w:lang w:val="en-US"/>
        </w:rPr>
      </w:pPr>
    </w:p>
    <w:p w:rsidR="00901DED" w:rsidRDefault="00901DED" w:rsidP="00216FDE">
      <w:pPr>
        <w:spacing w:after="0" w:line="240" w:lineRule="auto"/>
        <w:jc w:val="both"/>
        <w:rPr>
          <w:rFonts w:ascii="Arial Narrow" w:hAnsi="Arial Narrow"/>
          <w:sz w:val="24"/>
          <w:szCs w:val="24"/>
          <w:lang w:val="en-US"/>
        </w:rPr>
      </w:pPr>
      <w:r>
        <w:rPr>
          <w:rFonts w:ascii="Arial Narrow" w:hAnsi="Arial Narrow"/>
          <w:sz w:val="24"/>
          <w:szCs w:val="24"/>
          <w:lang w:val="en-US"/>
        </w:rPr>
        <w:t xml:space="preserve">Given this, Envestra considers that </w:t>
      </w:r>
      <w:r w:rsidR="00B76F3E">
        <w:rPr>
          <w:rFonts w:ascii="Arial Narrow" w:hAnsi="Arial Narrow"/>
          <w:sz w:val="24"/>
          <w:szCs w:val="24"/>
          <w:lang w:val="en-US"/>
        </w:rPr>
        <w:t xml:space="preserve">in response to the draft decision </w:t>
      </w:r>
      <w:r>
        <w:rPr>
          <w:rFonts w:ascii="Arial Narrow" w:hAnsi="Arial Narrow"/>
          <w:sz w:val="24"/>
          <w:szCs w:val="24"/>
          <w:lang w:val="en-US"/>
        </w:rPr>
        <w:t xml:space="preserve">it is required to </w:t>
      </w:r>
      <w:r w:rsidR="00B76F3E">
        <w:rPr>
          <w:rFonts w:ascii="Arial Narrow" w:hAnsi="Arial Narrow"/>
          <w:sz w:val="24"/>
          <w:szCs w:val="24"/>
          <w:lang w:val="en-US"/>
        </w:rPr>
        <w:t>use</w:t>
      </w:r>
      <w:r>
        <w:rPr>
          <w:rFonts w:ascii="Arial Narrow" w:hAnsi="Arial Narrow"/>
          <w:sz w:val="24"/>
          <w:szCs w:val="24"/>
          <w:lang w:val="en-US"/>
        </w:rPr>
        <w:t xml:space="preserve"> the revised forecasts set out in the AER Draft Decision that incorporate the AEMO weather normalisation approach. Envestra has accepted the revised Albury forecasts that incorporate an additional year of weather information relative to that submitted by Envestra in its initial proposal (noting that the data were not available to Envestra at the time). </w:t>
      </w:r>
    </w:p>
    <w:p w:rsidR="00901DED" w:rsidRDefault="00901DED" w:rsidP="00216FDE">
      <w:pPr>
        <w:spacing w:after="0" w:line="240" w:lineRule="auto"/>
        <w:jc w:val="both"/>
        <w:rPr>
          <w:rFonts w:ascii="Arial Narrow" w:hAnsi="Arial Narrow"/>
          <w:sz w:val="24"/>
          <w:szCs w:val="24"/>
          <w:lang w:val="en-US"/>
        </w:rPr>
      </w:pPr>
    </w:p>
    <w:p w:rsidR="00461CCF" w:rsidRPr="00741C89" w:rsidRDefault="00461CCF" w:rsidP="00741C89">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741C89">
        <w:rPr>
          <w:rFonts w:ascii="Arial Narrow" w:hAnsi="Arial Narrow" w:cs="Arial Narrow"/>
          <w:b/>
          <w:bCs/>
          <w:color w:val="17365D" w:themeColor="text2" w:themeShade="BF"/>
          <w:sz w:val="24"/>
          <w:szCs w:val="24"/>
          <w:lang w:val="en-US"/>
        </w:rPr>
        <w:t>3</w:t>
      </w:r>
      <w:r w:rsidR="00FE75BC">
        <w:rPr>
          <w:rFonts w:ascii="Arial Narrow" w:hAnsi="Arial Narrow" w:cs="Arial Narrow"/>
          <w:b/>
          <w:bCs/>
          <w:color w:val="17365D" w:themeColor="text2" w:themeShade="BF"/>
          <w:sz w:val="24"/>
          <w:szCs w:val="24"/>
          <w:lang w:val="en-US"/>
        </w:rPr>
        <w:t>.</w:t>
      </w:r>
      <w:r w:rsidRPr="00741C89">
        <w:rPr>
          <w:rFonts w:ascii="Arial Narrow" w:hAnsi="Arial Narrow" w:cs="Arial Narrow"/>
          <w:b/>
          <w:bCs/>
          <w:color w:val="17365D" w:themeColor="text2" w:themeShade="BF"/>
          <w:sz w:val="24"/>
          <w:szCs w:val="24"/>
          <w:lang w:val="en-US"/>
        </w:rPr>
        <w:tab/>
      </w:r>
      <w:r w:rsidR="00CB4F24" w:rsidRPr="00741C89">
        <w:rPr>
          <w:rFonts w:ascii="Arial Narrow" w:hAnsi="Arial Narrow" w:cs="Arial Narrow"/>
          <w:b/>
          <w:bCs/>
          <w:color w:val="17365D" w:themeColor="text2" w:themeShade="BF"/>
          <w:sz w:val="24"/>
          <w:szCs w:val="24"/>
          <w:lang w:val="en-US"/>
        </w:rPr>
        <w:t xml:space="preserve">Revised </w:t>
      </w:r>
      <w:r w:rsidR="00C817A9" w:rsidRPr="00741C89">
        <w:rPr>
          <w:rFonts w:ascii="Arial Narrow" w:hAnsi="Arial Narrow" w:cs="Arial Narrow"/>
          <w:b/>
          <w:bCs/>
          <w:color w:val="17365D" w:themeColor="text2" w:themeShade="BF"/>
          <w:sz w:val="24"/>
          <w:szCs w:val="24"/>
          <w:lang w:val="en-US"/>
        </w:rPr>
        <w:t>Demand Forecast</w:t>
      </w:r>
      <w:r w:rsidR="008B5743" w:rsidRPr="00741C89">
        <w:rPr>
          <w:rFonts w:ascii="Arial Narrow" w:hAnsi="Arial Narrow" w:cs="Arial Narrow"/>
          <w:b/>
          <w:bCs/>
          <w:color w:val="17365D" w:themeColor="text2" w:themeShade="BF"/>
          <w:sz w:val="24"/>
          <w:szCs w:val="24"/>
          <w:lang w:val="en-US"/>
        </w:rPr>
        <w:t>s</w:t>
      </w:r>
    </w:p>
    <w:p w:rsidR="00901DED" w:rsidRDefault="00901DED" w:rsidP="00901DED">
      <w:pPr>
        <w:spacing w:after="0" w:line="240" w:lineRule="auto"/>
        <w:jc w:val="both"/>
        <w:rPr>
          <w:rFonts w:ascii="Arial Narrow" w:hAnsi="Arial Narrow" w:cs="Arial Narrow"/>
          <w:sz w:val="24"/>
          <w:szCs w:val="24"/>
          <w:lang w:val="en-US"/>
        </w:rPr>
      </w:pPr>
    </w:p>
    <w:p w:rsidR="00901DED" w:rsidRDefault="00901DED" w:rsidP="00901DED">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Envestra has therefore accepted as a base (or starting point) the AER Draft Decision forecasts set for Victoria and Albury. Several immaterial adjustments have been made to these forecasts to reflect decisions made by Envestra elsewhere in its response to the Draft Decision, which adjustments are discussed in this section. </w:t>
      </w:r>
    </w:p>
    <w:p w:rsidR="00C420C0" w:rsidRPr="003E4A28" w:rsidRDefault="00C420C0" w:rsidP="00FE75BC">
      <w:pPr>
        <w:tabs>
          <w:tab w:val="left" w:pos="567"/>
        </w:tabs>
        <w:spacing w:after="0" w:line="240" w:lineRule="auto"/>
        <w:ind w:left="567" w:hanging="567"/>
        <w:jc w:val="both"/>
        <w:rPr>
          <w:rFonts w:ascii="Arial Narrow" w:hAnsi="Arial Narrow"/>
          <w:b/>
          <w:color w:val="17365D" w:themeColor="text2" w:themeShade="BF"/>
          <w:sz w:val="24"/>
          <w:szCs w:val="24"/>
          <w:lang w:val="en-US"/>
        </w:rPr>
      </w:pPr>
      <w:r>
        <w:rPr>
          <w:rFonts w:ascii="Arial Narrow" w:hAnsi="Arial Narrow"/>
          <w:b/>
          <w:color w:val="17365D" w:themeColor="text2" w:themeShade="BF"/>
          <w:sz w:val="24"/>
          <w:szCs w:val="24"/>
          <w:lang w:val="en-US"/>
        </w:rPr>
        <w:lastRenderedPageBreak/>
        <w:t>3</w:t>
      </w:r>
      <w:r w:rsidRPr="003E4A28">
        <w:rPr>
          <w:rFonts w:ascii="Arial Narrow" w:hAnsi="Arial Narrow"/>
          <w:b/>
          <w:color w:val="17365D" w:themeColor="text2" w:themeShade="BF"/>
          <w:sz w:val="24"/>
          <w:szCs w:val="24"/>
          <w:lang w:val="en-US"/>
        </w:rPr>
        <w:t>.1</w:t>
      </w:r>
      <w:r w:rsidRPr="003E4A28">
        <w:rPr>
          <w:rFonts w:ascii="Arial Narrow" w:hAnsi="Arial Narrow"/>
          <w:b/>
          <w:color w:val="17365D" w:themeColor="text2" w:themeShade="BF"/>
          <w:sz w:val="24"/>
          <w:szCs w:val="24"/>
          <w:lang w:val="en-US"/>
        </w:rPr>
        <w:tab/>
      </w:r>
      <w:r>
        <w:rPr>
          <w:rFonts w:ascii="Arial Narrow" w:hAnsi="Arial Narrow"/>
          <w:b/>
          <w:color w:val="17365D" w:themeColor="text2" w:themeShade="BF"/>
          <w:sz w:val="24"/>
          <w:szCs w:val="24"/>
          <w:lang w:val="en-US"/>
        </w:rPr>
        <w:t>Victorian Forecast</w:t>
      </w:r>
      <w:r w:rsidR="00CB4F24">
        <w:rPr>
          <w:rFonts w:ascii="Arial Narrow" w:hAnsi="Arial Narrow"/>
          <w:b/>
          <w:color w:val="17365D" w:themeColor="text2" w:themeShade="BF"/>
          <w:sz w:val="24"/>
          <w:szCs w:val="24"/>
          <w:lang w:val="en-US"/>
        </w:rPr>
        <w:t>s</w:t>
      </w:r>
    </w:p>
    <w:p w:rsidR="00C420C0" w:rsidRDefault="00C420C0" w:rsidP="00106577">
      <w:pPr>
        <w:spacing w:after="0" w:line="240" w:lineRule="auto"/>
        <w:jc w:val="both"/>
        <w:rPr>
          <w:rFonts w:ascii="Arial Narrow" w:hAnsi="Arial Narrow" w:cs="Arial Narrow"/>
          <w:sz w:val="24"/>
          <w:szCs w:val="24"/>
          <w:lang w:val="en-US"/>
        </w:rPr>
      </w:pPr>
    </w:p>
    <w:p w:rsidR="000412AC" w:rsidRDefault="00901DED" w:rsidP="000412AC">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Envestra has adjusted the AER Draft Decision forecasts as follows: </w:t>
      </w:r>
    </w:p>
    <w:p w:rsidR="00DB2916" w:rsidRDefault="00DB2916" w:rsidP="000412AC">
      <w:pPr>
        <w:spacing w:after="0" w:line="240" w:lineRule="auto"/>
        <w:jc w:val="both"/>
        <w:rPr>
          <w:rFonts w:ascii="Arial Narrow" w:hAnsi="Arial Narrow" w:cs="Arial Narrow"/>
          <w:sz w:val="24"/>
          <w:szCs w:val="24"/>
          <w:lang w:val="en-US"/>
        </w:rPr>
      </w:pPr>
    </w:p>
    <w:p w:rsidR="000412AC" w:rsidRDefault="000412AC" w:rsidP="00D848D2">
      <w:pPr>
        <w:pStyle w:val="ListParagraph"/>
        <w:numPr>
          <w:ilvl w:val="0"/>
          <w:numId w:val="26"/>
        </w:numPr>
        <w:tabs>
          <w:tab w:val="left" w:pos="426"/>
        </w:tabs>
        <w:spacing w:after="0" w:line="240" w:lineRule="auto"/>
        <w:ind w:left="426" w:hanging="426"/>
        <w:jc w:val="both"/>
        <w:rPr>
          <w:rFonts w:ascii="Arial Narrow" w:hAnsi="Arial Narrow" w:cs="Arial Narrow"/>
          <w:sz w:val="24"/>
          <w:szCs w:val="24"/>
          <w:lang w:val="en-US"/>
        </w:rPr>
      </w:pPr>
      <w:r>
        <w:rPr>
          <w:rFonts w:ascii="Arial Narrow" w:hAnsi="Arial Narrow" w:cs="Arial Narrow"/>
          <w:sz w:val="24"/>
          <w:szCs w:val="24"/>
          <w:lang w:val="en-US"/>
        </w:rPr>
        <w:t>Merrifield</w:t>
      </w:r>
      <w:r w:rsidR="00901DED">
        <w:rPr>
          <w:rFonts w:ascii="Arial Narrow" w:hAnsi="Arial Narrow" w:cs="Arial Narrow"/>
          <w:sz w:val="24"/>
          <w:szCs w:val="24"/>
          <w:lang w:val="en-US"/>
        </w:rPr>
        <w:t xml:space="preserve"> – Envestra has not accepted the AER Draft Decision to remove the Merrifield development from the demand forecasts for reasons set out in attachment 7.</w:t>
      </w:r>
      <w:r w:rsidR="00B85181">
        <w:rPr>
          <w:rFonts w:ascii="Arial Narrow" w:hAnsi="Arial Narrow" w:cs="Arial Narrow"/>
          <w:sz w:val="24"/>
          <w:szCs w:val="24"/>
          <w:lang w:val="en-US"/>
        </w:rPr>
        <w:t>7</w:t>
      </w:r>
      <w:r>
        <w:rPr>
          <w:rFonts w:ascii="Arial Narrow" w:hAnsi="Arial Narrow" w:cs="Arial Narrow"/>
          <w:sz w:val="24"/>
          <w:szCs w:val="24"/>
          <w:lang w:val="en-US"/>
        </w:rPr>
        <w:t>;</w:t>
      </w:r>
    </w:p>
    <w:p w:rsidR="000412AC" w:rsidRDefault="000412AC" w:rsidP="00D848D2">
      <w:pPr>
        <w:pStyle w:val="ListParagraph"/>
        <w:numPr>
          <w:ilvl w:val="0"/>
          <w:numId w:val="26"/>
        </w:numPr>
        <w:tabs>
          <w:tab w:val="left" w:pos="426"/>
        </w:tabs>
        <w:spacing w:after="0" w:line="240" w:lineRule="auto"/>
        <w:ind w:left="426" w:hanging="426"/>
        <w:jc w:val="both"/>
        <w:rPr>
          <w:rFonts w:ascii="Arial Narrow" w:hAnsi="Arial Narrow" w:cs="Arial Narrow"/>
          <w:sz w:val="24"/>
          <w:szCs w:val="24"/>
          <w:lang w:val="en-US"/>
        </w:rPr>
      </w:pPr>
      <w:r>
        <w:rPr>
          <w:rFonts w:ascii="Arial Narrow" w:hAnsi="Arial Narrow" w:cs="Arial Narrow"/>
          <w:sz w:val="24"/>
          <w:szCs w:val="24"/>
          <w:lang w:val="en-US"/>
        </w:rPr>
        <w:t>Koo Wee Rup</w:t>
      </w:r>
      <w:r w:rsidR="00901DED">
        <w:rPr>
          <w:rFonts w:ascii="Arial Narrow" w:hAnsi="Arial Narrow" w:cs="Arial Narrow"/>
          <w:sz w:val="24"/>
          <w:szCs w:val="24"/>
          <w:lang w:val="en-US"/>
        </w:rPr>
        <w:t xml:space="preserve"> – Envestra has </w:t>
      </w:r>
      <w:r w:rsidR="00675B8D">
        <w:rPr>
          <w:rFonts w:ascii="Arial Narrow" w:hAnsi="Arial Narrow" w:cs="Arial Narrow"/>
          <w:sz w:val="24"/>
          <w:szCs w:val="24"/>
          <w:lang w:val="en-US"/>
        </w:rPr>
        <w:t>included capital expenditure to reticulate the regional town called Koo Wee Rup for the reasons set out in attachment 7.</w:t>
      </w:r>
      <w:r w:rsidR="00B85181">
        <w:rPr>
          <w:rFonts w:ascii="Arial Narrow" w:hAnsi="Arial Narrow" w:cs="Arial Narrow"/>
          <w:sz w:val="24"/>
          <w:szCs w:val="24"/>
          <w:lang w:val="en-US"/>
        </w:rPr>
        <w:t>7</w:t>
      </w:r>
      <w:r w:rsidR="00675B8D">
        <w:rPr>
          <w:rFonts w:ascii="Arial Narrow" w:hAnsi="Arial Narrow" w:cs="Arial Narrow"/>
          <w:sz w:val="24"/>
          <w:szCs w:val="24"/>
          <w:lang w:val="en-US"/>
        </w:rPr>
        <w:t xml:space="preserve"> (but accepted the AER Draft Decision not to reticulate Lakes Entrance, Orbost and Wy Yung); and</w:t>
      </w:r>
    </w:p>
    <w:p w:rsidR="000412AC" w:rsidRDefault="00675B8D" w:rsidP="00D848D2">
      <w:pPr>
        <w:pStyle w:val="ListParagraph"/>
        <w:numPr>
          <w:ilvl w:val="0"/>
          <w:numId w:val="26"/>
        </w:numPr>
        <w:tabs>
          <w:tab w:val="left" w:pos="426"/>
        </w:tabs>
        <w:spacing w:after="0" w:line="240" w:lineRule="auto"/>
        <w:ind w:left="426" w:hanging="426"/>
        <w:jc w:val="both"/>
        <w:rPr>
          <w:rFonts w:ascii="Arial Narrow" w:hAnsi="Arial Narrow" w:cs="Arial Narrow"/>
          <w:sz w:val="24"/>
          <w:szCs w:val="24"/>
          <w:lang w:val="en-US"/>
        </w:rPr>
      </w:pPr>
      <w:r>
        <w:rPr>
          <w:rFonts w:ascii="Arial Narrow" w:hAnsi="Arial Narrow" w:cs="Arial Narrow"/>
          <w:sz w:val="24"/>
          <w:szCs w:val="24"/>
          <w:lang w:val="en-US"/>
        </w:rPr>
        <w:t>N</w:t>
      </w:r>
      <w:r w:rsidR="000412AC">
        <w:rPr>
          <w:rFonts w:ascii="Arial Narrow" w:hAnsi="Arial Narrow" w:cs="Arial Narrow"/>
          <w:sz w:val="24"/>
          <w:szCs w:val="24"/>
          <w:lang w:val="en-US"/>
        </w:rPr>
        <w:t xml:space="preserve">etwork </w:t>
      </w:r>
      <w:r>
        <w:rPr>
          <w:rFonts w:ascii="Arial Narrow" w:hAnsi="Arial Narrow" w:cs="Arial Narrow"/>
          <w:sz w:val="24"/>
          <w:szCs w:val="24"/>
          <w:lang w:val="en-US"/>
        </w:rPr>
        <w:t>D</w:t>
      </w:r>
      <w:r w:rsidR="000412AC">
        <w:rPr>
          <w:rFonts w:ascii="Arial Narrow" w:hAnsi="Arial Narrow" w:cs="Arial Narrow"/>
          <w:sz w:val="24"/>
          <w:szCs w:val="24"/>
          <w:lang w:val="en-US"/>
        </w:rPr>
        <w:t>evelopment</w:t>
      </w:r>
      <w:r>
        <w:rPr>
          <w:rFonts w:ascii="Arial Narrow" w:hAnsi="Arial Narrow" w:cs="Arial Narrow"/>
          <w:sz w:val="24"/>
          <w:szCs w:val="24"/>
          <w:lang w:val="en-US"/>
        </w:rPr>
        <w:t xml:space="preserve"> – Envestra has not accepted the AER Draft Decision to remove part of Envestra’s proposed network development program. </w:t>
      </w:r>
    </w:p>
    <w:p w:rsidR="000412AC" w:rsidRDefault="000412AC" w:rsidP="000412AC">
      <w:pPr>
        <w:spacing w:after="0" w:line="240" w:lineRule="auto"/>
        <w:jc w:val="both"/>
        <w:rPr>
          <w:rFonts w:ascii="Arial Narrow" w:hAnsi="Arial Narrow" w:cs="Arial Narrow"/>
          <w:sz w:val="24"/>
          <w:szCs w:val="24"/>
          <w:lang w:val="en-US"/>
        </w:rPr>
      </w:pPr>
    </w:p>
    <w:p w:rsidR="00675B8D" w:rsidRDefault="00675B8D" w:rsidP="000412AC">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All of the above factors lead to higher customer number and demand forecasts relative to that set out in the Draft Decision. Envestra has applied the same general approach as that taken by the AER to exclude these factors from the forecasts set out in the Draft Decision. Envestra has effectively reversed the adjustments made by the AER in the Draft Decision by multiplying the relevant customer numbers (taken from the AER’s capital expenditure model) by forecast average consumption. </w:t>
      </w:r>
    </w:p>
    <w:p w:rsidR="00675B8D" w:rsidRDefault="00675B8D" w:rsidP="000412AC">
      <w:pPr>
        <w:spacing w:after="0" w:line="240" w:lineRule="auto"/>
        <w:jc w:val="both"/>
        <w:rPr>
          <w:rFonts w:ascii="Arial Narrow" w:hAnsi="Arial Narrow" w:cs="Arial Narrow"/>
          <w:sz w:val="24"/>
          <w:szCs w:val="24"/>
          <w:lang w:val="en-US"/>
        </w:rPr>
      </w:pPr>
    </w:p>
    <w:p w:rsidR="00FB77CE" w:rsidRDefault="00675B8D" w:rsidP="000412AC">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The resultant Victorian customer number, volume and MHQ forecasts are set out in tables 1 to 5. </w:t>
      </w:r>
    </w:p>
    <w:p w:rsidR="000412AC" w:rsidRDefault="000412AC" w:rsidP="00106577">
      <w:pPr>
        <w:spacing w:after="0" w:line="240" w:lineRule="auto"/>
        <w:jc w:val="both"/>
        <w:rPr>
          <w:rFonts w:ascii="Arial Narrow" w:hAnsi="Arial Narrow" w:cs="Arial Narrow"/>
          <w:sz w:val="24"/>
          <w:szCs w:val="24"/>
          <w:lang w:val="en-US"/>
        </w:rPr>
      </w:pPr>
    </w:p>
    <w:p w:rsidR="00C420C0" w:rsidRPr="00F53E9E" w:rsidRDefault="00C420C0" w:rsidP="00C420C0">
      <w:pPr>
        <w:spacing w:after="0" w:line="240" w:lineRule="auto"/>
        <w:rPr>
          <w:rFonts w:ascii="Arial Narrow" w:hAnsi="Arial Narrow" w:cs="Arial Narrow"/>
          <w:b/>
          <w:color w:val="17365D" w:themeColor="text2" w:themeShade="BF"/>
          <w:sz w:val="24"/>
          <w:szCs w:val="24"/>
          <w:lang w:val="en-US"/>
        </w:rPr>
      </w:pPr>
      <w:r w:rsidRPr="00F53E9E">
        <w:rPr>
          <w:rFonts w:ascii="Arial Narrow" w:hAnsi="Arial Narrow" w:cs="Arial Narrow"/>
          <w:b/>
          <w:color w:val="17365D" w:themeColor="text2" w:themeShade="BF"/>
          <w:sz w:val="24"/>
          <w:szCs w:val="24"/>
          <w:lang w:val="en-US"/>
        </w:rPr>
        <w:t>Table 1</w:t>
      </w:r>
      <w:r w:rsidR="006405AA">
        <w:rPr>
          <w:rFonts w:ascii="Arial Narrow" w:hAnsi="Arial Narrow" w:cs="Arial Narrow"/>
          <w:b/>
          <w:color w:val="17365D" w:themeColor="text2" w:themeShade="BF"/>
          <w:sz w:val="24"/>
          <w:szCs w:val="24"/>
          <w:lang w:val="en-US"/>
        </w:rPr>
        <w:t>:</w:t>
      </w:r>
      <w:r w:rsidRPr="00F53E9E">
        <w:rPr>
          <w:rFonts w:ascii="Arial Narrow" w:hAnsi="Arial Narrow" w:cs="Arial Narrow"/>
          <w:b/>
          <w:color w:val="17365D" w:themeColor="text2" w:themeShade="BF"/>
          <w:sz w:val="24"/>
          <w:szCs w:val="24"/>
          <w:lang w:val="en-US"/>
        </w:rPr>
        <w:t xml:space="preserve">  Domestic </w:t>
      </w:r>
      <w:r>
        <w:rPr>
          <w:rFonts w:ascii="Arial Narrow" w:hAnsi="Arial Narrow" w:cs="Arial Narrow"/>
          <w:b/>
          <w:color w:val="17365D" w:themeColor="text2" w:themeShade="BF"/>
          <w:sz w:val="24"/>
          <w:szCs w:val="24"/>
          <w:lang w:val="en-US"/>
        </w:rPr>
        <w:t>Customer Number</w:t>
      </w:r>
      <w:r w:rsidRPr="00F53E9E">
        <w:rPr>
          <w:rFonts w:ascii="Arial Narrow" w:hAnsi="Arial Narrow" w:cs="Arial Narrow"/>
          <w:b/>
          <w:color w:val="17365D" w:themeColor="text2" w:themeShade="BF"/>
          <w:sz w:val="24"/>
          <w:szCs w:val="24"/>
          <w:lang w:val="en-US"/>
        </w:rPr>
        <w:t xml:space="preserve"> Forecast</w:t>
      </w:r>
      <w:r w:rsidR="00CB4F24">
        <w:rPr>
          <w:rFonts w:ascii="Arial Narrow" w:hAnsi="Arial Narrow" w:cs="Arial Narrow"/>
          <w:b/>
          <w:color w:val="17365D" w:themeColor="text2" w:themeShade="BF"/>
          <w:sz w:val="24"/>
          <w:szCs w:val="24"/>
          <w:lang w:val="en-US"/>
        </w:rPr>
        <w:t>s</w:t>
      </w:r>
      <w:r w:rsidR="00675B8D">
        <w:rPr>
          <w:rFonts w:ascii="Arial Narrow" w:hAnsi="Arial Narrow" w:cs="Arial Narrow"/>
          <w:b/>
          <w:color w:val="17365D" w:themeColor="text2" w:themeShade="BF"/>
          <w:sz w:val="24"/>
          <w:szCs w:val="24"/>
          <w:lang w:val="en-US"/>
        </w:rPr>
        <w:t>, 2013 to 2017</w:t>
      </w:r>
    </w:p>
    <w:p w:rsidR="00C420C0" w:rsidRPr="00F246B0" w:rsidRDefault="00C420C0" w:rsidP="00C420C0">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C420C0" w:rsidRPr="00AA57B2" w:rsidTr="004D50F7">
        <w:tc>
          <w:tcPr>
            <w:tcW w:w="3118" w:type="dxa"/>
            <w:tcBorders>
              <w:right w:val="single" w:sz="4" w:space="0" w:color="FFFFFF"/>
            </w:tcBorders>
            <w:shd w:val="clear" w:color="auto" w:fill="548DD4"/>
          </w:tcPr>
          <w:p w:rsidR="00C420C0" w:rsidRPr="00AA57B2" w:rsidRDefault="00274ABB" w:rsidP="00274ABB">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Domestic</w:t>
            </w:r>
          </w:p>
        </w:tc>
        <w:tc>
          <w:tcPr>
            <w:tcW w:w="1134" w:type="dxa"/>
            <w:tcBorders>
              <w:right w:val="single" w:sz="4" w:space="0" w:color="FFFFFF"/>
            </w:tcBorders>
            <w:shd w:val="clear" w:color="auto" w:fill="548DD4"/>
          </w:tcPr>
          <w:p w:rsidR="00C420C0" w:rsidRPr="00AA57B2" w:rsidRDefault="00C420C0" w:rsidP="0041417A">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C420C0" w:rsidRPr="00AA57B2" w:rsidRDefault="00C420C0" w:rsidP="0041417A">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C420C0" w:rsidRPr="00AA57B2" w:rsidRDefault="00C420C0" w:rsidP="0041417A">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C420C0" w:rsidRPr="00AA57B2" w:rsidRDefault="00C420C0" w:rsidP="0041417A">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C420C0" w:rsidRPr="00AA57B2" w:rsidRDefault="00C420C0" w:rsidP="0041417A">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274ABB" w:rsidRPr="00AA57B2" w:rsidTr="008942B3">
        <w:tc>
          <w:tcPr>
            <w:tcW w:w="3118" w:type="dxa"/>
            <w:vAlign w:val="center"/>
          </w:tcPr>
          <w:p w:rsidR="00274ABB" w:rsidRPr="00AA57B2" w:rsidRDefault="00274ABB" w:rsidP="00C420C0">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565,938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577,776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589,722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601,384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613,288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C420C0">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Merrifield</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384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537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654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765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C420C0">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Koo Wee Rup</w:t>
            </w:r>
          </w:p>
        </w:tc>
        <w:tc>
          <w:tcPr>
            <w:tcW w:w="1134"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92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118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sidRPr="00AA57B2">
              <w:rPr>
                <w:rFonts w:ascii="Arial Narrow" w:hAnsi="Arial Narrow"/>
                <w:b/>
                <w:i/>
                <w:sz w:val="24"/>
                <w:szCs w:val="24"/>
                <w:lang w:val="en-US"/>
              </w:rPr>
              <w:t>plus</w:t>
            </w:r>
            <w:r w:rsidRPr="00AA57B2">
              <w:rPr>
                <w:rFonts w:ascii="Arial Narrow" w:hAnsi="Arial Narrow"/>
                <w:b/>
                <w:sz w:val="24"/>
                <w:szCs w:val="24"/>
                <w:lang w:val="en-US"/>
              </w:rPr>
              <w:t xml:space="preserve"> Network Development</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45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50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55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60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66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565,983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578,210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590,315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602,189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614,237 </w:t>
            </w:r>
          </w:p>
        </w:tc>
      </w:tr>
    </w:tbl>
    <w:p w:rsidR="00C420C0" w:rsidRDefault="00C420C0" w:rsidP="00C420C0">
      <w:pPr>
        <w:spacing w:after="0" w:line="240" w:lineRule="auto"/>
        <w:ind w:left="851"/>
        <w:jc w:val="both"/>
        <w:rPr>
          <w:rFonts w:ascii="Arial Narrow" w:hAnsi="Arial Narrow" w:cs="Arial Narrow"/>
          <w:sz w:val="24"/>
          <w:szCs w:val="24"/>
          <w:lang w:val="en-US"/>
        </w:rPr>
      </w:pPr>
    </w:p>
    <w:p w:rsidR="00C420C0" w:rsidRPr="00F53E9E" w:rsidRDefault="00892127" w:rsidP="00C420C0">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 xml:space="preserve">Table </w:t>
      </w:r>
      <w:r w:rsidR="00C420C0">
        <w:rPr>
          <w:rFonts w:ascii="Arial Narrow" w:hAnsi="Arial Narrow" w:cs="Arial Narrow"/>
          <w:b/>
          <w:color w:val="17365D" w:themeColor="text2" w:themeShade="BF"/>
          <w:sz w:val="24"/>
          <w:szCs w:val="24"/>
          <w:lang w:val="en-US"/>
        </w:rPr>
        <w:t>2</w:t>
      </w:r>
      <w:r w:rsidR="00C70EE3">
        <w:rPr>
          <w:rFonts w:ascii="Arial Narrow" w:hAnsi="Arial Narrow" w:cs="Arial Narrow"/>
          <w:b/>
          <w:color w:val="17365D" w:themeColor="text2" w:themeShade="BF"/>
          <w:sz w:val="24"/>
          <w:szCs w:val="24"/>
          <w:lang w:val="en-US"/>
        </w:rPr>
        <w:t>:</w:t>
      </w:r>
      <w:r w:rsidR="00C420C0" w:rsidRPr="00F53E9E">
        <w:rPr>
          <w:rFonts w:ascii="Arial Narrow" w:hAnsi="Arial Narrow" w:cs="Arial Narrow"/>
          <w:b/>
          <w:color w:val="17365D" w:themeColor="text2" w:themeShade="BF"/>
          <w:sz w:val="24"/>
          <w:szCs w:val="24"/>
          <w:lang w:val="en-US"/>
        </w:rPr>
        <w:t xml:space="preserve">  Domestic </w:t>
      </w:r>
      <w:r w:rsidR="00C420C0">
        <w:rPr>
          <w:rFonts w:ascii="Arial Narrow" w:hAnsi="Arial Narrow" w:cs="Arial Narrow"/>
          <w:b/>
          <w:color w:val="17365D" w:themeColor="text2" w:themeShade="BF"/>
          <w:sz w:val="24"/>
          <w:szCs w:val="24"/>
          <w:lang w:val="en-US"/>
        </w:rPr>
        <w:t>Volume</w:t>
      </w:r>
      <w:r w:rsidR="00C420C0" w:rsidRPr="00F53E9E">
        <w:rPr>
          <w:rFonts w:ascii="Arial Narrow" w:hAnsi="Arial Narrow" w:cs="Arial Narrow"/>
          <w:b/>
          <w:color w:val="17365D" w:themeColor="text2" w:themeShade="BF"/>
          <w:sz w:val="24"/>
          <w:szCs w:val="24"/>
          <w:lang w:val="en-US"/>
        </w:rPr>
        <w:t xml:space="preserve"> Forecast</w:t>
      </w:r>
      <w:r w:rsidR="00CB4F24">
        <w:rPr>
          <w:rFonts w:ascii="Arial Narrow" w:hAnsi="Arial Narrow" w:cs="Arial Narrow"/>
          <w:b/>
          <w:color w:val="17365D" w:themeColor="text2" w:themeShade="BF"/>
          <w:sz w:val="24"/>
          <w:szCs w:val="24"/>
          <w:lang w:val="en-US"/>
        </w:rPr>
        <w:t>s</w:t>
      </w:r>
      <w:r w:rsidR="00675B8D">
        <w:rPr>
          <w:rFonts w:ascii="Arial Narrow" w:hAnsi="Arial Narrow" w:cs="Arial Narrow"/>
          <w:b/>
          <w:color w:val="17365D" w:themeColor="text2" w:themeShade="BF"/>
          <w:sz w:val="24"/>
          <w:szCs w:val="24"/>
          <w:lang w:val="en-US"/>
        </w:rPr>
        <w:t>, 2013 to 2017</w:t>
      </w:r>
    </w:p>
    <w:p w:rsidR="00C420C0" w:rsidRPr="00F246B0" w:rsidRDefault="00C420C0" w:rsidP="00C420C0">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C420C0" w:rsidRPr="00AA57B2" w:rsidTr="004D50F7">
        <w:tc>
          <w:tcPr>
            <w:tcW w:w="3118" w:type="dxa"/>
            <w:tcBorders>
              <w:right w:val="single" w:sz="4" w:space="0" w:color="FFFFFF"/>
            </w:tcBorders>
            <w:shd w:val="clear" w:color="auto" w:fill="548DD4"/>
          </w:tcPr>
          <w:p w:rsidR="00C420C0" w:rsidRPr="00AA57B2" w:rsidRDefault="00C420C0" w:rsidP="008942B3">
            <w:pPr>
              <w:spacing w:before="60" w:after="60" w:line="240" w:lineRule="auto"/>
              <w:rPr>
                <w:rFonts w:ascii="Arial Narrow" w:hAnsi="Arial Narrow"/>
                <w:b/>
                <w:color w:val="FFFFFF"/>
                <w:sz w:val="24"/>
                <w:szCs w:val="24"/>
                <w:lang w:val="en-US"/>
              </w:rPr>
            </w:pPr>
            <w:r w:rsidRPr="00AA57B2">
              <w:rPr>
                <w:rFonts w:ascii="Arial Narrow" w:hAnsi="Arial Narrow"/>
                <w:b/>
                <w:color w:val="FFFFFF"/>
                <w:sz w:val="24"/>
                <w:szCs w:val="24"/>
                <w:lang w:val="en-US"/>
              </w:rPr>
              <w:t>Domestic Tariff V (TJ)</w:t>
            </w:r>
          </w:p>
        </w:tc>
        <w:tc>
          <w:tcPr>
            <w:tcW w:w="1134" w:type="dxa"/>
            <w:tcBorders>
              <w:right w:val="single" w:sz="4" w:space="0" w:color="FFFFFF"/>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722576" w:rsidRPr="00AA57B2" w:rsidTr="008942B3">
        <w:tc>
          <w:tcPr>
            <w:tcW w:w="3118" w:type="dxa"/>
            <w:vAlign w:val="center"/>
          </w:tcPr>
          <w:p w:rsidR="00722576" w:rsidRPr="00AA57B2" w:rsidRDefault="00722576"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26,852 </w:t>
            </w:r>
          </w:p>
        </w:tc>
        <w:tc>
          <w:tcPr>
            <w:tcW w:w="1134" w:type="dxa"/>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26,555 </w:t>
            </w:r>
          </w:p>
        </w:tc>
        <w:tc>
          <w:tcPr>
            <w:tcW w:w="1134" w:type="dxa"/>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26,297 </w:t>
            </w:r>
          </w:p>
        </w:tc>
        <w:tc>
          <w:tcPr>
            <w:tcW w:w="1134" w:type="dxa"/>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26,024 </w:t>
            </w:r>
          </w:p>
        </w:tc>
        <w:tc>
          <w:tcPr>
            <w:tcW w:w="1134" w:type="dxa"/>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25,827 </w:t>
            </w:r>
          </w:p>
        </w:tc>
      </w:tr>
      <w:tr w:rsidR="00722576"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722576" w:rsidRPr="00AA57B2" w:rsidRDefault="00722576"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Merrifield</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18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24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28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32 </w:t>
            </w:r>
          </w:p>
        </w:tc>
      </w:tr>
      <w:tr w:rsidR="00C420C0"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C420C0"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Koo Wee Rup</w:t>
            </w:r>
          </w:p>
        </w:tc>
        <w:tc>
          <w:tcPr>
            <w:tcW w:w="1134"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w:t>
            </w:r>
          </w:p>
        </w:tc>
        <w:tc>
          <w:tcPr>
            <w:tcW w:w="1134"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722576"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4</w:t>
            </w:r>
          </w:p>
        </w:tc>
        <w:tc>
          <w:tcPr>
            <w:tcW w:w="1134" w:type="dxa"/>
            <w:tcBorders>
              <w:top w:val="single" w:sz="4" w:space="0" w:color="548DD4"/>
              <w:left w:val="single" w:sz="4" w:space="0" w:color="548DD4"/>
              <w:bottom w:val="single" w:sz="4" w:space="0" w:color="548DD4"/>
              <w:right w:val="single" w:sz="4" w:space="0" w:color="548DD4"/>
            </w:tcBorders>
            <w:vAlign w:val="center"/>
          </w:tcPr>
          <w:p w:rsidR="00C420C0" w:rsidRPr="00AA57B2" w:rsidRDefault="00722576"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5</w:t>
            </w:r>
          </w:p>
        </w:tc>
      </w:tr>
      <w:tr w:rsidR="00722576"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722576" w:rsidRPr="00AA57B2" w:rsidRDefault="00722576" w:rsidP="008942B3">
            <w:pPr>
              <w:spacing w:before="60" w:after="60" w:line="240" w:lineRule="auto"/>
              <w:rPr>
                <w:rFonts w:ascii="Arial Narrow" w:hAnsi="Arial Narrow"/>
                <w:b/>
                <w:sz w:val="24"/>
                <w:szCs w:val="24"/>
                <w:lang w:val="en-US"/>
              </w:rPr>
            </w:pPr>
            <w:r w:rsidRPr="00AA57B2">
              <w:rPr>
                <w:rFonts w:ascii="Arial Narrow" w:hAnsi="Arial Narrow"/>
                <w:b/>
                <w:i/>
                <w:sz w:val="24"/>
                <w:szCs w:val="24"/>
                <w:lang w:val="en-US"/>
              </w:rPr>
              <w:t>plus</w:t>
            </w:r>
            <w:r w:rsidRPr="00AA57B2">
              <w:rPr>
                <w:rFonts w:ascii="Arial Narrow" w:hAnsi="Arial Narrow"/>
                <w:b/>
                <w:sz w:val="24"/>
                <w:szCs w:val="24"/>
                <w:lang w:val="en-US"/>
              </w:rPr>
              <w:t xml:space="preserve"> Network Development</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2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2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2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3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sz w:val="24"/>
                <w:szCs w:val="24"/>
                <w:lang w:val="en-US"/>
              </w:rPr>
            </w:pPr>
            <w:r w:rsidRPr="00722576">
              <w:rPr>
                <w:rFonts w:ascii="Arial Narrow" w:hAnsi="Arial Narrow"/>
                <w:sz w:val="24"/>
                <w:szCs w:val="24"/>
                <w:lang w:val="en-US"/>
              </w:rPr>
              <w:t xml:space="preserve"> 3 </w:t>
            </w:r>
          </w:p>
        </w:tc>
      </w:tr>
      <w:tr w:rsidR="00722576"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722576" w:rsidRPr="00AA57B2" w:rsidRDefault="00722576"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b/>
                <w:sz w:val="24"/>
                <w:szCs w:val="24"/>
                <w:lang w:val="en-US"/>
              </w:rPr>
            </w:pPr>
            <w:r w:rsidRPr="00722576">
              <w:rPr>
                <w:rFonts w:ascii="Arial Narrow" w:hAnsi="Arial Narrow"/>
                <w:b/>
                <w:sz w:val="24"/>
                <w:szCs w:val="24"/>
                <w:lang w:val="en-US"/>
              </w:rPr>
              <w:t xml:space="preserve">26,854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b/>
                <w:sz w:val="24"/>
                <w:szCs w:val="24"/>
                <w:lang w:val="en-US"/>
              </w:rPr>
            </w:pPr>
            <w:r w:rsidRPr="00722576">
              <w:rPr>
                <w:rFonts w:ascii="Arial Narrow" w:hAnsi="Arial Narrow"/>
                <w:b/>
                <w:sz w:val="24"/>
                <w:szCs w:val="24"/>
                <w:lang w:val="en-US"/>
              </w:rPr>
              <w:t xml:space="preserve">26,575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b/>
                <w:sz w:val="24"/>
                <w:szCs w:val="24"/>
                <w:lang w:val="en-US"/>
              </w:rPr>
            </w:pPr>
            <w:r w:rsidRPr="00722576">
              <w:rPr>
                <w:rFonts w:ascii="Arial Narrow" w:hAnsi="Arial Narrow"/>
                <w:b/>
                <w:sz w:val="24"/>
                <w:szCs w:val="24"/>
                <w:lang w:val="en-US"/>
              </w:rPr>
              <w:t xml:space="preserve">26,324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b/>
                <w:sz w:val="24"/>
                <w:szCs w:val="24"/>
                <w:lang w:val="en-US"/>
              </w:rPr>
            </w:pPr>
            <w:r w:rsidRPr="00722576">
              <w:rPr>
                <w:rFonts w:ascii="Arial Narrow" w:hAnsi="Arial Narrow"/>
                <w:b/>
                <w:sz w:val="24"/>
                <w:szCs w:val="24"/>
                <w:lang w:val="en-US"/>
              </w:rPr>
              <w:t xml:space="preserve">26,059 </w:t>
            </w:r>
          </w:p>
        </w:tc>
        <w:tc>
          <w:tcPr>
            <w:tcW w:w="1134" w:type="dxa"/>
            <w:tcBorders>
              <w:top w:val="single" w:sz="4" w:space="0" w:color="548DD4"/>
              <w:left w:val="single" w:sz="4" w:space="0" w:color="548DD4"/>
              <w:bottom w:val="single" w:sz="4" w:space="0" w:color="548DD4"/>
              <w:right w:val="single" w:sz="4" w:space="0" w:color="548DD4"/>
            </w:tcBorders>
          </w:tcPr>
          <w:p w:rsidR="00722576" w:rsidRPr="00722576" w:rsidRDefault="00722576" w:rsidP="0041417A">
            <w:pPr>
              <w:spacing w:before="60" w:after="60" w:line="240" w:lineRule="auto"/>
              <w:jc w:val="right"/>
              <w:rPr>
                <w:rFonts w:ascii="Arial Narrow" w:hAnsi="Arial Narrow"/>
                <w:b/>
                <w:sz w:val="24"/>
                <w:szCs w:val="24"/>
                <w:lang w:val="en-US"/>
              </w:rPr>
            </w:pPr>
            <w:r w:rsidRPr="00722576">
              <w:rPr>
                <w:rFonts w:ascii="Arial Narrow" w:hAnsi="Arial Narrow"/>
                <w:b/>
                <w:sz w:val="24"/>
                <w:szCs w:val="24"/>
                <w:lang w:val="en-US"/>
              </w:rPr>
              <w:t xml:space="preserve">25,867 </w:t>
            </w:r>
          </w:p>
        </w:tc>
      </w:tr>
    </w:tbl>
    <w:p w:rsidR="00C420C0" w:rsidRDefault="00C420C0" w:rsidP="00C420C0">
      <w:pPr>
        <w:spacing w:after="0" w:line="240" w:lineRule="auto"/>
        <w:ind w:left="851"/>
        <w:jc w:val="both"/>
        <w:rPr>
          <w:rFonts w:ascii="Arial Narrow" w:hAnsi="Arial Narrow" w:cs="Arial Narrow"/>
          <w:sz w:val="24"/>
          <w:szCs w:val="24"/>
          <w:lang w:val="en-US"/>
        </w:rPr>
      </w:pPr>
    </w:p>
    <w:p w:rsidR="00114738" w:rsidRDefault="00114738">
      <w:pPr>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br w:type="page"/>
      </w:r>
    </w:p>
    <w:p w:rsidR="00C420C0" w:rsidRPr="00F53E9E" w:rsidRDefault="00C420C0" w:rsidP="00D55DDC">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lastRenderedPageBreak/>
        <w:t>Table 3</w:t>
      </w:r>
      <w:r w:rsidR="00114738">
        <w:rPr>
          <w:rFonts w:ascii="Arial Narrow" w:hAnsi="Arial Narrow" w:cs="Arial Narrow"/>
          <w:b/>
          <w:color w:val="17365D" w:themeColor="text2" w:themeShade="BF"/>
          <w:sz w:val="24"/>
          <w:szCs w:val="24"/>
          <w:lang w:val="en-US"/>
        </w:rPr>
        <w:t>:</w:t>
      </w:r>
      <w:r w:rsidRPr="00F53E9E">
        <w:rPr>
          <w:rFonts w:ascii="Arial Narrow" w:hAnsi="Arial Narrow" w:cs="Arial Narrow"/>
          <w:b/>
          <w:color w:val="17365D" w:themeColor="text2" w:themeShade="BF"/>
          <w:sz w:val="24"/>
          <w:szCs w:val="24"/>
          <w:lang w:val="en-US"/>
        </w:rPr>
        <w:t xml:space="preserve">  </w:t>
      </w:r>
      <w:r>
        <w:rPr>
          <w:rFonts w:ascii="Arial Narrow" w:hAnsi="Arial Narrow" w:cs="Arial Narrow"/>
          <w:b/>
          <w:color w:val="17365D" w:themeColor="text2" w:themeShade="BF"/>
          <w:sz w:val="24"/>
          <w:szCs w:val="24"/>
          <w:lang w:val="en-US"/>
        </w:rPr>
        <w:t xml:space="preserve">Non - </w:t>
      </w:r>
      <w:r w:rsidRPr="00F53E9E">
        <w:rPr>
          <w:rFonts w:ascii="Arial Narrow" w:hAnsi="Arial Narrow" w:cs="Arial Narrow"/>
          <w:b/>
          <w:color w:val="17365D" w:themeColor="text2" w:themeShade="BF"/>
          <w:sz w:val="24"/>
          <w:szCs w:val="24"/>
          <w:lang w:val="en-US"/>
        </w:rPr>
        <w:t xml:space="preserve">Domestic </w:t>
      </w:r>
      <w:r>
        <w:rPr>
          <w:rFonts w:ascii="Arial Narrow" w:hAnsi="Arial Narrow" w:cs="Arial Narrow"/>
          <w:b/>
          <w:color w:val="17365D" w:themeColor="text2" w:themeShade="BF"/>
          <w:sz w:val="24"/>
          <w:szCs w:val="24"/>
          <w:lang w:val="en-US"/>
        </w:rPr>
        <w:t>Customer Number</w:t>
      </w:r>
      <w:r w:rsidRPr="00F53E9E">
        <w:rPr>
          <w:rFonts w:ascii="Arial Narrow" w:hAnsi="Arial Narrow" w:cs="Arial Narrow"/>
          <w:b/>
          <w:color w:val="17365D" w:themeColor="text2" w:themeShade="BF"/>
          <w:sz w:val="24"/>
          <w:szCs w:val="24"/>
          <w:lang w:val="en-US"/>
        </w:rPr>
        <w:t xml:space="preserve"> Forecast</w:t>
      </w:r>
      <w:r w:rsidR="00CB4F24">
        <w:rPr>
          <w:rFonts w:ascii="Arial Narrow" w:hAnsi="Arial Narrow" w:cs="Arial Narrow"/>
          <w:b/>
          <w:color w:val="17365D" w:themeColor="text2" w:themeShade="BF"/>
          <w:sz w:val="24"/>
          <w:szCs w:val="24"/>
          <w:lang w:val="en-US"/>
        </w:rPr>
        <w:t>s</w:t>
      </w:r>
      <w:r w:rsidR="00675B8D">
        <w:rPr>
          <w:rFonts w:ascii="Arial Narrow" w:hAnsi="Arial Narrow" w:cs="Arial Narrow"/>
          <w:b/>
          <w:color w:val="17365D" w:themeColor="text2" w:themeShade="BF"/>
          <w:sz w:val="24"/>
          <w:szCs w:val="24"/>
          <w:lang w:val="en-US"/>
        </w:rPr>
        <w:t>, 2013 to 2017</w:t>
      </w:r>
    </w:p>
    <w:p w:rsidR="00C420C0" w:rsidRPr="00F246B0" w:rsidRDefault="00C420C0" w:rsidP="00C420C0">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C420C0" w:rsidRPr="00AA57B2" w:rsidTr="00535713">
        <w:tc>
          <w:tcPr>
            <w:tcW w:w="3118" w:type="dxa"/>
            <w:tcBorders>
              <w:right w:val="single" w:sz="4" w:space="0" w:color="FFFFFF"/>
            </w:tcBorders>
            <w:shd w:val="clear" w:color="auto" w:fill="548DD4"/>
          </w:tcPr>
          <w:p w:rsidR="00C420C0" w:rsidRPr="00AA57B2" w:rsidRDefault="000517AD" w:rsidP="00274ABB">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Non-</w:t>
            </w:r>
            <w:r w:rsidR="00274ABB">
              <w:rPr>
                <w:rFonts w:ascii="Arial Narrow" w:hAnsi="Arial Narrow"/>
                <w:b/>
                <w:color w:val="FFFFFF"/>
                <w:sz w:val="24"/>
                <w:szCs w:val="24"/>
                <w:lang w:val="en-US"/>
              </w:rPr>
              <w:t>Domestic</w:t>
            </w:r>
          </w:p>
        </w:tc>
        <w:tc>
          <w:tcPr>
            <w:tcW w:w="1134" w:type="dxa"/>
            <w:tcBorders>
              <w:right w:val="single" w:sz="4" w:space="0" w:color="FFFFFF"/>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274ABB" w:rsidRPr="00AA57B2" w:rsidTr="008942B3">
        <w:tc>
          <w:tcPr>
            <w:tcW w:w="3118" w:type="dxa"/>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22,950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23,136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23,307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23,413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23,612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Merrifield</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4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22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38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41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Koo Wee Rup</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2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22,950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23,141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23,329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23,452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23,655 </w:t>
            </w:r>
          </w:p>
        </w:tc>
      </w:tr>
    </w:tbl>
    <w:p w:rsidR="00C420C0" w:rsidRDefault="00C420C0" w:rsidP="00C420C0">
      <w:pPr>
        <w:spacing w:after="0" w:line="240" w:lineRule="auto"/>
        <w:ind w:left="851"/>
        <w:jc w:val="both"/>
        <w:rPr>
          <w:rFonts w:ascii="Arial Narrow" w:hAnsi="Arial Narrow" w:cs="Arial Narrow"/>
          <w:sz w:val="24"/>
          <w:szCs w:val="24"/>
          <w:lang w:val="en-US"/>
        </w:rPr>
      </w:pPr>
    </w:p>
    <w:p w:rsidR="00C420C0" w:rsidRPr="00F53E9E" w:rsidRDefault="00C420C0" w:rsidP="00C420C0">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Table 4</w:t>
      </w:r>
      <w:r w:rsidR="00D55DDC">
        <w:rPr>
          <w:rFonts w:ascii="Arial Narrow" w:hAnsi="Arial Narrow" w:cs="Arial Narrow"/>
          <w:b/>
          <w:color w:val="17365D" w:themeColor="text2" w:themeShade="BF"/>
          <w:sz w:val="24"/>
          <w:szCs w:val="24"/>
          <w:lang w:val="en-US"/>
        </w:rPr>
        <w:t>:</w:t>
      </w:r>
      <w:r w:rsidRPr="00F53E9E">
        <w:rPr>
          <w:rFonts w:ascii="Arial Narrow" w:hAnsi="Arial Narrow" w:cs="Arial Narrow"/>
          <w:b/>
          <w:color w:val="17365D" w:themeColor="text2" w:themeShade="BF"/>
          <w:sz w:val="24"/>
          <w:szCs w:val="24"/>
          <w:lang w:val="en-US"/>
        </w:rPr>
        <w:t xml:space="preserve">  </w:t>
      </w:r>
      <w:r>
        <w:rPr>
          <w:rFonts w:ascii="Arial Narrow" w:hAnsi="Arial Narrow" w:cs="Arial Narrow"/>
          <w:b/>
          <w:color w:val="17365D" w:themeColor="text2" w:themeShade="BF"/>
          <w:sz w:val="24"/>
          <w:szCs w:val="24"/>
          <w:lang w:val="en-US"/>
        </w:rPr>
        <w:t xml:space="preserve">Non - </w:t>
      </w:r>
      <w:r w:rsidRPr="00F53E9E">
        <w:rPr>
          <w:rFonts w:ascii="Arial Narrow" w:hAnsi="Arial Narrow" w:cs="Arial Narrow"/>
          <w:b/>
          <w:color w:val="17365D" w:themeColor="text2" w:themeShade="BF"/>
          <w:sz w:val="24"/>
          <w:szCs w:val="24"/>
          <w:lang w:val="en-US"/>
        </w:rPr>
        <w:t xml:space="preserve">Domestic </w:t>
      </w:r>
      <w:r>
        <w:rPr>
          <w:rFonts w:ascii="Arial Narrow" w:hAnsi="Arial Narrow" w:cs="Arial Narrow"/>
          <w:b/>
          <w:color w:val="17365D" w:themeColor="text2" w:themeShade="BF"/>
          <w:sz w:val="24"/>
          <w:szCs w:val="24"/>
          <w:lang w:val="en-US"/>
        </w:rPr>
        <w:t>Volume</w:t>
      </w:r>
      <w:r w:rsidRPr="00F53E9E">
        <w:rPr>
          <w:rFonts w:ascii="Arial Narrow" w:hAnsi="Arial Narrow" w:cs="Arial Narrow"/>
          <w:b/>
          <w:color w:val="17365D" w:themeColor="text2" w:themeShade="BF"/>
          <w:sz w:val="24"/>
          <w:szCs w:val="24"/>
          <w:lang w:val="en-US"/>
        </w:rPr>
        <w:t xml:space="preserve"> Forecast</w:t>
      </w:r>
      <w:r w:rsidR="00CB4F24">
        <w:rPr>
          <w:rFonts w:ascii="Arial Narrow" w:hAnsi="Arial Narrow" w:cs="Arial Narrow"/>
          <w:b/>
          <w:color w:val="17365D" w:themeColor="text2" w:themeShade="BF"/>
          <w:sz w:val="24"/>
          <w:szCs w:val="24"/>
          <w:lang w:val="en-US"/>
        </w:rPr>
        <w:t>s</w:t>
      </w:r>
      <w:r w:rsidR="00675B8D">
        <w:rPr>
          <w:rFonts w:ascii="Arial Narrow" w:hAnsi="Arial Narrow" w:cs="Arial Narrow"/>
          <w:b/>
          <w:color w:val="17365D" w:themeColor="text2" w:themeShade="BF"/>
          <w:sz w:val="24"/>
          <w:szCs w:val="24"/>
          <w:lang w:val="en-US"/>
        </w:rPr>
        <w:t>, 2013 to 2017</w:t>
      </w:r>
    </w:p>
    <w:p w:rsidR="00C420C0" w:rsidRPr="00F246B0" w:rsidRDefault="00C420C0" w:rsidP="00C420C0">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C420C0" w:rsidRPr="00AA57B2" w:rsidTr="00535713">
        <w:tc>
          <w:tcPr>
            <w:tcW w:w="3118" w:type="dxa"/>
            <w:tcBorders>
              <w:right w:val="single" w:sz="4" w:space="0" w:color="FFFFFF"/>
            </w:tcBorders>
            <w:shd w:val="clear" w:color="auto" w:fill="548DD4"/>
          </w:tcPr>
          <w:p w:rsidR="00C420C0" w:rsidRPr="00AA57B2" w:rsidRDefault="000517AD" w:rsidP="008942B3">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Non-</w:t>
            </w:r>
            <w:r w:rsidR="00C420C0" w:rsidRPr="00AA57B2">
              <w:rPr>
                <w:rFonts w:ascii="Arial Narrow" w:hAnsi="Arial Narrow"/>
                <w:b/>
                <w:color w:val="FFFFFF"/>
                <w:sz w:val="24"/>
                <w:szCs w:val="24"/>
                <w:lang w:val="en-US"/>
              </w:rPr>
              <w:t>Domestic Tariff V (TJ)</w:t>
            </w:r>
          </w:p>
        </w:tc>
        <w:tc>
          <w:tcPr>
            <w:tcW w:w="1134" w:type="dxa"/>
            <w:tcBorders>
              <w:right w:val="single" w:sz="4" w:space="0" w:color="FFFFFF"/>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274ABB" w:rsidRPr="00AA57B2" w:rsidTr="008942B3">
        <w:tc>
          <w:tcPr>
            <w:tcW w:w="3118" w:type="dxa"/>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6,234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6,062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5,911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5,791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5,704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Merrifield</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1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6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9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10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i/>
                <w:sz w:val="24"/>
                <w:szCs w:val="24"/>
                <w:lang w:val="en-US"/>
              </w:rPr>
              <w:t>plus</w:t>
            </w:r>
            <w:r w:rsidRPr="00AA57B2">
              <w:rPr>
                <w:rFonts w:ascii="Arial Narrow" w:hAnsi="Arial Narrow"/>
                <w:b/>
                <w:sz w:val="24"/>
                <w:szCs w:val="24"/>
                <w:lang w:val="en-US"/>
              </w:rPr>
              <w:t xml:space="preserve"> </w:t>
            </w:r>
            <w:r>
              <w:rPr>
                <w:rFonts w:ascii="Arial Narrow" w:hAnsi="Arial Narrow"/>
                <w:b/>
                <w:sz w:val="24"/>
                <w:szCs w:val="24"/>
                <w:lang w:val="en-US"/>
              </w:rPr>
              <w:t>Koo Wee Rup</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0.5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0.5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6,234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6,063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5,917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5,801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5,715 </w:t>
            </w:r>
          </w:p>
        </w:tc>
      </w:tr>
    </w:tbl>
    <w:p w:rsidR="00C420C0" w:rsidRDefault="00C420C0" w:rsidP="00C420C0">
      <w:pPr>
        <w:spacing w:after="0" w:line="240" w:lineRule="auto"/>
        <w:ind w:left="851"/>
        <w:jc w:val="both"/>
        <w:rPr>
          <w:rFonts w:ascii="Arial Narrow" w:hAnsi="Arial Narrow" w:cs="Arial Narrow"/>
          <w:sz w:val="24"/>
          <w:szCs w:val="24"/>
          <w:lang w:val="en-US"/>
        </w:rPr>
      </w:pPr>
    </w:p>
    <w:p w:rsidR="00C420C0" w:rsidRPr="00F53E9E" w:rsidRDefault="00C420C0" w:rsidP="00C420C0">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Table 5</w:t>
      </w:r>
      <w:r w:rsidR="00D55DDC">
        <w:rPr>
          <w:rFonts w:ascii="Arial Narrow" w:hAnsi="Arial Narrow" w:cs="Arial Narrow"/>
          <w:b/>
          <w:color w:val="17365D" w:themeColor="text2" w:themeShade="BF"/>
          <w:sz w:val="24"/>
          <w:szCs w:val="24"/>
          <w:lang w:val="en-US"/>
        </w:rPr>
        <w:t>:</w:t>
      </w:r>
      <w:r w:rsidRPr="00F53E9E">
        <w:rPr>
          <w:rFonts w:ascii="Arial Narrow" w:hAnsi="Arial Narrow" w:cs="Arial Narrow"/>
          <w:b/>
          <w:color w:val="17365D" w:themeColor="text2" w:themeShade="BF"/>
          <w:sz w:val="24"/>
          <w:szCs w:val="24"/>
          <w:lang w:val="en-US"/>
        </w:rPr>
        <w:t xml:space="preserve"> </w:t>
      </w:r>
      <w:r w:rsidR="00D55DDC">
        <w:rPr>
          <w:rFonts w:ascii="Arial Narrow" w:hAnsi="Arial Narrow" w:cs="Arial Narrow"/>
          <w:b/>
          <w:color w:val="17365D" w:themeColor="text2" w:themeShade="BF"/>
          <w:sz w:val="24"/>
          <w:szCs w:val="24"/>
          <w:lang w:val="en-US"/>
        </w:rPr>
        <w:t xml:space="preserve"> </w:t>
      </w:r>
      <w:r>
        <w:rPr>
          <w:rFonts w:ascii="Arial Narrow" w:hAnsi="Arial Narrow" w:cs="Arial Narrow"/>
          <w:b/>
          <w:color w:val="17365D" w:themeColor="text2" w:themeShade="BF"/>
          <w:sz w:val="24"/>
          <w:szCs w:val="24"/>
          <w:lang w:val="en-US"/>
        </w:rPr>
        <w:t>Tariff D MHQ Forecast</w:t>
      </w:r>
      <w:r w:rsidR="00CB4F24">
        <w:rPr>
          <w:rFonts w:ascii="Arial Narrow" w:hAnsi="Arial Narrow" w:cs="Arial Narrow"/>
          <w:b/>
          <w:color w:val="17365D" w:themeColor="text2" w:themeShade="BF"/>
          <w:sz w:val="24"/>
          <w:szCs w:val="24"/>
          <w:lang w:val="en-US"/>
        </w:rPr>
        <w:t>s</w:t>
      </w:r>
      <w:r w:rsidR="00675B8D">
        <w:rPr>
          <w:rFonts w:ascii="Arial Narrow" w:hAnsi="Arial Narrow" w:cs="Arial Narrow"/>
          <w:b/>
          <w:color w:val="17365D" w:themeColor="text2" w:themeShade="BF"/>
          <w:sz w:val="24"/>
          <w:szCs w:val="24"/>
          <w:lang w:val="en-US"/>
        </w:rPr>
        <w:t>, 2013 to 2017</w:t>
      </w:r>
    </w:p>
    <w:p w:rsidR="00C420C0" w:rsidRPr="00F246B0" w:rsidRDefault="00C420C0" w:rsidP="00C420C0">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C420C0" w:rsidRPr="00AA57B2" w:rsidTr="00535713">
        <w:tc>
          <w:tcPr>
            <w:tcW w:w="3118" w:type="dxa"/>
            <w:tcBorders>
              <w:right w:val="single" w:sz="4" w:space="0" w:color="FFFFFF"/>
            </w:tcBorders>
            <w:shd w:val="clear" w:color="auto" w:fill="548DD4"/>
          </w:tcPr>
          <w:p w:rsidR="00C420C0" w:rsidRPr="00AA57B2" w:rsidRDefault="000517AD" w:rsidP="008942B3">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Tariff D</w:t>
            </w:r>
            <w:r w:rsidRPr="00AA57B2">
              <w:rPr>
                <w:rFonts w:ascii="Arial Narrow" w:hAnsi="Arial Narrow"/>
                <w:b/>
                <w:color w:val="FFFFFF"/>
                <w:sz w:val="24"/>
                <w:szCs w:val="24"/>
                <w:lang w:val="en-US"/>
              </w:rPr>
              <w:t xml:space="preserve"> </w:t>
            </w:r>
            <w:r>
              <w:rPr>
                <w:rFonts w:ascii="Arial Narrow" w:hAnsi="Arial Narrow"/>
                <w:b/>
                <w:color w:val="FFFFFF"/>
                <w:sz w:val="24"/>
                <w:szCs w:val="24"/>
                <w:lang w:val="en-US"/>
              </w:rPr>
              <w:t xml:space="preserve">MHQ </w:t>
            </w:r>
            <w:r w:rsidRPr="00AA57B2">
              <w:rPr>
                <w:rFonts w:ascii="Arial Narrow" w:hAnsi="Arial Narrow"/>
                <w:b/>
                <w:color w:val="FFFFFF"/>
                <w:sz w:val="24"/>
                <w:szCs w:val="24"/>
                <w:lang w:val="en-US"/>
              </w:rPr>
              <w:t>(</w:t>
            </w:r>
            <w:r>
              <w:rPr>
                <w:rFonts w:ascii="Arial Narrow" w:hAnsi="Arial Narrow"/>
                <w:b/>
                <w:color w:val="FFFFFF"/>
                <w:sz w:val="24"/>
                <w:szCs w:val="24"/>
                <w:lang w:val="en-US"/>
              </w:rPr>
              <w:t>GJ</w:t>
            </w:r>
            <w:r w:rsidRPr="00AA57B2">
              <w:rPr>
                <w:rFonts w:ascii="Arial Narrow" w:hAnsi="Arial Narrow"/>
                <w:b/>
                <w:color w:val="FFFFFF"/>
                <w:sz w:val="24"/>
                <w:szCs w:val="24"/>
                <w:lang w:val="en-US"/>
              </w:rPr>
              <w:t>)</w:t>
            </w:r>
          </w:p>
        </w:tc>
        <w:tc>
          <w:tcPr>
            <w:tcW w:w="1134" w:type="dxa"/>
            <w:tcBorders>
              <w:right w:val="single" w:sz="4" w:space="0" w:color="FFFFFF"/>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C420C0" w:rsidRPr="00AA57B2" w:rsidRDefault="00C420C0"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274ABB" w:rsidRPr="00AA57B2" w:rsidTr="008942B3">
        <w:tc>
          <w:tcPr>
            <w:tcW w:w="3118" w:type="dxa"/>
            <w:vAlign w:val="center"/>
          </w:tcPr>
          <w:p w:rsidR="00274ABB" w:rsidRPr="00AA57B2" w:rsidRDefault="00274ABB"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5,721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5,420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5,176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4,983 </w:t>
            </w:r>
          </w:p>
        </w:tc>
        <w:tc>
          <w:tcPr>
            <w:tcW w:w="1134" w:type="dxa"/>
          </w:tcPr>
          <w:p w:rsidR="00274ABB" w:rsidRPr="00274ABB" w:rsidRDefault="00274ABB" w:rsidP="0041417A">
            <w:pPr>
              <w:spacing w:before="60" w:after="60" w:line="240" w:lineRule="auto"/>
              <w:jc w:val="right"/>
              <w:rPr>
                <w:rFonts w:ascii="Arial Narrow" w:hAnsi="Arial Narrow"/>
                <w:sz w:val="24"/>
                <w:szCs w:val="24"/>
                <w:lang w:val="en-US"/>
              </w:rPr>
            </w:pPr>
            <w:r w:rsidRPr="00274ABB">
              <w:rPr>
                <w:rFonts w:ascii="Arial Narrow" w:hAnsi="Arial Narrow"/>
                <w:sz w:val="24"/>
                <w:szCs w:val="24"/>
                <w:lang w:val="en-US"/>
              </w:rPr>
              <w:t xml:space="preserve"> 4,808 </w:t>
            </w:r>
          </w:p>
        </w:tc>
      </w:tr>
      <w:tr w:rsidR="00274ABB"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274ABB" w:rsidRPr="00AA57B2" w:rsidRDefault="00274ABB"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 5,721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 5,420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 5,176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 4,983 </w:t>
            </w:r>
          </w:p>
        </w:tc>
        <w:tc>
          <w:tcPr>
            <w:tcW w:w="1134" w:type="dxa"/>
            <w:tcBorders>
              <w:top w:val="single" w:sz="4" w:space="0" w:color="548DD4"/>
              <w:left w:val="single" w:sz="4" w:space="0" w:color="548DD4"/>
              <w:bottom w:val="single" w:sz="4" w:space="0" w:color="548DD4"/>
              <w:right w:val="single" w:sz="4" w:space="0" w:color="548DD4"/>
            </w:tcBorders>
          </w:tcPr>
          <w:p w:rsidR="00274ABB" w:rsidRPr="00274ABB" w:rsidRDefault="00274ABB" w:rsidP="0041417A">
            <w:pPr>
              <w:spacing w:before="60" w:after="60" w:line="240" w:lineRule="auto"/>
              <w:jc w:val="right"/>
              <w:rPr>
                <w:rFonts w:ascii="Arial Narrow" w:hAnsi="Arial Narrow"/>
                <w:b/>
                <w:sz w:val="24"/>
                <w:szCs w:val="24"/>
                <w:lang w:val="en-US"/>
              </w:rPr>
            </w:pPr>
            <w:r w:rsidRPr="00274ABB">
              <w:rPr>
                <w:rFonts w:ascii="Arial Narrow" w:hAnsi="Arial Narrow"/>
                <w:b/>
                <w:sz w:val="24"/>
                <w:szCs w:val="24"/>
                <w:lang w:val="en-US"/>
              </w:rPr>
              <w:t xml:space="preserve"> 4,808 </w:t>
            </w:r>
          </w:p>
        </w:tc>
      </w:tr>
    </w:tbl>
    <w:p w:rsidR="00274ABB" w:rsidRPr="00274ABB" w:rsidRDefault="00274ABB" w:rsidP="00C420C0">
      <w:pPr>
        <w:spacing w:after="0" w:line="240" w:lineRule="auto"/>
        <w:ind w:left="851"/>
        <w:jc w:val="both"/>
        <w:rPr>
          <w:rFonts w:ascii="Arial Narrow" w:hAnsi="Arial Narrow" w:cs="Arial Narrow"/>
          <w:b/>
          <w:sz w:val="24"/>
          <w:szCs w:val="24"/>
          <w:lang w:val="en-US"/>
        </w:rPr>
      </w:pPr>
    </w:p>
    <w:p w:rsidR="000517AD" w:rsidRPr="003E4A28" w:rsidRDefault="000517AD" w:rsidP="00623F11">
      <w:pPr>
        <w:tabs>
          <w:tab w:val="left" w:pos="567"/>
        </w:tabs>
        <w:spacing w:after="0" w:line="240" w:lineRule="auto"/>
        <w:ind w:left="567" w:hanging="567"/>
        <w:jc w:val="both"/>
        <w:rPr>
          <w:rFonts w:ascii="Arial Narrow" w:hAnsi="Arial Narrow"/>
          <w:b/>
          <w:color w:val="17365D" w:themeColor="text2" w:themeShade="BF"/>
          <w:sz w:val="24"/>
          <w:szCs w:val="24"/>
          <w:lang w:val="en-US"/>
        </w:rPr>
      </w:pPr>
      <w:r>
        <w:rPr>
          <w:rFonts w:ascii="Arial Narrow" w:hAnsi="Arial Narrow"/>
          <w:b/>
          <w:color w:val="17365D" w:themeColor="text2" w:themeShade="BF"/>
          <w:sz w:val="24"/>
          <w:szCs w:val="24"/>
          <w:lang w:val="en-US"/>
        </w:rPr>
        <w:t>3</w:t>
      </w:r>
      <w:r w:rsidR="00892127">
        <w:rPr>
          <w:rFonts w:ascii="Arial Narrow" w:hAnsi="Arial Narrow"/>
          <w:b/>
          <w:color w:val="17365D" w:themeColor="text2" w:themeShade="BF"/>
          <w:sz w:val="24"/>
          <w:szCs w:val="24"/>
          <w:lang w:val="en-US"/>
        </w:rPr>
        <w:t>.2</w:t>
      </w:r>
      <w:r w:rsidRPr="003E4A28">
        <w:rPr>
          <w:rFonts w:ascii="Arial Narrow" w:hAnsi="Arial Narrow"/>
          <w:b/>
          <w:color w:val="17365D" w:themeColor="text2" w:themeShade="BF"/>
          <w:sz w:val="24"/>
          <w:szCs w:val="24"/>
          <w:lang w:val="en-US"/>
        </w:rPr>
        <w:tab/>
      </w:r>
      <w:r>
        <w:rPr>
          <w:rFonts w:ascii="Arial Narrow" w:hAnsi="Arial Narrow"/>
          <w:b/>
          <w:color w:val="17365D" w:themeColor="text2" w:themeShade="BF"/>
          <w:sz w:val="24"/>
          <w:szCs w:val="24"/>
          <w:lang w:val="en-US"/>
        </w:rPr>
        <w:t>Albury Forecast</w:t>
      </w:r>
      <w:r w:rsidR="00CB4F24">
        <w:rPr>
          <w:rFonts w:ascii="Arial Narrow" w:hAnsi="Arial Narrow"/>
          <w:b/>
          <w:color w:val="17365D" w:themeColor="text2" w:themeShade="BF"/>
          <w:sz w:val="24"/>
          <w:szCs w:val="24"/>
          <w:lang w:val="en-US"/>
        </w:rPr>
        <w:t>s</w:t>
      </w:r>
    </w:p>
    <w:p w:rsidR="000517AD" w:rsidRDefault="000517AD" w:rsidP="000517AD">
      <w:pPr>
        <w:spacing w:after="0" w:line="240" w:lineRule="auto"/>
        <w:jc w:val="both"/>
        <w:rPr>
          <w:rFonts w:ascii="Arial Narrow" w:hAnsi="Arial Narrow" w:cs="Arial Narrow"/>
          <w:sz w:val="24"/>
          <w:szCs w:val="24"/>
          <w:lang w:val="en-US"/>
        </w:rPr>
      </w:pPr>
    </w:p>
    <w:p w:rsidR="00DE25F6" w:rsidRDefault="00DE25F6" w:rsidP="00DE25F6">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The </w:t>
      </w:r>
      <w:r w:rsidR="00675B8D">
        <w:rPr>
          <w:rFonts w:ascii="Arial Narrow" w:hAnsi="Arial Narrow" w:cs="Arial Narrow"/>
          <w:sz w:val="24"/>
          <w:szCs w:val="24"/>
          <w:lang w:val="en-US"/>
        </w:rPr>
        <w:t xml:space="preserve">only </w:t>
      </w:r>
      <w:r w:rsidR="00CB4F24">
        <w:rPr>
          <w:rFonts w:ascii="Arial Narrow" w:hAnsi="Arial Narrow" w:cs="Arial Narrow"/>
          <w:sz w:val="24"/>
          <w:szCs w:val="24"/>
          <w:lang w:val="en-US"/>
        </w:rPr>
        <w:t>adjustment required to the AER Draft Decision forecasts for Albury is</w:t>
      </w:r>
      <w:r w:rsidR="00675B8D">
        <w:rPr>
          <w:rFonts w:ascii="Arial Narrow" w:hAnsi="Arial Narrow" w:cs="Arial Narrow"/>
          <w:sz w:val="24"/>
          <w:szCs w:val="24"/>
          <w:lang w:val="en-US"/>
        </w:rPr>
        <w:t xml:space="preserve"> </w:t>
      </w:r>
      <w:r>
        <w:rPr>
          <w:rFonts w:ascii="Arial Narrow" w:hAnsi="Arial Narrow" w:cs="Arial Narrow"/>
          <w:sz w:val="24"/>
          <w:szCs w:val="24"/>
          <w:lang w:val="en-US"/>
        </w:rPr>
        <w:t>to account for network development.</w:t>
      </w:r>
      <w:r w:rsidR="00675B8D">
        <w:rPr>
          <w:rFonts w:ascii="Arial Narrow" w:hAnsi="Arial Narrow" w:cs="Arial Narrow"/>
          <w:sz w:val="24"/>
          <w:szCs w:val="24"/>
          <w:lang w:val="en-US"/>
        </w:rPr>
        <w:t xml:space="preserve"> Envestra has taken the same approach as that taken for Victoria, where the adjustment is based on the additional customer numbers associated with the network development program (taken from the AER capital expenditure model) multiplied by forecast average consumption. </w:t>
      </w:r>
    </w:p>
    <w:p w:rsidR="00DE25F6" w:rsidRDefault="00DE25F6" w:rsidP="00DE25F6">
      <w:pPr>
        <w:spacing w:after="0" w:line="240" w:lineRule="auto"/>
        <w:jc w:val="both"/>
        <w:rPr>
          <w:rFonts w:ascii="Arial Narrow" w:hAnsi="Arial Narrow" w:cs="Arial Narrow"/>
          <w:sz w:val="24"/>
          <w:szCs w:val="24"/>
          <w:lang w:val="en-US"/>
        </w:rPr>
      </w:pPr>
    </w:p>
    <w:p w:rsidR="00CB4F24" w:rsidRDefault="00CB4F24" w:rsidP="00CB4F24">
      <w:pPr>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 xml:space="preserve">The resultant Albury customer number, volume and MHQ forecasts are set out in tables 6 to 10. </w:t>
      </w:r>
    </w:p>
    <w:p w:rsidR="00DE25F6" w:rsidRDefault="00DE25F6" w:rsidP="000517AD">
      <w:pPr>
        <w:spacing w:after="0" w:line="240" w:lineRule="auto"/>
        <w:rPr>
          <w:rFonts w:ascii="Arial Narrow" w:hAnsi="Arial Narrow" w:cs="Arial Narrow"/>
          <w:b/>
          <w:color w:val="17365D" w:themeColor="text2" w:themeShade="BF"/>
          <w:sz w:val="24"/>
          <w:szCs w:val="24"/>
          <w:lang w:val="en-US"/>
        </w:rPr>
      </w:pPr>
    </w:p>
    <w:p w:rsidR="000517AD" w:rsidRPr="00AE32D3" w:rsidRDefault="00CB4F24" w:rsidP="000517AD">
      <w:pPr>
        <w:spacing w:after="0" w:line="240" w:lineRule="auto"/>
        <w:rPr>
          <w:rFonts w:ascii="Arial Narrow" w:hAnsi="Arial Narrow" w:cs="Arial Narrow"/>
          <w:b/>
          <w:color w:val="17365D" w:themeColor="text2" w:themeShade="BF"/>
          <w:sz w:val="24"/>
          <w:szCs w:val="24"/>
          <w:lang w:val="en-US"/>
        </w:rPr>
      </w:pPr>
      <w:r w:rsidRPr="00AE32D3">
        <w:rPr>
          <w:rFonts w:ascii="Arial Narrow" w:hAnsi="Arial Narrow" w:cs="Arial Narrow"/>
          <w:b/>
          <w:color w:val="17365D" w:themeColor="text2" w:themeShade="BF"/>
          <w:sz w:val="24"/>
          <w:szCs w:val="24"/>
          <w:lang w:val="en-US"/>
        </w:rPr>
        <w:t>Table 6</w:t>
      </w:r>
      <w:r w:rsidR="005D490F" w:rsidRPr="00AE32D3">
        <w:rPr>
          <w:rFonts w:ascii="Arial Narrow" w:hAnsi="Arial Narrow" w:cs="Arial Narrow"/>
          <w:b/>
          <w:color w:val="17365D" w:themeColor="text2" w:themeShade="BF"/>
          <w:sz w:val="24"/>
          <w:szCs w:val="24"/>
          <w:lang w:val="en-US"/>
        </w:rPr>
        <w:t>:</w:t>
      </w:r>
      <w:r w:rsidR="000517AD" w:rsidRPr="00AE32D3">
        <w:rPr>
          <w:rFonts w:ascii="Arial Narrow" w:hAnsi="Arial Narrow" w:cs="Arial Narrow"/>
          <w:b/>
          <w:color w:val="17365D" w:themeColor="text2" w:themeShade="BF"/>
          <w:sz w:val="24"/>
          <w:szCs w:val="24"/>
          <w:lang w:val="en-US"/>
        </w:rPr>
        <w:t xml:space="preserve">  Domestic Customer Number Forecast</w:t>
      </w:r>
      <w:r w:rsidRPr="00AE32D3">
        <w:rPr>
          <w:rFonts w:ascii="Arial Narrow" w:hAnsi="Arial Narrow" w:cs="Arial Narrow"/>
          <w:b/>
          <w:color w:val="17365D" w:themeColor="text2" w:themeShade="BF"/>
          <w:sz w:val="24"/>
          <w:szCs w:val="24"/>
          <w:lang w:val="en-US"/>
        </w:rPr>
        <w:t>s, 2013 to 2017</w:t>
      </w:r>
    </w:p>
    <w:p w:rsidR="000517AD" w:rsidRPr="00F246B0" w:rsidRDefault="000517AD" w:rsidP="000517AD">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0517AD" w:rsidRPr="00AA57B2" w:rsidTr="005D490F">
        <w:tc>
          <w:tcPr>
            <w:tcW w:w="3118" w:type="dxa"/>
            <w:tcBorders>
              <w:right w:val="single" w:sz="4" w:space="0" w:color="FFFFFF"/>
            </w:tcBorders>
            <w:shd w:val="clear" w:color="auto" w:fill="548DD4"/>
          </w:tcPr>
          <w:p w:rsidR="000517AD" w:rsidRPr="00AA57B2" w:rsidRDefault="000517AD" w:rsidP="003671E2">
            <w:pPr>
              <w:spacing w:before="60" w:after="60" w:line="240" w:lineRule="auto"/>
              <w:rPr>
                <w:rFonts w:ascii="Arial Narrow" w:hAnsi="Arial Narrow"/>
                <w:b/>
                <w:color w:val="FFFFFF"/>
                <w:sz w:val="24"/>
                <w:szCs w:val="24"/>
                <w:lang w:val="en-US"/>
              </w:rPr>
            </w:pPr>
            <w:r w:rsidRPr="00AA57B2">
              <w:rPr>
                <w:rFonts w:ascii="Arial Narrow" w:hAnsi="Arial Narrow"/>
                <w:b/>
                <w:color w:val="FFFFFF"/>
                <w:sz w:val="24"/>
                <w:szCs w:val="24"/>
                <w:lang w:val="en-US"/>
              </w:rPr>
              <w:t>Domestic</w:t>
            </w:r>
          </w:p>
        </w:tc>
        <w:tc>
          <w:tcPr>
            <w:tcW w:w="1134" w:type="dxa"/>
            <w:tcBorders>
              <w:right w:val="single" w:sz="4" w:space="0" w:color="FFFFFF"/>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3671E2" w:rsidRPr="00AA57B2" w:rsidTr="000412AC">
        <w:tc>
          <w:tcPr>
            <w:tcW w:w="3118" w:type="dxa"/>
            <w:vAlign w:val="center"/>
          </w:tcPr>
          <w:p w:rsidR="003671E2" w:rsidRPr="00AA57B2" w:rsidRDefault="003671E2"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19,700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20,022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20,348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20,680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21,018 </w:t>
            </w:r>
          </w:p>
        </w:tc>
      </w:tr>
      <w:tr w:rsidR="000517AD"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0517AD" w:rsidP="008942B3">
            <w:pPr>
              <w:spacing w:before="60" w:after="60" w:line="240" w:lineRule="auto"/>
              <w:rPr>
                <w:rFonts w:ascii="Arial Narrow" w:hAnsi="Arial Narrow"/>
                <w:b/>
                <w:sz w:val="24"/>
                <w:szCs w:val="24"/>
                <w:lang w:val="en-US"/>
              </w:rPr>
            </w:pPr>
            <w:r w:rsidRPr="00AA57B2">
              <w:rPr>
                <w:rFonts w:ascii="Arial Narrow" w:hAnsi="Arial Narrow"/>
                <w:b/>
                <w:i/>
                <w:sz w:val="24"/>
                <w:szCs w:val="24"/>
                <w:lang w:val="en-US"/>
              </w:rPr>
              <w:t>plus</w:t>
            </w:r>
            <w:r w:rsidRPr="00AA57B2">
              <w:rPr>
                <w:rFonts w:ascii="Arial Narrow" w:hAnsi="Arial Narrow"/>
                <w:b/>
                <w:sz w:val="24"/>
                <w:szCs w:val="24"/>
                <w:lang w:val="en-US"/>
              </w:rPr>
              <w:t xml:space="preserve"> Network Development</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8942B3"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2</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8942B3"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2</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8942B3"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2</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8942B3"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2</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8942B3"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2</w:t>
            </w:r>
          </w:p>
        </w:tc>
      </w:tr>
      <w:tr w:rsidR="003671E2" w:rsidRPr="00AA57B2" w:rsidTr="000412AC">
        <w:tc>
          <w:tcPr>
            <w:tcW w:w="3118" w:type="dxa"/>
            <w:tcBorders>
              <w:top w:val="single" w:sz="4" w:space="0" w:color="548DD4"/>
              <w:left w:val="single" w:sz="4" w:space="0" w:color="548DD4"/>
              <w:bottom w:val="single" w:sz="4" w:space="0" w:color="548DD4"/>
              <w:right w:val="single" w:sz="4" w:space="0" w:color="548DD4"/>
            </w:tcBorders>
            <w:vAlign w:val="center"/>
          </w:tcPr>
          <w:p w:rsidR="003671E2" w:rsidRPr="00AA57B2" w:rsidRDefault="003671E2"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19,702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20,024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20,350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20,682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21,020 </w:t>
            </w:r>
          </w:p>
        </w:tc>
      </w:tr>
    </w:tbl>
    <w:p w:rsidR="000517AD" w:rsidRDefault="000517AD" w:rsidP="000517AD">
      <w:pPr>
        <w:spacing w:after="0" w:line="240" w:lineRule="auto"/>
        <w:ind w:left="851"/>
        <w:jc w:val="both"/>
        <w:rPr>
          <w:rFonts w:ascii="Arial Narrow" w:hAnsi="Arial Narrow" w:cs="Arial Narrow"/>
          <w:sz w:val="24"/>
          <w:szCs w:val="24"/>
          <w:lang w:val="en-US"/>
        </w:rPr>
      </w:pPr>
    </w:p>
    <w:p w:rsidR="00CB4F24" w:rsidRDefault="00CB4F24" w:rsidP="000517AD">
      <w:pPr>
        <w:spacing w:after="0" w:line="240" w:lineRule="auto"/>
        <w:ind w:left="851"/>
        <w:jc w:val="both"/>
        <w:rPr>
          <w:rFonts w:ascii="Arial Narrow" w:hAnsi="Arial Narrow" w:cs="Arial Narrow"/>
          <w:sz w:val="24"/>
          <w:szCs w:val="24"/>
          <w:lang w:val="en-US"/>
        </w:rPr>
      </w:pPr>
    </w:p>
    <w:p w:rsidR="00892127" w:rsidRDefault="00892127" w:rsidP="000517AD">
      <w:pPr>
        <w:spacing w:after="0" w:line="240" w:lineRule="auto"/>
        <w:ind w:left="851"/>
        <w:jc w:val="both"/>
        <w:rPr>
          <w:rFonts w:ascii="Arial Narrow" w:hAnsi="Arial Narrow" w:cs="Arial Narrow"/>
          <w:sz w:val="24"/>
          <w:szCs w:val="24"/>
          <w:lang w:val="en-US"/>
        </w:rPr>
      </w:pPr>
    </w:p>
    <w:p w:rsidR="00892127" w:rsidRDefault="00892127" w:rsidP="000517AD">
      <w:pPr>
        <w:spacing w:after="0" w:line="240" w:lineRule="auto"/>
        <w:ind w:left="851"/>
        <w:jc w:val="both"/>
        <w:rPr>
          <w:rFonts w:ascii="Arial Narrow" w:hAnsi="Arial Narrow" w:cs="Arial Narrow"/>
          <w:sz w:val="24"/>
          <w:szCs w:val="24"/>
          <w:lang w:val="en-US"/>
        </w:rPr>
      </w:pPr>
    </w:p>
    <w:p w:rsidR="00892127" w:rsidRDefault="00892127" w:rsidP="000517AD">
      <w:pPr>
        <w:spacing w:after="0" w:line="240" w:lineRule="auto"/>
        <w:ind w:left="851"/>
        <w:jc w:val="both"/>
        <w:rPr>
          <w:rFonts w:ascii="Arial Narrow" w:hAnsi="Arial Narrow" w:cs="Arial Narrow"/>
          <w:sz w:val="24"/>
          <w:szCs w:val="24"/>
          <w:lang w:val="en-US"/>
        </w:rPr>
      </w:pPr>
    </w:p>
    <w:p w:rsidR="00892127" w:rsidRDefault="00892127" w:rsidP="000517AD">
      <w:pPr>
        <w:spacing w:after="0" w:line="240" w:lineRule="auto"/>
        <w:ind w:left="851"/>
        <w:jc w:val="both"/>
        <w:rPr>
          <w:rFonts w:ascii="Arial Narrow" w:hAnsi="Arial Narrow" w:cs="Arial Narrow"/>
          <w:sz w:val="24"/>
          <w:szCs w:val="24"/>
          <w:lang w:val="en-US"/>
        </w:rPr>
      </w:pPr>
    </w:p>
    <w:p w:rsidR="000517AD" w:rsidRPr="00F53E9E" w:rsidRDefault="00CB4F24" w:rsidP="000517AD">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lastRenderedPageBreak/>
        <w:t>Table 7</w:t>
      </w:r>
      <w:r w:rsidR="00EF4FC0">
        <w:rPr>
          <w:rFonts w:ascii="Arial Narrow" w:hAnsi="Arial Narrow" w:cs="Arial Narrow"/>
          <w:b/>
          <w:color w:val="17365D" w:themeColor="text2" w:themeShade="BF"/>
          <w:sz w:val="24"/>
          <w:szCs w:val="24"/>
          <w:lang w:val="en-US"/>
        </w:rPr>
        <w:t>:</w:t>
      </w:r>
      <w:r w:rsidR="000517AD" w:rsidRPr="00F53E9E">
        <w:rPr>
          <w:rFonts w:ascii="Arial Narrow" w:hAnsi="Arial Narrow" w:cs="Arial Narrow"/>
          <w:b/>
          <w:color w:val="17365D" w:themeColor="text2" w:themeShade="BF"/>
          <w:sz w:val="24"/>
          <w:szCs w:val="24"/>
          <w:lang w:val="en-US"/>
        </w:rPr>
        <w:t xml:space="preserve">  Domestic </w:t>
      </w:r>
      <w:r w:rsidR="000517AD">
        <w:rPr>
          <w:rFonts w:ascii="Arial Narrow" w:hAnsi="Arial Narrow" w:cs="Arial Narrow"/>
          <w:b/>
          <w:color w:val="17365D" w:themeColor="text2" w:themeShade="BF"/>
          <w:sz w:val="24"/>
          <w:szCs w:val="24"/>
          <w:lang w:val="en-US"/>
        </w:rPr>
        <w:t>Volume</w:t>
      </w:r>
      <w:r w:rsidR="000517AD" w:rsidRPr="00F53E9E">
        <w:rPr>
          <w:rFonts w:ascii="Arial Narrow" w:hAnsi="Arial Narrow" w:cs="Arial Narrow"/>
          <w:b/>
          <w:color w:val="17365D" w:themeColor="text2" w:themeShade="BF"/>
          <w:sz w:val="24"/>
          <w:szCs w:val="24"/>
          <w:lang w:val="en-US"/>
        </w:rPr>
        <w:t xml:space="preserve"> Forecast</w:t>
      </w:r>
      <w:r>
        <w:rPr>
          <w:rFonts w:ascii="Arial Narrow" w:hAnsi="Arial Narrow" w:cs="Arial Narrow"/>
          <w:b/>
          <w:color w:val="17365D" w:themeColor="text2" w:themeShade="BF"/>
          <w:sz w:val="24"/>
          <w:szCs w:val="24"/>
          <w:lang w:val="en-US"/>
        </w:rPr>
        <w:t>s, 2013 to 2017</w:t>
      </w:r>
    </w:p>
    <w:p w:rsidR="000517AD" w:rsidRPr="00F246B0" w:rsidRDefault="000517AD" w:rsidP="000517AD">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0517AD" w:rsidRPr="00AA57B2" w:rsidTr="00AC6E10">
        <w:tc>
          <w:tcPr>
            <w:tcW w:w="3118" w:type="dxa"/>
            <w:tcBorders>
              <w:right w:val="single" w:sz="4" w:space="0" w:color="FFFFFF"/>
            </w:tcBorders>
            <w:shd w:val="clear" w:color="auto" w:fill="548DD4"/>
          </w:tcPr>
          <w:p w:rsidR="000517AD" w:rsidRPr="00AA57B2" w:rsidRDefault="000517AD" w:rsidP="008942B3">
            <w:pPr>
              <w:spacing w:before="60" w:after="60" w:line="240" w:lineRule="auto"/>
              <w:rPr>
                <w:rFonts w:ascii="Arial Narrow" w:hAnsi="Arial Narrow"/>
                <w:b/>
                <w:color w:val="FFFFFF"/>
                <w:sz w:val="24"/>
                <w:szCs w:val="24"/>
                <w:lang w:val="en-US"/>
              </w:rPr>
            </w:pPr>
            <w:r w:rsidRPr="00AA57B2">
              <w:rPr>
                <w:rFonts w:ascii="Arial Narrow" w:hAnsi="Arial Narrow"/>
                <w:b/>
                <w:color w:val="FFFFFF"/>
                <w:sz w:val="24"/>
                <w:szCs w:val="24"/>
                <w:lang w:val="en-US"/>
              </w:rPr>
              <w:t>Domestic Tariff V (TJ)</w:t>
            </w:r>
          </w:p>
        </w:tc>
        <w:tc>
          <w:tcPr>
            <w:tcW w:w="1134" w:type="dxa"/>
            <w:tcBorders>
              <w:right w:val="single" w:sz="4" w:space="0" w:color="FFFFFF"/>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3671E2" w:rsidRPr="00AA57B2" w:rsidTr="000412AC">
        <w:tc>
          <w:tcPr>
            <w:tcW w:w="3118" w:type="dxa"/>
            <w:vAlign w:val="center"/>
          </w:tcPr>
          <w:p w:rsidR="003671E2" w:rsidRPr="00AA57B2" w:rsidRDefault="003671E2"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849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847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848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850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853 </w:t>
            </w:r>
          </w:p>
        </w:tc>
      </w:tr>
      <w:tr w:rsidR="000517AD" w:rsidRPr="00AA57B2" w:rsidTr="008942B3">
        <w:tc>
          <w:tcPr>
            <w:tcW w:w="3118"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0517AD" w:rsidP="008942B3">
            <w:pPr>
              <w:spacing w:before="60" w:after="60" w:line="240" w:lineRule="auto"/>
              <w:rPr>
                <w:rFonts w:ascii="Arial Narrow" w:hAnsi="Arial Narrow"/>
                <w:b/>
                <w:sz w:val="24"/>
                <w:szCs w:val="24"/>
                <w:lang w:val="en-US"/>
              </w:rPr>
            </w:pPr>
            <w:r w:rsidRPr="00AA57B2">
              <w:rPr>
                <w:rFonts w:ascii="Arial Narrow" w:hAnsi="Arial Narrow"/>
                <w:b/>
                <w:i/>
                <w:sz w:val="24"/>
                <w:szCs w:val="24"/>
                <w:lang w:val="en-US"/>
              </w:rPr>
              <w:t>plus</w:t>
            </w:r>
            <w:r w:rsidRPr="00AA57B2">
              <w:rPr>
                <w:rFonts w:ascii="Arial Narrow" w:hAnsi="Arial Narrow"/>
                <w:b/>
                <w:sz w:val="24"/>
                <w:szCs w:val="24"/>
                <w:lang w:val="en-US"/>
              </w:rPr>
              <w:t xml:space="preserve"> Network Development</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3671E2"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0.1</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3671E2"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0.1</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3671E2"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0.1</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3671E2"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0.1</w:t>
            </w:r>
          </w:p>
        </w:tc>
        <w:tc>
          <w:tcPr>
            <w:tcW w:w="1134" w:type="dxa"/>
            <w:tcBorders>
              <w:top w:val="single" w:sz="4" w:space="0" w:color="548DD4"/>
              <w:left w:val="single" w:sz="4" w:space="0" w:color="548DD4"/>
              <w:bottom w:val="single" w:sz="4" w:space="0" w:color="548DD4"/>
              <w:right w:val="single" w:sz="4" w:space="0" w:color="548DD4"/>
            </w:tcBorders>
            <w:vAlign w:val="center"/>
          </w:tcPr>
          <w:p w:rsidR="000517AD" w:rsidRPr="00AA57B2" w:rsidRDefault="003671E2" w:rsidP="0041417A">
            <w:pPr>
              <w:spacing w:before="60" w:after="60" w:line="240" w:lineRule="auto"/>
              <w:jc w:val="right"/>
              <w:rPr>
                <w:rFonts w:ascii="Arial Narrow" w:hAnsi="Arial Narrow"/>
                <w:sz w:val="24"/>
                <w:szCs w:val="24"/>
                <w:lang w:val="en-US"/>
              </w:rPr>
            </w:pPr>
            <w:r>
              <w:rPr>
                <w:rFonts w:ascii="Arial Narrow" w:hAnsi="Arial Narrow"/>
                <w:sz w:val="24"/>
                <w:szCs w:val="24"/>
                <w:lang w:val="en-US"/>
              </w:rPr>
              <w:t>0.1</w:t>
            </w:r>
          </w:p>
        </w:tc>
      </w:tr>
      <w:tr w:rsidR="003671E2" w:rsidRPr="00AA57B2" w:rsidTr="000412AC">
        <w:tc>
          <w:tcPr>
            <w:tcW w:w="3118" w:type="dxa"/>
            <w:tcBorders>
              <w:top w:val="single" w:sz="4" w:space="0" w:color="548DD4"/>
              <w:left w:val="single" w:sz="4" w:space="0" w:color="548DD4"/>
              <w:bottom w:val="single" w:sz="4" w:space="0" w:color="548DD4"/>
              <w:right w:val="single" w:sz="4" w:space="0" w:color="548DD4"/>
            </w:tcBorders>
            <w:vAlign w:val="center"/>
          </w:tcPr>
          <w:p w:rsidR="003671E2" w:rsidRPr="00AA57B2" w:rsidRDefault="003671E2"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849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847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848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850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853 </w:t>
            </w:r>
          </w:p>
        </w:tc>
      </w:tr>
    </w:tbl>
    <w:p w:rsidR="000517AD" w:rsidRDefault="000517AD" w:rsidP="000517AD">
      <w:pPr>
        <w:spacing w:after="0" w:line="240" w:lineRule="auto"/>
        <w:ind w:left="851"/>
        <w:jc w:val="both"/>
        <w:rPr>
          <w:rFonts w:ascii="Arial Narrow" w:hAnsi="Arial Narrow" w:cs="Arial Narrow"/>
          <w:sz w:val="24"/>
          <w:szCs w:val="24"/>
          <w:lang w:val="en-US"/>
        </w:rPr>
      </w:pPr>
    </w:p>
    <w:p w:rsidR="000517AD" w:rsidRPr="00F53E9E" w:rsidRDefault="00CB4F24" w:rsidP="000517AD">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Table 8</w:t>
      </w:r>
      <w:r w:rsidR="00EF4FC0">
        <w:rPr>
          <w:rFonts w:ascii="Arial Narrow" w:hAnsi="Arial Narrow" w:cs="Arial Narrow"/>
          <w:b/>
          <w:color w:val="17365D" w:themeColor="text2" w:themeShade="BF"/>
          <w:sz w:val="24"/>
          <w:szCs w:val="24"/>
          <w:lang w:val="en-US"/>
        </w:rPr>
        <w:t>:</w:t>
      </w:r>
      <w:r w:rsidR="000517AD" w:rsidRPr="00F53E9E">
        <w:rPr>
          <w:rFonts w:ascii="Arial Narrow" w:hAnsi="Arial Narrow" w:cs="Arial Narrow"/>
          <w:b/>
          <w:color w:val="17365D" w:themeColor="text2" w:themeShade="BF"/>
          <w:sz w:val="24"/>
          <w:szCs w:val="24"/>
          <w:lang w:val="en-US"/>
        </w:rPr>
        <w:t xml:space="preserve">  </w:t>
      </w:r>
      <w:r w:rsidR="000517AD">
        <w:rPr>
          <w:rFonts w:ascii="Arial Narrow" w:hAnsi="Arial Narrow" w:cs="Arial Narrow"/>
          <w:b/>
          <w:color w:val="17365D" w:themeColor="text2" w:themeShade="BF"/>
          <w:sz w:val="24"/>
          <w:szCs w:val="24"/>
          <w:lang w:val="en-US"/>
        </w:rPr>
        <w:t xml:space="preserve">Non - </w:t>
      </w:r>
      <w:r w:rsidR="000517AD" w:rsidRPr="00F53E9E">
        <w:rPr>
          <w:rFonts w:ascii="Arial Narrow" w:hAnsi="Arial Narrow" w:cs="Arial Narrow"/>
          <w:b/>
          <w:color w:val="17365D" w:themeColor="text2" w:themeShade="BF"/>
          <w:sz w:val="24"/>
          <w:szCs w:val="24"/>
          <w:lang w:val="en-US"/>
        </w:rPr>
        <w:t xml:space="preserve">Domestic </w:t>
      </w:r>
      <w:r w:rsidR="000517AD">
        <w:rPr>
          <w:rFonts w:ascii="Arial Narrow" w:hAnsi="Arial Narrow" w:cs="Arial Narrow"/>
          <w:b/>
          <w:color w:val="17365D" w:themeColor="text2" w:themeShade="BF"/>
          <w:sz w:val="24"/>
          <w:szCs w:val="24"/>
          <w:lang w:val="en-US"/>
        </w:rPr>
        <w:t>Customer Number</w:t>
      </w:r>
      <w:r w:rsidR="000517AD" w:rsidRPr="00F53E9E">
        <w:rPr>
          <w:rFonts w:ascii="Arial Narrow" w:hAnsi="Arial Narrow" w:cs="Arial Narrow"/>
          <w:b/>
          <w:color w:val="17365D" w:themeColor="text2" w:themeShade="BF"/>
          <w:sz w:val="24"/>
          <w:szCs w:val="24"/>
          <w:lang w:val="en-US"/>
        </w:rPr>
        <w:t xml:space="preserve"> Forecast</w:t>
      </w:r>
      <w:r>
        <w:rPr>
          <w:rFonts w:ascii="Arial Narrow" w:hAnsi="Arial Narrow" w:cs="Arial Narrow"/>
          <w:b/>
          <w:color w:val="17365D" w:themeColor="text2" w:themeShade="BF"/>
          <w:sz w:val="24"/>
          <w:szCs w:val="24"/>
          <w:lang w:val="en-US"/>
        </w:rPr>
        <w:t>s, 2013 to 2017</w:t>
      </w:r>
    </w:p>
    <w:p w:rsidR="000517AD" w:rsidRPr="00F246B0" w:rsidRDefault="000517AD" w:rsidP="000517AD">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0517AD" w:rsidRPr="00AA57B2" w:rsidTr="00AC6E10">
        <w:tc>
          <w:tcPr>
            <w:tcW w:w="3118" w:type="dxa"/>
            <w:tcBorders>
              <w:right w:val="single" w:sz="4" w:space="0" w:color="FFFFFF"/>
            </w:tcBorders>
            <w:shd w:val="clear" w:color="auto" w:fill="548DD4"/>
          </w:tcPr>
          <w:p w:rsidR="000517AD" w:rsidRPr="00AA57B2" w:rsidRDefault="000517AD" w:rsidP="003671E2">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 xml:space="preserve">Non - </w:t>
            </w:r>
            <w:r w:rsidR="003671E2">
              <w:rPr>
                <w:rFonts w:ascii="Arial Narrow" w:hAnsi="Arial Narrow"/>
                <w:b/>
                <w:color w:val="FFFFFF"/>
                <w:sz w:val="24"/>
                <w:szCs w:val="24"/>
                <w:lang w:val="en-US"/>
              </w:rPr>
              <w:t>Domestic</w:t>
            </w:r>
          </w:p>
        </w:tc>
        <w:tc>
          <w:tcPr>
            <w:tcW w:w="1134" w:type="dxa"/>
            <w:tcBorders>
              <w:right w:val="single" w:sz="4" w:space="0" w:color="FFFFFF"/>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3671E2" w:rsidRPr="00AA57B2" w:rsidTr="000412AC">
        <w:tc>
          <w:tcPr>
            <w:tcW w:w="3118" w:type="dxa"/>
            <w:vAlign w:val="center"/>
          </w:tcPr>
          <w:p w:rsidR="003671E2" w:rsidRPr="00AA57B2" w:rsidRDefault="003671E2"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889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892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895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897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900 </w:t>
            </w:r>
          </w:p>
        </w:tc>
      </w:tr>
      <w:tr w:rsidR="003671E2" w:rsidRPr="00AA57B2" w:rsidTr="000412AC">
        <w:tc>
          <w:tcPr>
            <w:tcW w:w="3118" w:type="dxa"/>
            <w:tcBorders>
              <w:top w:val="single" w:sz="4" w:space="0" w:color="548DD4"/>
              <w:left w:val="single" w:sz="4" w:space="0" w:color="548DD4"/>
              <w:bottom w:val="single" w:sz="4" w:space="0" w:color="548DD4"/>
              <w:right w:val="single" w:sz="4" w:space="0" w:color="548DD4"/>
            </w:tcBorders>
            <w:vAlign w:val="center"/>
          </w:tcPr>
          <w:p w:rsidR="003671E2" w:rsidRPr="00AA57B2" w:rsidRDefault="003671E2"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889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892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895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897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900 </w:t>
            </w:r>
          </w:p>
        </w:tc>
      </w:tr>
    </w:tbl>
    <w:p w:rsidR="000517AD" w:rsidRDefault="000517AD" w:rsidP="000517AD">
      <w:pPr>
        <w:spacing w:after="0" w:line="240" w:lineRule="auto"/>
        <w:ind w:left="851"/>
        <w:jc w:val="both"/>
        <w:rPr>
          <w:rFonts w:ascii="Arial Narrow" w:hAnsi="Arial Narrow" w:cs="Arial Narrow"/>
          <w:sz w:val="24"/>
          <w:szCs w:val="24"/>
          <w:lang w:val="en-US"/>
        </w:rPr>
      </w:pPr>
    </w:p>
    <w:p w:rsidR="000517AD" w:rsidRPr="00F53E9E" w:rsidRDefault="00CB4F24" w:rsidP="000517AD">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Table 9</w:t>
      </w:r>
      <w:r w:rsidR="00EF4FC0">
        <w:rPr>
          <w:rFonts w:ascii="Arial Narrow" w:hAnsi="Arial Narrow" w:cs="Arial Narrow"/>
          <w:b/>
          <w:color w:val="17365D" w:themeColor="text2" w:themeShade="BF"/>
          <w:sz w:val="24"/>
          <w:szCs w:val="24"/>
          <w:lang w:val="en-US"/>
        </w:rPr>
        <w:t>:</w:t>
      </w:r>
      <w:r w:rsidR="000517AD" w:rsidRPr="00F53E9E">
        <w:rPr>
          <w:rFonts w:ascii="Arial Narrow" w:hAnsi="Arial Narrow" w:cs="Arial Narrow"/>
          <w:b/>
          <w:color w:val="17365D" w:themeColor="text2" w:themeShade="BF"/>
          <w:sz w:val="24"/>
          <w:szCs w:val="24"/>
          <w:lang w:val="en-US"/>
        </w:rPr>
        <w:t xml:space="preserve">  </w:t>
      </w:r>
      <w:r w:rsidR="000517AD">
        <w:rPr>
          <w:rFonts w:ascii="Arial Narrow" w:hAnsi="Arial Narrow" w:cs="Arial Narrow"/>
          <w:b/>
          <w:color w:val="17365D" w:themeColor="text2" w:themeShade="BF"/>
          <w:sz w:val="24"/>
          <w:szCs w:val="24"/>
          <w:lang w:val="en-US"/>
        </w:rPr>
        <w:t xml:space="preserve">Non - </w:t>
      </w:r>
      <w:r w:rsidR="000517AD" w:rsidRPr="00F53E9E">
        <w:rPr>
          <w:rFonts w:ascii="Arial Narrow" w:hAnsi="Arial Narrow" w:cs="Arial Narrow"/>
          <w:b/>
          <w:color w:val="17365D" w:themeColor="text2" w:themeShade="BF"/>
          <w:sz w:val="24"/>
          <w:szCs w:val="24"/>
          <w:lang w:val="en-US"/>
        </w:rPr>
        <w:t xml:space="preserve">Domestic </w:t>
      </w:r>
      <w:r w:rsidR="000517AD">
        <w:rPr>
          <w:rFonts w:ascii="Arial Narrow" w:hAnsi="Arial Narrow" w:cs="Arial Narrow"/>
          <w:b/>
          <w:color w:val="17365D" w:themeColor="text2" w:themeShade="BF"/>
          <w:sz w:val="24"/>
          <w:szCs w:val="24"/>
          <w:lang w:val="en-US"/>
        </w:rPr>
        <w:t>Volume</w:t>
      </w:r>
      <w:r w:rsidR="000517AD" w:rsidRPr="00F53E9E">
        <w:rPr>
          <w:rFonts w:ascii="Arial Narrow" w:hAnsi="Arial Narrow" w:cs="Arial Narrow"/>
          <w:b/>
          <w:color w:val="17365D" w:themeColor="text2" w:themeShade="BF"/>
          <w:sz w:val="24"/>
          <w:szCs w:val="24"/>
          <w:lang w:val="en-US"/>
        </w:rPr>
        <w:t xml:space="preserve"> Forecast</w:t>
      </w:r>
      <w:r>
        <w:rPr>
          <w:rFonts w:ascii="Arial Narrow" w:hAnsi="Arial Narrow" w:cs="Arial Narrow"/>
          <w:b/>
          <w:color w:val="17365D" w:themeColor="text2" w:themeShade="BF"/>
          <w:sz w:val="24"/>
          <w:szCs w:val="24"/>
          <w:lang w:val="en-US"/>
        </w:rPr>
        <w:t>s, 2013 to 2017</w:t>
      </w:r>
    </w:p>
    <w:p w:rsidR="000517AD" w:rsidRPr="00F246B0" w:rsidRDefault="000517AD" w:rsidP="000517AD">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0517AD" w:rsidRPr="00AA57B2" w:rsidTr="00AC6E10">
        <w:tc>
          <w:tcPr>
            <w:tcW w:w="3118" w:type="dxa"/>
            <w:tcBorders>
              <w:right w:val="single" w:sz="4" w:space="0" w:color="FFFFFF"/>
            </w:tcBorders>
            <w:shd w:val="clear" w:color="auto" w:fill="548DD4"/>
          </w:tcPr>
          <w:p w:rsidR="000517AD" w:rsidRPr="00AA57B2" w:rsidRDefault="000517AD" w:rsidP="008942B3">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 xml:space="preserve">Non - </w:t>
            </w:r>
            <w:r w:rsidRPr="00AA57B2">
              <w:rPr>
                <w:rFonts w:ascii="Arial Narrow" w:hAnsi="Arial Narrow"/>
                <w:b/>
                <w:color w:val="FFFFFF"/>
                <w:sz w:val="24"/>
                <w:szCs w:val="24"/>
                <w:lang w:val="en-US"/>
              </w:rPr>
              <w:t>Domestic Tariff V (TJ)</w:t>
            </w:r>
          </w:p>
        </w:tc>
        <w:tc>
          <w:tcPr>
            <w:tcW w:w="1134" w:type="dxa"/>
            <w:tcBorders>
              <w:right w:val="single" w:sz="4" w:space="0" w:color="FFFFFF"/>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3671E2" w:rsidRPr="00AA57B2" w:rsidTr="000412AC">
        <w:tc>
          <w:tcPr>
            <w:tcW w:w="3118" w:type="dxa"/>
            <w:vAlign w:val="center"/>
          </w:tcPr>
          <w:p w:rsidR="003671E2" w:rsidRPr="00AA57B2" w:rsidRDefault="003671E2"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230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223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218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214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211 </w:t>
            </w:r>
          </w:p>
        </w:tc>
      </w:tr>
      <w:tr w:rsidR="003671E2" w:rsidRPr="00AA57B2" w:rsidTr="000412AC">
        <w:tc>
          <w:tcPr>
            <w:tcW w:w="3118" w:type="dxa"/>
            <w:tcBorders>
              <w:top w:val="single" w:sz="4" w:space="0" w:color="548DD4"/>
              <w:left w:val="single" w:sz="4" w:space="0" w:color="548DD4"/>
              <w:bottom w:val="single" w:sz="4" w:space="0" w:color="548DD4"/>
              <w:right w:val="single" w:sz="4" w:space="0" w:color="548DD4"/>
            </w:tcBorders>
            <w:vAlign w:val="center"/>
          </w:tcPr>
          <w:p w:rsidR="003671E2" w:rsidRPr="00AA57B2" w:rsidRDefault="003671E2"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230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223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218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214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211 </w:t>
            </w:r>
          </w:p>
        </w:tc>
      </w:tr>
    </w:tbl>
    <w:p w:rsidR="000517AD" w:rsidRDefault="000517AD" w:rsidP="000517AD">
      <w:pPr>
        <w:spacing w:after="0" w:line="240" w:lineRule="auto"/>
        <w:ind w:left="851"/>
        <w:jc w:val="both"/>
        <w:rPr>
          <w:rFonts w:ascii="Arial Narrow" w:hAnsi="Arial Narrow" w:cs="Arial Narrow"/>
          <w:sz w:val="24"/>
          <w:szCs w:val="24"/>
          <w:lang w:val="en-US"/>
        </w:rPr>
      </w:pPr>
    </w:p>
    <w:p w:rsidR="000517AD" w:rsidRPr="00F53E9E" w:rsidRDefault="00CB4F24" w:rsidP="000517AD">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Table 10</w:t>
      </w:r>
      <w:r w:rsidR="00EF4FC0">
        <w:rPr>
          <w:rFonts w:ascii="Arial Narrow" w:hAnsi="Arial Narrow" w:cs="Arial Narrow"/>
          <w:b/>
          <w:color w:val="17365D" w:themeColor="text2" w:themeShade="BF"/>
          <w:sz w:val="24"/>
          <w:szCs w:val="24"/>
          <w:lang w:val="en-US"/>
        </w:rPr>
        <w:t>:</w:t>
      </w:r>
      <w:r w:rsidR="000517AD" w:rsidRPr="00F53E9E">
        <w:rPr>
          <w:rFonts w:ascii="Arial Narrow" w:hAnsi="Arial Narrow" w:cs="Arial Narrow"/>
          <w:b/>
          <w:color w:val="17365D" w:themeColor="text2" w:themeShade="BF"/>
          <w:sz w:val="24"/>
          <w:szCs w:val="24"/>
          <w:lang w:val="en-US"/>
        </w:rPr>
        <w:t xml:space="preserve">  </w:t>
      </w:r>
      <w:r w:rsidR="000517AD">
        <w:rPr>
          <w:rFonts w:ascii="Arial Narrow" w:hAnsi="Arial Narrow" w:cs="Arial Narrow"/>
          <w:b/>
          <w:color w:val="17365D" w:themeColor="text2" w:themeShade="BF"/>
          <w:sz w:val="24"/>
          <w:szCs w:val="24"/>
          <w:lang w:val="en-US"/>
        </w:rPr>
        <w:t>Tariff D MHQ Forecast</w:t>
      </w:r>
      <w:r>
        <w:rPr>
          <w:rFonts w:ascii="Arial Narrow" w:hAnsi="Arial Narrow" w:cs="Arial Narrow"/>
          <w:b/>
          <w:color w:val="17365D" w:themeColor="text2" w:themeShade="BF"/>
          <w:sz w:val="24"/>
          <w:szCs w:val="24"/>
          <w:lang w:val="en-US"/>
        </w:rPr>
        <w:t>s, 2013 to 2017</w:t>
      </w:r>
    </w:p>
    <w:p w:rsidR="000517AD" w:rsidRPr="00F246B0" w:rsidRDefault="000517AD" w:rsidP="000517AD">
      <w:pPr>
        <w:spacing w:after="0" w:line="240" w:lineRule="auto"/>
        <w:jc w:val="both"/>
        <w:rPr>
          <w:rFonts w:ascii="Arial Narrow" w:hAnsi="Arial Narrow" w:cs="Arial Narrow"/>
          <w:sz w:val="24"/>
          <w:szCs w:val="24"/>
          <w:lang w:val="en-US"/>
        </w:rPr>
      </w:pPr>
    </w:p>
    <w:tbl>
      <w:tblPr>
        <w:tblW w:w="878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18"/>
        <w:gridCol w:w="1134"/>
        <w:gridCol w:w="1134"/>
        <w:gridCol w:w="1134"/>
        <w:gridCol w:w="1134"/>
        <w:gridCol w:w="1134"/>
      </w:tblGrid>
      <w:tr w:rsidR="000517AD" w:rsidRPr="00AA57B2" w:rsidTr="00AC6E10">
        <w:tc>
          <w:tcPr>
            <w:tcW w:w="3118" w:type="dxa"/>
            <w:tcBorders>
              <w:right w:val="single" w:sz="4" w:space="0" w:color="FFFFFF"/>
            </w:tcBorders>
            <w:shd w:val="clear" w:color="auto" w:fill="548DD4"/>
          </w:tcPr>
          <w:p w:rsidR="000517AD" w:rsidRPr="00AA57B2" w:rsidRDefault="000517AD" w:rsidP="000517AD">
            <w:pPr>
              <w:spacing w:before="60" w:after="60" w:line="240" w:lineRule="auto"/>
              <w:rPr>
                <w:rFonts w:ascii="Arial Narrow" w:hAnsi="Arial Narrow"/>
                <w:b/>
                <w:color w:val="FFFFFF"/>
                <w:sz w:val="24"/>
                <w:szCs w:val="24"/>
                <w:lang w:val="en-US"/>
              </w:rPr>
            </w:pPr>
            <w:r>
              <w:rPr>
                <w:rFonts w:ascii="Arial Narrow" w:hAnsi="Arial Narrow"/>
                <w:b/>
                <w:color w:val="FFFFFF"/>
                <w:sz w:val="24"/>
                <w:szCs w:val="24"/>
                <w:lang w:val="en-US"/>
              </w:rPr>
              <w:t>Tariff D</w:t>
            </w:r>
            <w:r w:rsidRPr="00AA57B2">
              <w:rPr>
                <w:rFonts w:ascii="Arial Narrow" w:hAnsi="Arial Narrow"/>
                <w:b/>
                <w:color w:val="FFFFFF"/>
                <w:sz w:val="24"/>
                <w:szCs w:val="24"/>
                <w:lang w:val="en-US"/>
              </w:rPr>
              <w:t xml:space="preserve"> </w:t>
            </w:r>
            <w:r>
              <w:rPr>
                <w:rFonts w:ascii="Arial Narrow" w:hAnsi="Arial Narrow"/>
                <w:b/>
                <w:color w:val="FFFFFF"/>
                <w:sz w:val="24"/>
                <w:szCs w:val="24"/>
                <w:lang w:val="en-US"/>
              </w:rPr>
              <w:t xml:space="preserve">MHQ </w:t>
            </w:r>
            <w:r w:rsidRPr="00AA57B2">
              <w:rPr>
                <w:rFonts w:ascii="Arial Narrow" w:hAnsi="Arial Narrow"/>
                <w:b/>
                <w:color w:val="FFFFFF"/>
                <w:sz w:val="24"/>
                <w:szCs w:val="24"/>
                <w:lang w:val="en-US"/>
              </w:rPr>
              <w:t>(</w:t>
            </w:r>
            <w:r>
              <w:rPr>
                <w:rFonts w:ascii="Arial Narrow" w:hAnsi="Arial Narrow"/>
                <w:b/>
                <w:color w:val="FFFFFF"/>
                <w:sz w:val="24"/>
                <w:szCs w:val="24"/>
                <w:lang w:val="en-US"/>
              </w:rPr>
              <w:t>GJ</w:t>
            </w:r>
            <w:r w:rsidRPr="00AA57B2">
              <w:rPr>
                <w:rFonts w:ascii="Arial Narrow" w:hAnsi="Arial Narrow"/>
                <w:b/>
                <w:color w:val="FFFFFF"/>
                <w:sz w:val="24"/>
                <w:szCs w:val="24"/>
                <w:lang w:val="en-US"/>
              </w:rPr>
              <w:t>)</w:t>
            </w:r>
          </w:p>
        </w:tc>
        <w:tc>
          <w:tcPr>
            <w:tcW w:w="1134" w:type="dxa"/>
            <w:tcBorders>
              <w:right w:val="single" w:sz="4" w:space="0" w:color="FFFFFF"/>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2013</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2014</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2015</w:t>
            </w:r>
          </w:p>
        </w:tc>
        <w:tc>
          <w:tcPr>
            <w:tcW w:w="1134" w:type="dxa"/>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2016</w:t>
            </w:r>
          </w:p>
        </w:tc>
        <w:tc>
          <w:tcPr>
            <w:tcW w:w="1134" w:type="dxa"/>
            <w:tcBorders>
              <w:right w:val="nil"/>
            </w:tcBorders>
            <w:shd w:val="clear" w:color="auto" w:fill="548DD4"/>
          </w:tcPr>
          <w:p w:rsidR="000517AD" w:rsidRPr="00AA57B2" w:rsidRDefault="000517AD" w:rsidP="008942B3">
            <w:pPr>
              <w:spacing w:before="60" w:after="60" w:line="240" w:lineRule="auto"/>
              <w:jc w:val="center"/>
              <w:rPr>
                <w:rFonts w:ascii="Arial Narrow" w:hAnsi="Arial Narrow"/>
                <w:b/>
                <w:color w:val="FFFFFF"/>
                <w:sz w:val="24"/>
                <w:szCs w:val="24"/>
                <w:lang w:val="en-US"/>
              </w:rPr>
            </w:pPr>
            <w:r w:rsidRPr="00AA57B2">
              <w:rPr>
                <w:rFonts w:ascii="Arial Narrow" w:hAnsi="Arial Narrow"/>
                <w:b/>
                <w:color w:val="FFFFFF"/>
                <w:sz w:val="24"/>
                <w:szCs w:val="24"/>
                <w:lang w:val="en-US"/>
              </w:rPr>
              <w:t>2017</w:t>
            </w:r>
          </w:p>
        </w:tc>
      </w:tr>
      <w:tr w:rsidR="003671E2" w:rsidRPr="00AA57B2" w:rsidTr="000412AC">
        <w:tc>
          <w:tcPr>
            <w:tcW w:w="3118" w:type="dxa"/>
            <w:vAlign w:val="center"/>
          </w:tcPr>
          <w:p w:rsidR="003671E2" w:rsidRPr="00AA57B2" w:rsidRDefault="003671E2" w:rsidP="008942B3">
            <w:pPr>
              <w:spacing w:before="60" w:after="60" w:line="240" w:lineRule="auto"/>
              <w:rPr>
                <w:rFonts w:ascii="Arial Narrow" w:hAnsi="Arial Narrow"/>
                <w:b/>
                <w:sz w:val="24"/>
                <w:szCs w:val="24"/>
                <w:lang w:val="en-US"/>
              </w:rPr>
            </w:pPr>
            <w:r>
              <w:rPr>
                <w:rFonts w:ascii="Arial Narrow" w:hAnsi="Arial Narrow"/>
                <w:b/>
                <w:sz w:val="24"/>
                <w:szCs w:val="24"/>
                <w:lang w:val="en-US"/>
              </w:rPr>
              <w:t>AER Draft Decision</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 355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 336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 321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 308 </w:t>
            </w:r>
          </w:p>
        </w:tc>
        <w:tc>
          <w:tcPr>
            <w:tcW w:w="1134" w:type="dxa"/>
          </w:tcPr>
          <w:p w:rsidR="003671E2" w:rsidRPr="003671E2" w:rsidRDefault="003671E2" w:rsidP="0041417A">
            <w:pPr>
              <w:spacing w:before="60" w:after="60" w:line="240" w:lineRule="auto"/>
              <w:jc w:val="right"/>
              <w:rPr>
                <w:rFonts w:ascii="Arial Narrow" w:hAnsi="Arial Narrow"/>
                <w:sz w:val="24"/>
                <w:szCs w:val="24"/>
                <w:lang w:val="en-US"/>
              </w:rPr>
            </w:pPr>
            <w:r w:rsidRPr="003671E2">
              <w:rPr>
                <w:rFonts w:ascii="Arial Narrow" w:hAnsi="Arial Narrow"/>
                <w:sz w:val="24"/>
                <w:szCs w:val="24"/>
                <w:lang w:val="en-US"/>
              </w:rPr>
              <w:t xml:space="preserve"> 297 </w:t>
            </w:r>
          </w:p>
        </w:tc>
      </w:tr>
      <w:tr w:rsidR="003671E2" w:rsidRPr="00AA57B2" w:rsidTr="000412AC">
        <w:tc>
          <w:tcPr>
            <w:tcW w:w="3118" w:type="dxa"/>
            <w:tcBorders>
              <w:top w:val="single" w:sz="4" w:space="0" w:color="548DD4"/>
              <w:left w:val="single" w:sz="4" w:space="0" w:color="548DD4"/>
              <w:bottom w:val="single" w:sz="4" w:space="0" w:color="548DD4"/>
              <w:right w:val="single" w:sz="4" w:space="0" w:color="548DD4"/>
            </w:tcBorders>
            <w:vAlign w:val="center"/>
          </w:tcPr>
          <w:p w:rsidR="003671E2" w:rsidRPr="00AA57B2" w:rsidRDefault="003671E2" w:rsidP="008942B3">
            <w:pPr>
              <w:spacing w:before="60" w:after="60" w:line="240" w:lineRule="auto"/>
              <w:rPr>
                <w:rFonts w:ascii="Arial Narrow" w:hAnsi="Arial Narrow"/>
                <w:b/>
                <w:sz w:val="24"/>
                <w:szCs w:val="24"/>
                <w:lang w:val="en-US"/>
              </w:rPr>
            </w:pPr>
            <w:r w:rsidRPr="00AA57B2">
              <w:rPr>
                <w:rFonts w:ascii="Arial Narrow" w:hAnsi="Arial Narrow"/>
                <w:b/>
                <w:sz w:val="24"/>
                <w:szCs w:val="24"/>
                <w:lang w:val="en-US"/>
              </w:rPr>
              <w:t>Final Forecast</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 355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 336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 321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 308 </w:t>
            </w:r>
          </w:p>
        </w:tc>
        <w:tc>
          <w:tcPr>
            <w:tcW w:w="1134" w:type="dxa"/>
            <w:tcBorders>
              <w:top w:val="single" w:sz="4" w:space="0" w:color="548DD4"/>
              <w:left w:val="single" w:sz="4" w:space="0" w:color="548DD4"/>
              <w:bottom w:val="single" w:sz="4" w:space="0" w:color="548DD4"/>
              <w:right w:val="single" w:sz="4" w:space="0" w:color="548DD4"/>
            </w:tcBorders>
          </w:tcPr>
          <w:p w:rsidR="003671E2" w:rsidRPr="003671E2" w:rsidRDefault="003671E2" w:rsidP="0041417A">
            <w:pPr>
              <w:spacing w:before="60" w:after="60" w:line="240" w:lineRule="auto"/>
              <w:jc w:val="right"/>
              <w:rPr>
                <w:rFonts w:ascii="Arial Narrow" w:hAnsi="Arial Narrow"/>
                <w:b/>
                <w:sz w:val="24"/>
                <w:szCs w:val="24"/>
                <w:lang w:val="en-US"/>
              </w:rPr>
            </w:pPr>
            <w:r w:rsidRPr="003671E2">
              <w:rPr>
                <w:rFonts w:ascii="Arial Narrow" w:hAnsi="Arial Narrow"/>
                <w:b/>
                <w:sz w:val="24"/>
                <w:szCs w:val="24"/>
                <w:lang w:val="en-US"/>
              </w:rPr>
              <w:t xml:space="preserve"> 297 </w:t>
            </w:r>
          </w:p>
        </w:tc>
      </w:tr>
    </w:tbl>
    <w:p w:rsidR="000517AD" w:rsidRDefault="000517AD" w:rsidP="000517AD">
      <w:pPr>
        <w:spacing w:after="0" w:line="240" w:lineRule="auto"/>
        <w:ind w:left="851"/>
        <w:jc w:val="both"/>
        <w:rPr>
          <w:rFonts w:ascii="Arial Narrow" w:hAnsi="Arial Narrow" w:cs="Arial Narrow"/>
          <w:sz w:val="24"/>
          <w:szCs w:val="24"/>
          <w:lang w:val="en-US"/>
        </w:rPr>
      </w:pPr>
    </w:p>
    <w:p w:rsidR="00C420C0" w:rsidRDefault="00C420C0" w:rsidP="00106577">
      <w:pPr>
        <w:spacing w:after="0" w:line="240" w:lineRule="auto"/>
        <w:jc w:val="both"/>
        <w:rPr>
          <w:rFonts w:ascii="Arial Narrow" w:hAnsi="Arial Narrow" w:cs="Arial Narrow"/>
          <w:sz w:val="24"/>
          <w:szCs w:val="24"/>
          <w:lang w:val="en-US"/>
        </w:rPr>
      </w:pPr>
    </w:p>
    <w:sectPr w:rsidR="00C420C0" w:rsidSect="007C4E0E">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DB" w:rsidRDefault="004179DB" w:rsidP="00461CCF">
      <w:pPr>
        <w:spacing w:after="0" w:line="240" w:lineRule="auto"/>
      </w:pPr>
      <w:r>
        <w:separator/>
      </w:r>
    </w:p>
  </w:endnote>
  <w:endnote w:type="continuationSeparator" w:id="0">
    <w:p w:rsidR="004179DB" w:rsidRDefault="004179DB" w:rsidP="0046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DB" w:rsidRDefault="004179DB" w:rsidP="00461CCF">
      <w:pPr>
        <w:spacing w:after="0" w:line="240" w:lineRule="auto"/>
      </w:pPr>
      <w:r>
        <w:separator/>
      </w:r>
    </w:p>
  </w:footnote>
  <w:footnote w:type="continuationSeparator" w:id="0">
    <w:p w:rsidR="004179DB" w:rsidRDefault="004179DB" w:rsidP="00461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602B"/>
    <w:multiLevelType w:val="hybridMultilevel"/>
    <w:tmpl w:val="7EAE3F18"/>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60319A"/>
    <w:multiLevelType w:val="hybridMultilevel"/>
    <w:tmpl w:val="3B5EDFC2"/>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nsid w:val="09942BBF"/>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89630B"/>
    <w:multiLevelType w:val="hybridMultilevel"/>
    <w:tmpl w:val="CFA0B6E8"/>
    <w:lvl w:ilvl="0" w:tplc="6C8479D2">
      <w:start w:val="1"/>
      <w:numFmt w:val="bullet"/>
      <w:lvlText w:val=""/>
      <w:lvlJc w:val="left"/>
      <w:pPr>
        <w:ind w:left="717" w:hanging="360"/>
      </w:pPr>
      <w:rPr>
        <w:rFonts w:ascii="Wingdings" w:hAnsi="Wingdings" w:hint="default"/>
      </w:rPr>
    </w:lvl>
    <w:lvl w:ilvl="1" w:tplc="0C090019" w:tentative="1">
      <w:start w:val="1"/>
      <w:numFmt w:val="bullet"/>
      <w:lvlText w:val="o"/>
      <w:lvlJc w:val="left"/>
      <w:pPr>
        <w:ind w:left="1437" w:hanging="360"/>
      </w:pPr>
      <w:rPr>
        <w:rFonts w:ascii="Courier New" w:hAnsi="Courier New" w:cs="Courier New" w:hint="default"/>
      </w:rPr>
    </w:lvl>
    <w:lvl w:ilvl="2" w:tplc="0C09001B" w:tentative="1">
      <w:start w:val="1"/>
      <w:numFmt w:val="bullet"/>
      <w:lvlText w:val=""/>
      <w:lvlJc w:val="left"/>
      <w:pPr>
        <w:ind w:left="2157" w:hanging="360"/>
      </w:pPr>
      <w:rPr>
        <w:rFonts w:ascii="Wingdings" w:hAnsi="Wingdings" w:hint="default"/>
      </w:rPr>
    </w:lvl>
    <w:lvl w:ilvl="3" w:tplc="0C09000F" w:tentative="1">
      <w:start w:val="1"/>
      <w:numFmt w:val="bullet"/>
      <w:lvlText w:val=""/>
      <w:lvlJc w:val="left"/>
      <w:pPr>
        <w:ind w:left="2877" w:hanging="360"/>
      </w:pPr>
      <w:rPr>
        <w:rFonts w:ascii="Symbol" w:hAnsi="Symbol" w:hint="default"/>
      </w:rPr>
    </w:lvl>
    <w:lvl w:ilvl="4" w:tplc="0C090019" w:tentative="1">
      <w:start w:val="1"/>
      <w:numFmt w:val="bullet"/>
      <w:lvlText w:val="o"/>
      <w:lvlJc w:val="left"/>
      <w:pPr>
        <w:ind w:left="3597" w:hanging="360"/>
      </w:pPr>
      <w:rPr>
        <w:rFonts w:ascii="Courier New" w:hAnsi="Courier New" w:cs="Courier New" w:hint="default"/>
      </w:rPr>
    </w:lvl>
    <w:lvl w:ilvl="5" w:tplc="0C09001B" w:tentative="1">
      <w:start w:val="1"/>
      <w:numFmt w:val="bullet"/>
      <w:lvlText w:val=""/>
      <w:lvlJc w:val="left"/>
      <w:pPr>
        <w:ind w:left="4317" w:hanging="360"/>
      </w:pPr>
      <w:rPr>
        <w:rFonts w:ascii="Wingdings" w:hAnsi="Wingdings" w:hint="default"/>
      </w:rPr>
    </w:lvl>
    <w:lvl w:ilvl="6" w:tplc="0C09000F" w:tentative="1">
      <w:start w:val="1"/>
      <w:numFmt w:val="bullet"/>
      <w:lvlText w:val=""/>
      <w:lvlJc w:val="left"/>
      <w:pPr>
        <w:ind w:left="5037" w:hanging="360"/>
      </w:pPr>
      <w:rPr>
        <w:rFonts w:ascii="Symbol" w:hAnsi="Symbol" w:hint="default"/>
      </w:rPr>
    </w:lvl>
    <w:lvl w:ilvl="7" w:tplc="0C090019" w:tentative="1">
      <w:start w:val="1"/>
      <w:numFmt w:val="bullet"/>
      <w:lvlText w:val="o"/>
      <w:lvlJc w:val="left"/>
      <w:pPr>
        <w:ind w:left="5757" w:hanging="360"/>
      </w:pPr>
      <w:rPr>
        <w:rFonts w:ascii="Courier New" w:hAnsi="Courier New" w:cs="Courier New" w:hint="default"/>
      </w:rPr>
    </w:lvl>
    <w:lvl w:ilvl="8" w:tplc="0C09001B" w:tentative="1">
      <w:start w:val="1"/>
      <w:numFmt w:val="bullet"/>
      <w:lvlText w:val=""/>
      <w:lvlJc w:val="left"/>
      <w:pPr>
        <w:ind w:left="6477" w:hanging="360"/>
      </w:pPr>
      <w:rPr>
        <w:rFonts w:ascii="Wingdings" w:hAnsi="Wingdings" w:hint="default"/>
      </w:rPr>
    </w:lvl>
  </w:abstractNum>
  <w:abstractNum w:abstractNumId="4">
    <w:nsid w:val="14257D71"/>
    <w:multiLevelType w:val="hybridMultilevel"/>
    <w:tmpl w:val="FCDC2058"/>
    <w:lvl w:ilvl="0" w:tplc="0C090011">
      <w:start w:val="1"/>
      <w:numFmt w:val="decimal"/>
      <w:lvlText w:val="%1)"/>
      <w:lvlJc w:val="left"/>
      <w:pPr>
        <w:ind w:left="1429" w:hanging="360"/>
      </w:pPr>
      <w:rPr>
        <w:rFonts w:hint="default"/>
      </w:rPr>
    </w:lvl>
    <w:lvl w:ilvl="1" w:tplc="0C090017">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nsid w:val="17D50E3E"/>
    <w:multiLevelType w:val="hybridMultilevel"/>
    <w:tmpl w:val="87C86F36"/>
    <w:lvl w:ilvl="0" w:tplc="AC9EDED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18FD5879"/>
    <w:multiLevelType w:val="hybridMultilevel"/>
    <w:tmpl w:val="858EF9F4"/>
    <w:lvl w:ilvl="0" w:tplc="0C090011">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502E744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4B4A01"/>
    <w:multiLevelType w:val="hybridMultilevel"/>
    <w:tmpl w:val="B0F677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87B0B"/>
    <w:multiLevelType w:val="hybridMultilevel"/>
    <w:tmpl w:val="35FEA3AE"/>
    <w:lvl w:ilvl="0" w:tplc="0C090005">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nsid w:val="217E0B61"/>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14427B"/>
    <w:multiLevelType w:val="hybridMultilevel"/>
    <w:tmpl w:val="17C42370"/>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9B71BC"/>
    <w:multiLevelType w:val="hybridMultilevel"/>
    <w:tmpl w:val="368882A6"/>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
    <w:nsid w:val="29F54607"/>
    <w:multiLevelType w:val="hybridMultilevel"/>
    <w:tmpl w:val="EADA6974"/>
    <w:lvl w:ilvl="0" w:tplc="BADE8398">
      <w:start w:val="1"/>
      <w:numFmt w:val="decimal"/>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8F5FB4"/>
    <w:multiLevelType w:val="hybridMultilevel"/>
    <w:tmpl w:val="9FD8BA72"/>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nsid w:val="30F56960"/>
    <w:multiLevelType w:val="hybridMultilevel"/>
    <w:tmpl w:val="C4DA5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4BA4E1A"/>
    <w:multiLevelType w:val="hybridMultilevel"/>
    <w:tmpl w:val="EE6AEA9C"/>
    <w:lvl w:ilvl="0" w:tplc="0C090005">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nsid w:val="4B9E3C0B"/>
    <w:multiLevelType w:val="hybridMultilevel"/>
    <w:tmpl w:val="C486CA10"/>
    <w:lvl w:ilvl="0" w:tplc="0C090011">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4C9C41C3"/>
    <w:multiLevelType w:val="hybridMultilevel"/>
    <w:tmpl w:val="53F68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47093D"/>
    <w:multiLevelType w:val="hybridMultilevel"/>
    <w:tmpl w:val="32483EC2"/>
    <w:lvl w:ilvl="0" w:tplc="0C090005">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nsid w:val="53F34B9B"/>
    <w:multiLevelType w:val="hybridMultilevel"/>
    <w:tmpl w:val="0730324C"/>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BE511E"/>
    <w:multiLevelType w:val="hybridMultilevel"/>
    <w:tmpl w:val="C9EA9F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202E1B"/>
    <w:multiLevelType w:val="hybridMultilevel"/>
    <w:tmpl w:val="8FD8DFE6"/>
    <w:lvl w:ilvl="0" w:tplc="0C09001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nsid w:val="610676CD"/>
    <w:multiLevelType w:val="hybridMultilevel"/>
    <w:tmpl w:val="BF5E12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7879B2"/>
    <w:multiLevelType w:val="hybridMultilevel"/>
    <w:tmpl w:val="DC5C3F4A"/>
    <w:lvl w:ilvl="0" w:tplc="3064C2F6">
      <w:start w:val="1"/>
      <w:numFmt w:val="bullet"/>
      <w:lvlText w:val=""/>
      <w:lvlJc w:val="left"/>
      <w:pPr>
        <w:ind w:left="360" w:hanging="360"/>
      </w:pPr>
      <w:rPr>
        <w:rFonts w:ascii="Wingdings" w:hAnsi="Wingdings"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4">
    <w:nsid w:val="62B9125F"/>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EC2A47"/>
    <w:multiLevelType w:val="hybridMultilevel"/>
    <w:tmpl w:val="EADA6974"/>
    <w:lvl w:ilvl="0" w:tplc="BADE8398">
      <w:start w:val="1"/>
      <w:numFmt w:val="decimal"/>
      <w:lvlText w:val="%1."/>
      <w:lvlJc w:val="left"/>
      <w:pPr>
        <w:ind w:left="1353" w:hanging="360"/>
      </w:pPr>
      <w:rPr>
        <w:rFonts w:hint="default"/>
      </w:rPr>
    </w:lvl>
    <w:lvl w:ilvl="1" w:tplc="0C090019">
      <w:start w:val="1"/>
      <w:numFmt w:val="lowerLetter"/>
      <w:lvlText w:val="%2."/>
      <w:lvlJc w:val="left"/>
      <w:pPr>
        <w:ind w:left="-686" w:hanging="360"/>
      </w:pPr>
    </w:lvl>
    <w:lvl w:ilvl="2" w:tplc="0C09001B">
      <w:start w:val="1"/>
      <w:numFmt w:val="lowerRoman"/>
      <w:lvlText w:val="%3."/>
      <w:lvlJc w:val="right"/>
      <w:pPr>
        <w:ind w:left="34" w:hanging="180"/>
      </w:pPr>
    </w:lvl>
    <w:lvl w:ilvl="3" w:tplc="0C09000F">
      <w:start w:val="1"/>
      <w:numFmt w:val="decimal"/>
      <w:lvlText w:val="%4."/>
      <w:lvlJc w:val="left"/>
      <w:pPr>
        <w:ind w:left="754" w:hanging="360"/>
      </w:pPr>
    </w:lvl>
    <w:lvl w:ilvl="4" w:tplc="0C090019">
      <w:start w:val="1"/>
      <w:numFmt w:val="lowerLetter"/>
      <w:lvlText w:val="%5."/>
      <w:lvlJc w:val="left"/>
      <w:pPr>
        <w:ind w:left="1474" w:hanging="360"/>
      </w:pPr>
    </w:lvl>
    <w:lvl w:ilvl="5" w:tplc="0C09001B" w:tentative="1">
      <w:start w:val="1"/>
      <w:numFmt w:val="lowerRoman"/>
      <w:lvlText w:val="%6."/>
      <w:lvlJc w:val="right"/>
      <w:pPr>
        <w:ind w:left="2194" w:hanging="180"/>
      </w:pPr>
    </w:lvl>
    <w:lvl w:ilvl="6" w:tplc="0C09000F" w:tentative="1">
      <w:start w:val="1"/>
      <w:numFmt w:val="decimal"/>
      <w:lvlText w:val="%7."/>
      <w:lvlJc w:val="left"/>
      <w:pPr>
        <w:ind w:left="2914" w:hanging="360"/>
      </w:pPr>
    </w:lvl>
    <w:lvl w:ilvl="7" w:tplc="0C090019" w:tentative="1">
      <w:start w:val="1"/>
      <w:numFmt w:val="lowerLetter"/>
      <w:lvlText w:val="%8."/>
      <w:lvlJc w:val="left"/>
      <w:pPr>
        <w:ind w:left="3634" w:hanging="360"/>
      </w:pPr>
    </w:lvl>
    <w:lvl w:ilvl="8" w:tplc="0C09001B" w:tentative="1">
      <w:start w:val="1"/>
      <w:numFmt w:val="lowerRoman"/>
      <w:lvlText w:val="%9."/>
      <w:lvlJc w:val="right"/>
      <w:pPr>
        <w:ind w:left="4354" w:hanging="180"/>
      </w:pPr>
    </w:lvl>
  </w:abstractNum>
  <w:abstractNum w:abstractNumId="26">
    <w:nsid w:val="6EBC6335"/>
    <w:multiLevelType w:val="hybridMultilevel"/>
    <w:tmpl w:val="EE6AEA9C"/>
    <w:lvl w:ilvl="0" w:tplc="0C090005">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7A4E521D"/>
    <w:multiLevelType w:val="hybridMultilevel"/>
    <w:tmpl w:val="D6865A4A"/>
    <w:lvl w:ilvl="0" w:tplc="4094C040">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7A8E6BD5"/>
    <w:multiLevelType w:val="hybridMultilevel"/>
    <w:tmpl w:val="32D435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17"/>
  </w:num>
  <w:num w:numId="2">
    <w:abstractNumId w:val="20"/>
  </w:num>
  <w:num w:numId="3">
    <w:abstractNumId w:val="11"/>
  </w:num>
  <w:num w:numId="4">
    <w:abstractNumId w:val="21"/>
  </w:num>
  <w:num w:numId="5">
    <w:abstractNumId w:val="13"/>
  </w:num>
  <w:num w:numId="6">
    <w:abstractNumId w:val="5"/>
  </w:num>
  <w:num w:numId="7">
    <w:abstractNumId w:val="6"/>
  </w:num>
  <w:num w:numId="8">
    <w:abstractNumId w:val="12"/>
  </w:num>
  <w:num w:numId="9">
    <w:abstractNumId w:val="3"/>
  </w:num>
  <w:num w:numId="10">
    <w:abstractNumId w:val="23"/>
  </w:num>
  <w:num w:numId="11">
    <w:abstractNumId w:val="8"/>
  </w:num>
  <w:num w:numId="12">
    <w:abstractNumId w:val="7"/>
  </w:num>
  <w:num w:numId="13">
    <w:abstractNumId w:val="16"/>
  </w:num>
  <w:num w:numId="14">
    <w:abstractNumId w:val="4"/>
  </w:num>
  <w:num w:numId="15">
    <w:abstractNumId w:val="1"/>
  </w:num>
  <w:num w:numId="16">
    <w:abstractNumId w:val="15"/>
  </w:num>
  <w:num w:numId="17">
    <w:abstractNumId w:val="28"/>
  </w:num>
  <w:num w:numId="18">
    <w:abstractNumId w:val="18"/>
  </w:num>
  <w:num w:numId="19">
    <w:abstractNumId w:val="25"/>
  </w:num>
  <w:num w:numId="20">
    <w:abstractNumId w:val="0"/>
  </w:num>
  <w:num w:numId="21">
    <w:abstractNumId w:val="27"/>
  </w:num>
  <w:num w:numId="22">
    <w:abstractNumId w:val="26"/>
  </w:num>
  <w:num w:numId="23">
    <w:abstractNumId w:val="10"/>
  </w:num>
  <w:num w:numId="24">
    <w:abstractNumId w:val="19"/>
  </w:num>
  <w:num w:numId="25">
    <w:abstractNumId w:val="2"/>
  </w:num>
  <w:num w:numId="26">
    <w:abstractNumId w:val="9"/>
  </w:num>
  <w:num w:numId="27">
    <w:abstractNumId w:val="24"/>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CF"/>
    <w:rsid w:val="00000EAF"/>
    <w:rsid w:val="00004B24"/>
    <w:rsid w:val="0000533C"/>
    <w:rsid w:val="00006316"/>
    <w:rsid w:val="00006AA3"/>
    <w:rsid w:val="000073D7"/>
    <w:rsid w:val="00013146"/>
    <w:rsid w:val="00025966"/>
    <w:rsid w:val="000304A6"/>
    <w:rsid w:val="00030FE4"/>
    <w:rsid w:val="0003133B"/>
    <w:rsid w:val="000328DF"/>
    <w:rsid w:val="000412AC"/>
    <w:rsid w:val="000507DE"/>
    <w:rsid w:val="000517AD"/>
    <w:rsid w:val="00051D39"/>
    <w:rsid w:val="00052682"/>
    <w:rsid w:val="00053BC2"/>
    <w:rsid w:val="00057FE8"/>
    <w:rsid w:val="00065CFE"/>
    <w:rsid w:val="00067DBF"/>
    <w:rsid w:val="0007222F"/>
    <w:rsid w:val="0007529B"/>
    <w:rsid w:val="00077AC4"/>
    <w:rsid w:val="000814FB"/>
    <w:rsid w:val="00085554"/>
    <w:rsid w:val="000856C1"/>
    <w:rsid w:val="000912DC"/>
    <w:rsid w:val="00093B86"/>
    <w:rsid w:val="00095B3E"/>
    <w:rsid w:val="000B59B9"/>
    <w:rsid w:val="000C3E20"/>
    <w:rsid w:val="000C53D6"/>
    <w:rsid w:val="000C67AA"/>
    <w:rsid w:val="000C67B4"/>
    <w:rsid w:val="000D0DF8"/>
    <w:rsid w:val="000D685C"/>
    <w:rsid w:val="000D68CF"/>
    <w:rsid w:val="000E01E0"/>
    <w:rsid w:val="000E39EF"/>
    <w:rsid w:val="000E516C"/>
    <w:rsid w:val="00100620"/>
    <w:rsid w:val="0010310D"/>
    <w:rsid w:val="00106577"/>
    <w:rsid w:val="00112C90"/>
    <w:rsid w:val="00113853"/>
    <w:rsid w:val="00114738"/>
    <w:rsid w:val="001265DD"/>
    <w:rsid w:val="001312D4"/>
    <w:rsid w:val="00135E27"/>
    <w:rsid w:val="00136EAF"/>
    <w:rsid w:val="001401F8"/>
    <w:rsid w:val="00143B94"/>
    <w:rsid w:val="00143F52"/>
    <w:rsid w:val="00144745"/>
    <w:rsid w:val="0015566E"/>
    <w:rsid w:val="0017155A"/>
    <w:rsid w:val="0017622F"/>
    <w:rsid w:val="0017641F"/>
    <w:rsid w:val="0018306C"/>
    <w:rsid w:val="001915F3"/>
    <w:rsid w:val="001919B4"/>
    <w:rsid w:val="00191C6F"/>
    <w:rsid w:val="00191C80"/>
    <w:rsid w:val="001965E4"/>
    <w:rsid w:val="00196E33"/>
    <w:rsid w:val="00197296"/>
    <w:rsid w:val="00197522"/>
    <w:rsid w:val="001978AD"/>
    <w:rsid w:val="001A07F7"/>
    <w:rsid w:val="001A120C"/>
    <w:rsid w:val="001A32E3"/>
    <w:rsid w:val="001A61DC"/>
    <w:rsid w:val="001B4B05"/>
    <w:rsid w:val="001C0431"/>
    <w:rsid w:val="001C0657"/>
    <w:rsid w:val="001C0C7D"/>
    <w:rsid w:val="001C35C2"/>
    <w:rsid w:val="001C4357"/>
    <w:rsid w:val="001C7D48"/>
    <w:rsid w:val="001D3DA2"/>
    <w:rsid w:val="001D5C1A"/>
    <w:rsid w:val="001E2407"/>
    <w:rsid w:val="001E284B"/>
    <w:rsid w:val="001E3535"/>
    <w:rsid w:val="001E4799"/>
    <w:rsid w:val="001E5B16"/>
    <w:rsid w:val="001E770C"/>
    <w:rsid w:val="001F7E36"/>
    <w:rsid w:val="00201C03"/>
    <w:rsid w:val="002037FE"/>
    <w:rsid w:val="002070CE"/>
    <w:rsid w:val="00207989"/>
    <w:rsid w:val="00211906"/>
    <w:rsid w:val="00211DDC"/>
    <w:rsid w:val="00216FDE"/>
    <w:rsid w:val="00221369"/>
    <w:rsid w:val="0022546A"/>
    <w:rsid w:val="002269A5"/>
    <w:rsid w:val="0023227D"/>
    <w:rsid w:val="00241784"/>
    <w:rsid w:val="00241C49"/>
    <w:rsid w:val="0024482F"/>
    <w:rsid w:val="0025078F"/>
    <w:rsid w:val="00254872"/>
    <w:rsid w:val="002562E1"/>
    <w:rsid w:val="00257FAE"/>
    <w:rsid w:val="002611D8"/>
    <w:rsid w:val="002614B6"/>
    <w:rsid w:val="00262F75"/>
    <w:rsid w:val="00264934"/>
    <w:rsid w:val="00274ABB"/>
    <w:rsid w:val="00276F02"/>
    <w:rsid w:val="00280F4B"/>
    <w:rsid w:val="00282924"/>
    <w:rsid w:val="002868F0"/>
    <w:rsid w:val="00287FC8"/>
    <w:rsid w:val="00294FC1"/>
    <w:rsid w:val="002A0E6A"/>
    <w:rsid w:val="002A2A2A"/>
    <w:rsid w:val="002A449B"/>
    <w:rsid w:val="002A7F5E"/>
    <w:rsid w:val="002B082B"/>
    <w:rsid w:val="002B0F09"/>
    <w:rsid w:val="002B39B7"/>
    <w:rsid w:val="002B61F0"/>
    <w:rsid w:val="002B68CB"/>
    <w:rsid w:val="002C0095"/>
    <w:rsid w:val="002C122A"/>
    <w:rsid w:val="002C21E1"/>
    <w:rsid w:val="002C6EA4"/>
    <w:rsid w:val="002D1723"/>
    <w:rsid w:val="002D6D8A"/>
    <w:rsid w:val="002D77D6"/>
    <w:rsid w:val="002E2F96"/>
    <w:rsid w:val="002E49C8"/>
    <w:rsid w:val="002E77DC"/>
    <w:rsid w:val="002F1151"/>
    <w:rsid w:val="0030300C"/>
    <w:rsid w:val="00306249"/>
    <w:rsid w:val="003062E8"/>
    <w:rsid w:val="0030645F"/>
    <w:rsid w:val="0031662A"/>
    <w:rsid w:val="00326CAF"/>
    <w:rsid w:val="003359BA"/>
    <w:rsid w:val="0034749C"/>
    <w:rsid w:val="00352D2F"/>
    <w:rsid w:val="00357ABC"/>
    <w:rsid w:val="00362FC9"/>
    <w:rsid w:val="003671E2"/>
    <w:rsid w:val="00372BA4"/>
    <w:rsid w:val="003803FF"/>
    <w:rsid w:val="003843F6"/>
    <w:rsid w:val="00385F2C"/>
    <w:rsid w:val="00387427"/>
    <w:rsid w:val="003964B1"/>
    <w:rsid w:val="003A007D"/>
    <w:rsid w:val="003A07FD"/>
    <w:rsid w:val="003A0881"/>
    <w:rsid w:val="003A2D37"/>
    <w:rsid w:val="003A51CB"/>
    <w:rsid w:val="003A7F0F"/>
    <w:rsid w:val="003B008A"/>
    <w:rsid w:val="003B2252"/>
    <w:rsid w:val="003B2928"/>
    <w:rsid w:val="003B49D3"/>
    <w:rsid w:val="003C1D7B"/>
    <w:rsid w:val="003C4ACE"/>
    <w:rsid w:val="003D3C30"/>
    <w:rsid w:val="003D5287"/>
    <w:rsid w:val="003E1B69"/>
    <w:rsid w:val="003E2A2D"/>
    <w:rsid w:val="003E4A28"/>
    <w:rsid w:val="003E690A"/>
    <w:rsid w:val="003F229B"/>
    <w:rsid w:val="003F294A"/>
    <w:rsid w:val="003F3D4C"/>
    <w:rsid w:val="00400784"/>
    <w:rsid w:val="004030FE"/>
    <w:rsid w:val="00405B48"/>
    <w:rsid w:val="004103B2"/>
    <w:rsid w:val="00410456"/>
    <w:rsid w:val="00410AF7"/>
    <w:rsid w:val="004129B6"/>
    <w:rsid w:val="0041417A"/>
    <w:rsid w:val="004179DB"/>
    <w:rsid w:val="00423DB7"/>
    <w:rsid w:val="00430EAA"/>
    <w:rsid w:val="00431368"/>
    <w:rsid w:val="00432C17"/>
    <w:rsid w:val="00433AC9"/>
    <w:rsid w:val="004345B1"/>
    <w:rsid w:val="00434FF5"/>
    <w:rsid w:val="004404B1"/>
    <w:rsid w:val="00442782"/>
    <w:rsid w:val="004447DC"/>
    <w:rsid w:val="0045546B"/>
    <w:rsid w:val="00456946"/>
    <w:rsid w:val="004571B9"/>
    <w:rsid w:val="004602B6"/>
    <w:rsid w:val="0046044C"/>
    <w:rsid w:val="00461CCF"/>
    <w:rsid w:val="0046283C"/>
    <w:rsid w:val="00464176"/>
    <w:rsid w:val="00465F38"/>
    <w:rsid w:val="004662D9"/>
    <w:rsid w:val="0047202D"/>
    <w:rsid w:val="00475E77"/>
    <w:rsid w:val="00476DF2"/>
    <w:rsid w:val="00477335"/>
    <w:rsid w:val="0048091D"/>
    <w:rsid w:val="00480FDF"/>
    <w:rsid w:val="00481452"/>
    <w:rsid w:val="00482811"/>
    <w:rsid w:val="00483784"/>
    <w:rsid w:val="0049199D"/>
    <w:rsid w:val="004931AE"/>
    <w:rsid w:val="00493EEF"/>
    <w:rsid w:val="00495695"/>
    <w:rsid w:val="00497D3E"/>
    <w:rsid w:val="004A0232"/>
    <w:rsid w:val="004A496E"/>
    <w:rsid w:val="004A5D33"/>
    <w:rsid w:val="004B2ED6"/>
    <w:rsid w:val="004B649A"/>
    <w:rsid w:val="004C0BD5"/>
    <w:rsid w:val="004C1739"/>
    <w:rsid w:val="004C1D1A"/>
    <w:rsid w:val="004C61AC"/>
    <w:rsid w:val="004C6DA2"/>
    <w:rsid w:val="004D50F7"/>
    <w:rsid w:val="004D63FE"/>
    <w:rsid w:val="004D6D95"/>
    <w:rsid w:val="004E344E"/>
    <w:rsid w:val="004E3B9B"/>
    <w:rsid w:val="004E5477"/>
    <w:rsid w:val="004F1DE3"/>
    <w:rsid w:val="004F7EFB"/>
    <w:rsid w:val="00501316"/>
    <w:rsid w:val="00502836"/>
    <w:rsid w:val="00502EC3"/>
    <w:rsid w:val="005034DE"/>
    <w:rsid w:val="00503CB4"/>
    <w:rsid w:val="005101F5"/>
    <w:rsid w:val="00512609"/>
    <w:rsid w:val="005134A0"/>
    <w:rsid w:val="005134D6"/>
    <w:rsid w:val="00514F1A"/>
    <w:rsid w:val="0051753C"/>
    <w:rsid w:val="00521643"/>
    <w:rsid w:val="005310BF"/>
    <w:rsid w:val="005320E5"/>
    <w:rsid w:val="00534EA1"/>
    <w:rsid w:val="00535713"/>
    <w:rsid w:val="005422EF"/>
    <w:rsid w:val="00542A19"/>
    <w:rsid w:val="00543401"/>
    <w:rsid w:val="0054343F"/>
    <w:rsid w:val="00546BC3"/>
    <w:rsid w:val="00546E07"/>
    <w:rsid w:val="00552277"/>
    <w:rsid w:val="005628C4"/>
    <w:rsid w:val="005708D0"/>
    <w:rsid w:val="005713FC"/>
    <w:rsid w:val="00571557"/>
    <w:rsid w:val="00574B5C"/>
    <w:rsid w:val="00575001"/>
    <w:rsid w:val="00580DCD"/>
    <w:rsid w:val="0058606E"/>
    <w:rsid w:val="0059264B"/>
    <w:rsid w:val="00597AEE"/>
    <w:rsid w:val="005A153C"/>
    <w:rsid w:val="005A293E"/>
    <w:rsid w:val="005A3674"/>
    <w:rsid w:val="005A3D65"/>
    <w:rsid w:val="005A7389"/>
    <w:rsid w:val="005B1708"/>
    <w:rsid w:val="005B7659"/>
    <w:rsid w:val="005B79BF"/>
    <w:rsid w:val="005C28FF"/>
    <w:rsid w:val="005C469C"/>
    <w:rsid w:val="005C7E55"/>
    <w:rsid w:val="005D490F"/>
    <w:rsid w:val="005D5291"/>
    <w:rsid w:val="005D77CB"/>
    <w:rsid w:val="005E29C8"/>
    <w:rsid w:val="005E6E97"/>
    <w:rsid w:val="005F125B"/>
    <w:rsid w:val="005F34F1"/>
    <w:rsid w:val="005F6274"/>
    <w:rsid w:val="005F6E38"/>
    <w:rsid w:val="006074D3"/>
    <w:rsid w:val="00607D2E"/>
    <w:rsid w:val="006102E5"/>
    <w:rsid w:val="006117A0"/>
    <w:rsid w:val="006148DD"/>
    <w:rsid w:val="00621A9B"/>
    <w:rsid w:val="006220FF"/>
    <w:rsid w:val="00623F11"/>
    <w:rsid w:val="006355AF"/>
    <w:rsid w:val="006405AA"/>
    <w:rsid w:val="00640C79"/>
    <w:rsid w:val="00641CC3"/>
    <w:rsid w:val="006433A6"/>
    <w:rsid w:val="0064352B"/>
    <w:rsid w:val="00643A40"/>
    <w:rsid w:val="00645BA8"/>
    <w:rsid w:val="00651846"/>
    <w:rsid w:val="00653DFE"/>
    <w:rsid w:val="0065418B"/>
    <w:rsid w:val="00654B2E"/>
    <w:rsid w:val="00656112"/>
    <w:rsid w:val="006564CA"/>
    <w:rsid w:val="00661906"/>
    <w:rsid w:val="00661B47"/>
    <w:rsid w:val="00661F59"/>
    <w:rsid w:val="00663AAE"/>
    <w:rsid w:val="00673C3C"/>
    <w:rsid w:val="00675B8D"/>
    <w:rsid w:val="00684057"/>
    <w:rsid w:val="006841B2"/>
    <w:rsid w:val="00690BA9"/>
    <w:rsid w:val="00694066"/>
    <w:rsid w:val="00695588"/>
    <w:rsid w:val="006A1B2A"/>
    <w:rsid w:val="006A353F"/>
    <w:rsid w:val="006A7B21"/>
    <w:rsid w:val="006B03CA"/>
    <w:rsid w:val="006B082C"/>
    <w:rsid w:val="006B53A3"/>
    <w:rsid w:val="006C14EE"/>
    <w:rsid w:val="006C2C9A"/>
    <w:rsid w:val="006C5060"/>
    <w:rsid w:val="006D0173"/>
    <w:rsid w:val="006D5464"/>
    <w:rsid w:val="006D63EC"/>
    <w:rsid w:val="006E2429"/>
    <w:rsid w:val="006E47D4"/>
    <w:rsid w:val="006F0D18"/>
    <w:rsid w:val="006F0E84"/>
    <w:rsid w:val="006F4599"/>
    <w:rsid w:val="006F5CDB"/>
    <w:rsid w:val="006F6CC4"/>
    <w:rsid w:val="006F6F76"/>
    <w:rsid w:val="007068B9"/>
    <w:rsid w:val="007107CC"/>
    <w:rsid w:val="00715922"/>
    <w:rsid w:val="00716B21"/>
    <w:rsid w:val="007207EB"/>
    <w:rsid w:val="00721CF1"/>
    <w:rsid w:val="00722576"/>
    <w:rsid w:val="00722D95"/>
    <w:rsid w:val="007269A7"/>
    <w:rsid w:val="00726D98"/>
    <w:rsid w:val="00727756"/>
    <w:rsid w:val="00730537"/>
    <w:rsid w:val="00730E84"/>
    <w:rsid w:val="00733785"/>
    <w:rsid w:val="007344F5"/>
    <w:rsid w:val="00735643"/>
    <w:rsid w:val="00741373"/>
    <w:rsid w:val="00741C89"/>
    <w:rsid w:val="00746EF0"/>
    <w:rsid w:val="007470D9"/>
    <w:rsid w:val="00751E59"/>
    <w:rsid w:val="00763B1B"/>
    <w:rsid w:val="007717B1"/>
    <w:rsid w:val="00772F34"/>
    <w:rsid w:val="00775977"/>
    <w:rsid w:val="007763CD"/>
    <w:rsid w:val="00776AA9"/>
    <w:rsid w:val="00777A28"/>
    <w:rsid w:val="00781DBC"/>
    <w:rsid w:val="00781DEA"/>
    <w:rsid w:val="007833A5"/>
    <w:rsid w:val="00785E62"/>
    <w:rsid w:val="00791B70"/>
    <w:rsid w:val="00794846"/>
    <w:rsid w:val="00795017"/>
    <w:rsid w:val="007A0B5A"/>
    <w:rsid w:val="007A627D"/>
    <w:rsid w:val="007A70B8"/>
    <w:rsid w:val="007B18B8"/>
    <w:rsid w:val="007B2A64"/>
    <w:rsid w:val="007B2CCE"/>
    <w:rsid w:val="007B35C9"/>
    <w:rsid w:val="007B6429"/>
    <w:rsid w:val="007B6E84"/>
    <w:rsid w:val="007C14E8"/>
    <w:rsid w:val="007C3E06"/>
    <w:rsid w:val="007C4E0E"/>
    <w:rsid w:val="007D13EB"/>
    <w:rsid w:val="007D169C"/>
    <w:rsid w:val="007D4E3C"/>
    <w:rsid w:val="007D572A"/>
    <w:rsid w:val="007D6B7F"/>
    <w:rsid w:val="007D6D16"/>
    <w:rsid w:val="007E149F"/>
    <w:rsid w:val="007E1705"/>
    <w:rsid w:val="007E57B2"/>
    <w:rsid w:val="007F4A2E"/>
    <w:rsid w:val="00804229"/>
    <w:rsid w:val="008063B1"/>
    <w:rsid w:val="008139A0"/>
    <w:rsid w:val="008150EC"/>
    <w:rsid w:val="00816557"/>
    <w:rsid w:val="008205A7"/>
    <w:rsid w:val="008267EB"/>
    <w:rsid w:val="00827051"/>
    <w:rsid w:val="00827178"/>
    <w:rsid w:val="008330A2"/>
    <w:rsid w:val="00833158"/>
    <w:rsid w:val="00833163"/>
    <w:rsid w:val="00837E06"/>
    <w:rsid w:val="0084045C"/>
    <w:rsid w:val="008411E9"/>
    <w:rsid w:val="00844C57"/>
    <w:rsid w:val="00846365"/>
    <w:rsid w:val="00846586"/>
    <w:rsid w:val="0084684F"/>
    <w:rsid w:val="008519C9"/>
    <w:rsid w:val="00856183"/>
    <w:rsid w:val="00857158"/>
    <w:rsid w:val="00862E49"/>
    <w:rsid w:val="00872701"/>
    <w:rsid w:val="00873800"/>
    <w:rsid w:val="0087506B"/>
    <w:rsid w:val="00876297"/>
    <w:rsid w:val="008763F3"/>
    <w:rsid w:val="008866B7"/>
    <w:rsid w:val="008916A9"/>
    <w:rsid w:val="00892127"/>
    <w:rsid w:val="008942B3"/>
    <w:rsid w:val="008977E7"/>
    <w:rsid w:val="008A498B"/>
    <w:rsid w:val="008A7EBD"/>
    <w:rsid w:val="008B1581"/>
    <w:rsid w:val="008B5743"/>
    <w:rsid w:val="008B5CC5"/>
    <w:rsid w:val="008D4E33"/>
    <w:rsid w:val="008E10CC"/>
    <w:rsid w:val="008E3356"/>
    <w:rsid w:val="008E3F0A"/>
    <w:rsid w:val="008E4AB6"/>
    <w:rsid w:val="008E60E9"/>
    <w:rsid w:val="008E6695"/>
    <w:rsid w:val="008F440E"/>
    <w:rsid w:val="008F7092"/>
    <w:rsid w:val="00901DED"/>
    <w:rsid w:val="009064EA"/>
    <w:rsid w:val="00911672"/>
    <w:rsid w:val="00911DE6"/>
    <w:rsid w:val="009120A2"/>
    <w:rsid w:val="00913621"/>
    <w:rsid w:val="00922089"/>
    <w:rsid w:val="009260D7"/>
    <w:rsid w:val="00932151"/>
    <w:rsid w:val="009355BB"/>
    <w:rsid w:val="009417BD"/>
    <w:rsid w:val="00943587"/>
    <w:rsid w:val="00943FDE"/>
    <w:rsid w:val="0094552C"/>
    <w:rsid w:val="00950329"/>
    <w:rsid w:val="009601C4"/>
    <w:rsid w:val="00965411"/>
    <w:rsid w:val="009661D1"/>
    <w:rsid w:val="009669EB"/>
    <w:rsid w:val="0097086F"/>
    <w:rsid w:val="00971890"/>
    <w:rsid w:val="00972741"/>
    <w:rsid w:val="00984307"/>
    <w:rsid w:val="00992EA0"/>
    <w:rsid w:val="009A403D"/>
    <w:rsid w:val="009A56D1"/>
    <w:rsid w:val="009A7560"/>
    <w:rsid w:val="009A7AB0"/>
    <w:rsid w:val="009B0A75"/>
    <w:rsid w:val="009B1CC3"/>
    <w:rsid w:val="009B2AD7"/>
    <w:rsid w:val="009B3B3C"/>
    <w:rsid w:val="009B536A"/>
    <w:rsid w:val="009C5234"/>
    <w:rsid w:val="009D4B55"/>
    <w:rsid w:val="009D7099"/>
    <w:rsid w:val="009E55EF"/>
    <w:rsid w:val="009F11CD"/>
    <w:rsid w:val="009F44AA"/>
    <w:rsid w:val="009F7C33"/>
    <w:rsid w:val="00A03CCE"/>
    <w:rsid w:val="00A057D2"/>
    <w:rsid w:val="00A061AA"/>
    <w:rsid w:val="00A074B3"/>
    <w:rsid w:val="00A11F67"/>
    <w:rsid w:val="00A12511"/>
    <w:rsid w:val="00A155D6"/>
    <w:rsid w:val="00A172E5"/>
    <w:rsid w:val="00A17375"/>
    <w:rsid w:val="00A22518"/>
    <w:rsid w:val="00A25F1C"/>
    <w:rsid w:val="00A43523"/>
    <w:rsid w:val="00A46C15"/>
    <w:rsid w:val="00A53540"/>
    <w:rsid w:val="00A53E00"/>
    <w:rsid w:val="00A53F69"/>
    <w:rsid w:val="00A54534"/>
    <w:rsid w:val="00A575A5"/>
    <w:rsid w:val="00A5784E"/>
    <w:rsid w:val="00A60C33"/>
    <w:rsid w:val="00A61D38"/>
    <w:rsid w:val="00A666A6"/>
    <w:rsid w:val="00A66B55"/>
    <w:rsid w:val="00A70D0A"/>
    <w:rsid w:val="00A72DFC"/>
    <w:rsid w:val="00A76694"/>
    <w:rsid w:val="00A77026"/>
    <w:rsid w:val="00A847EE"/>
    <w:rsid w:val="00A85D59"/>
    <w:rsid w:val="00A95ACB"/>
    <w:rsid w:val="00A95C72"/>
    <w:rsid w:val="00A97156"/>
    <w:rsid w:val="00AA5165"/>
    <w:rsid w:val="00AA57B2"/>
    <w:rsid w:val="00AB0D69"/>
    <w:rsid w:val="00AB5F8C"/>
    <w:rsid w:val="00AB6D2D"/>
    <w:rsid w:val="00AB76A2"/>
    <w:rsid w:val="00AB789F"/>
    <w:rsid w:val="00AC1277"/>
    <w:rsid w:val="00AC2064"/>
    <w:rsid w:val="00AC6E10"/>
    <w:rsid w:val="00AC7142"/>
    <w:rsid w:val="00AD2C3B"/>
    <w:rsid w:val="00AD4313"/>
    <w:rsid w:val="00AE32D3"/>
    <w:rsid w:val="00AE47FE"/>
    <w:rsid w:val="00AF1FC3"/>
    <w:rsid w:val="00AF27BF"/>
    <w:rsid w:val="00AF4C5A"/>
    <w:rsid w:val="00AF6D9D"/>
    <w:rsid w:val="00B01594"/>
    <w:rsid w:val="00B033E4"/>
    <w:rsid w:val="00B047AB"/>
    <w:rsid w:val="00B06949"/>
    <w:rsid w:val="00B07493"/>
    <w:rsid w:val="00B12FAC"/>
    <w:rsid w:val="00B13C21"/>
    <w:rsid w:val="00B15845"/>
    <w:rsid w:val="00B2327E"/>
    <w:rsid w:val="00B27D54"/>
    <w:rsid w:val="00B31A40"/>
    <w:rsid w:val="00B338AA"/>
    <w:rsid w:val="00B36D3E"/>
    <w:rsid w:val="00B370C8"/>
    <w:rsid w:val="00B40D27"/>
    <w:rsid w:val="00B52B96"/>
    <w:rsid w:val="00B6457F"/>
    <w:rsid w:val="00B6502E"/>
    <w:rsid w:val="00B75858"/>
    <w:rsid w:val="00B75A04"/>
    <w:rsid w:val="00B76C6B"/>
    <w:rsid w:val="00B76F3E"/>
    <w:rsid w:val="00B824CD"/>
    <w:rsid w:val="00B84267"/>
    <w:rsid w:val="00B85181"/>
    <w:rsid w:val="00B91D15"/>
    <w:rsid w:val="00BA51FB"/>
    <w:rsid w:val="00BA6761"/>
    <w:rsid w:val="00BB762C"/>
    <w:rsid w:val="00BC63D3"/>
    <w:rsid w:val="00BC7136"/>
    <w:rsid w:val="00BD30FB"/>
    <w:rsid w:val="00BD3BAE"/>
    <w:rsid w:val="00BD531B"/>
    <w:rsid w:val="00BE4C82"/>
    <w:rsid w:val="00BE502D"/>
    <w:rsid w:val="00BE6BE9"/>
    <w:rsid w:val="00BF1070"/>
    <w:rsid w:val="00BF31DF"/>
    <w:rsid w:val="00BF6385"/>
    <w:rsid w:val="00BF7359"/>
    <w:rsid w:val="00BF7EF2"/>
    <w:rsid w:val="00C00220"/>
    <w:rsid w:val="00C128B4"/>
    <w:rsid w:val="00C12942"/>
    <w:rsid w:val="00C1694E"/>
    <w:rsid w:val="00C1797D"/>
    <w:rsid w:val="00C2422B"/>
    <w:rsid w:val="00C335A8"/>
    <w:rsid w:val="00C3450D"/>
    <w:rsid w:val="00C355F6"/>
    <w:rsid w:val="00C420C0"/>
    <w:rsid w:val="00C435A4"/>
    <w:rsid w:val="00C44911"/>
    <w:rsid w:val="00C47A4C"/>
    <w:rsid w:val="00C5355E"/>
    <w:rsid w:val="00C54DE9"/>
    <w:rsid w:val="00C551D9"/>
    <w:rsid w:val="00C70EE3"/>
    <w:rsid w:val="00C80021"/>
    <w:rsid w:val="00C80928"/>
    <w:rsid w:val="00C817A9"/>
    <w:rsid w:val="00C81E7D"/>
    <w:rsid w:val="00C827F8"/>
    <w:rsid w:val="00C90303"/>
    <w:rsid w:val="00C9181D"/>
    <w:rsid w:val="00C91EE7"/>
    <w:rsid w:val="00C9748A"/>
    <w:rsid w:val="00CA2E8B"/>
    <w:rsid w:val="00CA53DF"/>
    <w:rsid w:val="00CA55B5"/>
    <w:rsid w:val="00CB19F2"/>
    <w:rsid w:val="00CB4F24"/>
    <w:rsid w:val="00CC158D"/>
    <w:rsid w:val="00CD0A32"/>
    <w:rsid w:val="00CD2392"/>
    <w:rsid w:val="00CD3777"/>
    <w:rsid w:val="00CD4384"/>
    <w:rsid w:val="00CD5558"/>
    <w:rsid w:val="00CD5764"/>
    <w:rsid w:val="00CE0C99"/>
    <w:rsid w:val="00CE506A"/>
    <w:rsid w:val="00CE5B0F"/>
    <w:rsid w:val="00CF0B5A"/>
    <w:rsid w:val="00CF22F2"/>
    <w:rsid w:val="00D04205"/>
    <w:rsid w:val="00D10534"/>
    <w:rsid w:val="00D11C00"/>
    <w:rsid w:val="00D132C5"/>
    <w:rsid w:val="00D1612F"/>
    <w:rsid w:val="00D16C48"/>
    <w:rsid w:val="00D2004B"/>
    <w:rsid w:val="00D30B19"/>
    <w:rsid w:val="00D46926"/>
    <w:rsid w:val="00D47125"/>
    <w:rsid w:val="00D47CEA"/>
    <w:rsid w:val="00D5117B"/>
    <w:rsid w:val="00D54B23"/>
    <w:rsid w:val="00D5506F"/>
    <w:rsid w:val="00D55DDC"/>
    <w:rsid w:val="00D57CF9"/>
    <w:rsid w:val="00D67C8B"/>
    <w:rsid w:val="00D7263B"/>
    <w:rsid w:val="00D7742F"/>
    <w:rsid w:val="00D81535"/>
    <w:rsid w:val="00D81BAD"/>
    <w:rsid w:val="00D83347"/>
    <w:rsid w:val="00D848D2"/>
    <w:rsid w:val="00D850B3"/>
    <w:rsid w:val="00D90AD6"/>
    <w:rsid w:val="00D91837"/>
    <w:rsid w:val="00D923C9"/>
    <w:rsid w:val="00D959C4"/>
    <w:rsid w:val="00D976CE"/>
    <w:rsid w:val="00DA3A6F"/>
    <w:rsid w:val="00DA66A6"/>
    <w:rsid w:val="00DA7ABC"/>
    <w:rsid w:val="00DB00D8"/>
    <w:rsid w:val="00DB2916"/>
    <w:rsid w:val="00DB4AB2"/>
    <w:rsid w:val="00DB5997"/>
    <w:rsid w:val="00DB5D12"/>
    <w:rsid w:val="00DC0138"/>
    <w:rsid w:val="00DC2398"/>
    <w:rsid w:val="00DC27BB"/>
    <w:rsid w:val="00DC369E"/>
    <w:rsid w:val="00DC4E45"/>
    <w:rsid w:val="00DC53A1"/>
    <w:rsid w:val="00DC5587"/>
    <w:rsid w:val="00DC6C9D"/>
    <w:rsid w:val="00DD655B"/>
    <w:rsid w:val="00DE25F6"/>
    <w:rsid w:val="00DF03F4"/>
    <w:rsid w:val="00DF3093"/>
    <w:rsid w:val="00E047E8"/>
    <w:rsid w:val="00E07502"/>
    <w:rsid w:val="00E152BC"/>
    <w:rsid w:val="00E16920"/>
    <w:rsid w:val="00E212A9"/>
    <w:rsid w:val="00E22A82"/>
    <w:rsid w:val="00E23635"/>
    <w:rsid w:val="00E24DB2"/>
    <w:rsid w:val="00E303A9"/>
    <w:rsid w:val="00E31F25"/>
    <w:rsid w:val="00E33D48"/>
    <w:rsid w:val="00E33E45"/>
    <w:rsid w:val="00E340ED"/>
    <w:rsid w:val="00E43221"/>
    <w:rsid w:val="00E446BC"/>
    <w:rsid w:val="00E52934"/>
    <w:rsid w:val="00E56CBB"/>
    <w:rsid w:val="00E63987"/>
    <w:rsid w:val="00E66141"/>
    <w:rsid w:val="00E66187"/>
    <w:rsid w:val="00E6781B"/>
    <w:rsid w:val="00E74BC5"/>
    <w:rsid w:val="00E80071"/>
    <w:rsid w:val="00E80746"/>
    <w:rsid w:val="00E81F9F"/>
    <w:rsid w:val="00E842FA"/>
    <w:rsid w:val="00E85061"/>
    <w:rsid w:val="00E86EAC"/>
    <w:rsid w:val="00E87F00"/>
    <w:rsid w:val="00E87F48"/>
    <w:rsid w:val="00E94DE5"/>
    <w:rsid w:val="00E969DD"/>
    <w:rsid w:val="00EA2877"/>
    <w:rsid w:val="00EA358C"/>
    <w:rsid w:val="00EA3C82"/>
    <w:rsid w:val="00EA4ADF"/>
    <w:rsid w:val="00EA52DF"/>
    <w:rsid w:val="00EA5780"/>
    <w:rsid w:val="00EB1FD0"/>
    <w:rsid w:val="00EB2689"/>
    <w:rsid w:val="00EB6332"/>
    <w:rsid w:val="00EC0201"/>
    <w:rsid w:val="00EC1A15"/>
    <w:rsid w:val="00EC3E2B"/>
    <w:rsid w:val="00EC66CE"/>
    <w:rsid w:val="00EC6BAE"/>
    <w:rsid w:val="00ED0233"/>
    <w:rsid w:val="00ED259E"/>
    <w:rsid w:val="00ED5274"/>
    <w:rsid w:val="00EE0F91"/>
    <w:rsid w:val="00EE3C67"/>
    <w:rsid w:val="00EE3C84"/>
    <w:rsid w:val="00EE3DBA"/>
    <w:rsid w:val="00EF1052"/>
    <w:rsid w:val="00EF35D1"/>
    <w:rsid w:val="00EF4FC0"/>
    <w:rsid w:val="00EF5C15"/>
    <w:rsid w:val="00EF5D0B"/>
    <w:rsid w:val="00F014AC"/>
    <w:rsid w:val="00F0459E"/>
    <w:rsid w:val="00F04643"/>
    <w:rsid w:val="00F04909"/>
    <w:rsid w:val="00F049A0"/>
    <w:rsid w:val="00F1533A"/>
    <w:rsid w:val="00F21749"/>
    <w:rsid w:val="00F222D8"/>
    <w:rsid w:val="00F246B0"/>
    <w:rsid w:val="00F26D17"/>
    <w:rsid w:val="00F336DE"/>
    <w:rsid w:val="00F37A92"/>
    <w:rsid w:val="00F41EEA"/>
    <w:rsid w:val="00F501E1"/>
    <w:rsid w:val="00F53E9E"/>
    <w:rsid w:val="00F55218"/>
    <w:rsid w:val="00F55259"/>
    <w:rsid w:val="00F55D9F"/>
    <w:rsid w:val="00F60A06"/>
    <w:rsid w:val="00F6171C"/>
    <w:rsid w:val="00F65242"/>
    <w:rsid w:val="00F72630"/>
    <w:rsid w:val="00F75188"/>
    <w:rsid w:val="00F82826"/>
    <w:rsid w:val="00F82B41"/>
    <w:rsid w:val="00F84B8A"/>
    <w:rsid w:val="00F85D1C"/>
    <w:rsid w:val="00F87A0D"/>
    <w:rsid w:val="00F900E6"/>
    <w:rsid w:val="00F91904"/>
    <w:rsid w:val="00F91C23"/>
    <w:rsid w:val="00F92441"/>
    <w:rsid w:val="00FA19B0"/>
    <w:rsid w:val="00FA3934"/>
    <w:rsid w:val="00FA6960"/>
    <w:rsid w:val="00FB16D1"/>
    <w:rsid w:val="00FB74A2"/>
    <w:rsid w:val="00FB77CE"/>
    <w:rsid w:val="00FC16BE"/>
    <w:rsid w:val="00FC19FB"/>
    <w:rsid w:val="00FC2458"/>
    <w:rsid w:val="00FC622F"/>
    <w:rsid w:val="00FD0E69"/>
    <w:rsid w:val="00FD3A56"/>
    <w:rsid w:val="00FD5DCC"/>
    <w:rsid w:val="00FE09BD"/>
    <w:rsid w:val="00FE5A7F"/>
    <w:rsid w:val="00FE75BC"/>
    <w:rsid w:val="00FF1B33"/>
    <w:rsid w:val="00FF6E08"/>
    <w:rsid w:val="00FF7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1CCF"/>
    <w:pPr>
      <w:ind w:left="720"/>
      <w:contextualSpacing/>
    </w:p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Footnote Text1,f"/>
    <w:basedOn w:val="Normal"/>
    <w:link w:val="FootnoteTextChar"/>
    <w:uiPriority w:val="99"/>
    <w:qFormat/>
    <w:rsid w:val="00461CCF"/>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461CCF"/>
    <w:rPr>
      <w:rFonts w:ascii="Times New Roman" w:eastAsia="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uiPriority w:val="99"/>
    <w:rsid w:val="00461CCF"/>
    <w:rPr>
      <w:vertAlign w:val="superscript"/>
    </w:rPr>
  </w:style>
  <w:style w:type="paragraph" w:styleId="BalloonText">
    <w:name w:val="Balloon Text"/>
    <w:basedOn w:val="Normal"/>
    <w:link w:val="BalloonTextChar"/>
    <w:uiPriority w:val="99"/>
    <w:semiHidden/>
    <w:unhideWhenUsed/>
    <w:rsid w:val="0046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CF"/>
    <w:rPr>
      <w:rFonts w:ascii="Tahoma" w:eastAsia="Calibri" w:hAnsi="Tahoma" w:cs="Tahoma"/>
      <w:sz w:val="16"/>
      <w:szCs w:val="16"/>
    </w:rPr>
  </w:style>
  <w:style w:type="character" w:styleId="CommentReference">
    <w:name w:val="annotation reference"/>
    <w:basedOn w:val="DefaultParagraphFont"/>
    <w:uiPriority w:val="99"/>
    <w:semiHidden/>
    <w:unhideWhenUsed/>
    <w:rsid w:val="00F04643"/>
    <w:rPr>
      <w:sz w:val="16"/>
      <w:szCs w:val="16"/>
    </w:rPr>
  </w:style>
  <w:style w:type="paragraph" w:styleId="CommentText">
    <w:name w:val="annotation text"/>
    <w:basedOn w:val="Normal"/>
    <w:link w:val="CommentTextChar"/>
    <w:uiPriority w:val="99"/>
    <w:semiHidden/>
    <w:unhideWhenUsed/>
    <w:rsid w:val="00F04643"/>
    <w:pPr>
      <w:spacing w:line="240" w:lineRule="auto"/>
    </w:pPr>
    <w:rPr>
      <w:sz w:val="20"/>
      <w:szCs w:val="20"/>
    </w:rPr>
  </w:style>
  <w:style w:type="character" w:customStyle="1" w:styleId="CommentTextChar">
    <w:name w:val="Comment Text Char"/>
    <w:basedOn w:val="DefaultParagraphFont"/>
    <w:link w:val="CommentText"/>
    <w:uiPriority w:val="99"/>
    <w:semiHidden/>
    <w:rsid w:val="00F046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4643"/>
    <w:rPr>
      <w:b/>
      <w:bCs/>
    </w:rPr>
  </w:style>
  <w:style w:type="character" w:customStyle="1" w:styleId="CommentSubjectChar">
    <w:name w:val="Comment Subject Char"/>
    <w:basedOn w:val="CommentTextChar"/>
    <w:link w:val="CommentSubject"/>
    <w:uiPriority w:val="99"/>
    <w:semiHidden/>
    <w:rsid w:val="00F04643"/>
    <w:rPr>
      <w:rFonts w:ascii="Calibri" w:eastAsia="Calibri" w:hAnsi="Calibri" w:cs="Times New Roman"/>
      <w:b/>
      <w:bCs/>
      <w:sz w:val="20"/>
      <w:szCs w:val="20"/>
    </w:rPr>
  </w:style>
  <w:style w:type="character" w:customStyle="1" w:styleId="ListParagraphChar">
    <w:name w:val="List Paragraph Char"/>
    <w:link w:val="ListParagraph"/>
    <w:uiPriority w:val="99"/>
    <w:locked/>
    <w:rsid w:val="00207989"/>
    <w:rPr>
      <w:rFonts w:ascii="Calibri" w:eastAsia="Calibri" w:hAnsi="Calibri" w:cs="Times New Roman"/>
    </w:rPr>
  </w:style>
  <w:style w:type="character" w:customStyle="1" w:styleId="AERtextitalic">
    <w:name w:val="AER text italic"/>
    <w:qFormat/>
    <w:rsid w:val="00432C1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1CCF"/>
    <w:pPr>
      <w:ind w:left="720"/>
      <w:contextualSpacing/>
    </w:p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Footnote Text1,f"/>
    <w:basedOn w:val="Normal"/>
    <w:link w:val="FootnoteTextChar"/>
    <w:uiPriority w:val="99"/>
    <w:qFormat/>
    <w:rsid w:val="00461CCF"/>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461CCF"/>
    <w:rPr>
      <w:rFonts w:ascii="Times New Roman" w:eastAsia="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uiPriority w:val="99"/>
    <w:rsid w:val="00461CCF"/>
    <w:rPr>
      <w:vertAlign w:val="superscript"/>
    </w:rPr>
  </w:style>
  <w:style w:type="paragraph" w:styleId="BalloonText">
    <w:name w:val="Balloon Text"/>
    <w:basedOn w:val="Normal"/>
    <w:link w:val="BalloonTextChar"/>
    <w:uiPriority w:val="99"/>
    <w:semiHidden/>
    <w:unhideWhenUsed/>
    <w:rsid w:val="0046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CF"/>
    <w:rPr>
      <w:rFonts w:ascii="Tahoma" w:eastAsia="Calibri" w:hAnsi="Tahoma" w:cs="Tahoma"/>
      <w:sz w:val="16"/>
      <w:szCs w:val="16"/>
    </w:rPr>
  </w:style>
  <w:style w:type="character" w:styleId="CommentReference">
    <w:name w:val="annotation reference"/>
    <w:basedOn w:val="DefaultParagraphFont"/>
    <w:uiPriority w:val="99"/>
    <w:semiHidden/>
    <w:unhideWhenUsed/>
    <w:rsid w:val="00F04643"/>
    <w:rPr>
      <w:sz w:val="16"/>
      <w:szCs w:val="16"/>
    </w:rPr>
  </w:style>
  <w:style w:type="paragraph" w:styleId="CommentText">
    <w:name w:val="annotation text"/>
    <w:basedOn w:val="Normal"/>
    <w:link w:val="CommentTextChar"/>
    <w:uiPriority w:val="99"/>
    <w:semiHidden/>
    <w:unhideWhenUsed/>
    <w:rsid w:val="00F04643"/>
    <w:pPr>
      <w:spacing w:line="240" w:lineRule="auto"/>
    </w:pPr>
    <w:rPr>
      <w:sz w:val="20"/>
      <w:szCs w:val="20"/>
    </w:rPr>
  </w:style>
  <w:style w:type="character" w:customStyle="1" w:styleId="CommentTextChar">
    <w:name w:val="Comment Text Char"/>
    <w:basedOn w:val="DefaultParagraphFont"/>
    <w:link w:val="CommentText"/>
    <w:uiPriority w:val="99"/>
    <w:semiHidden/>
    <w:rsid w:val="00F046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4643"/>
    <w:rPr>
      <w:b/>
      <w:bCs/>
    </w:rPr>
  </w:style>
  <w:style w:type="character" w:customStyle="1" w:styleId="CommentSubjectChar">
    <w:name w:val="Comment Subject Char"/>
    <w:basedOn w:val="CommentTextChar"/>
    <w:link w:val="CommentSubject"/>
    <w:uiPriority w:val="99"/>
    <w:semiHidden/>
    <w:rsid w:val="00F04643"/>
    <w:rPr>
      <w:rFonts w:ascii="Calibri" w:eastAsia="Calibri" w:hAnsi="Calibri" w:cs="Times New Roman"/>
      <w:b/>
      <w:bCs/>
      <w:sz w:val="20"/>
      <w:szCs w:val="20"/>
    </w:rPr>
  </w:style>
  <w:style w:type="character" w:customStyle="1" w:styleId="ListParagraphChar">
    <w:name w:val="List Paragraph Char"/>
    <w:link w:val="ListParagraph"/>
    <w:uiPriority w:val="99"/>
    <w:locked/>
    <w:rsid w:val="00207989"/>
    <w:rPr>
      <w:rFonts w:ascii="Calibri" w:eastAsia="Calibri" w:hAnsi="Calibri" w:cs="Times New Roman"/>
    </w:rPr>
  </w:style>
  <w:style w:type="character" w:customStyle="1" w:styleId="AERtextitalic">
    <w:name w:val="AER text italic"/>
    <w:qFormat/>
    <w:rsid w:val="00432C1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63CE-8FCD-4832-88A8-6B23F200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Bucki</dc:creator>
  <cp:lastModifiedBy>Copeland, Tracey</cp:lastModifiedBy>
  <cp:revision>30</cp:revision>
  <cp:lastPrinted>2012-10-31T23:09:00Z</cp:lastPrinted>
  <dcterms:created xsi:type="dcterms:W3CDTF">2012-11-05T04:07:00Z</dcterms:created>
  <dcterms:modified xsi:type="dcterms:W3CDTF">2012-11-09T02:00:00Z</dcterms:modified>
</cp:coreProperties>
</file>