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E53930C" w14:textId="77777777" w:rsidR="00D00A30" w:rsidRDefault="009F2CDD">
      <w:pPr>
        <w:spacing w:before="0" w:line="240" w:lineRule="auto"/>
        <w:ind w:left="0"/>
        <w:sectPr w:rsidR="00D00A30" w:rsidSect="00E169B4">
          <w:headerReference w:type="even" r:id="rId12"/>
          <w:footerReference w:type="even" r:id="rId13"/>
          <w:footerReference w:type="default" r:id="rId14"/>
          <w:headerReference w:type="first" r:id="rId15"/>
          <w:type w:val="continuous"/>
          <w:pgSz w:w="11906" w:h="16838" w:code="9"/>
          <w:pgMar w:top="2552" w:right="1418" w:bottom="567" w:left="1418" w:header="709" w:footer="709" w:gutter="0"/>
          <w:pgBorders w:offsetFrom="page">
            <w:top w:val="single" w:sz="26" w:space="9" w:color="000000" w:shadow="1" w:frame="1"/>
            <w:left w:val="none" w:sz="0" w:space="20" w:color="DA0600" w:shadow="1"/>
            <w:bottom w:val="none" w:sz="0" w:space="6" w:color="183200" w:shadow="1"/>
            <w:right w:val="none" w:sz="22" w:space="21" w:color="000004" w:shadow="1"/>
          </w:pgBorders>
          <w:cols w:space="708"/>
          <w:docGrid w:linePitch="360"/>
        </w:sectPr>
      </w:pPr>
      <w:r>
        <w:rPr>
          <w:noProof/>
        </w:rPr>
        <w:drawing>
          <wp:anchor distT="0" distB="0" distL="114300" distR="114300" simplePos="0" relativeHeight="251658752" behindDoc="1" locked="0" layoutInCell="1" allowOverlap="1" wp14:anchorId="6932A54D" wp14:editId="56FC7B53">
            <wp:simplePos x="0" y="0"/>
            <wp:positionH relativeFrom="page">
              <wp:align>left</wp:align>
            </wp:positionH>
            <wp:positionV relativeFrom="page">
              <wp:align>top</wp:align>
            </wp:positionV>
            <wp:extent cx="7646670" cy="10811510"/>
            <wp:effectExtent l="0" t="0" r="0" b="0"/>
            <wp:wrapNone/>
            <wp:docPr id="24" name="Picture 24" descr="EGX Report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GX Report Cove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646670" cy="108115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0" distR="0" simplePos="0" relativeHeight="251657728" behindDoc="0" locked="0" layoutInCell="0" allowOverlap="1" wp14:anchorId="2F13FEC3" wp14:editId="2D214FFD">
                <wp:simplePos x="0" y="0"/>
                <wp:positionH relativeFrom="page">
                  <wp:posOffset>548005</wp:posOffset>
                </wp:positionH>
                <wp:positionV relativeFrom="page">
                  <wp:posOffset>2773045</wp:posOffset>
                </wp:positionV>
                <wp:extent cx="3239770" cy="720090"/>
                <wp:effectExtent l="0" t="1270" r="3175" b="2540"/>
                <wp:wrapNone/>
                <wp:docPr id="5"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9770"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78EDF" w14:textId="77777777" w:rsidR="00E169B4" w:rsidRPr="009D1BF6" w:rsidRDefault="00E169B4" w:rsidP="003A02ED">
                            <w:pPr>
                              <w:pStyle w:val="ReportSubtitle"/>
                              <w:rPr>
                                <w:rStyle w:val="BlueSubheaderChar"/>
                                <w:color w:val="FFFFFF"/>
                              </w:rPr>
                            </w:pPr>
                            <w:r w:rsidRPr="009D1BF6">
                              <w:rPr>
                                <w:rStyle w:val="BlueSubheaderChar"/>
                                <w:color w:val="FFFFFF"/>
                              </w:rPr>
                              <w:t>Energex Limited</w:t>
                            </w:r>
                            <w:r w:rsidRPr="009D1BF6">
                              <w:rPr>
                                <w:rStyle w:val="BlueSubheaderChar"/>
                                <w:color w:val="FFFFFF"/>
                              </w:rPr>
                              <w:br/>
                            </w:r>
                            <w:r>
                              <w:rPr>
                                <w:rStyle w:val="BlueSubheaderChar"/>
                                <w:b w:val="0"/>
                                <w:color w:val="FFFFFF"/>
                              </w:rPr>
                              <w:t>31</w:t>
                            </w:r>
                            <w:r w:rsidRPr="00B745C1">
                              <w:rPr>
                                <w:rStyle w:val="BlueSubheaderChar"/>
                                <w:b w:val="0"/>
                                <w:color w:val="FFFFFF"/>
                              </w:rPr>
                              <w:t xml:space="preserve"> January 201</w:t>
                            </w:r>
                            <w:r>
                              <w:rPr>
                                <w:rStyle w:val="BlueSubheaderChar"/>
                                <w:b w:val="0"/>
                                <w:color w:val="FFFFFF"/>
                              </w:rPr>
                              <w:t>9</w:t>
                            </w:r>
                            <w:r w:rsidRPr="009D1BF6">
                              <w:rPr>
                                <w:rStyle w:val="BlueSubheaderChar"/>
                                <w:color w:val="FFFFFF"/>
                              </w:rPr>
                              <w:t xml:space="preserve"> </w:t>
                            </w:r>
                            <w:r w:rsidRPr="009D1BF6">
                              <w:rPr>
                                <w:rStyle w:val="BlueSubheaderChar"/>
                                <w:color w:val="FFFFFF"/>
                              </w:rPr>
                              <w:br/>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 o:spid="_x0000_s1026" type="#_x0000_t202" style="position:absolute;margin-left:43.15pt;margin-top:218.35pt;width:255.1pt;height:56.7pt;z-index:2516577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" o:allowincell="f" filled="f" stroked="f">
                <v:textbox inset="0,0,0,0">
                  <w:txbxContent>
                    <w:p w14:paraId="20378EDF" w14:textId="77777777" w:rsidR="00E169B4" w:rsidRPr="009D1BF6" w:rsidRDefault="00E169B4" w:rsidP="003A02ED">
                      <w:pPr>
                        <w:pStyle w:val="ReportSubtitle"/>
                        <w:rPr>
                          <w:rStyle w:val="BlueSubheaderChar"/>
                          <w:color w:val="FFFFFF"/>
                        </w:rPr>
                      </w:pPr>
                      <w:r w:rsidRPr="009D1BF6">
                        <w:rPr>
                          <w:rStyle w:val="BlueSubheaderChar"/>
                          <w:color w:val="FFFFFF"/>
                        </w:rPr>
                        <w:t>Energex Limited</w:t>
                      </w:r>
                      <w:r w:rsidRPr="009D1BF6">
                        <w:rPr>
                          <w:rStyle w:val="BlueSubheaderChar"/>
                          <w:color w:val="FFFFFF"/>
                        </w:rPr>
                        <w:br/>
                      </w:r>
                      <w:r>
                        <w:rPr>
                          <w:rStyle w:val="BlueSubheaderChar"/>
                          <w:b w:val="0"/>
                          <w:color w:val="FFFFFF"/>
                        </w:rPr>
                        <w:t>31</w:t>
                      </w:r>
                      <w:r w:rsidRPr="00B745C1">
                        <w:rPr>
                          <w:rStyle w:val="BlueSubheaderChar"/>
                          <w:b w:val="0"/>
                          <w:color w:val="FFFFFF"/>
                        </w:rPr>
                        <w:t xml:space="preserve"> January 201</w:t>
                      </w:r>
                      <w:r>
                        <w:rPr>
                          <w:rStyle w:val="BlueSubheaderChar"/>
                          <w:b w:val="0"/>
                          <w:color w:val="FFFFFF"/>
                        </w:rPr>
                        <w:t>9</w:t>
                      </w:r>
                      <w:r w:rsidRPr="009D1BF6">
                        <w:rPr>
                          <w:rStyle w:val="BlueSubheaderChar"/>
                          <w:color w:val="FFFFFF"/>
                        </w:rPr>
                        <w:t xml:space="preserve"> </w:t>
                      </w:r>
                      <w:r w:rsidRPr="009D1BF6">
                        <w:rPr>
                          <w:rStyle w:val="BlueSubheaderChar"/>
                          <w:color w:val="FFFFFF"/>
                        </w:rPr>
                        <w:br/>
                      </w:r>
                    </w:p>
                  </w:txbxContent>
                </v:textbox>
                <w10:wrap anchorx="page" anchory="page"/>
              </v:shape>
            </w:pict>
          </mc:Fallback>
        </mc:AlternateContent>
      </w:r>
      <w:r>
        <w:rPr>
          <w:noProof/>
        </w:rPr>
        <mc:AlternateContent>
          <mc:Choice Requires="wps">
            <w:drawing>
              <wp:anchor distT="0" distB="0" distL="114300" distR="114300" simplePos="0" relativeHeight="251655680" behindDoc="0" locked="0" layoutInCell="0" allowOverlap="1" wp14:anchorId="72066BE2" wp14:editId="7B65A82C">
                <wp:simplePos x="0" y="0"/>
                <wp:positionH relativeFrom="page">
                  <wp:posOffset>548005</wp:posOffset>
                </wp:positionH>
                <wp:positionV relativeFrom="page">
                  <wp:posOffset>485140</wp:posOffset>
                </wp:positionV>
                <wp:extent cx="5420995" cy="1529715"/>
                <wp:effectExtent l="0" t="0" r="3175" b="4445"/>
                <wp:wrapNone/>
                <wp:docPr id="4"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0995" cy="152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55F642" w14:textId="77777777" w:rsidR="00E169B4" w:rsidRPr="00DB6D94" w:rsidRDefault="00E169B4" w:rsidP="003A02ED">
                            <w:pPr>
                              <w:pStyle w:val="ReportTitle"/>
                            </w:pPr>
                            <w:r w:rsidRPr="003A02ED">
                              <w:t>Energex</w:t>
                            </w:r>
                            <w:r>
                              <w:br/>
                              <w:t>Reset RIN Schedule 1 response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margin-left:43.15pt;margin-top:38.2pt;width:426.85pt;height:120.4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" o:allowincell="f" filled="f" stroked="f">
                <v:textbox inset="0,0,0,0">
                  <w:txbxContent>
                    <w:p w14:paraId="1455F642" w14:textId="77777777" w:rsidR="00E169B4" w:rsidRPr="00DB6D94" w:rsidRDefault="00E169B4" w:rsidP="003A02ED">
                      <w:pPr>
                        <w:pStyle w:val="ReportTitle"/>
                      </w:pPr>
                      <w:r w:rsidRPr="003A02ED">
                        <w:t>Energex</w:t>
                      </w:r>
                      <w:r>
                        <w:br/>
                        <w:t>Reset RIN Schedule 1 response</w:t>
                      </w:r>
                    </w:p>
                  </w:txbxContent>
                </v:textbox>
                <w10:wrap anchorx="page" anchory="page"/>
              </v:shape>
            </w:pict>
          </mc:Fallback>
        </mc:AlternateContent>
      </w:r>
      <w:r>
        <w:rPr>
          <w:noProof/>
        </w:rPr>
        <mc:AlternateContent>
          <mc:Choice Requires="wps">
            <w:drawing>
              <wp:anchor distT="0" distB="0" distL="114300" distR="114300" simplePos="0" relativeHeight="251656704" behindDoc="0" locked="0" layoutInCell="0" allowOverlap="1" wp14:anchorId="05F18F8E" wp14:editId="1F1CFFE6">
                <wp:simplePos x="0" y="0"/>
                <wp:positionH relativeFrom="page">
                  <wp:posOffset>548005</wp:posOffset>
                </wp:positionH>
                <wp:positionV relativeFrom="page">
                  <wp:posOffset>2052955</wp:posOffset>
                </wp:positionV>
                <wp:extent cx="3239770" cy="720090"/>
                <wp:effectExtent l="0" t="0" r="3175" b="0"/>
                <wp:wrapNone/>
                <wp:docPr id="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9770"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CE1EE" w14:textId="77777777" w:rsidR="00E169B4" w:rsidRPr="00D937E3" w:rsidRDefault="00E169B4" w:rsidP="003A02ED">
                            <w:pPr>
                              <w:pStyle w:val="ReportSubtitl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28" type="#_x0000_t202" style="position:absolute;margin-left:43.15pt;margin-top:161.65pt;width:255.1pt;height:56.7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" o:allowincell="f" filled="f" stroked="f">
                <v:textbox inset="0,0,0,0">
                  <w:txbxContent>
                    <w:p w14:paraId="467CE1EE" w14:textId="77777777" w:rsidR="00E169B4" w:rsidRPr="00D937E3" w:rsidRDefault="00E169B4" w:rsidP="003A02ED">
                      <w:pPr>
                        <w:pStyle w:val="ReportSubtitle"/>
                      </w:pPr>
                    </w:p>
                  </w:txbxContent>
                </v:textbox>
                <w10:wrap anchorx="page" anchory="page"/>
              </v:shape>
            </w:pict>
          </mc:Fallback>
        </mc:AlternateContent>
      </w:r>
    </w:p>
    <w:p w14:paraId="073CF573" w14:textId="77777777" w:rsidR="00EA5BE0" w:rsidRPr="00EA5BE0" w:rsidRDefault="00EA5BE0" w:rsidP="00EA5BE0">
      <w:pPr>
        <w:pStyle w:val="BlackSubheader"/>
      </w:pPr>
      <w:r w:rsidRPr="00EA5BE0">
        <w:lastRenderedPageBreak/>
        <w:t>Version Control</w:t>
      </w:r>
    </w:p>
    <w:tbl>
      <w:tblPr>
        <w:tblW w:w="5000" w:type="pct"/>
        <w:tblBorders>
          <w:top w:val="single" w:sz="2" w:space="0" w:color="0084C9"/>
          <w:bottom w:val="single" w:sz="2" w:space="0" w:color="0084C9"/>
          <w:insideH w:val="single" w:sz="2" w:space="0" w:color="0084C9"/>
          <w:insideV w:val="single" w:sz="2" w:space="0" w:color="0084C9"/>
        </w:tblBorders>
        <w:tblCellMar>
          <w:left w:w="85" w:type="dxa"/>
          <w:right w:w="85" w:type="dxa"/>
        </w:tblCellMar>
        <w:tblLook w:val="01E0" w:firstRow="1" w:lastRow="1" w:firstColumn="1" w:lastColumn="1" w:noHBand="0" w:noVBand="0"/>
      </w:tblPr>
      <w:tblGrid>
        <w:gridCol w:w="1077"/>
        <w:gridCol w:w="2410"/>
        <w:gridCol w:w="5753"/>
      </w:tblGrid>
      <w:tr w:rsidR="00EA5BE0" w:rsidRPr="00844839" w14:paraId="6C30EA5C" w14:textId="77777777" w:rsidTr="00DE043F">
        <w:trPr>
          <w:cantSplit/>
          <w:trHeight w:val="425"/>
          <w:tblHeader/>
        </w:trPr>
        <w:tc>
          <w:tcPr>
            <w:tcW w:w="583" w:type="pct"/>
            <w:shd w:val="clear" w:color="auto" w:fill="0084C9"/>
            <w:vAlign w:val="center"/>
          </w:tcPr>
          <w:p w14:paraId="48A0F832" w14:textId="77777777" w:rsidR="00EA5BE0" w:rsidRPr="005B2B11" w:rsidRDefault="00EA5BE0" w:rsidP="009E072A">
            <w:pPr>
              <w:pStyle w:val="TableColumnHeader"/>
            </w:pPr>
            <w:r w:rsidRPr="005B2B11">
              <w:t>Version</w:t>
            </w:r>
          </w:p>
        </w:tc>
        <w:tc>
          <w:tcPr>
            <w:tcW w:w="1304" w:type="pct"/>
            <w:shd w:val="clear" w:color="auto" w:fill="0084C9"/>
            <w:vAlign w:val="center"/>
          </w:tcPr>
          <w:p w14:paraId="625E7193" w14:textId="77777777" w:rsidR="00EA5BE0" w:rsidRPr="005B2B11" w:rsidRDefault="00EA5BE0" w:rsidP="009E072A">
            <w:pPr>
              <w:pStyle w:val="TableColumnHeader"/>
            </w:pPr>
            <w:r w:rsidRPr="005B2B11">
              <w:t>Date</w:t>
            </w:r>
          </w:p>
        </w:tc>
        <w:tc>
          <w:tcPr>
            <w:tcW w:w="3113" w:type="pct"/>
            <w:shd w:val="clear" w:color="auto" w:fill="0084C9"/>
            <w:vAlign w:val="center"/>
          </w:tcPr>
          <w:p w14:paraId="5C380551" w14:textId="77777777" w:rsidR="00EA5BE0" w:rsidRPr="005B2B11" w:rsidRDefault="00EA5BE0" w:rsidP="009E072A">
            <w:pPr>
              <w:pStyle w:val="TableColumnHeader"/>
            </w:pPr>
            <w:r w:rsidRPr="005B2B11">
              <w:t>Description</w:t>
            </w:r>
          </w:p>
        </w:tc>
      </w:tr>
      <w:tr w:rsidR="00EA5BE0" w:rsidRPr="00844839" w14:paraId="058BF57B" w14:textId="77777777" w:rsidTr="00DE043F">
        <w:trPr>
          <w:cantSplit/>
          <w:trHeight w:val="425"/>
        </w:trPr>
        <w:tc>
          <w:tcPr>
            <w:tcW w:w="583" w:type="pct"/>
          </w:tcPr>
          <w:p w14:paraId="2B9BC7E1" w14:textId="77777777" w:rsidR="00EA5BE0" w:rsidRPr="002C60EB" w:rsidRDefault="00EA5BE0" w:rsidP="009E072A">
            <w:pPr>
              <w:pStyle w:val="TableCopy"/>
            </w:pPr>
            <w:r>
              <w:t>1.0</w:t>
            </w:r>
          </w:p>
        </w:tc>
        <w:tc>
          <w:tcPr>
            <w:tcW w:w="1304" w:type="pct"/>
          </w:tcPr>
          <w:p w14:paraId="124FD157" w14:textId="77777777" w:rsidR="00EA5BE0" w:rsidRPr="002C60EB" w:rsidRDefault="006D062D" w:rsidP="009E072A">
            <w:pPr>
              <w:pStyle w:val="TableCopy"/>
            </w:pPr>
            <w:r>
              <w:t>31</w:t>
            </w:r>
            <w:r w:rsidR="0009046C">
              <w:t>/01/2019</w:t>
            </w:r>
          </w:p>
        </w:tc>
        <w:tc>
          <w:tcPr>
            <w:tcW w:w="3113" w:type="pct"/>
          </w:tcPr>
          <w:p w14:paraId="1B1EBED7" w14:textId="77777777" w:rsidR="00EA5BE0" w:rsidRPr="002C60EB" w:rsidRDefault="0009046C" w:rsidP="009E072A">
            <w:pPr>
              <w:pStyle w:val="TableCopy"/>
            </w:pPr>
            <w:r>
              <w:t>Public version for submission to the AER</w:t>
            </w:r>
          </w:p>
        </w:tc>
      </w:tr>
    </w:tbl>
    <w:p w14:paraId="65552C13" w14:textId="77777777" w:rsidR="00D100D3" w:rsidRPr="00236528" w:rsidRDefault="00D100D3" w:rsidP="00EA5BE0">
      <w:pPr>
        <w:spacing w:line="300" w:lineRule="exact"/>
        <w:ind w:left="0"/>
        <w:rPr>
          <w:rFonts w:cs="Times New Roman"/>
          <w:szCs w:val="20"/>
        </w:rPr>
      </w:pPr>
    </w:p>
    <w:p w14:paraId="0F88BE2E" w14:textId="77777777" w:rsidR="00D100D3" w:rsidRPr="00236528" w:rsidRDefault="00D100D3" w:rsidP="00D100D3">
      <w:pPr>
        <w:spacing w:line="300" w:lineRule="exact"/>
        <w:rPr>
          <w:szCs w:val="20"/>
        </w:rPr>
      </w:pPr>
    </w:p>
    <w:p w14:paraId="0BF4A60F" w14:textId="77777777" w:rsidR="00D100D3" w:rsidRDefault="00D100D3" w:rsidP="00D100D3">
      <w:pPr>
        <w:spacing w:line="300" w:lineRule="exact"/>
        <w:ind w:left="0" w:right="-2"/>
        <w:rPr>
          <w:b/>
          <w:color w:val="0084C9"/>
          <w:sz w:val="24"/>
        </w:rPr>
      </w:pPr>
    </w:p>
    <w:p w14:paraId="43933B88" w14:textId="77777777" w:rsidR="00D100D3" w:rsidRDefault="00D100D3" w:rsidP="00D100D3">
      <w:pPr>
        <w:spacing w:line="300" w:lineRule="exact"/>
        <w:ind w:left="0" w:right="-2"/>
        <w:rPr>
          <w:b/>
          <w:color w:val="0084C9"/>
          <w:sz w:val="24"/>
        </w:rPr>
      </w:pPr>
    </w:p>
    <w:p w14:paraId="025F9F16" w14:textId="77777777" w:rsidR="00D100D3" w:rsidRDefault="00D100D3" w:rsidP="00D100D3">
      <w:pPr>
        <w:spacing w:line="300" w:lineRule="exact"/>
        <w:ind w:left="0" w:right="-2"/>
        <w:rPr>
          <w:b/>
          <w:color w:val="0084C9"/>
          <w:sz w:val="24"/>
        </w:rPr>
      </w:pPr>
    </w:p>
    <w:p w14:paraId="2966B7D4" w14:textId="77777777" w:rsidR="00D100D3" w:rsidRDefault="00D100D3" w:rsidP="00D100D3">
      <w:pPr>
        <w:spacing w:line="300" w:lineRule="exact"/>
        <w:ind w:left="0" w:right="-2"/>
        <w:rPr>
          <w:b/>
          <w:color w:val="0084C9"/>
          <w:sz w:val="24"/>
        </w:rPr>
      </w:pPr>
    </w:p>
    <w:p w14:paraId="64A719A1" w14:textId="77777777" w:rsidR="00D100D3" w:rsidRDefault="00D100D3" w:rsidP="00D100D3">
      <w:pPr>
        <w:spacing w:line="300" w:lineRule="exact"/>
        <w:ind w:left="0" w:right="-2"/>
        <w:rPr>
          <w:b/>
          <w:color w:val="0084C9"/>
          <w:sz w:val="24"/>
        </w:rPr>
      </w:pPr>
    </w:p>
    <w:p w14:paraId="798F2F9E" w14:textId="77777777" w:rsidR="00D100D3" w:rsidRDefault="00D100D3" w:rsidP="00D100D3">
      <w:pPr>
        <w:spacing w:line="300" w:lineRule="exact"/>
        <w:ind w:left="0" w:right="-2"/>
        <w:rPr>
          <w:b/>
          <w:color w:val="0084C9"/>
          <w:sz w:val="24"/>
        </w:rPr>
      </w:pPr>
    </w:p>
    <w:p w14:paraId="0522C374" w14:textId="77777777" w:rsidR="004D2A43" w:rsidRDefault="004D2A43" w:rsidP="00D100D3">
      <w:pPr>
        <w:spacing w:line="300" w:lineRule="exact"/>
        <w:ind w:left="0" w:right="-2"/>
        <w:rPr>
          <w:b/>
          <w:color w:val="0084C9"/>
          <w:sz w:val="24"/>
        </w:rPr>
      </w:pPr>
    </w:p>
    <w:p w14:paraId="21B0E0C8" w14:textId="77777777" w:rsidR="00CC4786" w:rsidRDefault="00CC4786" w:rsidP="00D100D3">
      <w:pPr>
        <w:spacing w:line="300" w:lineRule="exact"/>
        <w:ind w:left="0" w:right="-2"/>
        <w:rPr>
          <w:b/>
          <w:color w:val="0084C9"/>
          <w:sz w:val="24"/>
        </w:rPr>
      </w:pPr>
    </w:p>
    <w:p w14:paraId="19AC0F82" w14:textId="77777777" w:rsidR="00CC4786" w:rsidRDefault="00CC4786" w:rsidP="00D100D3">
      <w:pPr>
        <w:spacing w:line="300" w:lineRule="exact"/>
        <w:ind w:left="0" w:right="-2"/>
        <w:rPr>
          <w:b/>
          <w:color w:val="0084C9"/>
          <w:sz w:val="24"/>
        </w:rPr>
      </w:pPr>
    </w:p>
    <w:p w14:paraId="78DBA033" w14:textId="77777777" w:rsidR="004D2A43" w:rsidRDefault="004D2A43" w:rsidP="00D100D3">
      <w:pPr>
        <w:spacing w:line="300" w:lineRule="exact"/>
        <w:ind w:left="0" w:right="-2"/>
        <w:rPr>
          <w:b/>
          <w:color w:val="0084C9"/>
          <w:sz w:val="24"/>
        </w:rPr>
      </w:pPr>
    </w:p>
    <w:p w14:paraId="1C9DCAA7" w14:textId="77777777" w:rsidR="003D7ADA" w:rsidRPr="0045743F" w:rsidRDefault="003D7ADA" w:rsidP="003D7ADA">
      <w:pPr>
        <w:pStyle w:val="BlueSubheader"/>
      </w:pPr>
      <w:r w:rsidRPr="0045743F">
        <w:t>Contact details</w:t>
      </w:r>
    </w:p>
    <w:p w14:paraId="6C742189" w14:textId="77777777" w:rsidR="0071250E" w:rsidRDefault="0071250E" w:rsidP="003D7ADA">
      <w:pPr>
        <w:pStyle w:val="BodyCopy"/>
      </w:pPr>
      <w:r>
        <w:t>Energex Limited</w:t>
      </w:r>
      <w:r>
        <w:tab/>
      </w:r>
      <w:r>
        <w:br/>
        <w:t>Karen Stafford</w:t>
      </w:r>
    </w:p>
    <w:p w14:paraId="3E377FCD" w14:textId="77777777" w:rsidR="003D7ADA" w:rsidRPr="00090655" w:rsidRDefault="0071250E" w:rsidP="003D7ADA">
      <w:pPr>
        <w:pStyle w:val="BodyCopy"/>
      </w:pPr>
      <w:r>
        <w:t>General Manager Legal, Regulation and Pricing</w:t>
      </w:r>
      <w:r>
        <w:rPr>
          <w:highlight w:val="yellow"/>
        </w:rPr>
        <w:br/>
      </w:r>
      <w:r w:rsidRPr="0071250E">
        <w:t>Phone: +61 (7) 3851 6793</w:t>
      </w:r>
      <w:r w:rsidRPr="0071250E">
        <w:br/>
        <w:t>Email:</w:t>
      </w:r>
      <w:r w:rsidRPr="0071250E">
        <w:rPr>
          <w:b/>
          <w:bCs/>
        </w:rPr>
        <w:t xml:space="preserve"> </w:t>
      </w:r>
      <w:hyperlink r:id="rId17" w:history="1">
        <w:r w:rsidRPr="0071250E">
          <w:rPr>
            <w:rStyle w:val="Hyperlink"/>
            <w:rFonts w:cs="Arial"/>
          </w:rPr>
          <w:t>karen.stafford@energyq.com.au</w:t>
        </w:r>
      </w:hyperlink>
    </w:p>
    <w:p w14:paraId="722EBF33" w14:textId="77777777" w:rsidR="003D7ADA" w:rsidRDefault="003D7ADA" w:rsidP="003D7ADA">
      <w:pPr>
        <w:pStyle w:val="SmallBodyCopy"/>
      </w:pPr>
    </w:p>
    <w:p w14:paraId="0669FEAB" w14:textId="77777777" w:rsidR="003D7ADA" w:rsidRPr="0045743F" w:rsidRDefault="003D7ADA" w:rsidP="003D7ADA">
      <w:pPr>
        <w:pStyle w:val="SmallBodyCopy"/>
      </w:pPr>
      <w:r w:rsidRPr="0045743F">
        <w:t>GPO Box 1461 Brisbane QLD 4001</w:t>
      </w:r>
      <w:r w:rsidRPr="0045743F">
        <w:br/>
        <w:t>26 Reddacliff Street Newstead QLD 4006</w:t>
      </w:r>
      <w:r w:rsidRPr="0045743F">
        <w:br/>
        <w:t>Telephone 13 12 53</w:t>
      </w:r>
      <w:r w:rsidRPr="0045743F">
        <w:br/>
        <w:t>www.energex.com.au</w:t>
      </w:r>
    </w:p>
    <w:p w14:paraId="2B5B9268" w14:textId="77777777" w:rsidR="003D7ADA" w:rsidRPr="0045743F" w:rsidRDefault="003D7ADA" w:rsidP="003D7ADA">
      <w:pPr>
        <w:pStyle w:val="SmallBodyCopy"/>
      </w:pPr>
      <w:r w:rsidRPr="0045743F">
        <w:t>Energex Limited ABN 40 078 849 055</w:t>
      </w:r>
    </w:p>
    <w:p w14:paraId="730C60AB" w14:textId="77777777" w:rsidR="003D7ADA" w:rsidRPr="0045743F" w:rsidRDefault="003D7ADA" w:rsidP="003D7ADA">
      <w:pPr>
        <w:pStyle w:val="SmallBodyCopy"/>
      </w:pPr>
      <w:r>
        <w:t>© Energex Limited 2015</w:t>
      </w:r>
      <w:r w:rsidRPr="0045743F">
        <w:br/>
        <w:t>® Energex and Energex Positive Energy are registered trademarks of Energex Limited ABN 40 078 849 055</w:t>
      </w:r>
    </w:p>
    <w:p w14:paraId="3CE56580" w14:textId="77777777" w:rsidR="003D7ADA" w:rsidRPr="0045743F" w:rsidRDefault="003D7ADA" w:rsidP="003D7ADA">
      <w:pPr>
        <w:pStyle w:val="SmallBodyCopy"/>
      </w:pPr>
      <w:r w:rsidRPr="0045743F">
        <w:t xml:space="preserve">This work is copyright. Material contained in this document may be reproduced for personal, in-house or </w:t>
      </w:r>
      <w:r w:rsidRPr="0045743F">
        <w:br/>
        <w:t>non-commercial use</w:t>
      </w:r>
      <w:r w:rsidRPr="003D6246">
        <w:rPr>
          <w:rStyle w:val="SmallBodyCopyChar"/>
        </w:rPr>
        <w:t xml:space="preserve">, without formal permission or charge, provided there is due acknowledgement of Energex </w:t>
      </w:r>
      <w:r w:rsidRPr="003D6246">
        <w:rPr>
          <w:rStyle w:val="SmallBodyCopyChar"/>
        </w:rPr>
        <w:br/>
        <w:t>Limited as the source. Requests and enquiries</w:t>
      </w:r>
      <w:r w:rsidRPr="0045743F">
        <w:t xml:space="preserve"> concerning reproduction and rights for a purpose other than personal, </w:t>
      </w:r>
      <w:r w:rsidRPr="0045743F">
        <w:br/>
        <w:t>in-house or non-commercial use, should be addressed to the Group Manager Corporate Communications, Energex, GPO Box 1461 Brisbane QLD 4001.</w:t>
      </w:r>
    </w:p>
    <w:p w14:paraId="4773B033" w14:textId="77777777" w:rsidR="00D100D3" w:rsidRPr="00E43E4A" w:rsidRDefault="00D100D3" w:rsidP="000258D0">
      <w:pPr>
        <w:pStyle w:val="HeaderBlue"/>
      </w:pPr>
      <w:r>
        <w:br w:type="page"/>
      </w:r>
      <w:bookmarkStart w:id="0" w:name="_Toc534635071"/>
      <w:r w:rsidR="000258D0">
        <w:lastRenderedPageBreak/>
        <w:t xml:space="preserve"> </w:t>
      </w:r>
      <w:r w:rsidR="0009046C">
        <w:t>Introduction</w:t>
      </w:r>
      <w:bookmarkEnd w:id="0"/>
    </w:p>
    <w:p w14:paraId="3C3B600E" w14:textId="77777777" w:rsidR="0049382F" w:rsidRDefault="0009046C" w:rsidP="0049382F">
      <w:pPr>
        <w:pStyle w:val="Heading2"/>
        <w:ind w:right="0"/>
      </w:pPr>
      <w:bookmarkStart w:id="1" w:name="_Toc534635072"/>
      <w:r>
        <w:t>Purpose and contents</w:t>
      </w:r>
      <w:bookmarkEnd w:id="1"/>
    </w:p>
    <w:p w14:paraId="4CE0D685" w14:textId="77777777" w:rsidR="0009046C" w:rsidRDefault="0009046C" w:rsidP="0049382F">
      <w:pPr>
        <w:pStyle w:val="BodyCopy"/>
      </w:pPr>
      <w:r>
        <w:t>The purpose of this document is to identify where Energex Limited (Energex) has addressed each requirement of Schedule 1 of t</w:t>
      </w:r>
      <w:r w:rsidR="002950A3">
        <w:t>he</w:t>
      </w:r>
      <w:r>
        <w:t xml:space="preserve"> </w:t>
      </w:r>
      <w:r w:rsidR="005C322A">
        <w:t xml:space="preserve">reset </w:t>
      </w:r>
      <w:r>
        <w:t>Regulatory Information Notice (RIN) issued on 31 October 2018.</w:t>
      </w:r>
    </w:p>
    <w:p w14:paraId="6892998F" w14:textId="77777777" w:rsidR="0009046C" w:rsidRPr="0009046C" w:rsidRDefault="0009046C" w:rsidP="0009046C">
      <w:pPr>
        <w:pStyle w:val="BodyCopy"/>
      </w:pPr>
      <w:r>
        <w:t>Table</w:t>
      </w:r>
      <w:r w:rsidR="00A93FFE">
        <w:t xml:space="preserve"> 1</w:t>
      </w:r>
      <w:r>
        <w:t xml:space="preserve"> in</w:t>
      </w:r>
      <w:r w:rsidR="002950A3">
        <w:t xml:space="preserve"> Section 2 </w:t>
      </w:r>
      <w:r w:rsidR="00A93FFE">
        <w:t xml:space="preserve">of this document </w:t>
      </w:r>
      <w:r w:rsidR="002950A3">
        <w:t>identifies the Schedule 1</w:t>
      </w:r>
      <w:r>
        <w:t xml:space="preserve"> requirement and Energex’s response. The majority of responses are addressed in documents submitted to the Australian Energy Regulator (AER) </w:t>
      </w:r>
      <w:r w:rsidR="00B67E64">
        <w:t xml:space="preserve">in support of </w:t>
      </w:r>
      <w:r>
        <w:t xml:space="preserve">Energex’s </w:t>
      </w:r>
      <w:r w:rsidR="00B67E64">
        <w:t>Regulatory Proposal</w:t>
      </w:r>
      <w:r w:rsidR="002950A3">
        <w:t>. In these cases, the response provided refers to a document or model in our document register. In other cases, Energex</w:t>
      </w:r>
      <w:r w:rsidRPr="0009046C">
        <w:t xml:space="preserve"> </w:t>
      </w:r>
      <w:r w:rsidR="00B67E64">
        <w:t xml:space="preserve">has </w:t>
      </w:r>
      <w:r w:rsidR="002950A3">
        <w:t>directly responded to the relevant Schedule 1</w:t>
      </w:r>
      <w:r w:rsidR="00A93FFE">
        <w:t xml:space="preserve"> requirement</w:t>
      </w:r>
      <w:r w:rsidRPr="0009046C">
        <w:t xml:space="preserve"> in the table without further refer</w:t>
      </w:r>
      <w:r w:rsidR="002950A3">
        <w:t xml:space="preserve">ences. Where the </w:t>
      </w:r>
      <w:r w:rsidR="00A93FFE">
        <w:t>Schedule 1</w:t>
      </w:r>
      <w:r w:rsidR="000056EA">
        <w:t xml:space="preserve"> </w:t>
      </w:r>
      <w:r w:rsidR="00A93FFE">
        <w:t xml:space="preserve">requirement </w:t>
      </w:r>
      <w:r w:rsidRPr="0009046C">
        <w:t xml:space="preserve">does not directly seek a response, </w:t>
      </w:r>
      <w:r w:rsidR="002950A3">
        <w:t xml:space="preserve">the relevant rows </w:t>
      </w:r>
      <w:r w:rsidR="00A93FFE">
        <w:t>have been greyed out in T</w:t>
      </w:r>
      <w:r w:rsidR="002950A3">
        <w:t xml:space="preserve">able </w:t>
      </w:r>
      <w:r w:rsidR="00A93FFE">
        <w:t>1</w:t>
      </w:r>
      <w:r w:rsidR="002950A3">
        <w:t xml:space="preserve">. </w:t>
      </w:r>
    </w:p>
    <w:p w14:paraId="5B19FCB5" w14:textId="77777777" w:rsidR="0009046C" w:rsidRDefault="002F598F" w:rsidP="0009046C">
      <w:pPr>
        <w:pStyle w:val="BodyCopy"/>
      </w:pPr>
      <w:r>
        <w:t>Section 3</w:t>
      </w:r>
      <w:r w:rsidR="0009046C" w:rsidRPr="0009046C">
        <w:t xml:space="preserve"> of this document provides a description of each mate</w:t>
      </w:r>
      <w:r w:rsidR="000056EA">
        <w:t>rial assumption as required by clause</w:t>
      </w:r>
      <w:r w:rsidR="00A93FFE">
        <w:t xml:space="preserve"> </w:t>
      </w:r>
      <w:r w:rsidR="0009046C" w:rsidRPr="0009046C">
        <w:t xml:space="preserve">1.5 of Schedule 1 of the RIN. </w:t>
      </w:r>
    </w:p>
    <w:p w14:paraId="0F008BF7" w14:textId="77777777" w:rsidR="002950A3" w:rsidRDefault="002950A3" w:rsidP="00E43E4A">
      <w:pPr>
        <w:pStyle w:val="Heading1"/>
        <w:sectPr w:rsidR="002950A3" w:rsidSect="00E169B4">
          <w:pgSz w:w="11906" w:h="16838" w:code="9"/>
          <w:pgMar w:top="1418" w:right="1418" w:bottom="567" w:left="1418" w:header="709" w:footer="567" w:gutter="0"/>
          <w:pgBorders w:offsetFrom="page">
            <w:top w:val="single" w:sz="26" w:space="9" w:color="000000" w:shadow="1" w:frame="1"/>
            <w:left w:val="none" w:sz="0" w:space="20" w:color="DA0600" w:shadow="1"/>
            <w:bottom w:val="none" w:sz="0" w:space="6" w:color="183200" w:shadow="1"/>
            <w:right w:val="none" w:sz="22" w:space="21" w:color="000004" w:shadow="1"/>
          </w:pgBorders>
          <w:pgNumType w:start="1"/>
          <w:cols w:space="708"/>
          <w:docGrid w:linePitch="360"/>
        </w:sectPr>
      </w:pPr>
    </w:p>
    <w:p w14:paraId="23063EE6" w14:textId="77777777" w:rsidR="002950A3" w:rsidRDefault="002950A3" w:rsidP="00E43E4A">
      <w:pPr>
        <w:pStyle w:val="Heading1"/>
      </w:pPr>
      <w:bookmarkStart w:id="2" w:name="_Toc534635073"/>
      <w:r>
        <w:t>Table of responses to Schedule 1</w:t>
      </w:r>
      <w:bookmarkEnd w:id="2"/>
    </w:p>
    <w:p w14:paraId="41A7D1ED" w14:textId="77777777" w:rsidR="00A93FFE" w:rsidRDefault="00FF0E28" w:rsidP="00A65B49">
      <w:pPr>
        <w:pStyle w:val="ListLetter"/>
        <w:numPr>
          <w:ilvl w:val="0"/>
          <w:numId w:val="0"/>
        </w:numPr>
        <w:rPr>
          <w:b/>
          <w:sz w:val="24"/>
          <w:szCs w:val="24"/>
        </w:rPr>
      </w:pPr>
      <w:r>
        <w:rPr>
          <w:b/>
          <w:sz w:val="24"/>
          <w:szCs w:val="24"/>
        </w:rPr>
        <w:t>Table 1</w:t>
      </w:r>
      <w:r w:rsidR="00A93FFE">
        <w:rPr>
          <w:b/>
          <w:sz w:val="24"/>
          <w:szCs w:val="24"/>
        </w:rPr>
        <w:t xml:space="preserve">: Response to Schedule 1 requirements </w:t>
      </w:r>
    </w:p>
    <w:tbl>
      <w:tblPr>
        <w:tblW w:w="50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9"/>
        <w:gridCol w:w="4830"/>
        <w:gridCol w:w="8652"/>
      </w:tblGrid>
      <w:tr w:rsidR="009F2CDD" w:rsidRPr="002056FA" w14:paraId="75476137" w14:textId="77777777" w:rsidTr="00E169B4">
        <w:trPr>
          <w:tblHeader/>
        </w:trPr>
        <w:tc>
          <w:tcPr>
            <w:tcW w:w="0" w:type="auto"/>
            <w:tcBorders>
              <w:right w:val="single" w:sz="4" w:space="0" w:color="auto"/>
            </w:tcBorders>
            <w:shd w:val="clear" w:color="auto" w:fill="0070C0"/>
          </w:tcPr>
          <w:p w14:paraId="5E2D38CD" w14:textId="77777777" w:rsidR="009F2CDD" w:rsidRPr="002056FA" w:rsidRDefault="009F2CDD" w:rsidP="00E169B4">
            <w:pPr>
              <w:pStyle w:val="TableColumnHeader"/>
              <w:rPr>
                <w:rFonts w:eastAsia="Calibri"/>
                <w:sz w:val="22"/>
                <w:lang w:eastAsia="en-US"/>
              </w:rPr>
            </w:pPr>
            <w:r w:rsidRPr="002056FA">
              <w:rPr>
                <w:rFonts w:eastAsia="Calibri"/>
                <w:sz w:val="22"/>
                <w:lang w:eastAsia="en-US"/>
              </w:rPr>
              <w:t xml:space="preserve">RIN Reference </w:t>
            </w:r>
          </w:p>
        </w:tc>
        <w:tc>
          <w:tcPr>
            <w:tcW w:w="0" w:type="auto"/>
            <w:tcBorders>
              <w:left w:val="single" w:sz="4" w:space="0" w:color="auto"/>
              <w:right w:val="single" w:sz="4" w:space="0" w:color="auto"/>
            </w:tcBorders>
            <w:shd w:val="clear" w:color="auto" w:fill="0070C0"/>
          </w:tcPr>
          <w:p w14:paraId="07E90A29" w14:textId="77777777" w:rsidR="009F2CDD" w:rsidRPr="002056FA" w:rsidRDefault="009F2CDD" w:rsidP="00E169B4">
            <w:pPr>
              <w:pStyle w:val="TableColumnHeader"/>
              <w:rPr>
                <w:rFonts w:eastAsia="Calibri"/>
                <w:sz w:val="22"/>
                <w:lang w:eastAsia="en-US"/>
              </w:rPr>
            </w:pPr>
            <w:r w:rsidRPr="002056FA">
              <w:rPr>
                <w:rFonts w:eastAsia="Calibri"/>
                <w:sz w:val="22"/>
                <w:lang w:eastAsia="en-US"/>
              </w:rPr>
              <w:t xml:space="preserve">Requirement </w:t>
            </w:r>
          </w:p>
        </w:tc>
        <w:tc>
          <w:tcPr>
            <w:tcW w:w="0" w:type="auto"/>
            <w:tcBorders>
              <w:left w:val="single" w:sz="4" w:space="0" w:color="auto"/>
            </w:tcBorders>
            <w:shd w:val="clear" w:color="auto" w:fill="0070C0"/>
          </w:tcPr>
          <w:p w14:paraId="123779C6" w14:textId="77777777" w:rsidR="009F2CDD" w:rsidRPr="002056FA" w:rsidRDefault="009F2CDD" w:rsidP="00E169B4">
            <w:pPr>
              <w:pStyle w:val="TableColumnHeader"/>
              <w:rPr>
                <w:rFonts w:eastAsia="Calibri"/>
                <w:sz w:val="22"/>
                <w:lang w:eastAsia="en-US"/>
              </w:rPr>
            </w:pPr>
            <w:r w:rsidRPr="002056FA">
              <w:rPr>
                <w:rFonts w:eastAsia="Calibri"/>
                <w:sz w:val="22"/>
                <w:lang w:eastAsia="en-US"/>
              </w:rPr>
              <w:t>Response / Cross reference to material provided by Energex</w:t>
            </w:r>
          </w:p>
        </w:tc>
      </w:tr>
      <w:tr w:rsidR="009F2CDD" w:rsidRPr="002056FA" w14:paraId="6F3C5597" w14:textId="77777777" w:rsidTr="00E169B4">
        <w:tc>
          <w:tcPr>
            <w:tcW w:w="0" w:type="auto"/>
            <w:shd w:val="clear" w:color="auto" w:fill="D9D9D9"/>
          </w:tcPr>
          <w:p w14:paraId="4E697556" w14:textId="77777777" w:rsidR="009F2CDD" w:rsidRPr="002056FA" w:rsidRDefault="009F2CDD" w:rsidP="00E169B4">
            <w:pPr>
              <w:pStyle w:val="TableCopy"/>
              <w:rPr>
                <w:rFonts w:eastAsia="Calibri"/>
                <w:b/>
                <w:lang w:eastAsia="en-US"/>
              </w:rPr>
            </w:pPr>
            <w:r w:rsidRPr="002056FA">
              <w:rPr>
                <w:rFonts w:eastAsia="Calibri"/>
                <w:b/>
                <w:lang w:eastAsia="en-US"/>
              </w:rPr>
              <w:t>1</w:t>
            </w:r>
          </w:p>
        </w:tc>
        <w:tc>
          <w:tcPr>
            <w:tcW w:w="0" w:type="auto"/>
            <w:shd w:val="clear" w:color="auto" w:fill="D9D9D9"/>
          </w:tcPr>
          <w:p w14:paraId="3EC755E9" w14:textId="77777777" w:rsidR="009F2CDD" w:rsidRPr="002056FA" w:rsidRDefault="009F2CDD" w:rsidP="00E169B4">
            <w:pPr>
              <w:pStyle w:val="TableCopy"/>
              <w:rPr>
                <w:rFonts w:eastAsia="Calibri"/>
                <w:b/>
                <w:lang w:eastAsia="en-US"/>
              </w:rPr>
            </w:pPr>
            <w:r w:rsidRPr="002056FA">
              <w:rPr>
                <w:rFonts w:eastAsia="Calibri"/>
                <w:b/>
                <w:lang w:eastAsia="en-US"/>
              </w:rPr>
              <w:t>PROVIDE INFORMATION</w:t>
            </w:r>
          </w:p>
        </w:tc>
        <w:tc>
          <w:tcPr>
            <w:tcW w:w="0" w:type="auto"/>
            <w:shd w:val="clear" w:color="auto" w:fill="D9D9D9"/>
          </w:tcPr>
          <w:p w14:paraId="0037942E" w14:textId="77777777" w:rsidR="009F2CDD" w:rsidRPr="002056FA" w:rsidRDefault="009F2CDD" w:rsidP="00E169B4">
            <w:pPr>
              <w:pStyle w:val="TableCopy"/>
              <w:rPr>
                <w:rFonts w:eastAsia="Calibri"/>
                <w:b/>
                <w:lang w:eastAsia="en-US"/>
              </w:rPr>
            </w:pPr>
          </w:p>
        </w:tc>
      </w:tr>
      <w:tr w:rsidR="009F2CDD" w:rsidRPr="002056FA" w14:paraId="12ABFFAC" w14:textId="77777777" w:rsidTr="00E169B4">
        <w:tc>
          <w:tcPr>
            <w:tcW w:w="0" w:type="auto"/>
            <w:shd w:val="clear" w:color="auto" w:fill="auto"/>
          </w:tcPr>
          <w:p w14:paraId="78AC7A7D" w14:textId="77777777" w:rsidR="009F2CDD" w:rsidRPr="002056FA" w:rsidRDefault="009F2CDD" w:rsidP="00E169B4">
            <w:pPr>
              <w:pStyle w:val="TableCopy"/>
              <w:rPr>
                <w:rFonts w:eastAsia="Calibri"/>
                <w:lang w:eastAsia="en-US"/>
              </w:rPr>
            </w:pPr>
            <w:r w:rsidRPr="002056FA">
              <w:rPr>
                <w:rFonts w:eastAsia="Calibri"/>
                <w:lang w:eastAsia="en-US"/>
              </w:rPr>
              <w:t>1.1</w:t>
            </w:r>
          </w:p>
        </w:tc>
        <w:tc>
          <w:tcPr>
            <w:tcW w:w="0" w:type="auto"/>
            <w:shd w:val="clear" w:color="auto" w:fill="auto"/>
          </w:tcPr>
          <w:p w14:paraId="0BE40693" w14:textId="77777777" w:rsidR="009F2CDD" w:rsidRPr="002056FA" w:rsidRDefault="009F2CDD" w:rsidP="00E169B4">
            <w:pPr>
              <w:pStyle w:val="TableCopy"/>
              <w:rPr>
                <w:rFonts w:eastAsia="Calibri"/>
                <w:lang w:eastAsia="en-US"/>
              </w:rPr>
            </w:pPr>
            <w:r w:rsidRPr="002056FA">
              <w:rPr>
                <w:rFonts w:eastAsia="Calibri"/>
                <w:lang w:eastAsia="en-US"/>
              </w:rPr>
              <w:t>Provide the information required in each regulatory template in the Microsoft Excel Workbook 1 – Regulatory determination, Workbook 2 – New category analysis, Workbook 5 - EBSS and Workbook 7 -  Indicative Bill Impact, completed in accordance with:</w:t>
            </w:r>
          </w:p>
        </w:tc>
        <w:tc>
          <w:tcPr>
            <w:tcW w:w="0" w:type="auto"/>
            <w:shd w:val="clear" w:color="auto" w:fill="auto"/>
          </w:tcPr>
          <w:p w14:paraId="45DCDDF0" w14:textId="77777777" w:rsidR="009F2CDD" w:rsidRPr="002056FA" w:rsidRDefault="009F2CDD" w:rsidP="00E169B4">
            <w:pPr>
              <w:pStyle w:val="TableCopy"/>
              <w:rPr>
                <w:rFonts w:eastAsia="Calibri"/>
                <w:lang w:eastAsia="en-US"/>
              </w:rPr>
            </w:pPr>
            <w:r w:rsidRPr="002056FA">
              <w:rPr>
                <w:rFonts w:eastAsia="Calibri"/>
                <w:lang w:eastAsia="en-US"/>
              </w:rPr>
              <w:t>Energex has provided the information required in each of the regulatory templates in the following documents:</w:t>
            </w:r>
          </w:p>
          <w:p w14:paraId="453B244B" w14:textId="77777777" w:rsidR="009F2CDD" w:rsidRPr="005615BE" w:rsidRDefault="009F2CDD" w:rsidP="00E169B4">
            <w:pPr>
              <w:pStyle w:val="Bullet1"/>
              <w:rPr>
                <w:sz w:val="20"/>
                <w:szCs w:val="20"/>
              </w:rPr>
            </w:pPr>
            <w:r w:rsidRPr="005615BE">
              <w:rPr>
                <w:sz w:val="20"/>
                <w:szCs w:val="20"/>
              </w:rPr>
              <w:t>2020-25 Regula</w:t>
            </w:r>
            <w:r>
              <w:rPr>
                <w:sz w:val="20"/>
                <w:szCs w:val="20"/>
              </w:rPr>
              <w:t>tory Determination RIN template (Attachment 17.046)</w:t>
            </w:r>
          </w:p>
          <w:p w14:paraId="08EC1E80" w14:textId="77777777" w:rsidR="009F2CDD" w:rsidRPr="005615BE" w:rsidRDefault="009F2CDD" w:rsidP="00E169B4">
            <w:pPr>
              <w:pStyle w:val="Bullet1"/>
              <w:rPr>
                <w:sz w:val="20"/>
                <w:szCs w:val="20"/>
              </w:rPr>
            </w:pPr>
            <w:r w:rsidRPr="005615BE">
              <w:rPr>
                <w:sz w:val="20"/>
                <w:szCs w:val="20"/>
              </w:rPr>
              <w:t>2020-25 New Historical Category Analysis RIN template</w:t>
            </w:r>
            <w:r>
              <w:rPr>
                <w:sz w:val="20"/>
                <w:szCs w:val="20"/>
              </w:rPr>
              <w:t xml:space="preserve"> (Attachment 17.047)</w:t>
            </w:r>
          </w:p>
          <w:p w14:paraId="655AD264" w14:textId="77777777" w:rsidR="009F2CDD" w:rsidRPr="005615BE" w:rsidRDefault="009F2CDD" w:rsidP="00E169B4">
            <w:pPr>
              <w:pStyle w:val="Bullet1"/>
              <w:rPr>
                <w:sz w:val="20"/>
                <w:szCs w:val="20"/>
              </w:rPr>
            </w:pPr>
            <w:r w:rsidRPr="005615BE">
              <w:rPr>
                <w:sz w:val="20"/>
                <w:szCs w:val="20"/>
              </w:rPr>
              <w:t>2020-25 Efficiency Benefit Sharing Scheme RIN template</w:t>
            </w:r>
            <w:r>
              <w:rPr>
                <w:sz w:val="20"/>
                <w:szCs w:val="20"/>
              </w:rPr>
              <w:t xml:space="preserve"> (Attachment 17.050)</w:t>
            </w:r>
          </w:p>
          <w:p w14:paraId="68462184" w14:textId="77777777" w:rsidR="009F2CDD" w:rsidRPr="005615BE" w:rsidRDefault="009F2CDD" w:rsidP="00E169B4">
            <w:pPr>
              <w:pStyle w:val="Bullet1"/>
              <w:rPr>
                <w:sz w:val="20"/>
                <w:szCs w:val="20"/>
              </w:rPr>
            </w:pPr>
            <w:r w:rsidRPr="005615BE">
              <w:rPr>
                <w:sz w:val="20"/>
                <w:szCs w:val="20"/>
              </w:rPr>
              <w:t xml:space="preserve">2020-25 Capital Expenditure Sharing Scheme RIN template </w:t>
            </w:r>
            <w:r>
              <w:rPr>
                <w:sz w:val="20"/>
                <w:szCs w:val="20"/>
              </w:rPr>
              <w:t xml:space="preserve">(Attachment 17.051), </w:t>
            </w:r>
            <w:r w:rsidRPr="005615BE">
              <w:rPr>
                <w:sz w:val="20"/>
                <w:szCs w:val="20"/>
              </w:rPr>
              <w:t>and</w:t>
            </w:r>
          </w:p>
          <w:p w14:paraId="6580A0F7" w14:textId="77777777" w:rsidR="009F2CDD" w:rsidRPr="002056FA" w:rsidRDefault="009F2CDD" w:rsidP="00E169B4">
            <w:pPr>
              <w:pStyle w:val="Bullet1"/>
            </w:pPr>
            <w:r w:rsidRPr="005615BE">
              <w:rPr>
                <w:sz w:val="20"/>
                <w:szCs w:val="20"/>
              </w:rPr>
              <w:t>2020-25 Indicative Bill Impact RIN template</w:t>
            </w:r>
            <w:r>
              <w:rPr>
                <w:sz w:val="20"/>
                <w:szCs w:val="20"/>
              </w:rPr>
              <w:t xml:space="preserve"> (Attachment 17.052)</w:t>
            </w:r>
            <w:r w:rsidRPr="005615BE">
              <w:rPr>
                <w:sz w:val="20"/>
                <w:szCs w:val="20"/>
              </w:rPr>
              <w:t>.</w:t>
            </w:r>
          </w:p>
        </w:tc>
      </w:tr>
      <w:tr w:rsidR="009F2CDD" w:rsidRPr="002056FA" w14:paraId="769E7F18" w14:textId="77777777" w:rsidTr="00E169B4">
        <w:tc>
          <w:tcPr>
            <w:tcW w:w="0" w:type="auto"/>
            <w:shd w:val="clear" w:color="auto" w:fill="auto"/>
          </w:tcPr>
          <w:p w14:paraId="6B7C1816" w14:textId="77777777" w:rsidR="009F2CDD" w:rsidRPr="002056FA" w:rsidRDefault="009F2CDD" w:rsidP="00E169B4">
            <w:pPr>
              <w:pStyle w:val="TableCopy"/>
              <w:rPr>
                <w:rFonts w:eastAsia="Calibri"/>
                <w:lang w:eastAsia="en-US"/>
              </w:rPr>
            </w:pPr>
            <w:r w:rsidRPr="002056FA">
              <w:rPr>
                <w:rFonts w:eastAsia="Calibri"/>
                <w:lang w:eastAsia="en-US"/>
              </w:rPr>
              <w:t>1.1(a)</w:t>
            </w:r>
          </w:p>
        </w:tc>
        <w:tc>
          <w:tcPr>
            <w:tcW w:w="0" w:type="auto"/>
            <w:shd w:val="clear" w:color="auto" w:fill="auto"/>
          </w:tcPr>
          <w:p w14:paraId="12B50373" w14:textId="77777777" w:rsidR="009F2CDD" w:rsidRPr="002056FA" w:rsidRDefault="009F2CDD" w:rsidP="00E169B4">
            <w:pPr>
              <w:pStyle w:val="TableCopy"/>
              <w:rPr>
                <w:rFonts w:eastAsia="Calibri"/>
                <w:lang w:eastAsia="en-US"/>
              </w:rPr>
            </w:pPr>
            <w:r w:rsidRPr="002056FA">
              <w:rPr>
                <w:rFonts w:eastAsia="Calibri"/>
                <w:lang w:eastAsia="en-US"/>
              </w:rPr>
              <w:t>this notice;</w:t>
            </w:r>
          </w:p>
        </w:tc>
        <w:tc>
          <w:tcPr>
            <w:tcW w:w="0" w:type="auto"/>
            <w:shd w:val="clear" w:color="auto" w:fill="auto"/>
          </w:tcPr>
          <w:p w14:paraId="45520534"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1.1 noting that Energex has provided information in regulatory templates of the specified workbooks attached at Appendix A to the RIN. The information provided has been prepared in accordance with the AER’s </w:t>
            </w:r>
            <w:r>
              <w:rPr>
                <w:rFonts w:eastAsia="Calibri"/>
                <w:lang w:eastAsia="en-US"/>
              </w:rPr>
              <w:t>RIN</w:t>
            </w:r>
            <w:r w:rsidRPr="002056FA">
              <w:rPr>
                <w:rFonts w:eastAsia="Calibri"/>
                <w:lang w:eastAsia="en-US"/>
              </w:rPr>
              <w:t>.</w:t>
            </w:r>
          </w:p>
        </w:tc>
      </w:tr>
      <w:tr w:rsidR="009F2CDD" w:rsidRPr="002056FA" w14:paraId="00C03C63" w14:textId="77777777" w:rsidTr="00E169B4">
        <w:tc>
          <w:tcPr>
            <w:tcW w:w="0" w:type="auto"/>
            <w:shd w:val="clear" w:color="auto" w:fill="auto"/>
          </w:tcPr>
          <w:p w14:paraId="397EA871" w14:textId="77777777" w:rsidR="009F2CDD" w:rsidRPr="002056FA" w:rsidRDefault="009F2CDD" w:rsidP="00E169B4">
            <w:pPr>
              <w:pStyle w:val="TableCopy"/>
              <w:rPr>
                <w:rFonts w:eastAsia="Calibri"/>
                <w:lang w:eastAsia="en-US"/>
              </w:rPr>
            </w:pPr>
            <w:r w:rsidRPr="002056FA">
              <w:rPr>
                <w:rFonts w:eastAsia="Calibri"/>
                <w:lang w:eastAsia="en-US"/>
              </w:rPr>
              <w:t>1.1(b)</w:t>
            </w:r>
          </w:p>
        </w:tc>
        <w:tc>
          <w:tcPr>
            <w:tcW w:w="0" w:type="auto"/>
            <w:shd w:val="clear" w:color="auto" w:fill="auto"/>
          </w:tcPr>
          <w:p w14:paraId="4B10C01B" w14:textId="77777777" w:rsidR="009F2CDD" w:rsidRPr="002056FA" w:rsidRDefault="009F2CDD" w:rsidP="00E169B4">
            <w:pPr>
              <w:pStyle w:val="TableCopy"/>
              <w:rPr>
                <w:rFonts w:eastAsia="Calibri"/>
                <w:lang w:eastAsia="en-US"/>
              </w:rPr>
            </w:pPr>
            <w:r w:rsidRPr="002056FA">
              <w:rPr>
                <w:rFonts w:eastAsia="Calibri"/>
                <w:lang w:eastAsia="en-US"/>
              </w:rPr>
              <w:t>the instructions in the relevant Microsoft Excel Workbook attached at Appendix A;</w:t>
            </w:r>
          </w:p>
        </w:tc>
        <w:tc>
          <w:tcPr>
            <w:tcW w:w="0" w:type="auto"/>
            <w:shd w:val="clear" w:color="auto" w:fill="auto"/>
          </w:tcPr>
          <w:p w14:paraId="5CA6A978" w14:textId="77777777" w:rsidR="009F2CDD" w:rsidRPr="002056FA" w:rsidRDefault="009F2CDD" w:rsidP="00E169B4">
            <w:pPr>
              <w:pStyle w:val="TableCopy"/>
              <w:rPr>
                <w:rFonts w:eastAsia="Calibri"/>
                <w:lang w:eastAsia="en-US"/>
              </w:rPr>
            </w:pPr>
            <w:r w:rsidRPr="002056FA">
              <w:rPr>
                <w:rFonts w:eastAsia="Calibri"/>
                <w:lang w:eastAsia="en-US"/>
              </w:rPr>
              <w:t>Refer to response 1.1 noting that Energex has provided information in regulatory templates of the specified workbooks attached at Appendix A to the RIN.  The information provided has been prepared in accordance with instructions in the relevant workbook and/or template.</w:t>
            </w:r>
          </w:p>
        </w:tc>
      </w:tr>
      <w:tr w:rsidR="009F2CDD" w:rsidRPr="002056FA" w14:paraId="30345821" w14:textId="77777777" w:rsidTr="00E169B4">
        <w:tc>
          <w:tcPr>
            <w:tcW w:w="0" w:type="auto"/>
            <w:shd w:val="clear" w:color="auto" w:fill="auto"/>
          </w:tcPr>
          <w:p w14:paraId="69D942A2" w14:textId="77777777" w:rsidR="009F2CDD" w:rsidRPr="002056FA" w:rsidRDefault="009F2CDD" w:rsidP="00E169B4">
            <w:pPr>
              <w:pStyle w:val="TableCopy"/>
              <w:rPr>
                <w:rFonts w:eastAsia="Calibri"/>
                <w:lang w:eastAsia="en-US"/>
              </w:rPr>
            </w:pPr>
            <w:r w:rsidRPr="002056FA">
              <w:rPr>
                <w:rFonts w:eastAsia="Calibri"/>
                <w:lang w:eastAsia="en-US"/>
              </w:rPr>
              <w:t>1.1(c)</w:t>
            </w:r>
          </w:p>
        </w:tc>
        <w:tc>
          <w:tcPr>
            <w:tcW w:w="0" w:type="auto"/>
            <w:shd w:val="clear" w:color="auto" w:fill="auto"/>
          </w:tcPr>
          <w:p w14:paraId="4EDE222F" w14:textId="77777777" w:rsidR="009F2CDD" w:rsidRPr="002056FA" w:rsidRDefault="009F2CDD" w:rsidP="00E169B4">
            <w:pPr>
              <w:pStyle w:val="TableCopy"/>
              <w:rPr>
                <w:rFonts w:eastAsia="Calibri"/>
                <w:lang w:eastAsia="en-US"/>
              </w:rPr>
            </w:pPr>
            <w:r w:rsidRPr="002056FA">
              <w:rPr>
                <w:rFonts w:eastAsia="Calibri"/>
                <w:lang w:eastAsia="en-US"/>
              </w:rPr>
              <w:t>the instructions in Appendix E;</w:t>
            </w:r>
          </w:p>
        </w:tc>
        <w:tc>
          <w:tcPr>
            <w:tcW w:w="0" w:type="auto"/>
            <w:shd w:val="clear" w:color="auto" w:fill="auto"/>
          </w:tcPr>
          <w:p w14:paraId="3AD24881" w14:textId="77777777" w:rsidR="009F2CDD" w:rsidRPr="002056FA" w:rsidRDefault="009F2CDD" w:rsidP="00E169B4">
            <w:pPr>
              <w:pStyle w:val="TableCopy"/>
              <w:rPr>
                <w:rFonts w:eastAsia="Calibri"/>
                <w:lang w:eastAsia="en-US"/>
              </w:rPr>
            </w:pPr>
            <w:r w:rsidRPr="002056FA">
              <w:rPr>
                <w:rFonts w:eastAsia="Calibri"/>
                <w:lang w:eastAsia="en-US"/>
              </w:rPr>
              <w:t>Refer to response 1.1 noting that Energex has provided information in regulatory templates of the specified workbooks attached at Appendix A to the RIN.  The information provided has been prepared in accordance with relevant instructions in Appendix E.</w:t>
            </w:r>
          </w:p>
        </w:tc>
      </w:tr>
      <w:tr w:rsidR="009F2CDD" w:rsidRPr="002056FA" w14:paraId="18617FAA" w14:textId="77777777" w:rsidTr="00E169B4">
        <w:tc>
          <w:tcPr>
            <w:tcW w:w="0" w:type="auto"/>
            <w:shd w:val="clear" w:color="auto" w:fill="auto"/>
          </w:tcPr>
          <w:p w14:paraId="6325A69A" w14:textId="77777777" w:rsidR="009F2CDD" w:rsidRPr="002056FA" w:rsidRDefault="009F2CDD" w:rsidP="00E169B4">
            <w:pPr>
              <w:pStyle w:val="TableCopy"/>
              <w:rPr>
                <w:rFonts w:eastAsia="Calibri"/>
                <w:lang w:eastAsia="en-US"/>
              </w:rPr>
            </w:pPr>
            <w:r w:rsidRPr="002056FA">
              <w:rPr>
                <w:rFonts w:eastAsia="Calibri"/>
                <w:lang w:eastAsia="en-US"/>
              </w:rPr>
              <w:t>1.1(d)</w:t>
            </w:r>
          </w:p>
        </w:tc>
        <w:tc>
          <w:tcPr>
            <w:tcW w:w="0" w:type="auto"/>
            <w:shd w:val="clear" w:color="auto" w:fill="auto"/>
          </w:tcPr>
          <w:p w14:paraId="36756020" w14:textId="77777777" w:rsidR="009F2CDD" w:rsidRPr="002056FA" w:rsidRDefault="009F2CDD" w:rsidP="00E169B4">
            <w:pPr>
              <w:pStyle w:val="TableCopy"/>
              <w:rPr>
                <w:rFonts w:eastAsia="Calibri"/>
                <w:lang w:eastAsia="en-US"/>
              </w:rPr>
            </w:pPr>
            <w:r w:rsidRPr="002056FA">
              <w:rPr>
                <w:rFonts w:eastAsia="Calibri"/>
                <w:lang w:eastAsia="en-US"/>
              </w:rPr>
              <w:t>the service classifications set out in the framework and approach paper; and</w:t>
            </w:r>
          </w:p>
        </w:tc>
        <w:tc>
          <w:tcPr>
            <w:tcW w:w="0" w:type="auto"/>
            <w:shd w:val="clear" w:color="auto" w:fill="auto"/>
          </w:tcPr>
          <w:p w14:paraId="4FF580F8"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1.1 noting that Energex has provided information in regulatory templates of the specified workbooks attached at Appendix A to the RIN. The information provided has been completed in accordance with the AER’s proposed service classifications as set out in the final Framework and Approach paper dated July 2018.  Refer to </w:t>
            </w:r>
            <w:hyperlink r:id="rId18" w:history="1">
              <w:r w:rsidRPr="002056FA">
                <w:rPr>
                  <w:rFonts w:eastAsia="Calibri"/>
                  <w:color w:val="0000FF"/>
                  <w:u w:val="single"/>
                  <w:lang w:eastAsia="en-US"/>
                </w:rPr>
                <w:t>https://www.aer.gov.au/networks-pipelines/determinations-access-arrangements/Energex-determination-2020-25/aer-position</w:t>
              </w:r>
            </w:hyperlink>
          </w:p>
        </w:tc>
      </w:tr>
      <w:tr w:rsidR="009F2CDD" w:rsidRPr="002056FA" w14:paraId="279639CA" w14:textId="77777777" w:rsidTr="00E169B4">
        <w:tc>
          <w:tcPr>
            <w:tcW w:w="0" w:type="auto"/>
            <w:shd w:val="clear" w:color="auto" w:fill="auto"/>
          </w:tcPr>
          <w:p w14:paraId="6F6B60DD" w14:textId="77777777" w:rsidR="009F2CDD" w:rsidRPr="002056FA" w:rsidRDefault="009F2CDD" w:rsidP="00E169B4">
            <w:pPr>
              <w:pStyle w:val="TableCopy"/>
              <w:rPr>
                <w:rFonts w:eastAsia="Calibri"/>
                <w:lang w:eastAsia="en-US"/>
              </w:rPr>
            </w:pPr>
            <w:r w:rsidRPr="002056FA">
              <w:rPr>
                <w:rFonts w:eastAsia="Calibri"/>
                <w:lang w:eastAsia="en-US"/>
              </w:rPr>
              <w:t>1.1(e)</w:t>
            </w:r>
          </w:p>
        </w:tc>
        <w:tc>
          <w:tcPr>
            <w:tcW w:w="0" w:type="auto"/>
            <w:shd w:val="clear" w:color="auto" w:fill="auto"/>
          </w:tcPr>
          <w:p w14:paraId="057002C3" w14:textId="77777777" w:rsidR="009F2CDD" w:rsidRPr="002056FA" w:rsidRDefault="009F2CDD" w:rsidP="00E169B4">
            <w:pPr>
              <w:pStyle w:val="TableCopy"/>
              <w:rPr>
                <w:rFonts w:eastAsia="Calibri"/>
                <w:lang w:eastAsia="en-US"/>
              </w:rPr>
            </w:pPr>
            <w:r w:rsidRPr="002056FA">
              <w:rPr>
                <w:rFonts w:eastAsia="Calibri"/>
                <w:lang w:eastAsia="en-US"/>
              </w:rPr>
              <w:t>Energex’s cost allocation method.</w:t>
            </w:r>
          </w:p>
        </w:tc>
        <w:tc>
          <w:tcPr>
            <w:tcW w:w="0" w:type="auto"/>
            <w:shd w:val="clear" w:color="auto" w:fill="auto"/>
          </w:tcPr>
          <w:p w14:paraId="3526ABB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response 1.1 noting that Energex has provided information as required in the regulatory templates of the specified workbooks attached at Appendix A to the RIN. The information provided has been completed in accordance with the Cost Allocation Method </w:t>
            </w:r>
            <w:r>
              <w:rPr>
                <w:rFonts w:eastAsia="Calibri"/>
                <w:color w:val="000000"/>
                <w:lang w:eastAsia="en-US"/>
              </w:rPr>
              <w:t xml:space="preserve">(CAM) </w:t>
            </w:r>
            <w:r w:rsidRPr="002056FA">
              <w:rPr>
                <w:rFonts w:eastAsia="Calibri"/>
                <w:color w:val="000000"/>
                <w:lang w:eastAsia="en-US"/>
              </w:rPr>
              <w:t xml:space="preserve">approved by the AER </w:t>
            </w:r>
            <w:r>
              <w:rPr>
                <w:rFonts w:eastAsia="Calibri"/>
                <w:color w:val="000000"/>
                <w:lang w:eastAsia="en-US"/>
              </w:rPr>
              <w:t>on</w:t>
            </w:r>
            <w:r w:rsidRPr="002056FA">
              <w:rPr>
                <w:rFonts w:eastAsia="Calibri"/>
                <w:color w:val="000000"/>
                <w:lang w:eastAsia="en-US"/>
              </w:rPr>
              <w:t xml:space="preserve"> 22 November 2018. Refer to </w:t>
            </w:r>
            <w:r>
              <w:rPr>
                <w:rFonts w:eastAsia="Calibri"/>
                <w:color w:val="000000"/>
                <w:lang w:eastAsia="en-US"/>
              </w:rPr>
              <w:t xml:space="preserve">Attachment 6.004 </w:t>
            </w:r>
          </w:p>
        </w:tc>
      </w:tr>
      <w:tr w:rsidR="009F2CDD" w:rsidRPr="002056FA" w14:paraId="615D3354" w14:textId="77777777" w:rsidTr="00E169B4">
        <w:tc>
          <w:tcPr>
            <w:tcW w:w="0" w:type="auto"/>
            <w:shd w:val="clear" w:color="auto" w:fill="auto"/>
          </w:tcPr>
          <w:p w14:paraId="4933B799" w14:textId="77777777" w:rsidR="009F2CDD" w:rsidRPr="002056FA" w:rsidRDefault="009F2CDD" w:rsidP="00E169B4">
            <w:pPr>
              <w:pStyle w:val="TableCopy"/>
              <w:rPr>
                <w:rFonts w:eastAsia="Calibri"/>
                <w:lang w:eastAsia="en-US"/>
              </w:rPr>
            </w:pPr>
            <w:r w:rsidRPr="002056FA">
              <w:rPr>
                <w:rFonts w:eastAsia="Calibri"/>
                <w:lang w:eastAsia="en-US"/>
              </w:rPr>
              <w:t>1.1A</w:t>
            </w:r>
          </w:p>
        </w:tc>
        <w:tc>
          <w:tcPr>
            <w:tcW w:w="0" w:type="auto"/>
            <w:shd w:val="clear" w:color="auto" w:fill="auto"/>
          </w:tcPr>
          <w:p w14:paraId="601751C8" w14:textId="77777777" w:rsidR="009F2CDD" w:rsidRPr="002056FA" w:rsidRDefault="009F2CDD" w:rsidP="00E169B4">
            <w:pPr>
              <w:pStyle w:val="TableCopy"/>
              <w:rPr>
                <w:rFonts w:eastAsia="Calibri"/>
                <w:lang w:eastAsia="en-US"/>
              </w:rPr>
            </w:pPr>
            <w:r w:rsidRPr="002056FA">
              <w:rPr>
                <w:rFonts w:eastAsia="Calibri"/>
                <w:lang w:eastAsia="en-US"/>
              </w:rPr>
              <w:t>Provide the information required in each regulatory template in the Microsoft Excel Workbook 5 – EBSS, and Workbook 6 – CESS, completed in accordance with:</w:t>
            </w:r>
          </w:p>
        </w:tc>
        <w:tc>
          <w:tcPr>
            <w:tcW w:w="0" w:type="auto"/>
            <w:shd w:val="clear" w:color="auto" w:fill="auto"/>
          </w:tcPr>
          <w:p w14:paraId="79A94064" w14:textId="77777777" w:rsidR="009F2CDD" w:rsidRPr="002056FA" w:rsidRDefault="009F2CDD" w:rsidP="00E169B4">
            <w:pPr>
              <w:pStyle w:val="TableCopy"/>
              <w:rPr>
                <w:rFonts w:eastAsia="Calibri"/>
                <w:lang w:eastAsia="en-US"/>
              </w:rPr>
            </w:pPr>
            <w:r w:rsidRPr="002056FA">
              <w:rPr>
                <w:rFonts w:eastAsia="Calibri"/>
                <w:lang w:eastAsia="en-US"/>
              </w:rPr>
              <w:t>Energex has provided information required in  each of the regulatory templates in the following documents:</w:t>
            </w:r>
          </w:p>
          <w:p w14:paraId="6D183B41" w14:textId="77777777" w:rsidR="009F2CDD" w:rsidRPr="005615BE" w:rsidRDefault="009F2CDD" w:rsidP="00E169B4">
            <w:pPr>
              <w:pStyle w:val="Bullet1"/>
              <w:rPr>
                <w:sz w:val="20"/>
                <w:szCs w:val="20"/>
              </w:rPr>
            </w:pPr>
            <w:r w:rsidRPr="005615BE">
              <w:rPr>
                <w:sz w:val="20"/>
                <w:szCs w:val="20"/>
              </w:rPr>
              <w:t>2020-25 Efficiency Benefit Sharing Scheme RIN template</w:t>
            </w:r>
            <w:r>
              <w:rPr>
                <w:sz w:val="20"/>
                <w:szCs w:val="20"/>
              </w:rPr>
              <w:t xml:space="preserve"> (Attachment 17.050), </w:t>
            </w:r>
            <w:r w:rsidRPr="005615BE">
              <w:rPr>
                <w:sz w:val="20"/>
                <w:szCs w:val="20"/>
              </w:rPr>
              <w:t>and</w:t>
            </w:r>
          </w:p>
          <w:p w14:paraId="55A6216D" w14:textId="77777777" w:rsidR="009F2CDD" w:rsidRPr="002056FA" w:rsidRDefault="009F2CDD" w:rsidP="00E169B4">
            <w:pPr>
              <w:pStyle w:val="Bullet1"/>
            </w:pPr>
            <w:r w:rsidRPr="005615BE">
              <w:rPr>
                <w:sz w:val="20"/>
                <w:szCs w:val="20"/>
                <w:lang w:val="en-AU"/>
              </w:rPr>
              <w:t>2020-25 Capital</w:t>
            </w:r>
            <w:r>
              <w:rPr>
                <w:sz w:val="20"/>
                <w:szCs w:val="20"/>
                <w:lang w:val="en-AU"/>
              </w:rPr>
              <w:t xml:space="preserve"> Expenditure Sharing Scheme RIN </w:t>
            </w:r>
            <w:r w:rsidRPr="005615BE">
              <w:rPr>
                <w:sz w:val="20"/>
                <w:szCs w:val="20"/>
                <w:lang w:val="en-AU"/>
              </w:rPr>
              <w:t>template</w:t>
            </w:r>
            <w:r>
              <w:rPr>
                <w:sz w:val="20"/>
                <w:szCs w:val="20"/>
                <w:lang w:val="en-AU"/>
              </w:rPr>
              <w:t xml:space="preserve"> (Attachment 17.051)</w:t>
            </w:r>
            <w:r w:rsidRPr="005615BE">
              <w:rPr>
                <w:sz w:val="20"/>
                <w:szCs w:val="20"/>
                <w:lang w:val="en-AU"/>
              </w:rPr>
              <w:t>.</w:t>
            </w:r>
          </w:p>
        </w:tc>
      </w:tr>
      <w:tr w:rsidR="009F2CDD" w:rsidRPr="002056FA" w14:paraId="42140C15" w14:textId="77777777" w:rsidTr="00E169B4">
        <w:tc>
          <w:tcPr>
            <w:tcW w:w="0" w:type="auto"/>
            <w:shd w:val="clear" w:color="auto" w:fill="auto"/>
          </w:tcPr>
          <w:p w14:paraId="4F870A76" w14:textId="77777777" w:rsidR="009F2CDD" w:rsidRPr="002056FA" w:rsidRDefault="009F2CDD" w:rsidP="00E169B4">
            <w:pPr>
              <w:pStyle w:val="TableCopy"/>
              <w:rPr>
                <w:rFonts w:eastAsia="Calibri"/>
                <w:lang w:eastAsia="en-US"/>
              </w:rPr>
            </w:pPr>
            <w:r w:rsidRPr="002056FA">
              <w:rPr>
                <w:rFonts w:eastAsia="Calibri"/>
                <w:lang w:eastAsia="en-US"/>
              </w:rPr>
              <w:t>1.1A(a)</w:t>
            </w:r>
          </w:p>
        </w:tc>
        <w:tc>
          <w:tcPr>
            <w:tcW w:w="0" w:type="auto"/>
            <w:shd w:val="clear" w:color="auto" w:fill="auto"/>
          </w:tcPr>
          <w:p w14:paraId="0AA92EC2" w14:textId="77777777" w:rsidR="009F2CDD" w:rsidRPr="002056FA" w:rsidRDefault="009F2CDD" w:rsidP="00E169B4">
            <w:pPr>
              <w:pStyle w:val="TableCopy"/>
              <w:rPr>
                <w:rFonts w:eastAsia="Calibri"/>
                <w:lang w:eastAsia="en-US"/>
              </w:rPr>
            </w:pPr>
            <w:r w:rsidRPr="002056FA">
              <w:rPr>
                <w:rFonts w:eastAsia="Calibri"/>
                <w:lang w:eastAsia="en-US"/>
              </w:rPr>
              <w:t xml:space="preserve">this notice; </w:t>
            </w:r>
          </w:p>
        </w:tc>
        <w:tc>
          <w:tcPr>
            <w:tcW w:w="0" w:type="auto"/>
            <w:shd w:val="clear" w:color="auto" w:fill="auto"/>
          </w:tcPr>
          <w:p w14:paraId="17736C72"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1.1A noting that Energex has provided information in regulatory templates of the specified workbooks. The information provided has been prepared in accordance with the AER’s </w:t>
            </w:r>
            <w:r>
              <w:rPr>
                <w:rFonts w:eastAsia="Calibri"/>
                <w:lang w:eastAsia="en-US"/>
              </w:rPr>
              <w:t>RIN</w:t>
            </w:r>
            <w:r w:rsidRPr="002056FA">
              <w:rPr>
                <w:rFonts w:eastAsia="Calibri"/>
                <w:lang w:eastAsia="en-US"/>
              </w:rPr>
              <w:t>.</w:t>
            </w:r>
          </w:p>
        </w:tc>
      </w:tr>
      <w:tr w:rsidR="009F2CDD" w:rsidRPr="002056FA" w14:paraId="0B74CC44" w14:textId="77777777" w:rsidTr="00E169B4">
        <w:tc>
          <w:tcPr>
            <w:tcW w:w="0" w:type="auto"/>
            <w:shd w:val="clear" w:color="auto" w:fill="auto"/>
          </w:tcPr>
          <w:p w14:paraId="16206416" w14:textId="77777777" w:rsidR="009F2CDD" w:rsidRPr="002056FA" w:rsidRDefault="009F2CDD" w:rsidP="00E169B4">
            <w:pPr>
              <w:pStyle w:val="TableCopy"/>
              <w:rPr>
                <w:rFonts w:eastAsia="Calibri"/>
                <w:lang w:eastAsia="en-US"/>
              </w:rPr>
            </w:pPr>
            <w:r w:rsidRPr="002056FA">
              <w:rPr>
                <w:rFonts w:eastAsia="Calibri"/>
                <w:lang w:eastAsia="en-US"/>
              </w:rPr>
              <w:t>1.1A(b)</w:t>
            </w:r>
          </w:p>
        </w:tc>
        <w:tc>
          <w:tcPr>
            <w:tcW w:w="0" w:type="auto"/>
            <w:shd w:val="clear" w:color="auto" w:fill="auto"/>
          </w:tcPr>
          <w:p w14:paraId="73AC6D64" w14:textId="77777777" w:rsidR="009F2CDD" w:rsidRPr="002056FA" w:rsidRDefault="009F2CDD" w:rsidP="00E169B4">
            <w:pPr>
              <w:pStyle w:val="TableCopy"/>
              <w:rPr>
                <w:rFonts w:eastAsia="Calibri"/>
                <w:lang w:eastAsia="en-US"/>
              </w:rPr>
            </w:pPr>
            <w:r w:rsidRPr="002056FA">
              <w:rPr>
                <w:rFonts w:eastAsia="Calibri"/>
                <w:lang w:eastAsia="en-US"/>
              </w:rPr>
              <w:t>the instructions in the relevant Microsoft Excel Workbook attached at Appendix A;</w:t>
            </w:r>
          </w:p>
        </w:tc>
        <w:tc>
          <w:tcPr>
            <w:tcW w:w="0" w:type="auto"/>
            <w:shd w:val="clear" w:color="auto" w:fill="auto"/>
          </w:tcPr>
          <w:p w14:paraId="38ED8785" w14:textId="77777777" w:rsidR="009F2CDD" w:rsidRPr="002056FA" w:rsidRDefault="009F2CDD" w:rsidP="00E169B4">
            <w:pPr>
              <w:pStyle w:val="TableCopy"/>
              <w:rPr>
                <w:rFonts w:eastAsia="Calibri"/>
                <w:lang w:eastAsia="en-US"/>
              </w:rPr>
            </w:pPr>
            <w:r w:rsidRPr="002056FA">
              <w:rPr>
                <w:rFonts w:eastAsia="Calibri"/>
                <w:lang w:eastAsia="en-US"/>
              </w:rPr>
              <w:t>Refer to response 1.1A noting that noting that Energex has provided information in regulatory templates of the specified workbooks. The information provided has been prepared in accordance with the AER’s  instructions in the relevant Microsoft Excel Workbook attached at Appendix A.</w:t>
            </w:r>
          </w:p>
        </w:tc>
      </w:tr>
      <w:tr w:rsidR="009F2CDD" w:rsidRPr="002056FA" w14:paraId="52DC6468" w14:textId="77777777" w:rsidTr="00E169B4">
        <w:tc>
          <w:tcPr>
            <w:tcW w:w="0" w:type="auto"/>
            <w:shd w:val="clear" w:color="auto" w:fill="auto"/>
          </w:tcPr>
          <w:p w14:paraId="1ACD031B" w14:textId="77777777" w:rsidR="009F2CDD" w:rsidRPr="002056FA" w:rsidRDefault="009F2CDD" w:rsidP="00E169B4">
            <w:pPr>
              <w:pStyle w:val="TableCopy"/>
              <w:rPr>
                <w:rFonts w:eastAsia="Calibri"/>
                <w:lang w:eastAsia="en-US"/>
              </w:rPr>
            </w:pPr>
            <w:r w:rsidRPr="002056FA">
              <w:rPr>
                <w:rFonts w:eastAsia="Calibri"/>
                <w:lang w:eastAsia="en-US"/>
              </w:rPr>
              <w:t>1.1A(c)</w:t>
            </w:r>
          </w:p>
        </w:tc>
        <w:tc>
          <w:tcPr>
            <w:tcW w:w="0" w:type="auto"/>
            <w:shd w:val="clear" w:color="auto" w:fill="auto"/>
          </w:tcPr>
          <w:p w14:paraId="45FCD157" w14:textId="77777777" w:rsidR="009F2CDD" w:rsidRPr="002056FA" w:rsidRDefault="009F2CDD" w:rsidP="00E169B4">
            <w:pPr>
              <w:pStyle w:val="TableCopy"/>
              <w:rPr>
                <w:rFonts w:eastAsia="Calibri"/>
                <w:lang w:eastAsia="en-US"/>
              </w:rPr>
            </w:pPr>
            <w:r w:rsidRPr="002056FA">
              <w:rPr>
                <w:rFonts w:eastAsia="Calibri"/>
                <w:lang w:eastAsia="en-US"/>
              </w:rPr>
              <w:t xml:space="preserve">the instructions in Appendix E; </w:t>
            </w:r>
          </w:p>
        </w:tc>
        <w:tc>
          <w:tcPr>
            <w:tcW w:w="0" w:type="auto"/>
            <w:shd w:val="clear" w:color="auto" w:fill="auto"/>
          </w:tcPr>
          <w:p w14:paraId="0EF7C8BB" w14:textId="77777777" w:rsidR="009F2CDD" w:rsidRPr="002056FA" w:rsidRDefault="009F2CDD" w:rsidP="00E169B4">
            <w:pPr>
              <w:pStyle w:val="TableCopy"/>
              <w:rPr>
                <w:rFonts w:eastAsia="Calibri"/>
                <w:lang w:eastAsia="en-US"/>
              </w:rPr>
            </w:pPr>
            <w:r w:rsidRPr="002056FA">
              <w:rPr>
                <w:rFonts w:eastAsia="Calibri"/>
                <w:lang w:eastAsia="en-US"/>
              </w:rPr>
              <w:t>Refer to response 1.1A noting that Energex has provided information in regulatory templates of the specified workbooks. The information provided has been prepared in accordance with the AER’s  instructions in Appendix E.</w:t>
            </w:r>
          </w:p>
        </w:tc>
      </w:tr>
      <w:tr w:rsidR="009F2CDD" w:rsidRPr="002056FA" w14:paraId="34359B0D" w14:textId="77777777" w:rsidTr="00E169B4">
        <w:tc>
          <w:tcPr>
            <w:tcW w:w="0" w:type="auto"/>
            <w:shd w:val="clear" w:color="auto" w:fill="auto"/>
          </w:tcPr>
          <w:p w14:paraId="6C04C5A4" w14:textId="77777777" w:rsidR="009F2CDD" w:rsidRPr="002056FA" w:rsidRDefault="009F2CDD" w:rsidP="00E169B4">
            <w:pPr>
              <w:pStyle w:val="TableCopy"/>
              <w:rPr>
                <w:rFonts w:eastAsia="Calibri"/>
                <w:lang w:eastAsia="en-US"/>
              </w:rPr>
            </w:pPr>
            <w:r w:rsidRPr="002056FA">
              <w:rPr>
                <w:rFonts w:eastAsia="Calibri"/>
                <w:lang w:eastAsia="en-US"/>
              </w:rPr>
              <w:t>1.1A(d)</w:t>
            </w:r>
          </w:p>
        </w:tc>
        <w:tc>
          <w:tcPr>
            <w:tcW w:w="0" w:type="auto"/>
            <w:shd w:val="clear" w:color="auto" w:fill="auto"/>
          </w:tcPr>
          <w:p w14:paraId="0E1F18F2" w14:textId="77777777" w:rsidR="009F2CDD" w:rsidRPr="002056FA" w:rsidRDefault="009F2CDD" w:rsidP="00E169B4">
            <w:pPr>
              <w:pStyle w:val="TableCopy"/>
              <w:rPr>
                <w:rFonts w:eastAsia="Calibri"/>
                <w:lang w:eastAsia="en-US"/>
              </w:rPr>
            </w:pPr>
            <w:r w:rsidRPr="002056FA">
              <w:rPr>
                <w:rFonts w:eastAsia="Calibri"/>
                <w:lang w:eastAsia="en-US"/>
              </w:rPr>
              <w:t>the service classifications that applied in each regulatory year; and</w:t>
            </w:r>
          </w:p>
        </w:tc>
        <w:tc>
          <w:tcPr>
            <w:tcW w:w="0" w:type="auto"/>
            <w:shd w:val="clear" w:color="auto" w:fill="auto"/>
          </w:tcPr>
          <w:p w14:paraId="5A0CB2D6" w14:textId="77777777" w:rsidR="009F2CDD" w:rsidRPr="002056FA" w:rsidRDefault="009F2CDD" w:rsidP="00E169B4">
            <w:pPr>
              <w:pStyle w:val="TableCopy"/>
              <w:rPr>
                <w:rFonts w:eastAsia="Calibri"/>
                <w:lang w:eastAsia="en-US"/>
              </w:rPr>
            </w:pPr>
            <w:r w:rsidRPr="002056FA">
              <w:rPr>
                <w:rFonts w:eastAsia="Calibri"/>
                <w:lang w:eastAsia="en-US"/>
              </w:rPr>
              <w:t>Refer to response 1.1A noting that Energex has provided information in regulatory templates of the specified workbooks. The information provided has been prepared in accordance with the service classifications that applied in each regulatory year.</w:t>
            </w:r>
          </w:p>
        </w:tc>
      </w:tr>
      <w:tr w:rsidR="009F2CDD" w:rsidRPr="002056FA" w14:paraId="283FCA48" w14:textId="77777777" w:rsidTr="00E169B4">
        <w:tc>
          <w:tcPr>
            <w:tcW w:w="0" w:type="auto"/>
            <w:tcBorders>
              <w:bottom w:val="single" w:sz="4" w:space="0" w:color="auto"/>
            </w:tcBorders>
            <w:shd w:val="clear" w:color="auto" w:fill="auto"/>
          </w:tcPr>
          <w:p w14:paraId="078A1D5D" w14:textId="77777777" w:rsidR="009F2CDD" w:rsidRPr="002056FA" w:rsidRDefault="009F2CDD" w:rsidP="00E169B4">
            <w:pPr>
              <w:pStyle w:val="TableCopy"/>
              <w:rPr>
                <w:rFonts w:eastAsia="Calibri"/>
                <w:lang w:eastAsia="en-US"/>
              </w:rPr>
            </w:pPr>
            <w:r w:rsidRPr="002056FA">
              <w:rPr>
                <w:rFonts w:eastAsia="Calibri"/>
                <w:lang w:eastAsia="en-US"/>
              </w:rPr>
              <w:t>1.1A(e)</w:t>
            </w:r>
          </w:p>
        </w:tc>
        <w:tc>
          <w:tcPr>
            <w:tcW w:w="0" w:type="auto"/>
            <w:tcBorders>
              <w:bottom w:val="single" w:sz="4" w:space="0" w:color="auto"/>
            </w:tcBorders>
            <w:shd w:val="clear" w:color="auto" w:fill="auto"/>
          </w:tcPr>
          <w:p w14:paraId="589531E1" w14:textId="77777777" w:rsidR="009F2CDD" w:rsidRPr="002056FA" w:rsidRDefault="009F2CDD" w:rsidP="00E169B4">
            <w:pPr>
              <w:pStyle w:val="TableCopy"/>
              <w:rPr>
                <w:rFonts w:eastAsia="Calibri"/>
                <w:lang w:eastAsia="en-US"/>
              </w:rPr>
            </w:pPr>
            <w:r w:rsidRPr="002056FA">
              <w:rPr>
                <w:rFonts w:eastAsia="Calibri"/>
                <w:noProof/>
                <w:lang w:eastAsia="en-US"/>
              </w:rPr>
              <w:t>Energex’s</w:t>
            </w:r>
            <w:r w:rsidRPr="002056FA">
              <w:rPr>
                <w:rFonts w:eastAsia="Calibri"/>
                <w:lang w:eastAsia="en-US"/>
              </w:rPr>
              <w:t xml:space="preserve"> cost allocation method that applied in each regulatory year. </w:t>
            </w:r>
          </w:p>
        </w:tc>
        <w:tc>
          <w:tcPr>
            <w:tcW w:w="0" w:type="auto"/>
            <w:tcBorders>
              <w:bottom w:val="single" w:sz="4" w:space="0" w:color="auto"/>
            </w:tcBorders>
            <w:shd w:val="clear" w:color="auto" w:fill="auto"/>
          </w:tcPr>
          <w:p w14:paraId="6EA76E4F"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1.1A noting that Energex has provided information in regulatory templates of the specified workbooks. The information provided has been prepared in accordance with the </w:t>
            </w:r>
            <w:r>
              <w:rPr>
                <w:rFonts w:eastAsia="Calibri"/>
                <w:lang w:eastAsia="en-US"/>
              </w:rPr>
              <w:t>CAM</w:t>
            </w:r>
            <w:r w:rsidRPr="002056FA">
              <w:rPr>
                <w:rFonts w:eastAsia="Calibri"/>
                <w:lang w:eastAsia="en-US"/>
              </w:rPr>
              <w:t xml:space="preserve"> that applied in each regulatory year.</w:t>
            </w:r>
          </w:p>
        </w:tc>
      </w:tr>
      <w:tr w:rsidR="009F2CDD" w:rsidRPr="002056FA" w14:paraId="783E165F" w14:textId="77777777" w:rsidTr="00E169B4">
        <w:tc>
          <w:tcPr>
            <w:tcW w:w="0" w:type="auto"/>
            <w:shd w:val="clear" w:color="auto" w:fill="D0CECE" w:themeFill="background2" w:themeFillShade="E6"/>
          </w:tcPr>
          <w:p w14:paraId="323FF01E" w14:textId="77777777" w:rsidR="009F2CDD" w:rsidRPr="002056FA" w:rsidRDefault="009F2CDD" w:rsidP="00E169B4">
            <w:pPr>
              <w:pStyle w:val="TableCopy"/>
              <w:rPr>
                <w:rFonts w:eastAsia="Calibri"/>
                <w:lang w:eastAsia="en-US"/>
              </w:rPr>
            </w:pPr>
            <w:r w:rsidRPr="002056FA">
              <w:rPr>
                <w:rFonts w:eastAsia="Calibri"/>
                <w:lang w:eastAsia="en-US"/>
              </w:rPr>
              <w:t>1.2</w:t>
            </w:r>
          </w:p>
        </w:tc>
        <w:tc>
          <w:tcPr>
            <w:tcW w:w="0" w:type="auto"/>
            <w:shd w:val="clear" w:color="auto" w:fill="D0CECE" w:themeFill="background2" w:themeFillShade="E6"/>
          </w:tcPr>
          <w:p w14:paraId="59EB7F12" w14:textId="77777777" w:rsidR="009F2CDD" w:rsidRPr="002056FA" w:rsidRDefault="009F2CDD" w:rsidP="00E169B4">
            <w:pPr>
              <w:pStyle w:val="TableCopy"/>
              <w:rPr>
                <w:rFonts w:eastAsia="Calibri"/>
                <w:lang w:eastAsia="en-US"/>
              </w:rPr>
            </w:pPr>
            <w:r w:rsidRPr="002056FA">
              <w:rPr>
                <w:rFonts w:eastAsia="Calibri"/>
                <w:lang w:eastAsia="en-US"/>
              </w:rPr>
              <w:t>If:</w:t>
            </w:r>
          </w:p>
        </w:tc>
        <w:tc>
          <w:tcPr>
            <w:tcW w:w="0" w:type="auto"/>
            <w:shd w:val="clear" w:color="auto" w:fill="D0CECE" w:themeFill="background2" w:themeFillShade="E6"/>
          </w:tcPr>
          <w:p w14:paraId="3A76BD04" w14:textId="77777777" w:rsidR="009F2CDD" w:rsidRPr="002056FA" w:rsidRDefault="009F2CDD" w:rsidP="00E169B4">
            <w:pPr>
              <w:pStyle w:val="TableCopy"/>
              <w:rPr>
                <w:rFonts w:eastAsia="Calibri"/>
                <w:lang w:eastAsia="en-US"/>
              </w:rPr>
            </w:pPr>
          </w:p>
        </w:tc>
      </w:tr>
      <w:tr w:rsidR="009F2CDD" w:rsidRPr="002056FA" w14:paraId="61EF942B" w14:textId="77777777" w:rsidTr="00E169B4">
        <w:tc>
          <w:tcPr>
            <w:tcW w:w="0" w:type="auto"/>
            <w:shd w:val="clear" w:color="auto" w:fill="auto"/>
          </w:tcPr>
          <w:p w14:paraId="00ED252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1.2(a)</w:t>
            </w:r>
          </w:p>
        </w:tc>
        <w:tc>
          <w:tcPr>
            <w:tcW w:w="0" w:type="auto"/>
            <w:shd w:val="clear" w:color="auto" w:fill="auto"/>
          </w:tcPr>
          <w:p w14:paraId="24B6757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Energex’s cost allocation method has changed during the current regulatory control period, or</w:t>
            </w:r>
          </w:p>
        </w:tc>
        <w:tc>
          <w:tcPr>
            <w:tcW w:w="0" w:type="auto"/>
            <w:shd w:val="clear" w:color="auto" w:fill="auto"/>
          </w:tcPr>
          <w:p w14:paraId="06C580EC" w14:textId="77777777" w:rsidR="009F2CDD" w:rsidRPr="004F40EC" w:rsidRDefault="009F2CDD" w:rsidP="00E169B4">
            <w:pPr>
              <w:pStyle w:val="TableCopy"/>
              <w:rPr>
                <w:rFonts w:eastAsia="Calibri"/>
                <w:highlight w:val="yellow"/>
                <w:lang w:eastAsia="en-US"/>
              </w:rPr>
            </w:pPr>
            <w:r w:rsidRPr="004F40EC">
              <w:t>A revised CAM applicable for the period 1 July 2018 to 30 June 2020 was approved by the AER on 22 November 2018.  The change was to give effect to the updated organisational structure.</w:t>
            </w:r>
          </w:p>
        </w:tc>
      </w:tr>
      <w:tr w:rsidR="009F2CDD" w:rsidRPr="002056FA" w14:paraId="18C49BEB" w14:textId="77777777" w:rsidTr="00E169B4">
        <w:tc>
          <w:tcPr>
            <w:tcW w:w="0" w:type="auto"/>
            <w:shd w:val="clear" w:color="auto" w:fill="auto"/>
          </w:tcPr>
          <w:p w14:paraId="3F14212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1.2(b)</w:t>
            </w:r>
          </w:p>
        </w:tc>
        <w:tc>
          <w:tcPr>
            <w:tcW w:w="0" w:type="auto"/>
            <w:shd w:val="clear" w:color="auto" w:fill="auto"/>
          </w:tcPr>
          <w:p w14:paraId="0249C4E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Energex’s service classifications have changed from the current regulatory control period, or</w:t>
            </w:r>
          </w:p>
        </w:tc>
        <w:tc>
          <w:tcPr>
            <w:tcW w:w="0" w:type="auto"/>
            <w:shd w:val="clear" w:color="auto" w:fill="auto"/>
          </w:tcPr>
          <w:p w14:paraId="631431B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There have been some service classification changes from the current regulatory control period. The materiality (or otherwise) of the impacts of these changes is discussed in the Basis of Preparation for recast information (refer to response 1.3).</w:t>
            </w:r>
          </w:p>
        </w:tc>
      </w:tr>
      <w:tr w:rsidR="009F2CDD" w:rsidRPr="002056FA" w14:paraId="274FEA93" w14:textId="77777777" w:rsidTr="00E169B4">
        <w:tc>
          <w:tcPr>
            <w:tcW w:w="0" w:type="auto"/>
            <w:shd w:val="clear" w:color="auto" w:fill="auto"/>
          </w:tcPr>
          <w:p w14:paraId="499E4DB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1.2(c)</w:t>
            </w:r>
          </w:p>
        </w:tc>
        <w:tc>
          <w:tcPr>
            <w:tcW w:w="0" w:type="auto"/>
            <w:shd w:val="clear" w:color="auto" w:fill="auto"/>
          </w:tcPr>
          <w:p w14:paraId="5917C93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 proposes to divert from the service classifications set out in the relevant framework and approach paper, or</w:t>
            </w:r>
          </w:p>
        </w:tc>
        <w:tc>
          <w:tcPr>
            <w:tcW w:w="0" w:type="auto"/>
            <w:shd w:val="clear" w:color="auto" w:fill="auto"/>
          </w:tcPr>
          <w:p w14:paraId="008FCA4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 has largely retained the service classifications as set out in the final Framework and Approach paper dated July 2018, but applied the service groupings and descriptions set out in the AER’s Service Classification Guideline published in September 2018.</w:t>
            </w:r>
            <w:r w:rsidRPr="002056FA">
              <w:rPr>
                <w:rFonts w:eastAsia="Calibri"/>
                <w:lang w:eastAsia="en-US"/>
              </w:rPr>
              <w:t xml:space="preserve"> </w:t>
            </w:r>
            <w:r w:rsidRPr="002056FA">
              <w:rPr>
                <w:rFonts w:eastAsia="Calibri"/>
                <w:color w:val="000000"/>
                <w:lang w:eastAsia="en-US"/>
              </w:rPr>
              <w:t xml:space="preserve">Refer to Chapter </w:t>
            </w:r>
            <w:r>
              <w:rPr>
                <w:rFonts w:eastAsia="Calibri"/>
                <w:color w:val="000000"/>
                <w:lang w:eastAsia="en-US"/>
              </w:rPr>
              <w:t>4 of our Regulatory Proposal and Attachment 4.004.</w:t>
            </w:r>
          </w:p>
        </w:tc>
      </w:tr>
      <w:tr w:rsidR="009F2CDD" w:rsidRPr="002056FA" w14:paraId="37B8D1FB" w14:textId="77777777" w:rsidTr="00E169B4">
        <w:tc>
          <w:tcPr>
            <w:tcW w:w="0" w:type="auto"/>
            <w:shd w:val="clear" w:color="auto" w:fill="auto"/>
          </w:tcPr>
          <w:p w14:paraId="3FE6C8A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1.2(d)</w:t>
            </w:r>
          </w:p>
        </w:tc>
        <w:tc>
          <w:tcPr>
            <w:tcW w:w="0" w:type="auto"/>
            <w:shd w:val="clear" w:color="auto" w:fill="auto"/>
          </w:tcPr>
          <w:p w14:paraId="13AC2C9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 proposes to change its cost allocation method for the forthcoming regulatory control period;</w:t>
            </w:r>
          </w:p>
        </w:tc>
        <w:tc>
          <w:tcPr>
            <w:tcW w:w="0" w:type="auto"/>
            <w:shd w:val="clear" w:color="auto" w:fill="auto"/>
          </w:tcPr>
          <w:p w14:paraId="4F38238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Energex’s </w:t>
            </w:r>
            <w:r>
              <w:rPr>
                <w:rFonts w:eastAsia="Calibri"/>
                <w:color w:val="000000"/>
                <w:lang w:eastAsia="en-US"/>
              </w:rPr>
              <w:t>CAM</w:t>
            </w:r>
            <w:r w:rsidRPr="002056FA">
              <w:rPr>
                <w:rFonts w:eastAsia="Calibri"/>
                <w:color w:val="000000"/>
                <w:lang w:eastAsia="en-US"/>
              </w:rPr>
              <w:t xml:space="preserve"> for the forthcoming regulatory control period </w:t>
            </w:r>
            <w:r>
              <w:rPr>
                <w:rFonts w:eastAsia="Calibri"/>
                <w:color w:val="000000"/>
                <w:lang w:eastAsia="en-US"/>
              </w:rPr>
              <w:t>was</w:t>
            </w:r>
            <w:r w:rsidRPr="002056FA">
              <w:rPr>
                <w:rFonts w:eastAsia="Calibri"/>
                <w:color w:val="000000"/>
                <w:lang w:eastAsia="en-US"/>
              </w:rPr>
              <w:t xml:space="preserve"> approved by the AER </w:t>
            </w:r>
            <w:r>
              <w:rPr>
                <w:rFonts w:eastAsia="Calibri"/>
                <w:color w:val="000000"/>
                <w:lang w:eastAsia="en-US"/>
              </w:rPr>
              <w:t>on</w:t>
            </w:r>
            <w:r w:rsidRPr="002056FA">
              <w:rPr>
                <w:rFonts w:eastAsia="Calibri"/>
                <w:color w:val="000000"/>
                <w:lang w:eastAsia="en-US"/>
              </w:rPr>
              <w:t xml:space="preserve"> 22 November 2018. A number of changes have occurred with the application of the new CAM for the forthcoming regulatory control period. The materiality (or otherwise) of the impacts of these changes is discussed in the Basis of Preparation for recast information (refer to response 1.3).</w:t>
            </w:r>
          </w:p>
        </w:tc>
      </w:tr>
      <w:tr w:rsidR="009F2CDD" w:rsidRPr="002056FA" w14:paraId="3196A65D" w14:textId="77777777" w:rsidTr="00E169B4">
        <w:tc>
          <w:tcPr>
            <w:tcW w:w="0" w:type="auto"/>
            <w:shd w:val="clear" w:color="auto" w:fill="auto"/>
          </w:tcPr>
          <w:p w14:paraId="485C6A6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w:t>
            </w:r>
          </w:p>
        </w:tc>
        <w:tc>
          <w:tcPr>
            <w:tcW w:w="0" w:type="auto"/>
            <w:shd w:val="clear" w:color="auto" w:fill="auto"/>
          </w:tcPr>
          <w:p w14:paraId="1C6A60D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such that there would be material changes to information previously submitted to the AER Energex must use the regulatory templates in Workbook 3 – Recast category analysis and Workbook 4 – Recast economic benchmarking attached at Appendix A to submit revised historical information.</w:t>
            </w:r>
          </w:p>
        </w:tc>
        <w:tc>
          <w:tcPr>
            <w:tcW w:w="0" w:type="auto"/>
            <w:shd w:val="clear" w:color="auto" w:fill="auto"/>
          </w:tcPr>
          <w:p w14:paraId="3812AC4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response 1.2(b) and 1.2(d) – as a result of changes to the Classification of Services and </w:t>
            </w:r>
            <w:r>
              <w:rPr>
                <w:rFonts w:eastAsia="Calibri"/>
                <w:color w:val="000000"/>
                <w:lang w:eastAsia="en-US"/>
              </w:rPr>
              <w:t>CAM</w:t>
            </w:r>
            <w:r w:rsidRPr="002056FA">
              <w:rPr>
                <w:rFonts w:eastAsia="Calibri"/>
                <w:color w:val="000000"/>
                <w:lang w:eastAsia="en-US"/>
              </w:rPr>
              <w:t xml:space="preserve"> applicable in the forthcoming regulatory control period Energex has identified some material changes to information previously submitted to the AER. </w:t>
            </w:r>
          </w:p>
          <w:p w14:paraId="3F6880F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Accordingly, Energex has provided revised historical information in the regulatory templates of the specified workbooks in the following documents:</w:t>
            </w:r>
          </w:p>
          <w:p w14:paraId="2727E3F6" w14:textId="77777777" w:rsidR="009F2CDD" w:rsidRPr="00832485" w:rsidRDefault="009F2CDD" w:rsidP="00E169B4">
            <w:pPr>
              <w:pStyle w:val="Bullet1"/>
              <w:rPr>
                <w:sz w:val="20"/>
                <w:szCs w:val="20"/>
              </w:rPr>
            </w:pPr>
            <w:r w:rsidRPr="0083090A">
              <w:rPr>
                <w:sz w:val="20"/>
                <w:szCs w:val="20"/>
              </w:rPr>
              <w:t>2020-25 Recast Category Analysis</w:t>
            </w:r>
            <w:r>
              <w:rPr>
                <w:sz w:val="20"/>
                <w:szCs w:val="20"/>
              </w:rPr>
              <w:t xml:space="preserve"> RIN template </w:t>
            </w:r>
            <w:r w:rsidRPr="00832485">
              <w:rPr>
                <w:sz w:val="20"/>
                <w:szCs w:val="20"/>
              </w:rPr>
              <w:t>(Attachment 17.048)</w:t>
            </w:r>
            <w:r>
              <w:rPr>
                <w:sz w:val="20"/>
                <w:szCs w:val="20"/>
              </w:rPr>
              <w:t>,</w:t>
            </w:r>
            <w:r w:rsidRPr="00832485">
              <w:rPr>
                <w:sz w:val="20"/>
                <w:szCs w:val="20"/>
              </w:rPr>
              <w:t xml:space="preserve"> and</w:t>
            </w:r>
          </w:p>
          <w:p w14:paraId="40612D9B" w14:textId="77777777" w:rsidR="009F2CDD" w:rsidRPr="0083090A" w:rsidRDefault="009F2CDD" w:rsidP="00E169B4">
            <w:pPr>
              <w:pStyle w:val="Bullet1"/>
              <w:rPr>
                <w:sz w:val="20"/>
                <w:szCs w:val="20"/>
              </w:rPr>
            </w:pPr>
            <w:r w:rsidRPr="00832485">
              <w:rPr>
                <w:sz w:val="20"/>
                <w:szCs w:val="20"/>
              </w:rPr>
              <w:t xml:space="preserve">2020-25 Recast Economic Benchmarking RIN template (Attachment </w:t>
            </w:r>
            <w:r>
              <w:rPr>
                <w:sz w:val="20"/>
                <w:szCs w:val="20"/>
              </w:rPr>
              <w:t>17.049).</w:t>
            </w:r>
          </w:p>
          <w:p w14:paraId="6B1F79F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 Basis of Preparation has been provided relative to any recast information provided in the templates for these workbooks (refer response to 1.3).</w:t>
            </w:r>
          </w:p>
        </w:tc>
      </w:tr>
      <w:tr w:rsidR="009F2CDD" w:rsidRPr="002056FA" w14:paraId="6FE6D4EF" w14:textId="77777777" w:rsidTr="00E169B4">
        <w:tc>
          <w:tcPr>
            <w:tcW w:w="0" w:type="auto"/>
            <w:shd w:val="clear" w:color="auto" w:fill="auto"/>
          </w:tcPr>
          <w:p w14:paraId="7B79091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 </w:t>
            </w:r>
          </w:p>
        </w:tc>
        <w:tc>
          <w:tcPr>
            <w:tcW w:w="0" w:type="auto"/>
            <w:shd w:val="clear" w:color="auto" w:fill="auto"/>
          </w:tcPr>
          <w:p w14:paraId="6D5E7FE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For all information, other than </w:t>
            </w:r>
            <w:r w:rsidRPr="002056FA">
              <w:rPr>
                <w:rFonts w:eastAsia="Calibri"/>
                <w:iCs/>
                <w:color w:val="000000"/>
                <w:lang w:eastAsia="en-US"/>
              </w:rPr>
              <w:t>forecast information</w:t>
            </w:r>
            <w:r w:rsidRPr="002056FA">
              <w:rPr>
                <w:rFonts w:eastAsia="Calibri"/>
                <w:color w:val="000000"/>
                <w:lang w:eastAsia="en-US"/>
              </w:rPr>
              <w:t xml:space="preserve">, provide in accordance with this </w:t>
            </w:r>
            <w:r w:rsidRPr="002056FA">
              <w:rPr>
                <w:rFonts w:eastAsia="Calibri"/>
                <w:iCs/>
                <w:color w:val="000000"/>
                <w:lang w:eastAsia="en-US"/>
              </w:rPr>
              <w:t xml:space="preserve">notice </w:t>
            </w:r>
            <w:r w:rsidRPr="002056FA">
              <w:rPr>
                <w:rFonts w:eastAsia="Calibri"/>
                <w:color w:val="000000"/>
                <w:lang w:eastAsia="en-US"/>
              </w:rPr>
              <w:t xml:space="preserve">and the instructions in Appendix E, a </w:t>
            </w:r>
            <w:r w:rsidRPr="002056FA">
              <w:rPr>
                <w:rFonts w:eastAsia="Calibri"/>
                <w:iCs/>
                <w:color w:val="000000"/>
                <w:lang w:eastAsia="en-US"/>
              </w:rPr>
              <w:t xml:space="preserve">basis of preparation </w:t>
            </w:r>
            <w:r w:rsidRPr="002056FA">
              <w:rPr>
                <w:rFonts w:eastAsia="Calibri"/>
                <w:color w:val="000000"/>
                <w:lang w:eastAsia="en-US"/>
              </w:rPr>
              <w:t xml:space="preserve">demonstrating how </w:t>
            </w:r>
            <w:r w:rsidRPr="002056FA">
              <w:rPr>
                <w:rFonts w:eastAsia="Calibri"/>
                <w:iCs/>
                <w:color w:val="000000"/>
                <w:lang w:eastAsia="en-US"/>
              </w:rPr>
              <w:t xml:space="preserve">Energex </w:t>
            </w:r>
            <w:r w:rsidRPr="002056FA">
              <w:rPr>
                <w:rFonts w:eastAsia="Calibri"/>
                <w:color w:val="000000"/>
                <w:lang w:eastAsia="en-US"/>
              </w:rPr>
              <w:t xml:space="preserve">has complied with this </w:t>
            </w:r>
            <w:r w:rsidRPr="002056FA">
              <w:rPr>
                <w:rFonts w:eastAsia="Calibri"/>
                <w:iCs/>
                <w:color w:val="000000"/>
                <w:lang w:eastAsia="en-US"/>
              </w:rPr>
              <w:t xml:space="preserve">notice </w:t>
            </w:r>
            <w:r w:rsidRPr="002056FA">
              <w:rPr>
                <w:rFonts w:eastAsia="Calibri"/>
                <w:color w:val="000000"/>
                <w:lang w:eastAsia="en-US"/>
              </w:rPr>
              <w:t xml:space="preserve">in respect of: </w:t>
            </w:r>
          </w:p>
        </w:tc>
        <w:tc>
          <w:tcPr>
            <w:tcW w:w="0" w:type="auto"/>
            <w:shd w:val="clear" w:color="auto" w:fill="auto"/>
          </w:tcPr>
          <w:p w14:paraId="5D5CFAB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 has provided a Basis of Preparation for all information other than forecast information in accordance with this notice and the instructions in Appendix E, as found in the following documents: </w:t>
            </w:r>
          </w:p>
          <w:p w14:paraId="530AEA76" w14:textId="77777777" w:rsidR="009F2CDD" w:rsidRPr="00252D9C" w:rsidRDefault="009F2CDD" w:rsidP="00E169B4">
            <w:pPr>
              <w:pStyle w:val="Bullet1"/>
              <w:rPr>
                <w:sz w:val="20"/>
                <w:szCs w:val="20"/>
              </w:rPr>
            </w:pPr>
            <w:r w:rsidRPr="0083090A">
              <w:rPr>
                <w:sz w:val="20"/>
                <w:szCs w:val="20"/>
              </w:rPr>
              <w:t xml:space="preserve">Basis of Preparation - Regulatory </w:t>
            </w:r>
            <w:r>
              <w:rPr>
                <w:sz w:val="20"/>
                <w:szCs w:val="20"/>
              </w:rPr>
              <w:t xml:space="preserve">Determination </w:t>
            </w:r>
            <w:r w:rsidRPr="00252D9C">
              <w:rPr>
                <w:sz w:val="20"/>
                <w:szCs w:val="20"/>
              </w:rPr>
              <w:t>(Attachment 17.005)</w:t>
            </w:r>
          </w:p>
          <w:p w14:paraId="64D1A29B" w14:textId="77777777" w:rsidR="009F2CDD" w:rsidRPr="0083090A" w:rsidRDefault="009F2CDD" w:rsidP="00E169B4">
            <w:pPr>
              <w:pStyle w:val="Bullet1"/>
              <w:rPr>
                <w:sz w:val="20"/>
                <w:szCs w:val="20"/>
              </w:rPr>
            </w:pPr>
            <w:r w:rsidRPr="00252D9C">
              <w:rPr>
                <w:sz w:val="20"/>
                <w:szCs w:val="20"/>
              </w:rPr>
              <w:t>Basis of Preparation - New Historical Category Analysis (Attachment 17.006</w:t>
            </w:r>
            <w:r w:rsidRPr="0083090A">
              <w:rPr>
                <w:sz w:val="20"/>
                <w:szCs w:val="20"/>
              </w:rPr>
              <w:t>)</w:t>
            </w:r>
          </w:p>
          <w:p w14:paraId="59580A2B" w14:textId="77777777" w:rsidR="009F2CDD" w:rsidRPr="00E562B4" w:rsidRDefault="009F2CDD" w:rsidP="00E169B4">
            <w:pPr>
              <w:pStyle w:val="Bullet1"/>
              <w:rPr>
                <w:sz w:val="20"/>
                <w:szCs w:val="20"/>
              </w:rPr>
            </w:pPr>
            <w:r w:rsidRPr="0083090A">
              <w:rPr>
                <w:sz w:val="20"/>
                <w:szCs w:val="20"/>
              </w:rPr>
              <w:t>Basis of Preparation - Recast Cate</w:t>
            </w:r>
            <w:r>
              <w:rPr>
                <w:sz w:val="20"/>
                <w:szCs w:val="20"/>
              </w:rPr>
              <w:t xml:space="preserve">gory </w:t>
            </w:r>
            <w:r w:rsidRPr="00E562B4">
              <w:rPr>
                <w:sz w:val="20"/>
                <w:szCs w:val="20"/>
              </w:rPr>
              <w:t>Analysis (Attachment 17.007)</w:t>
            </w:r>
          </w:p>
          <w:p w14:paraId="218B091C" w14:textId="77777777" w:rsidR="009F2CDD" w:rsidRPr="00E562B4" w:rsidRDefault="009F2CDD" w:rsidP="00E169B4">
            <w:pPr>
              <w:pStyle w:val="Bullet1"/>
              <w:rPr>
                <w:sz w:val="20"/>
                <w:szCs w:val="20"/>
              </w:rPr>
            </w:pPr>
            <w:r w:rsidRPr="00E562B4">
              <w:rPr>
                <w:sz w:val="20"/>
                <w:szCs w:val="20"/>
              </w:rPr>
              <w:t>Basis of Preparation - Recast Economic Benchmarking (Attachment 17.008)</w:t>
            </w:r>
          </w:p>
          <w:p w14:paraId="6DE949D1" w14:textId="77777777" w:rsidR="009F2CDD" w:rsidRPr="0083090A" w:rsidRDefault="009F2CDD" w:rsidP="00E169B4">
            <w:pPr>
              <w:pStyle w:val="Bullet1"/>
              <w:rPr>
                <w:sz w:val="20"/>
                <w:szCs w:val="20"/>
              </w:rPr>
            </w:pPr>
            <w:r w:rsidRPr="0083090A">
              <w:rPr>
                <w:sz w:val="20"/>
                <w:szCs w:val="20"/>
              </w:rPr>
              <w:t>Basis of Prepa</w:t>
            </w:r>
            <w:r>
              <w:rPr>
                <w:sz w:val="20"/>
                <w:szCs w:val="20"/>
              </w:rPr>
              <w:t xml:space="preserve">ration - EBSS </w:t>
            </w:r>
            <w:r w:rsidRPr="00F24A90">
              <w:rPr>
                <w:sz w:val="20"/>
                <w:szCs w:val="20"/>
              </w:rPr>
              <w:t>(Attachment 17.</w:t>
            </w:r>
            <w:r>
              <w:rPr>
                <w:sz w:val="20"/>
                <w:szCs w:val="20"/>
              </w:rPr>
              <w:t>009</w:t>
            </w:r>
            <w:r w:rsidRPr="00F24A90">
              <w:rPr>
                <w:sz w:val="20"/>
                <w:szCs w:val="20"/>
              </w:rPr>
              <w:t>)</w:t>
            </w:r>
          </w:p>
          <w:p w14:paraId="29C1BE2E" w14:textId="77777777" w:rsidR="009F2CDD" w:rsidRPr="0083090A" w:rsidRDefault="009F2CDD" w:rsidP="00E169B4">
            <w:pPr>
              <w:pStyle w:val="Bullet1"/>
              <w:rPr>
                <w:sz w:val="20"/>
                <w:szCs w:val="20"/>
              </w:rPr>
            </w:pPr>
            <w:r w:rsidRPr="0083090A">
              <w:rPr>
                <w:sz w:val="20"/>
                <w:szCs w:val="20"/>
              </w:rPr>
              <w:t>Basis of Prepa</w:t>
            </w:r>
            <w:r>
              <w:rPr>
                <w:sz w:val="20"/>
                <w:szCs w:val="20"/>
              </w:rPr>
              <w:t>ration - CESS (</w:t>
            </w:r>
            <w:r w:rsidRPr="00F24A90">
              <w:rPr>
                <w:sz w:val="20"/>
                <w:szCs w:val="20"/>
              </w:rPr>
              <w:t>Attachment 17.</w:t>
            </w:r>
            <w:r>
              <w:rPr>
                <w:sz w:val="20"/>
                <w:szCs w:val="20"/>
              </w:rPr>
              <w:t>17.010</w:t>
            </w:r>
            <w:r w:rsidRPr="00F24A90">
              <w:rPr>
                <w:sz w:val="20"/>
                <w:szCs w:val="20"/>
              </w:rPr>
              <w:t>),</w:t>
            </w:r>
            <w:r w:rsidRPr="0083090A">
              <w:rPr>
                <w:sz w:val="20"/>
                <w:szCs w:val="20"/>
              </w:rPr>
              <w:t xml:space="preserve"> and</w:t>
            </w:r>
          </w:p>
          <w:p w14:paraId="08A9A9E1" w14:textId="77777777" w:rsidR="009F2CDD" w:rsidRPr="002056FA" w:rsidRDefault="009F2CDD" w:rsidP="00E169B4">
            <w:pPr>
              <w:pStyle w:val="Bullet1"/>
            </w:pPr>
            <w:r w:rsidRPr="002056FA">
              <w:rPr>
                <w:sz w:val="20"/>
                <w:szCs w:val="20"/>
              </w:rPr>
              <w:t>Other a</w:t>
            </w:r>
            <w:r>
              <w:rPr>
                <w:sz w:val="20"/>
                <w:szCs w:val="20"/>
              </w:rPr>
              <w:t>ttachments to Schedule 1, as referenced in the relevant responses.</w:t>
            </w:r>
          </w:p>
        </w:tc>
      </w:tr>
      <w:tr w:rsidR="009F2CDD" w:rsidRPr="002056FA" w14:paraId="33C5D6BD" w14:textId="77777777" w:rsidTr="00E169B4">
        <w:tc>
          <w:tcPr>
            <w:tcW w:w="0" w:type="auto"/>
            <w:tcBorders>
              <w:bottom w:val="single" w:sz="4" w:space="0" w:color="auto"/>
            </w:tcBorders>
            <w:shd w:val="clear" w:color="auto" w:fill="auto"/>
          </w:tcPr>
          <w:p w14:paraId="0583B78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1.3(a) </w:t>
            </w:r>
          </w:p>
        </w:tc>
        <w:tc>
          <w:tcPr>
            <w:tcW w:w="0" w:type="auto"/>
            <w:tcBorders>
              <w:bottom w:val="single" w:sz="4" w:space="0" w:color="auto"/>
            </w:tcBorders>
            <w:shd w:val="clear" w:color="auto" w:fill="auto"/>
          </w:tcPr>
          <w:p w14:paraId="2923B23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information in each </w:t>
            </w:r>
            <w:r w:rsidRPr="002056FA">
              <w:rPr>
                <w:rFonts w:eastAsia="Calibri"/>
                <w:iCs/>
                <w:color w:val="000000"/>
                <w:lang w:eastAsia="en-US"/>
              </w:rPr>
              <w:t xml:space="preserve">regulatory template </w:t>
            </w:r>
            <w:r w:rsidRPr="002056FA">
              <w:rPr>
                <w:rFonts w:eastAsia="Calibri"/>
                <w:color w:val="000000"/>
                <w:lang w:eastAsia="en-US"/>
              </w:rPr>
              <w:t xml:space="preserve">in the Microsoft Excel Workbooks attached at Appendix A; and </w:t>
            </w:r>
          </w:p>
        </w:tc>
        <w:tc>
          <w:tcPr>
            <w:tcW w:w="0" w:type="auto"/>
            <w:tcBorders>
              <w:bottom w:val="single" w:sz="4" w:space="0" w:color="auto"/>
            </w:tcBorders>
            <w:shd w:val="clear" w:color="auto" w:fill="auto"/>
          </w:tcPr>
          <w:p w14:paraId="5979E15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response to 1.3. Energex has provided a Basis of Preparation in relation to all historical information contained in </w:t>
            </w:r>
            <w:r w:rsidRPr="002056FA">
              <w:rPr>
                <w:rFonts w:eastAsia="Calibri"/>
                <w:iCs/>
                <w:color w:val="000000"/>
                <w:lang w:eastAsia="en-US"/>
              </w:rPr>
              <w:t xml:space="preserve">regulatory templates </w:t>
            </w:r>
            <w:r w:rsidRPr="002056FA">
              <w:rPr>
                <w:rFonts w:eastAsia="Calibri"/>
                <w:color w:val="000000"/>
                <w:lang w:eastAsia="en-US"/>
              </w:rPr>
              <w:t>within the Microsoft Excel Workbooks attached at Appendix A to the AER’s RIN.</w:t>
            </w:r>
          </w:p>
        </w:tc>
      </w:tr>
      <w:tr w:rsidR="009F2CDD" w:rsidRPr="002056FA" w14:paraId="13F26C6F" w14:textId="77777777" w:rsidTr="00E169B4">
        <w:tc>
          <w:tcPr>
            <w:tcW w:w="0" w:type="auto"/>
            <w:shd w:val="clear" w:color="auto" w:fill="D0CECE" w:themeFill="background2" w:themeFillShade="E6"/>
          </w:tcPr>
          <w:p w14:paraId="47CBE33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1.3(b) </w:t>
            </w:r>
          </w:p>
        </w:tc>
        <w:tc>
          <w:tcPr>
            <w:tcW w:w="0" w:type="auto"/>
            <w:shd w:val="clear" w:color="auto" w:fill="D0CECE" w:themeFill="background2" w:themeFillShade="E6"/>
          </w:tcPr>
          <w:p w14:paraId="73D92EB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information prepared in accordance with the following requirements in Schedule 1 of this </w:t>
            </w:r>
            <w:r w:rsidRPr="002056FA">
              <w:rPr>
                <w:rFonts w:eastAsia="Calibri"/>
                <w:iCs/>
                <w:color w:val="000000"/>
                <w:lang w:eastAsia="en-US"/>
              </w:rPr>
              <w:t xml:space="preserve">notice: </w:t>
            </w:r>
          </w:p>
        </w:tc>
        <w:tc>
          <w:tcPr>
            <w:tcW w:w="0" w:type="auto"/>
            <w:shd w:val="clear" w:color="auto" w:fill="D0CECE" w:themeFill="background2" w:themeFillShade="E6"/>
          </w:tcPr>
          <w:p w14:paraId="6DE20BFA" w14:textId="77777777" w:rsidR="009F2CDD" w:rsidRPr="002056FA" w:rsidRDefault="009F2CDD" w:rsidP="00E169B4">
            <w:pPr>
              <w:pStyle w:val="TableCopy"/>
              <w:rPr>
                <w:rFonts w:eastAsia="Calibri"/>
                <w:color w:val="000000"/>
                <w:lang w:eastAsia="en-US"/>
              </w:rPr>
            </w:pPr>
          </w:p>
        </w:tc>
      </w:tr>
      <w:tr w:rsidR="009F2CDD" w:rsidRPr="002056FA" w14:paraId="7D63B490" w14:textId="77777777" w:rsidTr="00E169B4">
        <w:tc>
          <w:tcPr>
            <w:tcW w:w="0" w:type="auto"/>
            <w:shd w:val="clear" w:color="auto" w:fill="auto"/>
          </w:tcPr>
          <w:p w14:paraId="5636A67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1.3(b)(i) </w:t>
            </w:r>
          </w:p>
        </w:tc>
        <w:tc>
          <w:tcPr>
            <w:tcW w:w="0" w:type="auto"/>
            <w:shd w:val="clear" w:color="auto" w:fill="auto"/>
          </w:tcPr>
          <w:p w14:paraId="099D937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paragraph 1.2</w:t>
            </w:r>
          </w:p>
        </w:tc>
        <w:tc>
          <w:tcPr>
            <w:tcW w:w="0" w:type="auto"/>
            <w:shd w:val="clear" w:color="auto" w:fill="auto"/>
          </w:tcPr>
          <w:p w14:paraId="7D2E89A7" w14:textId="77777777" w:rsidR="009F2CDD" w:rsidRPr="002056FA" w:rsidRDefault="009F2CDD" w:rsidP="00E169B4">
            <w:pPr>
              <w:pStyle w:val="TableCopy"/>
              <w:rPr>
                <w:rFonts w:eastAsia="Calibri"/>
                <w:color w:val="000000"/>
                <w:lang w:eastAsia="en-US"/>
              </w:rPr>
            </w:pPr>
            <w:r w:rsidRPr="0083090A">
              <w:rPr>
                <w:rFonts w:eastAsia="Calibri"/>
                <w:color w:val="000000"/>
                <w:lang w:eastAsia="en-US"/>
              </w:rPr>
              <w:t xml:space="preserve">Refer to response 1.3, noting </w:t>
            </w:r>
            <w:r>
              <w:rPr>
                <w:rFonts w:eastAsia="Calibri"/>
                <w:color w:val="000000"/>
                <w:lang w:eastAsia="en-US"/>
              </w:rPr>
              <w:t>Energex</w:t>
            </w:r>
            <w:r w:rsidRPr="0083090A">
              <w:rPr>
                <w:rFonts w:eastAsia="Calibri"/>
                <w:color w:val="000000"/>
                <w:lang w:eastAsia="en-US"/>
              </w:rPr>
              <w:t xml:space="preserve"> has provided a Basis of Preparation in relation to requirements in Schedule 1 Paragrap</w:t>
            </w:r>
            <w:r>
              <w:rPr>
                <w:rFonts w:eastAsia="Calibri"/>
                <w:color w:val="000000"/>
                <w:lang w:eastAsia="en-US"/>
              </w:rPr>
              <w:t xml:space="preserve">h 1.2 of the AER’s RIN notice. </w:t>
            </w:r>
            <w:r w:rsidRPr="0083090A">
              <w:rPr>
                <w:rFonts w:eastAsia="Calibri"/>
                <w:color w:val="000000"/>
                <w:lang w:eastAsia="en-US"/>
              </w:rPr>
              <w:t>The information is in the 2020-25 Recast Category Analysis</w:t>
            </w:r>
            <w:r>
              <w:rPr>
                <w:rFonts w:eastAsia="Calibri"/>
                <w:color w:val="000000"/>
                <w:lang w:eastAsia="en-US"/>
              </w:rPr>
              <w:t xml:space="preserve"> RIN template (</w:t>
            </w:r>
            <w:r w:rsidRPr="00F24A90">
              <w:rPr>
                <w:rFonts w:eastAsia="Calibri"/>
                <w:color w:val="000000"/>
                <w:lang w:eastAsia="en-US"/>
              </w:rPr>
              <w:t>Attachment 17.</w:t>
            </w:r>
            <w:r>
              <w:rPr>
                <w:rFonts w:eastAsia="Calibri"/>
                <w:color w:val="000000"/>
                <w:lang w:eastAsia="en-US"/>
              </w:rPr>
              <w:t>007</w:t>
            </w:r>
            <w:r w:rsidRPr="00F24A90">
              <w:rPr>
                <w:rFonts w:eastAsia="Calibri"/>
                <w:color w:val="000000"/>
                <w:lang w:eastAsia="en-US"/>
              </w:rPr>
              <w:t>), and the 2020-25 Recast Economic Benchmarking RIN template (Attachment 17.</w:t>
            </w:r>
            <w:r>
              <w:rPr>
                <w:rFonts w:eastAsia="Calibri"/>
                <w:color w:val="000000"/>
                <w:lang w:eastAsia="en-US"/>
              </w:rPr>
              <w:t>008</w:t>
            </w:r>
            <w:r w:rsidRPr="00F24A90">
              <w:rPr>
                <w:rFonts w:eastAsia="Calibri"/>
                <w:color w:val="000000"/>
                <w:lang w:eastAsia="en-US"/>
              </w:rPr>
              <w:t>).</w:t>
            </w:r>
          </w:p>
        </w:tc>
      </w:tr>
      <w:tr w:rsidR="009F2CDD" w:rsidRPr="002056FA" w14:paraId="5A181ED5" w14:textId="77777777" w:rsidTr="00E169B4">
        <w:tc>
          <w:tcPr>
            <w:tcW w:w="0" w:type="auto"/>
            <w:shd w:val="clear" w:color="auto" w:fill="auto"/>
          </w:tcPr>
          <w:p w14:paraId="751303E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1.3(b)(ii) </w:t>
            </w:r>
          </w:p>
        </w:tc>
        <w:tc>
          <w:tcPr>
            <w:tcW w:w="0" w:type="auto"/>
            <w:shd w:val="clear" w:color="auto" w:fill="auto"/>
          </w:tcPr>
          <w:p w14:paraId="75899E0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paragraph 5.1(a)(ii) </w:t>
            </w:r>
          </w:p>
        </w:tc>
        <w:tc>
          <w:tcPr>
            <w:tcW w:w="0" w:type="auto"/>
            <w:shd w:val="clear" w:color="auto" w:fill="auto"/>
          </w:tcPr>
          <w:p w14:paraId="3B80DFD7" w14:textId="77777777" w:rsidR="009F2CDD" w:rsidRPr="002056FA" w:rsidRDefault="009F2CDD" w:rsidP="00E169B4">
            <w:pPr>
              <w:pStyle w:val="TableCopy"/>
              <w:rPr>
                <w:rFonts w:eastAsia="Calibri"/>
                <w:color w:val="365F91"/>
                <w:highlight w:val="green"/>
                <w:lang w:eastAsia="en-US"/>
              </w:rPr>
            </w:pPr>
            <w:r>
              <w:rPr>
                <w:rFonts w:eastAsia="Calibri"/>
                <w:lang w:eastAsia="en-US"/>
              </w:rPr>
              <w:t>Refer to ‘</w:t>
            </w:r>
            <w:r w:rsidRPr="002056FA">
              <w:rPr>
                <w:rFonts w:eastAsia="Calibri"/>
                <w:lang w:eastAsia="en-US"/>
              </w:rPr>
              <w:t>Rep</w:t>
            </w:r>
            <w:r>
              <w:rPr>
                <w:rFonts w:eastAsia="Calibri"/>
                <w:lang w:eastAsia="en-US"/>
              </w:rPr>
              <w:t>ex Model Supporting Information’ document</w:t>
            </w:r>
            <w:r w:rsidRPr="002056FA">
              <w:rPr>
                <w:rFonts w:eastAsia="Calibri"/>
                <w:lang w:eastAsia="en-US"/>
              </w:rPr>
              <w:t xml:space="preserve"> (</w:t>
            </w:r>
            <w:r w:rsidRPr="00F24A90">
              <w:rPr>
                <w:rFonts w:eastAsia="Calibri"/>
                <w:lang w:eastAsia="en-US"/>
              </w:rPr>
              <w:t xml:space="preserve">Attachment </w:t>
            </w:r>
            <w:r>
              <w:rPr>
                <w:rFonts w:eastAsia="Calibri"/>
                <w:lang w:eastAsia="en-US"/>
              </w:rPr>
              <w:t>17.029</w:t>
            </w:r>
            <w:r w:rsidRPr="002056FA">
              <w:rPr>
                <w:rFonts w:eastAsia="Calibri"/>
                <w:lang w:eastAsia="en-US"/>
              </w:rPr>
              <w:t>).</w:t>
            </w:r>
          </w:p>
        </w:tc>
      </w:tr>
      <w:tr w:rsidR="009F2CDD" w:rsidRPr="002056FA" w14:paraId="1099D2FB" w14:textId="77777777" w:rsidTr="00E169B4">
        <w:tc>
          <w:tcPr>
            <w:tcW w:w="0" w:type="auto"/>
            <w:shd w:val="clear" w:color="auto" w:fill="auto"/>
          </w:tcPr>
          <w:p w14:paraId="6A63C88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1.3(b)(iii) </w:t>
            </w:r>
          </w:p>
        </w:tc>
        <w:tc>
          <w:tcPr>
            <w:tcW w:w="0" w:type="auto"/>
            <w:shd w:val="clear" w:color="auto" w:fill="auto"/>
          </w:tcPr>
          <w:p w14:paraId="1110427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paragraph 8.5 </w:t>
            </w:r>
          </w:p>
        </w:tc>
        <w:tc>
          <w:tcPr>
            <w:tcW w:w="0" w:type="auto"/>
            <w:shd w:val="clear" w:color="auto" w:fill="auto"/>
          </w:tcPr>
          <w:p w14:paraId="37D20F18" w14:textId="77777777" w:rsidR="009F2CDD" w:rsidRPr="002056FA" w:rsidRDefault="009F2CDD" w:rsidP="00E169B4">
            <w:pPr>
              <w:pStyle w:val="TableCopy"/>
              <w:rPr>
                <w:rFonts w:eastAsia="Calibri"/>
                <w:color w:val="365F91"/>
                <w:highlight w:val="green"/>
                <w:lang w:eastAsia="en-US"/>
              </w:rPr>
            </w:pPr>
            <w:r>
              <w:rPr>
                <w:rFonts w:eastAsia="Calibri"/>
                <w:lang w:eastAsia="en-US"/>
              </w:rPr>
              <w:t>Refer to ‘</w:t>
            </w:r>
            <w:r w:rsidRPr="002056FA">
              <w:rPr>
                <w:rFonts w:eastAsia="Calibri"/>
                <w:lang w:eastAsia="en-US"/>
              </w:rPr>
              <w:t xml:space="preserve">Demand Management Regulatory Proposal </w:t>
            </w:r>
            <w:r>
              <w:rPr>
                <w:rFonts w:eastAsia="Calibri"/>
                <w:lang w:eastAsia="en-US"/>
              </w:rPr>
              <w:t>(</w:t>
            </w:r>
            <w:r w:rsidRPr="002056FA">
              <w:rPr>
                <w:rFonts w:eastAsia="Calibri"/>
                <w:lang w:eastAsia="en-US"/>
              </w:rPr>
              <w:t>2020-2025</w:t>
            </w:r>
            <w:r>
              <w:rPr>
                <w:rFonts w:eastAsia="Calibri"/>
                <w:lang w:eastAsia="en-US"/>
              </w:rPr>
              <w:t>)’ document,</w:t>
            </w:r>
            <w:r w:rsidRPr="002056FA">
              <w:rPr>
                <w:rFonts w:eastAsia="Calibri"/>
                <w:lang w:eastAsia="en-US"/>
              </w:rPr>
              <w:t xml:space="preserve"> </w:t>
            </w:r>
            <w:r>
              <w:rPr>
                <w:rFonts w:eastAsia="Calibri"/>
                <w:lang w:eastAsia="en-US"/>
              </w:rPr>
              <w:t>specifically A</w:t>
            </w:r>
            <w:r w:rsidRPr="002056FA">
              <w:rPr>
                <w:rFonts w:eastAsia="Calibri"/>
                <w:lang w:eastAsia="en-US"/>
              </w:rPr>
              <w:t>ppendix One (</w:t>
            </w:r>
            <w:r>
              <w:rPr>
                <w:rFonts w:eastAsia="Calibri"/>
                <w:lang w:eastAsia="en-US"/>
              </w:rPr>
              <w:t>Attachment 7.051</w:t>
            </w:r>
            <w:r w:rsidRPr="00F24A90">
              <w:rPr>
                <w:rFonts w:eastAsia="Calibri"/>
                <w:lang w:eastAsia="en-US"/>
              </w:rPr>
              <w:t>).</w:t>
            </w:r>
          </w:p>
        </w:tc>
      </w:tr>
      <w:tr w:rsidR="009F2CDD" w:rsidRPr="002056FA" w14:paraId="0EE77DCF" w14:textId="77777777" w:rsidTr="00E169B4">
        <w:tc>
          <w:tcPr>
            <w:tcW w:w="0" w:type="auto"/>
            <w:shd w:val="clear" w:color="auto" w:fill="auto"/>
          </w:tcPr>
          <w:p w14:paraId="783F90B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1.3(b)(iv) </w:t>
            </w:r>
          </w:p>
        </w:tc>
        <w:tc>
          <w:tcPr>
            <w:tcW w:w="0" w:type="auto"/>
            <w:shd w:val="clear" w:color="auto" w:fill="auto"/>
          </w:tcPr>
          <w:p w14:paraId="399EC84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paragraph 13 (13.5 and 13.6)</w:t>
            </w:r>
          </w:p>
        </w:tc>
        <w:tc>
          <w:tcPr>
            <w:tcW w:w="0" w:type="auto"/>
            <w:shd w:val="clear" w:color="auto" w:fill="auto"/>
          </w:tcPr>
          <w:p w14:paraId="1B75BD2F" w14:textId="77777777" w:rsidR="009F2CDD" w:rsidRPr="002056FA" w:rsidRDefault="009F2CDD" w:rsidP="00E169B4">
            <w:pPr>
              <w:pStyle w:val="TableCopy"/>
              <w:rPr>
                <w:rFonts w:eastAsia="Calibri"/>
                <w:color w:val="365F91"/>
                <w:highlight w:val="green"/>
                <w:lang w:eastAsia="en-US"/>
              </w:rPr>
            </w:pPr>
            <w:r w:rsidRPr="002056FA">
              <w:rPr>
                <w:rFonts w:eastAsia="Calibri"/>
                <w:lang w:eastAsia="en-US"/>
              </w:rPr>
              <w:t>Refer to response provided in paragraph 13.5 and paragraph 13.6, including supporting information provided in relation to paragraph 13, Alternative Control Services.</w:t>
            </w:r>
          </w:p>
        </w:tc>
      </w:tr>
      <w:tr w:rsidR="009F2CDD" w:rsidRPr="002056FA" w14:paraId="06A37068" w14:textId="77777777" w:rsidTr="00E169B4">
        <w:tc>
          <w:tcPr>
            <w:tcW w:w="0" w:type="auto"/>
            <w:shd w:val="clear" w:color="auto" w:fill="auto"/>
          </w:tcPr>
          <w:p w14:paraId="61D2177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1.3(b)(v) </w:t>
            </w:r>
          </w:p>
        </w:tc>
        <w:tc>
          <w:tcPr>
            <w:tcW w:w="0" w:type="auto"/>
            <w:shd w:val="clear" w:color="auto" w:fill="auto"/>
          </w:tcPr>
          <w:p w14:paraId="53DBCD1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paragraph 15 (15.2 and 15.3)</w:t>
            </w:r>
          </w:p>
        </w:tc>
        <w:tc>
          <w:tcPr>
            <w:tcW w:w="0" w:type="auto"/>
            <w:shd w:val="clear" w:color="auto" w:fill="auto"/>
          </w:tcPr>
          <w:p w14:paraId="32587594" w14:textId="77777777" w:rsidR="009F2CDD" w:rsidRPr="0083090A" w:rsidRDefault="009F2CDD" w:rsidP="00E169B4">
            <w:pPr>
              <w:pStyle w:val="TableCopy"/>
              <w:rPr>
                <w:rFonts w:eastAsia="Calibri"/>
                <w:highlight w:val="green"/>
                <w:lang w:eastAsia="en-US"/>
              </w:rPr>
            </w:pPr>
            <w:r w:rsidRPr="0083090A">
              <w:rPr>
                <w:rFonts w:eastAsia="Calibri"/>
                <w:lang w:eastAsia="en-US"/>
              </w:rPr>
              <w:t>Refer to responses provided in paragraphs 15.2 and 15.3.</w:t>
            </w:r>
          </w:p>
        </w:tc>
      </w:tr>
      <w:tr w:rsidR="009F2CDD" w:rsidRPr="002056FA" w14:paraId="63BD760E" w14:textId="77777777" w:rsidTr="00E169B4">
        <w:tc>
          <w:tcPr>
            <w:tcW w:w="0" w:type="auto"/>
            <w:tcBorders>
              <w:bottom w:val="single" w:sz="4" w:space="0" w:color="auto"/>
            </w:tcBorders>
            <w:shd w:val="clear" w:color="auto" w:fill="auto"/>
          </w:tcPr>
          <w:p w14:paraId="471BFDC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1.3(b)(vi) </w:t>
            </w:r>
          </w:p>
        </w:tc>
        <w:tc>
          <w:tcPr>
            <w:tcW w:w="0" w:type="auto"/>
            <w:tcBorders>
              <w:bottom w:val="single" w:sz="4" w:space="0" w:color="auto"/>
            </w:tcBorders>
            <w:shd w:val="clear" w:color="auto" w:fill="auto"/>
          </w:tcPr>
          <w:p w14:paraId="17E2A2E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paragraph 16 (16.2-16.7, 16.10)</w:t>
            </w:r>
          </w:p>
        </w:tc>
        <w:tc>
          <w:tcPr>
            <w:tcW w:w="0" w:type="auto"/>
            <w:tcBorders>
              <w:bottom w:val="single" w:sz="4" w:space="0" w:color="auto"/>
            </w:tcBorders>
            <w:shd w:val="clear" w:color="auto" w:fill="auto"/>
          </w:tcPr>
          <w:p w14:paraId="6C8FCD22" w14:textId="77777777" w:rsidR="009F2CDD" w:rsidRPr="005E04E5" w:rsidRDefault="009F2CDD" w:rsidP="00E169B4">
            <w:pPr>
              <w:pStyle w:val="TableCopy"/>
              <w:rPr>
                <w:rFonts w:eastAsia="Calibri"/>
                <w:highlight w:val="green"/>
                <w:lang w:eastAsia="en-US"/>
              </w:rPr>
            </w:pPr>
            <w:r w:rsidRPr="0083090A">
              <w:rPr>
                <w:rFonts w:eastAsia="Calibri"/>
                <w:lang w:eastAsia="en-US"/>
              </w:rPr>
              <w:t>Refer to respons</w:t>
            </w:r>
            <w:r>
              <w:rPr>
                <w:rFonts w:eastAsia="Calibri"/>
                <w:lang w:eastAsia="en-US"/>
              </w:rPr>
              <w:t>es provided in paragraphs 16.2 -</w:t>
            </w:r>
            <w:r w:rsidRPr="0083090A">
              <w:rPr>
                <w:rFonts w:eastAsia="Calibri"/>
                <w:lang w:eastAsia="en-US"/>
              </w:rPr>
              <w:t>16.7 and 16.10.</w:t>
            </w:r>
          </w:p>
        </w:tc>
      </w:tr>
      <w:tr w:rsidR="009F2CDD" w:rsidRPr="002056FA" w14:paraId="1BD944F3" w14:textId="77777777" w:rsidTr="00E169B4">
        <w:tc>
          <w:tcPr>
            <w:tcW w:w="0" w:type="auto"/>
            <w:shd w:val="clear" w:color="auto" w:fill="D0CECE" w:themeFill="background2" w:themeFillShade="E6"/>
          </w:tcPr>
          <w:p w14:paraId="7666D5B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1.4</w:t>
            </w:r>
          </w:p>
        </w:tc>
        <w:tc>
          <w:tcPr>
            <w:tcW w:w="0" w:type="auto"/>
            <w:shd w:val="clear" w:color="auto" w:fill="D0CECE" w:themeFill="background2" w:themeFillShade="E6"/>
          </w:tcPr>
          <w:p w14:paraId="6221DD7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Provide material used for the purposes of preparing the </w:t>
            </w:r>
            <w:r w:rsidRPr="002056FA">
              <w:rPr>
                <w:rFonts w:eastAsia="Calibri"/>
                <w:iCs/>
                <w:color w:val="000000"/>
                <w:lang w:eastAsia="en-US"/>
              </w:rPr>
              <w:t>regulatory proposal</w:t>
            </w:r>
            <w:r w:rsidRPr="002056FA">
              <w:rPr>
                <w:rFonts w:eastAsia="Calibri"/>
                <w:color w:val="000000"/>
                <w:lang w:eastAsia="en-US"/>
              </w:rPr>
              <w:t xml:space="preserve">: </w:t>
            </w:r>
          </w:p>
        </w:tc>
        <w:tc>
          <w:tcPr>
            <w:tcW w:w="0" w:type="auto"/>
            <w:shd w:val="clear" w:color="auto" w:fill="D0CECE" w:themeFill="background2" w:themeFillShade="E6"/>
          </w:tcPr>
          <w:p w14:paraId="483B091C" w14:textId="77777777" w:rsidR="009F2CDD" w:rsidRPr="002056FA" w:rsidRDefault="009F2CDD" w:rsidP="00E169B4">
            <w:pPr>
              <w:pStyle w:val="TableCopy"/>
              <w:rPr>
                <w:rFonts w:eastAsia="Calibri"/>
                <w:color w:val="000000"/>
                <w:lang w:eastAsia="en-US"/>
              </w:rPr>
            </w:pPr>
          </w:p>
        </w:tc>
      </w:tr>
      <w:tr w:rsidR="009F2CDD" w:rsidRPr="002056FA" w14:paraId="0B1034BE" w14:textId="77777777" w:rsidTr="00E169B4">
        <w:tc>
          <w:tcPr>
            <w:tcW w:w="0" w:type="auto"/>
            <w:shd w:val="clear" w:color="auto" w:fill="auto"/>
          </w:tcPr>
          <w:p w14:paraId="7936E69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1.4(a) </w:t>
            </w:r>
          </w:p>
        </w:tc>
        <w:tc>
          <w:tcPr>
            <w:tcW w:w="0" w:type="auto"/>
            <w:shd w:val="clear" w:color="auto" w:fill="auto"/>
          </w:tcPr>
          <w:p w14:paraId="4A38C6D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all consultants’ reports commissioned and relied upon in whole or in part; </w:t>
            </w:r>
          </w:p>
        </w:tc>
        <w:tc>
          <w:tcPr>
            <w:tcW w:w="0" w:type="auto"/>
            <w:shd w:val="clear" w:color="auto" w:fill="auto"/>
          </w:tcPr>
          <w:p w14:paraId="7F30B80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Where Energex has relied upon consultant reports the</w:t>
            </w:r>
            <w:r>
              <w:rPr>
                <w:rFonts w:eastAsia="Calibri"/>
                <w:color w:val="000000"/>
                <w:lang w:eastAsia="en-US"/>
              </w:rPr>
              <w:t>se have been identified in the ‘Document Register’</w:t>
            </w:r>
            <w:r w:rsidRPr="002056FA">
              <w:rPr>
                <w:rFonts w:eastAsia="Calibri"/>
                <w:color w:val="000000"/>
                <w:lang w:eastAsia="en-US"/>
              </w:rPr>
              <w:t xml:space="preserve"> (</w:t>
            </w:r>
            <w:r w:rsidRPr="009E171E">
              <w:rPr>
                <w:rFonts w:eastAsia="Calibri"/>
                <w:color w:val="000000"/>
                <w:lang w:eastAsia="en-US"/>
              </w:rPr>
              <w:t>Attachment 1.00</w:t>
            </w:r>
            <w:r>
              <w:rPr>
                <w:rFonts w:eastAsia="Calibri"/>
                <w:color w:val="000000"/>
                <w:lang w:eastAsia="en-US"/>
              </w:rPr>
              <w:t>8</w:t>
            </w:r>
            <w:r w:rsidRPr="009E171E">
              <w:rPr>
                <w:rFonts w:eastAsia="Calibri"/>
                <w:color w:val="000000"/>
                <w:lang w:eastAsia="en-US"/>
              </w:rPr>
              <w:t>). Where</w:t>
            </w:r>
            <w:r w:rsidRPr="002056FA">
              <w:rPr>
                <w:rFonts w:eastAsia="Calibri"/>
                <w:color w:val="000000"/>
                <w:lang w:eastAsia="en-US"/>
              </w:rPr>
              <w:t xml:space="preserve"> the author of document is a consultant, this has been made clear in the file name as required.</w:t>
            </w:r>
          </w:p>
        </w:tc>
      </w:tr>
      <w:tr w:rsidR="009F2CDD" w:rsidRPr="002056FA" w14:paraId="09485A45" w14:textId="77777777" w:rsidTr="00E169B4">
        <w:tc>
          <w:tcPr>
            <w:tcW w:w="0" w:type="auto"/>
            <w:shd w:val="clear" w:color="auto" w:fill="auto"/>
          </w:tcPr>
          <w:p w14:paraId="07C4150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1.4(b) </w:t>
            </w:r>
          </w:p>
        </w:tc>
        <w:tc>
          <w:tcPr>
            <w:tcW w:w="0" w:type="auto"/>
            <w:shd w:val="clear" w:color="auto" w:fill="auto"/>
          </w:tcPr>
          <w:p w14:paraId="0866486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all </w:t>
            </w:r>
            <w:r w:rsidRPr="002056FA">
              <w:rPr>
                <w:rFonts w:eastAsia="Calibri"/>
                <w:iCs/>
                <w:color w:val="000000"/>
                <w:lang w:eastAsia="en-US"/>
              </w:rPr>
              <w:t xml:space="preserve">material </w:t>
            </w:r>
            <w:r w:rsidRPr="002056FA">
              <w:rPr>
                <w:rFonts w:eastAsia="Calibri"/>
                <w:color w:val="000000"/>
                <w:lang w:eastAsia="en-US"/>
              </w:rPr>
              <w:t xml:space="preserve">assumptions relied upon; </w:t>
            </w:r>
          </w:p>
        </w:tc>
        <w:tc>
          <w:tcPr>
            <w:tcW w:w="0" w:type="auto"/>
            <w:shd w:val="clear" w:color="auto" w:fill="auto"/>
          </w:tcPr>
          <w:p w14:paraId="56F4D2D0" w14:textId="77777777" w:rsidR="009F2CDD" w:rsidRPr="002056FA" w:rsidRDefault="009F2CDD" w:rsidP="00E169B4">
            <w:pPr>
              <w:pStyle w:val="TableCopy"/>
              <w:rPr>
                <w:rFonts w:eastAsia="Calibri"/>
                <w:color w:val="000000"/>
                <w:lang w:eastAsia="en-US"/>
              </w:rPr>
            </w:pPr>
            <w:r w:rsidRPr="002056FA">
              <w:rPr>
                <w:rFonts w:eastAsia="Calibri"/>
                <w:lang w:eastAsia="en-US"/>
              </w:rPr>
              <w:t xml:space="preserve">Material assumptions relied upon by Energex the purposes of preparing the </w:t>
            </w:r>
            <w:r w:rsidRPr="002056FA">
              <w:rPr>
                <w:rFonts w:eastAsia="Calibri"/>
                <w:iCs/>
                <w:lang w:eastAsia="en-US"/>
              </w:rPr>
              <w:t xml:space="preserve">regulatory proposal </w:t>
            </w:r>
            <w:r>
              <w:rPr>
                <w:rFonts w:eastAsia="Calibri"/>
                <w:lang w:eastAsia="en-US"/>
              </w:rPr>
              <w:t>have been disclosed in Section 3 of this document.</w:t>
            </w:r>
          </w:p>
        </w:tc>
      </w:tr>
      <w:tr w:rsidR="009F2CDD" w:rsidRPr="002056FA" w14:paraId="55C98F4B" w14:textId="77777777" w:rsidTr="00E169B4">
        <w:tc>
          <w:tcPr>
            <w:tcW w:w="0" w:type="auto"/>
            <w:shd w:val="clear" w:color="auto" w:fill="auto"/>
          </w:tcPr>
          <w:p w14:paraId="37BBC15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1.4(c) </w:t>
            </w:r>
          </w:p>
        </w:tc>
        <w:tc>
          <w:tcPr>
            <w:tcW w:w="0" w:type="auto"/>
            <w:shd w:val="clear" w:color="auto" w:fill="auto"/>
          </w:tcPr>
          <w:p w14:paraId="38F4E9E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 table that references each response to a paragraph in this Schedule 1 and where it is provided in or as part of the </w:t>
            </w:r>
            <w:r w:rsidRPr="002056FA">
              <w:rPr>
                <w:rFonts w:eastAsia="Calibri"/>
                <w:iCs/>
                <w:color w:val="000000"/>
                <w:lang w:eastAsia="en-US"/>
              </w:rPr>
              <w:t xml:space="preserve">regulatory proposal; </w:t>
            </w:r>
          </w:p>
        </w:tc>
        <w:tc>
          <w:tcPr>
            <w:tcW w:w="0" w:type="auto"/>
            <w:shd w:val="clear" w:color="auto" w:fill="auto"/>
          </w:tcPr>
          <w:p w14:paraId="26BDAE0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This table has been designed to provide the AER with the information in the form required.</w:t>
            </w:r>
          </w:p>
        </w:tc>
      </w:tr>
      <w:tr w:rsidR="009F2CDD" w:rsidRPr="002056FA" w14:paraId="27F0C4E3" w14:textId="77777777" w:rsidTr="00E169B4">
        <w:tc>
          <w:tcPr>
            <w:tcW w:w="0" w:type="auto"/>
            <w:shd w:val="clear" w:color="auto" w:fill="auto"/>
          </w:tcPr>
          <w:p w14:paraId="308B00C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1.4(d) </w:t>
            </w:r>
          </w:p>
        </w:tc>
        <w:tc>
          <w:tcPr>
            <w:tcW w:w="0" w:type="auto"/>
            <w:shd w:val="clear" w:color="auto" w:fill="auto"/>
          </w:tcPr>
          <w:p w14:paraId="5FAA4FB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 table that references each document provided in or as part of the regulatory proposal and its relationship to other documents provided; and </w:t>
            </w:r>
          </w:p>
        </w:tc>
        <w:tc>
          <w:tcPr>
            <w:tcW w:w="0" w:type="auto"/>
            <w:shd w:val="clear" w:color="auto" w:fill="auto"/>
          </w:tcPr>
          <w:p w14:paraId="23C06BB5" w14:textId="77777777" w:rsidR="009F2CDD" w:rsidRPr="002056FA" w:rsidRDefault="009F2CDD" w:rsidP="00E169B4">
            <w:pPr>
              <w:pStyle w:val="TableCopy"/>
              <w:rPr>
                <w:rFonts w:eastAsia="Calibri"/>
                <w:color w:val="000000"/>
                <w:lang w:eastAsia="en-US"/>
              </w:rPr>
            </w:pPr>
            <w:r>
              <w:rPr>
                <w:rFonts w:eastAsia="Calibri"/>
                <w:color w:val="000000"/>
                <w:lang w:eastAsia="en-US"/>
              </w:rPr>
              <w:t>Refer to ‘Document Register’</w:t>
            </w:r>
            <w:r w:rsidRPr="002056FA">
              <w:rPr>
                <w:rFonts w:eastAsia="Calibri"/>
                <w:color w:val="000000"/>
                <w:lang w:eastAsia="en-US"/>
              </w:rPr>
              <w:t xml:space="preserve"> (</w:t>
            </w:r>
            <w:r w:rsidRPr="009E171E">
              <w:rPr>
                <w:rFonts w:eastAsia="Calibri"/>
                <w:color w:val="000000"/>
                <w:lang w:eastAsia="en-US"/>
              </w:rPr>
              <w:t>Attachment 1.00</w:t>
            </w:r>
            <w:r>
              <w:rPr>
                <w:rFonts w:eastAsia="Calibri"/>
                <w:color w:val="000000"/>
                <w:lang w:eastAsia="en-US"/>
              </w:rPr>
              <w:t>8</w:t>
            </w:r>
            <w:r w:rsidRPr="009E171E">
              <w:rPr>
                <w:rFonts w:eastAsia="Calibri"/>
                <w:color w:val="000000"/>
                <w:lang w:eastAsia="en-US"/>
              </w:rPr>
              <w:t>) which</w:t>
            </w:r>
            <w:r w:rsidRPr="002056FA">
              <w:rPr>
                <w:rFonts w:eastAsia="Calibri"/>
                <w:color w:val="000000"/>
                <w:lang w:eastAsia="en-US"/>
              </w:rPr>
              <w:t xml:space="preserve"> references each document provided by Energex in or as part of the </w:t>
            </w:r>
            <w:r>
              <w:rPr>
                <w:rFonts w:eastAsia="Calibri"/>
                <w:color w:val="000000"/>
                <w:lang w:eastAsia="en-US"/>
              </w:rPr>
              <w:t>R</w:t>
            </w:r>
            <w:r w:rsidRPr="002056FA">
              <w:rPr>
                <w:rFonts w:eastAsia="Calibri"/>
                <w:color w:val="000000"/>
                <w:lang w:eastAsia="en-US"/>
              </w:rPr>
              <w:t xml:space="preserve">egulatory </w:t>
            </w:r>
            <w:r>
              <w:rPr>
                <w:rFonts w:eastAsia="Calibri"/>
                <w:color w:val="000000"/>
                <w:lang w:eastAsia="en-US"/>
              </w:rPr>
              <w:t>P</w:t>
            </w:r>
            <w:r w:rsidRPr="002056FA">
              <w:rPr>
                <w:rFonts w:eastAsia="Calibri"/>
                <w:color w:val="000000"/>
                <w:lang w:eastAsia="en-US"/>
              </w:rPr>
              <w:t>roposal and its relationship to other documents provided.</w:t>
            </w:r>
          </w:p>
        </w:tc>
      </w:tr>
      <w:tr w:rsidR="009F2CDD" w:rsidRPr="002056FA" w14:paraId="72DD08BE" w14:textId="77777777" w:rsidTr="00E169B4">
        <w:tc>
          <w:tcPr>
            <w:tcW w:w="0" w:type="auto"/>
            <w:shd w:val="clear" w:color="auto" w:fill="auto"/>
          </w:tcPr>
          <w:p w14:paraId="5ABE12E7" w14:textId="77777777" w:rsidR="009F2CDD" w:rsidRPr="002056FA" w:rsidRDefault="009F2CDD" w:rsidP="00E169B4">
            <w:pPr>
              <w:pStyle w:val="TableCopy"/>
              <w:rPr>
                <w:rFonts w:eastAsia="Calibri"/>
                <w:lang w:eastAsia="en-US"/>
              </w:rPr>
            </w:pPr>
            <w:r w:rsidRPr="002056FA">
              <w:rPr>
                <w:rFonts w:eastAsia="Calibri"/>
                <w:lang w:eastAsia="en-US"/>
              </w:rPr>
              <w:t xml:space="preserve">1.4(e) </w:t>
            </w:r>
          </w:p>
        </w:tc>
        <w:tc>
          <w:tcPr>
            <w:tcW w:w="0" w:type="auto"/>
            <w:shd w:val="clear" w:color="auto" w:fill="auto"/>
          </w:tcPr>
          <w:p w14:paraId="48E80AF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each document identified in paragraph 1.4(d) must be given a meaningful filename in the form: Energex– [Author] – [title] – [date] – [public/confidential], where: </w:t>
            </w:r>
          </w:p>
        </w:tc>
        <w:tc>
          <w:tcPr>
            <w:tcW w:w="0" w:type="auto"/>
            <w:shd w:val="clear" w:color="auto" w:fill="auto"/>
          </w:tcPr>
          <w:p w14:paraId="08F9D13F"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1.4(d) - each document referenced has been given a meaningful filename in accordance with instructions in the AER’s </w:t>
            </w:r>
            <w:r>
              <w:rPr>
                <w:rFonts w:eastAsia="Calibri"/>
                <w:lang w:eastAsia="en-US"/>
              </w:rPr>
              <w:t>RIN</w:t>
            </w:r>
            <w:r w:rsidRPr="002056FA">
              <w:rPr>
                <w:rFonts w:eastAsia="Calibri"/>
                <w:lang w:eastAsia="en-US"/>
              </w:rPr>
              <w:t>.</w:t>
            </w:r>
          </w:p>
        </w:tc>
      </w:tr>
      <w:tr w:rsidR="009F2CDD" w:rsidRPr="002056FA" w14:paraId="5EF1913A" w14:textId="77777777" w:rsidTr="00E169B4">
        <w:tc>
          <w:tcPr>
            <w:tcW w:w="0" w:type="auto"/>
            <w:shd w:val="clear" w:color="auto" w:fill="auto"/>
          </w:tcPr>
          <w:p w14:paraId="24A55D5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1.4(e)(i) </w:t>
            </w:r>
          </w:p>
        </w:tc>
        <w:tc>
          <w:tcPr>
            <w:tcW w:w="0" w:type="auto"/>
            <w:shd w:val="clear" w:color="auto" w:fill="auto"/>
          </w:tcPr>
          <w:p w14:paraId="76FA468A" w14:textId="77777777" w:rsidR="009F2CDD" w:rsidRPr="002056FA" w:rsidRDefault="009F2CDD" w:rsidP="00E169B4">
            <w:pPr>
              <w:pStyle w:val="TableCopy"/>
              <w:rPr>
                <w:rFonts w:eastAsia="Calibri"/>
                <w:color w:val="000000"/>
                <w:lang w:eastAsia="en-US"/>
              </w:rPr>
            </w:pPr>
            <w:r w:rsidRPr="002056FA">
              <w:rPr>
                <w:rFonts w:eastAsia="Calibri"/>
                <w:b/>
                <w:bCs/>
                <w:color w:val="000000"/>
                <w:lang w:eastAsia="en-US"/>
              </w:rPr>
              <w:t xml:space="preserve">Author </w:t>
            </w:r>
            <w:r w:rsidRPr="002056FA">
              <w:rPr>
                <w:rFonts w:eastAsia="Calibri"/>
                <w:color w:val="000000"/>
                <w:lang w:eastAsia="en-US"/>
              </w:rPr>
              <w:t xml:space="preserve">is the author of the file if not Energex, for example a consultant or other third party; </w:t>
            </w:r>
          </w:p>
        </w:tc>
        <w:tc>
          <w:tcPr>
            <w:tcW w:w="0" w:type="auto"/>
            <w:shd w:val="clear" w:color="auto" w:fill="auto"/>
          </w:tcPr>
          <w:p w14:paraId="7A7112F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response 1.4(d) - each document referenced has been given a filename which notes where the author is a consultant or third party, in accordance with instructions in the AER’s </w:t>
            </w:r>
            <w:r>
              <w:rPr>
                <w:rFonts w:eastAsia="Calibri"/>
                <w:color w:val="000000"/>
                <w:lang w:eastAsia="en-US"/>
              </w:rPr>
              <w:t>RIN</w:t>
            </w:r>
            <w:r w:rsidRPr="002056FA">
              <w:rPr>
                <w:rFonts w:eastAsia="Calibri"/>
                <w:color w:val="000000"/>
                <w:lang w:eastAsia="en-US"/>
              </w:rPr>
              <w:t>. Of note, where the author is Energex this has not been repeated twice in the title.</w:t>
            </w:r>
          </w:p>
        </w:tc>
      </w:tr>
      <w:tr w:rsidR="009F2CDD" w:rsidRPr="002056FA" w14:paraId="17FB6C00" w14:textId="77777777" w:rsidTr="00E169B4">
        <w:tc>
          <w:tcPr>
            <w:tcW w:w="0" w:type="auto"/>
            <w:shd w:val="clear" w:color="auto" w:fill="auto"/>
          </w:tcPr>
          <w:p w14:paraId="745D55E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1.4(e)(ii) </w:t>
            </w:r>
          </w:p>
        </w:tc>
        <w:tc>
          <w:tcPr>
            <w:tcW w:w="0" w:type="auto"/>
            <w:shd w:val="clear" w:color="auto" w:fill="auto"/>
          </w:tcPr>
          <w:p w14:paraId="3BB48396" w14:textId="77777777" w:rsidR="009F2CDD" w:rsidRPr="002056FA" w:rsidRDefault="009F2CDD" w:rsidP="00E169B4">
            <w:pPr>
              <w:pStyle w:val="TableCopy"/>
              <w:rPr>
                <w:rFonts w:eastAsia="Calibri"/>
                <w:color w:val="000000"/>
                <w:lang w:eastAsia="en-US"/>
              </w:rPr>
            </w:pPr>
            <w:r w:rsidRPr="002056FA">
              <w:rPr>
                <w:rFonts w:eastAsia="Calibri"/>
                <w:b/>
                <w:bCs/>
                <w:color w:val="000000"/>
                <w:lang w:eastAsia="en-US"/>
              </w:rPr>
              <w:t xml:space="preserve">Title </w:t>
            </w:r>
            <w:r w:rsidRPr="002056FA">
              <w:rPr>
                <w:rFonts w:eastAsia="Calibri"/>
                <w:color w:val="000000"/>
                <w:lang w:eastAsia="en-US"/>
              </w:rPr>
              <w:t xml:space="preserve">provides a meaningful description of the content of document, with limited reliance on acronyms or cross references, for example “Appendix 1A” is not meaningful, but “Appendix 1A – Cost allocation method” is; </w:t>
            </w:r>
          </w:p>
        </w:tc>
        <w:tc>
          <w:tcPr>
            <w:tcW w:w="0" w:type="auto"/>
            <w:shd w:val="clear" w:color="auto" w:fill="auto"/>
          </w:tcPr>
          <w:p w14:paraId="1728EC3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response to 1.4(d) - each document referenced has been given a title in accordance with instructions in the AER’s </w:t>
            </w:r>
            <w:r>
              <w:rPr>
                <w:rFonts w:eastAsia="Calibri"/>
                <w:color w:val="000000"/>
                <w:lang w:eastAsia="en-US"/>
              </w:rPr>
              <w:t>RIN</w:t>
            </w:r>
            <w:r w:rsidRPr="002056FA">
              <w:rPr>
                <w:rFonts w:eastAsia="Calibri"/>
                <w:color w:val="000000"/>
                <w:lang w:eastAsia="en-US"/>
              </w:rPr>
              <w:t>.</w:t>
            </w:r>
          </w:p>
        </w:tc>
      </w:tr>
      <w:tr w:rsidR="009F2CDD" w:rsidRPr="002056FA" w14:paraId="48A16193" w14:textId="77777777" w:rsidTr="00E169B4">
        <w:tc>
          <w:tcPr>
            <w:tcW w:w="0" w:type="auto"/>
            <w:shd w:val="clear" w:color="auto" w:fill="auto"/>
          </w:tcPr>
          <w:p w14:paraId="236B0A4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1.4(e)(iii) </w:t>
            </w:r>
          </w:p>
        </w:tc>
        <w:tc>
          <w:tcPr>
            <w:tcW w:w="0" w:type="auto"/>
            <w:shd w:val="clear" w:color="auto" w:fill="auto"/>
          </w:tcPr>
          <w:p w14:paraId="5C76FEB1" w14:textId="77777777" w:rsidR="009F2CDD" w:rsidRPr="002056FA" w:rsidRDefault="009F2CDD" w:rsidP="00E169B4">
            <w:pPr>
              <w:pStyle w:val="TableCopy"/>
              <w:rPr>
                <w:rFonts w:eastAsia="Calibri"/>
                <w:color w:val="000000"/>
                <w:lang w:eastAsia="en-US"/>
              </w:rPr>
            </w:pPr>
            <w:r w:rsidRPr="002056FA">
              <w:rPr>
                <w:rFonts w:eastAsia="Calibri"/>
                <w:b/>
                <w:bCs/>
                <w:color w:val="000000"/>
                <w:lang w:eastAsia="en-US"/>
              </w:rPr>
              <w:t xml:space="preserve">Date </w:t>
            </w:r>
            <w:r w:rsidRPr="002056FA">
              <w:rPr>
                <w:rFonts w:eastAsia="Calibri"/>
                <w:color w:val="000000"/>
                <w:lang w:eastAsia="en-US"/>
              </w:rPr>
              <w:t xml:space="preserve">is a relevant date associated with the file, generally the date the document was created; </w:t>
            </w:r>
          </w:p>
        </w:tc>
        <w:tc>
          <w:tcPr>
            <w:tcW w:w="0" w:type="auto"/>
            <w:shd w:val="clear" w:color="auto" w:fill="auto"/>
          </w:tcPr>
          <w:p w14:paraId="5C15BA8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response 1.4(d) - each document referenced has been given a creation date in accordance with instructions in the AER’s </w:t>
            </w:r>
            <w:r>
              <w:rPr>
                <w:rFonts w:eastAsia="Calibri"/>
                <w:color w:val="000000"/>
                <w:lang w:eastAsia="en-US"/>
              </w:rPr>
              <w:t>RIN</w:t>
            </w:r>
            <w:r w:rsidRPr="002056FA">
              <w:rPr>
                <w:rFonts w:eastAsia="Calibri"/>
                <w:color w:val="000000"/>
                <w:lang w:eastAsia="en-US"/>
              </w:rPr>
              <w:t>.</w:t>
            </w:r>
          </w:p>
        </w:tc>
      </w:tr>
      <w:tr w:rsidR="009F2CDD" w:rsidRPr="002056FA" w14:paraId="2CA3A572" w14:textId="77777777" w:rsidTr="00E169B4">
        <w:tc>
          <w:tcPr>
            <w:tcW w:w="0" w:type="auto"/>
            <w:tcBorders>
              <w:bottom w:val="single" w:sz="4" w:space="0" w:color="auto"/>
            </w:tcBorders>
            <w:shd w:val="clear" w:color="auto" w:fill="auto"/>
          </w:tcPr>
          <w:p w14:paraId="7229156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1.4(e)(iv) </w:t>
            </w:r>
          </w:p>
          <w:p w14:paraId="2D26D175" w14:textId="77777777" w:rsidR="009F2CDD" w:rsidRPr="002056FA" w:rsidRDefault="009F2CDD" w:rsidP="00E169B4">
            <w:pPr>
              <w:pStyle w:val="TableCopy"/>
              <w:rPr>
                <w:rFonts w:eastAsia="Calibri"/>
                <w:color w:val="000000"/>
                <w:lang w:eastAsia="en-US"/>
              </w:rPr>
            </w:pPr>
          </w:p>
        </w:tc>
        <w:tc>
          <w:tcPr>
            <w:tcW w:w="0" w:type="auto"/>
            <w:tcBorders>
              <w:bottom w:val="single" w:sz="4" w:space="0" w:color="auto"/>
            </w:tcBorders>
            <w:shd w:val="clear" w:color="auto" w:fill="auto"/>
          </w:tcPr>
          <w:p w14:paraId="453E4275" w14:textId="77777777" w:rsidR="009F2CDD" w:rsidRPr="002056FA" w:rsidRDefault="009F2CDD" w:rsidP="00E169B4">
            <w:pPr>
              <w:pStyle w:val="TableCopy"/>
              <w:rPr>
                <w:rFonts w:eastAsia="Calibri"/>
                <w:color w:val="000000"/>
                <w:lang w:eastAsia="en-US"/>
              </w:rPr>
            </w:pPr>
            <w:r w:rsidRPr="002056FA">
              <w:rPr>
                <w:rFonts w:eastAsia="Calibri"/>
                <w:b/>
                <w:bCs/>
                <w:color w:val="000000"/>
                <w:lang w:eastAsia="en-US"/>
              </w:rPr>
              <w:t xml:space="preserve">Public/confidential </w:t>
            </w:r>
            <w:r w:rsidRPr="002056FA">
              <w:rPr>
                <w:rFonts w:eastAsia="Calibri"/>
                <w:color w:val="000000"/>
                <w:lang w:eastAsia="en-US"/>
              </w:rPr>
              <w:t xml:space="preserve">identifies if the file in its entirety can be published (public); or if it contains any information which is the subject of a claim for confidentiality in accordance with paragraph 32 of this </w:t>
            </w:r>
            <w:r w:rsidRPr="002056FA">
              <w:rPr>
                <w:rFonts w:eastAsia="Calibri"/>
                <w:iCs/>
                <w:color w:val="000000"/>
                <w:lang w:eastAsia="en-US"/>
              </w:rPr>
              <w:t xml:space="preserve">notice </w:t>
            </w:r>
            <w:r w:rsidRPr="002056FA">
              <w:rPr>
                <w:rFonts w:eastAsia="Calibri"/>
                <w:color w:val="000000"/>
                <w:lang w:eastAsia="en-US"/>
              </w:rPr>
              <w:t xml:space="preserve">(confidential). </w:t>
            </w:r>
          </w:p>
        </w:tc>
        <w:tc>
          <w:tcPr>
            <w:tcW w:w="0" w:type="auto"/>
            <w:tcBorders>
              <w:bottom w:val="single" w:sz="4" w:space="0" w:color="auto"/>
            </w:tcBorders>
            <w:shd w:val="clear" w:color="auto" w:fill="auto"/>
          </w:tcPr>
          <w:p w14:paraId="00884AE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response 1.4(d) - each document referenced has been given a filename in accordance with instructions in the AER’s </w:t>
            </w:r>
            <w:r>
              <w:rPr>
                <w:rFonts w:eastAsia="Calibri"/>
                <w:color w:val="000000"/>
                <w:lang w:eastAsia="en-US"/>
              </w:rPr>
              <w:t>RIN</w:t>
            </w:r>
            <w:r w:rsidRPr="002056FA">
              <w:rPr>
                <w:rFonts w:eastAsia="Calibri"/>
                <w:color w:val="000000"/>
                <w:lang w:eastAsia="en-US"/>
              </w:rPr>
              <w:t>, which makes clear whether the file is public or confidential in nature.</w:t>
            </w:r>
          </w:p>
          <w:p w14:paraId="07ADABC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also to response</w:t>
            </w:r>
            <w:r>
              <w:rPr>
                <w:rFonts w:eastAsia="Calibri"/>
                <w:color w:val="000000"/>
                <w:lang w:eastAsia="en-US"/>
              </w:rPr>
              <w:t xml:space="preserve">s </w:t>
            </w:r>
            <w:r w:rsidRPr="002056FA">
              <w:rPr>
                <w:rFonts w:eastAsia="Calibri"/>
                <w:color w:val="000000"/>
                <w:lang w:eastAsia="en-US"/>
              </w:rPr>
              <w:t xml:space="preserve">34.3 </w:t>
            </w:r>
            <w:r>
              <w:rPr>
                <w:rFonts w:eastAsia="Calibri"/>
                <w:color w:val="000000"/>
                <w:lang w:eastAsia="en-US"/>
              </w:rPr>
              <w:t xml:space="preserve">and 35.1 </w:t>
            </w:r>
            <w:r w:rsidRPr="002056FA">
              <w:rPr>
                <w:rFonts w:eastAsia="Calibri"/>
                <w:color w:val="000000"/>
                <w:lang w:eastAsia="en-US"/>
              </w:rPr>
              <w:t>relating to Confidential Information.</w:t>
            </w:r>
          </w:p>
        </w:tc>
      </w:tr>
      <w:tr w:rsidR="009F2CDD" w:rsidRPr="002056FA" w14:paraId="5242C003" w14:textId="77777777" w:rsidTr="00E169B4">
        <w:tc>
          <w:tcPr>
            <w:tcW w:w="0" w:type="auto"/>
            <w:shd w:val="clear" w:color="auto" w:fill="D0CECE" w:themeFill="background2" w:themeFillShade="E6"/>
          </w:tcPr>
          <w:p w14:paraId="1D0ED59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1.5</w:t>
            </w:r>
          </w:p>
        </w:tc>
        <w:tc>
          <w:tcPr>
            <w:tcW w:w="0" w:type="auto"/>
            <w:shd w:val="clear" w:color="auto" w:fill="D0CECE" w:themeFill="background2" w:themeFillShade="E6"/>
          </w:tcPr>
          <w:p w14:paraId="5D2451B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for each material assumption identified in the response to paragraph 1.4(b):</w:t>
            </w:r>
          </w:p>
        </w:tc>
        <w:tc>
          <w:tcPr>
            <w:tcW w:w="0" w:type="auto"/>
            <w:shd w:val="clear" w:color="auto" w:fill="D0CECE" w:themeFill="background2" w:themeFillShade="E6"/>
          </w:tcPr>
          <w:p w14:paraId="555FAB7D" w14:textId="77777777" w:rsidR="009F2CDD" w:rsidRPr="002056FA" w:rsidRDefault="009F2CDD" w:rsidP="00E169B4">
            <w:pPr>
              <w:pStyle w:val="TableCopy"/>
              <w:rPr>
                <w:rFonts w:eastAsia="Calibri"/>
                <w:color w:val="000000"/>
                <w:lang w:eastAsia="en-US"/>
              </w:rPr>
            </w:pPr>
          </w:p>
        </w:tc>
      </w:tr>
      <w:tr w:rsidR="009F2CDD" w:rsidRPr="002056FA" w14:paraId="57F34BE1" w14:textId="77777777" w:rsidTr="00E169B4">
        <w:tc>
          <w:tcPr>
            <w:tcW w:w="0" w:type="auto"/>
            <w:shd w:val="clear" w:color="auto" w:fill="auto"/>
          </w:tcPr>
          <w:p w14:paraId="65CD189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1.5(a) </w:t>
            </w:r>
          </w:p>
        </w:tc>
        <w:tc>
          <w:tcPr>
            <w:tcW w:w="0" w:type="auto"/>
            <w:shd w:val="clear" w:color="auto" w:fill="auto"/>
          </w:tcPr>
          <w:p w14:paraId="083643F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its source or basis; </w:t>
            </w:r>
          </w:p>
        </w:tc>
        <w:tc>
          <w:tcPr>
            <w:tcW w:w="0" w:type="auto"/>
            <w:shd w:val="clear" w:color="auto" w:fill="auto"/>
          </w:tcPr>
          <w:p w14:paraId="24D9F0B0" w14:textId="77777777" w:rsidR="009F2CDD" w:rsidRPr="002056FA" w:rsidRDefault="009F2CDD" w:rsidP="00E169B4">
            <w:pPr>
              <w:pStyle w:val="TableCopy"/>
              <w:rPr>
                <w:rFonts w:eastAsia="Calibri"/>
                <w:b/>
                <w:lang w:eastAsia="en-US"/>
              </w:rPr>
            </w:pPr>
            <w:r>
              <w:rPr>
                <w:rFonts w:eastAsia="Calibri"/>
                <w:lang w:eastAsia="en-US"/>
              </w:rPr>
              <w:t xml:space="preserve">Refer to response 1.4(b) - </w:t>
            </w:r>
            <w:r w:rsidRPr="002056FA">
              <w:rPr>
                <w:rFonts w:eastAsia="Calibri"/>
                <w:lang w:eastAsia="en-US"/>
              </w:rPr>
              <w:t xml:space="preserve">the source or basis of each material assumptions relied upon for the purposes of preparing the </w:t>
            </w:r>
            <w:r w:rsidRPr="002056FA">
              <w:rPr>
                <w:rFonts w:eastAsia="Calibri"/>
                <w:iCs/>
                <w:lang w:eastAsia="en-US"/>
              </w:rPr>
              <w:t xml:space="preserve">regulatory proposal </w:t>
            </w:r>
            <w:r w:rsidRPr="002056FA">
              <w:rPr>
                <w:rFonts w:eastAsia="Calibri"/>
                <w:lang w:eastAsia="en-US"/>
              </w:rPr>
              <w:t xml:space="preserve">has been disclosed in </w:t>
            </w:r>
            <w:r>
              <w:rPr>
                <w:rFonts w:eastAsia="Calibri"/>
                <w:lang w:eastAsia="en-US"/>
              </w:rPr>
              <w:t>Section 3 of this document.</w:t>
            </w:r>
          </w:p>
        </w:tc>
      </w:tr>
      <w:tr w:rsidR="009F2CDD" w:rsidRPr="002056FA" w14:paraId="4D4D0EEF" w14:textId="77777777" w:rsidTr="00E169B4">
        <w:tc>
          <w:tcPr>
            <w:tcW w:w="0" w:type="auto"/>
            <w:shd w:val="clear" w:color="auto" w:fill="auto"/>
          </w:tcPr>
          <w:p w14:paraId="2BB2DC9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1.5(b) </w:t>
            </w:r>
          </w:p>
        </w:tc>
        <w:tc>
          <w:tcPr>
            <w:tcW w:w="0" w:type="auto"/>
            <w:shd w:val="clear" w:color="auto" w:fill="auto"/>
          </w:tcPr>
          <w:p w14:paraId="07C47AC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if applicable, its quantum; </w:t>
            </w:r>
          </w:p>
        </w:tc>
        <w:tc>
          <w:tcPr>
            <w:tcW w:w="0" w:type="auto"/>
            <w:shd w:val="clear" w:color="auto" w:fill="auto"/>
          </w:tcPr>
          <w:p w14:paraId="17A5C396" w14:textId="77777777" w:rsidR="009F2CDD" w:rsidRPr="002056FA" w:rsidRDefault="009F2CDD" w:rsidP="00E169B4">
            <w:pPr>
              <w:pStyle w:val="TableCopy"/>
              <w:rPr>
                <w:rFonts w:eastAsia="Calibri"/>
                <w:lang w:eastAsia="en-US"/>
              </w:rPr>
            </w:pPr>
            <w:r>
              <w:rPr>
                <w:rFonts w:eastAsia="Calibri"/>
                <w:lang w:eastAsia="en-US"/>
              </w:rPr>
              <w:t xml:space="preserve">Refer to response 1.4(b) - </w:t>
            </w:r>
            <w:r w:rsidRPr="002056FA">
              <w:rPr>
                <w:rFonts w:eastAsia="Calibri"/>
                <w:lang w:eastAsia="en-US"/>
              </w:rPr>
              <w:t>if applicable, the quantum of each material assumption relied upon has been dis</w:t>
            </w:r>
            <w:r>
              <w:rPr>
                <w:rFonts w:eastAsia="Calibri"/>
                <w:lang w:eastAsia="en-US"/>
              </w:rPr>
              <w:t>closed in Section 3 of this document.</w:t>
            </w:r>
          </w:p>
        </w:tc>
      </w:tr>
      <w:tr w:rsidR="009F2CDD" w:rsidRPr="002056FA" w14:paraId="05C5093F" w14:textId="77777777" w:rsidTr="00E169B4">
        <w:tc>
          <w:tcPr>
            <w:tcW w:w="0" w:type="auto"/>
            <w:shd w:val="clear" w:color="auto" w:fill="auto"/>
          </w:tcPr>
          <w:p w14:paraId="2042BE9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1.5(c) </w:t>
            </w:r>
          </w:p>
        </w:tc>
        <w:tc>
          <w:tcPr>
            <w:tcW w:w="0" w:type="auto"/>
            <w:shd w:val="clear" w:color="auto" w:fill="auto"/>
          </w:tcPr>
          <w:p w14:paraId="3B958F0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whether and how the assumption has been applied and was taken into account; and </w:t>
            </w:r>
          </w:p>
        </w:tc>
        <w:tc>
          <w:tcPr>
            <w:tcW w:w="0" w:type="auto"/>
            <w:shd w:val="clear" w:color="auto" w:fill="auto"/>
          </w:tcPr>
          <w:p w14:paraId="739DBF69" w14:textId="77777777" w:rsidR="009F2CDD" w:rsidRPr="002056FA" w:rsidRDefault="009F2CDD" w:rsidP="00E169B4">
            <w:pPr>
              <w:pStyle w:val="TableCopy"/>
              <w:rPr>
                <w:rFonts w:eastAsia="Calibri"/>
                <w:lang w:eastAsia="en-US"/>
              </w:rPr>
            </w:pPr>
            <w:r w:rsidRPr="002056FA">
              <w:rPr>
                <w:rFonts w:eastAsia="Calibri"/>
                <w:lang w:eastAsia="en-US"/>
              </w:rPr>
              <w:t>Refer to response 1.4(b) – whether and how each material assumption has been applied and was taken into account by the Energex has bee</w:t>
            </w:r>
            <w:r>
              <w:rPr>
                <w:rFonts w:eastAsia="Calibri"/>
                <w:lang w:eastAsia="en-US"/>
              </w:rPr>
              <w:t>n disclosed in Section 3 of this document.</w:t>
            </w:r>
          </w:p>
        </w:tc>
      </w:tr>
      <w:tr w:rsidR="009F2CDD" w:rsidRPr="002056FA" w14:paraId="722D4751" w14:textId="77777777" w:rsidTr="00E169B4">
        <w:tc>
          <w:tcPr>
            <w:tcW w:w="0" w:type="auto"/>
            <w:shd w:val="clear" w:color="auto" w:fill="auto"/>
          </w:tcPr>
          <w:p w14:paraId="7300712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1.5(d)</w:t>
            </w:r>
          </w:p>
        </w:tc>
        <w:tc>
          <w:tcPr>
            <w:tcW w:w="0" w:type="auto"/>
            <w:shd w:val="clear" w:color="auto" w:fill="auto"/>
          </w:tcPr>
          <w:p w14:paraId="7301D90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effect or impact of the assumption on the capital and operating expenditure forecasts in the forthcoming regulatory control period taking into account:</w:t>
            </w:r>
          </w:p>
        </w:tc>
        <w:tc>
          <w:tcPr>
            <w:tcW w:w="0" w:type="auto"/>
            <w:shd w:val="clear" w:color="auto" w:fill="auto"/>
          </w:tcPr>
          <w:p w14:paraId="28EEF4AD" w14:textId="77777777" w:rsidR="009F2CDD" w:rsidRPr="002056FA" w:rsidRDefault="009F2CDD" w:rsidP="00E169B4">
            <w:pPr>
              <w:pStyle w:val="TableCopy"/>
              <w:rPr>
                <w:rFonts w:eastAsia="Calibri"/>
                <w:lang w:eastAsia="en-US"/>
              </w:rPr>
            </w:pPr>
          </w:p>
        </w:tc>
      </w:tr>
      <w:tr w:rsidR="009F2CDD" w:rsidRPr="002056FA" w14:paraId="6F54F600" w14:textId="77777777" w:rsidTr="00E169B4">
        <w:tc>
          <w:tcPr>
            <w:tcW w:w="0" w:type="auto"/>
            <w:shd w:val="clear" w:color="auto" w:fill="auto"/>
          </w:tcPr>
          <w:p w14:paraId="4E15F0A7" w14:textId="77777777" w:rsidR="009F2CDD" w:rsidRPr="002056FA" w:rsidRDefault="009F2CDD" w:rsidP="00E169B4">
            <w:pPr>
              <w:pStyle w:val="TableCopy"/>
              <w:rPr>
                <w:rFonts w:eastAsia="Calibri"/>
                <w:lang w:eastAsia="en-US"/>
              </w:rPr>
            </w:pPr>
            <w:r w:rsidRPr="002056FA">
              <w:rPr>
                <w:rFonts w:eastAsia="Calibri"/>
                <w:lang w:eastAsia="en-US"/>
              </w:rPr>
              <w:t xml:space="preserve">1.5(d)(i) </w:t>
            </w:r>
          </w:p>
        </w:tc>
        <w:tc>
          <w:tcPr>
            <w:tcW w:w="0" w:type="auto"/>
            <w:shd w:val="clear" w:color="auto" w:fill="auto"/>
          </w:tcPr>
          <w:p w14:paraId="3ABE04D2" w14:textId="77777777" w:rsidR="009F2CDD" w:rsidRPr="002056FA" w:rsidRDefault="009F2CDD" w:rsidP="00E169B4">
            <w:pPr>
              <w:pStyle w:val="TableCopy"/>
              <w:rPr>
                <w:rFonts w:eastAsia="Calibri"/>
                <w:lang w:eastAsia="en-US"/>
              </w:rPr>
            </w:pPr>
            <w:r w:rsidRPr="002056FA">
              <w:rPr>
                <w:rFonts w:eastAsia="Calibri"/>
                <w:lang w:eastAsia="en-US"/>
              </w:rPr>
              <w:t xml:space="preserve">the actual expenditure incurred during the </w:t>
            </w:r>
            <w:r w:rsidRPr="002056FA">
              <w:rPr>
                <w:rFonts w:eastAsia="Calibri"/>
                <w:iCs/>
                <w:lang w:eastAsia="en-US"/>
              </w:rPr>
              <w:t>current regulatory control period</w:t>
            </w:r>
            <w:r w:rsidRPr="002056FA">
              <w:rPr>
                <w:rFonts w:eastAsia="Calibri"/>
                <w:lang w:eastAsia="en-US"/>
              </w:rPr>
              <w:t xml:space="preserve">; and </w:t>
            </w:r>
          </w:p>
        </w:tc>
        <w:tc>
          <w:tcPr>
            <w:tcW w:w="0" w:type="auto"/>
            <w:shd w:val="clear" w:color="auto" w:fill="auto"/>
          </w:tcPr>
          <w:p w14:paraId="26CBB113" w14:textId="77777777" w:rsidR="009F2CDD" w:rsidRPr="002056FA" w:rsidRDefault="009F2CDD" w:rsidP="00E169B4">
            <w:pPr>
              <w:pStyle w:val="TableCopy"/>
              <w:rPr>
                <w:rFonts w:eastAsia="Calibri"/>
                <w:lang w:eastAsia="en-US"/>
              </w:rPr>
            </w:pPr>
            <w:r w:rsidRPr="002056FA">
              <w:rPr>
                <w:rFonts w:eastAsia="Calibri"/>
                <w:lang w:eastAsia="en-US"/>
              </w:rPr>
              <w:t>Refer to response</w:t>
            </w:r>
            <w:r>
              <w:rPr>
                <w:rFonts w:eastAsia="Calibri"/>
                <w:lang w:eastAsia="en-US"/>
              </w:rPr>
              <w:t xml:space="preserve"> 1.4(b) and Section 3 of this document.</w:t>
            </w:r>
          </w:p>
        </w:tc>
      </w:tr>
      <w:tr w:rsidR="009F2CDD" w:rsidRPr="002056FA" w14:paraId="00B12CDA" w14:textId="77777777" w:rsidTr="00E169B4">
        <w:tc>
          <w:tcPr>
            <w:tcW w:w="0" w:type="auto"/>
            <w:shd w:val="clear" w:color="auto" w:fill="auto"/>
          </w:tcPr>
          <w:p w14:paraId="296E3E8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1.5(d)(ii) </w:t>
            </w:r>
          </w:p>
        </w:tc>
        <w:tc>
          <w:tcPr>
            <w:tcW w:w="0" w:type="auto"/>
            <w:shd w:val="clear" w:color="auto" w:fill="auto"/>
          </w:tcPr>
          <w:p w14:paraId="0560D94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sensitivity of the forecast expenditure to the assumption. </w:t>
            </w:r>
          </w:p>
        </w:tc>
        <w:tc>
          <w:tcPr>
            <w:tcW w:w="0" w:type="auto"/>
            <w:shd w:val="clear" w:color="auto" w:fill="auto"/>
          </w:tcPr>
          <w:p w14:paraId="6F7BEFF3" w14:textId="77777777" w:rsidR="009F2CDD" w:rsidRPr="002056FA" w:rsidRDefault="009F2CDD" w:rsidP="00E169B4">
            <w:pPr>
              <w:pStyle w:val="TableCopy"/>
              <w:rPr>
                <w:rFonts w:eastAsia="Calibri"/>
                <w:lang w:eastAsia="en-US"/>
              </w:rPr>
            </w:pPr>
            <w:r w:rsidRPr="002056FA">
              <w:rPr>
                <w:rFonts w:eastAsia="Calibri"/>
                <w:lang w:eastAsia="en-US"/>
              </w:rPr>
              <w:t>Refer to response</w:t>
            </w:r>
            <w:r>
              <w:rPr>
                <w:rFonts w:eastAsia="Calibri"/>
                <w:lang w:eastAsia="en-US"/>
              </w:rPr>
              <w:t xml:space="preserve"> 1.4(b) and Section 3 of this document. </w:t>
            </w:r>
          </w:p>
        </w:tc>
      </w:tr>
      <w:tr w:rsidR="009F2CDD" w:rsidRPr="002056FA" w14:paraId="0C5EF42C" w14:textId="77777777" w:rsidTr="00E169B4">
        <w:tc>
          <w:tcPr>
            <w:tcW w:w="0" w:type="auto"/>
            <w:tcBorders>
              <w:bottom w:val="single" w:sz="4" w:space="0" w:color="auto"/>
            </w:tcBorders>
            <w:shd w:val="clear" w:color="auto" w:fill="auto"/>
          </w:tcPr>
          <w:p w14:paraId="2812462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w:t>
            </w:r>
          </w:p>
        </w:tc>
        <w:tc>
          <w:tcPr>
            <w:tcW w:w="0" w:type="auto"/>
            <w:tcBorders>
              <w:bottom w:val="single" w:sz="4" w:space="0" w:color="auto"/>
            </w:tcBorders>
            <w:shd w:val="clear" w:color="auto" w:fill="auto"/>
          </w:tcPr>
          <w:p w14:paraId="6019AD9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reconciliation of the capital and operating expenditure forecasts provided in the regulatory templates to the proposed capital and operating allowances in the post-tax revenue model for the forthcoming regulatory control period.</w:t>
            </w:r>
          </w:p>
        </w:tc>
        <w:tc>
          <w:tcPr>
            <w:tcW w:w="0" w:type="auto"/>
            <w:tcBorders>
              <w:bottom w:val="single" w:sz="4" w:space="0" w:color="auto"/>
            </w:tcBorders>
            <w:shd w:val="clear" w:color="auto" w:fill="auto"/>
          </w:tcPr>
          <w:p w14:paraId="54256F61" w14:textId="77777777" w:rsidR="009F2CDD" w:rsidRPr="002056FA" w:rsidRDefault="009F2CDD" w:rsidP="00E169B4">
            <w:pPr>
              <w:pStyle w:val="TableCopy"/>
              <w:rPr>
                <w:rFonts w:eastAsia="Calibri"/>
                <w:lang w:eastAsia="en-US"/>
              </w:rPr>
            </w:pPr>
            <w:r w:rsidRPr="002056FA">
              <w:rPr>
                <w:rFonts w:eastAsia="Calibri"/>
                <w:lang w:eastAsia="en-US"/>
              </w:rPr>
              <w:t xml:space="preserve">Capital and operating expenditure forecasts provided in the regulatory templates have been reconciled to the information in the </w:t>
            </w:r>
            <w:r>
              <w:rPr>
                <w:rFonts w:eastAsia="Calibri"/>
                <w:lang w:eastAsia="en-US"/>
              </w:rPr>
              <w:t>post-tax revenue model (</w:t>
            </w:r>
            <w:r w:rsidRPr="002056FA">
              <w:rPr>
                <w:rFonts w:eastAsia="Calibri"/>
                <w:lang w:eastAsia="en-US"/>
              </w:rPr>
              <w:t>PTRM</w:t>
            </w:r>
            <w:r>
              <w:rPr>
                <w:rFonts w:eastAsia="Calibri"/>
                <w:lang w:eastAsia="en-US"/>
              </w:rPr>
              <w:t>)</w:t>
            </w:r>
            <w:r w:rsidRPr="002056FA">
              <w:rPr>
                <w:rFonts w:eastAsia="Calibri"/>
                <w:lang w:eastAsia="en-US"/>
              </w:rPr>
              <w:t xml:space="preserve"> in the model in the “Reset RIN Population Model” (</w:t>
            </w:r>
            <w:r w:rsidRPr="00F24A90">
              <w:rPr>
                <w:rFonts w:eastAsia="Calibri"/>
                <w:lang w:eastAsia="en-US"/>
              </w:rPr>
              <w:t xml:space="preserve">Attachment </w:t>
            </w:r>
            <w:r>
              <w:rPr>
                <w:rFonts w:eastAsia="Calibri"/>
                <w:lang w:eastAsia="en-US"/>
              </w:rPr>
              <w:t>17.065</w:t>
            </w:r>
            <w:r w:rsidRPr="00F24A90">
              <w:rPr>
                <w:rFonts w:eastAsia="Calibri"/>
                <w:lang w:eastAsia="en-US"/>
              </w:rPr>
              <w:t>).</w:t>
            </w:r>
          </w:p>
          <w:p w14:paraId="3B2EC597" w14:textId="77777777" w:rsidR="009F2CDD" w:rsidRPr="002056FA" w:rsidRDefault="009F2CDD" w:rsidP="00E169B4">
            <w:pPr>
              <w:pStyle w:val="TableCopy"/>
              <w:rPr>
                <w:rFonts w:eastAsia="Calibri"/>
                <w:color w:val="000000"/>
                <w:lang w:eastAsia="en-US"/>
              </w:rPr>
            </w:pPr>
          </w:p>
        </w:tc>
      </w:tr>
      <w:tr w:rsidR="009F2CDD" w:rsidRPr="002056FA" w14:paraId="55994F27" w14:textId="77777777" w:rsidTr="00E169B4">
        <w:tc>
          <w:tcPr>
            <w:tcW w:w="0" w:type="auto"/>
            <w:shd w:val="clear" w:color="auto" w:fill="D0CECE" w:themeFill="background2" w:themeFillShade="E6"/>
          </w:tcPr>
          <w:p w14:paraId="31C9E5F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w:t>
            </w:r>
          </w:p>
        </w:tc>
        <w:tc>
          <w:tcPr>
            <w:tcW w:w="0" w:type="auto"/>
            <w:shd w:val="clear" w:color="auto" w:fill="D0CECE" w:themeFill="background2" w:themeFillShade="E6"/>
          </w:tcPr>
          <w:p w14:paraId="298743F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Where the regulatory proposal varies or departs from the application of any component or parameter of the capital efficiency sharing scheme, efficiency benefit sharing scheme, demand management incentive scheme or service target performance incentive scheme as set out in the framework and approach paper, for each variation or departure explain:</w:t>
            </w:r>
          </w:p>
        </w:tc>
        <w:tc>
          <w:tcPr>
            <w:tcW w:w="0" w:type="auto"/>
            <w:shd w:val="clear" w:color="auto" w:fill="D0CECE" w:themeFill="background2" w:themeFillShade="E6"/>
          </w:tcPr>
          <w:p w14:paraId="45472668" w14:textId="77777777" w:rsidR="009F2CDD" w:rsidRPr="002056FA" w:rsidRDefault="009F2CDD" w:rsidP="00E169B4">
            <w:pPr>
              <w:pStyle w:val="TableCopy"/>
              <w:rPr>
                <w:rFonts w:eastAsia="Calibri"/>
                <w:color w:val="000000"/>
                <w:lang w:eastAsia="en-US"/>
              </w:rPr>
            </w:pPr>
          </w:p>
        </w:tc>
      </w:tr>
      <w:tr w:rsidR="009F2CDD" w:rsidRPr="002056FA" w14:paraId="24A252B9" w14:textId="77777777" w:rsidTr="00E169B4">
        <w:tc>
          <w:tcPr>
            <w:tcW w:w="0" w:type="auto"/>
            <w:shd w:val="clear" w:color="auto" w:fill="auto"/>
          </w:tcPr>
          <w:p w14:paraId="757E702B" w14:textId="77777777" w:rsidR="009F2CDD" w:rsidRPr="002056FA" w:rsidRDefault="009F2CDD" w:rsidP="00E169B4">
            <w:pPr>
              <w:pStyle w:val="TableCopy"/>
              <w:rPr>
                <w:rFonts w:eastAsia="Calibri"/>
                <w:lang w:eastAsia="en-US"/>
              </w:rPr>
            </w:pPr>
            <w:r w:rsidRPr="002056FA">
              <w:rPr>
                <w:rFonts w:eastAsia="Calibri"/>
                <w:lang w:eastAsia="en-US"/>
              </w:rPr>
              <w:t xml:space="preserve">1.7(a) </w:t>
            </w:r>
          </w:p>
        </w:tc>
        <w:tc>
          <w:tcPr>
            <w:tcW w:w="0" w:type="auto"/>
            <w:shd w:val="clear" w:color="auto" w:fill="auto"/>
          </w:tcPr>
          <w:p w14:paraId="0EA21C22" w14:textId="77777777" w:rsidR="009F2CDD" w:rsidRPr="002056FA" w:rsidRDefault="009F2CDD" w:rsidP="00E169B4">
            <w:pPr>
              <w:pStyle w:val="TableCopy"/>
              <w:rPr>
                <w:rFonts w:eastAsia="Calibri"/>
                <w:lang w:eastAsia="en-US"/>
              </w:rPr>
            </w:pPr>
            <w:r w:rsidRPr="002056FA">
              <w:rPr>
                <w:rFonts w:eastAsia="Calibri"/>
                <w:lang w:eastAsia="en-US"/>
              </w:rPr>
              <w:t xml:space="preserve">the reasons for the variation or departure, including why it is appropriate; </w:t>
            </w:r>
          </w:p>
        </w:tc>
        <w:tc>
          <w:tcPr>
            <w:tcW w:w="0" w:type="auto"/>
            <w:shd w:val="clear" w:color="auto" w:fill="auto"/>
          </w:tcPr>
          <w:p w14:paraId="7C1DF739" w14:textId="77777777" w:rsidR="009F2CDD" w:rsidRPr="002056FA" w:rsidRDefault="009F2CDD" w:rsidP="00E169B4">
            <w:pPr>
              <w:pStyle w:val="TableCopy"/>
              <w:rPr>
                <w:rFonts w:eastAsia="Calibri"/>
                <w:lang w:eastAsia="en-US"/>
              </w:rPr>
            </w:pPr>
            <w:r w:rsidRPr="002056FA">
              <w:rPr>
                <w:rFonts w:eastAsia="Calibri"/>
                <w:lang w:eastAsia="en-US"/>
              </w:rPr>
              <w:t xml:space="preserve">Refer to </w:t>
            </w:r>
            <w:r w:rsidRPr="003B3600">
              <w:rPr>
                <w:rFonts w:eastAsia="Calibri"/>
                <w:lang w:eastAsia="en-US"/>
              </w:rPr>
              <w:t>Chapter</w:t>
            </w:r>
            <w:r>
              <w:rPr>
                <w:rFonts w:eastAsia="Calibri"/>
                <w:lang w:eastAsia="en-US"/>
              </w:rPr>
              <w:t>s</w:t>
            </w:r>
            <w:r w:rsidRPr="003B3600">
              <w:rPr>
                <w:rFonts w:eastAsia="Calibri"/>
                <w:lang w:eastAsia="en-US"/>
              </w:rPr>
              <w:t xml:space="preserve"> </w:t>
            </w:r>
            <w:r>
              <w:rPr>
                <w:rFonts w:eastAsia="Calibri"/>
                <w:lang w:eastAsia="en-US"/>
              </w:rPr>
              <w:t>4</w:t>
            </w:r>
            <w:r w:rsidRPr="003B3600">
              <w:rPr>
                <w:rFonts w:eastAsia="Calibri"/>
                <w:lang w:eastAsia="en-US"/>
              </w:rPr>
              <w:t xml:space="preserve"> </w:t>
            </w:r>
            <w:r>
              <w:rPr>
                <w:rFonts w:eastAsia="Calibri"/>
                <w:lang w:eastAsia="en-US"/>
              </w:rPr>
              <w:t xml:space="preserve">and 11 </w:t>
            </w:r>
            <w:r w:rsidRPr="003B3600">
              <w:rPr>
                <w:rFonts w:eastAsia="Calibri"/>
                <w:lang w:eastAsia="en-US"/>
              </w:rPr>
              <w:t>of</w:t>
            </w:r>
            <w:r>
              <w:rPr>
                <w:rFonts w:eastAsia="Calibri"/>
                <w:lang w:eastAsia="en-US"/>
              </w:rPr>
              <w:t xml:space="preserve"> Energex’s</w:t>
            </w:r>
            <w:r w:rsidRPr="002056FA">
              <w:rPr>
                <w:rFonts w:eastAsia="Calibri"/>
                <w:lang w:eastAsia="en-US"/>
              </w:rPr>
              <w:t xml:space="preserve"> </w:t>
            </w:r>
            <w:r>
              <w:rPr>
                <w:rFonts w:eastAsia="Calibri"/>
                <w:lang w:eastAsia="en-US"/>
              </w:rPr>
              <w:t xml:space="preserve">Regulatory Proposal. </w:t>
            </w:r>
            <w:r w:rsidRPr="002056FA">
              <w:rPr>
                <w:rFonts w:eastAsia="Calibri"/>
                <w:lang w:eastAsia="en-US"/>
              </w:rPr>
              <w:t xml:space="preserve">Energex has not proposed any variations or departures to the AER’s application of incentive schemes as set out in the final Framework and Approach paper dated July 2018. </w:t>
            </w:r>
          </w:p>
        </w:tc>
      </w:tr>
      <w:tr w:rsidR="009F2CDD" w:rsidRPr="002056FA" w14:paraId="5098B46D" w14:textId="77777777" w:rsidTr="00E169B4">
        <w:tc>
          <w:tcPr>
            <w:tcW w:w="0" w:type="auto"/>
            <w:shd w:val="clear" w:color="auto" w:fill="auto"/>
          </w:tcPr>
          <w:p w14:paraId="024C575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1.7(b) </w:t>
            </w:r>
          </w:p>
        </w:tc>
        <w:tc>
          <w:tcPr>
            <w:tcW w:w="0" w:type="auto"/>
            <w:shd w:val="clear" w:color="auto" w:fill="auto"/>
          </w:tcPr>
          <w:p w14:paraId="45BFF0D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how the variation or departure aligns with the objectives of the relevant scheme; and </w:t>
            </w:r>
          </w:p>
        </w:tc>
        <w:tc>
          <w:tcPr>
            <w:tcW w:w="0" w:type="auto"/>
            <w:shd w:val="clear" w:color="auto" w:fill="auto"/>
          </w:tcPr>
          <w:p w14:paraId="6F88079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1.7(a). Energex has not proposed any variations or departures to the AER’s application of incentive schemes as set out in the final Framework and Approach.</w:t>
            </w:r>
          </w:p>
        </w:tc>
      </w:tr>
      <w:tr w:rsidR="009F2CDD" w:rsidRPr="002056FA" w14:paraId="3A71C3B8" w14:textId="77777777" w:rsidTr="00E169B4">
        <w:tc>
          <w:tcPr>
            <w:tcW w:w="0" w:type="auto"/>
            <w:tcBorders>
              <w:bottom w:val="single" w:sz="4" w:space="0" w:color="auto"/>
            </w:tcBorders>
            <w:shd w:val="clear" w:color="auto" w:fill="auto"/>
          </w:tcPr>
          <w:p w14:paraId="0D4EA1D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1.7(c) </w:t>
            </w:r>
          </w:p>
        </w:tc>
        <w:tc>
          <w:tcPr>
            <w:tcW w:w="0" w:type="auto"/>
            <w:tcBorders>
              <w:bottom w:val="single" w:sz="4" w:space="0" w:color="auto"/>
            </w:tcBorders>
            <w:shd w:val="clear" w:color="auto" w:fill="auto"/>
          </w:tcPr>
          <w:p w14:paraId="1CA2E88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how the proposed variation or departure will impact the operation of the relevant scheme. </w:t>
            </w:r>
          </w:p>
        </w:tc>
        <w:tc>
          <w:tcPr>
            <w:tcW w:w="0" w:type="auto"/>
            <w:tcBorders>
              <w:bottom w:val="single" w:sz="4" w:space="0" w:color="auto"/>
            </w:tcBorders>
            <w:shd w:val="clear" w:color="auto" w:fill="auto"/>
          </w:tcPr>
          <w:p w14:paraId="30BF6AD2" w14:textId="77777777" w:rsidR="009F2CDD" w:rsidRPr="002056FA" w:rsidRDefault="009F2CDD" w:rsidP="00E169B4">
            <w:pPr>
              <w:pStyle w:val="TableCopy"/>
              <w:rPr>
                <w:rFonts w:eastAsia="Calibri"/>
                <w:color w:val="000000"/>
                <w:lang w:eastAsia="en-US"/>
              </w:rPr>
            </w:pPr>
            <w:r>
              <w:rPr>
                <w:rFonts w:eastAsia="Calibri"/>
                <w:color w:val="000000"/>
                <w:lang w:eastAsia="en-US"/>
              </w:rPr>
              <w:t xml:space="preserve">Refer to response 1.7(a). </w:t>
            </w:r>
            <w:r w:rsidRPr="002056FA">
              <w:rPr>
                <w:rFonts w:eastAsia="Calibri"/>
                <w:color w:val="000000"/>
                <w:lang w:eastAsia="en-US"/>
              </w:rPr>
              <w:t>Energex has not proposed any variations or departures to the AER’s application of incentive schemes as set out in the final Framework and Approach.</w:t>
            </w:r>
          </w:p>
        </w:tc>
      </w:tr>
      <w:tr w:rsidR="009F2CDD" w:rsidRPr="002056FA" w14:paraId="24A386D5" w14:textId="77777777" w:rsidTr="00E169B4">
        <w:tc>
          <w:tcPr>
            <w:tcW w:w="0" w:type="auto"/>
            <w:shd w:val="clear" w:color="auto" w:fill="D0CECE" w:themeFill="background2" w:themeFillShade="E6"/>
          </w:tcPr>
          <w:p w14:paraId="396E43FC" w14:textId="77777777" w:rsidR="009F2CDD" w:rsidRPr="002056FA" w:rsidRDefault="009F2CDD" w:rsidP="00E169B4">
            <w:pPr>
              <w:pStyle w:val="TableCopy"/>
              <w:rPr>
                <w:rFonts w:eastAsia="Calibri"/>
                <w:lang w:eastAsia="en-US"/>
              </w:rPr>
            </w:pPr>
            <w:r w:rsidRPr="002056FA">
              <w:rPr>
                <w:rFonts w:eastAsia="Calibri"/>
                <w:b/>
                <w:lang w:eastAsia="en-US"/>
              </w:rPr>
              <w:t>2</w:t>
            </w:r>
          </w:p>
        </w:tc>
        <w:tc>
          <w:tcPr>
            <w:tcW w:w="0" w:type="auto"/>
            <w:shd w:val="clear" w:color="auto" w:fill="D0CECE" w:themeFill="background2" w:themeFillShade="E6"/>
          </w:tcPr>
          <w:p w14:paraId="5632E1BA" w14:textId="77777777" w:rsidR="009F2CDD" w:rsidRPr="002056FA" w:rsidRDefault="009F2CDD" w:rsidP="00E169B4">
            <w:pPr>
              <w:pStyle w:val="TableCopy"/>
              <w:rPr>
                <w:rFonts w:eastAsia="Calibri"/>
                <w:lang w:eastAsia="en-US"/>
              </w:rPr>
            </w:pPr>
            <w:r w:rsidRPr="002056FA">
              <w:rPr>
                <w:rFonts w:eastAsia="Calibri"/>
                <w:b/>
                <w:lang w:eastAsia="en-US"/>
              </w:rPr>
              <w:t>CLASSIFICATION OF SERVICES</w:t>
            </w:r>
          </w:p>
        </w:tc>
        <w:tc>
          <w:tcPr>
            <w:tcW w:w="0" w:type="auto"/>
            <w:shd w:val="clear" w:color="auto" w:fill="D0CECE" w:themeFill="background2" w:themeFillShade="E6"/>
          </w:tcPr>
          <w:p w14:paraId="790A8BD6" w14:textId="77777777" w:rsidR="009F2CDD" w:rsidRPr="002056FA" w:rsidRDefault="009F2CDD" w:rsidP="00E169B4">
            <w:pPr>
              <w:pStyle w:val="TableCopy"/>
              <w:rPr>
                <w:rFonts w:eastAsia="Calibri"/>
                <w:lang w:eastAsia="en-US"/>
              </w:rPr>
            </w:pPr>
          </w:p>
        </w:tc>
      </w:tr>
      <w:tr w:rsidR="009F2CDD" w:rsidRPr="002056FA" w14:paraId="219D6F75" w14:textId="77777777" w:rsidTr="00E169B4">
        <w:tc>
          <w:tcPr>
            <w:tcW w:w="0" w:type="auto"/>
            <w:shd w:val="clear" w:color="auto" w:fill="auto"/>
          </w:tcPr>
          <w:p w14:paraId="3078570C" w14:textId="77777777" w:rsidR="009F2CDD" w:rsidRPr="002056FA" w:rsidRDefault="009F2CDD" w:rsidP="00E169B4">
            <w:pPr>
              <w:pStyle w:val="TableCopy"/>
              <w:rPr>
                <w:rFonts w:eastAsia="Calibri"/>
                <w:lang w:eastAsia="en-US"/>
              </w:rPr>
            </w:pPr>
            <w:r w:rsidRPr="002056FA">
              <w:rPr>
                <w:rFonts w:eastAsia="Calibri"/>
                <w:lang w:eastAsia="en-US"/>
              </w:rPr>
              <w:t>2.1</w:t>
            </w:r>
          </w:p>
        </w:tc>
        <w:tc>
          <w:tcPr>
            <w:tcW w:w="0" w:type="auto"/>
            <w:shd w:val="clear" w:color="auto" w:fill="auto"/>
          </w:tcPr>
          <w:p w14:paraId="13B02DA5" w14:textId="77777777" w:rsidR="009F2CDD" w:rsidRPr="002056FA" w:rsidRDefault="009F2CDD" w:rsidP="00E169B4">
            <w:pPr>
              <w:pStyle w:val="TableCopy"/>
              <w:rPr>
                <w:rFonts w:eastAsia="Calibri"/>
                <w:lang w:eastAsia="en-US"/>
              </w:rPr>
            </w:pPr>
            <w:r w:rsidRPr="002056FA">
              <w:rPr>
                <w:rFonts w:eastAsia="Calibri"/>
                <w:lang w:eastAsia="en-US"/>
              </w:rPr>
              <w:t>Identify each proposed service classification in the regulatory proposal which departs from a service classification set out in the framework and approach paper and explain:</w:t>
            </w:r>
          </w:p>
        </w:tc>
        <w:tc>
          <w:tcPr>
            <w:tcW w:w="0" w:type="auto"/>
            <w:shd w:val="clear" w:color="auto" w:fill="auto"/>
          </w:tcPr>
          <w:p w14:paraId="68D3D4F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w:t>
            </w:r>
            <w:r w:rsidRPr="0083090A">
              <w:rPr>
                <w:rFonts w:eastAsia="Calibri"/>
                <w:color w:val="000000"/>
                <w:lang w:eastAsia="en-US"/>
              </w:rPr>
              <w:t xml:space="preserve">Chapter </w:t>
            </w:r>
            <w:r>
              <w:rPr>
                <w:rFonts w:eastAsia="Calibri"/>
                <w:color w:val="000000"/>
                <w:lang w:eastAsia="en-US"/>
              </w:rPr>
              <w:t>4 of Energex’s Regulatory Proposal</w:t>
            </w:r>
            <w:r w:rsidRPr="002056FA">
              <w:rPr>
                <w:rFonts w:eastAsia="Calibri"/>
                <w:color w:val="000000"/>
                <w:lang w:eastAsia="en-US"/>
              </w:rPr>
              <w:t xml:space="preserve">. Energex has largely retained the service classifications as set out in the final Framework and Approach paper dated July 2018, but applied the service groupings and descriptions set out in the AER’s Service Classification Guideline published in September 2018. </w:t>
            </w:r>
          </w:p>
        </w:tc>
      </w:tr>
      <w:tr w:rsidR="009F2CDD" w:rsidRPr="002056FA" w14:paraId="5459EDE9" w14:textId="77777777" w:rsidTr="00E169B4">
        <w:tc>
          <w:tcPr>
            <w:tcW w:w="0" w:type="auto"/>
            <w:shd w:val="clear" w:color="auto" w:fill="auto"/>
          </w:tcPr>
          <w:p w14:paraId="2FC994A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2.1(a) </w:t>
            </w:r>
          </w:p>
        </w:tc>
        <w:tc>
          <w:tcPr>
            <w:tcW w:w="0" w:type="auto"/>
            <w:shd w:val="clear" w:color="auto" w:fill="auto"/>
          </w:tcPr>
          <w:p w14:paraId="63597B0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reasons for the departure, including why the proposed service classification is more appropriate; and </w:t>
            </w:r>
          </w:p>
        </w:tc>
        <w:tc>
          <w:tcPr>
            <w:tcW w:w="0" w:type="auto"/>
            <w:shd w:val="clear" w:color="auto" w:fill="auto"/>
          </w:tcPr>
          <w:p w14:paraId="7AD18EA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2.1.  Energex has largely retained the service classifications as set out in the final Framework and Approach paper dated July 2018, but applied the service groupings and descriptions set out in the AER’s Service Classification Guideline published in September 2018.</w:t>
            </w:r>
          </w:p>
        </w:tc>
      </w:tr>
      <w:tr w:rsidR="009F2CDD" w:rsidRPr="002056FA" w14:paraId="71BFB326" w14:textId="77777777" w:rsidTr="00E169B4">
        <w:tc>
          <w:tcPr>
            <w:tcW w:w="0" w:type="auto"/>
            <w:tcBorders>
              <w:bottom w:val="single" w:sz="4" w:space="0" w:color="auto"/>
            </w:tcBorders>
            <w:shd w:val="clear" w:color="auto" w:fill="auto"/>
          </w:tcPr>
          <w:p w14:paraId="1908F6A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2.1(b) </w:t>
            </w:r>
          </w:p>
        </w:tc>
        <w:tc>
          <w:tcPr>
            <w:tcW w:w="0" w:type="auto"/>
            <w:tcBorders>
              <w:bottom w:val="single" w:sz="4" w:space="0" w:color="auto"/>
            </w:tcBorders>
            <w:shd w:val="clear" w:color="auto" w:fill="auto"/>
          </w:tcPr>
          <w:p w14:paraId="07EB844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how</w:t>
            </w:r>
            <w:r>
              <w:rPr>
                <w:rFonts w:eastAsia="Calibri"/>
                <w:color w:val="000000"/>
                <w:lang w:eastAsia="en-US"/>
              </w:rPr>
              <w:t xml:space="preserve"> </w:t>
            </w:r>
            <w:r w:rsidRPr="002056FA">
              <w:rPr>
                <w:rFonts w:eastAsia="Calibri"/>
                <w:color w:val="000000"/>
                <w:lang w:eastAsia="en-US"/>
              </w:rPr>
              <w:t xml:space="preserve"> the treatment of the service will differ under the proposed service classification in comparison to that in the </w:t>
            </w:r>
            <w:r w:rsidRPr="002056FA">
              <w:rPr>
                <w:rFonts w:eastAsia="Calibri"/>
                <w:iCs/>
                <w:color w:val="000000"/>
                <w:lang w:eastAsia="en-US"/>
              </w:rPr>
              <w:t>framework and approach paper</w:t>
            </w:r>
            <w:r w:rsidRPr="002056FA">
              <w:rPr>
                <w:rFonts w:eastAsia="Calibri"/>
                <w:color w:val="000000"/>
                <w:lang w:eastAsia="en-US"/>
              </w:rPr>
              <w:t xml:space="preserve">. </w:t>
            </w:r>
          </w:p>
        </w:tc>
        <w:tc>
          <w:tcPr>
            <w:tcW w:w="0" w:type="auto"/>
            <w:tcBorders>
              <w:bottom w:val="single" w:sz="4" w:space="0" w:color="auto"/>
            </w:tcBorders>
            <w:shd w:val="clear" w:color="auto" w:fill="auto"/>
          </w:tcPr>
          <w:p w14:paraId="713DFA7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2.1.  Energex has largely retained the service classifications as set out in the final Framework and Approach paper dated July 2018, but applied the service groupings and descriptions set out in the AER’s Service Classification Guideline published in September 2018.</w:t>
            </w:r>
          </w:p>
        </w:tc>
      </w:tr>
      <w:tr w:rsidR="009F2CDD" w:rsidRPr="002056FA" w14:paraId="30DCFCA2" w14:textId="77777777" w:rsidTr="00E169B4">
        <w:tc>
          <w:tcPr>
            <w:tcW w:w="0" w:type="auto"/>
            <w:shd w:val="clear" w:color="auto" w:fill="D0CECE" w:themeFill="background2" w:themeFillShade="E6"/>
          </w:tcPr>
          <w:p w14:paraId="6248B0E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2.2</w:t>
            </w:r>
          </w:p>
        </w:tc>
        <w:tc>
          <w:tcPr>
            <w:tcW w:w="0" w:type="auto"/>
            <w:shd w:val="clear" w:color="auto" w:fill="D0CECE" w:themeFill="background2" w:themeFillShade="E6"/>
          </w:tcPr>
          <w:p w14:paraId="19B7E17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If the proposed service classifications in the regulatory proposal depart from any of the service classifications set out in the framework and approach paper:</w:t>
            </w:r>
          </w:p>
        </w:tc>
        <w:tc>
          <w:tcPr>
            <w:tcW w:w="0" w:type="auto"/>
            <w:shd w:val="clear" w:color="auto" w:fill="D0CECE" w:themeFill="background2" w:themeFillShade="E6"/>
          </w:tcPr>
          <w:p w14:paraId="3E507D20" w14:textId="77777777" w:rsidR="009F2CDD" w:rsidRPr="002056FA" w:rsidRDefault="009F2CDD" w:rsidP="00E169B4">
            <w:pPr>
              <w:pStyle w:val="TableCopy"/>
              <w:rPr>
                <w:rFonts w:eastAsia="Calibri"/>
                <w:color w:val="000000"/>
                <w:lang w:eastAsia="en-US"/>
              </w:rPr>
            </w:pPr>
          </w:p>
        </w:tc>
      </w:tr>
      <w:tr w:rsidR="009F2CDD" w:rsidRPr="002056FA" w14:paraId="7E76C52D" w14:textId="77777777" w:rsidTr="00E169B4">
        <w:tc>
          <w:tcPr>
            <w:tcW w:w="0" w:type="auto"/>
            <w:shd w:val="clear" w:color="auto" w:fill="auto"/>
          </w:tcPr>
          <w:p w14:paraId="28D49BAF" w14:textId="77777777" w:rsidR="009F2CDD" w:rsidRPr="002056FA" w:rsidRDefault="009F2CDD" w:rsidP="00E169B4">
            <w:pPr>
              <w:pStyle w:val="TableCopy"/>
              <w:rPr>
                <w:rFonts w:eastAsia="Calibri"/>
                <w:b/>
                <w:lang w:eastAsia="en-US"/>
              </w:rPr>
            </w:pPr>
            <w:r w:rsidRPr="002056FA">
              <w:rPr>
                <w:rFonts w:eastAsia="Calibri"/>
                <w:lang w:eastAsia="en-US"/>
              </w:rPr>
              <w:t xml:space="preserve">2.2(a) </w:t>
            </w:r>
          </w:p>
        </w:tc>
        <w:tc>
          <w:tcPr>
            <w:tcW w:w="0" w:type="auto"/>
            <w:shd w:val="clear" w:color="auto" w:fill="auto"/>
          </w:tcPr>
          <w:p w14:paraId="7F655153" w14:textId="77777777" w:rsidR="009F2CDD" w:rsidRPr="002056FA" w:rsidRDefault="009F2CDD" w:rsidP="00E169B4">
            <w:pPr>
              <w:pStyle w:val="TableCopy"/>
              <w:rPr>
                <w:rFonts w:eastAsia="Calibri"/>
                <w:b/>
                <w:lang w:eastAsia="en-US"/>
              </w:rPr>
            </w:pPr>
            <w:r w:rsidRPr="002056FA">
              <w:rPr>
                <w:rFonts w:eastAsia="Calibri"/>
                <w:lang w:eastAsia="en-US"/>
              </w:rPr>
              <w:t xml:space="preserve">provide, in a second set of </w:t>
            </w:r>
            <w:r w:rsidRPr="002056FA">
              <w:rPr>
                <w:rFonts w:eastAsia="Calibri"/>
                <w:iCs/>
                <w:lang w:eastAsia="en-US"/>
              </w:rPr>
              <w:t>regulatory templates</w:t>
            </w:r>
            <w:r w:rsidRPr="002056FA">
              <w:rPr>
                <w:rFonts w:eastAsia="Calibri"/>
                <w:lang w:eastAsia="en-US"/>
              </w:rPr>
              <w:t xml:space="preserve">, all information required in each </w:t>
            </w:r>
            <w:r w:rsidRPr="002056FA">
              <w:rPr>
                <w:rFonts w:eastAsia="Calibri"/>
                <w:iCs/>
                <w:lang w:eastAsia="en-US"/>
              </w:rPr>
              <w:t xml:space="preserve">regulatory template </w:t>
            </w:r>
            <w:r w:rsidRPr="002056FA">
              <w:rPr>
                <w:rFonts w:eastAsia="Calibri"/>
                <w:lang w:eastAsia="en-US"/>
              </w:rPr>
              <w:t xml:space="preserve">in accordance with the instructions contained therein, modified as necessary, to incorporate the proposed service classifications; and </w:t>
            </w:r>
          </w:p>
        </w:tc>
        <w:tc>
          <w:tcPr>
            <w:tcW w:w="0" w:type="auto"/>
            <w:shd w:val="clear" w:color="auto" w:fill="auto"/>
          </w:tcPr>
          <w:p w14:paraId="6CEDEBAA" w14:textId="77777777" w:rsidR="009F2CDD" w:rsidRPr="002056FA" w:rsidRDefault="009F2CDD" w:rsidP="00E169B4">
            <w:pPr>
              <w:pStyle w:val="TableCopy"/>
              <w:rPr>
                <w:rFonts w:eastAsia="Calibri"/>
                <w:lang w:eastAsia="en-US"/>
              </w:rPr>
            </w:pPr>
            <w:r w:rsidRPr="002056FA">
              <w:rPr>
                <w:rFonts w:eastAsia="Calibri"/>
                <w:lang w:eastAsia="en-US"/>
              </w:rPr>
              <w:t>Refer to response 2.1.  Energex has largely retained the service classifications as set out in the final Framework and Approach paper dated July 2018, but applied the service groupings and descriptions set out in the AER’s Service Classification Guideline published in September 2018.</w:t>
            </w:r>
          </w:p>
        </w:tc>
      </w:tr>
      <w:tr w:rsidR="009F2CDD" w:rsidRPr="002056FA" w14:paraId="761B0A36" w14:textId="77777777" w:rsidTr="00E169B4">
        <w:tc>
          <w:tcPr>
            <w:tcW w:w="0" w:type="auto"/>
            <w:tcBorders>
              <w:bottom w:val="single" w:sz="4" w:space="0" w:color="auto"/>
            </w:tcBorders>
            <w:shd w:val="clear" w:color="auto" w:fill="auto"/>
          </w:tcPr>
          <w:p w14:paraId="2D774942" w14:textId="77777777" w:rsidR="009F2CDD" w:rsidRPr="002056FA" w:rsidRDefault="009F2CDD" w:rsidP="00E169B4">
            <w:pPr>
              <w:pStyle w:val="TableCopy"/>
              <w:rPr>
                <w:rFonts w:eastAsia="Calibri"/>
                <w:lang w:eastAsia="en-US"/>
              </w:rPr>
            </w:pPr>
            <w:r w:rsidRPr="002056FA">
              <w:rPr>
                <w:rFonts w:eastAsia="Calibri"/>
                <w:lang w:eastAsia="en-US"/>
              </w:rPr>
              <w:t xml:space="preserve">2.2(b) </w:t>
            </w:r>
          </w:p>
        </w:tc>
        <w:tc>
          <w:tcPr>
            <w:tcW w:w="0" w:type="auto"/>
            <w:tcBorders>
              <w:bottom w:val="single" w:sz="4" w:space="0" w:color="auto"/>
            </w:tcBorders>
            <w:shd w:val="clear" w:color="auto" w:fill="auto"/>
          </w:tcPr>
          <w:p w14:paraId="544230D5" w14:textId="77777777" w:rsidR="009F2CDD" w:rsidRPr="002056FA" w:rsidRDefault="009F2CDD" w:rsidP="00E169B4">
            <w:pPr>
              <w:pStyle w:val="TableCopy"/>
              <w:rPr>
                <w:rFonts w:eastAsia="Calibri"/>
                <w:lang w:eastAsia="en-US"/>
              </w:rPr>
            </w:pPr>
            <w:r w:rsidRPr="002056FA">
              <w:rPr>
                <w:rFonts w:eastAsia="Calibri"/>
                <w:lang w:eastAsia="en-US"/>
              </w:rPr>
              <w:t xml:space="preserve">identify and explain where the </w:t>
            </w:r>
            <w:r w:rsidRPr="002056FA">
              <w:rPr>
                <w:rFonts w:eastAsia="Calibri"/>
                <w:iCs/>
                <w:lang w:eastAsia="en-US"/>
              </w:rPr>
              <w:t xml:space="preserve">regulatory templates </w:t>
            </w:r>
            <w:r w:rsidRPr="002056FA">
              <w:rPr>
                <w:rFonts w:eastAsia="Calibri"/>
                <w:lang w:eastAsia="en-US"/>
              </w:rPr>
              <w:t xml:space="preserve">differ. </w:t>
            </w:r>
          </w:p>
        </w:tc>
        <w:tc>
          <w:tcPr>
            <w:tcW w:w="0" w:type="auto"/>
            <w:tcBorders>
              <w:bottom w:val="single" w:sz="4" w:space="0" w:color="auto"/>
            </w:tcBorders>
            <w:shd w:val="clear" w:color="auto" w:fill="auto"/>
          </w:tcPr>
          <w:p w14:paraId="0A583CA4" w14:textId="77777777" w:rsidR="009F2CDD" w:rsidRPr="002056FA" w:rsidRDefault="009F2CDD" w:rsidP="00E169B4">
            <w:pPr>
              <w:pStyle w:val="TableCopy"/>
              <w:rPr>
                <w:rFonts w:eastAsia="Calibri"/>
                <w:lang w:eastAsia="en-US"/>
              </w:rPr>
            </w:pPr>
            <w:r w:rsidRPr="002056FA">
              <w:rPr>
                <w:rFonts w:eastAsia="Calibri"/>
                <w:lang w:eastAsia="en-US"/>
              </w:rPr>
              <w:t>Refer to response to 2.1.  Energex has largely retained the service classifications as set out in the final Framework and Approach paper dated July 2018, but applied the service groupings and descriptions set out in the AER’s Service Classification Guideline published in September 2018.</w:t>
            </w:r>
          </w:p>
        </w:tc>
      </w:tr>
      <w:tr w:rsidR="009F2CDD" w:rsidRPr="002056FA" w14:paraId="1BB63997" w14:textId="77777777" w:rsidTr="00E169B4">
        <w:tc>
          <w:tcPr>
            <w:tcW w:w="0" w:type="auto"/>
            <w:shd w:val="clear" w:color="auto" w:fill="D0CECE" w:themeFill="background2" w:themeFillShade="E6"/>
          </w:tcPr>
          <w:p w14:paraId="0663A106"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3</w:t>
            </w:r>
          </w:p>
        </w:tc>
        <w:tc>
          <w:tcPr>
            <w:tcW w:w="0" w:type="auto"/>
            <w:shd w:val="clear" w:color="auto" w:fill="D0CECE" w:themeFill="background2" w:themeFillShade="E6"/>
          </w:tcPr>
          <w:p w14:paraId="372509C5"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CONTROL MECHANISMS</w:t>
            </w:r>
          </w:p>
        </w:tc>
        <w:tc>
          <w:tcPr>
            <w:tcW w:w="0" w:type="auto"/>
            <w:shd w:val="clear" w:color="auto" w:fill="D0CECE" w:themeFill="background2" w:themeFillShade="E6"/>
          </w:tcPr>
          <w:p w14:paraId="22F492F3" w14:textId="77777777" w:rsidR="009F2CDD" w:rsidRPr="002056FA" w:rsidRDefault="009F2CDD" w:rsidP="00E169B4">
            <w:pPr>
              <w:pStyle w:val="TableCopy"/>
              <w:rPr>
                <w:rFonts w:eastAsia="Calibri"/>
                <w:color w:val="000000"/>
                <w:lang w:eastAsia="en-US"/>
              </w:rPr>
            </w:pPr>
          </w:p>
        </w:tc>
      </w:tr>
      <w:tr w:rsidR="009F2CDD" w:rsidRPr="002056FA" w14:paraId="2431A416" w14:textId="77777777" w:rsidTr="00E169B4">
        <w:tc>
          <w:tcPr>
            <w:tcW w:w="0" w:type="auto"/>
            <w:shd w:val="clear" w:color="auto" w:fill="D0CECE" w:themeFill="background2" w:themeFillShade="E6"/>
          </w:tcPr>
          <w:p w14:paraId="38CC0A0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3.1</w:t>
            </w:r>
          </w:p>
        </w:tc>
        <w:tc>
          <w:tcPr>
            <w:tcW w:w="0" w:type="auto"/>
            <w:shd w:val="clear" w:color="auto" w:fill="D0CECE" w:themeFill="background2" w:themeFillShade="E6"/>
          </w:tcPr>
          <w:p w14:paraId="06A8B26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the forecast revenues that Energex proposes to recover from providing direct control services over the forthcoming regulatory control period provide:</w:t>
            </w:r>
          </w:p>
        </w:tc>
        <w:tc>
          <w:tcPr>
            <w:tcW w:w="0" w:type="auto"/>
            <w:shd w:val="clear" w:color="auto" w:fill="D0CECE" w:themeFill="background2" w:themeFillShade="E6"/>
          </w:tcPr>
          <w:p w14:paraId="10D05AA2" w14:textId="77777777" w:rsidR="009F2CDD" w:rsidRPr="002056FA" w:rsidRDefault="009F2CDD" w:rsidP="00E169B4">
            <w:pPr>
              <w:pStyle w:val="TableCopy"/>
              <w:rPr>
                <w:rFonts w:eastAsia="Calibri"/>
                <w:color w:val="000000"/>
                <w:lang w:eastAsia="en-US"/>
              </w:rPr>
            </w:pPr>
          </w:p>
        </w:tc>
      </w:tr>
      <w:tr w:rsidR="009F2CDD" w:rsidRPr="002056FA" w14:paraId="649B40AF" w14:textId="77777777" w:rsidTr="00E169B4">
        <w:tc>
          <w:tcPr>
            <w:tcW w:w="0" w:type="auto"/>
            <w:shd w:val="clear" w:color="auto" w:fill="auto"/>
          </w:tcPr>
          <w:p w14:paraId="1F70B26A" w14:textId="77777777" w:rsidR="009F2CDD" w:rsidRPr="002056FA" w:rsidRDefault="009F2CDD" w:rsidP="00E169B4">
            <w:pPr>
              <w:pStyle w:val="TableCopy"/>
              <w:rPr>
                <w:rFonts w:eastAsia="Calibri"/>
                <w:lang w:eastAsia="en-US"/>
              </w:rPr>
            </w:pPr>
            <w:r w:rsidRPr="002056FA">
              <w:rPr>
                <w:rFonts w:eastAsia="Calibri"/>
                <w:lang w:eastAsia="en-US"/>
              </w:rPr>
              <w:t>3.1(a)</w:t>
            </w:r>
          </w:p>
        </w:tc>
        <w:tc>
          <w:tcPr>
            <w:tcW w:w="0" w:type="auto"/>
            <w:shd w:val="clear" w:color="auto" w:fill="auto"/>
          </w:tcPr>
          <w:p w14:paraId="41795EDB" w14:textId="77777777" w:rsidR="009F2CDD" w:rsidRPr="002056FA" w:rsidRDefault="009F2CDD" w:rsidP="00E169B4">
            <w:pPr>
              <w:pStyle w:val="TableCopy"/>
              <w:rPr>
                <w:rFonts w:eastAsia="Calibri"/>
                <w:lang w:eastAsia="en-US"/>
              </w:rPr>
            </w:pPr>
            <w:r w:rsidRPr="002056FA">
              <w:rPr>
                <w:rFonts w:eastAsia="Calibri"/>
                <w:lang w:eastAsia="en-US"/>
              </w:rPr>
              <w:t xml:space="preserve">formulaic expressions for the basis of control mechanisms for </w:t>
            </w:r>
            <w:r w:rsidRPr="002056FA">
              <w:rPr>
                <w:rFonts w:eastAsia="Calibri"/>
                <w:iCs/>
                <w:lang w:eastAsia="en-US"/>
              </w:rPr>
              <w:t xml:space="preserve">standard control services </w:t>
            </w:r>
            <w:r w:rsidRPr="002056FA">
              <w:rPr>
                <w:rFonts w:eastAsia="Calibri"/>
                <w:lang w:eastAsia="en-US"/>
              </w:rPr>
              <w:t xml:space="preserve">and for </w:t>
            </w:r>
            <w:r w:rsidRPr="002056FA">
              <w:rPr>
                <w:rFonts w:eastAsia="Calibri"/>
                <w:iCs/>
                <w:lang w:eastAsia="en-US"/>
              </w:rPr>
              <w:t>alternative control services</w:t>
            </w:r>
            <w:r w:rsidRPr="002056FA">
              <w:rPr>
                <w:rFonts w:eastAsia="Calibri"/>
                <w:lang w:eastAsia="en-US"/>
              </w:rPr>
              <w:t xml:space="preserve">; and </w:t>
            </w:r>
          </w:p>
        </w:tc>
        <w:tc>
          <w:tcPr>
            <w:tcW w:w="0" w:type="auto"/>
            <w:shd w:val="clear" w:color="auto" w:fill="auto"/>
          </w:tcPr>
          <w:p w14:paraId="6838C2EF" w14:textId="77777777" w:rsidR="009F2CDD" w:rsidRPr="002056FA" w:rsidRDefault="009F2CDD" w:rsidP="00E169B4">
            <w:pPr>
              <w:pStyle w:val="TableCopy"/>
              <w:rPr>
                <w:rFonts w:eastAsia="Calibri"/>
                <w:b/>
                <w:lang w:eastAsia="en-US"/>
              </w:rPr>
            </w:pPr>
            <w:r w:rsidRPr="002056FA">
              <w:rPr>
                <w:rFonts w:eastAsia="Calibri"/>
                <w:lang w:eastAsia="en-US"/>
              </w:rPr>
              <w:t xml:space="preserve">Energex has set out formulaic expressions for the basis of control mechanisms for </w:t>
            </w:r>
            <w:r w:rsidRPr="002056FA">
              <w:rPr>
                <w:rFonts w:eastAsia="Calibri"/>
                <w:iCs/>
                <w:lang w:eastAsia="en-US"/>
              </w:rPr>
              <w:t xml:space="preserve">standard control services </w:t>
            </w:r>
            <w:r>
              <w:rPr>
                <w:rFonts w:eastAsia="Calibri"/>
                <w:iCs/>
                <w:lang w:eastAsia="en-US"/>
              </w:rPr>
              <w:t xml:space="preserve">(SCS) </w:t>
            </w:r>
            <w:r w:rsidRPr="002056FA">
              <w:rPr>
                <w:rFonts w:eastAsia="Calibri"/>
                <w:lang w:eastAsia="en-US"/>
              </w:rPr>
              <w:t xml:space="preserve">and for </w:t>
            </w:r>
            <w:r w:rsidRPr="002056FA">
              <w:rPr>
                <w:rFonts w:eastAsia="Calibri"/>
                <w:iCs/>
                <w:lang w:eastAsia="en-US"/>
              </w:rPr>
              <w:t>alternative control services</w:t>
            </w:r>
            <w:r>
              <w:rPr>
                <w:rFonts w:eastAsia="Calibri"/>
                <w:lang w:eastAsia="en-US"/>
              </w:rPr>
              <w:t xml:space="preserve"> (ACS) in the ‘Control Mechanisms’</w:t>
            </w:r>
            <w:r w:rsidRPr="002056FA">
              <w:rPr>
                <w:rFonts w:eastAsia="Calibri"/>
                <w:lang w:eastAsia="en-US"/>
              </w:rPr>
              <w:t xml:space="preserve"> document (</w:t>
            </w:r>
            <w:r>
              <w:rPr>
                <w:rFonts w:eastAsia="Calibri"/>
                <w:lang w:eastAsia="en-US"/>
              </w:rPr>
              <w:t>Attachment 4.001</w:t>
            </w:r>
            <w:r w:rsidRPr="00F24A90">
              <w:rPr>
                <w:rFonts w:eastAsia="Calibri"/>
                <w:lang w:eastAsia="en-US"/>
              </w:rPr>
              <w:t xml:space="preserve">). </w:t>
            </w:r>
          </w:p>
        </w:tc>
      </w:tr>
      <w:tr w:rsidR="009F2CDD" w:rsidRPr="002056FA" w14:paraId="37F8477E" w14:textId="77777777" w:rsidTr="00E169B4">
        <w:tc>
          <w:tcPr>
            <w:tcW w:w="0" w:type="auto"/>
            <w:tcBorders>
              <w:bottom w:val="single" w:sz="4" w:space="0" w:color="auto"/>
            </w:tcBorders>
            <w:shd w:val="clear" w:color="auto" w:fill="auto"/>
          </w:tcPr>
          <w:p w14:paraId="330D6F1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3.1 (b)</w:t>
            </w:r>
          </w:p>
        </w:tc>
        <w:tc>
          <w:tcPr>
            <w:tcW w:w="0" w:type="auto"/>
            <w:tcBorders>
              <w:bottom w:val="single" w:sz="4" w:space="0" w:color="auto"/>
            </w:tcBorders>
            <w:shd w:val="clear" w:color="auto" w:fill="auto"/>
          </w:tcPr>
          <w:p w14:paraId="256A8B76" w14:textId="77777777" w:rsidR="009F2CDD" w:rsidRPr="002056FA" w:rsidRDefault="009F2CDD" w:rsidP="00E169B4">
            <w:pPr>
              <w:pStyle w:val="TableCopy"/>
              <w:rPr>
                <w:rFonts w:eastAsia="Calibri"/>
                <w:lang w:eastAsia="en-US"/>
              </w:rPr>
            </w:pPr>
            <w:r w:rsidRPr="002056FA">
              <w:rPr>
                <w:rFonts w:eastAsia="Calibri"/>
                <w:lang w:eastAsia="en-US"/>
              </w:rPr>
              <w:t xml:space="preserve">a detailed explanation and justification for each component that makes up the formulaic expression. </w:t>
            </w:r>
          </w:p>
        </w:tc>
        <w:tc>
          <w:tcPr>
            <w:tcW w:w="0" w:type="auto"/>
            <w:tcBorders>
              <w:bottom w:val="single" w:sz="4" w:space="0" w:color="auto"/>
            </w:tcBorders>
            <w:shd w:val="clear" w:color="auto" w:fill="auto"/>
          </w:tcPr>
          <w:p w14:paraId="0374EEC2" w14:textId="77777777" w:rsidR="009F2CDD" w:rsidRPr="002056FA" w:rsidRDefault="009F2CDD" w:rsidP="00E169B4">
            <w:pPr>
              <w:pStyle w:val="TableCopy"/>
              <w:rPr>
                <w:rFonts w:eastAsia="Calibri"/>
                <w:lang w:eastAsia="en-US"/>
              </w:rPr>
            </w:pPr>
            <w:r w:rsidRPr="002056FA">
              <w:rPr>
                <w:rFonts w:eastAsia="Calibri"/>
                <w:color w:val="000000"/>
                <w:lang w:eastAsia="en-US"/>
              </w:rPr>
              <w:t>Refer to 3.1(a).  Energex has explained and justified each co</w:t>
            </w:r>
            <w:r>
              <w:rPr>
                <w:rFonts w:eastAsia="Calibri"/>
                <w:color w:val="000000"/>
                <w:lang w:eastAsia="en-US"/>
              </w:rPr>
              <w:t>mponent of the formulae in the ‘Control Mechanisms’</w:t>
            </w:r>
            <w:r w:rsidRPr="002056FA">
              <w:rPr>
                <w:rFonts w:eastAsia="Calibri"/>
                <w:color w:val="000000"/>
                <w:lang w:eastAsia="en-US"/>
              </w:rPr>
              <w:t xml:space="preserve"> document (</w:t>
            </w:r>
            <w:r>
              <w:rPr>
                <w:rFonts w:eastAsia="Calibri"/>
                <w:color w:val="000000"/>
                <w:lang w:eastAsia="en-US"/>
              </w:rPr>
              <w:t>Attachment 4.001</w:t>
            </w:r>
            <w:r w:rsidRPr="00F24A90">
              <w:rPr>
                <w:rFonts w:eastAsia="Calibri"/>
                <w:color w:val="000000"/>
                <w:lang w:eastAsia="en-US"/>
              </w:rPr>
              <w:t xml:space="preserve">). </w:t>
            </w:r>
          </w:p>
        </w:tc>
      </w:tr>
      <w:tr w:rsidR="009F2CDD" w:rsidRPr="002056FA" w14:paraId="075DFBBB" w14:textId="77777777" w:rsidTr="00E169B4">
        <w:tc>
          <w:tcPr>
            <w:tcW w:w="0" w:type="auto"/>
            <w:shd w:val="clear" w:color="auto" w:fill="D0CECE" w:themeFill="background2" w:themeFillShade="E6"/>
          </w:tcPr>
          <w:p w14:paraId="4ADB7D6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3.2</w:t>
            </w:r>
          </w:p>
        </w:tc>
        <w:tc>
          <w:tcPr>
            <w:tcW w:w="0" w:type="auto"/>
            <w:shd w:val="clear" w:color="auto" w:fill="D0CECE" w:themeFill="background2" w:themeFillShade="E6"/>
          </w:tcPr>
          <w:p w14:paraId="6166769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Also demonstrate:</w:t>
            </w:r>
          </w:p>
        </w:tc>
        <w:tc>
          <w:tcPr>
            <w:tcW w:w="0" w:type="auto"/>
            <w:shd w:val="clear" w:color="auto" w:fill="D0CECE" w:themeFill="background2" w:themeFillShade="E6"/>
          </w:tcPr>
          <w:p w14:paraId="32E14698" w14:textId="77777777" w:rsidR="009F2CDD" w:rsidRPr="002056FA" w:rsidRDefault="009F2CDD" w:rsidP="00E169B4">
            <w:pPr>
              <w:pStyle w:val="TableCopy"/>
              <w:rPr>
                <w:rFonts w:eastAsia="Calibri"/>
                <w:color w:val="000000"/>
                <w:lang w:eastAsia="en-US"/>
              </w:rPr>
            </w:pPr>
          </w:p>
        </w:tc>
      </w:tr>
      <w:tr w:rsidR="009F2CDD" w:rsidRPr="002056FA" w14:paraId="1F7495E5" w14:textId="77777777" w:rsidTr="00E169B4">
        <w:tc>
          <w:tcPr>
            <w:tcW w:w="0" w:type="auto"/>
            <w:shd w:val="clear" w:color="auto" w:fill="auto"/>
          </w:tcPr>
          <w:p w14:paraId="3B8EE57D" w14:textId="77777777" w:rsidR="009F2CDD" w:rsidRPr="002056FA" w:rsidRDefault="009F2CDD" w:rsidP="00E169B4">
            <w:pPr>
              <w:pStyle w:val="TableCopy"/>
              <w:rPr>
                <w:rFonts w:eastAsia="Calibri"/>
                <w:b/>
                <w:lang w:eastAsia="en-US"/>
              </w:rPr>
            </w:pPr>
            <w:r w:rsidRPr="002056FA">
              <w:rPr>
                <w:rFonts w:eastAsia="Calibri"/>
                <w:lang w:eastAsia="en-US"/>
              </w:rPr>
              <w:t>3.2(a)</w:t>
            </w:r>
          </w:p>
        </w:tc>
        <w:tc>
          <w:tcPr>
            <w:tcW w:w="0" w:type="auto"/>
            <w:shd w:val="clear" w:color="auto" w:fill="auto"/>
          </w:tcPr>
          <w:p w14:paraId="7406BADB" w14:textId="77777777" w:rsidR="009F2CDD" w:rsidRPr="002056FA" w:rsidRDefault="009F2CDD" w:rsidP="00E169B4">
            <w:pPr>
              <w:pStyle w:val="TableCopy"/>
              <w:rPr>
                <w:rFonts w:eastAsia="Calibri"/>
                <w:b/>
                <w:lang w:eastAsia="en-US"/>
              </w:rPr>
            </w:pPr>
            <w:r w:rsidRPr="002056FA">
              <w:rPr>
                <w:rFonts w:eastAsia="Calibri"/>
                <w:lang w:eastAsia="en-US"/>
              </w:rPr>
              <w:t xml:space="preserve">how </w:t>
            </w:r>
            <w:r w:rsidRPr="002056FA">
              <w:rPr>
                <w:rFonts w:eastAsia="Calibri"/>
                <w:noProof/>
                <w:lang w:eastAsia="en-US"/>
              </w:rPr>
              <w:fldChar w:fldCharType="begin"/>
            </w:r>
            <w:r w:rsidRPr="002056FA">
              <w:rPr>
                <w:rFonts w:eastAsia="Calibri"/>
                <w:noProof/>
                <w:lang w:eastAsia="en-US"/>
              </w:rPr>
              <w:instrText xml:space="preserve"> MERGEFIELD Shortened_Business_Name </w:instrText>
            </w:r>
            <w:r w:rsidRPr="002056FA">
              <w:rPr>
                <w:rFonts w:eastAsia="Calibri"/>
                <w:noProof/>
                <w:lang w:eastAsia="en-US"/>
              </w:rPr>
              <w:fldChar w:fldCharType="separate"/>
            </w:r>
            <w:r w:rsidRPr="002056FA">
              <w:rPr>
                <w:rFonts w:eastAsia="Calibri"/>
                <w:noProof/>
                <w:lang w:eastAsia="en-US"/>
              </w:rPr>
              <w:t>Energex</w:t>
            </w:r>
            <w:r w:rsidRPr="002056FA">
              <w:rPr>
                <w:rFonts w:eastAsia="Calibri"/>
                <w:noProof/>
                <w:lang w:eastAsia="en-US"/>
              </w:rPr>
              <w:fldChar w:fldCharType="end"/>
            </w:r>
            <w:r w:rsidRPr="002056FA">
              <w:rPr>
                <w:rFonts w:eastAsia="Calibri"/>
                <w:lang w:eastAsia="en-US"/>
              </w:rPr>
              <w:t xml:space="preserve"> considers the control mechanisms are compliant with the framework and approach paper; and</w:t>
            </w:r>
          </w:p>
        </w:tc>
        <w:tc>
          <w:tcPr>
            <w:tcW w:w="0" w:type="auto"/>
            <w:shd w:val="clear" w:color="auto" w:fill="auto"/>
          </w:tcPr>
          <w:p w14:paraId="413B6A94" w14:textId="77777777" w:rsidR="009F2CDD" w:rsidRPr="002056FA" w:rsidRDefault="009F2CDD" w:rsidP="00E169B4">
            <w:pPr>
              <w:pStyle w:val="TableCopy"/>
              <w:rPr>
                <w:rFonts w:eastAsia="Calibri"/>
                <w:lang w:eastAsia="en-US"/>
              </w:rPr>
            </w:pPr>
            <w:r>
              <w:rPr>
                <w:rFonts w:eastAsia="Calibri"/>
                <w:lang w:eastAsia="en-US"/>
              </w:rPr>
              <w:t>Refer to the ‘Control Mechanisms’</w:t>
            </w:r>
            <w:r w:rsidRPr="002056FA">
              <w:rPr>
                <w:rFonts w:eastAsia="Calibri"/>
                <w:lang w:eastAsia="en-US"/>
              </w:rPr>
              <w:t xml:space="preserve"> document </w:t>
            </w:r>
            <w:r>
              <w:rPr>
                <w:rFonts w:eastAsia="Calibri"/>
                <w:lang w:eastAsia="en-US"/>
              </w:rPr>
              <w:t>(Attachment 4.001).</w:t>
            </w:r>
            <w:r w:rsidRPr="002056FA">
              <w:rPr>
                <w:rFonts w:eastAsia="Calibri"/>
                <w:lang w:eastAsia="en-US"/>
              </w:rPr>
              <w:t xml:space="preserve"> </w:t>
            </w:r>
          </w:p>
        </w:tc>
      </w:tr>
      <w:tr w:rsidR="009F2CDD" w:rsidRPr="002056FA" w14:paraId="79BFFBC1" w14:textId="77777777" w:rsidTr="00E169B4">
        <w:tc>
          <w:tcPr>
            <w:tcW w:w="0" w:type="auto"/>
            <w:tcBorders>
              <w:bottom w:val="single" w:sz="4" w:space="0" w:color="auto"/>
            </w:tcBorders>
            <w:shd w:val="clear" w:color="auto" w:fill="auto"/>
          </w:tcPr>
          <w:p w14:paraId="56A73BC5" w14:textId="77777777" w:rsidR="009F2CDD" w:rsidRPr="002056FA" w:rsidRDefault="009F2CDD" w:rsidP="00E169B4">
            <w:pPr>
              <w:pStyle w:val="TableCopy"/>
              <w:rPr>
                <w:rFonts w:eastAsia="Calibri"/>
                <w:lang w:eastAsia="en-US"/>
              </w:rPr>
            </w:pPr>
            <w:r w:rsidRPr="002056FA">
              <w:rPr>
                <w:rFonts w:eastAsia="Calibri"/>
                <w:lang w:eastAsia="en-US"/>
              </w:rPr>
              <w:t>3.2(b)</w:t>
            </w:r>
          </w:p>
        </w:tc>
        <w:tc>
          <w:tcPr>
            <w:tcW w:w="0" w:type="auto"/>
            <w:tcBorders>
              <w:bottom w:val="single" w:sz="4" w:space="0" w:color="auto"/>
            </w:tcBorders>
            <w:shd w:val="clear" w:color="auto" w:fill="auto"/>
          </w:tcPr>
          <w:p w14:paraId="68ACDCA4" w14:textId="77777777" w:rsidR="009F2CDD" w:rsidRPr="002056FA" w:rsidRDefault="009F2CDD" w:rsidP="00E169B4">
            <w:pPr>
              <w:pStyle w:val="TableCopy"/>
              <w:rPr>
                <w:rFonts w:eastAsia="Calibri"/>
                <w:lang w:eastAsia="en-US"/>
              </w:rPr>
            </w:pPr>
            <w:r w:rsidRPr="002056FA">
              <w:rPr>
                <w:rFonts w:eastAsia="Calibri"/>
                <w:lang w:eastAsia="en-US"/>
              </w:rPr>
              <w:t xml:space="preserve">for standard control services, how </w:t>
            </w:r>
            <w:r w:rsidRPr="002056FA">
              <w:rPr>
                <w:rFonts w:eastAsia="Calibri"/>
                <w:noProof/>
                <w:lang w:eastAsia="en-US"/>
              </w:rPr>
              <w:fldChar w:fldCharType="begin"/>
            </w:r>
            <w:r w:rsidRPr="002056FA">
              <w:rPr>
                <w:rFonts w:eastAsia="Calibri"/>
                <w:noProof/>
                <w:lang w:eastAsia="en-US"/>
              </w:rPr>
              <w:instrText xml:space="preserve"> MERGEFIELD Shortened_Business_Name </w:instrText>
            </w:r>
            <w:r w:rsidRPr="002056FA">
              <w:rPr>
                <w:rFonts w:eastAsia="Calibri"/>
                <w:noProof/>
                <w:lang w:eastAsia="en-US"/>
              </w:rPr>
              <w:fldChar w:fldCharType="separate"/>
            </w:r>
            <w:r w:rsidRPr="002056FA">
              <w:rPr>
                <w:rFonts w:eastAsia="Calibri"/>
                <w:noProof/>
                <w:lang w:eastAsia="en-US"/>
              </w:rPr>
              <w:t>Energex</w:t>
            </w:r>
            <w:r w:rsidRPr="002056FA">
              <w:rPr>
                <w:rFonts w:eastAsia="Calibri"/>
                <w:noProof/>
                <w:lang w:eastAsia="en-US"/>
              </w:rPr>
              <w:fldChar w:fldCharType="end"/>
            </w:r>
            <w:r w:rsidRPr="002056FA">
              <w:rPr>
                <w:rFonts w:eastAsia="Calibri"/>
                <w:lang w:eastAsia="en-US"/>
              </w:rPr>
              <w:t xml:space="preserve"> considers the control mechanisms are also compliant with clause 6.2.6 and Part C of Chapter 6 of the NER.</w:t>
            </w:r>
          </w:p>
        </w:tc>
        <w:tc>
          <w:tcPr>
            <w:tcW w:w="0" w:type="auto"/>
            <w:tcBorders>
              <w:bottom w:val="single" w:sz="4" w:space="0" w:color="auto"/>
            </w:tcBorders>
            <w:shd w:val="clear" w:color="auto" w:fill="auto"/>
          </w:tcPr>
          <w:p w14:paraId="4A9964E1" w14:textId="77777777" w:rsidR="009F2CDD" w:rsidRPr="002056FA" w:rsidRDefault="009F2CDD" w:rsidP="00E169B4">
            <w:pPr>
              <w:pStyle w:val="TableCopy"/>
              <w:rPr>
                <w:rFonts w:eastAsia="Calibri"/>
                <w:lang w:eastAsia="en-US"/>
              </w:rPr>
            </w:pPr>
            <w:r>
              <w:rPr>
                <w:rFonts w:eastAsia="Calibri"/>
                <w:lang w:eastAsia="en-US"/>
              </w:rPr>
              <w:t>Refer to the ‘Control Mechanisms’</w:t>
            </w:r>
            <w:r w:rsidRPr="002056FA">
              <w:rPr>
                <w:rFonts w:eastAsia="Calibri"/>
                <w:lang w:eastAsia="en-US"/>
              </w:rPr>
              <w:t xml:space="preserve"> document (</w:t>
            </w:r>
            <w:r>
              <w:rPr>
                <w:rFonts w:eastAsia="Calibri"/>
                <w:lang w:eastAsia="en-US"/>
              </w:rPr>
              <w:t>Attachment 4.001</w:t>
            </w:r>
            <w:r w:rsidRPr="00F24A90">
              <w:rPr>
                <w:rFonts w:eastAsia="Calibri"/>
                <w:lang w:eastAsia="en-US"/>
              </w:rPr>
              <w:t>).</w:t>
            </w:r>
            <w:r w:rsidRPr="002056FA">
              <w:rPr>
                <w:rFonts w:eastAsia="Calibri"/>
                <w:lang w:eastAsia="en-US"/>
              </w:rPr>
              <w:t xml:space="preserve">  </w:t>
            </w:r>
          </w:p>
        </w:tc>
      </w:tr>
      <w:tr w:rsidR="009F2CDD" w:rsidRPr="002056FA" w14:paraId="1E632188" w14:textId="77777777" w:rsidTr="00E169B4">
        <w:tc>
          <w:tcPr>
            <w:tcW w:w="0" w:type="auto"/>
            <w:shd w:val="clear" w:color="auto" w:fill="D0CECE" w:themeFill="background2" w:themeFillShade="E6"/>
          </w:tcPr>
          <w:p w14:paraId="552A0A28" w14:textId="77777777" w:rsidR="009F2CDD" w:rsidRPr="002056FA" w:rsidRDefault="009F2CDD" w:rsidP="00E169B4">
            <w:pPr>
              <w:pStyle w:val="TableCopy"/>
              <w:rPr>
                <w:rFonts w:eastAsia="Calibri"/>
                <w:lang w:eastAsia="en-US"/>
              </w:rPr>
            </w:pPr>
            <w:r w:rsidRPr="002056FA">
              <w:rPr>
                <w:rFonts w:eastAsia="Calibri"/>
                <w:b/>
                <w:lang w:eastAsia="en-US"/>
              </w:rPr>
              <w:t>4</w:t>
            </w:r>
          </w:p>
        </w:tc>
        <w:tc>
          <w:tcPr>
            <w:tcW w:w="0" w:type="auto"/>
            <w:shd w:val="clear" w:color="auto" w:fill="D0CECE" w:themeFill="background2" w:themeFillShade="E6"/>
          </w:tcPr>
          <w:p w14:paraId="48D481DD" w14:textId="77777777" w:rsidR="009F2CDD" w:rsidRPr="002056FA" w:rsidRDefault="009F2CDD" w:rsidP="00E169B4">
            <w:pPr>
              <w:pStyle w:val="TableCopy"/>
              <w:rPr>
                <w:rFonts w:eastAsia="Calibri"/>
                <w:lang w:eastAsia="en-US"/>
              </w:rPr>
            </w:pPr>
            <w:r w:rsidRPr="002056FA">
              <w:rPr>
                <w:rFonts w:eastAsia="Calibri"/>
                <w:b/>
                <w:lang w:eastAsia="en-US"/>
              </w:rPr>
              <w:t>CAPITAL EXPENDITURE</w:t>
            </w:r>
          </w:p>
        </w:tc>
        <w:tc>
          <w:tcPr>
            <w:tcW w:w="0" w:type="auto"/>
            <w:shd w:val="clear" w:color="auto" w:fill="D0CECE" w:themeFill="background2" w:themeFillShade="E6"/>
          </w:tcPr>
          <w:p w14:paraId="1B86D341" w14:textId="77777777" w:rsidR="009F2CDD" w:rsidRPr="002056FA" w:rsidRDefault="009F2CDD" w:rsidP="00E169B4">
            <w:pPr>
              <w:pStyle w:val="TableCopy"/>
              <w:rPr>
                <w:rFonts w:eastAsia="Calibri"/>
                <w:lang w:eastAsia="en-US"/>
              </w:rPr>
            </w:pPr>
          </w:p>
        </w:tc>
      </w:tr>
      <w:tr w:rsidR="009F2CDD" w:rsidRPr="002056FA" w14:paraId="47763AF8" w14:textId="77777777" w:rsidTr="00E169B4">
        <w:tc>
          <w:tcPr>
            <w:tcW w:w="0" w:type="auto"/>
            <w:shd w:val="clear" w:color="auto" w:fill="D0CECE" w:themeFill="background2" w:themeFillShade="E6"/>
          </w:tcPr>
          <w:p w14:paraId="5C0A2BBB" w14:textId="77777777" w:rsidR="009F2CDD" w:rsidRPr="002056FA" w:rsidRDefault="009F2CDD" w:rsidP="00E169B4">
            <w:pPr>
              <w:pStyle w:val="TableCopy"/>
              <w:rPr>
                <w:rFonts w:eastAsia="Calibri"/>
                <w:lang w:eastAsia="en-US"/>
              </w:rPr>
            </w:pPr>
          </w:p>
        </w:tc>
        <w:tc>
          <w:tcPr>
            <w:tcW w:w="0" w:type="auto"/>
            <w:shd w:val="clear" w:color="auto" w:fill="D0CECE" w:themeFill="background2" w:themeFillShade="E6"/>
          </w:tcPr>
          <w:p w14:paraId="0D3C9029" w14:textId="77777777" w:rsidR="009F2CDD" w:rsidRPr="002056FA" w:rsidRDefault="009F2CDD" w:rsidP="00E169B4">
            <w:pPr>
              <w:pStyle w:val="TableCopy"/>
              <w:rPr>
                <w:rFonts w:eastAsia="Calibri"/>
                <w:lang w:eastAsia="en-US"/>
              </w:rPr>
            </w:pPr>
            <w:r w:rsidRPr="002056FA">
              <w:rPr>
                <w:rFonts w:eastAsia="Calibri"/>
                <w:b/>
                <w:lang w:eastAsia="en-US"/>
              </w:rPr>
              <w:t>General</w:t>
            </w:r>
          </w:p>
        </w:tc>
        <w:tc>
          <w:tcPr>
            <w:tcW w:w="0" w:type="auto"/>
            <w:shd w:val="clear" w:color="auto" w:fill="D0CECE" w:themeFill="background2" w:themeFillShade="E6"/>
          </w:tcPr>
          <w:p w14:paraId="67732599" w14:textId="77777777" w:rsidR="009F2CDD" w:rsidRPr="002056FA" w:rsidRDefault="009F2CDD" w:rsidP="00E169B4">
            <w:pPr>
              <w:pStyle w:val="TableCopy"/>
              <w:rPr>
                <w:rFonts w:eastAsia="Calibri"/>
                <w:lang w:eastAsia="en-US"/>
              </w:rPr>
            </w:pPr>
          </w:p>
        </w:tc>
      </w:tr>
      <w:tr w:rsidR="009F2CDD" w:rsidRPr="002056FA" w14:paraId="4D686D6A" w14:textId="77777777" w:rsidTr="00E169B4">
        <w:tc>
          <w:tcPr>
            <w:tcW w:w="0" w:type="auto"/>
            <w:shd w:val="clear" w:color="auto" w:fill="D0CECE" w:themeFill="background2" w:themeFillShade="E6"/>
          </w:tcPr>
          <w:p w14:paraId="1DC11483" w14:textId="77777777" w:rsidR="009F2CDD" w:rsidRPr="002056FA" w:rsidRDefault="009F2CDD" w:rsidP="00E169B4">
            <w:pPr>
              <w:pStyle w:val="TableCopy"/>
              <w:rPr>
                <w:rFonts w:eastAsia="Calibri"/>
                <w:lang w:eastAsia="en-US"/>
              </w:rPr>
            </w:pPr>
            <w:r w:rsidRPr="002056FA">
              <w:rPr>
                <w:rFonts w:eastAsia="Calibri"/>
                <w:lang w:eastAsia="en-US"/>
              </w:rPr>
              <w:t>4.1</w:t>
            </w:r>
          </w:p>
        </w:tc>
        <w:tc>
          <w:tcPr>
            <w:tcW w:w="0" w:type="auto"/>
            <w:shd w:val="clear" w:color="auto" w:fill="D0CECE" w:themeFill="background2" w:themeFillShade="E6"/>
          </w:tcPr>
          <w:p w14:paraId="133CA5F5" w14:textId="77777777" w:rsidR="009F2CDD" w:rsidRPr="002056FA" w:rsidRDefault="009F2CDD" w:rsidP="00E169B4">
            <w:pPr>
              <w:pStyle w:val="TableCopy"/>
              <w:rPr>
                <w:rFonts w:eastAsia="Calibri"/>
                <w:lang w:eastAsia="en-US"/>
              </w:rPr>
            </w:pPr>
            <w:r w:rsidRPr="002056FA">
              <w:rPr>
                <w:rFonts w:eastAsia="Calibri"/>
                <w:lang w:eastAsia="en-US"/>
              </w:rPr>
              <w:t>Provide justification for Energex total forecast capex, including the following information:</w:t>
            </w:r>
          </w:p>
        </w:tc>
        <w:tc>
          <w:tcPr>
            <w:tcW w:w="0" w:type="auto"/>
            <w:shd w:val="clear" w:color="auto" w:fill="D0CECE" w:themeFill="background2" w:themeFillShade="E6"/>
          </w:tcPr>
          <w:p w14:paraId="18B75C9B" w14:textId="77777777" w:rsidR="009F2CDD" w:rsidRPr="002056FA" w:rsidRDefault="009F2CDD" w:rsidP="00E169B4">
            <w:pPr>
              <w:pStyle w:val="TableCopy"/>
              <w:rPr>
                <w:rFonts w:eastAsia="Calibri"/>
                <w:lang w:eastAsia="en-US"/>
              </w:rPr>
            </w:pPr>
          </w:p>
        </w:tc>
      </w:tr>
      <w:tr w:rsidR="009F2CDD" w:rsidRPr="002056FA" w14:paraId="292D9920" w14:textId="77777777" w:rsidTr="00E169B4">
        <w:tc>
          <w:tcPr>
            <w:tcW w:w="0" w:type="auto"/>
            <w:shd w:val="clear" w:color="auto" w:fill="auto"/>
          </w:tcPr>
          <w:p w14:paraId="3A3A63CF" w14:textId="77777777" w:rsidR="009F2CDD" w:rsidRPr="002056FA" w:rsidRDefault="009F2CDD" w:rsidP="00E169B4">
            <w:pPr>
              <w:pStyle w:val="TableCopy"/>
              <w:rPr>
                <w:rFonts w:eastAsia="Calibri"/>
                <w:lang w:eastAsia="en-US"/>
              </w:rPr>
            </w:pPr>
            <w:r w:rsidRPr="002056FA">
              <w:rPr>
                <w:rFonts w:eastAsia="Calibri"/>
                <w:lang w:eastAsia="en-US"/>
              </w:rPr>
              <w:t xml:space="preserve">4.1(a) </w:t>
            </w:r>
          </w:p>
        </w:tc>
        <w:tc>
          <w:tcPr>
            <w:tcW w:w="0" w:type="auto"/>
            <w:shd w:val="clear" w:color="auto" w:fill="auto"/>
          </w:tcPr>
          <w:p w14:paraId="6D13D00B" w14:textId="77777777" w:rsidR="009F2CDD" w:rsidRPr="002056FA" w:rsidRDefault="009F2CDD" w:rsidP="00E169B4">
            <w:pPr>
              <w:pStyle w:val="TableCopy"/>
              <w:rPr>
                <w:rFonts w:eastAsia="Calibri"/>
                <w:lang w:eastAsia="en-US"/>
              </w:rPr>
            </w:pPr>
            <w:r w:rsidRPr="002056FA">
              <w:rPr>
                <w:rFonts w:eastAsia="Calibri"/>
                <w:lang w:eastAsia="en-US"/>
              </w:rPr>
              <w:t xml:space="preserve">why the total </w:t>
            </w:r>
            <w:r w:rsidRPr="002056FA">
              <w:rPr>
                <w:rFonts w:eastAsia="Calibri"/>
                <w:iCs/>
                <w:lang w:eastAsia="en-US"/>
              </w:rPr>
              <w:t xml:space="preserve">forecast capex </w:t>
            </w:r>
            <w:r w:rsidRPr="002056FA">
              <w:rPr>
                <w:rFonts w:eastAsia="Calibri"/>
                <w:lang w:eastAsia="en-US"/>
              </w:rPr>
              <w:t xml:space="preserve">is required for </w:t>
            </w:r>
            <w:r w:rsidRPr="002056FA">
              <w:rPr>
                <w:rFonts w:eastAsia="Calibri"/>
                <w:iCs/>
                <w:lang w:eastAsia="en-US"/>
              </w:rPr>
              <w:t xml:space="preserve">Energex </w:t>
            </w:r>
            <w:r w:rsidRPr="002056FA">
              <w:rPr>
                <w:rFonts w:eastAsia="Calibri"/>
                <w:lang w:eastAsia="en-US"/>
              </w:rPr>
              <w:t xml:space="preserve">to achieve each of the objectives in clause 6.5.7(a) of the </w:t>
            </w:r>
            <w:r w:rsidRPr="002056FA">
              <w:rPr>
                <w:rFonts w:eastAsia="Calibri"/>
                <w:iCs/>
                <w:lang w:eastAsia="en-US"/>
              </w:rPr>
              <w:t>NER</w:t>
            </w:r>
            <w:r w:rsidRPr="002056FA">
              <w:rPr>
                <w:rFonts w:eastAsia="Calibri"/>
                <w:lang w:eastAsia="en-US"/>
              </w:rPr>
              <w:t xml:space="preserve">; </w:t>
            </w:r>
          </w:p>
        </w:tc>
        <w:tc>
          <w:tcPr>
            <w:tcW w:w="0" w:type="auto"/>
            <w:shd w:val="clear" w:color="auto" w:fill="auto"/>
          </w:tcPr>
          <w:p w14:paraId="2C2119A7" w14:textId="77777777" w:rsidR="009F2CDD" w:rsidRPr="002056FA" w:rsidRDefault="009F2CDD" w:rsidP="00E169B4">
            <w:pPr>
              <w:pStyle w:val="TableCopy"/>
              <w:rPr>
                <w:rFonts w:eastAsia="Calibri"/>
                <w:lang w:eastAsia="en-US"/>
              </w:rPr>
            </w:pPr>
            <w:r w:rsidRPr="002056FA">
              <w:rPr>
                <w:rFonts w:eastAsia="Calibri"/>
                <w:lang w:eastAsia="en-US"/>
              </w:rPr>
              <w:t xml:space="preserve">Refer to </w:t>
            </w:r>
            <w:r>
              <w:rPr>
                <w:rFonts w:eastAsia="Calibri"/>
                <w:lang w:eastAsia="en-US"/>
              </w:rPr>
              <w:t>Attachment 1.006</w:t>
            </w:r>
            <w:r w:rsidRPr="002056FA">
              <w:rPr>
                <w:rFonts w:eastAsia="Calibri"/>
                <w:lang w:eastAsia="en-US"/>
              </w:rPr>
              <w:t xml:space="preserve"> which provides a justification for how Energex’s total forecast </w:t>
            </w:r>
            <w:r>
              <w:rPr>
                <w:rFonts w:eastAsia="Calibri"/>
                <w:lang w:eastAsia="en-US"/>
              </w:rPr>
              <w:t>capital expenditure (</w:t>
            </w:r>
            <w:r w:rsidRPr="002056FA">
              <w:rPr>
                <w:rFonts w:eastAsia="Calibri"/>
                <w:lang w:eastAsia="en-US"/>
              </w:rPr>
              <w:t>capex</w:t>
            </w:r>
            <w:r>
              <w:rPr>
                <w:rFonts w:eastAsia="Calibri"/>
                <w:lang w:eastAsia="en-US"/>
              </w:rPr>
              <w:t>)</w:t>
            </w:r>
            <w:r w:rsidRPr="002056FA">
              <w:rPr>
                <w:rFonts w:eastAsia="Calibri"/>
                <w:lang w:eastAsia="en-US"/>
              </w:rPr>
              <w:t xml:space="preserve"> achieved the objectives in 6.5.7(a) of the </w:t>
            </w:r>
            <w:r>
              <w:rPr>
                <w:rFonts w:eastAsia="Calibri"/>
                <w:lang w:eastAsia="en-US"/>
              </w:rPr>
              <w:t>National Electricity Rules (</w:t>
            </w:r>
            <w:r w:rsidRPr="002056FA">
              <w:rPr>
                <w:rFonts w:eastAsia="Calibri"/>
                <w:lang w:eastAsia="en-US"/>
              </w:rPr>
              <w:t>NER</w:t>
            </w:r>
            <w:r>
              <w:rPr>
                <w:rFonts w:eastAsia="Calibri"/>
                <w:lang w:eastAsia="en-US"/>
              </w:rPr>
              <w:t>)</w:t>
            </w:r>
            <w:r w:rsidRPr="002056FA">
              <w:rPr>
                <w:rFonts w:eastAsia="Calibri"/>
                <w:lang w:eastAsia="en-US"/>
              </w:rPr>
              <w:t>.</w:t>
            </w:r>
          </w:p>
          <w:p w14:paraId="0CE1E5A0" w14:textId="77777777" w:rsidR="009F2CDD" w:rsidRPr="002056FA" w:rsidRDefault="009F2CDD" w:rsidP="00E169B4">
            <w:pPr>
              <w:pStyle w:val="TableCopy"/>
              <w:rPr>
                <w:rFonts w:eastAsia="Calibri"/>
                <w:lang w:eastAsia="en-US"/>
              </w:rPr>
            </w:pPr>
            <w:r w:rsidRPr="002056FA">
              <w:rPr>
                <w:rFonts w:eastAsia="Calibri"/>
                <w:lang w:eastAsia="en-US"/>
              </w:rPr>
              <w:t>Energex has built a bottom-up capex forecast which has been challenged by various top-down checks and modelling, business reviews, and customer feedback.  The resultant capex forecast is an optimised portfolio balancing customer outcomes and performance, risk, and cost.</w:t>
            </w:r>
          </w:p>
          <w:p w14:paraId="5132E951" w14:textId="77777777" w:rsidR="009F2CDD" w:rsidRPr="002056FA" w:rsidRDefault="009F2CDD" w:rsidP="00E169B4">
            <w:pPr>
              <w:pStyle w:val="TableCopy"/>
              <w:rPr>
                <w:rFonts w:eastAsia="Calibri"/>
                <w:lang w:eastAsia="en-US"/>
              </w:rPr>
            </w:pPr>
            <w:r w:rsidRPr="002056FA">
              <w:rPr>
                <w:rFonts w:eastAsia="Calibri"/>
                <w:lang w:eastAsia="en-US"/>
              </w:rPr>
              <w:t xml:space="preserve">For supporting details refer </w:t>
            </w:r>
            <w:r w:rsidRPr="00147639">
              <w:rPr>
                <w:rFonts w:eastAsia="Calibri"/>
                <w:lang w:eastAsia="en-US"/>
              </w:rPr>
              <w:t xml:space="preserve">to Chapter </w:t>
            </w:r>
            <w:r>
              <w:rPr>
                <w:rFonts w:eastAsia="Calibri"/>
                <w:lang w:eastAsia="en-US"/>
              </w:rPr>
              <w:t>7 of our</w:t>
            </w:r>
            <w:r w:rsidRPr="002056FA">
              <w:rPr>
                <w:rFonts w:eastAsia="Calibri"/>
                <w:lang w:eastAsia="en-US"/>
              </w:rPr>
              <w:t xml:space="preserve"> Regulatory Proposal and supporting information in our Asset Management </w:t>
            </w:r>
            <w:r>
              <w:rPr>
                <w:rFonts w:eastAsia="Calibri"/>
                <w:lang w:eastAsia="en-US"/>
              </w:rPr>
              <w:t xml:space="preserve">Overview, </w:t>
            </w:r>
            <w:r w:rsidRPr="002056FA">
              <w:rPr>
                <w:rFonts w:eastAsia="Calibri"/>
                <w:lang w:eastAsia="en-US"/>
              </w:rPr>
              <w:t>Risk and Optimisation document (</w:t>
            </w:r>
            <w:r>
              <w:rPr>
                <w:rFonts w:eastAsia="Calibri"/>
                <w:lang w:eastAsia="en-US"/>
              </w:rPr>
              <w:t>Attachment 7.026</w:t>
            </w:r>
            <w:r w:rsidRPr="00F24A90">
              <w:rPr>
                <w:rFonts w:eastAsia="Calibri"/>
                <w:lang w:eastAsia="en-US"/>
              </w:rPr>
              <w:t>).</w:t>
            </w:r>
          </w:p>
        </w:tc>
      </w:tr>
      <w:tr w:rsidR="009F2CDD" w:rsidRPr="002056FA" w14:paraId="0D413B60" w14:textId="77777777" w:rsidTr="00E169B4">
        <w:tc>
          <w:tcPr>
            <w:tcW w:w="0" w:type="auto"/>
            <w:shd w:val="clear" w:color="auto" w:fill="auto"/>
          </w:tcPr>
          <w:p w14:paraId="55582C27" w14:textId="77777777" w:rsidR="009F2CDD" w:rsidRPr="002056FA" w:rsidRDefault="009F2CDD" w:rsidP="00E169B4">
            <w:pPr>
              <w:pStyle w:val="TableCopy"/>
              <w:rPr>
                <w:rFonts w:eastAsia="Calibri"/>
                <w:lang w:eastAsia="en-US"/>
              </w:rPr>
            </w:pPr>
            <w:r w:rsidRPr="002056FA">
              <w:rPr>
                <w:rFonts w:eastAsia="Calibri"/>
                <w:lang w:eastAsia="en-US"/>
              </w:rPr>
              <w:t xml:space="preserve">4.1(b) </w:t>
            </w:r>
          </w:p>
        </w:tc>
        <w:tc>
          <w:tcPr>
            <w:tcW w:w="0" w:type="auto"/>
            <w:shd w:val="clear" w:color="auto" w:fill="auto"/>
          </w:tcPr>
          <w:p w14:paraId="32A2B19B" w14:textId="77777777" w:rsidR="009F2CDD" w:rsidRPr="002056FA" w:rsidRDefault="009F2CDD" w:rsidP="00E169B4">
            <w:pPr>
              <w:pStyle w:val="TableCopy"/>
              <w:rPr>
                <w:rFonts w:eastAsia="Calibri"/>
                <w:lang w:eastAsia="en-US"/>
              </w:rPr>
            </w:pPr>
            <w:r w:rsidRPr="002056FA">
              <w:rPr>
                <w:rFonts w:eastAsia="Calibri"/>
                <w:lang w:eastAsia="en-US"/>
              </w:rPr>
              <w:t xml:space="preserve">how </w:t>
            </w:r>
            <w:r w:rsidRPr="002056FA">
              <w:rPr>
                <w:rFonts w:eastAsia="Calibri"/>
                <w:iCs/>
                <w:lang w:eastAsia="en-US"/>
              </w:rPr>
              <w:t xml:space="preserve">Energex’s </w:t>
            </w:r>
            <w:r w:rsidRPr="002056FA">
              <w:rPr>
                <w:rFonts w:eastAsia="Calibri"/>
                <w:lang w:eastAsia="en-US"/>
              </w:rPr>
              <w:t xml:space="preserve">total </w:t>
            </w:r>
            <w:r w:rsidRPr="002056FA">
              <w:rPr>
                <w:rFonts w:eastAsia="Calibri"/>
                <w:iCs/>
                <w:lang w:eastAsia="en-US"/>
              </w:rPr>
              <w:t xml:space="preserve">forecast capex </w:t>
            </w:r>
            <w:r w:rsidRPr="002056FA">
              <w:rPr>
                <w:rFonts w:eastAsia="Calibri"/>
                <w:lang w:eastAsia="en-US"/>
              </w:rPr>
              <w:t xml:space="preserve">reasonably reflects each of the criteria in clause 6.5.7(c) of the </w:t>
            </w:r>
            <w:r w:rsidRPr="002056FA">
              <w:rPr>
                <w:rFonts w:eastAsia="Calibri"/>
                <w:iCs/>
                <w:lang w:eastAsia="en-US"/>
              </w:rPr>
              <w:t>NER</w:t>
            </w:r>
            <w:r w:rsidRPr="002056FA">
              <w:rPr>
                <w:rFonts w:eastAsia="Calibri"/>
                <w:lang w:eastAsia="en-US"/>
              </w:rPr>
              <w:t xml:space="preserve">; </w:t>
            </w:r>
          </w:p>
        </w:tc>
        <w:tc>
          <w:tcPr>
            <w:tcW w:w="0" w:type="auto"/>
            <w:shd w:val="clear" w:color="auto" w:fill="auto"/>
          </w:tcPr>
          <w:p w14:paraId="26844E31" w14:textId="77777777" w:rsidR="009F2CDD" w:rsidRPr="002056FA" w:rsidRDefault="009F2CDD" w:rsidP="00E169B4">
            <w:pPr>
              <w:pStyle w:val="TableCopy"/>
              <w:rPr>
                <w:rFonts w:eastAsia="Calibri"/>
                <w:lang w:eastAsia="en-US"/>
              </w:rPr>
            </w:pPr>
            <w:r w:rsidRPr="002056FA">
              <w:rPr>
                <w:rFonts w:eastAsia="Calibri"/>
                <w:lang w:eastAsia="en-US"/>
              </w:rPr>
              <w:t xml:space="preserve">Refer to </w:t>
            </w:r>
            <w:r>
              <w:rPr>
                <w:rFonts w:eastAsia="Calibri"/>
                <w:lang w:eastAsia="en-US"/>
              </w:rPr>
              <w:t xml:space="preserve">Attachment 1.006 </w:t>
            </w:r>
            <w:r w:rsidRPr="002056FA">
              <w:rPr>
                <w:rFonts w:eastAsia="Calibri"/>
                <w:lang w:eastAsia="en-US"/>
              </w:rPr>
              <w:t>which provides a justification for how Energex’s total forecast capex reasonably reflects each of the criteria in 6.5.7(c) of the NER.</w:t>
            </w:r>
          </w:p>
          <w:p w14:paraId="3CB88132" w14:textId="77777777" w:rsidR="009F2CDD" w:rsidRPr="002056FA" w:rsidRDefault="009F2CDD" w:rsidP="00E169B4">
            <w:pPr>
              <w:pStyle w:val="TableCopy"/>
              <w:rPr>
                <w:rFonts w:eastAsia="Calibri"/>
                <w:lang w:eastAsia="en-US"/>
              </w:rPr>
            </w:pPr>
            <w:r>
              <w:rPr>
                <w:rFonts w:eastAsia="Calibri"/>
                <w:lang w:eastAsia="en-US"/>
              </w:rPr>
              <w:t>For further information r</w:t>
            </w:r>
            <w:r w:rsidRPr="002056FA">
              <w:rPr>
                <w:rFonts w:eastAsia="Calibri"/>
                <w:lang w:eastAsia="en-US"/>
              </w:rPr>
              <w:t>efer to Chapter</w:t>
            </w:r>
            <w:r>
              <w:rPr>
                <w:rFonts w:eastAsia="Calibri"/>
                <w:lang w:eastAsia="en-US"/>
              </w:rPr>
              <w:t xml:space="preserve"> 7 of our</w:t>
            </w:r>
            <w:r w:rsidRPr="002056FA">
              <w:rPr>
                <w:rFonts w:eastAsia="Calibri"/>
                <w:lang w:eastAsia="en-US"/>
              </w:rPr>
              <w:t xml:space="preserve"> Regulatory Proposal, specifically, section </w:t>
            </w:r>
            <w:r>
              <w:rPr>
                <w:rFonts w:eastAsia="Calibri"/>
                <w:lang w:eastAsia="en-US"/>
              </w:rPr>
              <w:t>7</w:t>
            </w:r>
            <w:r w:rsidRPr="002056FA">
              <w:rPr>
                <w:rFonts w:eastAsia="Calibri"/>
                <w:lang w:eastAsia="en-US"/>
              </w:rPr>
              <w:t>.5 which provides an overview of our expenditure forecasting methodology.</w:t>
            </w:r>
          </w:p>
        </w:tc>
      </w:tr>
      <w:tr w:rsidR="009F2CDD" w:rsidRPr="002056FA" w14:paraId="5748F9FA" w14:textId="77777777" w:rsidTr="00E169B4">
        <w:tc>
          <w:tcPr>
            <w:tcW w:w="0" w:type="auto"/>
            <w:shd w:val="clear" w:color="auto" w:fill="auto"/>
          </w:tcPr>
          <w:p w14:paraId="1A8F8E0C" w14:textId="77777777" w:rsidR="009F2CDD" w:rsidRPr="002056FA" w:rsidRDefault="009F2CDD" w:rsidP="00E169B4">
            <w:pPr>
              <w:pStyle w:val="TableCopy"/>
              <w:rPr>
                <w:rFonts w:eastAsia="Calibri"/>
                <w:b/>
                <w:lang w:eastAsia="en-US"/>
              </w:rPr>
            </w:pPr>
            <w:r w:rsidRPr="002056FA">
              <w:rPr>
                <w:rFonts w:eastAsia="Calibri"/>
                <w:lang w:eastAsia="en-US"/>
              </w:rPr>
              <w:t xml:space="preserve">4.1(c) </w:t>
            </w:r>
          </w:p>
        </w:tc>
        <w:tc>
          <w:tcPr>
            <w:tcW w:w="0" w:type="auto"/>
            <w:shd w:val="clear" w:color="auto" w:fill="auto"/>
          </w:tcPr>
          <w:p w14:paraId="1049105E" w14:textId="77777777" w:rsidR="009F2CDD" w:rsidRPr="002056FA" w:rsidRDefault="009F2CDD" w:rsidP="00E169B4">
            <w:pPr>
              <w:pStyle w:val="TableCopy"/>
              <w:rPr>
                <w:rFonts w:eastAsia="Calibri"/>
                <w:b/>
                <w:lang w:eastAsia="en-US"/>
              </w:rPr>
            </w:pPr>
            <w:r w:rsidRPr="002056FA">
              <w:rPr>
                <w:rFonts w:eastAsia="Calibri"/>
                <w:lang w:eastAsia="en-US"/>
              </w:rPr>
              <w:t xml:space="preserve">how </w:t>
            </w:r>
            <w:r w:rsidRPr="002056FA">
              <w:rPr>
                <w:rFonts w:eastAsia="Calibri"/>
                <w:iCs/>
                <w:lang w:eastAsia="en-US"/>
              </w:rPr>
              <w:t xml:space="preserve">Energex’s </w:t>
            </w:r>
            <w:r w:rsidRPr="002056FA">
              <w:rPr>
                <w:rFonts w:eastAsia="Calibri"/>
                <w:lang w:eastAsia="en-US"/>
              </w:rPr>
              <w:t xml:space="preserve">total </w:t>
            </w:r>
            <w:r w:rsidRPr="002056FA">
              <w:rPr>
                <w:rFonts w:eastAsia="Calibri"/>
                <w:iCs/>
                <w:lang w:eastAsia="en-US"/>
              </w:rPr>
              <w:t xml:space="preserve">forecast capex </w:t>
            </w:r>
            <w:r w:rsidRPr="002056FA">
              <w:rPr>
                <w:rFonts w:eastAsia="Calibri"/>
                <w:lang w:eastAsia="en-US"/>
              </w:rPr>
              <w:t xml:space="preserve">accounts for the factors in clause 6.5.7(e) of the </w:t>
            </w:r>
            <w:r w:rsidRPr="002056FA">
              <w:rPr>
                <w:rFonts w:eastAsia="Calibri"/>
                <w:iCs/>
                <w:lang w:eastAsia="en-US"/>
              </w:rPr>
              <w:t>NER</w:t>
            </w:r>
            <w:r w:rsidRPr="002056FA">
              <w:rPr>
                <w:rFonts w:eastAsia="Calibri"/>
                <w:lang w:eastAsia="en-US"/>
              </w:rPr>
              <w:t xml:space="preserve">; </w:t>
            </w:r>
          </w:p>
        </w:tc>
        <w:tc>
          <w:tcPr>
            <w:tcW w:w="0" w:type="auto"/>
            <w:shd w:val="clear" w:color="auto" w:fill="auto"/>
          </w:tcPr>
          <w:p w14:paraId="5E05ADDA" w14:textId="77777777" w:rsidR="009F2CDD" w:rsidRPr="00C25692" w:rsidRDefault="009F2CDD" w:rsidP="00E169B4">
            <w:pPr>
              <w:pStyle w:val="TableCopy"/>
              <w:rPr>
                <w:rFonts w:eastAsia="Calibri"/>
                <w:lang w:eastAsia="en-US"/>
              </w:rPr>
            </w:pPr>
            <w:r w:rsidRPr="00C25692">
              <w:rPr>
                <w:rFonts w:eastAsia="Calibri"/>
                <w:lang w:eastAsia="en-US"/>
              </w:rPr>
              <w:t xml:space="preserve">Refer to </w:t>
            </w:r>
            <w:r>
              <w:rPr>
                <w:rFonts w:eastAsia="Calibri"/>
                <w:lang w:eastAsia="en-US"/>
              </w:rPr>
              <w:t xml:space="preserve">Attachment 1.006 </w:t>
            </w:r>
            <w:r w:rsidRPr="00C25692">
              <w:rPr>
                <w:rFonts w:eastAsia="Calibri"/>
                <w:lang w:eastAsia="en-US"/>
              </w:rPr>
              <w:t>which provides a justification for how Energex’s total forecast capex accounts for the factors in 6.5.7(e) of the NER.</w:t>
            </w:r>
          </w:p>
          <w:p w14:paraId="1AEB7DE2" w14:textId="77777777" w:rsidR="009F2CDD" w:rsidRPr="00C37453" w:rsidRDefault="009F2CDD" w:rsidP="00E169B4">
            <w:pPr>
              <w:pStyle w:val="TableCopy"/>
              <w:rPr>
                <w:rFonts w:eastAsia="Calibri"/>
                <w:lang w:eastAsia="en-US"/>
              </w:rPr>
            </w:pPr>
            <w:r w:rsidRPr="00C37453">
              <w:rPr>
                <w:rFonts w:eastAsia="Calibri"/>
                <w:lang w:eastAsia="en-US"/>
              </w:rPr>
              <w:t xml:space="preserve">For further information refer to Chapter </w:t>
            </w:r>
            <w:r>
              <w:rPr>
                <w:rFonts w:eastAsia="Calibri"/>
                <w:lang w:eastAsia="en-US"/>
              </w:rPr>
              <w:t>7 of Energex’s Regulatory Proposal</w:t>
            </w:r>
            <w:r w:rsidRPr="00C37453">
              <w:rPr>
                <w:rFonts w:eastAsia="Calibri"/>
                <w:lang w:eastAsia="en-US"/>
              </w:rPr>
              <w:t>.</w:t>
            </w:r>
          </w:p>
        </w:tc>
      </w:tr>
      <w:tr w:rsidR="009F2CDD" w:rsidRPr="002056FA" w14:paraId="12180866" w14:textId="77777777" w:rsidTr="00E169B4">
        <w:tc>
          <w:tcPr>
            <w:tcW w:w="0" w:type="auto"/>
            <w:shd w:val="clear" w:color="auto" w:fill="auto"/>
          </w:tcPr>
          <w:p w14:paraId="25AAD279" w14:textId="77777777" w:rsidR="009F2CDD" w:rsidRPr="002056FA" w:rsidRDefault="009F2CDD" w:rsidP="00E169B4">
            <w:pPr>
              <w:pStyle w:val="TableCopy"/>
              <w:rPr>
                <w:rFonts w:eastAsia="Calibri"/>
                <w:b/>
                <w:lang w:eastAsia="en-US"/>
              </w:rPr>
            </w:pPr>
            <w:r w:rsidRPr="002056FA">
              <w:rPr>
                <w:rFonts w:eastAsia="Calibri"/>
                <w:lang w:eastAsia="en-US"/>
              </w:rPr>
              <w:t xml:space="preserve">4.1(d) </w:t>
            </w:r>
          </w:p>
        </w:tc>
        <w:tc>
          <w:tcPr>
            <w:tcW w:w="0" w:type="auto"/>
            <w:shd w:val="clear" w:color="auto" w:fill="auto"/>
          </w:tcPr>
          <w:p w14:paraId="25593FF4" w14:textId="77777777" w:rsidR="009F2CDD" w:rsidRPr="002056FA" w:rsidRDefault="009F2CDD" w:rsidP="00E169B4">
            <w:pPr>
              <w:pStyle w:val="TableCopy"/>
              <w:rPr>
                <w:rFonts w:eastAsia="Calibri"/>
                <w:b/>
                <w:lang w:eastAsia="en-US"/>
              </w:rPr>
            </w:pPr>
            <w:r w:rsidRPr="002056FA">
              <w:rPr>
                <w:rFonts w:eastAsia="Calibri"/>
                <w:lang w:eastAsia="en-US"/>
              </w:rPr>
              <w:t xml:space="preserve">an explanation of how the plans, policies, procedures and regulatory obligations or requirements identified in Workbook 1 – regulatory determination, regulatory templates 7.1 and 7.3 have been used to develop forecast capex; and </w:t>
            </w:r>
          </w:p>
        </w:tc>
        <w:tc>
          <w:tcPr>
            <w:tcW w:w="0" w:type="auto"/>
            <w:shd w:val="clear" w:color="auto" w:fill="auto"/>
          </w:tcPr>
          <w:p w14:paraId="6BF73EDE" w14:textId="77777777" w:rsidR="009F2CDD" w:rsidRPr="00887C8B" w:rsidRDefault="009F2CDD" w:rsidP="00E169B4">
            <w:pPr>
              <w:pStyle w:val="TableCopy"/>
              <w:rPr>
                <w:rFonts w:eastAsia="Calibri"/>
                <w:lang w:eastAsia="en-US"/>
              </w:rPr>
            </w:pPr>
            <w:r>
              <w:rPr>
                <w:rFonts w:eastAsia="Calibri"/>
                <w:lang w:eastAsia="en-US"/>
              </w:rPr>
              <w:t xml:space="preserve">Energex’s Expenditure Forecasting Methodology (Attachment 4.002) provides a summary of the methodology used to develop our forecast capex. </w:t>
            </w:r>
            <w:r w:rsidRPr="00887C8B">
              <w:rPr>
                <w:rFonts w:eastAsia="Calibri"/>
                <w:lang w:eastAsia="en-US"/>
              </w:rPr>
              <w:t xml:space="preserve">Energex’s Asset Management System is underpinned by our Asset Management </w:t>
            </w:r>
            <w:r w:rsidRPr="00DC7352">
              <w:rPr>
                <w:rFonts w:eastAsia="Calibri"/>
                <w:lang w:eastAsia="en-US"/>
              </w:rPr>
              <w:t xml:space="preserve">Policy - </w:t>
            </w:r>
            <w:r>
              <w:rPr>
                <w:rFonts w:eastAsia="Calibri"/>
                <w:lang w:eastAsia="en-US"/>
              </w:rPr>
              <w:t>Attachment 7.045</w:t>
            </w:r>
            <w:r w:rsidRPr="00887C8B">
              <w:rPr>
                <w:rFonts w:eastAsia="Calibri"/>
                <w:lang w:eastAsia="en-US"/>
              </w:rPr>
              <w:t xml:space="preserve"> and Strategic Asset Management Plan</w:t>
            </w:r>
            <w:r>
              <w:rPr>
                <w:rFonts w:eastAsia="Calibri"/>
                <w:lang w:eastAsia="en-US"/>
              </w:rPr>
              <w:t>s</w:t>
            </w:r>
            <w:r w:rsidRPr="00887C8B">
              <w:rPr>
                <w:rFonts w:eastAsia="Calibri"/>
                <w:lang w:eastAsia="en-US"/>
              </w:rPr>
              <w:t xml:space="preserve"> - </w:t>
            </w:r>
            <w:r>
              <w:rPr>
                <w:rFonts w:eastAsia="Calibri"/>
                <w:lang w:eastAsia="en-US"/>
              </w:rPr>
              <w:t>Attachments 7.002, 7.090 and 7.144</w:t>
            </w:r>
            <w:r w:rsidRPr="00887C8B">
              <w:rPr>
                <w:rFonts w:eastAsia="Calibri"/>
                <w:lang w:eastAsia="en-US"/>
              </w:rPr>
              <w:t xml:space="preserve"> which also outline the decision making framework. </w:t>
            </w:r>
          </w:p>
          <w:p w14:paraId="0733B294" w14:textId="77777777" w:rsidR="009F2CDD" w:rsidRDefault="009F2CDD" w:rsidP="00E169B4">
            <w:pPr>
              <w:pStyle w:val="TableCopy"/>
              <w:rPr>
                <w:rFonts w:eastAsia="Calibri"/>
                <w:lang w:eastAsia="en-US"/>
              </w:rPr>
            </w:pPr>
            <w:r w:rsidRPr="00887C8B">
              <w:rPr>
                <w:rFonts w:eastAsia="Calibri"/>
                <w:lang w:eastAsia="en-US"/>
              </w:rPr>
              <w:t>Supporting this are</w:t>
            </w:r>
            <w:r>
              <w:rPr>
                <w:rFonts w:eastAsia="Calibri"/>
                <w:lang w:eastAsia="en-US"/>
              </w:rPr>
              <w:t>:</w:t>
            </w:r>
          </w:p>
          <w:p w14:paraId="655688D7" w14:textId="77777777" w:rsidR="009F2CDD" w:rsidRPr="00E1023B" w:rsidRDefault="009F2CDD" w:rsidP="00E169B4">
            <w:pPr>
              <w:pStyle w:val="Bullet1"/>
              <w:rPr>
                <w:sz w:val="20"/>
                <w:szCs w:val="20"/>
              </w:rPr>
            </w:pPr>
            <w:r w:rsidRPr="00E1023B">
              <w:rPr>
                <w:sz w:val="20"/>
                <w:szCs w:val="20"/>
              </w:rPr>
              <w:t>Asset Management Plans (supporting attachments 7.02</w:t>
            </w:r>
            <w:r>
              <w:rPr>
                <w:sz w:val="20"/>
                <w:szCs w:val="20"/>
              </w:rPr>
              <w:t>7</w:t>
            </w:r>
            <w:r w:rsidRPr="00E1023B">
              <w:rPr>
                <w:sz w:val="20"/>
                <w:szCs w:val="20"/>
              </w:rPr>
              <w:t xml:space="preserve"> through to 7.044) </w:t>
            </w:r>
          </w:p>
          <w:p w14:paraId="43CC9F55" w14:textId="77777777" w:rsidR="009F2CDD" w:rsidRPr="00E1023B" w:rsidRDefault="009F2CDD" w:rsidP="00E169B4">
            <w:pPr>
              <w:pStyle w:val="Bullet1"/>
              <w:rPr>
                <w:sz w:val="20"/>
                <w:szCs w:val="20"/>
              </w:rPr>
            </w:pPr>
            <w:r w:rsidRPr="00E1023B">
              <w:rPr>
                <w:sz w:val="20"/>
                <w:szCs w:val="20"/>
              </w:rPr>
              <w:t>Network Strategies (supporting attachments 7.047, 7.048, 7.080 and 7.089)</w:t>
            </w:r>
            <w:r>
              <w:rPr>
                <w:sz w:val="20"/>
                <w:szCs w:val="20"/>
              </w:rPr>
              <w:t>, and</w:t>
            </w:r>
          </w:p>
          <w:p w14:paraId="1C096A0E" w14:textId="77777777" w:rsidR="009F2CDD" w:rsidRPr="00E1023B" w:rsidRDefault="009F2CDD" w:rsidP="00E169B4">
            <w:pPr>
              <w:pStyle w:val="Bullet1"/>
              <w:rPr>
                <w:sz w:val="20"/>
                <w:szCs w:val="20"/>
              </w:rPr>
            </w:pPr>
            <w:r w:rsidRPr="00E1023B">
              <w:rPr>
                <w:sz w:val="20"/>
                <w:szCs w:val="20"/>
              </w:rPr>
              <w:t xml:space="preserve">Strategic Proposals and Business Cases (supporting attachments 7.055, </w:t>
            </w:r>
            <w:r>
              <w:rPr>
                <w:sz w:val="20"/>
                <w:szCs w:val="20"/>
              </w:rPr>
              <w:t>7.091, 7.093, 7.094, 7.096, 7.097, 7.099, 7.008-7.025 and 7.137-7.142</w:t>
            </w:r>
            <w:r w:rsidRPr="00E1023B">
              <w:rPr>
                <w:sz w:val="20"/>
                <w:szCs w:val="20"/>
              </w:rPr>
              <w:t xml:space="preserve">). </w:t>
            </w:r>
          </w:p>
          <w:p w14:paraId="30365D53" w14:textId="77777777" w:rsidR="009F2CDD" w:rsidRPr="00887C8B" w:rsidRDefault="009F2CDD" w:rsidP="00E169B4">
            <w:pPr>
              <w:pStyle w:val="TableCopy"/>
              <w:rPr>
                <w:rFonts w:eastAsia="Calibri"/>
                <w:lang w:eastAsia="en-US"/>
              </w:rPr>
            </w:pPr>
            <w:r w:rsidRPr="00DC7352">
              <w:rPr>
                <w:rFonts w:eastAsia="Calibri"/>
                <w:lang w:eastAsia="en-US"/>
              </w:rPr>
              <w:t xml:space="preserve">The Asset Management Risk and Optimisation document </w:t>
            </w:r>
            <w:r>
              <w:rPr>
                <w:rFonts w:eastAsia="Calibri"/>
                <w:lang w:eastAsia="en-US"/>
              </w:rPr>
              <w:t>(Attachment 7.026</w:t>
            </w:r>
            <w:r w:rsidRPr="00DC7352">
              <w:rPr>
                <w:rFonts w:eastAsia="Calibri"/>
                <w:lang w:eastAsia="en-US"/>
              </w:rPr>
              <w:t>) provides an overview of how the forecast network capex program is developed and</w:t>
            </w:r>
            <w:r w:rsidRPr="00887C8B">
              <w:rPr>
                <w:rFonts w:eastAsia="Calibri"/>
                <w:lang w:eastAsia="en-US"/>
              </w:rPr>
              <w:t xml:space="preserve"> administered.</w:t>
            </w:r>
          </w:p>
          <w:p w14:paraId="30A70282" w14:textId="77777777" w:rsidR="009F2CDD" w:rsidRPr="002056FA" w:rsidRDefault="009F2CDD" w:rsidP="00E169B4">
            <w:pPr>
              <w:pStyle w:val="TableCopy"/>
              <w:rPr>
                <w:rFonts w:eastAsia="Calibri"/>
                <w:color w:val="365F91"/>
                <w:lang w:eastAsia="en-US"/>
              </w:rPr>
            </w:pPr>
            <w:r w:rsidRPr="00887C8B">
              <w:rPr>
                <w:rFonts w:eastAsia="Calibri"/>
                <w:lang w:eastAsia="en-US"/>
              </w:rPr>
              <w:t>Other policies, strategies and procedures referenced in templates 7.1 and 7.3 that support achievement of the asset management objectives and customer service levels are available upon request.</w:t>
            </w:r>
          </w:p>
        </w:tc>
      </w:tr>
      <w:tr w:rsidR="009F2CDD" w:rsidRPr="002056FA" w14:paraId="2BB32112" w14:textId="77777777" w:rsidTr="00E169B4">
        <w:tc>
          <w:tcPr>
            <w:tcW w:w="0" w:type="auto"/>
            <w:shd w:val="clear" w:color="auto" w:fill="auto"/>
          </w:tcPr>
          <w:p w14:paraId="3F06FC5C" w14:textId="77777777" w:rsidR="009F2CDD" w:rsidRPr="002056FA" w:rsidRDefault="009F2CDD" w:rsidP="00E169B4">
            <w:pPr>
              <w:pStyle w:val="TableCopy"/>
              <w:rPr>
                <w:rFonts w:eastAsia="Calibri"/>
                <w:lang w:eastAsia="en-US"/>
              </w:rPr>
            </w:pPr>
            <w:r w:rsidRPr="002056FA">
              <w:rPr>
                <w:rFonts w:eastAsia="Calibri"/>
                <w:lang w:eastAsia="en-US"/>
              </w:rPr>
              <w:t xml:space="preserve">4.1(e) </w:t>
            </w:r>
          </w:p>
        </w:tc>
        <w:tc>
          <w:tcPr>
            <w:tcW w:w="0" w:type="auto"/>
            <w:shd w:val="clear" w:color="auto" w:fill="auto"/>
          </w:tcPr>
          <w:p w14:paraId="0A0C1DF5" w14:textId="77777777" w:rsidR="009F2CDD" w:rsidRPr="002056FA" w:rsidRDefault="009F2CDD" w:rsidP="00E169B4">
            <w:pPr>
              <w:pStyle w:val="TableCopy"/>
              <w:rPr>
                <w:rFonts w:eastAsia="Calibri"/>
                <w:lang w:eastAsia="en-US"/>
              </w:rPr>
            </w:pPr>
            <w:r w:rsidRPr="002056FA">
              <w:rPr>
                <w:rFonts w:eastAsia="Calibri"/>
                <w:lang w:eastAsia="en-US"/>
              </w:rPr>
              <w:t xml:space="preserve">an explanation of how each response provided to paragraph 4.1 (a)-(d) is reflected in any increase or decrease in expenditures or volumes, particularly between the current and forthcoming regulatory control periods, provided in Workbook 1 – regulatory determination, regulatory templates 2.1 to 2.11. </w:t>
            </w:r>
          </w:p>
        </w:tc>
        <w:tc>
          <w:tcPr>
            <w:tcW w:w="0" w:type="auto"/>
            <w:shd w:val="clear" w:color="auto" w:fill="auto"/>
          </w:tcPr>
          <w:p w14:paraId="0DE5ECE4" w14:textId="77777777" w:rsidR="009F2CDD" w:rsidRPr="002056FA" w:rsidRDefault="009F2CDD" w:rsidP="00E169B4">
            <w:pPr>
              <w:pStyle w:val="TableCopy"/>
              <w:rPr>
                <w:rFonts w:eastAsia="Calibri"/>
                <w:color w:val="00B0F0"/>
                <w:lang w:eastAsia="en-US"/>
              </w:rPr>
            </w:pPr>
            <w:r w:rsidRPr="002056FA">
              <w:rPr>
                <w:rFonts w:eastAsia="Calibri"/>
                <w:lang w:eastAsia="en-US"/>
              </w:rPr>
              <w:t xml:space="preserve">The changes in Energex’s capital expenditure between the current and forthcoming period are explained in Chapter </w:t>
            </w:r>
            <w:r>
              <w:rPr>
                <w:rFonts w:eastAsia="Calibri"/>
                <w:lang w:eastAsia="en-US"/>
              </w:rPr>
              <w:t>7</w:t>
            </w:r>
            <w:r w:rsidRPr="002056FA">
              <w:rPr>
                <w:rFonts w:eastAsia="Calibri"/>
                <w:lang w:eastAsia="en-US"/>
              </w:rPr>
              <w:t xml:space="preserve"> of the Regulatory Proposal.</w:t>
            </w:r>
          </w:p>
          <w:p w14:paraId="48BD92BC" w14:textId="77777777" w:rsidR="009F2CDD" w:rsidRPr="002056FA" w:rsidRDefault="009F2CDD" w:rsidP="00E169B4">
            <w:pPr>
              <w:pStyle w:val="TableCopy"/>
              <w:rPr>
                <w:rFonts w:eastAsia="Calibri"/>
                <w:color w:val="365F91"/>
                <w:lang w:eastAsia="en-US"/>
              </w:rPr>
            </w:pPr>
          </w:p>
        </w:tc>
      </w:tr>
      <w:tr w:rsidR="009F2CDD" w:rsidRPr="002056FA" w14:paraId="2C5ADE64" w14:textId="77777777" w:rsidTr="00E169B4">
        <w:tc>
          <w:tcPr>
            <w:tcW w:w="0" w:type="auto"/>
            <w:tcBorders>
              <w:bottom w:val="single" w:sz="4" w:space="0" w:color="auto"/>
            </w:tcBorders>
            <w:shd w:val="clear" w:color="auto" w:fill="auto"/>
          </w:tcPr>
          <w:p w14:paraId="1208832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4.2 </w:t>
            </w:r>
          </w:p>
        </w:tc>
        <w:tc>
          <w:tcPr>
            <w:tcW w:w="0" w:type="auto"/>
            <w:tcBorders>
              <w:bottom w:val="single" w:sz="4" w:space="0" w:color="auto"/>
            </w:tcBorders>
            <w:shd w:val="clear" w:color="auto" w:fill="auto"/>
          </w:tcPr>
          <w:p w14:paraId="6B9C8AA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Provide the model(s) and methodology </w:t>
            </w:r>
            <w:r w:rsidRPr="002056FA">
              <w:rPr>
                <w:rFonts w:eastAsia="Calibri"/>
                <w:iCs/>
                <w:color w:val="000000"/>
                <w:lang w:eastAsia="en-US"/>
              </w:rPr>
              <w:t xml:space="preserve">Energex </w:t>
            </w:r>
            <w:r w:rsidRPr="002056FA">
              <w:rPr>
                <w:rFonts w:eastAsia="Calibri"/>
                <w:color w:val="000000"/>
                <w:lang w:eastAsia="en-US"/>
              </w:rPr>
              <w:t xml:space="preserve">used to develop its total </w:t>
            </w:r>
            <w:r w:rsidRPr="002056FA">
              <w:rPr>
                <w:rFonts w:eastAsia="Calibri"/>
                <w:iCs/>
                <w:color w:val="000000"/>
                <w:lang w:eastAsia="en-US"/>
              </w:rPr>
              <w:t>forecast capex</w:t>
            </w:r>
            <w:r w:rsidRPr="002056FA">
              <w:rPr>
                <w:rFonts w:eastAsia="Calibri"/>
                <w:color w:val="000000"/>
                <w:lang w:eastAsia="en-US"/>
              </w:rPr>
              <w:t xml:space="preserve">, including: </w:t>
            </w:r>
          </w:p>
        </w:tc>
        <w:tc>
          <w:tcPr>
            <w:tcW w:w="0" w:type="auto"/>
            <w:tcBorders>
              <w:bottom w:val="single" w:sz="4" w:space="0" w:color="auto"/>
            </w:tcBorders>
            <w:shd w:val="clear" w:color="auto" w:fill="auto"/>
          </w:tcPr>
          <w:p w14:paraId="6F7FB21B" w14:textId="77777777" w:rsidR="009F2CDD" w:rsidRPr="002056FA" w:rsidRDefault="009F2CDD" w:rsidP="00E169B4">
            <w:pPr>
              <w:pStyle w:val="TableCopy"/>
              <w:rPr>
                <w:rFonts w:eastAsia="Calibri"/>
                <w:lang w:eastAsia="en-US"/>
              </w:rPr>
            </w:pPr>
            <w:r>
              <w:rPr>
                <w:rFonts w:eastAsia="Calibri"/>
                <w:lang w:eastAsia="en-US"/>
              </w:rPr>
              <w:t xml:space="preserve">Energex’s Forecasting Methodology is set out in Attachment 4.002). </w:t>
            </w:r>
            <w:r w:rsidRPr="002056FA">
              <w:rPr>
                <w:rFonts w:eastAsia="Calibri"/>
                <w:lang w:eastAsia="en-US"/>
              </w:rPr>
              <w:t xml:space="preserve">Energex has </w:t>
            </w:r>
            <w:r>
              <w:rPr>
                <w:rFonts w:eastAsia="Calibri"/>
                <w:lang w:eastAsia="en-US"/>
              </w:rPr>
              <w:t xml:space="preserve">also </w:t>
            </w:r>
            <w:r w:rsidRPr="002056FA">
              <w:rPr>
                <w:rFonts w:eastAsia="Calibri"/>
                <w:lang w:eastAsia="en-US"/>
              </w:rPr>
              <w:t>provided:</w:t>
            </w:r>
          </w:p>
          <w:p w14:paraId="10E0B1D1" w14:textId="77777777" w:rsidR="009F2CDD" w:rsidRPr="002056FA" w:rsidRDefault="009F2CDD" w:rsidP="00E169B4">
            <w:pPr>
              <w:pStyle w:val="Bullet1"/>
              <w:rPr>
                <w:sz w:val="20"/>
                <w:szCs w:val="20"/>
              </w:rPr>
            </w:pPr>
            <w:r>
              <w:rPr>
                <w:sz w:val="20"/>
                <w:szCs w:val="20"/>
              </w:rPr>
              <w:t>Capex forecast – SCS</w:t>
            </w:r>
            <w:r w:rsidRPr="002056FA">
              <w:rPr>
                <w:sz w:val="20"/>
                <w:szCs w:val="20"/>
              </w:rPr>
              <w:t xml:space="preserve"> </w:t>
            </w:r>
            <w:r w:rsidRPr="00405365">
              <w:rPr>
                <w:sz w:val="20"/>
                <w:szCs w:val="20"/>
              </w:rPr>
              <w:t>model (</w:t>
            </w:r>
            <w:r>
              <w:rPr>
                <w:sz w:val="20"/>
                <w:szCs w:val="20"/>
              </w:rPr>
              <w:t>Attachment 7.153</w:t>
            </w:r>
            <w:r w:rsidRPr="00405365">
              <w:rPr>
                <w:sz w:val="20"/>
                <w:szCs w:val="20"/>
              </w:rPr>
              <w:t>)</w:t>
            </w:r>
            <w:r w:rsidRPr="002056FA">
              <w:rPr>
                <w:sz w:val="20"/>
                <w:szCs w:val="20"/>
              </w:rPr>
              <w:t xml:space="preserve"> </w:t>
            </w:r>
          </w:p>
          <w:p w14:paraId="17126A15" w14:textId="77777777" w:rsidR="009F2CDD" w:rsidRDefault="009F2CDD" w:rsidP="00E169B4">
            <w:pPr>
              <w:pStyle w:val="Bullet1"/>
              <w:rPr>
                <w:sz w:val="20"/>
                <w:szCs w:val="20"/>
              </w:rPr>
            </w:pPr>
            <w:r>
              <w:rPr>
                <w:sz w:val="20"/>
                <w:szCs w:val="20"/>
              </w:rPr>
              <w:t>Capex forecast – ACS Metering</w:t>
            </w:r>
            <w:r w:rsidRPr="002056FA">
              <w:rPr>
                <w:sz w:val="20"/>
                <w:szCs w:val="20"/>
              </w:rPr>
              <w:t xml:space="preserve"> </w:t>
            </w:r>
            <w:r w:rsidRPr="00355302">
              <w:rPr>
                <w:sz w:val="20"/>
                <w:szCs w:val="20"/>
              </w:rPr>
              <w:t>model (</w:t>
            </w:r>
            <w:r>
              <w:rPr>
                <w:sz w:val="20"/>
                <w:szCs w:val="20"/>
              </w:rPr>
              <w:t>Attachment 15.007</w:t>
            </w:r>
            <w:r w:rsidRPr="00355302">
              <w:rPr>
                <w:sz w:val="20"/>
                <w:szCs w:val="20"/>
              </w:rPr>
              <w:t>)</w:t>
            </w:r>
          </w:p>
          <w:p w14:paraId="387C6239" w14:textId="77777777" w:rsidR="009F2CDD" w:rsidRDefault="009F2CDD" w:rsidP="00E169B4">
            <w:pPr>
              <w:pStyle w:val="Bullet1"/>
              <w:rPr>
                <w:sz w:val="20"/>
                <w:szCs w:val="20"/>
              </w:rPr>
            </w:pPr>
            <w:r>
              <w:rPr>
                <w:sz w:val="20"/>
                <w:szCs w:val="20"/>
              </w:rPr>
              <w:t>Capex forecast – ACS Public lighting conventional (Attachment 15.031), and</w:t>
            </w:r>
          </w:p>
          <w:p w14:paraId="16D10033" w14:textId="77777777" w:rsidR="009F2CDD" w:rsidRPr="002056FA" w:rsidRDefault="009F2CDD" w:rsidP="00E169B4">
            <w:pPr>
              <w:pStyle w:val="Bullet1"/>
              <w:rPr>
                <w:sz w:val="20"/>
                <w:szCs w:val="20"/>
              </w:rPr>
            </w:pPr>
            <w:r>
              <w:rPr>
                <w:sz w:val="20"/>
                <w:szCs w:val="20"/>
              </w:rPr>
              <w:t xml:space="preserve">Capex forecast – ACS Public lighting LED (Attachment 15.033). </w:t>
            </w:r>
          </w:p>
          <w:p w14:paraId="6B014FAF" w14:textId="77777777" w:rsidR="009F2CDD" w:rsidRPr="002056FA" w:rsidRDefault="009F2CDD" w:rsidP="00E169B4">
            <w:pPr>
              <w:pStyle w:val="TableCopy"/>
              <w:rPr>
                <w:rFonts w:eastAsia="Calibri"/>
                <w:color w:val="00B0F0"/>
                <w:lang w:eastAsia="en-US"/>
              </w:rPr>
            </w:pPr>
            <w:r>
              <w:rPr>
                <w:rFonts w:eastAsia="Calibri"/>
                <w:lang w:eastAsia="en-US"/>
              </w:rPr>
              <w:t xml:space="preserve">Further details of </w:t>
            </w:r>
            <w:r w:rsidRPr="002056FA">
              <w:rPr>
                <w:rFonts w:eastAsia="Calibri"/>
                <w:lang w:eastAsia="en-US"/>
              </w:rPr>
              <w:t>Energex’s forecast</w:t>
            </w:r>
            <w:r>
              <w:rPr>
                <w:rFonts w:eastAsia="Calibri"/>
                <w:lang w:eastAsia="en-US"/>
              </w:rPr>
              <w:t>ing</w:t>
            </w:r>
            <w:r w:rsidRPr="002056FA">
              <w:rPr>
                <w:rFonts w:eastAsia="Calibri"/>
                <w:lang w:eastAsia="en-US"/>
              </w:rPr>
              <w:t xml:space="preserve"> methodology</w:t>
            </w:r>
            <w:r>
              <w:rPr>
                <w:rFonts w:eastAsia="Calibri"/>
                <w:lang w:eastAsia="en-US"/>
              </w:rPr>
              <w:t xml:space="preserve"> for capex </w:t>
            </w:r>
            <w:r w:rsidRPr="002056FA">
              <w:rPr>
                <w:rFonts w:eastAsia="Calibri"/>
                <w:lang w:eastAsia="en-US"/>
              </w:rPr>
              <w:t>has also b</w:t>
            </w:r>
            <w:r>
              <w:rPr>
                <w:rFonts w:eastAsia="Calibri"/>
                <w:lang w:eastAsia="en-US"/>
              </w:rPr>
              <w:t>een outlined in Chapter 7 of our Regulatory Proposal</w:t>
            </w:r>
            <w:r w:rsidRPr="002056FA">
              <w:rPr>
                <w:rFonts w:eastAsia="Calibri"/>
                <w:lang w:eastAsia="en-US"/>
              </w:rPr>
              <w:t>.</w:t>
            </w:r>
          </w:p>
        </w:tc>
      </w:tr>
      <w:tr w:rsidR="009F2CDD" w:rsidRPr="002056FA" w14:paraId="1ADE7785" w14:textId="77777777" w:rsidTr="00E169B4">
        <w:tc>
          <w:tcPr>
            <w:tcW w:w="0" w:type="auto"/>
            <w:shd w:val="clear" w:color="auto" w:fill="D0CECE" w:themeFill="background2" w:themeFillShade="E6"/>
          </w:tcPr>
          <w:p w14:paraId="351278D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4.2(a)</w:t>
            </w:r>
          </w:p>
        </w:tc>
        <w:tc>
          <w:tcPr>
            <w:tcW w:w="0" w:type="auto"/>
            <w:shd w:val="clear" w:color="auto" w:fill="D0CECE" w:themeFill="background2" w:themeFillShade="E6"/>
          </w:tcPr>
          <w:p w14:paraId="20B3D4F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 description of how Energex prepared the forecast capex, including:</w:t>
            </w:r>
          </w:p>
        </w:tc>
        <w:tc>
          <w:tcPr>
            <w:tcW w:w="0" w:type="auto"/>
            <w:shd w:val="clear" w:color="auto" w:fill="D0CECE" w:themeFill="background2" w:themeFillShade="E6"/>
          </w:tcPr>
          <w:p w14:paraId="2DFE9673" w14:textId="77777777" w:rsidR="009F2CDD" w:rsidRPr="002056FA" w:rsidRDefault="009F2CDD" w:rsidP="00E169B4">
            <w:pPr>
              <w:pStyle w:val="TableCopy"/>
              <w:rPr>
                <w:rFonts w:eastAsia="Calibri"/>
                <w:color w:val="000000"/>
                <w:lang w:eastAsia="en-US"/>
              </w:rPr>
            </w:pPr>
          </w:p>
        </w:tc>
      </w:tr>
      <w:tr w:rsidR="009F2CDD" w:rsidRPr="002056FA" w14:paraId="176D8450" w14:textId="77777777" w:rsidTr="00E169B4">
        <w:tc>
          <w:tcPr>
            <w:tcW w:w="0" w:type="auto"/>
            <w:shd w:val="clear" w:color="auto" w:fill="auto"/>
          </w:tcPr>
          <w:p w14:paraId="639BF69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4.2(a)(i)</w:t>
            </w:r>
          </w:p>
        </w:tc>
        <w:tc>
          <w:tcPr>
            <w:tcW w:w="0" w:type="auto"/>
            <w:shd w:val="clear" w:color="auto" w:fill="auto"/>
          </w:tcPr>
          <w:p w14:paraId="714EFCE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how its preparation differed or related to budgetary, planning and governance processes used in the normal operation of Energex’s business;</w:t>
            </w:r>
          </w:p>
        </w:tc>
        <w:tc>
          <w:tcPr>
            <w:tcW w:w="0" w:type="auto"/>
            <w:shd w:val="clear" w:color="auto" w:fill="auto"/>
          </w:tcPr>
          <w:p w14:paraId="7E4A11A5" w14:textId="77777777" w:rsidR="009F2CDD" w:rsidRPr="002056FA" w:rsidRDefault="009F2CDD" w:rsidP="00E169B4">
            <w:pPr>
              <w:pStyle w:val="TableCopy"/>
              <w:rPr>
                <w:rFonts w:eastAsia="Calibri"/>
                <w:lang w:eastAsia="en-US"/>
              </w:rPr>
            </w:pPr>
            <w:r w:rsidRPr="002056FA">
              <w:rPr>
                <w:rFonts w:eastAsia="Calibri"/>
                <w:lang w:eastAsia="en-US"/>
              </w:rPr>
              <w:t xml:space="preserve">Energex has used largely existing budgetary, planning and governance process to develop the forecast capex proposal. Energex developed a seven year program of work consistent with existing process, undertook a detailed examination and challenge of the proposed program as part of the optimisation process.   For further detail refer to </w:t>
            </w:r>
            <w:r>
              <w:rPr>
                <w:rFonts w:eastAsia="Calibri"/>
                <w:lang w:eastAsia="en-US"/>
              </w:rPr>
              <w:t>the ‘</w:t>
            </w:r>
            <w:r w:rsidRPr="002056FA">
              <w:rPr>
                <w:rFonts w:eastAsia="Calibri"/>
                <w:lang w:eastAsia="en-US"/>
              </w:rPr>
              <w:t>Asset Management</w:t>
            </w:r>
            <w:r>
              <w:rPr>
                <w:rFonts w:eastAsia="Calibri"/>
                <w:lang w:eastAsia="en-US"/>
              </w:rPr>
              <w:t xml:space="preserve"> Overview</w:t>
            </w:r>
            <w:r w:rsidRPr="002056FA">
              <w:rPr>
                <w:rFonts w:eastAsia="Calibri"/>
                <w:lang w:eastAsia="en-US"/>
              </w:rPr>
              <w:t>, Risk &amp; Optimisation</w:t>
            </w:r>
            <w:r>
              <w:rPr>
                <w:rFonts w:eastAsia="Calibri"/>
                <w:lang w:eastAsia="en-US"/>
              </w:rPr>
              <w:t xml:space="preserve"> Strategy’ document</w:t>
            </w:r>
            <w:r w:rsidRPr="002056FA">
              <w:rPr>
                <w:rFonts w:eastAsia="Calibri"/>
                <w:lang w:eastAsia="en-US"/>
              </w:rPr>
              <w:t xml:space="preserve"> (</w:t>
            </w:r>
            <w:r>
              <w:rPr>
                <w:rFonts w:eastAsia="Calibri"/>
                <w:lang w:eastAsia="en-US"/>
              </w:rPr>
              <w:t>Attachment 7.026</w:t>
            </w:r>
            <w:r w:rsidRPr="00DC7352">
              <w:rPr>
                <w:rFonts w:eastAsia="Calibri"/>
                <w:lang w:eastAsia="en-US"/>
              </w:rPr>
              <w:t>).</w:t>
            </w:r>
          </w:p>
          <w:p w14:paraId="7A93E963" w14:textId="77777777" w:rsidR="009F2CDD" w:rsidRPr="002056FA" w:rsidRDefault="009F2CDD" w:rsidP="00E169B4">
            <w:pPr>
              <w:pStyle w:val="TableCopy"/>
              <w:rPr>
                <w:rFonts w:eastAsia="Calibri"/>
                <w:color w:val="00B0F0"/>
                <w:lang w:eastAsia="en-US"/>
              </w:rPr>
            </w:pPr>
            <w:r w:rsidRPr="002056FA">
              <w:rPr>
                <w:rFonts w:eastAsia="Calibri"/>
                <w:lang w:eastAsia="en-US"/>
              </w:rPr>
              <w:t xml:space="preserve">Customer feedback also informed the optimised capex forecast with early consultation with customers and engagement on Energex’s draft plan for the forthcoming regulatory period.  </w:t>
            </w:r>
          </w:p>
        </w:tc>
      </w:tr>
      <w:tr w:rsidR="009F2CDD" w:rsidRPr="002056FA" w14:paraId="1B37D546" w14:textId="77777777" w:rsidTr="00E169B4">
        <w:tc>
          <w:tcPr>
            <w:tcW w:w="0" w:type="auto"/>
            <w:shd w:val="clear" w:color="auto" w:fill="auto"/>
          </w:tcPr>
          <w:p w14:paraId="5F79A29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4.2(a)(ii)</w:t>
            </w:r>
          </w:p>
        </w:tc>
        <w:tc>
          <w:tcPr>
            <w:tcW w:w="0" w:type="auto"/>
            <w:shd w:val="clear" w:color="auto" w:fill="auto"/>
          </w:tcPr>
          <w:p w14:paraId="585F572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processes for ensuring amounts are free of error and other quality assurance steps; and</w:t>
            </w:r>
          </w:p>
        </w:tc>
        <w:tc>
          <w:tcPr>
            <w:tcW w:w="0" w:type="auto"/>
            <w:shd w:val="clear" w:color="auto" w:fill="auto"/>
          </w:tcPr>
          <w:p w14:paraId="5C9FDE11" w14:textId="77777777" w:rsidR="009F2CDD" w:rsidRPr="002056FA" w:rsidRDefault="009F2CDD" w:rsidP="00E169B4">
            <w:pPr>
              <w:pStyle w:val="TableCopy"/>
              <w:rPr>
                <w:rFonts w:eastAsia="Calibri"/>
                <w:lang w:eastAsia="en-US"/>
              </w:rPr>
            </w:pPr>
            <w:r w:rsidRPr="002056FA">
              <w:rPr>
                <w:rFonts w:eastAsia="Calibri"/>
                <w:lang w:eastAsia="en-US"/>
              </w:rPr>
              <w:t>Considerable work was undertaken to build the bottom up program and optimised investment forecast to 2025, utilising a Program of Work governance process.</w:t>
            </w:r>
          </w:p>
          <w:p w14:paraId="7C171D05" w14:textId="77777777" w:rsidR="009F2CDD" w:rsidRPr="002056FA" w:rsidRDefault="009F2CDD" w:rsidP="00E169B4">
            <w:pPr>
              <w:pStyle w:val="TableCopy"/>
              <w:rPr>
                <w:rFonts w:eastAsia="Calibri"/>
                <w:lang w:eastAsia="en-US"/>
              </w:rPr>
            </w:pPr>
            <w:r w:rsidRPr="002056FA">
              <w:rPr>
                <w:rFonts w:eastAsia="Calibri"/>
                <w:lang w:eastAsia="en-US"/>
              </w:rPr>
              <w:t>Candidate work was identified grounded on a risk based approach and loaded into the corporate portfolio, program and project management tools.  Numerous iterations or scenarios on the composition of the overall program were considered and underwent staged review and top-down checks and challenge, together with management reviews to produce an optimised program for delivery.</w:t>
            </w:r>
          </w:p>
          <w:p w14:paraId="1DC149C5" w14:textId="77777777" w:rsidR="009F2CDD" w:rsidRPr="002056FA" w:rsidRDefault="009F2CDD" w:rsidP="00E169B4">
            <w:pPr>
              <w:pStyle w:val="TableCopy"/>
              <w:rPr>
                <w:rFonts w:eastAsia="Calibri"/>
                <w:lang w:eastAsia="en-US"/>
              </w:rPr>
            </w:pPr>
            <w:r w:rsidRPr="002056FA">
              <w:rPr>
                <w:rFonts w:eastAsia="Calibri"/>
                <w:lang w:eastAsia="en-US"/>
              </w:rPr>
              <w:t>Energex’s quality assurance process for data and models involved staged peer review, together with management review and sign-off.</w:t>
            </w:r>
          </w:p>
        </w:tc>
      </w:tr>
      <w:tr w:rsidR="009F2CDD" w:rsidRPr="002056FA" w14:paraId="29853734" w14:textId="77777777" w:rsidTr="00E169B4">
        <w:tc>
          <w:tcPr>
            <w:tcW w:w="0" w:type="auto"/>
            <w:shd w:val="clear" w:color="auto" w:fill="auto"/>
          </w:tcPr>
          <w:p w14:paraId="47FD959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4.2(a)(iii)</w:t>
            </w:r>
          </w:p>
        </w:tc>
        <w:tc>
          <w:tcPr>
            <w:tcW w:w="0" w:type="auto"/>
            <w:shd w:val="clear" w:color="auto" w:fill="auto"/>
          </w:tcPr>
          <w:p w14:paraId="66601C9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if and how Energex considered the resulting amounts, when translated into price impacts, were in the long-term interest of consumers.</w:t>
            </w:r>
          </w:p>
        </w:tc>
        <w:tc>
          <w:tcPr>
            <w:tcW w:w="0" w:type="auto"/>
            <w:shd w:val="clear" w:color="auto" w:fill="auto"/>
          </w:tcPr>
          <w:p w14:paraId="1036A8AD" w14:textId="77777777" w:rsidR="009F2CDD" w:rsidRDefault="009F2CDD" w:rsidP="00E169B4">
            <w:pPr>
              <w:tabs>
                <w:tab w:val="left" w:pos="1134"/>
                <w:tab w:val="right" w:leader="dot" w:pos="9072"/>
              </w:tabs>
              <w:spacing w:before="120" w:after="120" w:line="240" w:lineRule="auto"/>
              <w:ind w:left="0"/>
              <w:rPr>
                <w:rFonts w:eastAsia="Calibri"/>
                <w:szCs w:val="20"/>
              </w:rPr>
            </w:pPr>
            <w:r>
              <w:rPr>
                <w:rFonts w:eastAsia="Calibri"/>
                <w:szCs w:val="20"/>
              </w:rPr>
              <w:t xml:space="preserve">Energex examined whether the proposed capital program is in the long-term interests of customers by engaging with customers to achieve a balance of our customer commitments; affordable, secure, and sustainable.  Relevant factors such as price impact, safety outcomes and service quality were considered by customer groups in these engagement sessions.  </w:t>
            </w:r>
          </w:p>
          <w:p w14:paraId="1BF1AF12" w14:textId="77777777" w:rsidR="009F2CDD" w:rsidRPr="007246D8" w:rsidRDefault="009F2CDD" w:rsidP="00E169B4">
            <w:pPr>
              <w:tabs>
                <w:tab w:val="left" w:pos="1134"/>
                <w:tab w:val="right" w:leader="dot" w:pos="9072"/>
              </w:tabs>
              <w:spacing w:before="120" w:after="120" w:line="240" w:lineRule="auto"/>
              <w:ind w:left="0"/>
              <w:rPr>
                <w:rFonts w:ascii="Calibri" w:hAnsi="Calibri" w:cs="Times New Roman"/>
                <w:szCs w:val="20"/>
              </w:rPr>
            </w:pPr>
            <w:r>
              <w:rPr>
                <w:rFonts w:eastAsia="Calibri"/>
                <w:szCs w:val="20"/>
              </w:rPr>
              <w:t>Customer feedback also informed the optimised capex forecast with early consultation with customers and engagement on Energex’s draft plan for the forthcoming regulatory period.</w:t>
            </w:r>
            <w:r w:rsidRPr="007246D8">
              <w:rPr>
                <w:rFonts w:ascii="Calibri" w:hAnsi="Calibri" w:cs="Times New Roman"/>
                <w:szCs w:val="20"/>
              </w:rPr>
              <w:t xml:space="preserve">  </w:t>
            </w:r>
          </w:p>
          <w:p w14:paraId="21D5FE30" w14:textId="77777777" w:rsidR="009F2CDD" w:rsidRPr="002056FA" w:rsidRDefault="009F2CDD" w:rsidP="00E169B4">
            <w:pPr>
              <w:pStyle w:val="TableCopy"/>
              <w:rPr>
                <w:rFonts w:eastAsia="Calibri"/>
                <w:lang w:eastAsia="en-US"/>
              </w:rPr>
            </w:pPr>
            <w:r>
              <w:rPr>
                <w:rFonts w:eastAsia="Calibri"/>
              </w:rPr>
              <w:t>Further information may be found in the capital expenditure chapter of the regulatory proposal, and how the forecast capex differs from Our Draft Plans is outlined in the Overview of Our Regulatory Proposals.</w:t>
            </w:r>
          </w:p>
        </w:tc>
      </w:tr>
      <w:tr w:rsidR="009F2CDD" w:rsidRPr="002056FA" w14:paraId="51C083B9" w14:textId="77777777" w:rsidTr="00E169B4">
        <w:tc>
          <w:tcPr>
            <w:tcW w:w="0" w:type="auto"/>
            <w:shd w:val="clear" w:color="auto" w:fill="auto"/>
          </w:tcPr>
          <w:p w14:paraId="76A38F7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4.2(b)</w:t>
            </w:r>
          </w:p>
        </w:tc>
        <w:tc>
          <w:tcPr>
            <w:tcW w:w="0" w:type="auto"/>
            <w:shd w:val="clear" w:color="auto" w:fill="auto"/>
          </w:tcPr>
          <w:p w14:paraId="7BC3D6A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any source material used (including models, documentation or any other items containing quantitative data); and</w:t>
            </w:r>
          </w:p>
        </w:tc>
        <w:tc>
          <w:tcPr>
            <w:tcW w:w="0" w:type="auto"/>
            <w:shd w:val="clear" w:color="auto" w:fill="auto"/>
          </w:tcPr>
          <w:p w14:paraId="230F4380" w14:textId="77777777" w:rsidR="009F2CDD" w:rsidRPr="00DC7352" w:rsidRDefault="009F2CDD" w:rsidP="00E169B4">
            <w:pPr>
              <w:tabs>
                <w:tab w:val="left" w:pos="1134"/>
                <w:tab w:val="right" w:leader="dot" w:pos="9072"/>
              </w:tabs>
              <w:spacing w:before="120" w:after="120" w:line="240" w:lineRule="auto"/>
              <w:ind w:left="0"/>
              <w:rPr>
                <w:rFonts w:eastAsia="Calibri"/>
                <w:szCs w:val="20"/>
              </w:rPr>
            </w:pPr>
            <w:r w:rsidRPr="00DC7352">
              <w:rPr>
                <w:rFonts w:eastAsia="Calibri"/>
                <w:szCs w:val="20"/>
              </w:rPr>
              <w:t>Source material has been documented in:</w:t>
            </w:r>
          </w:p>
          <w:p w14:paraId="1B9D5633" w14:textId="77777777" w:rsidR="009F2CDD" w:rsidRPr="00E1023B" w:rsidRDefault="009F2CDD" w:rsidP="00E169B4">
            <w:pPr>
              <w:pStyle w:val="Bullet1"/>
              <w:rPr>
                <w:sz w:val="20"/>
                <w:szCs w:val="20"/>
              </w:rPr>
            </w:pPr>
            <w:r w:rsidRPr="00E1023B">
              <w:rPr>
                <w:sz w:val="20"/>
                <w:szCs w:val="20"/>
              </w:rPr>
              <w:t>Asset Management Plans (supporting attachments 7.02</w:t>
            </w:r>
            <w:r>
              <w:rPr>
                <w:sz w:val="20"/>
                <w:szCs w:val="20"/>
              </w:rPr>
              <w:t>7</w:t>
            </w:r>
            <w:r w:rsidRPr="00E1023B">
              <w:rPr>
                <w:sz w:val="20"/>
                <w:szCs w:val="20"/>
              </w:rPr>
              <w:t xml:space="preserve"> through to 7.044</w:t>
            </w:r>
            <w:r>
              <w:rPr>
                <w:sz w:val="20"/>
                <w:szCs w:val="20"/>
              </w:rPr>
              <w:t xml:space="preserve"> and 7.090</w:t>
            </w:r>
            <w:r w:rsidRPr="00E1023B">
              <w:rPr>
                <w:sz w:val="20"/>
                <w:szCs w:val="20"/>
              </w:rPr>
              <w:t xml:space="preserve">) </w:t>
            </w:r>
          </w:p>
          <w:p w14:paraId="7E00AE0D" w14:textId="77777777" w:rsidR="009F2CDD" w:rsidRPr="00E1023B" w:rsidRDefault="009F2CDD" w:rsidP="00E169B4">
            <w:pPr>
              <w:pStyle w:val="Bullet1"/>
              <w:rPr>
                <w:sz w:val="20"/>
                <w:szCs w:val="20"/>
              </w:rPr>
            </w:pPr>
            <w:r w:rsidRPr="00E1023B">
              <w:rPr>
                <w:sz w:val="20"/>
                <w:szCs w:val="20"/>
              </w:rPr>
              <w:t>Network Strategies (supporting attachments 7.047, 7.048, 7.080 and 7.089)</w:t>
            </w:r>
          </w:p>
          <w:p w14:paraId="7B222C85" w14:textId="77777777" w:rsidR="009F2CDD" w:rsidRPr="00E1023B" w:rsidRDefault="009F2CDD" w:rsidP="00E169B4">
            <w:pPr>
              <w:pStyle w:val="Bullet1"/>
              <w:rPr>
                <w:sz w:val="20"/>
                <w:szCs w:val="20"/>
              </w:rPr>
            </w:pPr>
            <w:r w:rsidRPr="00E1023B">
              <w:rPr>
                <w:sz w:val="20"/>
                <w:szCs w:val="20"/>
              </w:rPr>
              <w:t xml:space="preserve">Strategic Proposals and Business Cases (supporting attachments 7.055, </w:t>
            </w:r>
            <w:r>
              <w:rPr>
                <w:sz w:val="20"/>
                <w:szCs w:val="20"/>
              </w:rPr>
              <w:t>7.091, 7.093, 7.094, 7.096, 7.097, 7.099, 7.008-7.025 and 7.137-7.142</w:t>
            </w:r>
            <w:r w:rsidRPr="00E1023B">
              <w:rPr>
                <w:sz w:val="20"/>
                <w:szCs w:val="20"/>
              </w:rPr>
              <w:t>).</w:t>
            </w:r>
          </w:p>
          <w:p w14:paraId="6912D7A2" w14:textId="77777777" w:rsidR="009F2CDD" w:rsidRPr="00E1023B" w:rsidRDefault="009F2CDD" w:rsidP="00E169B4">
            <w:pPr>
              <w:pStyle w:val="Bullet1"/>
              <w:rPr>
                <w:sz w:val="20"/>
                <w:szCs w:val="20"/>
              </w:rPr>
            </w:pPr>
            <w:r w:rsidRPr="00E1023B">
              <w:rPr>
                <w:sz w:val="20"/>
                <w:szCs w:val="20"/>
              </w:rPr>
              <w:t>Unit Cost Methodology (</w:t>
            </w:r>
            <w:r>
              <w:rPr>
                <w:sz w:val="20"/>
                <w:szCs w:val="20"/>
              </w:rPr>
              <w:t>A</w:t>
            </w:r>
            <w:r w:rsidRPr="00E1023B">
              <w:rPr>
                <w:sz w:val="20"/>
                <w:szCs w:val="20"/>
              </w:rPr>
              <w:t>ttachment 7.005)</w:t>
            </w:r>
          </w:p>
          <w:p w14:paraId="12E762A8" w14:textId="77777777" w:rsidR="009F2CDD" w:rsidRPr="002056FA" w:rsidRDefault="009F2CDD" w:rsidP="00E169B4">
            <w:pPr>
              <w:pStyle w:val="Bullet1"/>
              <w:rPr>
                <w:color w:val="00B0F0"/>
              </w:rPr>
            </w:pPr>
            <w:r w:rsidRPr="00E1023B">
              <w:rPr>
                <w:sz w:val="20"/>
                <w:szCs w:val="20"/>
              </w:rPr>
              <w:t>The bottom up build of the capex program of work is represented in corporate portfolio, program and project management tools.</w:t>
            </w:r>
            <w:r w:rsidRPr="00DA5BA0">
              <w:t xml:space="preserve">  </w:t>
            </w:r>
          </w:p>
        </w:tc>
      </w:tr>
      <w:tr w:rsidR="009F2CDD" w:rsidRPr="002056FA" w14:paraId="404A1B38" w14:textId="77777777" w:rsidTr="00E169B4">
        <w:tc>
          <w:tcPr>
            <w:tcW w:w="0" w:type="auto"/>
            <w:tcBorders>
              <w:bottom w:val="single" w:sz="4" w:space="0" w:color="auto"/>
            </w:tcBorders>
            <w:shd w:val="clear" w:color="auto" w:fill="auto"/>
          </w:tcPr>
          <w:p w14:paraId="618A2EFD" w14:textId="77777777" w:rsidR="009F2CDD" w:rsidRPr="002056FA" w:rsidRDefault="009F2CDD" w:rsidP="00E169B4">
            <w:pPr>
              <w:pStyle w:val="TableCopy"/>
              <w:rPr>
                <w:rFonts w:eastAsia="Calibri"/>
                <w:lang w:eastAsia="en-US"/>
              </w:rPr>
            </w:pPr>
            <w:r w:rsidRPr="002056FA">
              <w:rPr>
                <w:rFonts w:eastAsia="Calibri"/>
                <w:lang w:eastAsia="en-US"/>
              </w:rPr>
              <w:t>4.2(c)</w:t>
            </w:r>
          </w:p>
        </w:tc>
        <w:tc>
          <w:tcPr>
            <w:tcW w:w="0" w:type="auto"/>
            <w:tcBorders>
              <w:bottom w:val="single" w:sz="4" w:space="0" w:color="auto"/>
            </w:tcBorders>
            <w:shd w:val="clear" w:color="auto" w:fill="auto"/>
          </w:tcPr>
          <w:p w14:paraId="0D399780" w14:textId="77777777" w:rsidR="009F2CDD" w:rsidRPr="002056FA" w:rsidRDefault="009F2CDD" w:rsidP="00E169B4">
            <w:pPr>
              <w:pStyle w:val="TableCopy"/>
              <w:rPr>
                <w:rFonts w:eastAsia="Calibri"/>
                <w:lang w:eastAsia="en-US"/>
              </w:rPr>
            </w:pPr>
            <w:r w:rsidRPr="002056FA">
              <w:rPr>
                <w:rFonts w:eastAsia="Calibri"/>
                <w:lang w:eastAsia="en-US"/>
              </w:rPr>
              <w:t>calculations that demonstrate how data from the source material has been manipulated or transformed to generate data provided in the regulatory templates in Workbook 1 – Regulatory determination.</w:t>
            </w:r>
          </w:p>
        </w:tc>
        <w:tc>
          <w:tcPr>
            <w:tcW w:w="0" w:type="auto"/>
            <w:tcBorders>
              <w:bottom w:val="single" w:sz="4" w:space="0" w:color="auto"/>
            </w:tcBorders>
            <w:shd w:val="clear" w:color="auto" w:fill="auto"/>
          </w:tcPr>
          <w:p w14:paraId="7575B914" w14:textId="77777777" w:rsidR="009F2CDD" w:rsidRPr="002056FA" w:rsidRDefault="009F2CDD" w:rsidP="00E169B4">
            <w:pPr>
              <w:pStyle w:val="TableCopy"/>
              <w:rPr>
                <w:rFonts w:eastAsia="Calibri"/>
                <w:color w:val="00B0F0"/>
                <w:lang w:eastAsia="en-US"/>
              </w:rPr>
            </w:pPr>
            <w:r w:rsidRPr="002056FA">
              <w:rPr>
                <w:rFonts w:eastAsia="Calibri"/>
                <w:lang w:eastAsia="en-US"/>
              </w:rPr>
              <w:t>The calculations to transform source material can be found in the “Reset RIN Population Model” (</w:t>
            </w:r>
            <w:r w:rsidRPr="00DC7352">
              <w:rPr>
                <w:rFonts w:eastAsia="Calibri"/>
                <w:lang w:eastAsia="en-US"/>
              </w:rPr>
              <w:t xml:space="preserve">Attachment </w:t>
            </w:r>
            <w:r>
              <w:rPr>
                <w:rFonts w:eastAsia="Calibri"/>
                <w:lang w:eastAsia="en-US"/>
              </w:rPr>
              <w:t>17.065</w:t>
            </w:r>
            <w:r w:rsidRPr="00DC7352">
              <w:rPr>
                <w:rFonts w:eastAsia="Calibri"/>
                <w:lang w:eastAsia="en-US"/>
              </w:rPr>
              <w:t>).</w:t>
            </w:r>
            <w:r w:rsidRPr="002056FA">
              <w:rPr>
                <w:rFonts w:eastAsia="Calibri"/>
                <w:color w:val="00B0F0"/>
                <w:lang w:eastAsia="en-US"/>
              </w:rPr>
              <w:t xml:space="preserve"> </w:t>
            </w:r>
          </w:p>
        </w:tc>
      </w:tr>
      <w:tr w:rsidR="009F2CDD" w:rsidRPr="002056FA" w14:paraId="4FE84989" w14:textId="77777777" w:rsidTr="00E169B4">
        <w:tc>
          <w:tcPr>
            <w:tcW w:w="0" w:type="auto"/>
            <w:shd w:val="clear" w:color="auto" w:fill="D0CECE" w:themeFill="background2" w:themeFillShade="E6"/>
          </w:tcPr>
          <w:p w14:paraId="7602FCFF" w14:textId="77777777" w:rsidR="009F2CDD" w:rsidRPr="002056FA" w:rsidRDefault="009F2CDD" w:rsidP="00E169B4">
            <w:pPr>
              <w:pStyle w:val="TableCopy"/>
              <w:keepNext/>
              <w:rPr>
                <w:rFonts w:eastAsia="Calibri"/>
                <w:lang w:eastAsia="en-US"/>
              </w:rPr>
            </w:pPr>
            <w:r w:rsidRPr="002056FA">
              <w:rPr>
                <w:rFonts w:eastAsia="Calibri"/>
                <w:lang w:eastAsia="en-US"/>
              </w:rPr>
              <w:t>4.3</w:t>
            </w:r>
          </w:p>
        </w:tc>
        <w:tc>
          <w:tcPr>
            <w:tcW w:w="0" w:type="auto"/>
            <w:shd w:val="clear" w:color="auto" w:fill="D0CECE" w:themeFill="background2" w:themeFillShade="E6"/>
          </w:tcPr>
          <w:p w14:paraId="6BB0B1AE" w14:textId="77777777" w:rsidR="009F2CDD" w:rsidRPr="002056FA" w:rsidRDefault="009F2CDD" w:rsidP="00E169B4">
            <w:pPr>
              <w:pStyle w:val="TableCopy"/>
              <w:rPr>
                <w:rFonts w:eastAsia="Calibri"/>
                <w:lang w:eastAsia="en-US"/>
              </w:rPr>
            </w:pPr>
            <w:r w:rsidRPr="002056FA">
              <w:rPr>
                <w:rFonts w:eastAsia="Calibri"/>
                <w:lang w:eastAsia="en-US"/>
              </w:rPr>
              <w:t>Identify which items of Energex’s forecast capex are:</w:t>
            </w:r>
          </w:p>
        </w:tc>
        <w:tc>
          <w:tcPr>
            <w:tcW w:w="0" w:type="auto"/>
            <w:shd w:val="clear" w:color="auto" w:fill="D0CECE" w:themeFill="background2" w:themeFillShade="E6"/>
          </w:tcPr>
          <w:p w14:paraId="749D418A" w14:textId="77777777" w:rsidR="009F2CDD" w:rsidRPr="002056FA" w:rsidRDefault="009F2CDD" w:rsidP="00E169B4">
            <w:pPr>
              <w:pStyle w:val="TableCopy"/>
              <w:rPr>
                <w:rFonts w:eastAsia="Calibri"/>
                <w:lang w:eastAsia="en-US"/>
              </w:rPr>
            </w:pPr>
          </w:p>
        </w:tc>
      </w:tr>
      <w:tr w:rsidR="009F2CDD" w:rsidRPr="002056FA" w14:paraId="5D418941" w14:textId="77777777" w:rsidTr="00E169B4">
        <w:tc>
          <w:tcPr>
            <w:tcW w:w="0" w:type="auto"/>
            <w:shd w:val="clear" w:color="auto" w:fill="auto"/>
          </w:tcPr>
          <w:p w14:paraId="1D59F718" w14:textId="77777777" w:rsidR="009F2CDD" w:rsidRPr="002056FA" w:rsidRDefault="009F2CDD" w:rsidP="00E169B4">
            <w:pPr>
              <w:pStyle w:val="TableCopy"/>
              <w:rPr>
                <w:rFonts w:eastAsia="Calibri"/>
                <w:lang w:eastAsia="en-US"/>
              </w:rPr>
            </w:pPr>
            <w:r w:rsidRPr="002056FA">
              <w:rPr>
                <w:rFonts w:eastAsia="Calibri"/>
                <w:lang w:eastAsia="en-US"/>
              </w:rPr>
              <w:t xml:space="preserve">4.3(a) </w:t>
            </w:r>
          </w:p>
        </w:tc>
        <w:tc>
          <w:tcPr>
            <w:tcW w:w="0" w:type="auto"/>
            <w:shd w:val="clear" w:color="auto" w:fill="auto"/>
          </w:tcPr>
          <w:p w14:paraId="1F6923E5" w14:textId="77777777" w:rsidR="009F2CDD" w:rsidRPr="002056FA" w:rsidRDefault="009F2CDD" w:rsidP="00E169B4">
            <w:pPr>
              <w:pStyle w:val="TableCopy"/>
              <w:rPr>
                <w:rFonts w:eastAsia="Calibri"/>
                <w:lang w:eastAsia="en-US"/>
              </w:rPr>
            </w:pPr>
            <w:r w:rsidRPr="002056FA">
              <w:rPr>
                <w:rFonts w:eastAsia="Calibri"/>
                <w:lang w:eastAsia="en-US"/>
              </w:rPr>
              <w:t xml:space="preserve">derived directly from competitive tender processes; </w:t>
            </w:r>
          </w:p>
        </w:tc>
        <w:tc>
          <w:tcPr>
            <w:tcW w:w="0" w:type="auto"/>
            <w:shd w:val="clear" w:color="auto" w:fill="auto"/>
          </w:tcPr>
          <w:p w14:paraId="1F92C94E" w14:textId="77777777" w:rsidR="009F2CDD" w:rsidRPr="002056FA" w:rsidRDefault="009F2CDD" w:rsidP="00E169B4">
            <w:pPr>
              <w:pStyle w:val="TableCopy"/>
              <w:rPr>
                <w:rFonts w:eastAsia="Calibri"/>
                <w:color w:val="00B0F0"/>
                <w:lang w:eastAsia="en-US"/>
              </w:rPr>
            </w:pPr>
            <w:r w:rsidRPr="002056FA">
              <w:rPr>
                <w:rFonts w:eastAsia="Calibri"/>
                <w:lang w:eastAsia="en-US"/>
              </w:rPr>
              <w:t>Our cost estimates for projects in our forecast capex are not derived directly from competitive tender processes.  However, our cost estimation methodologies rely on historical experience with delivering projects and programs of a similar scope.</w:t>
            </w:r>
          </w:p>
        </w:tc>
      </w:tr>
      <w:tr w:rsidR="009F2CDD" w:rsidRPr="002056FA" w14:paraId="4BF2D749" w14:textId="77777777" w:rsidTr="00E169B4">
        <w:tc>
          <w:tcPr>
            <w:tcW w:w="0" w:type="auto"/>
            <w:shd w:val="clear" w:color="auto" w:fill="auto"/>
          </w:tcPr>
          <w:p w14:paraId="363B6D3D" w14:textId="77777777" w:rsidR="009F2CDD" w:rsidRPr="002056FA" w:rsidRDefault="009F2CDD" w:rsidP="00E169B4">
            <w:pPr>
              <w:pStyle w:val="TableCopy"/>
              <w:rPr>
                <w:rFonts w:eastAsia="Calibri"/>
                <w:lang w:eastAsia="en-US"/>
              </w:rPr>
            </w:pPr>
            <w:r w:rsidRPr="002056FA">
              <w:rPr>
                <w:rFonts w:eastAsia="Calibri"/>
                <w:lang w:eastAsia="en-US"/>
              </w:rPr>
              <w:t xml:space="preserve">4.3(b) </w:t>
            </w:r>
          </w:p>
        </w:tc>
        <w:tc>
          <w:tcPr>
            <w:tcW w:w="0" w:type="auto"/>
            <w:shd w:val="clear" w:color="auto" w:fill="auto"/>
          </w:tcPr>
          <w:p w14:paraId="20DA82D8" w14:textId="77777777" w:rsidR="009F2CDD" w:rsidRPr="002056FA" w:rsidRDefault="009F2CDD" w:rsidP="00E169B4">
            <w:pPr>
              <w:pStyle w:val="TableCopy"/>
              <w:rPr>
                <w:rFonts w:eastAsia="Calibri"/>
                <w:lang w:eastAsia="en-US"/>
              </w:rPr>
            </w:pPr>
            <w:r w:rsidRPr="002056FA">
              <w:rPr>
                <w:rFonts w:eastAsia="Calibri"/>
                <w:lang w:eastAsia="en-US"/>
              </w:rPr>
              <w:t xml:space="preserve">based upon competitive tender processes for similar </w:t>
            </w:r>
            <w:r w:rsidRPr="002056FA">
              <w:rPr>
                <w:rFonts w:eastAsia="Calibri"/>
                <w:iCs/>
                <w:lang w:eastAsia="en-US"/>
              </w:rPr>
              <w:t>projects</w:t>
            </w:r>
            <w:r w:rsidRPr="002056FA">
              <w:rPr>
                <w:rFonts w:eastAsia="Calibri"/>
                <w:lang w:eastAsia="en-US"/>
              </w:rPr>
              <w:t xml:space="preserve">; </w:t>
            </w:r>
          </w:p>
        </w:tc>
        <w:tc>
          <w:tcPr>
            <w:tcW w:w="0" w:type="auto"/>
            <w:shd w:val="clear" w:color="auto" w:fill="auto"/>
          </w:tcPr>
          <w:p w14:paraId="79DA6F75" w14:textId="77777777" w:rsidR="009F2CDD" w:rsidRPr="002056FA" w:rsidRDefault="009F2CDD" w:rsidP="00E169B4">
            <w:pPr>
              <w:pStyle w:val="TableCopy"/>
              <w:rPr>
                <w:rFonts w:eastAsia="Calibri"/>
                <w:lang w:eastAsia="en-US"/>
              </w:rPr>
            </w:pPr>
            <w:r w:rsidRPr="002056FA">
              <w:rPr>
                <w:rFonts w:eastAsia="Calibri"/>
                <w:lang w:eastAsia="en-US"/>
              </w:rPr>
              <w:t>When developing our cost estimates for proposed capital projects we have considered the historical cost of completing projects of a similar nature, including where an external party has delivered the project under a competitive tender process. In particular, our unit cost estimates for building new zone substations has relied (to a degree) on actual costs of external parties that have tendered for the project under either competitive tender, or through a panel arrangement.</w:t>
            </w:r>
          </w:p>
        </w:tc>
      </w:tr>
      <w:tr w:rsidR="009F2CDD" w:rsidRPr="002056FA" w14:paraId="1A0DDDB3" w14:textId="77777777" w:rsidTr="00E169B4">
        <w:tc>
          <w:tcPr>
            <w:tcW w:w="0" w:type="auto"/>
            <w:shd w:val="clear" w:color="auto" w:fill="auto"/>
          </w:tcPr>
          <w:p w14:paraId="3E39E80E" w14:textId="77777777" w:rsidR="009F2CDD" w:rsidRPr="002056FA" w:rsidRDefault="009F2CDD" w:rsidP="00E169B4">
            <w:pPr>
              <w:pStyle w:val="TableCopy"/>
              <w:rPr>
                <w:rFonts w:eastAsia="Calibri"/>
                <w:lang w:eastAsia="en-US"/>
              </w:rPr>
            </w:pPr>
            <w:r w:rsidRPr="002056FA">
              <w:rPr>
                <w:rFonts w:eastAsia="Calibri"/>
                <w:lang w:eastAsia="en-US"/>
              </w:rPr>
              <w:t xml:space="preserve">4.3(c) </w:t>
            </w:r>
          </w:p>
        </w:tc>
        <w:tc>
          <w:tcPr>
            <w:tcW w:w="0" w:type="auto"/>
            <w:shd w:val="clear" w:color="auto" w:fill="auto"/>
          </w:tcPr>
          <w:p w14:paraId="4E884770" w14:textId="77777777" w:rsidR="009F2CDD" w:rsidRPr="002056FA" w:rsidRDefault="009F2CDD" w:rsidP="00E169B4">
            <w:pPr>
              <w:pStyle w:val="TableCopy"/>
              <w:rPr>
                <w:rFonts w:eastAsia="Calibri"/>
                <w:lang w:eastAsia="en-US"/>
              </w:rPr>
            </w:pPr>
            <w:r w:rsidRPr="002056FA">
              <w:rPr>
                <w:rFonts w:eastAsia="Calibri"/>
                <w:lang w:eastAsia="en-US"/>
              </w:rPr>
              <w:t xml:space="preserve">based upon estimates obtained from </w:t>
            </w:r>
            <w:r w:rsidRPr="002056FA">
              <w:rPr>
                <w:rFonts w:eastAsia="Calibri"/>
                <w:iCs/>
                <w:lang w:eastAsia="en-US"/>
              </w:rPr>
              <w:t xml:space="preserve">contractors </w:t>
            </w:r>
            <w:r w:rsidRPr="002056FA">
              <w:rPr>
                <w:rFonts w:eastAsia="Calibri"/>
                <w:lang w:eastAsia="en-US"/>
              </w:rPr>
              <w:t xml:space="preserve">or manufacturers; </w:t>
            </w:r>
          </w:p>
        </w:tc>
        <w:tc>
          <w:tcPr>
            <w:tcW w:w="0" w:type="auto"/>
            <w:shd w:val="clear" w:color="auto" w:fill="auto"/>
          </w:tcPr>
          <w:p w14:paraId="5D29722C" w14:textId="77777777" w:rsidR="009F2CDD" w:rsidRPr="002056FA" w:rsidRDefault="009F2CDD" w:rsidP="00E169B4">
            <w:pPr>
              <w:pStyle w:val="TableCopy"/>
              <w:rPr>
                <w:rFonts w:eastAsia="Calibri"/>
                <w:color w:val="00B0F0"/>
                <w:lang w:eastAsia="en-US"/>
              </w:rPr>
            </w:pPr>
            <w:r w:rsidRPr="002056FA">
              <w:rPr>
                <w:rFonts w:eastAsia="Calibri"/>
                <w:lang w:eastAsia="en-US"/>
              </w:rPr>
              <w:t xml:space="preserve">For major projects we have used a bottom up approach to estimate costs, which includes consideration of contractor and manufacturer estimates in the past. We note that we have panel arrangements in place under our procurement processes, and continually test the market.  </w:t>
            </w:r>
          </w:p>
        </w:tc>
      </w:tr>
      <w:tr w:rsidR="009F2CDD" w:rsidRPr="002056FA" w14:paraId="4AABB342" w14:textId="77777777" w:rsidTr="00E169B4">
        <w:tc>
          <w:tcPr>
            <w:tcW w:w="0" w:type="auto"/>
            <w:shd w:val="clear" w:color="auto" w:fill="auto"/>
          </w:tcPr>
          <w:p w14:paraId="20FEDC18" w14:textId="77777777" w:rsidR="009F2CDD" w:rsidRPr="002056FA" w:rsidRDefault="009F2CDD" w:rsidP="00E169B4">
            <w:pPr>
              <w:pStyle w:val="TableCopy"/>
              <w:rPr>
                <w:rFonts w:eastAsia="Calibri"/>
                <w:lang w:eastAsia="en-US"/>
              </w:rPr>
            </w:pPr>
            <w:r w:rsidRPr="002056FA">
              <w:rPr>
                <w:rFonts w:eastAsia="Calibri"/>
                <w:lang w:eastAsia="en-US"/>
              </w:rPr>
              <w:t xml:space="preserve">4.3(d) </w:t>
            </w:r>
          </w:p>
        </w:tc>
        <w:tc>
          <w:tcPr>
            <w:tcW w:w="0" w:type="auto"/>
            <w:shd w:val="clear" w:color="auto" w:fill="auto"/>
          </w:tcPr>
          <w:p w14:paraId="6C4E43CE" w14:textId="77777777" w:rsidR="009F2CDD" w:rsidRPr="002056FA" w:rsidRDefault="009F2CDD" w:rsidP="00E169B4">
            <w:pPr>
              <w:pStyle w:val="TableCopy"/>
              <w:rPr>
                <w:rFonts w:eastAsia="Calibri"/>
                <w:lang w:eastAsia="en-US"/>
              </w:rPr>
            </w:pPr>
            <w:r w:rsidRPr="002056FA">
              <w:rPr>
                <w:rFonts w:eastAsia="Calibri"/>
                <w:lang w:eastAsia="en-US"/>
              </w:rPr>
              <w:t xml:space="preserve">based upon independent benchmarks; </w:t>
            </w:r>
          </w:p>
        </w:tc>
        <w:tc>
          <w:tcPr>
            <w:tcW w:w="0" w:type="auto"/>
            <w:shd w:val="clear" w:color="auto" w:fill="auto"/>
          </w:tcPr>
          <w:p w14:paraId="118C33CB" w14:textId="77777777" w:rsidR="009F2CDD" w:rsidRPr="002056FA" w:rsidRDefault="009F2CDD" w:rsidP="00E169B4">
            <w:pPr>
              <w:pStyle w:val="TableCopy"/>
              <w:rPr>
                <w:rFonts w:eastAsia="Calibri"/>
                <w:highlight w:val="yellow"/>
                <w:lang w:eastAsia="en-US"/>
              </w:rPr>
            </w:pPr>
            <w:r w:rsidRPr="002056FA">
              <w:rPr>
                <w:rFonts w:eastAsia="Calibri"/>
                <w:lang w:eastAsia="en-US"/>
              </w:rPr>
              <w:t xml:space="preserve">Energex does not develop a capex forecast based on external benchmarks costs.  Our cost estimation approach is focused on developing estimates to deliver a scope of work.  These costs have been tested </w:t>
            </w:r>
          </w:p>
        </w:tc>
      </w:tr>
      <w:tr w:rsidR="009F2CDD" w:rsidRPr="002056FA" w14:paraId="634A5470" w14:textId="77777777" w:rsidTr="00E169B4">
        <w:tc>
          <w:tcPr>
            <w:tcW w:w="0" w:type="auto"/>
            <w:shd w:val="clear" w:color="auto" w:fill="auto"/>
          </w:tcPr>
          <w:p w14:paraId="3808D3E1" w14:textId="77777777" w:rsidR="009F2CDD" w:rsidRPr="002056FA" w:rsidRDefault="009F2CDD" w:rsidP="00E169B4">
            <w:pPr>
              <w:pStyle w:val="TableCopy"/>
              <w:rPr>
                <w:rFonts w:eastAsia="Calibri"/>
                <w:lang w:eastAsia="en-US"/>
              </w:rPr>
            </w:pPr>
            <w:r w:rsidRPr="002056FA">
              <w:rPr>
                <w:rFonts w:eastAsia="Calibri"/>
                <w:lang w:eastAsia="en-US"/>
              </w:rPr>
              <w:t xml:space="preserve">4.3(e) </w:t>
            </w:r>
          </w:p>
        </w:tc>
        <w:tc>
          <w:tcPr>
            <w:tcW w:w="0" w:type="auto"/>
            <w:shd w:val="clear" w:color="auto" w:fill="auto"/>
          </w:tcPr>
          <w:p w14:paraId="45B51D9A" w14:textId="77777777" w:rsidR="009F2CDD" w:rsidRPr="002056FA" w:rsidRDefault="009F2CDD" w:rsidP="00E169B4">
            <w:pPr>
              <w:pStyle w:val="TableCopy"/>
              <w:rPr>
                <w:rFonts w:eastAsia="Calibri"/>
                <w:lang w:eastAsia="en-US"/>
              </w:rPr>
            </w:pPr>
            <w:r w:rsidRPr="002056FA">
              <w:rPr>
                <w:rFonts w:eastAsia="Calibri"/>
                <w:lang w:eastAsia="en-US"/>
              </w:rPr>
              <w:t xml:space="preserve">based upon actual historical costs for similar </w:t>
            </w:r>
            <w:r w:rsidRPr="002056FA">
              <w:rPr>
                <w:rFonts w:eastAsia="Calibri"/>
                <w:iCs/>
                <w:lang w:eastAsia="en-US"/>
              </w:rPr>
              <w:t>projects</w:t>
            </w:r>
            <w:r w:rsidRPr="002056FA">
              <w:rPr>
                <w:rFonts w:eastAsia="Calibri"/>
                <w:lang w:eastAsia="en-US"/>
              </w:rPr>
              <w:t xml:space="preserve">; and </w:t>
            </w:r>
          </w:p>
        </w:tc>
        <w:tc>
          <w:tcPr>
            <w:tcW w:w="0" w:type="auto"/>
            <w:shd w:val="clear" w:color="auto" w:fill="auto"/>
          </w:tcPr>
          <w:p w14:paraId="503D85FE" w14:textId="77777777" w:rsidR="009F2CDD" w:rsidRPr="002056FA" w:rsidRDefault="009F2CDD" w:rsidP="00E169B4">
            <w:pPr>
              <w:pStyle w:val="TableCopy"/>
              <w:rPr>
                <w:rFonts w:eastAsia="Calibri"/>
                <w:color w:val="00B0F0"/>
                <w:lang w:eastAsia="en-US"/>
              </w:rPr>
            </w:pPr>
            <w:r w:rsidRPr="002056FA">
              <w:rPr>
                <w:rFonts w:eastAsia="Calibri"/>
                <w:lang w:eastAsia="en-US"/>
              </w:rPr>
              <w:t>We have used averages of historical costs to determine the forecast unit rates for volume driven work including smaller projects and for “pooled” programs such as our pole replacement program.</w:t>
            </w:r>
          </w:p>
        </w:tc>
      </w:tr>
      <w:tr w:rsidR="009F2CDD" w:rsidRPr="002056FA" w14:paraId="78339717" w14:textId="77777777" w:rsidTr="00E169B4">
        <w:tc>
          <w:tcPr>
            <w:tcW w:w="0" w:type="auto"/>
            <w:shd w:val="clear" w:color="auto" w:fill="auto"/>
          </w:tcPr>
          <w:p w14:paraId="35962D7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4.3(f) </w:t>
            </w:r>
          </w:p>
        </w:tc>
        <w:tc>
          <w:tcPr>
            <w:tcW w:w="0" w:type="auto"/>
            <w:shd w:val="clear" w:color="auto" w:fill="auto"/>
          </w:tcPr>
          <w:p w14:paraId="5D5C2EB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reflective of any amounts for risk, uncertainty or other unspecified contingency factors, and if so, how these amounts were calculated and deemed reasonable and prudent. </w:t>
            </w:r>
          </w:p>
        </w:tc>
        <w:tc>
          <w:tcPr>
            <w:tcW w:w="0" w:type="auto"/>
            <w:shd w:val="clear" w:color="auto" w:fill="auto"/>
          </w:tcPr>
          <w:p w14:paraId="3477EFB4" w14:textId="77777777" w:rsidR="009F2CDD" w:rsidRPr="002056FA" w:rsidRDefault="009F2CDD" w:rsidP="00E169B4">
            <w:pPr>
              <w:pStyle w:val="TableCopy"/>
              <w:rPr>
                <w:rFonts w:eastAsia="Calibri"/>
                <w:color w:val="00B0F0"/>
                <w:lang w:eastAsia="en-US"/>
              </w:rPr>
            </w:pPr>
            <w:r w:rsidRPr="002056FA">
              <w:rPr>
                <w:rFonts w:eastAsia="Calibri"/>
                <w:lang w:eastAsia="en-US"/>
              </w:rPr>
              <w:t xml:space="preserve">The Standard Control Service System (network) capital expenditure portfolio is developed and approved excluding consideration of project risk estimates or uncertainty. We have no unspecified contingency factors. </w:t>
            </w:r>
          </w:p>
        </w:tc>
      </w:tr>
      <w:tr w:rsidR="009F2CDD" w:rsidRPr="002056FA" w14:paraId="3C59B133" w14:textId="77777777" w:rsidTr="00E169B4">
        <w:tc>
          <w:tcPr>
            <w:tcW w:w="0" w:type="auto"/>
            <w:tcBorders>
              <w:bottom w:val="single" w:sz="4" w:space="0" w:color="auto"/>
            </w:tcBorders>
            <w:shd w:val="clear" w:color="auto" w:fill="auto"/>
          </w:tcPr>
          <w:p w14:paraId="6E38513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4.4 </w:t>
            </w:r>
          </w:p>
        </w:tc>
        <w:tc>
          <w:tcPr>
            <w:tcW w:w="0" w:type="auto"/>
            <w:tcBorders>
              <w:bottom w:val="single" w:sz="4" w:space="0" w:color="auto"/>
            </w:tcBorders>
            <w:shd w:val="clear" w:color="auto" w:fill="auto"/>
          </w:tcPr>
          <w:p w14:paraId="0191124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Provide all </w:t>
            </w:r>
            <w:r w:rsidRPr="002056FA">
              <w:rPr>
                <w:rFonts w:eastAsia="Calibri"/>
                <w:iCs/>
                <w:color w:val="000000"/>
                <w:lang w:eastAsia="en-US"/>
              </w:rPr>
              <w:t xml:space="preserve">documents </w:t>
            </w:r>
            <w:r w:rsidRPr="002056FA">
              <w:rPr>
                <w:rFonts w:eastAsia="Calibri"/>
                <w:color w:val="000000"/>
                <w:lang w:eastAsia="en-US"/>
              </w:rPr>
              <w:t xml:space="preserve">which were materially relied upon and relate to the </w:t>
            </w:r>
            <w:r w:rsidRPr="002056FA">
              <w:rPr>
                <w:rFonts w:eastAsia="Calibri"/>
                <w:iCs/>
                <w:color w:val="000000"/>
                <w:lang w:eastAsia="en-US"/>
              </w:rPr>
              <w:t xml:space="preserve">deliverability </w:t>
            </w:r>
            <w:r w:rsidRPr="002056FA">
              <w:rPr>
                <w:rFonts w:eastAsia="Calibri"/>
                <w:color w:val="000000"/>
                <w:lang w:eastAsia="en-US"/>
              </w:rPr>
              <w:t xml:space="preserve">of </w:t>
            </w:r>
            <w:r w:rsidRPr="002056FA">
              <w:rPr>
                <w:rFonts w:eastAsia="Calibri"/>
                <w:iCs/>
                <w:color w:val="000000"/>
                <w:lang w:eastAsia="en-US"/>
              </w:rPr>
              <w:t xml:space="preserve">forecast capex </w:t>
            </w:r>
            <w:r w:rsidRPr="002056FA">
              <w:rPr>
                <w:rFonts w:eastAsia="Calibri"/>
                <w:color w:val="000000"/>
                <w:lang w:eastAsia="en-US"/>
              </w:rPr>
              <w:t xml:space="preserve">and explain the proposed </w:t>
            </w:r>
            <w:r w:rsidRPr="002056FA">
              <w:rPr>
                <w:rFonts w:eastAsia="Calibri"/>
                <w:iCs/>
                <w:color w:val="000000"/>
                <w:lang w:eastAsia="en-US"/>
              </w:rPr>
              <w:t>deliverability</w:t>
            </w:r>
            <w:r w:rsidRPr="002056FA">
              <w:rPr>
                <w:rFonts w:eastAsia="Calibri"/>
                <w:color w:val="000000"/>
                <w:lang w:eastAsia="en-US"/>
              </w:rPr>
              <w:t xml:space="preserve">. </w:t>
            </w:r>
          </w:p>
        </w:tc>
        <w:tc>
          <w:tcPr>
            <w:tcW w:w="0" w:type="auto"/>
            <w:tcBorders>
              <w:bottom w:val="single" w:sz="4" w:space="0" w:color="auto"/>
            </w:tcBorders>
            <w:shd w:val="clear" w:color="auto" w:fill="auto"/>
          </w:tcPr>
          <w:p w14:paraId="357749DF" w14:textId="77777777" w:rsidR="009F2CDD" w:rsidRPr="002056FA" w:rsidRDefault="009F2CDD" w:rsidP="00E169B4">
            <w:pPr>
              <w:pStyle w:val="TableCopy"/>
              <w:rPr>
                <w:rFonts w:eastAsia="Calibri"/>
                <w:color w:val="00B0F0"/>
                <w:lang w:eastAsia="en-US"/>
              </w:rPr>
            </w:pPr>
            <w:r w:rsidRPr="002056FA">
              <w:rPr>
                <w:rFonts w:eastAsia="Calibri"/>
                <w:shd w:val="clear" w:color="auto" w:fill="FFFFFF"/>
                <w:lang w:eastAsia="en-US"/>
              </w:rPr>
              <w:t>We have not relied on any specific documents to show that the forecast capex can be delivered</w:t>
            </w:r>
            <w:r w:rsidRPr="002056FA">
              <w:rPr>
                <w:rFonts w:eastAsia="Calibri"/>
                <w:lang w:eastAsia="en-US"/>
              </w:rPr>
              <w:t xml:space="preserve">. However, we note that Energex is well placed to deliver the proposed capital program. This is demonstrated by our delivery of a capital program in the current period that is higher than our forecast for the next period. </w:t>
            </w:r>
          </w:p>
        </w:tc>
      </w:tr>
      <w:tr w:rsidR="009F2CDD" w:rsidRPr="002056FA" w14:paraId="11FFF64D" w14:textId="77777777" w:rsidTr="00E169B4">
        <w:tc>
          <w:tcPr>
            <w:tcW w:w="0" w:type="auto"/>
            <w:shd w:val="clear" w:color="auto" w:fill="D0CECE" w:themeFill="background2" w:themeFillShade="E6"/>
          </w:tcPr>
          <w:p w14:paraId="57EFD7E1" w14:textId="77777777" w:rsidR="009F2CDD" w:rsidRPr="002056FA" w:rsidRDefault="009F2CDD" w:rsidP="00E169B4">
            <w:pPr>
              <w:pStyle w:val="TableCopy"/>
              <w:rPr>
                <w:rFonts w:eastAsia="Calibri"/>
                <w:color w:val="000000"/>
                <w:lang w:eastAsia="en-US"/>
              </w:rPr>
            </w:pPr>
          </w:p>
        </w:tc>
        <w:tc>
          <w:tcPr>
            <w:tcW w:w="0" w:type="auto"/>
            <w:shd w:val="clear" w:color="auto" w:fill="D0CECE" w:themeFill="background2" w:themeFillShade="E6"/>
          </w:tcPr>
          <w:p w14:paraId="2739B13A"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Capex categories</w:t>
            </w:r>
          </w:p>
        </w:tc>
        <w:tc>
          <w:tcPr>
            <w:tcW w:w="0" w:type="auto"/>
            <w:shd w:val="clear" w:color="auto" w:fill="D0CECE" w:themeFill="background2" w:themeFillShade="E6"/>
          </w:tcPr>
          <w:p w14:paraId="6B50B36B" w14:textId="77777777" w:rsidR="009F2CDD" w:rsidRPr="002056FA" w:rsidRDefault="009F2CDD" w:rsidP="00E169B4">
            <w:pPr>
              <w:pStyle w:val="TableCopy"/>
              <w:rPr>
                <w:rFonts w:eastAsia="Calibri"/>
                <w:color w:val="000000"/>
                <w:lang w:eastAsia="en-US"/>
              </w:rPr>
            </w:pPr>
          </w:p>
        </w:tc>
      </w:tr>
      <w:tr w:rsidR="009F2CDD" w:rsidRPr="002056FA" w14:paraId="47E3FC7A" w14:textId="77777777" w:rsidTr="00E169B4">
        <w:tc>
          <w:tcPr>
            <w:tcW w:w="0" w:type="auto"/>
            <w:shd w:val="clear" w:color="auto" w:fill="auto"/>
          </w:tcPr>
          <w:p w14:paraId="2398A72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4.5</w:t>
            </w:r>
          </w:p>
        </w:tc>
        <w:tc>
          <w:tcPr>
            <w:tcW w:w="0" w:type="auto"/>
            <w:shd w:val="clear" w:color="auto" w:fill="auto"/>
          </w:tcPr>
          <w:p w14:paraId="3250C84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Describe each capex category and expenditures comprising these categories identified in the regulatory templates, including:</w:t>
            </w:r>
          </w:p>
        </w:tc>
        <w:tc>
          <w:tcPr>
            <w:tcW w:w="0" w:type="auto"/>
            <w:shd w:val="clear" w:color="auto" w:fill="auto"/>
          </w:tcPr>
          <w:p w14:paraId="6020081C" w14:textId="77777777" w:rsidR="009F2CDD" w:rsidRPr="002056FA" w:rsidRDefault="009F2CDD" w:rsidP="00E169B4">
            <w:pPr>
              <w:pStyle w:val="TableCopy"/>
              <w:rPr>
                <w:rFonts w:eastAsia="Calibri"/>
                <w:lang w:eastAsia="en-US"/>
              </w:rPr>
            </w:pPr>
            <w:r w:rsidRPr="002056FA">
              <w:rPr>
                <w:rFonts w:eastAsia="Calibri"/>
                <w:lang w:eastAsia="en-US"/>
              </w:rPr>
              <w:t xml:space="preserve">Refer to </w:t>
            </w:r>
            <w:r w:rsidRPr="00FE7C5E">
              <w:rPr>
                <w:rFonts w:eastAsia="Calibri"/>
                <w:lang w:eastAsia="en-US"/>
              </w:rPr>
              <w:t xml:space="preserve">Chapter </w:t>
            </w:r>
            <w:r>
              <w:rPr>
                <w:rFonts w:eastAsia="Calibri"/>
                <w:lang w:eastAsia="en-US"/>
              </w:rPr>
              <w:t>7</w:t>
            </w:r>
            <w:r w:rsidRPr="002056FA">
              <w:rPr>
                <w:rFonts w:eastAsia="Calibri"/>
                <w:lang w:eastAsia="en-US"/>
              </w:rPr>
              <w:t xml:space="preserve"> of </w:t>
            </w:r>
            <w:r>
              <w:rPr>
                <w:rFonts w:eastAsia="Calibri"/>
                <w:lang w:eastAsia="en-US"/>
              </w:rPr>
              <w:t xml:space="preserve">our Regulatory Proposal </w:t>
            </w:r>
            <w:r w:rsidRPr="002056FA">
              <w:rPr>
                <w:rFonts w:eastAsia="Calibri"/>
                <w:lang w:eastAsia="en-US"/>
              </w:rPr>
              <w:t xml:space="preserve">and the </w:t>
            </w:r>
            <w:r>
              <w:rPr>
                <w:rFonts w:eastAsia="Calibri"/>
                <w:lang w:eastAsia="en-US"/>
              </w:rPr>
              <w:t>‘</w:t>
            </w:r>
            <w:r w:rsidRPr="002056FA">
              <w:rPr>
                <w:rFonts w:eastAsia="Calibri"/>
                <w:lang w:eastAsia="en-US"/>
              </w:rPr>
              <w:t xml:space="preserve">Expenditure Forecasting </w:t>
            </w:r>
            <w:r w:rsidRPr="00355302">
              <w:rPr>
                <w:rFonts w:eastAsia="Calibri"/>
                <w:lang w:eastAsia="en-US"/>
              </w:rPr>
              <w:t xml:space="preserve">Method’ (Attachment </w:t>
            </w:r>
            <w:r>
              <w:rPr>
                <w:rFonts w:eastAsia="Calibri"/>
                <w:lang w:eastAsia="en-US"/>
              </w:rPr>
              <w:t>4.002</w:t>
            </w:r>
            <w:r w:rsidRPr="00355302">
              <w:rPr>
                <w:rFonts w:eastAsia="Calibri"/>
                <w:lang w:eastAsia="en-US"/>
              </w:rPr>
              <w:t>)</w:t>
            </w:r>
            <w:r w:rsidRPr="002056FA">
              <w:rPr>
                <w:rFonts w:eastAsia="Calibri"/>
                <w:lang w:eastAsia="en-US"/>
              </w:rPr>
              <w:t xml:space="preserve"> which provide a general descriptions and definitions of each capex category in the regulatory templates. </w:t>
            </w:r>
          </w:p>
        </w:tc>
      </w:tr>
      <w:tr w:rsidR="009F2CDD" w:rsidRPr="002056FA" w14:paraId="3F7ACAD8" w14:textId="77777777" w:rsidTr="00E169B4">
        <w:tc>
          <w:tcPr>
            <w:tcW w:w="0" w:type="auto"/>
            <w:tcBorders>
              <w:bottom w:val="single" w:sz="4" w:space="0" w:color="auto"/>
            </w:tcBorders>
            <w:shd w:val="clear" w:color="auto" w:fill="auto"/>
          </w:tcPr>
          <w:p w14:paraId="1059BA2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4.5(a) </w:t>
            </w:r>
          </w:p>
        </w:tc>
        <w:tc>
          <w:tcPr>
            <w:tcW w:w="0" w:type="auto"/>
            <w:tcBorders>
              <w:bottom w:val="single" w:sz="4" w:space="0" w:color="auto"/>
            </w:tcBorders>
            <w:shd w:val="clear" w:color="auto" w:fill="auto"/>
          </w:tcPr>
          <w:p w14:paraId="5D4717D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key drivers for expenditure; </w:t>
            </w:r>
          </w:p>
        </w:tc>
        <w:tc>
          <w:tcPr>
            <w:tcW w:w="0" w:type="auto"/>
            <w:tcBorders>
              <w:bottom w:val="single" w:sz="4" w:space="0" w:color="auto"/>
            </w:tcBorders>
            <w:shd w:val="clear" w:color="auto" w:fill="auto"/>
          </w:tcPr>
          <w:p w14:paraId="0B6BBE93" w14:textId="77777777" w:rsidR="009F2CDD" w:rsidRPr="002056FA" w:rsidRDefault="009F2CDD" w:rsidP="00E169B4">
            <w:pPr>
              <w:pStyle w:val="TableCopy"/>
              <w:rPr>
                <w:rFonts w:eastAsia="Calibri"/>
                <w:lang w:eastAsia="en-US"/>
              </w:rPr>
            </w:pPr>
            <w:r w:rsidRPr="002056FA">
              <w:rPr>
                <w:rFonts w:eastAsia="Calibri"/>
                <w:lang w:eastAsia="en-US"/>
              </w:rPr>
              <w:t xml:space="preserve">Refer to </w:t>
            </w:r>
            <w:r w:rsidRPr="00FE7C5E">
              <w:rPr>
                <w:rFonts w:eastAsia="Calibri"/>
                <w:lang w:eastAsia="en-US"/>
              </w:rPr>
              <w:t xml:space="preserve">Chapter </w:t>
            </w:r>
            <w:r>
              <w:rPr>
                <w:rFonts w:eastAsia="Calibri"/>
                <w:lang w:eastAsia="en-US"/>
              </w:rPr>
              <w:t xml:space="preserve">7 of our Regulatory Proposal </w:t>
            </w:r>
            <w:r w:rsidRPr="002056FA">
              <w:rPr>
                <w:rFonts w:eastAsia="Calibri"/>
                <w:lang w:eastAsia="en-US"/>
              </w:rPr>
              <w:t xml:space="preserve">and the </w:t>
            </w:r>
            <w:r>
              <w:rPr>
                <w:rFonts w:eastAsia="Calibri"/>
                <w:lang w:eastAsia="en-US"/>
              </w:rPr>
              <w:t>‘</w:t>
            </w:r>
            <w:r w:rsidRPr="002056FA">
              <w:rPr>
                <w:rFonts w:eastAsia="Calibri"/>
                <w:lang w:eastAsia="en-US"/>
              </w:rPr>
              <w:t>Expenditure Forecasting Method</w:t>
            </w:r>
            <w:r>
              <w:rPr>
                <w:rFonts w:eastAsia="Calibri"/>
                <w:lang w:eastAsia="en-US"/>
              </w:rPr>
              <w:t>’</w:t>
            </w:r>
            <w:r w:rsidRPr="002056FA">
              <w:rPr>
                <w:rFonts w:eastAsia="Calibri"/>
                <w:lang w:eastAsia="en-US"/>
              </w:rPr>
              <w:t xml:space="preserve"> (</w:t>
            </w:r>
            <w:r>
              <w:rPr>
                <w:rFonts w:eastAsia="Calibri"/>
                <w:lang w:eastAsia="en-US"/>
              </w:rPr>
              <w:t>Attachment 4.002</w:t>
            </w:r>
            <w:r w:rsidRPr="00355302">
              <w:rPr>
                <w:rFonts w:eastAsia="Calibri"/>
                <w:lang w:eastAsia="en-US"/>
              </w:rPr>
              <w:t>)</w:t>
            </w:r>
            <w:r w:rsidRPr="002056FA">
              <w:rPr>
                <w:rFonts w:eastAsia="Calibri"/>
                <w:lang w:eastAsia="en-US"/>
              </w:rPr>
              <w:t xml:space="preserve"> which describe the key drivers of expenditure for each AER capex categories. </w:t>
            </w:r>
          </w:p>
        </w:tc>
      </w:tr>
      <w:tr w:rsidR="009F2CDD" w:rsidRPr="002056FA" w14:paraId="6D563177" w14:textId="77777777" w:rsidTr="00E169B4">
        <w:tc>
          <w:tcPr>
            <w:tcW w:w="0" w:type="auto"/>
            <w:shd w:val="clear" w:color="auto" w:fill="D0CECE" w:themeFill="background2" w:themeFillShade="E6"/>
          </w:tcPr>
          <w:p w14:paraId="64C4983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4.5(b)</w:t>
            </w:r>
          </w:p>
        </w:tc>
        <w:tc>
          <w:tcPr>
            <w:tcW w:w="0" w:type="auto"/>
            <w:shd w:val="clear" w:color="auto" w:fill="D0CECE" w:themeFill="background2" w:themeFillShade="E6"/>
          </w:tcPr>
          <w:p w14:paraId="65101DF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an explanation of how expenditure is distinguished between:</w:t>
            </w:r>
          </w:p>
        </w:tc>
        <w:tc>
          <w:tcPr>
            <w:tcW w:w="0" w:type="auto"/>
            <w:shd w:val="clear" w:color="auto" w:fill="D0CECE" w:themeFill="background2" w:themeFillShade="E6"/>
          </w:tcPr>
          <w:p w14:paraId="365B72F7" w14:textId="77777777" w:rsidR="009F2CDD" w:rsidRPr="002056FA" w:rsidRDefault="009F2CDD" w:rsidP="00E169B4">
            <w:pPr>
              <w:pStyle w:val="TableCopy"/>
              <w:rPr>
                <w:rFonts w:eastAsia="Calibri"/>
                <w:lang w:eastAsia="en-US"/>
              </w:rPr>
            </w:pPr>
          </w:p>
        </w:tc>
      </w:tr>
      <w:tr w:rsidR="009F2CDD" w:rsidRPr="002056FA" w14:paraId="3F7CA5F9" w14:textId="77777777" w:rsidTr="00E169B4">
        <w:tc>
          <w:tcPr>
            <w:tcW w:w="0" w:type="auto"/>
            <w:shd w:val="clear" w:color="auto" w:fill="auto"/>
          </w:tcPr>
          <w:p w14:paraId="1EB483D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4.5(b)(i)</w:t>
            </w:r>
          </w:p>
        </w:tc>
        <w:tc>
          <w:tcPr>
            <w:tcW w:w="0" w:type="auto"/>
            <w:shd w:val="clear" w:color="auto" w:fill="auto"/>
          </w:tcPr>
          <w:p w14:paraId="0E3382D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greenfield driven and reinforcement driven </w:t>
            </w:r>
            <w:r w:rsidRPr="002056FA">
              <w:rPr>
                <w:rFonts w:eastAsia="Calibri"/>
                <w:iCs/>
                <w:color w:val="000000"/>
                <w:lang w:eastAsia="en-US"/>
              </w:rPr>
              <w:t>augmentation capex</w:t>
            </w:r>
            <w:r w:rsidRPr="002056FA">
              <w:rPr>
                <w:rFonts w:eastAsia="Calibri"/>
                <w:color w:val="000000"/>
                <w:lang w:eastAsia="en-US"/>
              </w:rPr>
              <w:t xml:space="preserve">; </w:t>
            </w:r>
          </w:p>
        </w:tc>
        <w:tc>
          <w:tcPr>
            <w:tcW w:w="0" w:type="auto"/>
            <w:shd w:val="clear" w:color="auto" w:fill="auto"/>
          </w:tcPr>
          <w:p w14:paraId="692F2581" w14:textId="77777777" w:rsidR="009F2CDD" w:rsidRPr="002056FA" w:rsidRDefault="009F2CDD" w:rsidP="00E169B4">
            <w:pPr>
              <w:pStyle w:val="TableCopy"/>
              <w:rPr>
                <w:rFonts w:eastAsia="Calibri"/>
                <w:lang w:eastAsia="en-US"/>
              </w:rPr>
            </w:pPr>
            <w:r w:rsidRPr="002056FA">
              <w:rPr>
                <w:rFonts w:eastAsia="Calibri"/>
                <w:lang w:eastAsia="en-US"/>
              </w:rPr>
              <w:t>Energex’s augmentation capex solutions to identified constraints may either be the construction of new electrical assets where they don’t currently exist, which we interpret as “greenfield”, or increasing the capacity of existing assets, which Energex interprets as “reinforcement”.</w:t>
            </w:r>
          </w:p>
          <w:p w14:paraId="50BEB6EE" w14:textId="77777777" w:rsidR="009F2CDD" w:rsidRPr="002056FA" w:rsidRDefault="009F2CDD" w:rsidP="00E169B4">
            <w:pPr>
              <w:pStyle w:val="TableCopy"/>
              <w:rPr>
                <w:rFonts w:eastAsia="Calibri"/>
                <w:lang w:eastAsia="en-US"/>
              </w:rPr>
            </w:pPr>
            <w:r w:rsidRPr="002056FA">
              <w:rPr>
                <w:rFonts w:eastAsia="Calibri"/>
                <w:lang w:eastAsia="en-US"/>
              </w:rPr>
              <w:t>This is consistent with Reset RIN 2.3(b) categorisation.</w:t>
            </w:r>
          </w:p>
        </w:tc>
      </w:tr>
      <w:tr w:rsidR="009F2CDD" w:rsidRPr="002056FA" w14:paraId="074B03A5" w14:textId="77777777" w:rsidTr="00E169B4">
        <w:tc>
          <w:tcPr>
            <w:tcW w:w="0" w:type="auto"/>
            <w:shd w:val="clear" w:color="auto" w:fill="auto"/>
          </w:tcPr>
          <w:p w14:paraId="2BF80F4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4.5(b)(ii) </w:t>
            </w:r>
          </w:p>
        </w:tc>
        <w:tc>
          <w:tcPr>
            <w:tcW w:w="0" w:type="auto"/>
            <w:shd w:val="clear" w:color="auto" w:fill="auto"/>
          </w:tcPr>
          <w:p w14:paraId="667018F9"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connections expenditure and </w:t>
            </w:r>
            <w:r w:rsidRPr="002056FA">
              <w:rPr>
                <w:rFonts w:eastAsia="Calibri"/>
                <w:iCs/>
                <w:color w:val="000000"/>
                <w:lang w:eastAsia="en-US"/>
              </w:rPr>
              <w:t>augmentation capex</w:t>
            </w:r>
            <w:r w:rsidRPr="002056FA">
              <w:rPr>
                <w:rFonts w:eastAsia="Calibri"/>
                <w:color w:val="000000"/>
                <w:lang w:eastAsia="en-US"/>
              </w:rPr>
              <w:t xml:space="preserve">; </w:t>
            </w:r>
          </w:p>
        </w:tc>
        <w:tc>
          <w:tcPr>
            <w:tcW w:w="0" w:type="auto"/>
            <w:shd w:val="clear" w:color="auto" w:fill="auto"/>
          </w:tcPr>
          <w:p w14:paraId="757AE909" w14:textId="77777777" w:rsidR="009F2CDD" w:rsidRPr="002056FA" w:rsidRDefault="009F2CDD" w:rsidP="00E169B4">
            <w:pPr>
              <w:pStyle w:val="TableCopy"/>
              <w:rPr>
                <w:rFonts w:eastAsia="Calibri"/>
                <w:lang w:eastAsia="en-US"/>
              </w:rPr>
            </w:pPr>
            <w:r w:rsidRPr="002056FA">
              <w:rPr>
                <w:rFonts w:eastAsia="Calibri"/>
                <w:lang w:eastAsia="en-US"/>
              </w:rPr>
              <w:t>Connections capex is required to service new, altered or upgraded connections for residential, commercial and industrial customers at their request. In contrast, a component of augmentation capex is driven by forecast network constraints, caused by population growth, specific development or load increases within localised parts of our distribution network, or growth in peak demand.  The distinction is addressed in Cha</w:t>
            </w:r>
            <w:r>
              <w:rPr>
                <w:rFonts w:eastAsia="Calibri"/>
                <w:lang w:eastAsia="en-US"/>
              </w:rPr>
              <w:t>pter 9 of our Regulatory Proposal</w:t>
            </w:r>
            <w:r w:rsidRPr="002056FA">
              <w:rPr>
                <w:rFonts w:eastAsia="Calibri"/>
                <w:lang w:eastAsia="en-US"/>
              </w:rPr>
              <w:t xml:space="preserve">. </w:t>
            </w:r>
          </w:p>
        </w:tc>
      </w:tr>
      <w:tr w:rsidR="009F2CDD" w:rsidRPr="002056FA" w14:paraId="6DEACAF1" w14:textId="77777777" w:rsidTr="00E169B4">
        <w:tc>
          <w:tcPr>
            <w:tcW w:w="0" w:type="auto"/>
            <w:shd w:val="clear" w:color="auto" w:fill="auto"/>
          </w:tcPr>
          <w:p w14:paraId="63D790B4" w14:textId="77777777" w:rsidR="009F2CDD" w:rsidRPr="002056FA" w:rsidRDefault="009F2CDD" w:rsidP="00E169B4">
            <w:pPr>
              <w:pStyle w:val="TableCopy"/>
              <w:rPr>
                <w:rFonts w:eastAsia="Calibri"/>
                <w:lang w:eastAsia="en-US"/>
              </w:rPr>
            </w:pPr>
            <w:r w:rsidRPr="002056FA">
              <w:rPr>
                <w:rFonts w:eastAsia="Calibri"/>
                <w:lang w:eastAsia="en-US"/>
              </w:rPr>
              <w:t xml:space="preserve">4.5(b)(iii) </w:t>
            </w:r>
          </w:p>
        </w:tc>
        <w:tc>
          <w:tcPr>
            <w:tcW w:w="0" w:type="auto"/>
            <w:shd w:val="clear" w:color="auto" w:fill="auto"/>
          </w:tcPr>
          <w:p w14:paraId="5FD73955" w14:textId="77777777" w:rsidR="009F2CDD" w:rsidRPr="002056FA" w:rsidRDefault="009F2CDD" w:rsidP="00E169B4">
            <w:pPr>
              <w:pStyle w:val="TableCopy"/>
              <w:rPr>
                <w:rFonts w:eastAsia="Calibri"/>
                <w:lang w:eastAsia="en-US"/>
              </w:rPr>
            </w:pPr>
            <w:r w:rsidRPr="002056FA">
              <w:rPr>
                <w:rFonts w:eastAsia="Calibri"/>
                <w:lang w:eastAsia="en-US"/>
              </w:rPr>
              <w:t xml:space="preserve">replacement capex driven by condition and </w:t>
            </w:r>
            <w:r w:rsidRPr="002056FA">
              <w:rPr>
                <w:rFonts w:eastAsia="Calibri"/>
                <w:iCs/>
                <w:lang w:eastAsia="en-US"/>
              </w:rPr>
              <w:t xml:space="preserve">asset </w:t>
            </w:r>
            <w:r w:rsidRPr="002056FA">
              <w:rPr>
                <w:rFonts w:eastAsia="Calibri"/>
                <w:lang w:eastAsia="en-US"/>
              </w:rPr>
              <w:t xml:space="preserve">replacements driven by other drivers (e.g. the need for greenfield and reinforcement driven </w:t>
            </w:r>
            <w:r w:rsidRPr="002056FA">
              <w:rPr>
                <w:rFonts w:eastAsia="Calibri"/>
                <w:iCs/>
                <w:lang w:eastAsia="en-US"/>
              </w:rPr>
              <w:t>augmentation capex</w:t>
            </w:r>
            <w:r w:rsidRPr="002056FA">
              <w:rPr>
                <w:rFonts w:eastAsia="Calibri"/>
                <w:lang w:eastAsia="en-US"/>
              </w:rPr>
              <w:t xml:space="preserve">); and </w:t>
            </w:r>
          </w:p>
        </w:tc>
        <w:tc>
          <w:tcPr>
            <w:tcW w:w="0" w:type="auto"/>
            <w:shd w:val="clear" w:color="auto" w:fill="auto"/>
          </w:tcPr>
          <w:p w14:paraId="5EBF59F4" w14:textId="77777777" w:rsidR="009F2CDD" w:rsidRPr="002056FA" w:rsidRDefault="009F2CDD" w:rsidP="00E169B4">
            <w:pPr>
              <w:pStyle w:val="TableCopy"/>
              <w:rPr>
                <w:rFonts w:eastAsia="Calibri"/>
                <w:lang w:eastAsia="en-US"/>
              </w:rPr>
            </w:pPr>
            <w:r w:rsidRPr="002056FA">
              <w:rPr>
                <w:rFonts w:eastAsia="Calibri"/>
                <w:lang w:eastAsia="en-US"/>
              </w:rPr>
              <w:t xml:space="preserve">Refer to </w:t>
            </w:r>
            <w:r w:rsidRPr="003B3600">
              <w:rPr>
                <w:rFonts w:eastAsia="Calibri"/>
                <w:lang w:eastAsia="en-US"/>
              </w:rPr>
              <w:t xml:space="preserve">Chapter </w:t>
            </w:r>
            <w:r>
              <w:rPr>
                <w:rFonts w:eastAsia="Calibri"/>
                <w:lang w:eastAsia="en-US"/>
              </w:rPr>
              <w:t>7 of our</w:t>
            </w:r>
            <w:r w:rsidRPr="002056FA">
              <w:rPr>
                <w:rFonts w:eastAsia="Calibri"/>
                <w:lang w:eastAsia="en-US"/>
              </w:rPr>
              <w:t xml:space="preserve"> Regulatory Proposal.</w:t>
            </w:r>
          </w:p>
        </w:tc>
      </w:tr>
      <w:tr w:rsidR="009F2CDD" w:rsidRPr="002056FA" w14:paraId="2D51DAD7" w14:textId="77777777" w:rsidTr="00E169B4">
        <w:tc>
          <w:tcPr>
            <w:tcW w:w="0" w:type="auto"/>
            <w:tcBorders>
              <w:bottom w:val="single" w:sz="4" w:space="0" w:color="auto"/>
            </w:tcBorders>
            <w:shd w:val="clear" w:color="auto" w:fill="auto"/>
          </w:tcPr>
          <w:p w14:paraId="63786F9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4.5(b)(iv) </w:t>
            </w:r>
          </w:p>
        </w:tc>
        <w:tc>
          <w:tcPr>
            <w:tcW w:w="0" w:type="auto"/>
            <w:tcBorders>
              <w:bottom w:val="single" w:sz="4" w:space="0" w:color="auto"/>
            </w:tcBorders>
            <w:shd w:val="clear" w:color="auto" w:fill="auto"/>
          </w:tcPr>
          <w:p w14:paraId="1E5CFCC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any other </w:t>
            </w:r>
            <w:r w:rsidRPr="002056FA">
              <w:rPr>
                <w:rFonts w:eastAsia="Calibri"/>
                <w:iCs/>
                <w:color w:val="000000"/>
                <w:lang w:eastAsia="en-US"/>
              </w:rPr>
              <w:t xml:space="preserve">capex category </w:t>
            </w:r>
            <w:r w:rsidRPr="002056FA">
              <w:rPr>
                <w:rFonts w:eastAsia="Calibri"/>
                <w:color w:val="000000"/>
                <w:lang w:eastAsia="en-US"/>
              </w:rPr>
              <w:t xml:space="preserve">or </w:t>
            </w:r>
            <w:r w:rsidRPr="002056FA">
              <w:rPr>
                <w:rFonts w:eastAsia="Calibri"/>
                <w:iCs/>
                <w:color w:val="000000"/>
                <w:lang w:eastAsia="en-US"/>
              </w:rPr>
              <w:t xml:space="preserve">opex category </w:t>
            </w:r>
            <w:r w:rsidRPr="002056FA">
              <w:rPr>
                <w:rFonts w:eastAsia="Calibri"/>
                <w:color w:val="000000"/>
                <w:lang w:eastAsia="en-US"/>
              </w:rPr>
              <w:t xml:space="preserve">where </w:t>
            </w:r>
            <w:r w:rsidRPr="002056FA">
              <w:rPr>
                <w:rFonts w:eastAsia="Calibri"/>
                <w:iCs/>
                <w:color w:val="000000"/>
                <w:lang w:eastAsia="en-US"/>
              </w:rPr>
              <w:t xml:space="preserve">Energex </w:t>
            </w:r>
            <w:r w:rsidRPr="002056FA">
              <w:rPr>
                <w:rFonts w:eastAsia="Calibri"/>
                <w:color w:val="000000"/>
                <w:lang w:eastAsia="en-US"/>
              </w:rPr>
              <w:t xml:space="preserve">considers that there is reasonable scope for ambiguity in categorisation. </w:t>
            </w:r>
          </w:p>
        </w:tc>
        <w:tc>
          <w:tcPr>
            <w:tcW w:w="0" w:type="auto"/>
            <w:tcBorders>
              <w:bottom w:val="single" w:sz="4" w:space="0" w:color="auto"/>
            </w:tcBorders>
            <w:shd w:val="clear" w:color="auto" w:fill="auto"/>
          </w:tcPr>
          <w:p w14:paraId="705ADFE5" w14:textId="77777777" w:rsidR="009F2CDD" w:rsidRPr="002056FA" w:rsidRDefault="009F2CDD" w:rsidP="00E169B4">
            <w:pPr>
              <w:pStyle w:val="TableCopy"/>
              <w:rPr>
                <w:rFonts w:eastAsia="Calibri"/>
                <w:color w:val="00B0F0"/>
                <w:lang w:eastAsia="en-US"/>
              </w:rPr>
            </w:pPr>
            <w:r w:rsidRPr="002056FA">
              <w:rPr>
                <w:rFonts w:eastAsia="Calibri"/>
                <w:lang w:eastAsia="en-US"/>
              </w:rPr>
              <w:t xml:space="preserve">The Low Voltage Network Safety program has been categorised and forecast by Energex as replacement expenditure as there is an interaction with the traditional like-for-like asset replacement of overhead low voltage services.  Refer to Chapter </w:t>
            </w:r>
            <w:r>
              <w:rPr>
                <w:rFonts w:eastAsia="Calibri"/>
                <w:lang w:eastAsia="en-US"/>
              </w:rPr>
              <w:t>7</w:t>
            </w:r>
            <w:r w:rsidRPr="002056FA">
              <w:rPr>
                <w:rFonts w:eastAsia="Calibri"/>
                <w:lang w:eastAsia="en-US"/>
              </w:rPr>
              <w:t xml:space="preserve"> of the Regulatory Proposal for a description of the drivers of this program, and the </w:t>
            </w:r>
            <w:r>
              <w:rPr>
                <w:rFonts w:eastAsia="Calibri"/>
                <w:lang w:eastAsia="en-US"/>
              </w:rPr>
              <w:t>‘</w:t>
            </w:r>
            <w:r w:rsidRPr="002056FA">
              <w:rPr>
                <w:rFonts w:eastAsia="Calibri"/>
                <w:lang w:eastAsia="en-US"/>
              </w:rPr>
              <w:t xml:space="preserve">LV Network Safety strategic </w:t>
            </w:r>
            <w:r w:rsidRPr="00355302">
              <w:rPr>
                <w:rFonts w:eastAsia="Calibri"/>
                <w:lang w:eastAsia="en-US"/>
              </w:rPr>
              <w:t>proposal’ (</w:t>
            </w:r>
            <w:r>
              <w:rPr>
                <w:rFonts w:eastAsia="Calibri"/>
                <w:lang w:eastAsia="en-US"/>
              </w:rPr>
              <w:t>Attachment 7.093</w:t>
            </w:r>
            <w:r w:rsidRPr="00355302">
              <w:rPr>
                <w:rFonts w:eastAsia="Calibri"/>
                <w:lang w:eastAsia="en-US"/>
              </w:rPr>
              <w:t>)</w:t>
            </w:r>
            <w:r w:rsidRPr="002056FA">
              <w:rPr>
                <w:rFonts w:eastAsia="Calibri"/>
                <w:lang w:eastAsia="en-US"/>
              </w:rPr>
              <w:t xml:space="preserve"> for detail.</w:t>
            </w:r>
          </w:p>
          <w:p w14:paraId="694C4076" w14:textId="77777777" w:rsidR="009F2CDD" w:rsidRPr="002056FA" w:rsidRDefault="009F2CDD" w:rsidP="00E169B4">
            <w:pPr>
              <w:pStyle w:val="TableCopy"/>
              <w:rPr>
                <w:rFonts w:eastAsia="Calibri"/>
                <w:color w:val="365F91"/>
                <w:lang w:eastAsia="en-US"/>
              </w:rPr>
            </w:pPr>
            <w:r w:rsidRPr="002056FA">
              <w:rPr>
                <w:rFonts w:eastAsia="Calibri"/>
                <w:lang w:eastAsia="en-US"/>
              </w:rPr>
              <w:t xml:space="preserve">Energex </w:t>
            </w:r>
            <w:r>
              <w:rPr>
                <w:rFonts w:eastAsia="Calibri"/>
                <w:lang w:eastAsia="en-US"/>
              </w:rPr>
              <w:t>has</w:t>
            </w:r>
            <w:r w:rsidRPr="002056FA">
              <w:rPr>
                <w:rFonts w:eastAsia="Calibri"/>
                <w:lang w:eastAsia="en-US"/>
              </w:rPr>
              <w:t xml:space="preserve"> not identified any other ambiguities.  </w:t>
            </w:r>
          </w:p>
        </w:tc>
      </w:tr>
      <w:tr w:rsidR="009F2CDD" w:rsidRPr="002056FA" w14:paraId="350594C4" w14:textId="77777777" w:rsidTr="00E169B4">
        <w:tc>
          <w:tcPr>
            <w:tcW w:w="0" w:type="auto"/>
            <w:tcBorders>
              <w:bottom w:val="single" w:sz="4" w:space="0" w:color="auto"/>
            </w:tcBorders>
            <w:shd w:val="clear" w:color="auto" w:fill="D0CECE" w:themeFill="background2" w:themeFillShade="E6"/>
          </w:tcPr>
          <w:p w14:paraId="38453A21" w14:textId="77777777" w:rsidR="009F2CDD" w:rsidRPr="002056FA" w:rsidRDefault="009F2CDD" w:rsidP="00E169B4">
            <w:pPr>
              <w:pStyle w:val="TableCopy"/>
              <w:rPr>
                <w:rFonts w:eastAsia="Calibri"/>
                <w:lang w:eastAsia="en-US"/>
              </w:rPr>
            </w:pPr>
            <w:r w:rsidRPr="002056FA">
              <w:rPr>
                <w:rFonts w:eastAsia="Calibri"/>
                <w:b/>
                <w:lang w:eastAsia="en-US"/>
              </w:rPr>
              <w:t>5</w:t>
            </w:r>
          </w:p>
        </w:tc>
        <w:tc>
          <w:tcPr>
            <w:tcW w:w="0" w:type="auto"/>
            <w:tcBorders>
              <w:bottom w:val="single" w:sz="4" w:space="0" w:color="auto"/>
            </w:tcBorders>
            <w:shd w:val="clear" w:color="auto" w:fill="D0CECE" w:themeFill="background2" w:themeFillShade="E6"/>
          </w:tcPr>
          <w:p w14:paraId="52D3DD87" w14:textId="77777777" w:rsidR="009F2CDD" w:rsidRPr="002056FA" w:rsidRDefault="009F2CDD" w:rsidP="00E169B4">
            <w:pPr>
              <w:pStyle w:val="TableCopy"/>
              <w:rPr>
                <w:rFonts w:eastAsia="Calibri"/>
                <w:lang w:eastAsia="en-US"/>
              </w:rPr>
            </w:pPr>
            <w:r w:rsidRPr="002056FA">
              <w:rPr>
                <w:rFonts w:eastAsia="Calibri"/>
                <w:b/>
                <w:lang w:eastAsia="en-US"/>
              </w:rPr>
              <w:t>REPLACEMENT CAPITAL EXPENDITURE MODELLING</w:t>
            </w:r>
          </w:p>
        </w:tc>
        <w:tc>
          <w:tcPr>
            <w:tcW w:w="0" w:type="auto"/>
            <w:tcBorders>
              <w:bottom w:val="single" w:sz="4" w:space="0" w:color="auto"/>
            </w:tcBorders>
            <w:shd w:val="clear" w:color="auto" w:fill="D0CECE" w:themeFill="background2" w:themeFillShade="E6"/>
          </w:tcPr>
          <w:p w14:paraId="24E66035" w14:textId="77777777" w:rsidR="009F2CDD" w:rsidRPr="002056FA" w:rsidRDefault="009F2CDD" w:rsidP="00E169B4">
            <w:pPr>
              <w:pStyle w:val="TableCopy"/>
              <w:rPr>
                <w:rFonts w:eastAsia="Calibri"/>
                <w:lang w:eastAsia="en-US"/>
              </w:rPr>
            </w:pPr>
            <w:r w:rsidRPr="002056FA">
              <w:rPr>
                <w:rFonts w:eastAsia="Calibri"/>
                <w:b/>
                <w:bCs/>
                <w:color w:val="FFFFFF"/>
                <w:lang w:eastAsia="en-US"/>
              </w:rPr>
              <w:t> </w:t>
            </w:r>
          </w:p>
        </w:tc>
      </w:tr>
      <w:tr w:rsidR="009F2CDD" w:rsidRPr="002056FA" w14:paraId="2990F155" w14:textId="77777777" w:rsidTr="00E169B4">
        <w:tc>
          <w:tcPr>
            <w:tcW w:w="0" w:type="auto"/>
            <w:shd w:val="clear" w:color="auto" w:fill="D0CECE" w:themeFill="background2" w:themeFillShade="E6"/>
          </w:tcPr>
          <w:p w14:paraId="3228EFEE" w14:textId="77777777" w:rsidR="009F2CDD" w:rsidRPr="002056FA" w:rsidRDefault="009F2CDD" w:rsidP="00E169B4">
            <w:pPr>
              <w:pStyle w:val="TableCopy"/>
              <w:rPr>
                <w:rFonts w:eastAsia="Calibri"/>
                <w:lang w:eastAsia="en-US"/>
              </w:rPr>
            </w:pPr>
            <w:r w:rsidRPr="002056FA">
              <w:rPr>
                <w:rFonts w:eastAsia="Calibri"/>
                <w:lang w:eastAsia="en-US"/>
              </w:rPr>
              <w:t>5.1</w:t>
            </w:r>
          </w:p>
        </w:tc>
        <w:tc>
          <w:tcPr>
            <w:tcW w:w="0" w:type="auto"/>
            <w:shd w:val="clear" w:color="auto" w:fill="D0CECE" w:themeFill="background2" w:themeFillShade="E6"/>
          </w:tcPr>
          <w:p w14:paraId="6789574C" w14:textId="77777777" w:rsidR="009F2CDD" w:rsidRPr="002056FA" w:rsidRDefault="009F2CDD" w:rsidP="00E169B4">
            <w:pPr>
              <w:pStyle w:val="TableCopy"/>
              <w:rPr>
                <w:rFonts w:eastAsia="Calibri"/>
                <w:lang w:eastAsia="en-US"/>
              </w:rPr>
            </w:pPr>
            <w:r w:rsidRPr="002056FA">
              <w:rPr>
                <w:rFonts w:eastAsia="Calibri"/>
                <w:lang w:eastAsia="en-US"/>
              </w:rPr>
              <w:t>In relation to information provided in Workbook 1 – Regulatory determination, regulatory template 2.2 and with respect to the AER’s repex model, provide:</w:t>
            </w:r>
          </w:p>
        </w:tc>
        <w:tc>
          <w:tcPr>
            <w:tcW w:w="0" w:type="auto"/>
            <w:shd w:val="clear" w:color="auto" w:fill="D0CECE" w:themeFill="background2" w:themeFillShade="E6"/>
          </w:tcPr>
          <w:p w14:paraId="1AE6F6A6" w14:textId="77777777" w:rsidR="009F2CDD" w:rsidRPr="002056FA" w:rsidRDefault="009F2CDD" w:rsidP="00E169B4">
            <w:pPr>
              <w:pStyle w:val="TableCopy"/>
              <w:rPr>
                <w:rFonts w:eastAsia="Calibri"/>
                <w:lang w:eastAsia="en-US"/>
              </w:rPr>
            </w:pPr>
          </w:p>
        </w:tc>
      </w:tr>
      <w:tr w:rsidR="009F2CDD" w:rsidRPr="002056FA" w14:paraId="162C1EC5" w14:textId="77777777" w:rsidTr="00E169B4">
        <w:tc>
          <w:tcPr>
            <w:tcW w:w="0" w:type="auto"/>
            <w:shd w:val="clear" w:color="auto" w:fill="D0CECE" w:themeFill="background2" w:themeFillShade="E6"/>
          </w:tcPr>
          <w:p w14:paraId="3887181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5.1(a)</w:t>
            </w:r>
          </w:p>
        </w:tc>
        <w:tc>
          <w:tcPr>
            <w:tcW w:w="0" w:type="auto"/>
            <w:shd w:val="clear" w:color="auto" w:fill="D0CECE" w:themeFill="background2" w:themeFillShade="E6"/>
          </w:tcPr>
          <w:p w14:paraId="31B48F9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For individual </w:t>
            </w:r>
            <w:r w:rsidRPr="002056FA">
              <w:rPr>
                <w:rFonts w:eastAsia="Calibri"/>
                <w:iCs/>
                <w:color w:val="000000"/>
                <w:lang w:eastAsia="en-US"/>
              </w:rPr>
              <w:t xml:space="preserve">asset </w:t>
            </w:r>
            <w:r w:rsidRPr="002056FA">
              <w:rPr>
                <w:rFonts w:eastAsia="Calibri"/>
                <w:color w:val="000000"/>
                <w:lang w:eastAsia="en-US"/>
              </w:rPr>
              <w:t xml:space="preserve">categories set out in the </w:t>
            </w:r>
            <w:r w:rsidRPr="002056FA">
              <w:rPr>
                <w:rFonts w:eastAsia="Calibri"/>
                <w:iCs/>
                <w:color w:val="000000"/>
                <w:lang w:eastAsia="en-US"/>
              </w:rPr>
              <w:t>regulatory templates</w:t>
            </w:r>
            <w:r w:rsidRPr="002056FA">
              <w:rPr>
                <w:rFonts w:eastAsia="Calibri"/>
                <w:color w:val="000000"/>
                <w:lang w:eastAsia="en-US"/>
              </w:rPr>
              <w:t xml:space="preserve">, provide in a separate </w:t>
            </w:r>
            <w:r w:rsidRPr="002056FA">
              <w:rPr>
                <w:rFonts w:eastAsia="Calibri"/>
                <w:iCs/>
                <w:color w:val="000000"/>
                <w:lang w:eastAsia="en-US"/>
              </w:rPr>
              <w:t>document</w:t>
            </w:r>
            <w:r w:rsidRPr="002056FA">
              <w:rPr>
                <w:rFonts w:eastAsia="Calibri"/>
                <w:color w:val="000000"/>
                <w:lang w:eastAsia="en-US"/>
              </w:rPr>
              <w:t xml:space="preserve">: </w:t>
            </w:r>
          </w:p>
        </w:tc>
        <w:tc>
          <w:tcPr>
            <w:tcW w:w="0" w:type="auto"/>
            <w:shd w:val="clear" w:color="auto" w:fill="D0CECE" w:themeFill="background2" w:themeFillShade="E6"/>
          </w:tcPr>
          <w:p w14:paraId="76F45349" w14:textId="77777777" w:rsidR="009F2CDD" w:rsidRPr="002056FA" w:rsidRDefault="009F2CDD" w:rsidP="00E169B4">
            <w:pPr>
              <w:pStyle w:val="TableCopy"/>
              <w:rPr>
                <w:rFonts w:eastAsia="Calibri"/>
                <w:color w:val="000000"/>
                <w:lang w:eastAsia="en-US"/>
              </w:rPr>
            </w:pPr>
          </w:p>
        </w:tc>
      </w:tr>
      <w:tr w:rsidR="009F2CDD" w:rsidRPr="002056FA" w14:paraId="15DA80A0" w14:textId="77777777" w:rsidTr="00E169B4">
        <w:tc>
          <w:tcPr>
            <w:tcW w:w="0" w:type="auto"/>
            <w:shd w:val="clear" w:color="auto" w:fill="auto"/>
          </w:tcPr>
          <w:p w14:paraId="35A519C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5.1(a)(i)</w:t>
            </w:r>
          </w:p>
        </w:tc>
        <w:tc>
          <w:tcPr>
            <w:tcW w:w="0" w:type="auto"/>
            <w:shd w:val="clear" w:color="auto" w:fill="auto"/>
          </w:tcPr>
          <w:p w14:paraId="19DB83B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 description of the </w:t>
            </w:r>
            <w:r w:rsidRPr="002056FA">
              <w:rPr>
                <w:rFonts w:eastAsia="Calibri"/>
                <w:iCs/>
                <w:color w:val="000000"/>
                <w:lang w:eastAsia="en-US"/>
              </w:rPr>
              <w:t xml:space="preserve">asset </w:t>
            </w:r>
            <w:r w:rsidRPr="002056FA">
              <w:rPr>
                <w:rFonts w:eastAsia="Calibri"/>
                <w:color w:val="000000"/>
                <w:lang w:eastAsia="en-US"/>
              </w:rPr>
              <w:t xml:space="preserve">category, including: </w:t>
            </w:r>
          </w:p>
        </w:tc>
        <w:tc>
          <w:tcPr>
            <w:tcW w:w="0" w:type="auto"/>
            <w:shd w:val="clear" w:color="auto" w:fill="auto"/>
          </w:tcPr>
          <w:p w14:paraId="1559172B" w14:textId="77777777" w:rsidR="009F2CDD" w:rsidRPr="002056FA" w:rsidRDefault="009F2CDD" w:rsidP="00E169B4">
            <w:pPr>
              <w:pStyle w:val="TableCopy"/>
              <w:rPr>
                <w:rFonts w:eastAsia="Calibri"/>
                <w:lang w:eastAsia="en-US"/>
              </w:rPr>
            </w:pPr>
            <w:r w:rsidRPr="002056FA">
              <w:rPr>
                <w:rFonts w:eastAsia="Calibri"/>
                <w:lang w:eastAsia="en-US"/>
              </w:rPr>
              <w:t>The description of individual asset categories relating t</w:t>
            </w:r>
            <w:r>
              <w:rPr>
                <w:rFonts w:eastAsia="Calibri"/>
                <w:lang w:eastAsia="en-US"/>
              </w:rPr>
              <w:t>o template 2.2 can be found in the ‘</w:t>
            </w:r>
            <w:r w:rsidRPr="002056FA">
              <w:rPr>
                <w:rFonts w:eastAsia="Calibri"/>
                <w:lang w:eastAsia="en-US"/>
              </w:rPr>
              <w:t>Rep</w:t>
            </w:r>
            <w:r>
              <w:rPr>
                <w:rFonts w:eastAsia="Calibri"/>
                <w:lang w:eastAsia="en-US"/>
              </w:rPr>
              <w:t>ex Model Supporting Information’ document</w:t>
            </w:r>
            <w:r w:rsidRPr="002056FA">
              <w:rPr>
                <w:rFonts w:eastAsia="Calibri"/>
                <w:lang w:eastAsia="en-US"/>
              </w:rPr>
              <w:t xml:space="preserve"> </w:t>
            </w:r>
            <w:r w:rsidRPr="00355302">
              <w:rPr>
                <w:rFonts w:eastAsia="Calibri"/>
                <w:lang w:eastAsia="en-US"/>
              </w:rPr>
              <w:t>(</w:t>
            </w:r>
            <w:r>
              <w:rPr>
                <w:rFonts w:eastAsia="Calibri"/>
                <w:lang w:eastAsia="en-US"/>
              </w:rPr>
              <w:t>Attachment 17.029</w:t>
            </w:r>
            <w:r w:rsidRPr="00355302">
              <w:rPr>
                <w:rFonts w:eastAsia="Calibri"/>
                <w:lang w:eastAsia="en-US"/>
              </w:rPr>
              <w:t>).</w:t>
            </w:r>
            <w:r w:rsidRPr="002056FA">
              <w:rPr>
                <w:rFonts w:eastAsia="Calibri"/>
                <w:lang w:eastAsia="en-US"/>
              </w:rPr>
              <w:t xml:space="preserve"> Energex ha</w:t>
            </w:r>
            <w:r>
              <w:rPr>
                <w:rFonts w:eastAsia="Calibri"/>
                <w:lang w:eastAsia="en-US"/>
              </w:rPr>
              <w:t>s</w:t>
            </w:r>
            <w:r w:rsidRPr="002056FA">
              <w:rPr>
                <w:rFonts w:eastAsia="Calibri"/>
                <w:lang w:eastAsia="en-US"/>
              </w:rPr>
              <w:t xml:space="preserve"> used the same definitions for forecast information</w:t>
            </w:r>
            <w:r>
              <w:rPr>
                <w:rFonts w:eastAsia="Calibri"/>
                <w:lang w:eastAsia="en-US"/>
              </w:rPr>
              <w:t xml:space="preserve"> in completing template 2.2 of </w:t>
            </w:r>
            <w:r w:rsidRPr="002056FA">
              <w:rPr>
                <w:rFonts w:eastAsia="Calibri"/>
                <w:lang w:eastAsia="en-US"/>
              </w:rPr>
              <w:t>Workbo</w:t>
            </w:r>
            <w:r>
              <w:rPr>
                <w:rFonts w:eastAsia="Calibri"/>
                <w:lang w:eastAsia="en-US"/>
              </w:rPr>
              <w:t xml:space="preserve">ok 1, </w:t>
            </w:r>
            <w:r w:rsidRPr="00355302">
              <w:rPr>
                <w:rFonts w:eastAsia="Calibri"/>
                <w:lang w:val="en-GB" w:eastAsia="en-US"/>
              </w:rPr>
              <w:t>2020-25 Regula</w:t>
            </w:r>
            <w:r>
              <w:rPr>
                <w:rFonts w:eastAsia="Calibri"/>
                <w:lang w:val="en-GB" w:eastAsia="en-US"/>
              </w:rPr>
              <w:t>tory Determination RIN template</w:t>
            </w:r>
            <w:r w:rsidRPr="00355302">
              <w:rPr>
                <w:rFonts w:eastAsia="Calibri"/>
                <w:lang w:val="en-GB" w:eastAsia="en-US"/>
              </w:rPr>
              <w:t xml:space="preserve"> </w:t>
            </w:r>
            <w:r>
              <w:rPr>
                <w:rFonts w:eastAsia="Calibri"/>
                <w:lang w:val="en-GB" w:eastAsia="en-US"/>
              </w:rPr>
              <w:t>(</w:t>
            </w:r>
            <w:r w:rsidRPr="00355302">
              <w:rPr>
                <w:rFonts w:eastAsia="Calibri"/>
                <w:lang w:val="en-GB" w:eastAsia="en-US"/>
              </w:rPr>
              <w:t>Attachment 17.0</w:t>
            </w:r>
            <w:r>
              <w:rPr>
                <w:rFonts w:eastAsia="Calibri"/>
                <w:lang w:val="en-GB" w:eastAsia="en-US"/>
              </w:rPr>
              <w:t>46)</w:t>
            </w:r>
          </w:p>
        </w:tc>
      </w:tr>
      <w:tr w:rsidR="009F2CDD" w:rsidRPr="002056FA" w14:paraId="7746D5B0" w14:textId="77777777" w:rsidTr="00E169B4">
        <w:tc>
          <w:tcPr>
            <w:tcW w:w="0" w:type="auto"/>
            <w:shd w:val="clear" w:color="auto" w:fill="auto"/>
          </w:tcPr>
          <w:p w14:paraId="7A852FD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5.1(a)(i)(A)</w:t>
            </w:r>
          </w:p>
        </w:tc>
        <w:tc>
          <w:tcPr>
            <w:tcW w:w="0" w:type="auto"/>
            <w:shd w:val="clear" w:color="auto" w:fill="auto"/>
          </w:tcPr>
          <w:p w14:paraId="62897AB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assets included and any boundary issues (i.e. with other asset categories);</w:t>
            </w:r>
          </w:p>
        </w:tc>
        <w:tc>
          <w:tcPr>
            <w:tcW w:w="0" w:type="auto"/>
            <w:shd w:val="clear" w:color="auto" w:fill="auto"/>
          </w:tcPr>
          <w:p w14:paraId="4F367582" w14:textId="77777777" w:rsidR="009F2CDD" w:rsidRPr="002056FA" w:rsidRDefault="009F2CDD" w:rsidP="00E169B4">
            <w:pPr>
              <w:pStyle w:val="TableCopy"/>
              <w:rPr>
                <w:rFonts w:eastAsia="Calibri"/>
                <w:lang w:eastAsia="en-US"/>
              </w:rPr>
            </w:pPr>
            <w:r w:rsidRPr="002056FA">
              <w:rPr>
                <w:rFonts w:eastAsia="Calibri"/>
                <w:lang w:eastAsia="en-US"/>
              </w:rPr>
              <w:t xml:space="preserve">Boundary issues have been discussed in Energex’s </w:t>
            </w:r>
            <w:r>
              <w:rPr>
                <w:rFonts w:eastAsia="Calibri"/>
                <w:lang w:eastAsia="en-US"/>
              </w:rPr>
              <w:t>description of template 2.2 in the ‘</w:t>
            </w:r>
            <w:r w:rsidRPr="002056FA">
              <w:rPr>
                <w:rFonts w:eastAsia="Calibri"/>
                <w:lang w:eastAsia="en-US"/>
              </w:rPr>
              <w:t>Rep</w:t>
            </w:r>
            <w:r>
              <w:rPr>
                <w:rFonts w:eastAsia="Calibri"/>
                <w:lang w:eastAsia="en-US"/>
              </w:rPr>
              <w:t xml:space="preserve">ex Model Supporting Information’ </w:t>
            </w:r>
            <w:r w:rsidRPr="004E1737">
              <w:rPr>
                <w:rFonts w:eastAsia="Calibri"/>
                <w:lang w:eastAsia="en-US"/>
              </w:rPr>
              <w:t xml:space="preserve">document </w:t>
            </w:r>
            <w:r>
              <w:rPr>
                <w:rFonts w:eastAsia="Calibri"/>
                <w:lang w:eastAsia="en-US"/>
              </w:rPr>
              <w:t>(Attachment 17.029</w:t>
            </w:r>
            <w:r w:rsidRPr="004E1737">
              <w:rPr>
                <w:rFonts w:eastAsia="Calibri"/>
                <w:lang w:eastAsia="en-US"/>
              </w:rPr>
              <w:t>)</w:t>
            </w:r>
            <w:r w:rsidRPr="002056FA">
              <w:rPr>
                <w:rFonts w:eastAsia="Calibri"/>
                <w:lang w:eastAsia="en-US"/>
              </w:rPr>
              <w:t xml:space="preserve"> section 2.1.1.</w:t>
            </w:r>
          </w:p>
        </w:tc>
      </w:tr>
      <w:tr w:rsidR="009F2CDD" w:rsidRPr="002056FA" w14:paraId="310EFE7F" w14:textId="77777777" w:rsidTr="00E169B4">
        <w:tc>
          <w:tcPr>
            <w:tcW w:w="0" w:type="auto"/>
            <w:shd w:val="clear" w:color="auto" w:fill="auto"/>
          </w:tcPr>
          <w:p w14:paraId="7380BC7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5.1(a)(i)(B) </w:t>
            </w:r>
          </w:p>
        </w:tc>
        <w:tc>
          <w:tcPr>
            <w:tcW w:w="0" w:type="auto"/>
            <w:shd w:val="clear" w:color="auto" w:fill="auto"/>
          </w:tcPr>
          <w:p w14:paraId="2CCC1BD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an explanation of how these matters have been accounted for in determining quantities in the age profile; </w:t>
            </w:r>
          </w:p>
        </w:tc>
        <w:tc>
          <w:tcPr>
            <w:tcW w:w="0" w:type="auto"/>
            <w:shd w:val="clear" w:color="auto" w:fill="auto"/>
          </w:tcPr>
          <w:p w14:paraId="2D5500DE" w14:textId="77777777" w:rsidR="009F2CDD" w:rsidRPr="002056FA" w:rsidRDefault="009F2CDD" w:rsidP="00E169B4">
            <w:pPr>
              <w:pStyle w:val="TableCopy"/>
              <w:rPr>
                <w:rFonts w:eastAsia="Calibri"/>
                <w:lang w:eastAsia="en-US"/>
              </w:rPr>
            </w:pPr>
            <w:r w:rsidRPr="002056FA">
              <w:rPr>
                <w:rFonts w:eastAsia="Calibri"/>
                <w:lang w:eastAsia="en-US"/>
              </w:rPr>
              <w:t xml:space="preserve">In general, boundary issues have not impacted the quantities </w:t>
            </w:r>
            <w:r>
              <w:rPr>
                <w:rFonts w:eastAsia="Calibri"/>
                <w:lang w:eastAsia="en-US"/>
              </w:rPr>
              <w:t>in the age profiles.  Refer to ‘</w:t>
            </w:r>
            <w:r w:rsidRPr="002056FA">
              <w:rPr>
                <w:rFonts w:eastAsia="Calibri"/>
                <w:lang w:eastAsia="en-US"/>
              </w:rPr>
              <w:t>Rep</w:t>
            </w:r>
            <w:r>
              <w:rPr>
                <w:rFonts w:eastAsia="Calibri"/>
                <w:lang w:eastAsia="en-US"/>
              </w:rPr>
              <w:t>ex Model Supporting Information’</w:t>
            </w:r>
            <w:r w:rsidRPr="002056FA">
              <w:rPr>
                <w:rFonts w:eastAsia="Calibri"/>
                <w:lang w:eastAsia="en-US"/>
              </w:rPr>
              <w:t xml:space="preserve"> </w:t>
            </w:r>
            <w:r w:rsidRPr="004E1737">
              <w:rPr>
                <w:rFonts w:eastAsia="Calibri"/>
                <w:lang w:eastAsia="en-US"/>
              </w:rPr>
              <w:t xml:space="preserve">(Attachment </w:t>
            </w:r>
            <w:r>
              <w:rPr>
                <w:rFonts w:eastAsia="Calibri"/>
                <w:lang w:eastAsia="en-US"/>
              </w:rPr>
              <w:t>17.029</w:t>
            </w:r>
            <w:r w:rsidRPr="004E1737">
              <w:rPr>
                <w:rFonts w:eastAsia="Calibri"/>
                <w:lang w:eastAsia="en-US"/>
              </w:rPr>
              <w:t>)</w:t>
            </w:r>
            <w:r w:rsidRPr="002056FA">
              <w:rPr>
                <w:rFonts w:eastAsia="Calibri"/>
                <w:lang w:eastAsia="en-US"/>
              </w:rPr>
              <w:t xml:space="preserve"> section 2.1.2.  An exception relates to overhead conductor age which is calculated based on pole age. </w:t>
            </w:r>
          </w:p>
        </w:tc>
      </w:tr>
      <w:tr w:rsidR="009F2CDD" w:rsidRPr="002056FA" w14:paraId="162361AE" w14:textId="77777777" w:rsidTr="00E169B4">
        <w:tc>
          <w:tcPr>
            <w:tcW w:w="0" w:type="auto"/>
            <w:shd w:val="clear" w:color="auto" w:fill="auto"/>
          </w:tcPr>
          <w:p w14:paraId="27460A4E" w14:textId="77777777" w:rsidR="009F2CDD" w:rsidRPr="002056FA" w:rsidRDefault="009F2CDD" w:rsidP="00E169B4">
            <w:pPr>
              <w:pStyle w:val="TableCopy"/>
              <w:rPr>
                <w:rFonts w:eastAsia="Calibri"/>
                <w:b/>
                <w:lang w:eastAsia="en-US"/>
              </w:rPr>
            </w:pPr>
            <w:r w:rsidRPr="002056FA">
              <w:rPr>
                <w:rFonts w:eastAsia="Calibri"/>
                <w:lang w:eastAsia="en-US"/>
              </w:rPr>
              <w:t xml:space="preserve">5.1(a)(i)(C) </w:t>
            </w:r>
          </w:p>
        </w:tc>
        <w:tc>
          <w:tcPr>
            <w:tcW w:w="0" w:type="auto"/>
            <w:shd w:val="clear" w:color="auto" w:fill="auto"/>
          </w:tcPr>
          <w:p w14:paraId="450626B5" w14:textId="77777777" w:rsidR="009F2CDD" w:rsidRPr="002056FA" w:rsidRDefault="009F2CDD" w:rsidP="00E169B4">
            <w:pPr>
              <w:pStyle w:val="TableCopy"/>
              <w:rPr>
                <w:rFonts w:eastAsia="Calibri"/>
                <w:b/>
                <w:lang w:eastAsia="en-US"/>
              </w:rPr>
            </w:pPr>
            <w:r w:rsidRPr="002056FA">
              <w:rPr>
                <w:rFonts w:eastAsia="Calibri"/>
                <w:lang w:eastAsia="en-US"/>
              </w:rPr>
              <w:t xml:space="preserve">an explanation of the main drivers for replacement (e.g. condition); and </w:t>
            </w:r>
          </w:p>
        </w:tc>
        <w:tc>
          <w:tcPr>
            <w:tcW w:w="0" w:type="auto"/>
            <w:shd w:val="clear" w:color="auto" w:fill="auto"/>
          </w:tcPr>
          <w:p w14:paraId="1807B577" w14:textId="77777777" w:rsidR="009F2CDD" w:rsidRPr="002056FA" w:rsidRDefault="009F2CDD" w:rsidP="00E169B4">
            <w:pPr>
              <w:pStyle w:val="TableCopy"/>
              <w:rPr>
                <w:rFonts w:eastAsia="Calibri"/>
                <w:lang w:eastAsia="en-US"/>
              </w:rPr>
            </w:pPr>
            <w:r>
              <w:rPr>
                <w:rFonts w:eastAsia="Calibri"/>
                <w:lang w:eastAsia="en-US"/>
              </w:rPr>
              <w:t>Refer to Chapter 7 of our</w:t>
            </w:r>
            <w:r w:rsidRPr="002056FA">
              <w:rPr>
                <w:rFonts w:eastAsia="Calibri"/>
                <w:lang w:eastAsia="en-US"/>
              </w:rPr>
              <w:t xml:space="preserve"> Regulatory Proposal for a description of the overa</w:t>
            </w:r>
            <w:r>
              <w:rPr>
                <w:rFonts w:eastAsia="Calibri"/>
                <w:lang w:eastAsia="en-US"/>
              </w:rPr>
              <w:t>rching drivers for replacement.</w:t>
            </w:r>
          </w:p>
          <w:p w14:paraId="7AC9432F" w14:textId="77777777" w:rsidR="009F2CDD" w:rsidRPr="002056FA" w:rsidRDefault="009F2CDD" w:rsidP="00E169B4">
            <w:pPr>
              <w:pStyle w:val="TableCopy"/>
              <w:rPr>
                <w:rFonts w:eastAsia="Calibri"/>
                <w:lang w:eastAsia="en-US"/>
              </w:rPr>
            </w:pPr>
            <w:r w:rsidRPr="002056FA">
              <w:rPr>
                <w:rFonts w:eastAsia="Calibri"/>
                <w:lang w:eastAsia="en-US"/>
              </w:rPr>
              <w:t xml:space="preserve">Energex’s Asset Management Plans provide further detail on our main drivers of replacement by asset category </w:t>
            </w:r>
            <w:r>
              <w:rPr>
                <w:rFonts w:eastAsia="Calibri"/>
                <w:lang w:eastAsia="en-US"/>
              </w:rPr>
              <w:t>(Attachments 7.027</w:t>
            </w:r>
            <w:r w:rsidRPr="004E1737">
              <w:rPr>
                <w:rFonts w:eastAsia="Calibri"/>
                <w:lang w:eastAsia="en-US"/>
              </w:rPr>
              <w:t xml:space="preserve"> to </w:t>
            </w:r>
            <w:r>
              <w:rPr>
                <w:rFonts w:eastAsia="Calibri"/>
                <w:lang w:eastAsia="en-US"/>
              </w:rPr>
              <w:t>7.044</w:t>
            </w:r>
            <w:r w:rsidRPr="004E1737">
              <w:rPr>
                <w:rFonts w:eastAsia="Calibri"/>
                <w:lang w:eastAsia="en-US"/>
              </w:rPr>
              <w:t>).</w:t>
            </w:r>
            <w:r w:rsidRPr="002056FA">
              <w:rPr>
                <w:rFonts w:eastAsia="Calibri"/>
                <w:lang w:eastAsia="en-US"/>
              </w:rPr>
              <w:t xml:space="preserve"> </w:t>
            </w:r>
          </w:p>
        </w:tc>
      </w:tr>
      <w:tr w:rsidR="009F2CDD" w:rsidRPr="002056FA" w14:paraId="5267B0EA" w14:textId="77777777" w:rsidTr="00E169B4">
        <w:tc>
          <w:tcPr>
            <w:tcW w:w="0" w:type="auto"/>
            <w:tcBorders>
              <w:bottom w:val="single" w:sz="4" w:space="0" w:color="auto"/>
            </w:tcBorders>
            <w:shd w:val="clear" w:color="auto" w:fill="auto"/>
          </w:tcPr>
          <w:p w14:paraId="66671093" w14:textId="77777777" w:rsidR="009F2CDD" w:rsidRPr="002056FA" w:rsidRDefault="009F2CDD" w:rsidP="00E169B4">
            <w:pPr>
              <w:pStyle w:val="TableCopy"/>
              <w:rPr>
                <w:rFonts w:eastAsia="Calibri"/>
                <w:lang w:eastAsia="en-US"/>
              </w:rPr>
            </w:pPr>
            <w:r w:rsidRPr="002056FA">
              <w:rPr>
                <w:rFonts w:eastAsia="Calibri"/>
                <w:lang w:eastAsia="en-US"/>
              </w:rPr>
              <w:t xml:space="preserve">5.1(a)(i)(D) </w:t>
            </w:r>
          </w:p>
        </w:tc>
        <w:tc>
          <w:tcPr>
            <w:tcW w:w="0" w:type="auto"/>
            <w:tcBorders>
              <w:bottom w:val="single" w:sz="4" w:space="0" w:color="auto"/>
            </w:tcBorders>
            <w:shd w:val="clear" w:color="auto" w:fill="auto"/>
          </w:tcPr>
          <w:p w14:paraId="1AF3B25E" w14:textId="77777777" w:rsidR="009F2CDD" w:rsidRPr="002056FA" w:rsidRDefault="009F2CDD" w:rsidP="00E169B4">
            <w:pPr>
              <w:pStyle w:val="TableCopy"/>
              <w:rPr>
                <w:rFonts w:eastAsia="Calibri"/>
                <w:bCs/>
                <w:lang w:eastAsia="en-US"/>
              </w:rPr>
            </w:pPr>
            <w:r w:rsidRPr="002056FA">
              <w:rPr>
                <w:rFonts w:eastAsia="Calibri"/>
                <w:lang w:eastAsia="en-US"/>
              </w:rPr>
              <w:t xml:space="preserve">an explanation of whether the replacement unit cost provides for a complete replacement of the </w:t>
            </w:r>
            <w:r w:rsidRPr="002056FA">
              <w:rPr>
                <w:rFonts w:eastAsia="Calibri"/>
                <w:iCs/>
                <w:lang w:eastAsia="en-US"/>
              </w:rPr>
              <w:t>asset</w:t>
            </w:r>
            <w:r w:rsidRPr="002056FA">
              <w:rPr>
                <w:rFonts w:eastAsia="Calibri"/>
                <w:lang w:eastAsia="en-US"/>
              </w:rPr>
              <w:t xml:space="preserve">, or some other activity, including an extension of the </w:t>
            </w:r>
            <w:r w:rsidRPr="002056FA">
              <w:rPr>
                <w:rFonts w:eastAsia="Calibri"/>
                <w:iCs/>
                <w:lang w:eastAsia="en-US"/>
              </w:rPr>
              <w:t xml:space="preserve">asset’s </w:t>
            </w:r>
            <w:r w:rsidRPr="002056FA">
              <w:rPr>
                <w:rFonts w:eastAsia="Calibri"/>
                <w:lang w:eastAsia="en-US"/>
              </w:rPr>
              <w:t xml:space="preserve">life (e.g. </w:t>
            </w:r>
            <w:r w:rsidRPr="002056FA">
              <w:rPr>
                <w:rFonts w:eastAsia="Calibri"/>
                <w:iCs/>
                <w:lang w:eastAsia="en-US"/>
              </w:rPr>
              <w:t xml:space="preserve">pole </w:t>
            </w:r>
            <w:r w:rsidRPr="002056FA">
              <w:rPr>
                <w:rFonts w:eastAsia="Calibri"/>
                <w:lang w:eastAsia="en-US"/>
              </w:rPr>
              <w:t xml:space="preserve">staking) and whether the costs of this extension or other activity are capitalised or not. </w:t>
            </w:r>
          </w:p>
        </w:tc>
        <w:tc>
          <w:tcPr>
            <w:tcW w:w="0" w:type="auto"/>
            <w:tcBorders>
              <w:bottom w:val="single" w:sz="4" w:space="0" w:color="auto"/>
            </w:tcBorders>
            <w:shd w:val="clear" w:color="auto" w:fill="auto"/>
          </w:tcPr>
          <w:p w14:paraId="120E8742" w14:textId="77777777" w:rsidR="009F2CDD" w:rsidRPr="002056FA" w:rsidRDefault="009F2CDD" w:rsidP="00E169B4">
            <w:pPr>
              <w:pStyle w:val="TableCopy"/>
              <w:rPr>
                <w:rFonts w:eastAsia="Calibri"/>
                <w:lang w:eastAsia="en-US"/>
              </w:rPr>
            </w:pPr>
            <w:r w:rsidRPr="002056FA">
              <w:rPr>
                <w:rFonts w:eastAsia="Calibri"/>
                <w:lang w:eastAsia="en-US"/>
              </w:rPr>
              <w:t xml:space="preserve">In general, Energex’s cost estimate relates to the complete replacement of the asset. An exception relates to the staking of wooden poles which provides a life extension and is capitalised. </w:t>
            </w:r>
          </w:p>
        </w:tc>
      </w:tr>
      <w:tr w:rsidR="009F2CDD" w:rsidRPr="002056FA" w14:paraId="0114B95D" w14:textId="77777777" w:rsidTr="00E169B4">
        <w:tc>
          <w:tcPr>
            <w:tcW w:w="0" w:type="auto"/>
            <w:shd w:val="clear" w:color="auto" w:fill="D0CECE" w:themeFill="background2" w:themeFillShade="E6"/>
          </w:tcPr>
          <w:p w14:paraId="6EFAD4DA" w14:textId="77777777" w:rsidR="009F2CDD" w:rsidRPr="002056FA" w:rsidRDefault="009F2CDD" w:rsidP="00E169B4">
            <w:pPr>
              <w:pStyle w:val="TableCopy"/>
              <w:rPr>
                <w:rFonts w:eastAsia="Calibri"/>
                <w:lang w:eastAsia="en-US"/>
              </w:rPr>
            </w:pPr>
            <w:r w:rsidRPr="002056FA">
              <w:rPr>
                <w:rFonts w:eastAsia="Calibri"/>
                <w:lang w:eastAsia="en-US"/>
              </w:rPr>
              <w:t>5.1(a)(ii)</w:t>
            </w:r>
          </w:p>
        </w:tc>
        <w:tc>
          <w:tcPr>
            <w:tcW w:w="0" w:type="auto"/>
            <w:shd w:val="clear" w:color="auto" w:fill="D0CECE" w:themeFill="background2" w:themeFillShade="E6"/>
          </w:tcPr>
          <w:p w14:paraId="27C492D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an estimate of the proportion of assets replaced for each year of the current regulatory control period, due to:</w:t>
            </w:r>
          </w:p>
        </w:tc>
        <w:tc>
          <w:tcPr>
            <w:tcW w:w="0" w:type="auto"/>
            <w:shd w:val="clear" w:color="auto" w:fill="D0CECE" w:themeFill="background2" w:themeFillShade="E6"/>
          </w:tcPr>
          <w:p w14:paraId="3B427F26" w14:textId="77777777" w:rsidR="009F2CDD" w:rsidRPr="002056FA" w:rsidRDefault="009F2CDD" w:rsidP="00E169B4">
            <w:pPr>
              <w:pStyle w:val="TableCopy"/>
              <w:rPr>
                <w:rFonts w:eastAsia="Calibri"/>
                <w:lang w:eastAsia="en-US"/>
              </w:rPr>
            </w:pPr>
          </w:p>
        </w:tc>
      </w:tr>
      <w:tr w:rsidR="009F2CDD" w:rsidRPr="002056FA" w14:paraId="292CD052" w14:textId="77777777" w:rsidTr="00E169B4">
        <w:tc>
          <w:tcPr>
            <w:tcW w:w="0" w:type="auto"/>
            <w:shd w:val="clear" w:color="auto" w:fill="auto"/>
          </w:tcPr>
          <w:p w14:paraId="1317CF1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5.1(a)(ii)(A) </w:t>
            </w:r>
          </w:p>
        </w:tc>
        <w:tc>
          <w:tcPr>
            <w:tcW w:w="0" w:type="auto"/>
            <w:shd w:val="clear" w:color="auto" w:fill="auto"/>
          </w:tcPr>
          <w:p w14:paraId="1371A3C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aging of existing </w:t>
            </w:r>
            <w:r w:rsidRPr="002056FA">
              <w:rPr>
                <w:rFonts w:eastAsia="Calibri"/>
                <w:iCs/>
                <w:color w:val="000000"/>
                <w:lang w:eastAsia="en-US"/>
              </w:rPr>
              <w:t xml:space="preserve">assets </w:t>
            </w:r>
            <w:r w:rsidRPr="002056FA">
              <w:rPr>
                <w:rFonts w:eastAsia="Calibri"/>
                <w:color w:val="000000"/>
                <w:lang w:eastAsia="en-US"/>
              </w:rPr>
              <w:t xml:space="preserve">(e.g. condition, obsolesce, etc.) that should be largely captured by this form of replacement modelling; </w:t>
            </w:r>
          </w:p>
        </w:tc>
        <w:tc>
          <w:tcPr>
            <w:tcW w:w="0" w:type="auto"/>
            <w:shd w:val="clear" w:color="auto" w:fill="auto"/>
          </w:tcPr>
          <w:p w14:paraId="09A56553" w14:textId="77777777" w:rsidR="009F2CDD" w:rsidRPr="002056FA" w:rsidRDefault="009F2CDD" w:rsidP="00E169B4">
            <w:pPr>
              <w:pStyle w:val="TableCopy"/>
              <w:rPr>
                <w:rFonts w:eastAsia="Calibri"/>
                <w:lang w:eastAsia="en-US"/>
              </w:rPr>
            </w:pPr>
            <w:r>
              <w:rPr>
                <w:rFonts w:eastAsia="Calibri"/>
                <w:lang w:eastAsia="en-US"/>
              </w:rPr>
              <w:t>Refer to ‘</w:t>
            </w:r>
            <w:r w:rsidRPr="002056FA">
              <w:rPr>
                <w:rFonts w:eastAsia="Calibri"/>
                <w:lang w:eastAsia="en-US"/>
              </w:rPr>
              <w:t>Rep</w:t>
            </w:r>
            <w:r>
              <w:rPr>
                <w:rFonts w:eastAsia="Calibri"/>
                <w:lang w:eastAsia="en-US"/>
              </w:rPr>
              <w:t xml:space="preserve">ex Model Supporting Information’ </w:t>
            </w:r>
            <w:r w:rsidRPr="004E1737">
              <w:rPr>
                <w:rFonts w:eastAsia="Calibri"/>
                <w:lang w:eastAsia="en-US"/>
              </w:rPr>
              <w:t>document (Attachment</w:t>
            </w:r>
            <w:r>
              <w:rPr>
                <w:rFonts w:eastAsia="Calibri"/>
                <w:lang w:eastAsia="en-US"/>
              </w:rPr>
              <w:t xml:space="preserve"> 17.029</w:t>
            </w:r>
            <w:r w:rsidRPr="004E1737">
              <w:rPr>
                <w:rFonts w:eastAsia="Calibri"/>
                <w:lang w:eastAsia="en-US"/>
              </w:rPr>
              <w:t>)</w:t>
            </w:r>
            <w:r w:rsidRPr="002056FA">
              <w:rPr>
                <w:rFonts w:eastAsia="Calibri"/>
                <w:lang w:eastAsia="en-US"/>
              </w:rPr>
              <w:t xml:space="preserve"> section 2.2.1.</w:t>
            </w:r>
          </w:p>
        </w:tc>
      </w:tr>
      <w:tr w:rsidR="009F2CDD" w:rsidRPr="002056FA" w14:paraId="5455CE10" w14:textId="77777777" w:rsidTr="00E169B4">
        <w:tc>
          <w:tcPr>
            <w:tcW w:w="0" w:type="auto"/>
            <w:shd w:val="clear" w:color="auto" w:fill="auto"/>
          </w:tcPr>
          <w:p w14:paraId="3740AD9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5.1(a)(ii)(B) </w:t>
            </w:r>
          </w:p>
        </w:tc>
        <w:tc>
          <w:tcPr>
            <w:tcW w:w="0" w:type="auto"/>
            <w:shd w:val="clear" w:color="auto" w:fill="auto"/>
          </w:tcPr>
          <w:p w14:paraId="4750939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replacements due to other factors (and a description of those factors); </w:t>
            </w:r>
          </w:p>
        </w:tc>
        <w:tc>
          <w:tcPr>
            <w:tcW w:w="0" w:type="auto"/>
            <w:shd w:val="clear" w:color="auto" w:fill="auto"/>
          </w:tcPr>
          <w:p w14:paraId="793A270C" w14:textId="77777777" w:rsidR="009F2CDD" w:rsidRPr="002056FA" w:rsidRDefault="009F2CDD" w:rsidP="00E169B4">
            <w:pPr>
              <w:pStyle w:val="TableCopy"/>
              <w:rPr>
                <w:rFonts w:eastAsia="Calibri"/>
                <w:lang w:eastAsia="en-US"/>
              </w:rPr>
            </w:pPr>
            <w:r>
              <w:rPr>
                <w:rFonts w:eastAsia="Calibri"/>
                <w:lang w:eastAsia="en-US"/>
              </w:rPr>
              <w:t>Refer to the ‘</w:t>
            </w:r>
            <w:r w:rsidRPr="002056FA">
              <w:rPr>
                <w:rFonts w:eastAsia="Calibri"/>
                <w:lang w:eastAsia="en-US"/>
              </w:rPr>
              <w:t>Rep</w:t>
            </w:r>
            <w:r>
              <w:rPr>
                <w:rFonts w:eastAsia="Calibri"/>
                <w:lang w:eastAsia="en-US"/>
              </w:rPr>
              <w:t xml:space="preserve">ex Model Supporting Information’ document </w:t>
            </w:r>
            <w:r w:rsidRPr="004E1737">
              <w:rPr>
                <w:rFonts w:eastAsia="Calibri"/>
                <w:lang w:eastAsia="en-US"/>
              </w:rPr>
              <w:t xml:space="preserve">(Attachment </w:t>
            </w:r>
            <w:r>
              <w:rPr>
                <w:rFonts w:eastAsia="Calibri"/>
                <w:lang w:eastAsia="en-US"/>
              </w:rPr>
              <w:t>17.029</w:t>
            </w:r>
            <w:r w:rsidRPr="004E1737">
              <w:rPr>
                <w:rFonts w:eastAsia="Calibri"/>
                <w:lang w:eastAsia="en-US"/>
              </w:rPr>
              <w:t>)</w:t>
            </w:r>
            <w:r w:rsidRPr="002056FA">
              <w:rPr>
                <w:rFonts w:eastAsia="Calibri"/>
                <w:lang w:eastAsia="en-US"/>
              </w:rPr>
              <w:t xml:space="preserve"> section 2.2.2. </w:t>
            </w:r>
          </w:p>
          <w:p w14:paraId="46F8DD7D" w14:textId="77777777" w:rsidR="009F2CDD" w:rsidRPr="002056FA" w:rsidRDefault="009F2CDD" w:rsidP="00E169B4">
            <w:pPr>
              <w:pStyle w:val="TableCopy"/>
              <w:rPr>
                <w:rFonts w:eastAsia="Calibri"/>
                <w:lang w:eastAsia="en-US"/>
              </w:rPr>
            </w:pPr>
            <w:r w:rsidRPr="002056FA">
              <w:rPr>
                <w:rFonts w:eastAsia="Calibri"/>
                <w:lang w:eastAsia="en-US"/>
              </w:rPr>
              <w:t xml:space="preserve">Energex’s Asset Management Plans provide further detail on the main drivers of replacement by asset category </w:t>
            </w:r>
            <w:r>
              <w:rPr>
                <w:rFonts w:eastAsia="Calibri"/>
                <w:lang w:eastAsia="en-US"/>
              </w:rPr>
              <w:t>(Attachments 7.027</w:t>
            </w:r>
            <w:r w:rsidRPr="004E1737">
              <w:rPr>
                <w:rFonts w:eastAsia="Calibri"/>
                <w:lang w:eastAsia="en-US"/>
              </w:rPr>
              <w:t xml:space="preserve"> to </w:t>
            </w:r>
            <w:r>
              <w:rPr>
                <w:rFonts w:eastAsia="Calibri"/>
                <w:lang w:eastAsia="en-US"/>
              </w:rPr>
              <w:t>7.044</w:t>
            </w:r>
            <w:r w:rsidRPr="004E1737">
              <w:rPr>
                <w:rFonts w:eastAsia="Calibri"/>
                <w:lang w:eastAsia="en-US"/>
              </w:rPr>
              <w:t>).</w:t>
            </w:r>
          </w:p>
        </w:tc>
      </w:tr>
      <w:tr w:rsidR="009F2CDD" w:rsidRPr="002056FA" w14:paraId="5727A930" w14:textId="77777777" w:rsidTr="00E169B4">
        <w:tc>
          <w:tcPr>
            <w:tcW w:w="0" w:type="auto"/>
            <w:shd w:val="clear" w:color="auto" w:fill="auto"/>
          </w:tcPr>
          <w:p w14:paraId="7ACF2AD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5.1(a)(ii)(C) </w:t>
            </w:r>
          </w:p>
        </w:tc>
        <w:tc>
          <w:tcPr>
            <w:tcW w:w="0" w:type="auto"/>
            <w:shd w:val="clear" w:color="auto" w:fill="auto"/>
          </w:tcPr>
          <w:p w14:paraId="78ABF4B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additional </w:t>
            </w:r>
            <w:r w:rsidRPr="002056FA">
              <w:rPr>
                <w:rFonts w:eastAsia="Calibri"/>
                <w:iCs/>
                <w:color w:val="000000"/>
                <w:lang w:eastAsia="en-US"/>
              </w:rPr>
              <w:t xml:space="preserve">assets </w:t>
            </w:r>
            <w:r w:rsidRPr="002056FA">
              <w:rPr>
                <w:rFonts w:eastAsia="Calibri"/>
                <w:color w:val="000000"/>
                <w:lang w:eastAsia="en-US"/>
              </w:rPr>
              <w:t xml:space="preserve">due to the </w:t>
            </w:r>
            <w:r w:rsidRPr="002056FA">
              <w:rPr>
                <w:rFonts w:eastAsia="Calibri"/>
                <w:iCs/>
                <w:color w:val="000000"/>
                <w:lang w:eastAsia="en-US"/>
              </w:rPr>
              <w:t>augmentation</w:t>
            </w:r>
            <w:r w:rsidRPr="002056FA">
              <w:rPr>
                <w:rFonts w:eastAsia="Calibri"/>
                <w:color w:val="000000"/>
                <w:lang w:eastAsia="en-US"/>
              </w:rPr>
              <w:t xml:space="preserve">, extension, development of the </w:t>
            </w:r>
            <w:r w:rsidRPr="002056FA">
              <w:rPr>
                <w:rFonts w:eastAsia="Calibri"/>
                <w:iCs/>
                <w:color w:val="000000"/>
                <w:lang w:eastAsia="en-US"/>
              </w:rPr>
              <w:t>network</w:t>
            </w:r>
            <w:r w:rsidRPr="002056FA">
              <w:rPr>
                <w:rFonts w:eastAsia="Calibri"/>
                <w:color w:val="000000"/>
                <w:lang w:eastAsia="en-US"/>
              </w:rPr>
              <w:t xml:space="preserve">; and </w:t>
            </w:r>
          </w:p>
        </w:tc>
        <w:tc>
          <w:tcPr>
            <w:tcW w:w="0" w:type="auto"/>
            <w:shd w:val="clear" w:color="auto" w:fill="auto"/>
          </w:tcPr>
          <w:p w14:paraId="77D8E720" w14:textId="77777777" w:rsidR="009F2CDD" w:rsidRPr="002056FA" w:rsidRDefault="009F2CDD" w:rsidP="00E169B4">
            <w:pPr>
              <w:pStyle w:val="TableCopy"/>
              <w:rPr>
                <w:rFonts w:eastAsia="Calibri"/>
                <w:lang w:eastAsia="en-US"/>
              </w:rPr>
            </w:pPr>
            <w:r>
              <w:rPr>
                <w:rFonts w:eastAsia="Calibri"/>
                <w:lang w:eastAsia="en-US"/>
              </w:rPr>
              <w:t>Refer to ‘</w:t>
            </w:r>
            <w:r w:rsidRPr="002056FA">
              <w:rPr>
                <w:rFonts w:eastAsia="Calibri"/>
                <w:lang w:eastAsia="en-US"/>
              </w:rPr>
              <w:t>Rep</w:t>
            </w:r>
            <w:r>
              <w:rPr>
                <w:rFonts w:eastAsia="Calibri"/>
                <w:lang w:eastAsia="en-US"/>
              </w:rPr>
              <w:t xml:space="preserve">ex Model Supporting Information’ document </w:t>
            </w:r>
            <w:r w:rsidRPr="004E1737">
              <w:rPr>
                <w:rFonts w:eastAsia="Calibri"/>
                <w:lang w:eastAsia="en-US"/>
              </w:rPr>
              <w:t xml:space="preserve">(Attachment </w:t>
            </w:r>
            <w:r>
              <w:rPr>
                <w:rFonts w:eastAsia="Calibri"/>
                <w:lang w:eastAsia="en-US"/>
              </w:rPr>
              <w:t>17.029</w:t>
            </w:r>
            <w:r w:rsidRPr="004E1737">
              <w:rPr>
                <w:rFonts w:eastAsia="Calibri"/>
                <w:lang w:eastAsia="en-US"/>
              </w:rPr>
              <w:t>)</w:t>
            </w:r>
            <w:r w:rsidRPr="002056FA">
              <w:rPr>
                <w:rFonts w:eastAsia="Calibri"/>
                <w:lang w:eastAsia="en-US"/>
              </w:rPr>
              <w:t xml:space="preserve"> section 2.2.3. </w:t>
            </w:r>
          </w:p>
        </w:tc>
      </w:tr>
      <w:tr w:rsidR="009F2CDD" w:rsidRPr="002056FA" w14:paraId="5D692DAA" w14:textId="77777777" w:rsidTr="00E169B4">
        <w:tc>
          <w:tcPr>
            <w:tcW w:w="0" w:type="auto"/>
            <w:tcBorders>
              <w:bottom w:val="single" w:sz="4" w:space="0" w:color="auto"/>
            </w:tcBorders>
            <w:shd w:val="clear" w:color="auto" w:fill="auto"/>
          </w:tcPr>
          <w:p w14:paraId="27928C4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5.1(a)(ii)(D) </w:t>
            </w:r>
          </w:p>
        </w:tc>
        <w:tc>
          <w:tcPr>
            <w:tcW w:w="0" w:type="auto"/>
            <w:tcBorders>
              <w:bottom w:val="single" w:sz="4" w:space="0" w:color="auto"/>
            </w:tcBorders>
            <w:shd w:val="clear" w:color="auto" w:fill="auto"/>
          </w:tcPr>
          <w:p w14:paraId="3C1D351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additional </w:t>
            </w:r>
            <w:r w:rsidRPr="002056FA">
              <w:rPr>
                <w:rFonts w:eastAsia="Calibri"/>
                <w:iCs/>
                <w:color w:val="000000"/>
                <w:lang w:eastAsia="en-US"/>
              </w:rPr>
              <w:t xml:space="preserve">assets </w:t>
            </w:r>
            <w:r w:rsidRPr="002056FA">
              <w:rPr>
                <w:rFonts w:eastAsia="Calibri"/>
                <w:color w:val="000000"/>
                <w:lang w:eastAsia="en-US"/>
              </w:rPr>
              <w:t xml:space="preserve">due to other factors (and a description of those factors). </w:t>
            </w:r>
          </w:p>
        </w:tc>
        <w:tc>
          <w:tcPr>
            <w:tcW w:w="0" w:type="auto"/>
            <w:tcBorders>
              <w:bottom w:val="single" w:sz="4" w:space="0" w:color="auto"/>
            </w:tcBorders>
            <w:shd w:val="clear" w:color="auto" w:fill="auto"/>
          </w:tcPr>
          <w:p w14:paraId="478AD2BA" w14:textId="77777777" w:rsidR="009F2CDD" w:rsidRPr="002056FA" w:rsidRDefault="009F2CDD" w:rsidP="00E169B4">
            <w:pPr>
              <w:pStyle w:val="TableCopy"/>
              <w:rPr>
                <w:rFonts w:eastAsia="Calibri"/>
                <w:lang w:eastAsia="en-US"/>
              </w:rPr>
            </w:pPr>
            <w:r w:rsidRPr="002056FA">
              <w:rPr>
                <w:rFonts w:eastAsia="Calibri"/>
                <w:lang w:eastAsia="en-US"/>
              </w:rPr>
              <w:t>In replacing assets, Energex is likely to use different technology and modern equipment relative to the original design of the asset being replaced. However</w:t>
            </w:r>
            <w:r>
              <w:rPr>
                <w:rFonts w:eastAsia="Calibri"/>
                <w:lang w:eastAsia="en-US"/>
              </w:rPr>
              <w:t>,</w:t>
            </w:r>
            <w:r w:rsidRPr="002056FA">
              <w:rPr>
                <w:rFonts w:eastAsia="Calibri"/>
                <w:lang w:eastAsia="en-US"/>
              </w:rPr>
              <w:t xml:space="preserve"> the asset would still perform the same function. In some cases, Energex’s network standards may require a different standard or design compared to the asset being replaced. </w:t>
            </w:r>
          </w:p>
          <w:p w14:paraId="33C310D3" w14:textId="77777777" w:rsidR="009F2CDD" w:rsidRPr="002056FA" w:rsidRDefault="009F2CDD" w:rsidP="00E169B4">
            <w:pPr>
              <w:pStyle w:val="TableCopy"/>
              <w:rPr>
                <w:rFonts w:eastAsia="Calibri"/>
                <w:lang w:eastAsia="en-US"/>
              </w:rPr>
            </w:pPr>
            <w:r w:rsidRPr="002056FA">
              <w:rPr>
                <w:rFonts w:eastAsia="Calibri"/>
                <w:lang w:eastAsia="en-US"/>
              </w:rPr>
              <w:t>Refer to response to 4.5(b)(iv) whereby the LV Network Safety strategic proposal discusses introduction of additional assets to address safety risks as well as enable life extension of existing assets.</w:t>
            </w:r>
          </w:p>
        </w:tc>
      </w:tr>
      <w:tr w:rsidR="009F2CDD" w:rsidRPr="002056FA" w14:paraId="19460178" w14:textId="77777777" w:rsidTr="00E169B4">
        <w:tc>
          <w:tcPr>
            <w:tcW w:w="0" w:type="auto"/>
            <w:shd w:val="clear" w:color="auto" w:fill="D0CECE" w:themeFill="background2" w:themeFillShade="E6"/>
          </w:tcPr>
          <w:p w14:paraId="2709C9BF" w14:textId="77777777" w:rsidR="009F2CDD" w:rsidRPr="002056FA" w:rsidRDefault="009F2CDD" w:rsidP="00E169B4">
            <w:pPr>
              <w:pStyle w:val="TableCopy"/>
              <w:rPr>
                <w:rFonts w:eastAsia="Calibri"/>
                <w:lang w:eastAsia="en-US"/>
              </w:rPr>
            </w:pPr>
            <w:r w:rsidRPr="002056FA">
              <w:rPr>
                <w:rFonts w:eastAsia="Calibri"/>
                <w:lang w:eastAsia="en-US"/>
              </w:rPr>
              <w:t>5.1(b)</w:t>
            </w:r>
          </w:p>
        </w:tc>
        <w:tc>
          <w:tcPr>
            <w:tcW w:w="0" w:type="auto"/>
            <w:shd w:val="clear" w:color="auto" w:fill="D0CECE" w:themeFill="background2" w:themeFillShade="E6"/>
          </w:tcPr>
          <w:p w14:paraId="3D8D68F2" w14:textId="77777777" w:rsidR="009F2CDD" w:rsidRPr="002056FA" w:rsidRDefault="009F2CDD" w:rsidP="00E169B4">
            <w:pPr>
              <w:pStyle w:val="TableCopy"/>
              <w:rPr>
                <w:rFonts w:eastAsia="Calibri"/>
                <w:lang w:eastAsia="en-US"/>
              </w:rPr>
            </w:pPr>
            <w:r w:rsidRPr="002056FA">
              <w:rPr>
                <w:rFonts w:eastAsia="Calibri"/>
                <w:lang w:eastAsia="en-US"/>
              </w:rPr>
              <w:t>For the previous, current and forthcoming regulatory control periods, explain the drivers or factors that have changed network replacement expenditure requirements. Identify and quantify the relative effect of individual matters within the following categories:</w:t>
            </w:r>
          </w:p>
        </w:tc>
        <w:tc>
          <w:tcPr>
            <w:tcW w:w="0" w:type="auto"/>
            <w:shd w:val="clear" w:color="auto" w:fill="D0CECE" w:themeFill="background2" w:themeFillShade="E6"/>
          </w:tcPr>
          <w:p w14:paraId="74FFED78" w14:textId="77777777" w:rsidR="009F2CDD" w:rsidRPr="002056FA" w:rsidRDefault="009F2CDD" w:rsidP="00E169B4">
            <w:pPr>
              <w:pStyle w:val="TableCopy"/>
              <w:rPr>
                <w:rFonts w:eastAsia="Calibri"/>
                <w:lang w:eastAsia="en-US"/>
              </w:rPr>
            </w:pPr>
          </w:p>
        </w:tc>
      </w:tr>
      <w:tr w:rsidR="009F2CDD" w:rsidRPr="002056FA" w14:paraId="74635022" w14:textId="77777777" w:rsidTr="00E169B4">
        <w:tc>
          <w:tcPr>
            <w:tcW w:w="0" w:type="auto"/>
            <w:shd w:val="clear" w:color="auto" w:fill="auto"/>
          </w:tcPr>
          <w:p w14:paraId="2DB3093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5.1(b)(i) </w:t>
            </w:r>
          </w:p>
        </w:tc>
        <w:tc>
          <w:tcPr>
            <w:tcW w:w="0" w:type="auto"/>
            <w:shd w:val="clear" w:color="auto" w:fill="auto"/>
          </w:tcPr>
          <w:p w14:paraId="4875A52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rules, codes, licence conditions, statutory requirements; </w:t>
            </w:r>
          </w:p>
        </w:tc>
        <w:tc>
          <w:tcPr>
            <w:tcW w:w="0" w:type="auto"/>
            <w:shd w:val="clear" w:color="auto" w:fill="auto"/>
          </w:tcPr>
          <w:p w14:paraId="644C9929" w14:textId="77777777" w:rsidR="009F2CDD" w:rsidRPr="002056FA" w:rsidRDefault="009F2CDD" w:rsidP="00E169B4">
            <w:pPr>
              <w:pStyle w:val="TableCopy"/>
              <w:rPr>
                <w:rFonts w:eastAsia="Calibri"/>
                <w:lang w:eastAsia="en-US"/>
              </w:rPr>
            </w:pPr>
            <w:r>
              <w:rPr>
                <w:rFonts w:eastAsia="Calibri"/>
                <w:lang w:eastAsia="en-US"/>
              </w:rPr>
              <w:t>Refer to Chapter 7 of our</w:t>
            </w:r>
            <w:r w:rsidRPr="002056FA">
              <w:rPr>
                <w:rFonts w:eastAsia="Calibri"/>
                <w:lang w:eastAsia="en-US"/>
              </w:rPr>
              <w:t xml:space="preserve"> Regulatory Proposal for a description of the drivers and factors that have impacted capex (including network replacement expenditure requirements).  </w:t>
            </w:r>
          </w:p>
          <w:p w14:paraId="699CA03F" w14:textId="77777777" w:rsidR="009F2CDD" w:rsidRPr="002056FA" w:rsidRDefault="009F2CDD" w:rsidP="00E169B4">
            <w:pPr>
              <w:pStyle w:val="TableCopy"/>
              <w:rPr>
                <w:rFonts w:eastAsia="Calibri"/>
                <w:lang w:eastAsia="en-US"/>
              </w:rPr>
            </w:pPr>
            <w:r w:rsidRPr="002056FA">
              <w:rPr>
                <w:rFonts w:eastAsia="Calibri"/>
                <w:lang w:eastAsia="en-US"/>
              </w:rPr>
              <w:t>Replacement capital expenditure has also been sub-categorised within the capex chapter of the regulatory proposal as follows:</w:t>
            </w:r>
          </w:p>
          <w:p w14:paraId="38BC6F5F" w14:textId="77777777" w:rsidR="009F2CDD" w:rsidRPr="002056FA" w:rsidRDefault="009F2CDD" w:rsidP="00E169B4">
            <w:pPr>
              <w:pStyle w:val="TableCopy"/>
              <w:rPr>
                <w:rFonts w:eastAsia="Calibri"/>
                <w:lang w:eastAsia="en-US"/>
              </w:rPr>
            </w:pPr>
            <w:r w:rsidRPr="002056FA">
              <w:rPr>
                <w:rFonts w:eastAsia="Calibri"/>
                <w:lang w:eastAsia="en-US"/>
              </w:rPr>
              <w:t>Condition and risk – proactive replac</w:t>
            </w:r>
            <w:r>
              <w:rPr>
                <w:rFonts w:eastAsia="Calibri"/>
                <w:lang w:eastAsia="en-US"/>
              </w:rPr>
              <w:t xml:space="preserve">ement of high risk assets which </w:t>
            </w:r>
            <w:r w:rsidRPr="002056FA">
              <w:rPr>
                <w:rFonts w:eastAsia="Calibri"/>
                <w:lang w:eastAsia="en-US"/>
              </w:rPr>
              <w:t>have been identified as approaching the end of their lifecycle.</w:t>
            </w:r>
          </w:p>
          <w:p w14:paraId="30096B3A" w14:textId="77777777" w:rsidR="009F2CDD" w:rsidRPr="002056FA" w:rsidRDefault="009F2CDD" w:rsidP="00E169B4">
            <w:pPr>
              <w:pStyle w:val="TableCopy"/>
              <w:rPr>
                <w:rFonts w:eastAsia="Calibri"/>
                <w:lang w:eastAsia="en-US"/>
              </w:rPr>
            </w:pPr>
            <w:r w:rsidRPr="002056FA">
              <w:rPr>
                <w:rFonts w:eastAsia="Calibri"/>
                <w:lang w:eastAsia="en-US"/>
              </w:rPr>
              <w:t xml:space="preserve">Reactive – replacement projects and programs driven predominately by inspection and in-service failure. </w:t>
            </w:r>
          </w:p>
        </w:tc>
      </w:tr>
      <w:tr w:rsidR="009F2CDD" w:rsidRPr="002056FA" w14:paraId="01B8E4AC" w14:textId="77777777" w:rsidTr="00E169B4">
        <w:tc>
          <w:tcPr>
            <w:tcW w:w="0" w:type="auto"/>
            <w:shd w:val="clear" w:color="auto" w:fill="auto"/>
          </w:tcPr>
          <w:p w14:paraId="21060DC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5.1(b)(ii) </w:t>
            </w:r>
          </w:p>
        </w:tc>
        <w:tc>
          <w:tcPr>
            <w:tcW w:w="0" w:type="auto"/>
            <w:shd w:val="clear" w:color="auto" w:fill="auto"/>
          </w:tcPr>
          <w:p w14:paraId="004C6F9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internal planning and </w:t>
            </w:r>
            <w:r w:rsidRPr="002056FA">
              <w:rPr>
                <w:rFonts w:eastAsia="Calibri"/>
                <w:iCs/>
                <w:color w:val="000000"/>
                <w:lang w:eastAsia="en-US"/>
              </w:rPr>
              <w:t xml:space="preserve">asset </w:t>
            </w:r>
            <w:r w:rsidRPr="002056FA">
              <w:rPr>
                <w:rFonts w:eastAsia="Calibri"/>
                <w:color w:val="000000"/>
                <w:lang w:eastAsia="en-US"/>
              </w:rPr>
              <w:t xml:space="preserve">management approaches; </w:t>
            </w:r>
          </w:p>
        </w:tc>
        <w:tc>
          <w:tcPr>
            <w:tcW w:w="0" w:type="auto"/>
            <w:shd w:val="clear" w:color="auto" w:fill="auto"/>
          </w:tcPr>
          <w:p w14:paraId="0F614F25" w14:textId="77777777" w:rsidR="009F2CDD" w:rsidRPr="002056FA" w:rsidRDefault="009F2CDD" w:rsidP="00E169B4">
            <w:pPr>
              <w:pStyle w:val="TableCopy"/>
              <w:rPr>
                <w:rFonts w:eastAsia="Calibri"/>
                <w:lang w:eastAsia="en-US"/>
              </w:rPr>
            </w:pPr>
            <w:r w:rsidRPr="002056FA">
              <w:rPr>
                <w:rFonts w:eastAsia="Calibri"/>
                <w:lang w:eastAsia="en-US"/>
              </w:rPr>
              <w:t xml:space="preserve">Refer to the </w:t>
            </w:r>
            <w:r w:rsidRPr="00D37121">
              <w:rPr>
                <w:rFonts w:eastAsia="Calibri"/>
                <w:lang w:eastAsia="en-US"/>
              </w:rPr>
              <w:t xml:space="preserve">Chapter </w:t>
            </w:r>
            <w:r>
              <w:rPr>
                <w:rFonts w:eastAsia="Calibri"/>
                <w:lang w:eastAsia="en-US"/>
              </w:rPr>
              <w:t>7</w:t>
            </w:r>
            <w:r w:rsidRPr="00D37121">
              <w:rPr>
                <w:rFonts w:eastAsia="Calibri"/>
                <w:lang w:eastAsia="en-US"/>
              </w:rPr>
              <w:t xml:space="preserve"> of</w:t>
            </w:r>
            <w:r>
              <w:rPr>
                <w:rFonts w:eastAsia="Calibri"/>
                <w:lang w:eastAsia="en-US"/>
              </w:rPr>
              <w:t xml:space="preserve"> our</w:t>
            </w:r>
            <w:r w:rsidRPr="002056FA">
              <w:rPr>
                <w:rFonts w:eastAsia="Calibri"/>
                <w:lang w:eastAsia="en-US"/>
              </w:rPr>
              <w:t xml:space="preserve"> Regulatory Proposal.</w:t>
            </w:r>
          </w:p>
          <w:p w14:paraId="2325F1C5" w14:textId="77777777" w:rsidR="009F2CDD" w:rsidRPr="002056FA" w:rsidRDefault="009F2CDD" w:rsidP="00E169B4">
            <w:pPr>
              <w:pStyle w:val="TableCopy"/>
              <w:rPr>
                <w:rFonts w:eastAsia="Calibri"/>
                <w:lang w:eastAsia="en-US"/>
              </w:rPr>
            </w:pPr>
            <w:r w:rsidRPr="002056FA">
              <w:rPr>
                <w:rFonts w:eastAsia="Calibri"/>
                <w:lang w:eastAsia="en-US"/>
              </w:rPr>
              <w:t xml:space="preserve">Energex’s Asset Management Plans provide further detail on the main drivers of replacement by asset </w:t>
            </w:r>
            <w:r w:rsidRPr="004E1737">
              <w:rPr>
                <w:rFonts w:eastAsia="Calibri"/>
                <w:lang w:eastAsia="en-US"/>
              </w:rPr>
              <w:t xml:space="preserve">category (Attachments </w:t>
            </w:r>
            <w:r>
              <w:rPr>
                <w:rFonts w:eastAsia="Calibri"/>
                <w:lang w:eastAsia="en-US"/>
              </w:rPr>
              <w:t>7.001</w:t>
            </w:r>
            <w:r w:rsidRPr="004E1737">
              <w:rPr>
                <w:rFonts w:eastAsia="Calibri"/>
                <w:lang w:eastAsia="en-US"/>
              </w:rPr>
              <w:t xml:space="preserve"> to </w:t>
            </w:r>
            <w:r>
              <w:rPr>
                <w:rFonts w:eastAsia="Calibri"/>
                <w:lang w:eastAsia="en-US"/>
              </w:rPr>
              <w:t>7.044</w:t>
            </w:r>
            <w:r w:rsidRPr="004E1737">
              <w:rPr>
                <w:rFonts w:eastAsia="Calibri"/>
                <w:lang w:eastAsia="en-US"/>
              </w:rPr>
              <w:t>).</w:t>
            </w:r>
          </w:p>
        </w:tc>
      </w:tr>
      <w:tr w:rsidR="009F2CDD" w:rsidRPr="002056FA" w14:paraId="2851D71B" w14:textId="77777777" w:rsidTr="00E169B4">
        <w:tc>
          <w:tcPr>
            <w:tcW w:w="0" w:type="auto"/>
            <w:shd w:val="clear" w:color="auto" w:fill="auto"/>
          </w:tcPr>
          <w:p w14:paraId="2D2958D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5.1(b)(iii) </w:t>
            </w:r>
          </w:p>
        </w:tc>
        <w:tc>
          <w:tcPr>
            <w:tcW w:w="0" w:type="auto"/>
            <w:shd w:val="clear" w:color="auto" w:fill="auto"/>
          </w:tcPr>
          <w:p w14:paraId="2641754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measurable </w:t>
            </w:r>
            <w:r w:rsidRPr="002056FA">
              <w:rPr>
                <w:rFonts w:eastAsia="Calibri"/>
                <w:iCs/>
                <w:color w:val="000000"/>
                <w:lang w:eastAsia="en-US"/>
              </w:rPr>
              <w:t xml:space="preserve">asset </w:t>
            </w:r>
            <w:r w:rsidRPr="002056FA">
              <w:rPr>
                <w:rFonts w:eastAsia="Calibri"/>
                <w:color w:val="000000"/>
                <w:lang w:eastAsia="en-US"/>
              </w:rPr>
              <w:t xml:space="preserve">factors that affect the need for expenditure in this category (e.g. age profiles, risk profiles, condition trend, etc.). Identify and quantify individual factors; </w:t>
            </w:r>
          </w:p>
        </w:tc>
        <w:tc>
          <w:tcPr>
            <w:tcW w:w="0" w:type="auto"/>
            <w:shd w:val="clear" w:color="auto" w:fill="auto"/>
          </w:tcPr>
          <w:p w14:paraId="383D722C" w14:textId="77777777" w:rsidR="009F2CDD" w:rsidRPr="002056FA" w:rsidRDefault="009F2CDD" w:rsidP="00E169B4">
            <w:pPr>
              <w:pStyle w:val="TableCopy"/>
              <w:rPr>
                <w:rFonts w:eastAsia="Calibri"/>
                <w:lang w:eastAsia="en-US"/>
              </w:rPr>
            </w:pPr>
            <w:r w:rsidRPr="002056FA">
              <w:rPr>
                <w:rFonts w:eastAsia="Calibri"/>
                <w:lang w:eastAsia="en-US"/>
              </w:rPr>
              <w:t xml:space="preserve">Energex’s Asset Management Plans provide further detail on the main drivers of replacement by asset </w:t>
            </w:r>
            <w:r w:rsidRPr="004E1737">
              <w:rPr>
                <w:rFonts w:eastAsia="Calibri"/>
                <w:lang w:eastAsia="en-US"/>
              </w:rPr>
              <w:t>category (</w:t>
            </w:r>
            <w:r>
              <w:rPr>
                <w:rFonts w:eastAsia="Calibri"/>
                <w:lang w:eastAsia="en-US"/>
              </w:rPr>
              <w:t>Attachments 7.027</w:t>
            </w:r>
            <w:r w:rsidRPr="004E1737">
              <w:rPr>
                <w:rFonts w:eastAsia="Calibri"/>
                <w:lang w:eastAsia="en-US"/>
              </w:rPr>
              <w:t xml:space="preserve"> to </w:t>
            </w:r>
            <w:r>
              <w:rPr>
                <w:rFonts w:eastAsia="Calibri"/>
                <w:lang w:eastAsia="en-US"/>
              </w:rPr>
              <w:t>7.044</w:t>
            </w:r>
            <w:r w:rsidRPr="004E1737">
              <w:rPr>
                <w:rFonts w:eastAsia="Calibri"/>
                <w:lang w:eastAsia="en-US"/>
              </w:rPr>
              <w:t>).</w:t>
            </w:r>
          </w:p>
        </w:tc>
      </w:tr>
      <w:tr w:rsidR="009F2CDD" w:rsidRPr="002056FA" w14:paraId="79D5D41B" w14:textId="77777777" w:rsidTr="00E169B4">
        <w:tc>
          <w:tcPr>
            <w:tcW w:w="0" w:type="auto"/>
            <w:tcBorders>
              <w:bottom w:val="single" w:sz="4" w:space="0" w:color="auto"/>
            </w:tcBorders>
            <w:shd w:val="clear" w:color="auto" w:fill="auto"/>
          </w:tcPr>
          <w:p w14:paraId="66B5E77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5.1(b)(iv) </w:t>
            </w:r>
          </w:p>
        </w:tc>
        <w:tc>
          <w:tcPr>
            <w:tcW w:w="0" w:type="auto"/>
            <w:tcBorders>
              <w:bottom w:val="single" w:sz="4" w:space="0" w:color="auto"/>
            </w:tcBorders>
            <w:shd w:val="clear" w:color="auto" w:fill="auto"/>
          </w:tcPr>
          <w:p w14:paraId="6B7DDD6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external factors that can be forecast and the outcome measured (e.g. demand growth, </w:t>
            </w:r>
            <w:r w:rsidRPr="002056FA">
              <w:rPr>
                <w:rFonts w:eastAsia="Calibri"/>
                <w:iCs/>
                <w:color w:val="000000"/>
                <w:lang w:eastAsia="en-US"/>
              </w:rPr>
              <w:t>customer numbers</w:t>
            </w:r>
            <w:r w:rsidRPr="002056FA">
              <w:rPr>
                <w:rFonts w:eastAsia="Calibri"/>
                <w:color w:val="000000"/>
                <w:lang w:eastAsia="en-US"/>
              </w:rPr>
              <w:t xml:space="preserve">) that affect the need for expenditure in this category. Identify and quantify individual factors, covering the forecasts and the outcome (external factors to be discussed here do not relate to changing obligations which are covered in paragraphs 11.3 and 11.8); </w:t>
            </w:r>
          </w:p>
        </w:tc>
        <w:tc>
          <w:tcPr>
            <w:tcW w:w="0" w:type="auto"/>
            <w:tcBorders>
              <w:bottom w:val="single" w:sz="4" w:space="0" w:color="auto"/>
            </w:tcBorders>
            <w:shd w:val="clear" w:color="auto" w:fill="auto"/>
          </w:tcPr>
          <w:p w14:paraId="56A4A1F2" w14:textId="77777777" w:rsidR="009F2CDD" w:rsidRPr="002056FA" w:rsidRDefault="009F2CDD" w:rsidP="00E169B4">
            <w:pPr>
              <w:pStyle w:val="TableCopy"/>
              <w:rPr>
                <w:rFonts w:eastAsia="Calibri"/>
                <w:lang w:eastAsia="en-US"/>
              </w:rPr>
            </w:pPr>
            <w:r w:rsidRPr="002056FA">
              <w:rPr>
                <w:rFonts w:eastAsia="Calibri"/>
                <w:lang w:eastAsia="en-US"/>
              </w:rPr>
              <w:t xml:space="preserve">Refer to the Asset Management Plans which provide further detail on the factors influencing </w:t>
            </w:r>
            <w:r w:rsidRPr="004E1737">
              <w:rPr>
                <w:rFonts w:eastAsia="Calibri"/>
                <w:lang w:eastAsia="en-US"/>
              </w:rPr>
              <w:t>replacement (</w:t>
            </w:r>
            <w:r>
              <w:rPr>
                <w:rFonts w:eastAsia="Calibri"/>
                <w:lang w:eastAsia="en-US"/>
              </w:rPr>
              <w:t>Attachments 7.027</w:t>
            </w:r>
            <w:r w:rsidRPr="004E1737">
              <w:rPr>
                <w:rFonts w:eastAsia="Calibri"/>
                <w:lang w:eastAsia="en-US"/>
              </w:rPr>
              <w:t xml:space="preserve"> to </w:t>
            </w:r>
            <w:r>
              <w:rPr>
                <w:rFonts w:eastAsia="Calibri"/>
                <w:lang w:eastAsia="en-US"/>
              </w:rPr>
              <w:t>7.044</w:t>
            </w:r>
            <w:r w:rsidRPr="004E1737">
              <w:rPr>
                <w:rFonts w:eastAsia="Calibri"/>
                <w:lang w:eastAsia="en-US"/>
              </w:rPr>
              <w:t>)</w:t>
            </w:r>
          </w:p>
          <w:p w14:paraId="04E5AACB" w14:textId="77777777" w:rsidR="009F2CDD" w:rsidRPr="002056FA" w:rsidRDefault="009F2CDD" w:rsidP="00E169B4">
            <w:pPr>
              <w:pStyle w:val="TableCopy"/>
              <w:rPr>
                <w:rFonts w:eastAsia="Calibri"/>
                <w:lang w:eastAsia="en-US"/>
              </w:rPr>
            </w:pPr>
          </w:p>
        </w:tc>
      </w:tr>
      <w:tr w:rsidR="009F2CDD" w:rsidRPr="002056FA" w14:paraId="27824D8D" w14:textId="77777777" w:rsidTr="00E169B4">
        <w:tc>
          <w:tcPr>
            <w:tcW w:w="0" w:type="auto"/>
            <w:shd w:val="clear" w:color="auto" w:fill="D0CECE" w:themeFill="background2" w:themeFillShade="E6"/>
          </w:tcPr>
          <w:p w14:paraId="1B37100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5.1(b)(v)</w:t>
            </w:r>
          </w:p>
        </w:tc>
        <w:tc>
          <w:tcPr>
            <w:tcW w:w="0" w:type="auto"/>
            <w:shd w:val="clear" w:color="auto" w:fill="D0CECE" w:themeFill="background2" w:themeFillShade="E6"/>
          </w:tcPr>
          <w:p w14:paraId="2A6E14D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technology/solutions to address needs, covering:</w:t>
            </w:r>
          </w:p>
        </w:tc>
        <w:tc>
          <w:tcPr>
            <w:tcW w:w="0" w:type="auto"/>
            <w:shd w:val="clear" w:color="auto" w:fill="D0CECE" w:themeFill="background2" w:themeFillShade="E6"/>
          </w:tcPr>
          <w:p w14:paraId="5C223619" w14:textId="77777777" w:rsidR="009F2CDD" w:rsidRPr="002056FA" w:rsidRDefault="009F2CDD" w:rsidP="00E169B4">
            <w:pPr>
              <w:pStyle w:val="TableCopy"/>
              <w:rPr>
                <w:rFonts w:eastAsia="Calibri"/>
                <w:lang w:eastAsia="en-US"/>
              </w:rPr>
            </w:pPr>
          </w:p>
        </w:tc>
      </w:tr>
      <w:tr w:rsidR="009F2CDD" w:rsidRPr="002056FA" w14:paraId="1F40D3F1" w14:textId="77777777" w:rsidTr="00E169B4">
        <w:tc>
          <w:tcPr>
            <w:tcW w:w="0" w:type="auto"/>
            <w:shd w:val="clear" w:color="auto" w:fill="auto"/>
          </w:tcPr>
          <w:p w14:paraId="4CE5E659" w14:textId="77777777" w:rsidR="009F2CDD" w:rsidRPr="002056FA" w:rsidRDefault="009F2CDD" w:rsidP="00E169B4">
            <w:pPr>
              <w:pStyle w:val="TableCopy"/>
              <w:rPr>
                <w:rFonts w:eastAsia="Calibri"/>
                <w:lang w:eastAsia="en-US"/>
              </w:rPr>
            </w:pPr>
            <w:r w:rsidRPr="002056FA">
              <w:rPr>
                <w:rFonts w:eastAsia="Calibri"/>
                <w:lang w:eastAsia="en-US"/>
              </w:rPr>
              <w:t xml:space="preserve">5.1(b)(v)(A) </w:t>
            </w:r>
          </w:p>
        </w:tc>
        <w:tc>
          <w:tcPr>
            <w:tcW w:w="0" w:type="auto"/>
            <w:shd w:val="clear" w:color="auto" w:fill="auto"/>
          </w:tcPr>
          <w:p w14:paraId="2AC2D327" w14:textId="77777777" w:rsidR="009F2CDD" w:rsidRPr="002056FA" w:rsidRDefault="009F2CDD" w:rsidP="00E169B4">
            <w:pPr>
              <w:pStyle w:val="TableCopy"/>
              <w:rPr>
                <w:rFonts w:eastAsia="Calibri"/>
                <w:lang w:eastAsia="en-US"/>
              </w:rPr>
            </w:pPr>
            <w:r w:rsidRPr="002056FA">
              <w:rPr>
                <w:rFonts w:eastAsia="Calibri"/>
                <w:lang w:eastAsia="en-US"/>
              </w:rPr>
              <w:t xml:space="preserve">network; and </w:t>
            </w:r>
          </w:p>
        </w:tc>
        <w:tc>
          <w:tcPr>
            <w:tcW w:w="0" w:type="auto"/>
            <w:shd w:val="clear" w:color="auto" w:fill="auto"/>
          </w:tcPr>
          <w:p w14:paraId="0F2B4B73" w14:textId="77777777" w:rsidR="009F2CDD" w:rsidRPr="002056FA" w:rsidRDefault="009F2CDD" w:rsidP="00E169B4">
            <w:pPr>
              <w:pStyle w:val="TableCopy"/>
              <w:rPr>
                <w:rFonts w:eastAsia="Calibri"/>
                <w:lang w:eastAsia="en-US"/>
              </w:rPr>
            </w:pPr>
            <w:r w:rsidRPr="00FE7C5E">
              <w:rPr>
                <w:rFonts w:eastAsia="Calibri"/>
                <w:lang w:eastAsia="en-US"/>
              </w:rPr>
              <w:t xml:space="preserve">Chapter </w:t>
            </w:r>
            <w:r>
              <w:rPr>
                <w:rFonts w:eastAsia="Calibri"/>
                <w:lang w:eastAsia="en-US"/>
              </w:rPr>
              <w:t>7 of our</w:t>
            </w:r>
            <w:r w:rsidRPr="00FE7C5E">
              <w:rPr>
                <w:rFonts w:eastAsia="Calibri"/>
                <w:lang w:eastAsia="en-US"/>
              </w:rPr>
              <w:t xml:space="preserve"> Regulatory Proposal notes that some of Energex’s forecast replacement capex</w:t>
            </w:r>
            <w:r w:rsidRPr="002056FA">
              <w:rPr>
                <w:rFonts w:eastAsia="Calibri"/>
                <w:lang w:eastAsia="en-US"/>
              </w:rPr>
              <w:t xml:space="preserve"> is driven by technical obsolescence, including where vendor or manufacturer support has been withdrawn and spares are exhausted. These issues particularly impact protection and control, and secondary systems assets where unavailability of support and/or spares can result in extended outages.</w:t>
            </w:r>
          </w:p>
          <w:p w14:paraId="0AFA2ACF" w14:textId="77777777" w:rsidR="009F2CDD" w:rsidRPr="002056FA" w:rsidRDefault="009F2CDD" w:rsidP="00E169B4">
            <w:pPr>
              <w:pStyle w:val="TableCopy"/>
              <w:rPr>
                <w:rFonts w:eastAsia="Calibri"/>
                <w:lang w:eastAsia="en-US"/>
              </w:rPr>
            </w:pPr>
            <w:r>
              <w:rPr>
                <w:rFonts w:eastAsia="Calibri"/>
                <w:lang w:eastAsia="en-US"/>
              </w:rPr>
              <w:t>For further information</w:t>
            </w:r>
            <w:r w:rsidRPr="002056FA">
              <w:rPr>
                <w:rFonts w:eastAsia="Calibri"/>
                <w:lang w:eastAsia="en-US"/>
              </w:rPr>
              <w:t xml:space="preserve"> refer to response to 4.5(b)(iv) whereby the LV Network Safety strategic proposal discusses use of technology to address safety risks as well as enable life extension of existing assets.</w:t>
            </w:r>
          </w:p>
          <w:p w14:paraId="3A490B3C" w14:textId="77777777" w:rsidR="009F2CDD" w:rsidRPr="002056FA" w:rsidRDefault="009F2CDD" w:rsidP="00E169B4">
            <w:pPr>
              <w:pStyle w:val="TableCopy"/>
              <w:rPr>
                <w:rFonts w:eastAsia="Calibri"/>
                <w:lang w:eastAsia="en-US"/>
              </w:rPr>
            </w:pPr>
            <w:r w:rsidRPr="002056FA">
              <w:rPr>
                <w:rFonts w:eastAsia="Calibri"/>
                <w:lang w:eastAsia="en-US"/>
              </w:rPr>
              <w:t xml:space="preserve">Energex’s Asset Management Plans also provide further detail on future technology considerations by asset </w:t>
            </w:r>
            <w:r w:rsidRPr="004E1737">
              <w:rPr>
                <w:rFonts w:eastAsia="Calibri"/>
                <w:lang w:eastAsia="en-US"/>
              </w:rPr>
              <w:t>category (</w:t>
            </w:r>
            <w:r>
              <w:rPr>
                <w:rFonts w:eastAsia="Calibri"/>
                <w:lang w:eastAsia="en-US"/>
              </w:rPr>
              <w:t>Attachments 7.027</w:t>
            </w:r>
            <w:r w:rsidRPr="004E1737">
              <w:rPr>
                <w:rFonts w:eastAsia="Calibri"/>
                <w:lang w:eastAsia="en-US"/>
              </w:rPr>
              <w:t xml:space="preserve"> to </w:t>
            </w:r>
            <w:r>
              <w:rPr>
                <w:rFonts w:eastAsia="Calibri"/>
                <w:lang w:eastAsia="en-US"/>
              </w:rPr>
              <w:t>7.044</w:t>
            </w:r>
            <w:r w:rsidRPr="004E1737">
              <w:rPr>
                <w:rFonts w:eastAsia="Calibri"/>
                <w:lang w:eastAsia="en-US"/>
              </w:rPr>
              <w:t>).</w:t>
            </w:r>
          </w:p>
        </w:tc>
      </w:tr>
      <w:tr w:rsidR="009F2CDD" w:rsidRPr="002056FA" w14:paraId="39E0D57D" w14:textId="77777777" w:rsidTr="00E169B4">
        <w:tc>
          <w:tcPr>
            <w:tcW w:w="0" w:type="auto"/>
            <w:shd w:val="clear" w:color="auto" w:fill="auto"/>
          </w:tcPr>
          <w:p w14:paraId="150F818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5.1(b)(v)(B) </w:t>
            </w:r>
          </w:p>
        </w:tc>
        <w:tc>
          <w:tcPr>
            <w:tcW w:w="0" w:type="auto"/>
            <w:shd w:val="clear" w:color="auto" w:fill="auto"/>
          </w:tcPr>
          <w:p w14:paraId="0EE985C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non-network. </w:t>
            </w:r>
          </w:p>
        </w:tc>
        <w:tc>
          <w:tcPr>
            <w:tcW w:w="0" w:type="auto"/>
            <w:shd w:val="clear" w:color="auto" w:fill="auto"/>
          </w:tcPr>
          <w:p w14:paraId="2FBE7D7C" w14:textId="77777777" w:rsidR="009F2CDD" w:rsidRPr="002056FA" w:rsidRDefault="009F2CDD" w:rsidP="00E169B4">
            <w:pPr>
              <w:pStyle w:val="TableCopy"/>
              <w:rPr>
                <w:rFonts w:eastAsia="Calibri"/>
                <w:lang w:eastAsia="en-US"/>
              </w:rPr>
            </w:pPr>
            <w:r w:rsidRPr="002056FA">
              <w:rPr>
                <w:rFonts w:eastAsia="Calibri"/>
                <w:lang w:eastAsia="en-US"/>
              </w:rPr>
              <w:t xml:space="preserve">Energex </w:t>
            </w:r>
            <w:r>
              <w:rPr>
                <w:rFonts w:eastAsia="Calibri"/>
                <w:lang w:eastAsia="en-US"/>
              </w:rPr>
              <w:t>has</w:t>
            </w:r>
            <w:r w:rsidRPr="002056FA">
              <w:rPr>
                <w:rFonts w:eastAsia="Calibri"/>
                <w:lang w:eastAsia="en-US"/>
              </w:rPr>
              <w:t xml:space="preserve"> not identified a specific non-network solution for replacement projects in the forthcoming period. Further information on Energex’s approach to non-network solutions and demand management is found in the response to Question 8 of this table.  </w:t>
            </w:r>
          </w:p>
        </w:tc>
      </w:tr>
      <w:tr w:rsidR="009F2CDD" w:rsidRPr="002056FA" w14:paraId="398603C1" w14:textId="77777777" w:rsidTr="00E169B4">
        <w:tc>
          <w:tcPr>
            <w:tcW w:w="0" w:type="auto"/>
            <w:shd w:val="clear" w:color="auto" w:fill="auto"/>
          </w:tcPr>
          <w:p w14:paraId="016AF54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5.1(b)(vi) </w:t>
            </w:r>
          </w:p>
        </w:tc>
        <w:tc>
          <w:tcPr>
            <w:tcW w:w="0" w:type="auto"/>
            <w:shd w:val="clear" w:color="auto" w:fill="auto"/>
          </w:tcPr>
          <w:p w14:paraId="7F50689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any other significant matters. </w:t>
            </w:r>
          </w:p>
        </w:tc>
        <w:tc>
          <w:tcPr>
            <w:tcW w:w="0" w:type="auto"/>
            <w:shd w:val="clear" w:color="auto" w:fill="auto"/>
          </w:tcPr>
          <w:p w14:paraId="4AC9C48C" w14:textId="77777777" w:rsidR="009F2CDD" w:rsidRPr="002056FA" w:rsidRDefault="009F2CDD" w:rsidP="00E169B4">
            <w:pPr>
              <w:pStyle w:val="TableCopy"/>
              <w:rPr>
                <w:rFonts w:eastAsia="Calibri"/>
                <w:lang w:eastAsia="en-US"/>
              </w:rPr>
            </w:pPr>
            <w:r w:rsidRPr="002056FA">
              <w:rPr>
                <w:rFonts w:eastAsia="Calibri"/>
                <w:lang w:eastAsia="en-US"/>
              </w:rPr>
              <w:t xml:space="preserve">Energex </w:t>
            </w:r>
            <w:r>
              <w:rPr>
                <w:rFonts w:eastAsia="Calibri"/>
                <w:lang w:eastAsia="en-US"/>
              </w:rPr>
              <w:t>has</w:t>
            </w:r>
            <w:r w:rsidRPr="002056FA">
              <w:rPr>
                <w:rFonts w:eastAsia="Calibri"/>
                <w:lang w:eastAsia="en-US"/>
              </w:rPr>
              <w:t xml:space="preserve"> not identified any other significant matters. </w:t>
            </w:r>
          </w:p>
        </w:tc>
      </w:tr>
      <w:tr w:rsidR="009F2CDD" w:rsidRPr="002056FA" w14:paraId="57848899" w14:textId="77777777" w:rsidTr="00E169B4">
        <w:tc>
          <w:tcPr>
            <w:tcW w:w="0" w:type="auto"/>
            <w:tcBorders>
              <w:bottom w:val="single" w:sz="4" w:space="0" w:color="auto"/>
            </w:tcBorders>
            <w:shd w:val="clear" w:color="auto" w:fill="auto"/>
          </w:tcPr>
          <w:p w14:paraId="654AD53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5.1(b)(vii) </w:t>
            </w:r>
          </w:p>
        </w:tc>
        <w:tc>
          <w:tcPr>
            <w:tcW w:w="0" w:type="auto"/>
            <w:tcBorders>
              <w:bottom w:val="single" w:sz="4" w:space="0" w:color="auto"/>
            </w:tcBorders>
            <w:shd w:val="clear" w:color="auto" w:fill="auto"/>
          </w:tcPr>
          <w:p w14:paraId="02E33BA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Identify and provide information or documentation to justify and support any responses to paragraph 5.1(b) (i)-(vi). </w:t>
            </w:r>
          </w:p>
        </w:tc>
        <w:tc>
          <w:tcPr>
            <w:tcW w:w="0" w:type="auto"/>
            <w:tcBorders>
              <w:bottom w:val="single" w:sz="4" w:space="0" w:color="auto"/>
            </w:tcBorders>
            <w:shd w:val="clear" w:color="auto" w:fill="auto"/>
          </w:tcPr>
          <w:p w14:paraId="627391B6" w14:textId="77777777" w:rsidR="009F2CDD" w:rsidRPr="002056FA" w:rsidRDefault="009F2CDD" w:rsidP="00E169B4">
            <w:pPr>
              <w:pStyle w:val="TableCopy"/>
              <w:rPr>
                <w:rFonts w:eastAsia="Calibri"/>
                <w:lang w:eastAsia="en-US"/>
              </w:rPr>
            </w:pPr>
            <w:r w:rsidRPr="002056FA">
              <w:rPr>
                <w:rFonts w:eastAsia="Calibri"/>
                <w:lang w:eastAsia="en-US"/>
              </w:rPr>
              <w:t>Energex’s document register includes the following documents relevant to the questions above:</w:t>
            </w:r>
          </w:p>
          <w:p w14:paraId="06A9E77D" w14:textId="77777777" w:rsidR="009F2CDD" w:rsidRPr="002056FA" w:rsidRDefault="009F2CDD" w:rsidP="00E169B4">
            <w:pPr>
              <w:pStyle w:val="Bullet1"/>
              <w:rPr>
                <w:sz w:val="20"/>
                <w:szCs w:val="20"/>
              </w:rPr>
            </w:pPr>
            <w:r w:rsidRPr="002056FA">
              <w:rPr>
                <w:sz w:val="20"/>
                <w:szCs w:val="20"/>
              </w:rPr>
              <w:t xml:space="preserve">Regulatory Proposal document, Chapter </w:t>
            </w:r>
            <w:r>
              <w:rPr>
                <w:sz w:val="20"/>
                <w:szCs w:val="20"/>
              </w:rPr>
              <w:t>7</w:t>
            </w:r>
            <w:r w:rsidRPr="002056FA">
              <w:rPr>
                <w:sz w:val="20"/>
                <w:szCs w:val="20"/>
              </w:rPr>
              <w:t xml:space="preserve"> – Capital Expenditure</w:t>
            </w:r>
          </w:p>
          <w:p w14:paraId="3F224DE6" w14:textId="77777777" w:rsidR="009F2CDD" w:rsidRPr="002056FA" w:rsidRDefault="009F2CDD" w:rsidP="00E169B4">
            <w:pPr>
              <w:pStyle w:val="Bullet1"/>
              <w:rPr>
                <w:sz w:val="20"/>
                <w:szCs w:val="20"/>
              </w:rPr>
            </w:pPr>
            <w:r w:rsidRPr="002056FA">
              <w:rPr>
                <w:sz w:val="20"/>
                <w:szCs w:val="20"/>
              </w:rPr>
              <w:t xml:space="preserve">Strategic Asset Management </w:t>
            </w:r>
            <w:r w:rsidRPr="004E1737">
              <w:rPr>
                <w:sz w:val="20"/>
                <w:szCs w:val="20"/>
              </w:rPr>
              <w:t xml:space="preserve">Plan (Attachment </w:t>
            </w:r>
            <w:r>
              <w:rPr>
                <w:sz w:val="20"/>
                <w:szCs w:val="20"/>
              </w:rPr>
              <w:t>7.090</w:t>
            </w:r>
            <w:r w:rsidRPr="004E1737">
              <w:rPr>
                <w:sz w:val="20"/>
                <w:szCs w:val="20"/>
              </w:rPr>
              <w:t>)</w:t>
            </w:r>
            <w:r>
              <w:rPr>
                <w:sz w:val="20"/>
                <w:szCs w:val="20"/>
              </w:rPr>
              <w:t>,</w:t>
            </w:r>
            <w:r w:rsidRPr="004E1737">
              <w:rPr>
                <w:sz w:val="20"/>
                <w:szCs w:val="20"/>
              </w:rPr>
              <w:t xml:space="preserve"> and</w:t>
            </w:r>
          </w:p>
          <w:p w14:paraId="22133FD5" w14:textId="77777777" w:rsidR="009F2CDD" w:rsidRPr="002056FA" w:rsidRDefault="009F2CDD" w:rsidP="00E169B4">
            <w:pPr>
              <w:pStyle w:val="Bullet1"/>
            </w:pPr>
            <w:r w:rsidRPr="002056FA">
              <w:rPr>
                <w:sz w:val="20"/>
                <w:szCs w:val="20"/>
              </w:rPr>
              <w:t xml:space="preserve">Asset Management </w:t>
            </w:r>
            <w:r w:rsidRPr="004E1737">
              <w:rPr>
                <w:sz w:val="20"/>
                <w:szCs w:val="20"/>
              </w:rPr>
              <w:t xml:space="preserve">Plans (Attachments </w:t>
            </w:r>
            <w:r>
              <w:rPr>
                <w:sz w:val="20"/>
                <w:szCs w:val="20"/>
              </w:rPr>
              <w:t>7.027</w:t>
            </w:r>
            <w:r w:rsidRPr="004E1737">
              <w:rPr>
                <w:sz w:val="20"/>
                <w:szCs w:val="20"/>
              </w:rPr>
              <w:t xml:space="preserve"> </w:t>
            </w:r>
            <w:r>
              <w:rPr>
                <w:sz w:val="20"/>
                <w:szCs w:val="20"/>
              </w:rPr>
              <w:t>–</w:t>
            </w:r>
            <w:r w:rsidRPr="004E1737">
              <w:rPr>
                <w:sz w:val="20"/>
                <w:szCs w:val="20"/>
              </w:rPr>
              <w:t xml:space="preserve"> </w:t>
            </w:r>
            <w:r>
              <w:rPr>
                <w:sz w:val="20"/>
                <w:szCs w:val="20"/>
              </w:rPr>
              <w:t>7.044</w:t>
            </w:r>
            <w:r w:rsidRPr="004E1737">
              <w:rPr>
                <w:sz w:val="20"/>
                <w:szCs w:val="20"/>
              </w:rPr>
              <w:t>).</w:t>
            </w:r>
          </w:p>
        </w:tc>
      </w:tr>
      <w:tr w:rsidR="009F2CDD" w:rsidRPr="002056FA" w14:paraId="692D26B3" w14:textId="77777777" w:rsidTr="00E169B4">
        <w:tc>
          <w:tcPr>
            <w:tcW w:w="0" w:type="auto"/>
            <w:shd w:val="clear" w:color="auto" w:fill="D0CECE" w:themeFill="background2" w:themeFillShade="E6"/>
          </w:tcPr>
          <w:p w14:paraId="1279349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5.1(b) </w:t>
            </w:r>
          </w:p>
        </w:tc>
        <w:tc>
          <w:tcPr>
            <w:tcW w:w="0" w:type="auto"/>
            <w:shd w:val="clear" w:color="auto" w:fill="D0CECE" w:themeFill="background2" w:themeFillShade="E6"/>
          </w:tcPr>
          <w:p w14:paraId="4EE36AF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information provided in response to paragraph 5.1(b) above should at least distinguish between the </w:t>
            </w:r>
            <w:r w:rsidRPr="002056FA">
              <w:rPr>
                <w:rFonts w:eastAsia="Calibri"/>
                <w:iCs/>
                <w:color w:val="000000"/>
                <w:lang w:eastAsia="en-US"/>
              </w:rPr>
              <w:t xml:space="preserve">asset </w:t>
            </w:r>
            <w:r w:rsidRPr="002056FA">
              <w:rPr>
                <w:rFonts w:eastAsia="Calibri"/>
                <w:color w:val="000000"/>
                <w:lang w:eastAsia="en-US"/>
              </w:rPr>
              <w:t>categories listed in Workbook 1 – Regulatory determination, regulatory template 2.2.</w:t>
            </w:r>
          </w:p>
        </w:tc>
        <w:tc>
          <w:tcPr>
            <w:tcW w:w="0" w:type="auto"/>
            <w:shd w:val="clear" w:color="auto" w:fill="D0CECE" w:themeFill="background2" w:themeFillShade="E6"/>
          </w:tcPr>
          <w:p w14:paraId="058C0F21" w14:textId="77777777" w:rsidR="009F2CDD" w:rsidRPr="002056FA" w:rsidRDefault="009F2CDD" w:rsidP="00E169B4">
            <w:pPr>
              <w:pStyle w:val="TableCopy"/>
              <w:rPr>
                <w:rFonts w:eastAsia="Calibri"/>
                <w:color w:val="000000"/>
                <w:lang w:eastAsia="en-US"/>
              </w:rPr>
            </w:pPr>
          </w:p>
        </w:tc>
      </w:tr>
      <w:tr w:rsidR="009F2CDD" w:rsidRPr="002056FA" w14:paraId="00BD00F7" w14:textId="77777777" w:rsidTr="00E169B4">
        <w:tc>
          <w:tcPr>
            <w:tcW w:w="0" w:type="auto"/>
            <w:tcBorders>
              <w:bottom w:val="single" w:sz="4" w:space="0" w:color="auto"/>
            </w:tcBorders>
            <w:shd w:val="clear" w:color="auto" w:fill="D0CECE" w:themeFill="background2" w:themeFillShade="E6"/>
          </w:tcPr>
          <w:p w14:paraId="04328656"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6</w:t>
            </w:r>
          </w:p>
        </w:tc>
        <w:tc>
          <w:tcPr>
            <w:tcW w:w="0" w:type="auto"/>
            <w:tcBorders>
              <w:bottom w:val="single" w:sz="4" w:space="0" w:color="auto"/>
            </w:tcBorders>
            <w:shd w:val="clear" w:color="auto" w:fill="D0CECE" w:themeFill="background2" w:themeFillShade="E6"/>
          </w:tcPr>
          <w:p w14:paraId="21583489"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 xml:space="preserve">AUGMENTATION CAPITAL EXPENDITURE MODELLING </w:t>
            </w:r>
          </w:p>
        </w:tc>
        <w:tc>
          <w:tcPr>
            <w:tcW w:w="0" w:type="auto"/>
            <w:tcBorders>
              <w:bottom w:val="single" w:sz="4" w:space="0" w:color="auto"/>
            </w:tcBorders>
            <w:shd w:val="clear" w:color="auto" w:fill="D0CECE" w:themeFill="background2" w:themeFillShade="E6"/>
          </w:tcPr>
          <w:p w14:paraId="4FE43473" w14:textId="77777777" w:rsidR="009F2CDD" w:rsidRPr="002056FA" w:rsidRDefault="009F2CDD" w:rsidP="00E169B4">
            <w:pPr>
              <w:pStyle w:val="TableCopy"/>
              <w:rPr>
                <w:rFonts w:eastAsia="Calibri"/>
                <w:color w:val="000000"/>
                <w:lang w:eastAsia="en-US"/>
              </w:rPr>
            </w:pPr>
            <w:r w:rsidRPr="002056FA">
              <w:rPr>
                <w:rFonts w:eastAsia="Calibri"/>
                <w:b/>
                <w:bCs/>
                <w:color w:val="FFFFFF"/>
                <w:lang w:eastAsia="en-US"/>
              </w:rPr>
              <w:t> </w:t>
            </w:r>
          </w:p>
        </w:tc>
      </w:tr>
      <w:tr w:rsidR="009F2CDD" w:rsidRPr="002056FA" w14:paraId="211AA8E2" w14:textId="77777777" w:rsidTr="00E169B4">
        <w:tc>
          <w:tcPr>
            <w:tcW w:w="0" w:type="auto"/>
            <w:shd w:val="clear" w:color="auto" w:fill="D0CECE" w:themeFill="background2" w:themeFillShade="E6"/>
          </w:tcPr>
          <w:p w14:paraId="6DDAA76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6.1</w:t>
            </w:r>
          </w:p>
        </w:tc>
        <w:tc>
          <w:tcPr>
            <w:tcW w:w="0" w:type="auto"/>
            <w:shd w:val="clear" w:color="auto" w:fill="D0CECE" w:themeFill="background2" w:themeFillShade="E6"/>
          </w:tcPr>
          <w:p w14:paraId="7854B93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Any instructions in this notice relating to the augex model must be read in conjunction with the augex model guidance document available on the AER’s website (</w:t>
            </w:r>
            <w:hyperlink r:id="rId19" w:history="1">
              <w:r w:rsidRPr="002056FA">
                <w:rPr>
                  <w:rFonts w:eastAsia="Calibri"/>
                  <w:color w:val="000000"/>
                  <w:lang w:eastAsia="en-US"/>
                </w:rPr>
                <w:t>http://www.aer.gov.au/networks-pipelines/guidelines-schemes-models-reviews/expenditure-forecast-assessment-guideline/final-decision</w:t>
              </w:r>
            </w:hyperlink>
            <w:r w:rsidRPr="002056FA">
              <w:rPr>
                <w:rFonts w:eastAsia="Calibri"/>
                <w:color w:val="000000"/>
                <w:lang w:eastAsia="en-US"/>
              </w:rPr>
              <w:t>).</w:t>
            </w:r>
          </w:p>
        </w:tc>
        <w:tc>
          <w:tcPr>
            <w:tcW w:w="0" w:type="auto"/>
            <w:shd w:val="clear" w:color="auto" w:fill="D0CECE" w:themeFill="background2" w:themeFillShade="E6"/>
          </w:tcPr>
          <w:p w14:paraId="65524B2B" w14:textId="77777777" w:rsidR="009F2CDD" w:rsidRPr="002056FA" w:rsidRDefault="009F2CDD" w:rsidP="00E169B4">
            <w:pPr>
              <w:pStyle w:val="TableCopy"/>
              <w:rPr>
                <w:rFonts w:eastAsia="Calibri"/>
                <w:color w:val="000000"/>
                <w:lang w:eastAsia="en-US"/>
              </w:rPr>
            </w:pPr>
          </w:p>
        </w:tc>
      </w:tr>
      <w:tr w:rsidR="009F2CDD" w:rsidRPr="002056FA" w14:paraId="718A62FE" w14:textId="77777777" w:rsidTr="00E169B4">
        <w:tc>
          <w:tcPr>
            <w:tcW w:w="0" w:type="auto"/>
            <w:tcBorders>
              <w:bottom w:val="single" w:sz="4" w:space="0" w:color="auto"/>
            </w:tcBorders>
            <w:shd w:val="clear" w:color="auto" w:fill="D0CECE" w:themeFill="background2" w:themeFillShade="E6"/>
          </w:tcPr>
          <w:p w14:paraId="16CDAE0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6.2</w:t>
            </w:r>
          </w:p>
        </w:tc>
        <w:tc>
          <w:tcPr>
            <w:tcW w:w="0" w:type="auto"/>
            <w:tcBorders>
              <w:bottom w:val="single" w:sz="4" w:space="0" w:color="auto"/>
            </w:tcBorders>
            <w:shd w:val="clear" w:color="auto" w:fill="D0CECE" w:themeFill="background2" w:themeFillShade="E6"/>
          </w:tcPr>
          <w:p w14:paraId="6B9A512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In relation to information provided in Workbook 1 – Regulatory determination, regulatory template 2.4 and with respect to the AER’s augex model:</w:t>
            </w:r>
          </w:p>
        </w:tc>
        <w:tc>
          <w:tcPr>
            <w:tcW w:w="0" w:type="auto"/>
            <w:tcBorders>
              <w:bottom w:val="single" w:sz="4" w:space="0" w:color="auto"/>
            </w:tcBorders>
            <w:shd w:val="clear" w:color="auto" w:fill="D0CECE" w:themeFill="background2" w:themeFillShade="E6"/>
          </w:tcPr>
          <w:p w14:paraId="1A27523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AER has advised they do not require Energex to complete the regulatory template 2.4 of Workbook 1 – Regulatory Determination.</w:t>
            </w:r>
          </w:p>
        </w:tc>
      </w:tr>
      <w:tr w:rsidR="009F2CDD" w:rsidRPr="002056FA" w14:paraId="1EB85D3A" w14:textId="77777777" w:rsidTr="00E169B4">
        <w:tc>
          <w:tcPr>
            <w:tcW w:w="0" w:type="auto"/>
            <w:shd w:val="clear" w:color="auto" w:fill="D0CECE" w:themeFill="background2" w:themeFillShade="E6"/>
          </w:tcPr>
          <w:p w14:paraId="6504A80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6.2(a)</w:t>
            </w:r>
          </w:p>
        </w:tc>
        <w:tc>
          <w:tcPr>
            <w:tcW w:w="0" w:type="auto"/>
            <w:shd w:val="clear" w:color="auto" w:fill="D0CECE" w:themeFill="background2" w:themeFillShade="E6"/>
          </w:tcPr>
          <w:p w14:paraId="7EAE006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Separately for sub-transmission lines, sub-transmission and zone substations, HV feeders and distribution substations, Energex must explain how it:</w:t>
            </w:r>
          </w:p>
        </w:tc>
        <w:tc>
          <w:tcPr>
            <w:tcW w:w="0" w:type="auto"/>
            <w:shd w:val="clear" w:color="auto" w:fill="D0CECE" w:themeFill="background2" w:themeFillShade="E6"/>
          </w:tcPr>
          <w:p w14:paraId="74529202" w14:textId="77777777" w:rsidR="009F2CDD" w:rsidRPr="002056FA" w:rsidRDefault="009F2CDD" w:rsidP="00E169B4">
            <w:pPr>
              <w:pStyle w:val="TableCopy"/>
              <w:rPr>
                <w:rFonts w:eastAsia="Calibri"/>
                <w:color w:val="000000"/>
                <w:lang w:eastAsia="en-US"/>
              </w:rPr>
            </w:pPr>
          </w:p>
        </w:tc>
      </w:tr>
      <w:tr w:rsidR="009F2CDD" w:rsidRPr="002056FA" w14:paraId="34A00434" w14:textId="77777777" w:rsidTr="00E169B4">
        <w:tc>
          <w:tcPr>
            <w:tcW w:w="0" w:type="auto"/>
            <w:shd w:val="clear" w:color="auto" w:fill="D0CECE" w:themeFill="background2" w:themeFillShade="E6"/>
          </w:tcPr>
          <w:p w14:paraId="21DD2F5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6.2(a)(i) </w:t>
            </w:r>
          </w:p>
        </w:tc>
        <w:tc>
          <w:tcPr>
            <w:tcW w:w="0" w:type="auto"/>
            <w:shd w:val="clear" w:color="auto" w:fill="D0CECE" w:themeFill="background2" w:themeFillShade="E6"/>
          </w:tcPr>
          <w:p w14:paraId="3D6E226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Prepared the </w:t>
            </w:r>
            <w:r w:rsidRPr="002056FA">
              <w:rPr>
                <w:rFonts w:eastAsia="Calibri"/>
                <w:iCs/>
                <w:color w:val="000000"/>
                <w:lang w:eastAsia="en-US"/>
              </w:rPr>
              <w:t xml:space="preserve">maximum demand </w:t>
            </w:r>
            <w:r w:rsidRPr="002056FA">
              <w:rPr>
                <w:rFonts w:eastAsia="Calibri"/>
                <w:color w:val="000000"/>
                <w:lang w:eastAsia="en-US"/>
              </w:rPr>
              <w:t xml:space="preserve">data (weather corrected at 50 per cent </w:t>
            </w:r>
            <w:r w:rsidRPr="002056FA">
              <w:rPr>
                <w:rFonts w:eastAsia="Calibri"/>
                <w:iCs/>
                <w:color w:val="000000"/>
                <w:lang w:eastAsia="en-US"/>
              </w:rPr>
              <w:t>probability of exceedance</w:t>
            </w:r>
            <w:r w:rsidRPr="002056FA">
              <w:rPr>
                <w:rFonts w:eastAsia="Calibri"/>
                <w:color w:val="000000"/>
                <w:lang w:eastAsia="en-US"/>
              </w:rPr>
              <w:t xml:space="preserve">) provided in the </w:t>
            </w:r>
            <w:r w:rsidRPr="002056FA">
              <w:rPr>
                <w:rFonts w:eastAsia="Calibri"/>
                <w:iCs/>
                <w:color w:val="000000"/>
                <w:lang w:eastAsia="en-US"/>
              </w:rPr>
              <w:t xml:space="preserve">asset </w:t>
            </w:r>
            <w:r w:rsidRPr="002056FA">
              <w:rPr>
                <w:rFonts w:eastAsia="Calibri"/>
                <w:color w:val="000000"/>
                <w:lang w:eastAsia="en-US"/>
              </w:rPr>
              <w:t xml:space="preserve">status </w:t>
            </w:r>
            <w:r w:rsidRPr="002056FA">
              <w:rPr>
                <w:rFonts w:eastAsia="Calibri"/>
                <w:iCs/>
                <w:color w:val="000000"/>
                <w:lang w:eastAsia="en-US"/>
              </w:rPr>
              <w:t xml:space="preserve">tables </w:t>
            </w:r>
            <w:r w:rsidRPr="002056FA">
              <w:rPr>
                <w:rFonts w:eastAsia="Calibri"/>
                <w:color w:val="000000"/>
                <w:lang w:eastAsia="en-US"/>
              </w:rPr>
              <w:t xml:space="preserve">2.4.1 to 2.4.4, including where relevant, explanations of each of: </w:t>
            </w:r>
          </w:p>
        </w:tc>
        <w:tc>
          <w:tcPr>
            <w:tcW w:w="0" w:type="auto"/>
            <w:shd w:val="clear" w:color="auto" w:fill="D0CECE" w:themeFill="background2" w:themeFillShade="E6"/>
          </w:tcPr>
          <w:p w14:paraId="452B992C" w14:textId="77777777" w:rsidR="009F2CDD" w:rsidRPr="002056FA" w:rsidRDefault="009F2CDD" w:rsidP="00E169B4">
            <w:pPr>
              <w:pStyle w:val="TableCopy"/>
              <w:rPr>
                <w:rFonts w:eastAsia="Calibri"/>
                <w:lang w:eastAsia="en-US"/>
              </w:rPr>
            </w:pPr>
          </w:p>
        </w:tc>
      </w:tr>
      <w:tr w:rsidR="009F2CDD" w:rsidRPr="002056FA" w14:paraId="1DA113DD" w14:textId="77777777" w:rsidTr="00E169B4">
        <w:tc>
          <w:tcPr>
            <w:tcW w:w="0" w:type="auto"/>
            <w:shd w:val="clear" w:color="auto" w:fill="auto"/>
          </w:tcPr>
          <w:p w14:paraId="79CE02D9" w14:textId="77777777" w:rsidR="009F2CDD" w:rsidRPr="002056FA" w:rsidRDefault="009F2CDD" w:rsidP="00E169B4">
            <w:pPr>
              <w:pStyle w:val="TableCopy"/>
              <w:rPr>
                <w:rFonts w:eastAsia="Calibri"/>
                <w:lang w:eastAsia="en-US"/>
              </w:rPr>
            </w:pPr>
            <w:r w:rsidRPr="002056FA">
              <w:rPr>
                <w:rFonts w:eastAsia="Calibri"/>
                <w:lang w:eastAsia="en-US"/>
              </w:rPr>
              <w:t xml:space="preserve">6.2(a)(i)(A) </w:t>
            </w:r>
          </w:p>
        </w:tc>
        <w:tc>
          <w:tcPr>
            <w:tcW w:w="0" w:type="auto"/>
            <w:shd w:val="clear" w:color="auto" w:fill="auto"/>
          </w:tcPr>
          <w:p w14:paraId="6F50355E" w14:textId="77777777" w:rsidR="009F2CDD" w:rsidRPr="002056FA" w:rsidRDefault="009F2CDD" w:rsidP="00E169B4">
            <w:pPr>
              <w:pStyle w:val="TableCopy"/>
              <w:rPr>
                <w:rFonts w:eastAsia="Calibri"/>
                <w:lang w:eastAsia="en-US"/>
              </w:rPr>
            </w:pPr>
            <w:r w:rsidRPr="002056FA">
              <w:rPr>
                <w:rFonts w:eastAsia="Calibri"/>
                <w:lang w:eastAsia="en-US"/>
              </w:rPr>
              <w:t xml:space="preserve">how this value relates to the </w:t>
            </w:r>
            <w:r w:rsidRPr="002056FA">
              <w:rPr>
                <w:rFonts w:eastAsia="Calibri"/>
                <w:iCs/>
                <w:lang w:eastAsia="en-US"/>
              </w:rPr>
              <w:t xml:space="preserve">maximum demand </w:t>
            </w:r>
            <w:r w:rsidRPr="002056FA">
              <w:rPr>
                <w:rFonts w:eastAsia="Calibri"/>
                <w:lang w:eastAsia="en-US"/>
              </w:rPr>
              <w:t xml:space="preserve">that would be used for normal planning purposes; </w:t>
            </w:r>
          </w:p>
        </w:tc>
        <w:tc>
          <w:tcPr>
            <w:tcW w:w="0" w:type="auto"/>
            <w:shd w:val="clear" w:color="auto" w:fill="auto"/>
          </w:tcPr>
          <w:p w14:paraId="731C3EC5"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provided in 6.2, noting Energex is not required to submit this information. </w:t>
            </w:r>
          </w:p>
        </w:tc>
      </w:tr>
      <w:tr w:rsidR="009F2CDD" w:rsidRPr="002056FA" w14:paraId="3ED25996" w14:textId="77777777" w:rsidTr="00E169B4">
        <w:tc>
          <w:tcPr>
            <w:tcW w:w="0" w:type="auto"/>
            <w:shd w:val="clear" w:color="auto" w:fill="auto"/>
          </w:tcPr>
          <w:p w14:paraId="4783C859" w14:textId="77777777" w:rsidR="009F2CDD" w:rsidRPr="002056FA" w:rsidRDefault="009F2CDD" w:rsidP="00E169B4">
            <w:pPr>
              <w:pStyle w:val="TableCopy"/>
              <w:rPr>
                <w:rFonts w:eastAsia="Calibri"/>
                <w:b/>
                <w:lang w:eastAsia="en-US"/>
              </w:rPr>
            </w:pPr>
            <w:r w:rsidRPr="002056FA">
              <w:rPr>
                <w:rFonts w:eastAsia="Calibri"/>
                <w:lang w:eastAsia="en-US"/>
              </w:rPr>
              <w:t xml:space="preserve">6.2(a)(i)(B) </w:t>
            </w:r>
          </w:p>
        </w:tc>
        <w:tc>
          <w:tcPr>
            <w:tcW w:w="0" w:type="auto"/>
            <w:shd w:val="clear" w:color="auto" w:fill="auto"/>
          </w:tcPr>
          <w:p w14:paraId="25A9C79D" w14:textId="77777777" w:rsidR="009F2CDD" w:rsidRPr="002056FA" w:rsidRDefault="009F2CDD" w:rsidP="00E169B4">
            <w:pPr>
              <w:pStyle w:val="TableCopy"/>
              <w:rPr>
                <w:rFonts w:eastAsia="Calibri"/>
                <w:b/>
                <w:lang w:eastAsia="en-US"/>
              </w:rPr>
            </w:pPr>
            <w:r w:rsidRPr="002056FA">
              <w:rPr>
                <w:rFonts w:eastAsia="Calibri"/>
                <w:lang w:eastAsia="en-US"/>
              </w:rPr>
              <w:t xml:space="preserve">whether it is based upon a measured value, and if so, where the measurement point is and how abnormal operating conditions are allowed for; </w:t>
            </w:r>
          </w:p>
        </w:tc>
        <w:tc>
          <w:tcPr>
            <w:tcW w:w="0" w:type="auto"/>
            <w:shd w:val="clear" w:color="auto" w:fill="auto"/>
          </w:tcPr>
          <w:p w14:paraId="7D5B9E3C"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provided in 6.2, noting Energex is not required to submit this information. </w:t>
            </w:r>
          </w:p>
        </w:tc>
      </w:tr>
      <w:tr w:rsidR="009F2CDD" w:rsidRPr="002056FA" w14:paraId="76FF0268" w14:textId="77777777" w:rsidTr="00E169B4">
        <w:tc>
          <w:tcPr>
            <w:tcW w:w="0" w:type="auto"/>
            <w:shd w:val="clear" w:color="auto" w:fill="auto"/>
          </w:tcPr>
          <w:p w14:paraId="26C397A6" w14:textId="77777777" w:rsidR="009F2CDD" w:rsidRPr="002056FA" w:rsidRDefault="009F2CDD" w:rsidP="00E169B4">
            <w:pPr>
              <w:pStyle w:val="TableCopy"/>
              <w:rPr>
                <w:rFonts w:eastAsia="Calibri"/>
                <w:lang w:eastAsia="en-US"/>
              </w:rPr>
            </w:pPr>
            <w:r w:rsidRPr="002056FA">
              <w:rPr>
                <w:rFonts w:eastAsia="Calibri"/>
                <w:lang w:eastAsia="en-US"/>
              </w:rPr>
              <w:t xml:space="preserve">6.2(a)(i)(C) </w:t>
            </w:r>
          </w:p>
        </w:tc>
        <w:tc>
          <w:tcPr>
            <w:tcW w:w="0" w:type="auto"/>
            <w:shd w:val="clear" w:color="auto" w:fill="auto"/>
          </w:tcPr>
          <w:p w14:paraId="389D9213" w14:textId="77777777" w:rsidR="009F2CDD" w:rsidRPr="002056FA" w:rsidRDefault="009F2CDD" w:rsidP="00E169B4">
            <w:pPr>
              <w:pStyle w:val="TableCopy"/>
              <w:rPr>
                <w:rFonts w:eastAsia="Calibri"/>
                <w:bCs/>
                <w:lang w:eastAsia="en-US"/>
              </w:rPr>
            </w:pPr>
            <w:r w:rsidRPr="002056FA">
              <w:rPr>
                <w:rFonts w:eastAsia="Calibri"/>
                <w:lang w:eastAsia="en-US"/>
              </w:rPr>
              <w:t xml:space="preserve">whether it is based on estimated (rather than actual measured) demand, and if so, the basis of this estimation process and how it is validated; and </w:t>
            </w:r>
          </w:p>
        </w:tc>
        <w:tc>
          <w:tcPr>
            <w:tcW w:w="0" w:type="auto"/>
            <w:shd w:val="clear" w:color="auto" w:fill="auto"/>
          </w:tcPr>
          <w:p w14:paraId="0FF9A36B"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provided in 6.2, noting Energex is not required to submit this information. </w:t>
            </w:r>
          </w:p>
        </w:tc>
      </w:tr>
      <w:tr w:rsidR="009F2CDD" w:rsidRPr="002056FA" w14:paraId="6C914C6A" w14:textId="77777777" w:rsidTr="00E169B4">
        <w:tc>
          <w:tcPr>
            <w:tcW w:w="0" w:type="auto"/>
            <w:tcBorders>
              <w:bottom w:val="single" w:sz="4" w:space="0" w:color="auto"/>
            </w:tcBorders>
            <w:shd w:val="clear" w:color="auto" w:fill="auto"/>
          </w:tcPr>
          <w:p w14:paraId="300C3503" w14:textId="77777777" w:rsidR="009F2CDD" w:rsidRPr="002056FA" w:rsidRDefault="009F2CDD" w:rsidP="00E169B4">
            <w:pPr>
              <w:pStyle w:val="TableCopy"/>
              <w:rPr>
                <w:rFonts w:eastAsia="Calibri"/>
                <w:lang w:eastAsia="en-US"/>
              </w:rPr>
            </w:pPr>
            <w:r w:rsidRPr="002056FA">
              <w:rPr>
                <w:rFonts w:eastAsia="Calibri"/>
                <w:lang w:eastAsia="en-US"/>
              </w:rPr>
              <w:t xml:space="preserve">6.2(a)(i)(D) </w:t>
            </w:r>
          </w:p>
        </w:tc>
        <w:tc>
          <w:tcPr>
            <w:tcW w:w="0" w:type="auto"/>
            <w:tcBorders>
              <w:bottom w:val="single" w:sz="4" w:space="0" w:color="auto"/>
            </w:tcBorders>
            <w:shd w:val="clear" w:color="auto" w:fill="auto"/>
          </w:tcPr>
          <w:p w14:paraId="5F5A76D9" w14:textId="77777777" w:rsidR="009F2CDD" w:rsidRPr="002056FA" w:rsidRDefault="009F2CDD" w:rsidP="00E169B4">
            <w:pPr>
              <w:pStyle w:val="TableCopy"/>
              <w:rPr>
                <w:rFonts w:eastAsia="Calibri"/>
                <w:bCs/>
                <w:lang w:eastAsia="en-US"/>
              </w:rPr>
            </w:pPr>
            <w:r w:rsidRPr="002056FA">
              <w:rPr>
                <w:rFonts w:eastAsia="Calibri"/>
                <w:lang w:eastAsia="en-US"/>
              </w:rPr>
              <w:t xml:space="preserve">the relationship of the values provided to </w:t>
            </w:r>
            <w:r w:rsidRPr="002056FA">
              <w:rPr>
                <w:rFonts w:eastAsia="Calibri"/>
                <w:iCs/>
                <w:lang w:eastAsia="en-US"/>
              </w:rPr>
              <w:t>raw unadjusted maximum demand</w:t>
            </w:r>
            <w:r w:rsidRPr="002056FA">
              <w:rPr>
                <w:rFonts w:eastAsia="Calibri"/>
                <w:lang w:eastAsia="en-US"/>
              </w:rPr>
              <w:t xml:space="preserve">; and the relationship of the values provided to the values that could be expected from weather corrected </w:t>
            </w:r>
            <w:r w:rsidRPr="002056FA">
              <w:rPr>
                <w:rFonts w:eastAsia="Calibri"/>
                <w:iCs/>
                <w:lang w:eastAsia="en-US"/>
              </w:rPr>
              <w:t xml:space="preserve">maximum demand </w:t>
            </w:r>
            <w:r w:rsidRPr="002056FA">
              <w:rPr>
                <w:rFonts w:eastAsia="Calibri"/>
                <w:lang w:eastAsia="en-US"/>
              </w:rPr>
              <w:t xml:space="preserve">measures that reflect a 10 per cent </w:t>
            </w:r>
            <w:r w:rsidRPr="002056FA">
              <w:rPr>
                <w:rFonts w:eastAsia="Calibri"/>
                <w:iCs/>
                <w:lang w:eastAsia="en-US"/>
              </w:rPr>
              <w:t xml:space="preserve">probability of exceedance </w:t>
            </w:r>
            <w:r w:rsidRPr="002056FA">
              <w:rPr>
                <w:rFonts w:eastAsia="Calibri"/>
                <w:lang w:eastAsia="en-US"/>
              </w:rPr>
              <w:t xml:space="preserve">year. </w:t>
            </w:r>
          </w:p>
        </w:tc>
        <w:tc>
          <w:tcPr>
            <w:tcW w:w="0" w:type="auto"/>
            <w:tcBorders>
              <w:bottom w:val="single" w:sz="4" w:space="0" w:color="auto"/>
            </w:tcBorders>
            <w:shd w:val="clear" w:color="auto" w:fill="auto"/>
          </w:tcPr>
          <w:p w14:paraId="2C8E5CF7"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provided in 6.2, noting Energex is not required to submit this information. </w:t>
            </w:r>
          </w:p>
        </w:tc>
      </w:tr>
      <w:tr w:rsidR="009F2CDD" w:rsidRPr="002056FA" w14:paraId="5EAB1510" w14:textId="77777777" w:rsidTr="00E169B4">
        <w:tc>
          <w:tcPr>
            <w:tcW w:w="0" w:type="auto"/>
            <w:shd w:val="clear" w:color="auto" w:fill="D0CECE" w:themeFill="background2" w:themeFillShade="E6"/>
          </w:tcPr>
          <w:p w14:paraId="1D2D72C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6.2(a)(ii) </w:t>
            </w:r>
          </w:p>
        </w:tc>
        <w:tc>
          <w:tcPr>
            <w:tcW w:w="0" w:type="auto"/>
            <w:shd w:val="clear" w:color="auto" w:fill="D0CECE" w:themeFill="background2" w:themeFillShade="E6"/>
          </w:tcPr>
          <w:p w14:paraId="7399D25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Determined the rating data provided in the </w:t>
            </w:r>
            <w:r w:rsidRPr="002056FA">
              <w:rPr>
                <w:rFonts w:eastAsia="Calibri"/>
                <w:iCs/>
                <w:color w:val="000000"/>
                <w:lang w:eastAsia="en-US"/>
              </w:rPr>
              <w:t xml:space="preserve">asset </w:t>
            </w:r>
            <w:r w:rsidRPr="002056FA">
              <w:rPr>
                <w:rFonts w:eastAsia="Calibri"/>
                <w:color w:val="000000"/>
                <w:lang w:eastAsia="en-US"/>
              </w:rPr>
              <w:t xml:space="preserve">status </w:t>
            </w:r>
            <w:r w:rsidRPr="002056FA">
              <w:rPr>
                <w:rFonts w:eastAsia="Calibri"/>
                <w:iCs/>
                <w:color w:val="000000"/>
                <w:lang w:eastAsia="en-US"/>
              </w:rPr>
              <w:t xml:space="preserve">tables </w:t>
            </w:r>
            <w:r w:rsidRPr="002056FA">
              <w:rPr>
                <w:rFonts w:eastAsia="Calibri"/>
                <w:color w:val="000000"/>
                <w:lang w:eastAsia="en-US"/>
              </w:rPr>
              <w:t xml:space="preserve">2.4.1 to 2.4.4, including where relevant: </w:t>
            </w:r>
          </w:p>
        </w:tc>
        <w:tc>
          <w:tcPr>
            <w:tcW w:w="0" w:type="auto"/>
            <w:shd w:val="clear" w:color="auto" w:fill="D0CECE" w:themeFill="background2" w:themeFillShade="E6"/>
          </w:tcPr>
          <w:p w14:paraId="6F27A327" w14:textId="77777777" w:rsidR="009F2CDD" w:rsidRPr="002056FA" w:rsidRDefault="009F2CDD" w:rsidP="00E169B4">
            <w:pPr>
              <w:pStyle w:val="TableCopy"/>
              <w:rPr>
                <w:rFonts w:eastAsia="Calibri"/>
                <w:lang w:eastAsia="en-US"/>
              </w:rPr>
            </w:pPr>
          </w:p>
        </w:tc>
      </w:tr>
      <w:tr w:rsidR="009F2CDD" w:rsidRPr="002056FA" w14:paraId="3B975481" w14:textId="77777777" w:rsidTr="00E169B4">
        <w:tc>
          <w:tcPr>
            <w:tcW w:w="0" w:type="auto"/>
            <w:shd w:val="clear" w:color="auto" w:fill="auto"/>
          </w:tcPr>
          <w:p w14:paraId="6453F76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6.2(a)(ii)(A) </w:t>
            </w:r>
          </w:p>
        </w:tc>
        <w:tc>
          <w:tcPr>
            <w:tcW w:w="0" w:type="auto"/>
            <w:shd w:val="clear" w:color="auto" w:fill="auto"/>
          </w:tcPr>
          <w:p w14:paraId="0448110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basis of the calculation of the ratings in that segment, including </w:t>
            </w:r>
            <w:r w:rsidRPr="002056FA">
              <w:rPr>
                <w:rFonts w:eastAsia="Calibri"/>
                <w:iCs/>
                <w:color w:val="000000"/>
                <w:lang w:eastAsia="en-US"/>
              </w:rPr>
              <w:t xml:space="preserve">asset </w:t>
            </w:r>
            <w:r w:rsidRPr="002056FA">
              <w:rPr>
                <w:rFonts w:eastAsia="Calibri"/>
                <w:color w:val="000000"/>
                <w:lang w:eastAsia="en-US"/>
              </w:rPr>
              <w:t xml:space="preserve">data measured and assumptions made; and </w:t>
            </w:r>
          </w:p>
        </w:tc>
        <w:tc>
          <w:tcPr>
            <w:tcW w:w="0" w:type="auto"/>
            <w:shd w:val="clear" w:color="auto" w:fill="auto"/>
          </w:tcPr>
          <w:p w14:paraId="5BC1F9C1"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2C427CBB" w14:textId="77777777" w:rsidTr="00E169B4">
        <w:tc>
          <w:tcPr>
            <w:tcW w:w="0" w:type="auto"/>
            <w:shd w:val="clear" w:color="auto" w:fill="auto"/>
          </w:tcPr>
          <w:p w14:paraId="3791A83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6.2(a)(ii)(B) </w:t>
            </w:r>
          </w:p>
        </w:tc>
        <w:tc>
          <w:tcPr>
            <w:tcW w:w="0" w:type="auto"/>
            <w:shd w:val="clear" w:color="auto" w:fill="auto"/>
          </w:tcPr>
          <w:p w14:paraId="69EF072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relationship of these ratings with </w:t>
            </w:r>
            <w:r w:rsidRPr="002056FA">
              <w:rPr>
                <w:rFonts w:eastAsia="Calibri"/>
                <w:iCs/>
                <w:color w:val="000000"/>
                <w:lang w:eastAsia="en-US"/>
              </w:rPr>
              <w:t>Energex’s</w:t>
            </w:r>
            <w:r w:rsidRPr="002056FA">
              <w:rPr>
                <w:rFonts w:eastAsia="Calibri"/>
                <w:color w:val="000000"/>
                <w:lang w:eastAsia="en-US"/>
              </w:rPr>
              <w:t xml:space="preserve"> approach to operating and planning the </w:t>
            </w:r>
            <w:r w:rsidRPr="002056FA">
              <w:rPr>
                <w:rFonts w:eastAsia="Calibri"/>
                <w:iCs/>
                <w:color w:val="000000"/>
                <w:lang w:eastAsia="en-US"/>
              </w:rPr>
              <w:t>network</w:t>
            </w:r>
            <w:r w:rsidRPr="002056FA">
              <w:rPr>
                <w:rFonts w:eastAsia="Calibri"/>
                <w:color w:val="000000"/>
                <w:lang w:eastAsia="en-US"/>
              </w:rPr>
              <w:t xml:space="preserve">. For example, if alternative ratings are used to determine the </w:t>
            </w:r>
            <w:r w:rsidRPr="002056FA">
              <w:rPr>
                <w:rFonts w:eastAsia="Calibri"/>
                <w:iCs/>
                <w:color w:val="000000"/>
                <w:lang w:eastAsia="en-US"/>
              </w:rPr>
              <w:t xml:space="preserve">augmentation </w:t>
            </w:r>
            <w:r w:rsidRPr="002056FA">
              <w:rPr>
                <w:rFonts w:eastAsia="Calibri"/>
                <w:color w:val="000000"/>
                <w:lang w:eastAsia="en-US"/>
              </w:rPr>
              <w:t xml:space="preserve">time, these should be defined and explained. </w:t>
            </w:r>
          </w:p>
        </w:tc>
        <w:tc>
          <w:tcPr>
            <w:tcW w:w="0" w:type="auto"/>
            <w:shd w:val="clear" w:color="auto" w:fill="auto"/>
          </w:tcPr>
          <w:p w14:paraId="11F2D783"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0076D0F1" w14:textId="77777777" w:rsidTr="00E169B4">
        <w:tc>
          <w:tcPr>
            <w:tcW w:w="0" w:type="auto"/>
            <w:tcBorders>
              <w:bottom w:val="single" w:sz="4" w:space="0" w:color="auto"/>
            </w:tcBorders>
            <w:shd w:val="clear" w:color="auto" w:fill="auto"/>
          </w:tcPr>
          <w:p w14:paraId="0DB7D7F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6.2(a)(iii)</w:t>
            </w:r>
          </w:p>
        </w:tc>
        <w:tc>
          <w:tcPr>
            <w:tcW w:w="0" w:type="auto"/>
            <w:tcBorders>
              <w:bottom w:val="single" w:sz="4" w:space="0" w:color="auto"/>
            </w:tcBorders>
            <w:shd w:val="clear" w:color="auto" w:fill="auto"/>
          </w:tcPr>
          <w:p w14:paraId="60E5FEB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Determined the growth rate data provided in the asset status tables 2.4.1 to 2.4.4. This should clearly indicate how these rates have been derived from maximum demand forecasts or other load forecasts available to Energex.</w:t>
            </w:r>
          </w:p>
        </w:tc>
        <w:tc>
          <w:tcPr>
            <w:tcW w:w="0" w:type="auto"/>
            <w:tcBorders>
              <w:bottom w:val="single" w:sz="4" w:space="0" w:color="auto"/>
            </w:tcBorders>
            <w:shd w:val="clear" w:color="auto" w:fill="auto"/>
          </w:tcPr>
          <w:p w14:paraId="726AA632" w14:textId="77777777" w:rsidR="009F2CDD" w:rsidRPr="002056FA" w:rsidRDefault="009F2CDD" w:rsidP="00E169B4">
            <w:pPr>
              <w:pStyle w:val="TableCopy"/>
              <w:rPr>
                <w:rFonts w:eastAsia="Calibri"/>
                <w:highlight w:val="yellow"/>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6E56174F" w14:textId="77777777" w:rsidTr="00E169B4">
        <w:tc>
          <w:tcPr>
            <w:tcW w:w="0" w:type="auto"/>
            <w:shd w:val="clear" w:color="auto" w:fill="D0CECE" w:themeFill="background2" w:themeFillShade="E6"/>
          </w:tcPr>
          <w:p w14:paraId="693A5BE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6.2(b)</w:t>
            </w:r>
          </w:p>
        </w:tc>
        <w:tc>
          <w:tcPr>
            <w:tcW w:w="0" w:type="auto"/>
            <w:shd w:val="clear" w:color="auto" w:fill="D0CECE" w:themeFill="background2" w:themeFillShade="E6"/>
          </w:tcPr>
          <w:p w14:paraId="7EE5A40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In relation to the capex-capacity table 2.4.6, Energex must explain:</w:t>
            </w:r>
          </w:p>
        </w:tc>
        <w:tc>
          <w:tcPr>
            <w:tcW w:w="0" w:type="auto"/>
            <w:shd w:val="clear" w:color="auto" w:fill="D0CECE" w:themeFill="background2" w:themeFillShade="E6"/>
          </w:tcPr>
          <w:p w14:paraId="4AD1D145" w14:textId="77777777" w:rsidR="009F2CDD" w:rsidRPr="002056FA" w:rsidRDefault="009F2CDD" w:rsidP="00E169B4">
            <w:pPr>
              <w:pStyle w:val="TableCopy"/>
              <w:rPr>
                <w:rFonts w:eastAsia="Calibri"/>
                <w:lang w:eastAsia="en-US"/>
              </w:rPr>
            </w:pPr>
          </w:p>
        </w:tc>
      </w:tr>
      <w:tr w:rsidR="009F2CDD" w:rsidRPr="002056FA" w14:paraId="60F0BC5C" w14:textId="77777777" w:rsidTr="00E169B4">
        <w:tc>
          <w:tcPr>
            <w:tcW w:w="0" w:type="auto"/>
            <w:tcBorders>
              <w:bottom w:val="single" w:sz="4" w:space="0" w:color="auto"/>
            </w:tcBorders>
            <w:shd w:val="clear" w:color="auto" w:fill="auto"/>
          </w:tcPr>
          <w:p w14:paraId="77C92A5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6.2(b)(i) </w:t>
            </w:r>
          </w:p>
        </w:tc>
        <w:tc>
          <w:tcPr>
            <w:tcW w:w="0" w:type="auto"/>
            <w:tcBorders>
              <w:bottom w:val="single" w:sz="4" w:space="0" w:color="auto"/>
            </w:tcBorders>
            <w:shd w:val="clear" w:color="auto" w:fill="auto"/>
          </w:tcPr>
          <w:p w14:paraId="7B69E9C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types of cost and activities covered. Clearly indicate what non-field analysis and management costs (i.e. direct </w:t>
            </w:r>
            <w:r w:rsidRPr="002056FA">
              <w:rPr>
                <w:rFonts w:eastAsia="Calibri"/>
                <w:iCs/>
                <w:color w:val="000000"/>
                <w:lang w:eastAsia="en-US"/>
              </w:rPr>
              <w:t>overheads</w:t>
            </w:r>
            <w:r w:rsidRPr="002056FA">
              <w:rPr>
                <w:rFonts w:eastAsia="Calibri"/>
                <w:color w:val="000000"/>
                <w:lang w:eastAsia="en-US"/>
              </w:rPr>
              <w:t xml:space="preserve">) are included in the </w:t>
            </w:r>
            <w:r w:rsidRPr="002056FA">
              <w:rPr>
                <w:rFonts w:eastAsia="Calibri"/>
                <w:iCs/>
                <w:color w:val="000000"/>
                <w:lang w:eastAsia="en-US"/>
              </w:rPr>
              <w:t xml:space="preserve">capex </w:t>
            </w:r>
            <w:r w:rsidRPr="002056FA">
              <w:rPr>
                <w:rFonts w:eastAsia="Calibri"/>
                <w:color w:val="000000"/>
                <w:lang w:eastAsia="en-US"/>
              </w:rPr>
              <w:t xml:space="preserve">and what proportion of </w:t>
            </w:r>
            <w:r w:rsidRPr="002056FA">
              <w:rPr>
                <w:rFonts w:eastAsia="Calibri"/>
                <w:iCs/>
                <w:color w:val="000000"/>
                <w:lang w:eastAsia="en-US"/>
              </w:rPr>
              <w:t xml:space="preserve">capex </w:t>
            </w:r>
            <w:r w:rsidRPr="002056FA">
              <w:rPr>
                <w:rFonts w:eastAsia="Calibri"/>
                <w:color w:val="000000"/>
                <w:lang w:eastAsia="en-US"/>
              </w:rPr>
              <w:t xml:space="preserve">these cost types represent; </w:t>
            </w:r>
          </w:p>
        </w:tc>
        <w:tc>
          <w:tcPr>
            <w:tcW w:w="0" w:type="auto"/>
            <w:tcBorders>
              <w:bottom w:val="single" w:sz="4" w:space="0" w:color="auto"/>
            </w:tcBorders>
            <w:shd w:val="clear" w:color="auto" w:fill="auto"/>
          </w:tcPr>
          <w:p w14:paraId="293B3F1B" w14:textId="77777777" w:rsidR="009F2CDD" w:rsidRPr="002056FA" w:rsidRDefault="009F2CDD" w:rsidP="00E169B4">
            <w:pPr>
              <w:pStyle w:val="TableCopy"/>
              <w:rPr>
                <w:rFonts w:eastAsia="Calibri"/>
                <w:color w:val="0070C0"/>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5E58EFB4" w14:textId="77777777" w:rsidTr="00E169B4">
        <w:tc>
          <w:tcPr>
            <w:tcW w:w="0" w:type="auto"/>
            <w:shd w:val="clear" w:color="auto" w:fill="D0CECE" w:themeFill="background2" w:themeFillShade="E6"/>
          </w:tcPr>
          <w:p w14:paraId="0E76EF3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6.2(b)(ii)</w:t>
            </w:r>
          </w:p>
        </w:tc>
        <w:tc>
          <w:tcPr>
            <w:tcW w:w="0" w:type="auto"/>
            <w:shd w:val="clear" w:color="auto" w:fill="D0CECE" w:themeFill="background2" w:themeFillShade="E6"/>
          </w:tcPr>
          <w:p w14:paraId="03C2CF2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how it determined and allocated actual </w:t>
            </w:r>
            <w:r w:rsidRPr="002056FA">
              <w:rPr>
                <w:rFonts w:eastAsia="Calibri"/>
                <w:iCs/>
                <w:color w:val="000000"/>
                <w:lang w:eastAsia="en-US"/>
              </w:rPr>
              <w:t xml:space="preserve">capex </w:t>
            </w:r>
            <w:r w:rsidRPr="002056FA">
              <w:rPr>
                <w:rFonts w:eastAsia="Calibri"/>
                <w:color w:val="000000"/>
                <w:lang w:eastAsia="en-US"/>
              </w:rPr>
              <w:t xml:space="preserve">and capacity to each of the segment groups, covering: </w:t>
            </w:r>
          </w:p>
        </w:tc>
        <w:tc>
          <w:tcPr>
            <w:tcW w:w="0" w:type="auto"/>
            <w:shd w:val="clear" w:color="auto" w:fill="D0CECE" w:themeFill="background2" w:themeFillShade="E6"/>
          </w:tcPr>
          <w:p w14:paraId="63917596" w14:textId="77777777" w:rsidR="009F2CDD" w:rsidRPr="002056FA" w:rsidRDefault="009F2CDD" w:rsidP="00E169B4">
            <w:pPr>
              <w:pStyle w:val="TableCopy"/>
              <w:rPr>
                <w:rFonts w:eastAsia="Calibri"/>
                <w:lang w:eastAsia="en-US"/>
              </w:rPr>
            </w:pPr>
          </w:p>
        </w:tc>
      </w:tr>
      <w:tr w:rsidR="009F2CDD" w:rsidRPr="002056FA" w14:paraId="4EF7CDFA" w14:textId="77777777" w:rsidTr="00E169B4">
        <w:tc>
          <w:tcPr>
            <w:tcW w:w="0" w:type="auto"/>
            <w:shd w:val="clear" w:color="auto" w:fill="auto"/>
          </w:tcPr>
          <w:p w14:paraId="14F0C20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6.2(b)(ii)(A) </w:t>
            </w:r>
          </w:p>
        </w:tc>
        <w:tc>
          <w:tcPr>
            <w:tcW w:w="0" w:type="auto"/>
            <w:shd w:val="clear" w:color="auto" w:fill="auto"/>
          </w:tcPr>
          <w:p w14:paraId="7350671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process used, including assumptions, to estimate and allocate expenditure where this has been required; and </w:t>
            </w:r>
          </w:p>
        </w:tc>
        <w:tc>
          <w:tcPr>
            <w:tcW w:w="0" w:type="auto"/>
            <w:shd w:val="clear" w:color="auto" w:fill="auto"/>
          </w:tcPr>
          <w:p w14:paraId="6E9115A2"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307DEFEC" w14:textId="77777777" w:rsidTr="00E169B4">
        <w:tc>
          <w:tcPr>
            <w:tcW w:w="0" w:type="auto"/>
            <w:tcBorders>
              <w:bottom w:val="single" w:sz="4" w:space="0" w:color="auto"/>
            </w:tcBorders>
            <w:shd w:val="clear" w:color="auto" w:fill="auto"/>
          </w:tcPr>
          <w:p w14:paraId="13A5DFD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6.2(b)(ii)(B) </w:t>
            </w:r>
          </w:p>
        </w:tc>
        <w:tc>
          <w:tcPr>
            <w:tcW w:w="0" w:type="auto"/>
            <w:tcBorders>
              <w:bottom w:val="single" w:sz="4" w:space="0" w:color="auto"/>
            </w:tcBorders>
            <w:shd w:val="clear" w:color="auto" w:fill="auto"/>
          </w:tcPr>
          <w:p w14:paraId="5D8903C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relationship of internal financial and/or </w:t>
            </w:r>
            <w:r w:rsidRPr="002056FA">
              <w:rPr>
                <w:rFonts w:eastAsia="Calibri"/>
                <w:iCs/>
                <w:color w:val="000000"/>
                <w:lang w:eastAsia="en-US"/>
              </w:rPr>
              <w:t xml:space="preserve">project </w:t>
            </w:r>
            <w:r w:rsidRPr="002056FA">
              <w:rPr>
                <w:rFonts w:eastAsia="Calibri"/>
                <w:color w:val="000000"/>
                <w:lang w:eastAsia="en-US"/>
              </w:rPr>
              <w:t xml:space="preserve">recording categories to the segment groups and process used. </w:t>
            </w:r>
          </w:p>
        </w:tc>
        <w:tc>
          <w:tcPr>
            <w:tcW w:w="0" w:type="auto"/>
            <w:tcBorders>
              <w:bottom w:val="single" w:sz="4" w:space="0" w:color="auto"/>
            </w:tcBorders>
            <w:shd w:val="clear" w:color="auto" w:fill="auto"/>
          </w:tcPr>
          <w:p w14:paraId="6C631733"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4F64D095" w14:textId="77777777" w:rsidTr="00E169B4">
        <w:tc>
          <w:tcPr>
            <w:tcW w:w="0" w:type="auto"/>
            <w:shd w:val="clear" w:color="auto" w:fill="D0CECE" w:themeFill="background2" w:themeFillShade="E6"/>
          </w:tcPr>
          <w:p w14:paraId="6A69F5E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6.2(b)(iii)</w:t>
            </w:r>
          </w:p>
        </w:tc>
        <w:tc>
          <w:tcPr>
            <w:tcW w:w="0" w:type="auto"/>
            <w:shd w:val="clear" w:color="auto" w:fill="D0CECE" w:themeFill="background2" w:themeFillShade="E6"/>
          </w:tcPr>
          <w:p w14:paraId="7E0B1EC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how it determined and allocated estimated/</w:t>
            </w:r>
            <w:r w:rsidRPr="002056FA">
              <w:rPr>
                <w:rFonts w:eastAsia="Calibri"/>
                <w:iCs/>
                <w:color w:val="000000"/>
                <w:lang w:eastAsia="en-US"/>
              </w:rPr>
              <w:t xml:space="preserve">forecast capex </w:t>
            </w:r>
            <w:r w:rsidRPr="002056FA">
              <w:rPr>
                <w:rFonts w:eastAsia="Calibri"/>
                <w:color w:val="000000"/>
                <w:lang w:eastAsia="en-US"/>
              </w:rPr>
              <w:t xml:space="preserve">and capacity to each of the segment groups, covering: </w:t>
            </w:r>
          </w:p>
        </w:tc>
        <w:tc>
          <w:tcPr>
            <w:tcW w:w="0" w:type="auto"/>
            <w:shd w:val="clear" w:color="auto" w:fill="D0CECE" w:themeFill="background2" w:themeFillShade="E6"/>
          </w:tcPr>
          <w:p w14:paraId="0BA83779" w14:textId="77777777" w:rsidR="009F2CDD" w:rsidRPr="002056FA" w:rsidRDefault="009F2CDD" w:rsidP="00E169B4">
            <w:pPr>
              <w:pStyle w:val="TableCopy"/>
              <w:rPr>
                <w:rFonts w:eastAsia="Calibri"/>
                <w:lang w:eastAsia="en-US"/>
              </w:rPr>
            </w:pPr>
          </w:p>
        </w:tc>
      </w:tr>
      <w:tr w:rsidR="009F2CDD" w:rsidRPr="002056FA" w14:paraId="3C20D10F" w14:textId="77777777" w:rsidTr="00E169B4">
        <w:tc>
          <w:tcPr>
            <w:tcW w:w="0" w:type="auto"/>
            <w:shd w:val="clear" w:color="auto" w:fill="auto"/>
          </w:tcPr>
          <w:p w14:paraId="69A2C3B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6.2(b)(iii)(A) </w:t>
            </w:r>
          </w:p>
        </w:tc>
        <w:tc>
          <w:tcPr>
            <w:tcW w:w="0" w:type="auto"/>
            <w:shd w:val="clear" w:color="auto" w:fill="auto"/>
          </w:tcPr>
          <w:p w14:paraId="243BFAC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relationship of this process to the current </w:t>
            </w:r>
            <w:r w:rsidRPr="002056FA">
              <w:rPr>
                <w:rFonts w:eastAsia="Calibri"/>
                <w:iCs/>
                <w:color w:val="000000"/>
                <w:lang w:eastAsia="en-US"/>
              </w:rPr>
              <w:t xml:space="preserve">project </w:t>
            </w:r>
            <w:r w:rsidRPr="002056FA">
              <w:rPr>
                <w:rFonts w:eastAsia="Calibri"/>
                <w:color w:val="000000"/>
                <w:lang w:eastAsia="en-US"/>
              </w:rPr>
              <w:t xml:space="preserve">and </w:t>
            </w:r>
            <w:r w:rsidRPr="002056FA">
              <w:rPr>
                <w:rFonts w:eastAsia="Calibri"/>
                <w:iCs/>
                <w:color w:val="000000"/>
                <w:lang w:eastAsia="en-US"/>
              </w:rPr>
              <w:t xml:space="preserve">program </w:t>
            </w:r>
            <w:r w:rsidRPr="002056FA">
              <w:rPr>
                <w:rFonts w:eastAsia="Calibri"/>
                <w:color w:val="000000"/>
                <w:lang w:eastAsia="en-US"/>
              </w:rPr>
              <w:t xml:space="preserve">plans; and </w:t>
            </w:r>
          </w:p>
        </w:tc>
        <w:tc>
          <w:tcPr>
            <w:tcW w:w="0" w:type="auto"/>
            <w:shd w:val="clear" w:color="auto" w:fill="auto"/>
          </w:tcPr>
          <w:p w14:paraId="2C11A62D" w14:textId="77777777" w:rsidR="009F2CDD" w:rsidRPr="002056FA" w:rsidRDefault="009F2CDD" w:rsidP="00E169B4">
            <w:pPr>
              <w:pStyle w:val="TableCopy"/>
              <w:rPr>
                <w:rFonts w:eastAsia="Calibri"/>
                <w:lang w:eastAsia="en-US"/>
              </w:rPr>
            </w:pPr>
            <w:bookmarkStart w:id="3" w:name="_Toc397525548"/>
            <w:bookmarkEnd w:id="3"/>
            <w:r w:rsidRPr="002056FA">
              <w:rPr>
                <w:rFonts w:eastAsia="Calibri"/>
                <w:color w:val="000000"/>
                <w:lang w:eastAsia="en-US"/>
              </w:rPr>
              <w:t xml:space="preserve">Refer to response provided in 6.2, noting Energex is not required to submit this information. </w:t>
            </w:r>
          </w:p>
        </w:tc>
      </w:tr>
      <w:tr w:rsidR="009F2CDD" w:rsidRPr="002056FA" w14:paraId="04A04DD5" w14:textId="77777777" w:rsidTr="00E169B4">
        <w:tc>
          <w:tcPr>
            <w:tcW w:w="0" w:type="auto"/>
            <w:shd w:val="clear" w:color="auto" w:fill="auto"/>
          </w:tcPr>
          <w:p w14:paraId="5200F59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6.2(b)(iii)B) </w:t>
            </w:r>
          </w:p>
        </w:tc>
        <w:tc>
          <w:tcPr>
            <w:tcW w:w="0" w:type="auto"/>
            <w:shd w:val="clear" w:color="auto" w:fill="auto"/>
          </w:tcPr>
          <w:p w14:paraId="09DA136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any other higher-level analysis and assumptions applied. </w:t>
            </w:r>
          </w:p>
        </w:tc>
        <w:tc>
          <w:tcPr>
            <w:tcW w:w="0" w:type="auto"/>
            <w:shd w:val="clear" w:color="auto" w:fill="auto"/>
          </w:tcPr>
          <w:p w14:paraId="0E26E15C"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014EE5A1" w14:textId="77777777" w:rsidTr="00E169B4">
        <w:tc>
          <w:tcPr>
            <w:tcW w:w="0" w:type="auto"/>
            <w:shd w:val="clear" w:color="auto" w:fill="auto"/>
          </w:tcPr>
          <w:p w14:paraId="14D69BD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6.2(c) </w:t>
            </w:r>
          </w:p>
        </w:tc>
        <w:tc>
          <w:tcPr>
            <w:tcW w:w="0" w:type="auto"/>
            <w:shd w:val="clear" w:color="auto" w:fill="auto"/>
          </w:tcPr>
          <w:p w14:paraId="0824D76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Describe the </w:t>
            </w:r>
            <w:r w:rsidRPr="002056FA">
              <w:rPr>
                <w:rFonts w:eastAsia="Calibri"/>
                <w:iCs/>
                <w:color w:val="000000"/>
                <w:lang w:eastAsia="en-US"/>
              </w:rPr>
              <w:t xml:space="preserve">projects </w:t>
            </w:r>
            <w:r w:rsidRPr="002056FA">
              <w:rPr>
                <w:rFonts w:eastAsia="Calibri"/>
                <w:color w:val="000000"/>
                <w:lang w:eastAsia="en-US"/>
              </w:rPr>
              <w:t xml:space="preserve">and </w:t>
            </w:r>
            <w:r w:rsidRPr="002056FA">
              <w:rPr>
                <w:rFonts w:eastAsia="Calibri"/>
                <w:iCs/>
                <w:color w:val="000000"/>
                <w:lang w:eastAsia="en-US"/>
              </w:rPr>
              <w:t xml:space="preserve">programs Energex </w:t>
            </w:r>
            <w:r w:rsidRPr="002056FA">
              <w:rPr>
                <w:rFonts w:eastAsia="Calibri"/>
                <w:color w:val="000000"/>
                <w:lang w:eastAsia="en-US"/>
              </w:rPr>
              <w:t xml:space="preserve">has allocated to the unmodelled </w:t>
            </w:r>
            <w:r w:rsidRPr="002056FA">
              <w:rPr>
                <w:rFonts w:eastAsia="Calibri"/>
                <w:iCs/>
                <w:color w:val="000000"/>
                <w:lang w:eastAsia="en-US"/>
              </w:rPr>
              <w:t xml:space="preserve">augmentation </w:t>
            </w:r>
            <w:r w:rsidRPr="002056FA">
              <w:rPr>
                <w:rFonts w:eastAsia="Calibri"/>
                <w:color w:val="000000"/>
                <w:lang w:eastAsia="en-US"/>
              </w:rPr>
              <w:t xml:space="preserve">categories in </w:t>
            </w:r>
            <w:r w:rsidRPr="002056FA">
              <w:rPr>
                <w:rFonts w:eastAsia="Calibri"/>
                <w:iCs/>
                <w:color w:val="000000"/>
                <w:lang w:eastAsia="en-US"/>
              </w:rPr>
              <w:t xml:space="preserve">table </w:t>
            </w:r>
            <w:r w:rsidRPr="002056FA">
              <w:rPr>
                <w:rFonts w:eastAsia="Calibri"/>
                <w:color w:val="000000"/>
                <w:lang w:eastAsia="en-US"/>
              </w:rPr>
              <w:t xml:space="preserve">2.4.6, covering: </w:t>
            </w:r>
          </w:p>
        </w:tc>
        <w:tc>
          <w:tcPr>
            <w:tcW w:w="0" w:type="auto"/>
            <w:shd w:val="clear" w:color="auto" w:fill="auto"/>
          </w:tcPr>
          <w:p w14:paraId="08676308"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54DDD082" w14:textId="77777777" w:rsidTr="00E169B4">
        <w:tc>
          <w:tcPr>
            <w:tcW w:w="0" w:type="auto"/>
            <w:shd w:val="clear" w:color="auto" w:fill="auto"/>
          </w:tcPr>
          <w:p w14:paraId="4ACBFC0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6.2(c)(i) </w:t>
            </w:r>
          </w:p>
        </w:tc>
        <w:tc>
          <w:tcPr>
            <w:tcW w:w="0" w:type="auto"/>
            <w:shd w:val="clear" w:color="auto" w:fill="auto"/>
          </w:tcPr>
          <w:p w14:paraId="0E9138C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proportion of unmodelled </w:t>
            </w:r>
            <w:r w:rsidRPr="002056FA">
              <w:rPr>
                <w:rFonts w:eastAsia="Calibri"/>
                <w:iCs/>
                <w:color w:val="000000"/>
                <w:lang w:eastAsia="en-US"/>
              </w:rPr>
              <w:t xml:space="preserve">augmentation capex </w:t>
            </w:r>
            <w:r w:rsidRPr="002056FA">
              <w:rPr>
                <w:rFonts w:eastAsia="Calibri"/>
                <w:color w:val="000000"/>
                <w:lang w:eastAsia="en-US"/>
              </w:rPr>
              <w:t xml:space="preserve">due to this </w:t>
            </w:r>
            <w:r w:rsidRPr="002056FA">
              <w:rPr>
                <w:rFonts w:eastAsia="Calibri"/>
                <w:iCs/>
                <w:color w:val="000000"/>
                <w:lang w:eastAsia="en-US"/>
              </w:rPr>
              <w:t xml:space="preserve">project </w:t>
            </w:r>
            <w:r w:rsidRPr="002056FA">
              <w:rPr>
                <w:rFonts w:eastAsia="Calibri"/>
                <w:color w:val="000000"/>
                <w:lang w:eastAsia="en-US"/>
              </w:rPr>
              <w:t xml:space="preserve">or </w:t>
            </w:r>
            <w:r w:rsidRPr="002056FA">
              <w:rPr>
                <w:rFonts w:eastAsia="Calibri"/>
                <w:iCs/>
                <w:color w:val="000000"/>
                <w:lang w:eastAsia="en-US"/>
              </w:rPr>
              <w:t xml:space="preserve">program </w:t>
            </w:r>
            <w:r w:rsidRPr="002056FA">
              <w:rPr>
                <w:rFonts w:eastAsia="Calibri"/>
                <w:color w:val="000000"/>
                <w:lang w:eastAsia="en-US"/>
              </w:rPr>
              <w:t xml:space="preserve">type; </w:t>
            </w:r>
          </w:p>
        </w:tc>
        <w:tc>
          <w:tcPr>
            <w:tcW w:w="0" w:type="auto"/>
            <w:shd w:val="clear" w:color="auto" w:fill="auto"/>
          </w:tcPr>
          <w:p w14:paraId="743CA048" w14:textId="77777777" w:rsidR="009F2CDD" w:rsidRPr="002056FA" w:rsidRDefault="009F2CDD" w:rsidP="00E169B4">
            <w:pPr>
              <w:pStyle w:val="TableCopy"/>
              <w:rPr>
                <w:rFonts w:eastAsia="Calibri"/>
                <w:color w:val="0070C0"/>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642209E8" w14:textId="77777777" w:rsidTr="00E169B4">
        <w:tc>
          <w:tcPr>
            <w:tcW w:w="0" w:type="auto"/>
            <w:tcBorders>
              <w:bottom w:val="single" w:sz="4" w:space="0" w:color="auto"/>
            </w:tcBorders>
            <w:shd w:val="clear" w:color="auto" w:fill="auto"/>
          </w:tcPr>
          <w:p w14:paraId="5C94E9D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6.2(c)(ii)</w:t>
            </w:r>
          </w:p>
        </w:tc>
        <w:tc>
          <w:tcPr>
            <w:tcW w:w="0" w:type="auto"/>
            <w:tcBorders>
              <w:bottom w:val="single" w:sz="4" w:space="0" w:color="auto"/>
            </w:tcBorders>
            <w:shd w:val="clear" w:color="auto" w:fill="auto"/>
          </w:tcPr>
          <w:p w14:paraId="57DC869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primary drivers of this capex, and whether in Energex’s view, there is any secondary relationship to maximum demand and/or utilisation of the Energex network; and</w:t>
            </w:r>
          </w:p>
        </w:tc>
        <w:tc>
          <w:tcPr>
            <w:tcW w:w="0" w:type="auto"/>
            <w:tcBorders>
              <w:bottom w:val="single" w:sz="4" w:space="0" w:color="auto"/>
            </w:tcBorders>
            <w:shd w:val="clear" w:color="auto" w:fill="auto"/>
          </w:tcPr>
          <w:p w14:paraId="42236D39"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6A4271E0" w14:textId="77777777" w:rsidTr="00E169B4">
        <w:tc>
          <w:tcPr>
            <w:tcW w:w="0" w:type="auto"/>
            <w:tcBorders>
              <w:bottom w:val="single" w:sz="4" w:space="0" w:color="auto"/>
            </w:tcBorders>
            <w:shd w:val="clear" w:color="auto" w:fill="D0CECE" w:themeFill="background2" w:themeFillShade="E6"/>
          </w:tcPr>
          <w:p w14:paraId="08E3003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6.2(d)</w:t>
            </w:r>
          </w:p>
        </w:tc>
        <w:tc>
          <w:tcPr>
            <w:tcW w:w="0" w:type="auto"/>
            <w:tcBorders>
              <w:bottom w:val="single" w:sz="4" w:space="0" w:color="auto"/>
            </w:tcBorders>
            <w:shd w:val="clear" w:color="auto" w:fill="D0CECE" w:themeFill="background2" w:themeFillShade="E6"/>
          </w:tcPr>
          <w:p w14:paraId="078B3BC2" w14:textId="77777777" w:rsidR="009F2CDD" w:rsidRPr="002056FA" w:rsidRDefault="009F2CDD" w:rsidP="00E169B4">
            <w:pPr>
              <w:pStyle w:val="TableCopy"/>
              <w:rPr>
                <w:rFonts w:eastAsia="Calibri"/>
                <w:lang w:eastAsia="en-US"/>
              </w:rPr>
            </w:pPr>
            <w:r w:rsidRPr="002056FA">
              <w:rPr>
                <w:rFonts w:eastAsia="Calibri"/>
                <w:lang w:eastAsia="en-US"/>
              </w:rPr>
              <w:t>Separately for each network segment that Energex defined in the model segment data table 2.4.5, whether the outcome of such a project or program, whether intended or not, should be an increase in the capability of the Energex network to supply customer demand at similar service levels, or the improvement in service levels for a similar customer demand level:</w:t>
            </w:r>
          </w:p>
        </w:tc>
        <w:tc>
          <w:tcPr>
            <w:tcW w:w="0" w:type="auto"/>
            <w:tcBorders>
              <w:bottom w:val="single" w:sz="4" w:space="0" w:color="auto"/>
            </w:tcBorders>
            <w:shd w:val="clear" w:color="auto" w:fill="D0CECE" w:themeFill="background2" w:themeFillShade="E6"/>
          </w:tcPr>
          <w:p w14:paraId="038040CC" w14:textId="77777777" w:rsidR="009F2CDD" w:rsidRPr="002056FA" w:rsidRDefault="009F2CDD" w:rsidP="00E169B4">
            <w:pPr>
              <w:pStyle w:val="TableCopy"/>
              <w:rPr>
                <w:rFonts w:eastAsia="Calibri"/>
                <w:lang w:eastAsia="en-US"/>
              </w:rPr>
            </w:pPr>
          </w:p>
        </w:tc>
      </w:tr>
      <w:tr w:rsidR="009F2CDD" w:rsidRPr="002056FA" w14:paraId="62E5761C" w14:textId="77777777" w:rsidTr="00E169B4">
        <w:tc>
          <w:tcPr>
            <w:tcW w:w="0" w:type="auto"/>
            <w:shd w:val="clear" w:color="auto" w:fill="D0CECE" w:themeFill="background2" w:themeFillShade="E6"/>
          </w:tcPr>
          <w:p w14:paraId="12179F2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 </w:t>
            </w:r>
          </w:p>
        </w:tc>
        <w:tc>
          <w:tcPr>
            <w:tcW w:w="0" w:type="auto"/>
            <w:shd w:val="clear" w:color="auto" w:fill="D0CECE" w:themeFill="background2" w:themeFillShade="E6"/>
          </w:tcPr>
          <w:p w14:paraId="2F42646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Describe the </w:t>
            </w:r>
            <w:r w:rsidRPr="002056FA">
              <w:rPr>
                <w:rFonts w:eastAsia="Calibri"/>
                <w:iCs/>
                <w:color w:val="000000"/>
                <w:lang w:eastAsia="en-US"/>
              </w:rPr>
              <w:t xml:space="preserve">network </w:t>
            </w:r>
            <w:r w:rsidRPr="002056FA">
              <w:rPr>
                <w:rFonts w:eastAsia="Calibri"/>
                <w:color w:val="000000"/>
                <w:lang w:eastAsia="en-US"/>
              </w:rPr>
              <w:t xml:space="preserve">segment, including: </w:t>
            </w:r>
          </w:p>
        </w:tc>
        <w:tc>
          <w:tcPr>
            <w:tcW w:w="0" w:type="auto"/>
            <w:shd w:val="clear" w:color="auto" w:fill="D0CECE" w:themeFill="background2" w:themeFillShade="E6"/>
          </w:tcPr>
          <w:p w14:paraId="2112A234" w14:textId="77777777" w:rsidR="009F2CDD" w:rsidRPr="002056FA" w:rsidRDefault="009F2CDD" w:rsidP="00E169B4">
            <w:pPr>
              <w:pStyle w:val="TableCopy"/>
              <w:rPr>
                <w:rFonts w:eastAsia="Calibri"/>
                <w:lang w:eastAsia="en-US"/>
              </w:rPr>
            </w:pPr>
          </w:p>
        </w:tc>
      </w:tr>
      <w:tr w:rsidR="009F2CDD" w:rsidRPr="002056FA" w14:paraId="764D42EE" w14:textId="77777777" w:rsidTr="00E169B4">
        <w:tc>
          <w:tcPr>
            <w:tcW w:w="0" w:type="auto"/>
            <w:shd w:val="clear" w:color="auto" w:fill="auto"/>
          </w:tcPr>
          <w:p w14:paraId="17F10C7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6.2(d)(i)(A) </w:t>
            </w:r>
          </w:p>
        </w:tc>
        <w:tc>
          <w:tcPr>
            <w:tcW w:w="0" w:type="auto"/>
            <w:shd w:val="clear" w:color="auto" w:fill="auto"/>
          </w:tcPr>
          <w:p w14:paraId="15788B4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boundary with other connecting </w:t>
            </w:r>
            <w:r w:rsidRPr="002056FA">
              <w:rPr>
                <w:rFonts w:eastAsia="Calibri"/>
                <w:iCs/>
                <w:color w:val="000000"/>
                <w:lang w:eastAsia="en-US"/>
              </w:rPr>
              <w:t xml:space="preserve">network </w:t>
            </w:r>
            <w:r w:rsidRPr="002056FA">
              <w:rPr>
                <w:rFonts w:eastAsia="Calibri"/>
                <w:color w:val="000000"/>
                <w:lang w:eastAsia="en-US"/>
              </w:rPr>
              <w:t xml:space="preserve">segments; and </w:t>
            </w:r>
          </w:p>
        </w:tc>
        <w:tc>
          <w:tcPr>
            <w:tcW w:w="0" w:type="auto"/>
            <w:shd w:val="clear" w:color="auto" w:fill="auto"/>
          </w:tcPr>
          <w:p w14:paraId="4C83C5EF" w14:textId="77777777" w:rsidR="009F2CDD" w:rsidRPr="002056FA" w:rsidRDefault="009F2CDD" w:rsidP="00E169B4">
            <w:pPr>
              <w:pStyle w:val="TableCopy"/>
              <w:rPr>
                <w:rFonts w:eastAsia="Calibri"/>
                <w:lang w:eastAsia="en-US"/>
              </w:rPr>
            </w:pPr>
            <w:bookmarkStart w:id="4" w:name="_Toc395016881"/>
            <w:bookmarkEnd w:id="4"/>
            <w:r w:rsidRPr="002056FA">
              <w:rPr>
                <w:rFonts w:eastAsia="Calibri"/>
                <w:color w:val="000000"/>
                <w:lang w:eastAsia="en-US"/>
              </w:rPr>
              <w:t xml:space="preserve">Refer to response provided in 6.2, noting Energex is not required to submit this information. </w:t>
            </w:r>
          </w:p>
        </w:tc>
      </w:tr>
      <w:tr w:rsidR="009F2CDD" w:rsidRPr="002056FA" w14:paraId="73DB6F2B" w14:textId="77777777" w:rsidTr="00E169B4">
        <w:tc>
          <w:tcPr>
            <w:tcW w:w="0" w:type="auto"/>
            <w:tcBorders>
              <w:bottom w:val="single" w:sz="4" w:space="0" w:color="auto"/>
            </w:tcBorders>
            <w:shd w:val="clear" w:color="auto" w:fill="auto"/>
          </w:tcPr>
          <w:p w14:paraId="0D0D8DE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6.2(d)(i)(B) </w:t>
            </w:r>
          </w:p>
        </w:tc>
        <w:tc>
          <w:tcPr>
            <w:tcW w:w="0" w:type="auto"/>
            <w:tcBorders>
              <w:bottom w:val="single" w:sz="4" w:space="0" w:color="auto"/>
            </w:tcBorders>
            <w:shd w:val="clear" w:color="auto" w:fill="auto"/>
          </w:tcPr>
          <w:p w14:paraId="5C0906D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main reasoning for the individual segment (e.g. as opposed to forming a more aggregate segment). </w:t>
            </w:r>
          </w:p>
        </w:tc>
        <w:tc>
          <w:tcPr>
            <w:tcW w:w="0" w:type="auto"/>
            <w:tcBorders>
              <w:bottom w:val="single" w:sz="4" w:space="0" w:color="auto"/>
            </w:tcBorders>
            <w:shd w:val="clear" w:color="auto" w:fill="auto"/>
          </w:tcPr>
          <w:p w14:paraId="61577975"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09568CE3" w14:textId="77777777" w:rsidTr="00E169B4">
        <w:tc>
          <w:tcPr>
            <w:tcW w:w="0" w:type="auto"/>
            <w:shd w:val="clear" w:color="auto" w:fill="D0CECE" w:themeFill="background2" w:themeFillShade="E6"/>
          </w:tcPr>
          <w:p w14:paraId="4444B38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6.2(d)(ii)</w:t>
            </w:r>
          </w:p>
        </w:tc>
        <w:tc>
          <w:tcPr>
            <w:tcW w:w="0" w:type="auto"/>
            <w:shd w:val="clear" w:color="auto" w:fill="D0CECE" w:themeFill="background2" w:themeFillShade="E6"/>
          </w:tcPr>
          <w:p w14:paraId="1AA7A23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Explain the utilisation threshold statistics provided (i.e. the mean and standard deviation), including:</w:t>
            </w:r>
          </w:p>
        </w:tc>
        <w:tc>
          <w:tcPr>
            <w:tcW w:w="0" w:type="auto"/>
            <w:shd w:val="clear" w:color="auto" w:fill="D0CECE" w:themeFill="background2" w:themeFillShade="E6"/>
          </w:tcPr>
          <w:p w14:paraId="2C0650CD" w14:textId="77777777" w:rsidR="009F2CDD" w:rsidRPr="002056FA" w:rsidRDefault="009F2CDD" w:rsidP="00E169B4">
            <w:pPr>
              <w:pStyle w:val="TableCopy"/>
              <w:rPr>
                <w:rFonts w:eastAsia="Calibri"/>
                <w:lang w:eastAsia="en-US"/>
              </w:rPr>
            </w:pPr>
          </w:p>
        </w:tc>
      </w:tr>
      <w:tr w:rsidR="009F2CDD" w:rsidRPr="002056FA" w14:paraId="25AC667B" w14:textId="77777777" w:rsidTr="00E169B4">
        <w:tc>
          <w:tcPr>
            <w:tcW w:w="0" w:type="auto"/>
            <w:shd w:val="clear" w:color="auto" w:fill="auto"/>
          </w:tcPr>
          <w:p w14:paraId="58678DB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6.2(d)(ii)(A) </w:t>
            </w:r>
          </w:p>
        </w:tc>
        <w:tc>
          <w:tcPr>
            <w:tcW w:w="0" w:type="auto"/>
            <w:shd w:val="clear" w:color="auto" w:fill="auto"/>
          </w:tcPr>
          <w:p w14:paraId="17B4C0F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methodology, data sources and assumptions used to derive the parameters; </w:t>
            </w:r>
          </w:p>
        </w:tc>
        <w:tc>
          <w:tcPr>
            <w:tcW w:w="0" w:type="auto"/>
            <w:shd w:val="clear" w:color="auto" w:fill="auto"/>
          </w:tcPr>
          <w:p w14:paraId="0C5B4D2D"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4C819E8F" w14:textId="77777777" w:rsidTr="00E169B4">
        <w:tc>
          <w:tcPr>
            <w:tcW w:w="0" w:type="auto"/>
            <w:shd w:val="clear" w:color="auto" w:fill="auto"/>
          </w:tcPr>
          <w:p w14:paraId="61E439D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6.2(d)(ii)(B) </w:t>
            </w:r>
          </w:p>
        </w:tc>
        <w:tc>
          <w:tcPr>
            <w:tcW w:w="0" w:type="auto"/>
            <w:shd w:val="clear" w:color="auto" w:fill="auto"/>
          </w:tcPr>
          <w:p w14:paraId="0B8B35E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relationship to internal or external planning criteria that define when an </w:t>
            </w:r>
            <w:r w:rsidRPr="002056FA">
              <w:rPr>
                <w:rFonts w:eastAsia="Calibri"/>
                <w:iCs/>
                <w:color w:val="000000"/>
                <w:lang w:eastAsia="en-US"/>
              </w:rPr>
              <w:t xml:space="preserve">augmentation </w:t>
            </w:r>
            <w:r w:rsidRPr="002056FA">
              <w:rPr>
                <w:rFonts w:eastAsia="Calibri"/>
                <w:color w:val="000000"/>
                <w:lang w:eastAsia="en-US"/>
              </w:rPr>
              <w:t xml:space="preserve">is required; </w:t>
            </w:r>
          </w:p>
        </w:tc>
        <w:tc>
          <w:tcPr>
            <w:tcW w:w="0" w:type="auto"/>
            <w:shd w:val="clear" w:color="auto" w:fill="auto"/>
          </w:tcPr>
          <w:p w14:paraId="769EFDF5"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48373B0D" w14:textId="77777777" w:rsidTr="00E169B4">
        <w:tc>
          <w:tcPr>
            <w:tcW w:w="0" w:type="auto"/>
            <w:shd w:val="clear" w:color="auto" w:fill="auto"/>
          </w:tcPr>
          <w:p w14:paraId="23ACA5D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6.2(d)(ii)(C) </w:t>
            </w:r>
          </w:p>
        </w:tc>
        <w:tc>
          <w:tcPr>
            <w:tcW w:w="0" w:type="auto"/>
            <w:shd w:val="clear" w:color="auto" w:fill="auto"/>
          </w:tcPr>
          <w:p w14:paraId="31633DC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relationship to actual historical utilisation at the time that </w:t>
            </w:r>
            <w:r w:rsidRPr="002056FA">
              <w:rPr>
                <w:rFonts w:eastAsia="Calibri"/>
                <w:iCs/>
                <w:color w:val="000000"/>
                <w:lang w:eastAsia="en-US"/>
              </w:rPr>
              <w:t xml:space="preserve">augmentations </w:t>
            </w:r>
            <w:r w:rsidRPr="002056FA">
              <w:rPr>
                <w:rFonts w:eastAsia="Calibri"/>
                <w:color w:val="000000"/>
                <w:lang w:eastAsia="en-US"/>
              </w:rPr>
              <w:t xml:space="preserve">occurred for that </w:t>
            </w:r>
            <w:r w:rsidRPr="002056FA">
              <w:rPr>
                <w:rFonts w:eastAsia="Calibri"/>
                <w:iCs/>
                <w:color w:val="000000"/>
                <w:lang w:eastAsia="en-US"/>
              </w:rPr>
              <w:t xml:space="preserve">asset </w:t>
            </w:r>
            <w:r w:rsidRPr="002056FA">
              <w:rPr>
                <w:rFonts w:eastAsia="Calibri"/>
                <w:color w:val="000000"/>
                <w:lang w:eastAsia="en-US"/>
              </w:rPr>
              <w:t xml:space="preserve">category; </w:t>
            </w:r>
          </w:p>
        </w:tc>
        <w:tc>
          <w:tcPr>
            <w:tcW w:w="0" w:type="auto"/>
            <w:shd w:val="clear" w:color="auto" w:fill="auto"/>
          </w:tcPr>
          <w:p w14:paraId="47454A1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3B3E2B21" w14:textId="77777777" w:rsidTr="00E169B4">
        <w:tc>
          <w:tcPr>
            <w:tcW w:w="0" w:type="auto"/>
            <w:shd w:val="clear" w:color="auto" w:fill="auto"/>
          </w:tcPr>
          <w:p w14:paraId="09E1498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6.2(d)(ii)(D) </w:t>
            </w:r>
          </w:p>
        </w:tc>
        <w:tc>
          <w:tcPr>
            <w:tcW w:w="0" w:type="auto"/>
            <w:shd w:val="clear" w:color="auto" w:fill="auto"/>
          </w:tcPr>
          <w:p w14:paraId="22CD7CE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w:t>
            </w:r>
            <w:r w:rsidRPr="002056FA">
              <w:rPr>
                <w:rFonts w:eastAsia="Calibri"/>
                <w:iCs/>
                <w:color w:val="000000"/>
                <w:lang w:eastAsia="en-US"/>
              </w:rPr>
              <w:t xml:space="preserve"> </w:t>
            </w:r>
            <w:r w:rsidRPr="002056FA">
              <w:rPr>
                <w:rFonts w:eastAsia="Calibri"/>
                <w:color w:val="000000"/>
                <w:lang w:eastAsia="en-US"/>
              </w:rPr>
              <w:t xml:space="preserve">views on the most appropriate probability distribution to simulate the </w:t>
            </w:r>
            <w:r w:rsidRPr="002056FA">
              <w:rPr>
                <w:rFonts w:eastAsia="Calibri"/>
                <w:iCs/>
                <w:color w:val="000000"/>
                <w:lang w:eastAsia="en-US"/>
              </w:rPr>
              <w:t xml:space="preserve">augmentation </w:t>
            </w:r>
            <w:r w:rsidRPr="002056FA">
              <w:rPr>
                <w:rFonts w:eastAsia="Calibri"/>
                <w:color w:val="000000"/>
                <w:lang w:eastAsia="en-US"/>
              </w:rPr>
              <w:t xml:space="preserve">needs of that </w:t>
            </w:r>
            <w:r w:rsidRPr="002056FA">
              <w:rPr>
                <w:rFonts w:eastAsia="Calibri"/>
                <w:iCs/>
                <w:color w:val="000000"/>
                <w:lang w:eastAsia="en-US"/>
              </w:rPr>
              <w:t xml:space="preserve">network </w:t>
            </w:r>
            <w:r w:rsidRPr="002056FA">
              <w:rPr>
                <w:rFonts w:eastAsia="Calibri"/>
                <w:color w:val="000000"/>
                <w:lang w:eastAsia="en-US"/>
              </w:rPr>
              <w:t xml:space="preserve">segment; and </w:t>
            </w:r>
          </w:p>
        </w:tc>
        <w:tc>
          <w:tcPr>
            <w:tcW w:w="0" w:type="auto"/>
            <w:shd w:val="clear" w:color="auto" w:fill="auto"/>
          </w:tcPr>
          <w:p w14:paraId="403E909A"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0C2F23EB" w14:textId="77777777" w:rsidTr="00E169B4">
        <w:tc>
          <w:tcPr>
            <w:tcW w:w="0" w:type="auto"/>
            <w:shd w:val="clear" w:color="auto" w:fill="auto"/>
          </w:tcPr>
          <w:p w14:paraId="5B0959E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6.2(d)(ii)(E) </w:t>
            </w:r>
          </w:p>
        </w:tc>
        <w:tc>
          <w:tcPr>
            <w:tcW w:w="0" w:type="auto"/>
            <w:shd w:val="clear" w:color="auto" w:fill="auto"/>
          </w:tcPr>
          <w:p w14:paraId="10CA75E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process applied to verify that the parameters are a reasonable estimate of utilisation limit for the </w:t>
            </w:r>
            <w:r w:rsidRPr="002056FA">
              <w:rPr>
                <w:rFonts w:eastAsia="Calibri"/>
                <w:iCs/>
                <w:color w:val="000000"/>
                <w:lang w:eastAsia="en-US"/>
              </w:rPr>
              <w:t xml:space="preserve">network </w:t>
            </w:r>
            <w:r w:rsidRPr="002056FA">
              <w:rPr>
                <w:rFonts w:eastAsia="Calibri"/>
                <w:color w:val="000000"/>
                <w:lang w:eastAsia="en-US"/>
              </w:rPr>
              <w:t xml:space="preserve">segment. </w:t>
            </w:r>
          </w:p>
        </w:tc>
        <w:tc>
          <w:tcPr>
            <w:tcW w:w="0" w:type="auto"/>
            <w:shd w:val="clear" w:color="auto" w:fill="auto"/>
          </w:tcPr>
          <w:p w14:paraId="421A760A"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53D6B42D" w14:textId="77777777" w:rsidTr="00E169B4">
        <w:tc>
          <w:tcPr>
            <w:tcW w:w="0" w:type="auto"/>
            <w:shd w:val="clear" w:color="auto" w:fill="auto"/>
          </w:tcPr>
          <w:p w14:paraId="0781B06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6.2(d)(iii)</w:t>
            </w:r>
          </w:p>
        </w:tc>
        <w:tc>
          <w:tcPr>
            <w:tcW w:w="0" w:type="auto"/>
            <w:shd w:val="clear" w:color="auto" w:fill="auto"/>
          </w:tcPr>
          <w:p w14:paraId="15587A6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Regarding the augmentation unit cost and capacity factor provided, provide an explanation of each of:</w:t>
            </w:r>
          </w:p>
        </w:tc>
        <w:tc>
          <w:tcPr>
            <w:tcW w:w="0" w:type="auto"/>
            <w:shd w:val="clear" w:color="auto" w:fill="auto"/>
          </w:tcPr>
          <w:p w14:paraId="7E5D140A" w14:textId="77777777" w:rsidR="009F2CDD" w:rsidRPr="002056FA" w:rsidRDefault="009F2CDD" w:rsidP="00E169B4">
            <w:pPr>
              <w:pStyle w:val="TableCopy"/>
              <w:rPr>
                <w:rFonts w:eastAsia="Calibri"/>
                <w:lang w:eastAsia="en-US"/>
              </w:rPr>
            </w:pPr>
          </w:p>
        </w:tc>
      </w:tr>
      <w:tr w:rsidR="009F2CDD" w:rsidRPr="002056FA" w14:paraId="0E83D684" w14:textId="77777777" w:rsidTr="00E169B4">
        <w:tc>
          <w:tcPr>
            <w:tcW w:w="0" w:type="auto"/>
            <w:shd w:val="clear" w:color="auto" w:fill="auto"/>
          </w:tcPr>
          <w:p w14:paraId="6ECAF59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6.2(d)(iii)(A) </w:t>
            </w:r>
          </w:p>
        </w:tc>
        <w:tc>
          <w:tcPr>
            <w:tcW w:w="0" w:type="auto"/>
            <w:shd w:val="clear" w:color="auto" w:fill="auto"/>
          </w:tcPr>
          <w:p w14:paraId="7B3C9A7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methodology, data sources and assumptions used to derive the parameters; </w:t>
            </w:r>
          </w:p>
        </w:tc>
        <w:tc>
          <w:tcPr>
            <w:tcW w:w="0" w:type="auto"/>
            <w:shd w:val="clear" w:color="auto" w:fill="auto"/>
          </w:tcPr>
          <w:p w14:paraId="5EFF9855" w14:textId="77777777" w:rsidR="009F2CDD" w:rsidRPr="002056FA" w:rsidRDefault="009F2CDD" w:rsidP="00E169B4">
            <w:pPr>
              <w:pStyle w:val="TableCopy"/>
              <w:rPr>
                <w:rFonts w:eastAsia="Calibri"/>
                <w:b/>
                <w:color w:val="0070C0"/>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2676792A" w14:textId="77777777" w:rsidTr="00E169B4">
        <w:tc>
          <w:tcPr>
            <w:tcW w:w="0" w:type="auto"/>
            <w:shd w:val="clear" w:color="auto" w:fill="auto"/>
          </w:tcPr>
          <w:p w14:paraId="72C92D1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6.2(d)(iii)(B) </w:t>
            </w:r>
          </w:p>
        </w:tc>
        <w:tc>
          <w:tcPr>
            <w:tcW w:w="0" w:type="auto"/>
            <w:shd w:val="clear" w:color="auto" w:fill="auto"/>
          </w:tcPr>
          <w:p w14:paraId="2AD2B7F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relationship of the parameters to actual historical </w:t>
            </w:r>
            <w:r w:rsidRPr="002056FA">
              <w:rPr>
                <w:rFonts w:eastAsia="Calibri"/>
                <w:iCs/>
                <w:color w:val="000000"/>
                <w:lang w:eastAsia="en-US"/>
              </w:rPr>
              <w:t>augmentation projects</w:t>
            </w:r>
            <w:r w:rsidRPr="002056FA">
              <w:rPr>
                <w:rFonts w:eastAsia="Calibri"/>
                <w:color w:val="000000"/>
                <w:lang w:eastAsia="en-US"/>
              </w:rPr>
              <w:t xml:space="preserve">, including the capacity added through those </w:t>
            </w:r>
            <w:r w:rsidRPr="002056FA">
              <w:rPr>
                <w:rFonts w:eastAsia="Calibri"/>
                <w:iCs/>
                <w:color w:val="000000"/>
                <w:lang w:eastAsia="en-US"/>
              </w:rPr>
              <w:t xml:space="preserve">projects </w:t>
            </w:r>
            <w:r w:rsidRPr="002056FA">
              <w:rPr>
                <w:rFonts w:eastAsia="Calibri"/>
                <w:color w:val="000000"/>
                <w:lang w:eastAsia="en-US"/>
              </w:rPr>
              <w:t xml:space="preserve">and the cost of those </w:t>
            </w:r>
            <w:r w:rsidRPr="002056FA">
              <w:rPr>
                <w:rFonts w:eastAsia="Calibri"/>
                <w:iCs/>
                <w:color w:val="000000"/>
                <w:lang w:eastAsia="en-US"/>
              </w:rPr>
              <w:t>projects</w:t>
            </w:r>
            <w:r w:rsidRPr="002056FA">
              <w:rPr>
                <w:rFonts w:eastAsia="Calibri"/>
                <w:color w:val="000000"/>
                <w:lang w:eastAsia="en-US"/>
              </w:rPr>
              <w:t xml:space="preserve">; </w:t>
            </w:r>
          </w:p>
        </w:tc>
        <w:tc>
          <w:tcPr>
            <w:tcW w:w="0" w:type="auto"/>
            <w:shd w:val="clear" w:color="auto" w:fill="auto"/>
          </w:tcPr>
          <w:p w14:paraId="70E89A5B"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1976A407" w14:textId="77777777" w:rsidTr="00E169B4">
        <w:tc>
          <w:tcPr>
            <w:tcW w:w="0" w:type="auto"/>
            <w:shd w:val="clear" w:color="auto" w:fill="auto"/>
          </w:tcPr>
          <w:p w14:paraId="2A130D8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6.2(d)(iii)(C) </w:t>
            </w:r>
          </w:p>
        </w:tc>
        <w:tc>
          <w:tcPr>
            <w:tcW w:w="0" w:type="auto"/>
            <w:shd w:val="clear" w:color="auto" w:fill="auto"/>
          </w:tcPr>
          <w:p w14:paraId="37FA187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possibility of double-counting in the estimates, and processes applied to ensure that this is appropriately accounted for (e.g. where an individual </w:t>
            </w:r>
            <w:r w:rsidRPr="002056FA">
              <w:rPr>
                <w:rFonts w:eastAsia="Calibri"/>
                <w:iCs/>
                <w:color w:val="000000"/>
                <w:lang w:eastAsia="en-US"/>
              </w:rPr>
              <w:t xml:space="preserve">project </w:t>
            </w:r>
            <w:r w:rsidRPr="002056FA">
              <w:rPr>
                <w:rFonts w:eastAsia="Calibri"/>
                <w:color w:val="000000"/>
                <w:lang w:eastAsia="en-US"/>
              </w:rPr>
              <w:t xml:space="preserve">may add capacity to various segments); and </w:t>
            </w:r>
          </w:p>
        </w:tc>
        <w:tc>
          <w:tcPr>
            <w:tcW w:w="0" w:type="auto"/>
            <w:shd w:val="clear" w:color="auto" w:fill="auto"/>
          </w:tcPr>
          <w:p w14:paraId="108A01E0"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7DCB4D30" w14:textId="77777777" w:rsidTr="00E169B4">
        <w:tc>
          <w:tcPr>
            <w:tcW w:w="0" w:type="auto"/>
            <w:shd w:val="clear" w:color="auto" w:fill="auto"/>
          </w:tcPr>
          <w:p w14:paraId="777F561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6.2(d)(iii)(D) </w:t>
            </w:r>
          </w:p>
        </w:tc>
        <w:tc>
          <w:tcPr>
            <w:tcW w:w="0" w:type="auto"/>
            <w:shd w:val="clear" w:color="auto" w:fill="auto"/>
          </w:tcPr>
          <w:p w14:paraId="6B1791D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process applied to verify that the parameters are a reasonable estimate for the </w:t>
            </w:r>
            <w:r w:rsidRPr="002056FA">
              <w:rPr>
                <w:rFonts w:eastAsia="Calibri"/>
                <w:iCs/>
                <w:color w:val="000000"/>
                <w:lang w:eastAsia="en-US"/>
              </w:rPr>
              <w:t xml:space="preserve">network </w:t>
            </w:r>
            <w:r w:rsidRPr="002056FA">
              <w:rPr>
                <w:rFonts w:eastAsia="Calibri"/>
                <w:color w:val="000000"/>
                <w:lang w:eastAsia="en-US"/>
              </w:rPr>
              <w:t xml:space="preserve">segment. </w:t>
            </w:r>
          </w:p>
        </w:tc>
        <w:tc>
          <w:tcPr>
            <w:tcW w:w="0" w:type="auto"/>
            <w:shd w:val="clear" w:color="auto" w:fill="auto"/>
          </w:tcPr>
          <w:p w14:paraId="0243CAE4"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3BAE2A0A" w14:textId="77777777" w:rsidTr="00E169B4">
        <w:tc>
          <w:tcPr>
            <w:tcW w:w="0" w:type="auto"/>
            <w:shd w:val="clear" w:color="auto" w:fill="auto"/>
          </w:tcPr>
          <w:p w14:paraId="7B5D2BC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6.2(e) </w:t>
            </w:r>
          </w:p>
        </w:tc>
        <w:tc>
          <w:tcPr>
            <w:tcW w:w="0" w:type="auto"/>
            <w:shd w:val="clear" w:color="auto" w:fill="auto"/>
          </w:tcPr>
          <w:p w14:paraId="4064DC6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Explain the factors </w:t>
            </w:r>
            <w:r w:rsidRPr="002056FA">
              <w:rPr>
                <w:rFonts w:eastAsia="Calibri"/>
                <w:iCs/>
                <w:color w:val="000000"/>
                <w:lang w:eastAsia="en-US"/>
              </w:rPr>
              <w:t xml:space="preserve">Energex </w:t>
            </w:r>
            <w:r w:rsidRPr="002056FA">
              <w:rPr>
                <w:rFonts w:eastAsia="Calibri"/>
                <w:color w:val="000000"/>
                <w:lang w:eastAsia="en-US"/>
              </w:rPr>
              <w:t xml:space="preserve">considers may result in different </w:t>
            </w:r>
            <w:r w:rsidRPr="002056FA">
              <w:rPr>
                <w:rFonts w:eastAsia="Calibri"/>
                <w:iCs/>
                <w:color w:val="000000"/>
                <w:lang w:eastAsia="en-US"/>
              </w:rPr>
              <w:t xml:space="preserve">augmentation </w:t>
            </w:r>
            <w:r w:rsidRPr="002056FA">
              <w:rPr>
                <w:rFonts w:eastAsia="Calibri"/>
                <w:color w:val="000000"/>
                <w:lang w:eastAsia="en-US"/>
              </w:rPr>
              <w:t xml:space="preserve">requirements for itself as compared to other NEM-based DNSPs. </w:t>
            </w:r>
            <w:r w:rsidRPr="002056FA">
              <w:rPr>
                <w:rFonts w:eastAsia="Calibri"/>
                <w:iCs/>
                <w:color w:val="000000"/>
                <w:lang w:eastAsia="en-US"/>
              </w:rPr>
              <w:t xml:space="preserve">Energex </w:t>
            </w:r>
            <w:r w:rsidRPr="002056FA">
              <w:rPr>
                <w:rFonts w:eastAsia="Calibri"/>
                <w:color w:val="000000"/>
                <w:lang w:eastAsia="en-US"/>
              </w:rPr>
              <w:t xml:space="preserve">must account for the degree that different </w:t>
            </w:r>
            <w:r w:rsidRPr="002056FA">
              <w:rPr>
                <w:rFonts w:eastAsia="Calibri"/>
                <w:iCs/>
                <w:color w:val="000000"/>
                <w:lang w:eastAsia="en-US"/>
              </w:rPr>
              <w:t xml:space="preserve">augmentation </w:t>
            </w:r>
            <w:r w:rsidRPr="002056FA">
              <w:rPr>
                <w:rFonts w:eastAsia="Calibri"/>
                <w:color w:val="000000"/>
                <w:lang w:eastAsia="en-US"/>
              </w:rPr>
              <w:t xml:space="preserve">requirements are driven by differences in </w:t>
            </w:r>
            <w:r w:rsidRPr="002056FA">
              <w:rPr>
                <w:rFonts w:eastAsia="Calibri"/>
                <w:iCs/>
                <w:color w:val="000000"/>
                <w:lang w:eastAsia="en-US"/>
              </w:rPr>
              <w:t xml:space="preserve">asset </w:t>
            </w:r>
            <w:r w:rsidRPr="002056FA">
              <w:rPr>
                <w:rFonts w:eastAsia="Calibri"/>
                <w:color w:val="000000"/>
                <w:lang w:eastAsia="en-US"/>
              </w:rPr>
              <w:t xml:space="preserve">utilisation and </w:t>
            </w:r>
            <w:r w:rsidRPr="002056FA">
              <w:rPr>
                <w:rFonts w:eastAsia="Calibri"/>
                <w:iCs/>
                <w:color w:val="000000"/>
                <w:lang w:eastAsia="en-US"/>
              </w:rPr>
              <w:t xml:space="preserve">maximum demand </w:t>
            </w:r>
            <w:r w:rsidRPr="002056FA">
              <w:rPr>
                <w:rFonts w:eastAsia="Calibri"/>
                <w:color w:val="000000"/>
                <w:lang w:eastAsia="en-US"/>
              </w:rPr>
              <w:t xml:space="preserve">growth. </w:t>
            </w:r>
            <w:r w:rsidRPr="002056FA">
              <w:rPr>
                <w:rFonts w:eastAsia="Calibri"/>
                <w:iCs/>
                <w:color w:val="000000"/>
                <w:lang w:eastAsia="en-US"/>
              </w:rPr>
              <w:t xml:space="preserve">Energex </w:t>
            </w:r>
            <w:r w:rsidRPr="002056FA">
              <w:rPr>
                <w:rFonts w:eastAsia="Calibri"/>
                <w:color w:val="000000"/>
                <w:lang w:eastAsia="en-US"/>
              </w:rPr>
              <w:t xml:space="preserve">must also explain all other factors, specific to its </w:t>
            </w:r>
            <w:r w:rsidRPr="002056FA">
              <w:rPr>
                <w:rFonts w:eastAsia="Calibri"/>
                <w:iCs/>
                <w:color w:val="000000"/>
                <w:lang w:eastAsia="en-US"/>
              </w:rPr>
              <w:t>network</w:t>
            </w:r>
            <w:r w:rsidRPr="002056FA">
              <w:rPr>
                <w:rFonts w:eastAsia="Calibri"/>
                <w:color w:val="000000"/>
                <w:lang w:eastAsia="en-US"/>
              </w:rPr>
              <w:t xml:space="preserve">, which would result in different </w:t>
            </w:r>
            <w:r w:rsidRPr="002056FA">
              <w:rPr>
                <w:rFonts w:eastAsia="Calibri"/>
                <w:iCs/>
                <w:color w:val="000000"/>
                <w:lang w:eastAsia="en-US"/>
              </w:rPr>
              <w:t xml:space="preserve">augmentation </w:t>
            </w:r>
            <w:r w:rsidRPr="002056FA">
              <w:rPr>
                <w:rFonts w:eastAsia="Calibri"/>
                <w:color w:val="000000"/>
                <w:lang w:eastAsia="en-US"/>
              </w:rPr>
              <w:t xml:space="preserve">requirements when compared to a DNSP with similar </w:t>
            </w:r>
            <w:r w:rsidRPr="002056FA">
              <w:rPr>
                <w:rFonts w:eastAsia="Calibri"/>
                <w:iCs/>
                <w:color w:val="000000"/>
                <w:lang w:eastAsia="en-US"/>
              </w:rPr>
              <w:t xml:space="preserve">asset </w:t>
            </w:r>
            <w:r w:rsidRPr="002056FA">
              <w:rPr>
                <w:rFonts w:eastAsia="Calibri"/>
                <w:color w:val="000000"/>
                <w:lang w:eastAsia="en-US"/>
              </w:rPr>
              <w:t xml:space="preserve">utilisation and </w:t>
            </w:r>
            <w:r w:rsidRPr="002056FA">
              <w:rPr>
                <w:rFonts w:eastAsia="Calibri"/>
                <w:iCs/>
                <w:color w:val="000000"/>
                <w:lang w:eastAsia="en-US"/>
              </w:rPr>
              <w:t xml:space="preserve">maximum demand </w:t>
            </w:r>
            <w:r w:rsidRPr="002056FA">
              <w:rPr>
                <w:rFonts w:eastAsia="Calibri"/>
                <w:color w:val="000000"/>
                <w:lang w:eastAsia="en-US"/>
              </w:rPr>
              <w:t xml:space="preserve">growth. The explanation must clearly indicate those factors that may impact: </w:t>
            </w:r>
          </w:p>
        </w:tc>
        <w:tc>
          <w:tcPr>
            <w:tcW w:w="0" w:type="auto"/>
            <w:shd w:val="clear" w:color="auto" w:fill="auto"/>
          </w:tcPr>
          <w:p w14:paraId="7867A83D"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1205DD30" w14:textId="77777777" w:rsidTr="00E169B4">
        <w:tc>
          <w:tcPr>
            <w:tcW w:w="0" w:type="auto"/>
            <w:shd w:val="clear" w:color="auto" w:fill="auto"/>
          </w:tcPr>
          <w:p w14:paraId="238FA17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6.2(e)(i) </w:t>
            </w:r>
          </w:p>
        </w:tc>
        <w:tc>
          <w:tcPr>
            <w:tcW w:w="0" w:type="auto"/>
            <w:shd w:val="clear" w:color="auto" w:fill="auto"/>
          </w:tcPr>
          <w:p w14:paraId="5832384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maximum achievable utilisation of </w:t>
            </w:r>
            <w:r w:rsidRPr="002056FA">
              <w:rPr>
                <w:rFonts w:eastAsia="Calibri"/>
                <w:iCs/>
                <w:color w:val="000000"/>
                <w:lang w:eastAsia="en-US"/>
              </w:rPr>
              <w:t xml:space="preserve">assets </w:t>
            </w:r>
            <w:r w:rsidRPr="002056FA">
              <w:rPr>
                <w:rFonts w:eastAsia="Calibri"/>
                <w:color w:val="000000"/>
                <w:lang w:eastAsia="en-US"/>
              </w:rPr>
              <w:t xml:space="preserve">for Energex; and </w:t>
            </w:r>
          </w:p>
        </w:tc>
        <w:tc>
          <w:tcPr>
            <w:tcW w:w="0" w:type="auto"/>
            <w:shd w:val="clear" w:color="auto" w:fill="auto"/>
          </w:tcPr>
          <w:p w14:paraId="19A60B22"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28184F2F" w14:textId="77777777" w:rsidTr="00E169B4">
        <w:tc>
          <w:tcPr>
            <w:tcW w:w="0" w:type="auto"/>
            <w:shd w:val="clear" w:color="auto" w:fill="auto"/>
          </w:tcPr>
          <w:p w14:paraId="0603390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6.2(e)(ii) </w:t>
            </w:r>
          </w:p>
        </w:tc>
        <w:tc>
          <w:tcPr>
            <w:tcW w:w="0" w:type="auto"/>
            <w:shd w:val="clear" w:color="auto" w:fill="auto"/>
          </w:tcPr>
          <w:p w14:paraId="44AEA88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likely </w:t>
            </w:r>
            <w:r w:rsidRPr="002056FA">
              <w:rPr>
                <w:rFonts w:eastAsia="Calibri"/>
                <w:iCs/>
                <w:color w:val="000000"/>
                <w:lang w:eastAsia="en-US"/>
              </w:rPr>
              <w:t xml:space="preserve">augmentation project </w:t>
            </w:r>
            <w:r w:rsidRPr="002056FA">
              <w:rPr>
                <w:rFonts w:eastAsia="Calibri"/>
                <w:color w:val="000000"/>
                <w:lang w:eastAsia="en-US"/>
              </w:rPr>
              <w:t xml:space="preserve">and/or cost. </w:t>
            </w:r>
          </w:p>
        </w:tc>
        <w:tc>
          <w:tcPr>
            <w:tcW w:w="0" w:type="auto"/>
            <w:shd w:val="clear" w:color="auto" w:fill="auto"/>
          </w:tcPr>
          <w:p w14:paraId="7B84936A"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276E2039" w14:textId="77777777" w:rsidTr="00E169B4">
        <w:tc>
          <w:tcPr>
            <w:tcW w:w="0" w:type="auto"/>
            <w:tcBorders>
              <w:bottom w:val="single" w:sz="4" w:space="0" w:color="auto"/>
            </w:tcBorders>
            <w:shd w:val="clear" w:color="auto" w:fill="auto"/>
          </w:tcPr>
          <w:p w14:paraId="47A2735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6.2(e) </w:t>
            </w:r>
          </w:p>
        </w:tc>
        <w:tc>
          <w:tcPr>
            <w:tcW w:w="0" w:type="auto"/>
            <w:tcBorders>
              <w:bottom w:val="single" w:sz="4" w:space="0" w:color="auto"/>
            </w:tcBorders>
            <w:shd w:val="clear" w:color="auto" w:fill="auto"/>
          </w:tcPr>
          <w:p w14:paraId="3E2FFCC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For each significant factor discussed, </w:t>
            </w:r>
            <w:r w:rsidRPr="002056FA">
              <w:rPr>
                <w:rFonts w:eastAsia="Calibri"/>
                <w:iCs/>
                <w:color w:val="000000"/>
                <w:lang w:eastAsia="en-US"/>
              </w:rPr>
              <w:t xml:space="preserve">Energex </w:t>
            </w:r>
            <w:r w:rsidRPr="002056FA">
              <w:rPr>
                <w:rFonts w:eastAsia="Calibri"/>
                <w:color w:val="000000"/>
                <w:lang w:eastAsia="en-US"/>
              </w:rPr>
              <w:t xml:space="preserve">must indicate relevant model segments and estimate the impact these factors will have on its </w:t>
            </w:r>
            <w:r w:rsidRPr="002056FA">
              <w:rPr>
                <w:rFonts w:eastAsia="Calibri"/>
                <w:iCs/>
                <w:color w:val="000000"/>
                <w:lang w:eastAsia="en-US"/>
              </w:rPr>
              <w:t xml:space="preserve">augmentation </w:t>
            </w:r>
            <w:r w:rsidRPr="002056FA">
              <w:rPr>
                <w:rFonts w:eastAsia="Calibri"/>
                <w:color w:val="000000"/>
                <w:lang w:eastAsia="en-US"/>
              </w:rPr>
              <w:t xml:space="preserve">levels and associated </w:t>
            </w:r>
            <w:r w:rsidRPr="002056FA">
              <w:rPr>
                <w:rFonts w:eastAsia="Calibri"/>
                <w:iCs/>
                <w:color w:val="000000"/>
                <w:lang w:eastAsia="en-US"/>
              </w:rPr>
              <w:t xml:space="preserve">capex </w:t>
            </w:r>
            <w:r w:rsidRPr="002056FA">
              <w:rPr>
                <w:rFonts w:eastAsia="Calibri"/>
                <w:color w:val="000000"/>
                <w:lang w:eastAsia="en-US"/>
              </w:rPr>
              <w:t xml:space="preserve">compared to other DNSPs. </w:t>
            </w:r>
          </w:p>
        </w:tc>
        <w:tc>
          <w:tcPr>
            <w:tcW w:w="0" w:type="auto"/>
            <w:tcBorders>
              <w:bottom w:val="single" w:sz="4" w:space="0" w:color="auto"/>
            </w:tcBorders>
            <w:shd w:val="clear" w:color="auto" w:fill="auto"/>
          </w:tcPr>
          <w:p w14:paraId="5201BAF5"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Refer to response provided in 6.2, noting Energex is not required to submit this information. </w:t>
            </w:r>
          </w:p>
        </w:tc>
      </w:tr>
      <w:tr w:rsidR="009F2CDD" w:rsidRPr="002056FA" w14:paraId="40463721" w14:textId="77777777" w:rsidTr="00E169B4">
        <w:tc>
          <w:tcPr>
            <w:tcW w:w="0" w:type="auto"/>
            <w:shd w:val="clear" w:color="auto" w:fill="D0CECE" w:themeFill="background2" w:themeFillShade="E6"/>
          </w:tcPr>
          <w:p w14:paraId="46D6EEAB"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7</w:t>
            </w:r>
          </w:p>
        </w:tc>
        <w:tc>
          <w:tcPr>
            <w:tcW w:w="0" w:type="auto"/>
            <w:shd w:val="clear" w:color="auto" w:fill="D0CECE" w:themeFill="background2" w:themeFillShade="E6"/>
          </w:tcPr>
          <w:p w14:paraId="3E8EE64B"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 xml:space="preserve">CONNECTIONS EXPENDITURE </w:t>
            </w:r>
          </w:p>
        </w:tc>
        <w:tc>
          <w:tcPr>
            <w:tcW w:w="0" w:type="auto"/>
            <w:shd w:val="clear" w:color="auto" w:fill="D0CECE" w:themeFill="background2" w:themeFillShade="E6"/>
          </w:tcPr>
          <w:p w14:paraId="0B25B2BA" w14:textId="77777777" w:rsidR="009F2CDD" w:rsidRPr="002056FA" w:rsidRDefault="009F2CDD" w:rsidP="00E169B4">
            <w:pPr>
              <w:pStyle w:val="TableCopy"/>
              <w:rPr>
                <w:rFonts w:eastAsia="Calibri"/>
                <w:color w:val="000000"/>
                <w:lang w:eastAsia="en-US"/>
              </w:rPr>
            </w:pPr>
          </w:p>
        </w:tc>
      </w:tr>
      <w:tr w:rsidR="009F2CDD" w:rsidRPr="002056FA" w14:paraId="18198359" w14:textId="77777777" w:rsidTr="00E169B4">
        <w:tc>
          <w:tcPr>
            <w:tcW w:w="0" w:type="auto"/>
            <w:shd w:val="clear" w:color="auto" w:fill="D0CECE" w:themeFill="background2" w:themeFillShade="E6"/>
          </w:tcPr>
          <w:p w14:paraId="60BDB13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7.1</w:t>
            </w:r>
          </w:p>
        </w:tc>
        <w:tc>
          <w:tcPr>
            <w:tcW w:w="0" w:type="auto"/>
            <w:shd w:val="clear" w:color="auto" w:fill="D0CECE" w:themeFill="background2" w:themeFillShade="E6"/>
          </w:tcPr>
          <w:p w14:paraId="6845A9E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and describe the methodology and assumptions used to prepare the forecasts of connection works including:</w:t>
            </w:r>
          </w:p>
        </w:tc>
        <w:tc>
          <w:tcPr>
            <w:tcW w:w="0" w:type="auto"/>
            <w:shd w:val="clear" w:color="auto" w:fill="D0CECE" w:themeFill="background2" w:themeFillShade="E6"/>
          </w:tcPr>
          <w:p w14:paraId="53950CD1" w14:textId="77777777" w:rsidR="009F2CDD" w:rsidRPr="002056FA" w:rsidRDefault="009F2CDD" w:rsidP="00E169B4">
            <w:pPr>
              <w:pStyle w:val="TableCopy"/>
              <w:rPr>
                <w:rFonts w:eastAsia="Calibri"/>
                <w:b/>
                <w:color w:val="000000"/>
                <w:lang w:eastAsia="en-US"/>
              </w:rPr>
            </w:pPr>
          </w:p>
        </w:tc>
      </w:tr>
      <w:tr w:rsidR="009F2CDD" w:rsidRPr="002056FA" w14:paraId="463A5EF1" w14:textId="77777777" w:rsidTr="00E169B4">
        <w:tc>
          <w:tcPr>
            <w:tcW w:w="0" w:type="auto"/>
            <w:shd w:val="clear" w:color="auto" w:fill="auto"/>
          </w:tcPr>
          <w:p w14:paraId="25D0A38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7.1(a)</w:t>
            </w:r>
          </w:p>
        </w:tc>
        <w:tc>
          <w:tcPr>
            <w:tcW w:w="0" w:type="auto"/>
            <w:shd w:val="clear" w:color="auto" w:fill="auto"/>
          </w:tcPr>
          <w:p w14:paraId="501D723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Estimation of connection unit costs for each customer type; and</w:t>
            </w:r>
          </w:p>
        </w:tc>
        <w:tc>
          <w:tcPr>
            <w:tcW w:w="0" w:type="auto"/>
            <w:shd w:val="clear" w:color="auto" w:fill="auto"/>
          </w:tcPr>
          <w:p w14:paraId="14B38678" w14:textId="77777777" w:rsidR="009F2CDD" w:rsidRPr="002056FA" w:rsidRDefault="009F2CDD" w:rsidP="00E169B4">
            <w:pPr>
              <w:pStyle w:val="TableCopy"/>
              <w:rPr>
                <w:rFonts w:eastAsia="Calibri"/>
                <w:color w:val="365F91"/>
                <w:lang w:eastAsia="en-US"/>
              </w:rPr>
            </w:pPr>
            <w:r w:rsidRPr="002056FA">
              <w:rPr>
                <w:rFonts w:eastAsia="Calibri"/>
                <w:lang w:eastAsia="en-US"/>
              </w:rPr>
              <w:t xml:space="preserve">The unit cost per connection type was developed based on the 2017-18 actual aggregate cost per connection type divided by the number of connections per customer type. A base year unit rate (expressed in real 2018-19) was established by indexing the 2017 values to 2018-19 consistent with the assumptions that underlie the </w:t>
            </w:r>
            <w:r>
              <w:rPr>
                <w:rFonts w:eastAsia="Calibri"/>
                <w:lang w:eastAsia="en-US"/>
              </w:rPr>
              <w:t>R</w:t>
            </w:r>
            <w:r w:rsidRPr="002056FA">
              <w:rPr>
                <w:rFonts w:eastAsia="Calibri"/>
                <w:lang w:eastAsia="en-US"/>
              </w:rPr>
              <w:t xml:space="preserve">egulatory </w:t>
            </w:r>
            <w:r>
              <w:rPr>
                <w:rFonts w:eastAsia="Calibri"/>
                <w:lang w:eastAsia="en-US"/>
              </w:rPr>
              <w:t>P</w:t>
            </w:r>
            <w:r w:rsidRPr="002056FA">
              <w:rPr>
                <w:rFonts w:eastAsia="Calibri"/>
                <w:lang w:eastAsia="en-US"/>
              </w:rPr>
              <w:t>roposal.</w:t>
            </w:r>
          </w:p>
        </w:tc>
      </w:tr>
      <w:tr w:rsidR="009F2CDD" w:rsidRPr="002056FA" w14:paraId="7261909E" w14:textId="77777777" w:rsidTr="00E169B4">
        <w:tc>
          <w:tcPr>
            <w:tcW w:w="0" w:type="auto"/>
            <w:shd w:val="clear" w:color="auto" w:fill="auto"/>
          </w:tcPr>
          <w:p w14:paraId="485929F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7.1(b)</w:t>
            </w:r>
          </w:p>
        </w:tc>
        <w:tc>
          <w:tcPr>
            <w:tcW w:w="0" w:type="auto"/>
            <w:shd w:val="clear" w:color="auto" w:fill="auto"/>
          </w:tcPr>
          <w:p w14:paraId="1FAC414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Connection volumes for each customer type.</w:t>
            </w:r>
          </w:p>
        </w:tc>
        <w:tc>
          <w:tcPr>
            <w:tcW w:w="0" w:type="auto"/>
            <w:shd w:val="clear" w:color="auto" w:fill="auto"/>
          </w:tcPr>
          <w:p w14:paraId="2E50F206" w14:textId="77777777" w:rsidR="009F2CDD" w:rsidRPr="002056FA" w:rsidRDefault="009F2CDD" w:rsidP="00E169B4">
            <w:pPr>
              <w:pStyle w:val="TableCopy"/>
              <w:rPr>
                <w:rFonts w:eastAsia="Calibri"/>
                <w:lang w:eastAsia="en-US"/>
              </w:rPr>
            </w:pPr>
            <w:r w:rsidRPr="002056FA">
              <w:rPr>
                <w:rFonts w:eastAsia="Calibri"/>
                <w:lang w:eastAsia="en-US"/>
              </w:rPr>
              <w:t>The annua</w:t>
            </w:r>
            <w:r>
              <w:rPr>
                <w:rFonts w:eastAsia="Calibri"/>
                <w:lang w:eastAsia="en-US"/>
              </w:rPr>
              <w:t>l volume per connection type is</w:t>
            </w:r>
            <w:r w:rsidRPr="002056FA">
              <w:rPr>
                <w:rFonts w:eastAsia="Calibri"/>
                <w:lang w:eastAsia="en-US"/>
              </w:rPr>
              <w:t xml:space="preserve"> based on a combination </w:t>
            </w:r>
            <w:r>
              <w:rPr>
                <w:rFonts w:eastAsia="Calibri"/>
                <w:lang w:eastAsia="en-US"/>
              </w:rPr>
              <w:t xml:space="preserve">of </w:t>
            </w:r>
            <w:r w:rsidRPr="002056FA">
              <w:rPr>
                <w:rFonts w:eastAsia="Calibri"/>
                <w:lang w:eastAsia="en-US"/>
              </w:rPr>
              <w:t xml:space="preserve">historical data and resource estimates from subject matter estimates. Refer to Chapter </w:t>
            </w:r>
            <w:r>
              <w:rPr>
                <w:rFonts w:eastAsia="Calibri"/>
                <w:lang w:eastAsia="en-US"/>
              </w:rPr>
              <w:t>7 of our</w:t>
            </w:r>
            <w:r w:rsidRPr="002056FA">
              <w:rPr>
                <w:rFonts w:eastAsia="Calibri"/>
                <w:lang w:eastAsia="en-US"/>
              </w:rPr>
              <w:t xml:space="preserve"> Regulatory Pr</w:t>
            </w:r>
            <w:r>
              <w:rPr>
                <w:rFonts w:eastAsia="Calibri"/>
                <w:lang w:eastAsia="en-US"/>
              </w:rPr>
              <w:t>oposal for further information</w:t>
            </w:r>
            <w:r w:rsidRPr="002056FA">
              <w:rPr>
                <w:rFonts w:eastAsia="Calibri"/>
                <w:lang w:eastAsia="en-US"/>
              </w:rPr>
              <w:t>.</w:t>
            </w:r>
          </w:p>
        </w:tc>
      </w:tr>
      <w:tr w:rsidR="009F2CDD" w:rsidRPr="002056FA" w14:paraId="2FE15795" w14:textId="77777777" w:rsidTr="00E169B4">
        <w:tc>
          <w:tcPr>
            <w:tcW w:w="0" w:type="auto"/>
            <w:shd w:val="clear" w:color="auto" w:fill="auto"/>
          </w:tcPr>
          <w:p w14:paraId="23F5DF5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7.2 </w:t>
            </w:r>
          </w:p>
        </w:tc>
        <w:tc>
          <w:tcPr>
            <w:tcW w:w="0" w:type="auto"/>
            <w:shd w:val="clear" w:color="auto" w:fill="auto"/>
          </w:tcPr>
          <w:p w14:paraId="2A8582F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 must provide its estimation of </w:t>
            </w:r>
            <w:r w:rsidRPr="002056FA">
              <w:rPr>
                <w:rFonts w:eastAsia="Calibri"/>
                <w:iCs/>
                <w:color w:val="000000"/>
                <w:lang w:eastAsia="en-US"/>
              </w:rPr>
              <w:t xml:space="preserve">customer contributions </w:t>
            </w:r>
            <w:r w:rsidRPr="002056FA">
              <w:rPr>
                <w:rFonts w:eastAsia="Calibri"/>
                <w:color w:val="000000"/>
                <w:lang w:eastAsia="en-US"/>
              </w:rPr>
              <w:t xml:space="preserve">based upon the estimated life and revenue to be recovered from </w:t>
            </w:r>
            <w:r w:rsidRPr="002056FA">
              <w:rPr>
                <w:rFonts w:eastAsia="Calibri"/>
                <w:iCs/>
                <w:color w:val="000000"/>
                <w:lang w:eastAsia="en-US"/>
              </w:rPr>
              <w:t>connection assets</w:t>
            </w:r>
            <w:r w:rsidRPr="002056FA">
              <w:rPr>
                <w:rFonts w:eastAsia="Calibri"/>
                <w:color w:val="000000"/>
                <w:lang w:eastAsia="en-US"/>
              </w:rPr>
              <w:t xml:space="preserve">, including: </w:t>
            </w:r>
          </w:p>
        </w:tc>
        <w:tc>
          <w:tcPr>
            <w:tcW w:w="0" w:type="auto"/>
            <w:shd w:val="clear" w:color="auto" w:fill="auto"/>
          </w:tcPr>
          <w:p w14:paraId="5EFD20D4" w14:textId="77777777" w:rsidR="009F2CDD" w:rsidRPr="002056FA" w:rsidRDefault="009F2CDD" w:rsidP="00E169B4">
            <w:pPr>
              <w:pStyle w:val="TableCopy"/>
              <w:rPr>
                <w:rFonts w:eastAsia="Calibri"/>
                <w:lang w:eastAsia="en-US"/>
              </w:rPr>
            </w:pPr>
            <w:r w:rsidRPr="002056FA">
              <w:rPr>
                <w:rFonts w:eastAsia="Calibri"/>
                <w:lang w:eastAsia="en-US"/>
              </w:rPr>
              <w:t xml:space="preserve">Energex’s estimation of </w:t>
            </w:r>
            <w:r w:rsidRPr="002056FA">
              <w:rPr>
                <w:rFonts w:eastAsia="Calibri"/>
                <w:iCs/>
                <w:lang w:eastAsia="en-US"/>
              </w:rPr>
              <w:t>customer contributions</w:t>
            </w:r>
            <w:r w:rsidRPr="002056FA">
              <w:rPr>
                <w:rFonts w:eastAsia="Calibri"/>
                <w:lang w:eastAsia="en-US"/>
              </w:rPr>
              <w:t xml:space="preserve"> is provided in Chapter </w:t>
            </w:r>
            <w:r>
              <w:rPr>
                <w:rFonts w:eastAsia="Calibri"/>
                <w:lang w:eastAsia="en-US"/>
              </w:rPr>
              <w:t>7</w:t>
            </w:r>
            <w:r w:rsidRPr="00FE7C5E">
              <w:rPr>
                <w:rFonts w:eastAsia="Calibri"/>
                <w:lang w:eastAsia="en-US"/>
              </w:rPr>
              <w:t xml:space="preserve"> o</w:t>
            </w:r>
            <w:r>
              <w:rPr>
                <w:rFonts w:eastAsia="Calibri"/>
                <w:lang w:eastAsia="en-US"/>
              </w:rPr>
              <w:t>f our Regulatory Proposal</w:t>
            </w:r>
            <w:r w:rsidRPr="002056FA">
              <w:rPr>
                <w:rFonts w:eastAsia="Calibri"/>
                <w:lang w:eastAsia="en-US"/>
              </w:rPr>
              <w:t>.</w:t>
            </w:r>
          </w:p>
        </w:tc>
      </w:tr>
      <w:tr w:rsidR="009F2CDD" w:rsidRPr="002056FA" w14:paraId="33BB3C22" w14:textId="77777777" w:rsidTr="00E169B4">
        <w:tc>
          <w:tcPr>
            <w:tcW w:w="0" w:type="auto"/>
            <w:shd w:val="clear" w:color="auto" w:fill="auto"/>
          </w:tcPr>
          <w:p w14:paraId="72E9BE8D"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7.2(a) </w:t>
            </w:r>
          </w:p>
        </w:tc>
        <w:tc>
          <w:tcPr>
            <w:tcW w:w="0" w:type="auto"/>
            <w:shd w:val="clear" w:color="auto" w:fill="auto"/>
          </w:tcPr>
          <w:p w14:paraId="0C4015BF"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the expected life of the </w:t>
            </w:r>
            <w:r w:rsidRPr="002056FA">
              <w:rPr>
                <w:rFonts w:eastAsia="Calibri"/>
                <w:iCs/>
                <w:color w:val="000000"/>
                <w:lang w:eastAsia="en-US"/>
              </w:rPr>
              <w:t>connection</w:t>
            </w:r>
            <w:r w:rsidRPr="002056FA">
              <w:rPr>
                <w:rFonts w:eastAsia="Calibri"/>
                <w:color w:val="000000"/>
                <w:lang w:eastAsia="en-US"/>
              </w:rPr>
              <w:t xml:space="preserve">; </w:t>
            </w:r>
          </w:p>
        </w:tc>
        <w:tc>
          <w:tcPr>
            <w:tcW w:w="0" w:type="auto"/>
            <w:shd w:val="clear" w:color="auto" w:fill="auto"/>
          </w:tcPr>
          <w:p w14:paraId="118EF0DE" w14:textId="77777777" w:rsidR="009F2CDD" w:rsidRPr="002056FA" w:rsidRDefault="009F2CDD" w:rsidP="00E169B4">
            <w:pPr>
              <w:pStyle w:val="TableCopy"/>
              <w:rPr>
                <w:rFonts w:eastAsia="Calibri"/>
                <w:lang w:eastAsia="en-US"/>
              </w:rPr>
            </w:pPr>
            <w:r w:rsidRPr="002056FA">
              <w:rPr>
                <w:rFonts w:eastAsia="Calibri"/>
                <w:lang w:eastAsia="en-US"/>
              </w:rPr>
              <w:t>Refer to the response provided in 7.2</w:t>
            </w:r>
          </w:p>
        </w:tc>
      </w:tr>
      <w:tr w:rsidR="009F2CDD" w:rsidRPr="002056FA" w14:paraId="27059059" w14:textId="77777777" w:rsidTr="00E169B4">
        <w:tc>
          <w:tcPr>
            <w:tcW w:w="0" w:type="auto"/>
            <w:shd w:val="clear" w:color="auto" w:fill="auto"/>
          </w:tcPr>
          <w:p w14:paraId="30FEA2C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7.2(b) </w:t>
            </w:r>
          </w:p>
        </w:tc>
        <w:tc>
          <w:tcPr>
            <w:tcW w:w="0" w:type="auto"/>
            <w:shd w:val="clear" w:color="auto" w:fill="auto"/>
          </w:tcPr>
          <w:p w14:paraId="33B71EC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w:t>
            </w:r>
            <w:r w:rsidRPr="002056FA">
              <w:rPr>
                <w:rFonts w:eastAsia="Calibri"/>
                <w:iCs/>
                <w:color w:val="000000"/>
                <w:lang w:eastAsia="en-US"/>
              </w:rPr>
              <w:t xml:space="preserve">average </w:t>
            </w:r>
            <w:r w:rsidRPr="002056FA">
              <w:rPr>
                <w:rFonts w:eastAsia="Calibri"/>
                <w:color w:val="000000"/>
                <w:lang w:eastAsia="en-US"/>
              </w:rPr>
              <w:t xml:space="preserve">consumption expected by the </w:t>
            </w:r>
            <w:r w:rsidRPr="002056FA">
              <w:rPr>
                <w:rFonts w:eastAsia="Calibri"/>
                <w:iCs/>
                <w:color w:val="000000"/>
                <w:lang w:eastAsia="en-US"/>
              </w:rPr>
              <w:t xml:space="preserve">customer </w:t>
            </w:r>
            <w:r w:rsidRPr="002056FA">
              <w:rPr>
                <w:rFonts w:eastAsia="Calibri"/>
                <w:color w:val="000000"/>
                <w:lang w:eastAsia="en-US"/>
              </w:rPr>
              <w:t xml:space="preserve">over the life of the </w:t>
            </w:r>
            <w:r w:rsidRPr="002056FA">
              <w:rPr>
                <w:rFonts w:eastAsia="Calibri"/>
                <w:iCs/>
                <w:color w:val="000000"/>
                <w:lang w:eastAsia="en-US"/>
              </w:rPr>
              <w:t>connection</w:t>
            </w:r>
            <w:r w:rsidRPr="002056FA">
              <w:rPr>
                <w:rFonts w:eastAsia="Calibri"/>
                <w:color w:val="000000"/>
                <w:lang w:eastAsia="en-US"/>
              </w:rPr>
              <w:t xml:space="preserve">; and </w:t>
            </w:r>
          </w:p>
        </w:tc>
        <w:tc>
          <w:tcPr>
            <w:tcW w:w="0" w:type="auto"/>
            <w:shd w:val="clear" w:color="auto" w:fill="auto"/>
          </w:tcPr>
          <w:p w14:paraId="1325AA5E" w14:textId="77777777" w:rsidR="009F2CDD" w:rsidRPr="002056FA" w:rsidRDefault="009F2CDD" w:rsidP="00E169B4">
            <w:pPr>
              <w:pStyle w:val="TableCopy"/>
              <w:rPr>
                <w:rFonts w:eastAsia="Calibri"/>
                <w:lang w:eastAsia="en-US"/>
              </w:rPr>
            </w:pPr>
            <w:r w:rsidRPr="002056FA">
              <w:rPr>
                <w:rFonts w:eastAsia="Calibri"/>
                <w:lang w:eastAsia="en-US"/>
              </w:rPr>
              <w:t>Refer to the response provided in 7.2</w:t>
            </w:r>
          </w:p>
        </w:tc>
      </w:tr>
      <w:tr w:rsidR="009F2CDD" w:rsidRPr="002056FA" w14:paraId="1C9DAC93" w14:textId="77777777" w:rsidTr="00E169B4">
        <w:tc>
          <w:tcPr>
            <w:tcW w:w="0" w:type="auto"/>
            <w:tcBorders>
              <w:bottom w:val="single" w:sz="4" w:space="0" w:color="auto"/>
            </w:tcBorders>
            <w:shd w:val="clear" w:color="auto" w:fill="auto"/>
          </w:tcPr>
          <w:p w14:paraId="1B7F62A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7.2(c) </w:t>
            </w:r>
          </w:p>
        </w:tc>
        <w:tc>
          <w:tcPr>
            <w:tcW w:w="0" w:type="auto"/>
            <w:tcBorders>
              <w:bottom w:val="single" w:sz="4" w:space="0" w:color="auto"/>
            </w:tcBorders>
            <w:shd w:val="clear" w:color="auto" w:fill="auto"/>
          </w:tcPr>
          <w:p w14:paraId="00F85C9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any other factors that influence the expected recovery of the </w:t>
            </w:r>
            <w:r w:rsidRPr="002056FA">
              <w:rPr>
                <w:rFonts w:eastAsia="Calibri"/>
                <w:iCs/>
                <w:color w:val="000000"/>
                <w:lang w:eastAsia="en-US"/>
              </w:rPr>
              <w:t xml:space="preserve">Energex network </w:t>
            </w:r>
            <w:r w:rsidRPr="002056FA">
              <w:rPr>
                <w:rFonts w:eastAsia="Calibri"/>
                <w:color w:val="000000"/>
                <w:lang w:eastAsia="en-US"/>
              </w:rPr>
              <w:t xml:space="preserve">use of system charge to </w:t>
            </w:r>
            <w:r w:rsidRPr="002056FA">
              <w:rPr>
                <w:rFonts w:eastAsia="Calibri"/>
                <w:iCs/>
                <w:color w:val="000000"/>
                <w:lang w:eastAsia="en-US"/>
              </w:rPr>
              <w:t>customers</w:t>
            </w:r>
            <w:r w:rsidRPr="002056FA">
              <w:rPr>
                <w:rFonts w:eastAsia="Calibri"/>
                <w:color w:val="000000"/>
                <w:lang w:eastAsia="en-US"/>
              </w:rPr>
              <w:t xml:space="preserve">. </w:t>
            </w:r>
          </w:p>
        </w:tc>
        <w:tc>
          <w:tcPr>
            <w:tcW w:w="0" w:type="auto"/>
            <w:tcBorders>
              <w:bottom w:val="single" w:sz="4" w:space="0" w:color="auto"/>
            </w:tcBorders>
            <w:shd w:val="clear" w:color="auto" w:fill="auto"/>
          </w:tcPr>
          <w:p w14:paraId="5305B280" w14:textId="77777777" w:rsidR="009F2CDD" w:rsidRPr="002056FA" w:rsidRDefault="009F2CDD" w:rsidP="00E169B4">
            <w:pPr>
              <w:pStyle w:val="TableCopy"/>
              <w:rPr>
                <w:rFonts w:eastAsia="Calibri"/>
                <w:lang w:eastAsia="en-US"/>
              </w:rPr>
            </w:pPr>
            <w:r w:rsidRPr="002056FA">
              <w:rPr>
                <w:rFonts w:eastAsia="Calibri"/>
                <w:lang w:eastAsia="en-US"/>
              </w:rPr>
              <w:t>Refer to the response provided in 7.2</w:t>
            </w:r>
          </w:p>
        </w:tc>
      </w:tr>
      <w:tr w:rsidR="009F2CDD" w:rsidRPr="002056FA" w14:paraId="086F1057" w14:textId="77777777" w:rsidTr="00E169B4">
        <w:tc>
          <w:tcPr>
            <w:tcW w:w="0" w:type="auto"/>
            <w:shd w:val="clear" w:color="auto" w:fill="D0CECE" w:themeFill="background2" w:themeFillShade="E6"/>
          </w:tcPr>
          <w:p w14:paraId="67F23AB3" w14:textId="77777777" w:rsidR="009F2CDD" w:rsidRPr="00A448F2" w:rsidRDefault="009F2CDD" w:rsidP="00E169B4">
            <w:pPr>
              <w:pStyle w:val="TableCopy"/>
              <w:rPr>
                <w:rFonts w:eastAsia="Calibri"/>
                <w:b/>
                <w:color w:val="000000"/>
                <w:lang w:eastAsia="en-US"/>
              </w:rPr>
            </w:pPr>
            <w:r w:rsidRPr="00A448F2">
              <w:rPr>
                <w:rFonts w:eastAsia="Calibri"/>
                <w:b/>
                <w:color w:val="000000"/>
                <w:lang w:eastAsia="en-US"/>
              </w:rPr>
              <w:t>8</w:t>
            </w:r>
          </w:p>
        </w:tc>
        <w:tc>
          <w:tcPr>
            <w:tcW w:w="0" w:type="auto"/>
            <w:shd w:val="clear" w:color="auto" w:fill="D0CECE" w:themeFill="background2" w:themeFillShade="E6"/>
          </w:tcPr>
          <w:p w14:paraId="52C2C0D0" w14:textId="563FFA1A" w:rsidR="009F2CDD" w:rsidRPr="00A448F2" w:rsidRDefault="00E169B4" w:rsidP="00E169B4">
            <w:pPr>
              <w:pStyle w:val="TableCopy"/>
              <w:rPr>
                <w:rFonts w:eastAsia="Calibri"/>
                <w:b/>
                <w:color w:val="000000"/>
                <w:lang w:eastAsia="en-US"/>
              </w:rPr>
            </w:pPr>
            <w:r>
              <w:rPr>
                <w:rFonts w:eastAsia="Calibri"/>
                <w:b/>
                <w:color w:val="000000"/>
                <w:lang w:eastAsia="en-US"/>
              </w:rPr>
              <w:t>NON-NETWORK</w:t>
            </w:r>
            <w:r w:rsidR="009F2CDD" w:rsidRPr="00A448F2">
              <w:rPr>
                <w:rFonts w:eastAsia="Calibri"/>
                <w:b/>
                <w:color w:val="000000"/>
                <w:lang w:eastAsia="en-US"/>
              </w:rPr>
              <w:t xml:space="preserve"> ALTERNATIVES</w:t>
            </w:r>
          </w:p>
        </w:tc>
        <w:tc>
          <w:tcPr>
            <w:tcW w:w="0" w:type="auto"/>
            <w:shd w:val="clear" w:color="auto" w:fill="D0CECE" w:themeFill="background2" w:themeFillShade="E6"/>
          </w:tcPr>
          <w:p w14:paraId="146BD8F6" w14:textId="77777777" w:rsidR="009F2CDD" w:rsidRPr="00A448F2" w:rsidRDefault="009F2CDD" w:rsidP="00E169B4">
            <w:pPr>
              <w:pStyle w:val="TableCopy"/>
              <w:rPr>
                <w:rFonts w:eastAsia="Calibri"/>
                <w:b/>
                <w:lang w:eastAsia="en-US"/>
              </w:rPr>
            </w:pPr>
          </w:p>
        </w:tc>
      </w:tr>
      <w:tr w:rsidR="009F2CDD" w:rsidRPr="002056FA" w14:paraId="2FFB108B" w14:textId="77777777" w:rsidTr="00E169B4">
        <w:tc>
          <w:tcPr>
            <w:tcW w:w="0" w:type="auto"/>
            <w:shd w:val="clear" w:color="auto" w:fill="auto"/>
          </w:tcPr>
          <w:p w14:paraId="27D28B3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8.1</w:t>
            </w:r>
          </w:p>
        </w:tc>
        <w:tc>
          <w:tcPr>
            <w:tcW w:w="0" w:type="auto"/>
            <w:shd w:val="clear" w:color="auto" w:fill="auto"/>
          </w:tcPr>
          <w:p w14:paraId="5333538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Identify the policies and strategies and procedures in the response to Workbook 1 – Regulatory determination, regulatory template 7.1 which relate to the selection of efficient non-network solutions.</w:t>
            </w:r>
          </w:p>
        </w:tc>
        <w:tc>
          <w:tcPr>
            <w:tcW w:w="0" w:type="auto"/>
            <w:shd w:val="clear" w:color="auto" w:fill="auto"/>
          </w:tcPr>
          <w:p w14:paraId="73187C18" w14:textId="77777777" w:rsidR="009F2CDD" w:rsidRPr="00A448F2" w:rsidRDefault="009F2CDD" w:rsidP="00E169B4">
            <w:pPr>
              <w:pStyle w:val="TableCopy"/>
              <w:rPr>
                <w:rFonts w:eastAsia="Calibri"/>
                <w:color w:val="000000"/>
                <w:lang w:eastAsia="en-US"/>
              </w:rPr>
            </w:pPr>
            <w:r w:rsidRPr="00A448F2">
              <w:rPr>
                <w:rFonts w:eastAsia="Calibri"/>
                <w:color w:val="000000"/>
                <w:lang w:eastAsia="en-US"/>
              </w:rPr>
              <w:t>Energex applies its Demand Management Plan 2018-19 as part of its business as usual planning processes. Policies and strategies that relate to the selection of efficient non-network solutions for demand management include:</w:t>
            </w:r>
          </w:p>
          <w:p w14:paraId="0D5D8FF2" w14:textId="77777777" w:rsidR="009F2CDD" w:rsidRPr="004F40EC" w:rsidRDefault="009F2CDD" w:rsidP="00E169B4">
            <w:pPr>
              <w:pStyle w:val="Bullet1"/>
              <w:rPr>
                <w:sz w:val="20"/>
                <w:szCs w:val="20"/>
              </w:rPr>
            </w:pPr>
            <w:r w:rsidRPr="00875A31">
              <w:rPr>
                <w:sz w:val="20"/>
                <w:szCs w:val="20"/>
              </w:rPr>
              <w:t xml:space="preserve">Energex Demand Side Engagement Strategy, refer to </w:t>
            </w:r>
            <w:hyperlink r:id="rId20" w:history="1">
              <w:r w:rsidRPr="004F40EC">
                <w:rPr>
                  <w:color w:val="0000FF"/>
                  <w:sz w:val="20"/>
                  <w:szCs w:val="20"/>
                  <w:u w:val="single"/>
                </w:rPr>
                <w:t>https://www.energex.com.au/__data/assets/pdf_file/0017/342404/Demand-Side-Engagement-Strategy.pdf</w:t>
              </w:r>
            </w:hyperlink>
            <w:r w:rsidRPr="004F40EC">
              <w:rPr>
                <w:sz w:val="20"/>
                <w:szCs w:val="20"/>
              </w:rPr>
              <w:t xml:space="preserve"> </w:t>
            </w:r>
          </w:p>
          <w:p w14:paraId="5967E7B1" w14:textId="77777777" w:rsidR="009F2CDD" w:rsidRDefault="009F2CDD" w:rsidP="008A3475">
            <w:pPr>
              <w:keepNext/>
              <w:ind w:left="720"/>
              <w:rPr>
                <w:szCs w:val="20"/>
              </w:rPr>
            </w:pPr>
            <w:r w:rsidRPr="004F40EC">
              <w:rPr>
                <w:szCs w:val="20"/>
              </w:rPr>
              <w:t>EQL Demand Management Plan 2018-19, which contains the strategy for demand management for the next seven years, refer to Attachment 6.001, and</w:t>
            </w:r>
          </w:p>
          <w:p w14:paraId="023054A9" w14:textId="77777777" w:rsidR="009F2CDD" w:rsidRPr="00551DA0" w:rsidRDefault="009F2CDD" w:rsidP="00E169B4">
            <w:pPr>
              <w:pStyle w:val="Bullet1"/>
              <w:rPr>
                <w:b/>
              </w:rPr>
            </w:pPr>
            <w:r w:rsidRPr="00F323CB">
              <w:rPr>
                <w:sz w:val="20"/>
                <w:szCs w:val="20"/>
              </w:rPr>
              <w:t xml:space="preserve">annual planning review and Distribution Annual Planning Report (DAPR), refer to </w:t>
            </w:r>
            <w:r w:rsidRPr="004F40EC">
              <w:rPr>
                <w:sz w:val="20"/>
                <w:szCs w:val="20"/>
              </w:rPr>
              <w:t>Attachment 7.049.</w:t>
            </w:r>
          </w:p>
          <w:p w14:paraId="132C8554" w14:textId="77777777" w:rsidR="009F2CDD" w:rsidRPr="004F40EC" w:rsidRDefault="009F2CDD" w:rsidP="008A3475">
            <w:pPr>
              <w:pStyle w:val="TableCopy"/>
              <w:keepNext/>
              <w:rPr>
                <w:rFonts w:eastAsia="Calibri"/>
                <w:lang w:eastAsia="en-US"/>
              </w:rPr>
            </w:pPr>
            <w:r w:rsidRPr="004F40EC">
              <w:rPr>
                <w:rFonts w:eastAsia="Calibri"/>
                <w:lang w:eastAsia="en-US"/>
              </w:rPr>
              <w:t>These policies, strategies and procedures are supported by internal procedures published in the Repository of Energex Documents (RED). Relevant internal documents include:</w:t>
            </w:r>
          </w:p>
          <w:p w14:paraId="2E03A842" w14:textId="77777777" w:rsidR="009F2CDD" w:rsidRPr="002056FA" w:rsidRDefault="009F2CDD" w:rsidP="008A3475">
            <w:pPr>
              <w:pStyle w:val="TableCopy"/>
              <w:keepNext/>
              <w:rPr>
                <w:rFonts w:eastAsia="Calibri"/>
                <w:lang w:eastAsia="en-US"/>
              </w:rPr>
            </w:pPr>
            <w:r w:rsidRPr="002056FA">
              <w:rPr>
                <w:rFonts w:eastAsia="Calibri"/>
                <w:lang w:eastAsia="en-US"/>
              </w:rPr>
              <w:t>(i) Update the Energex Demand Side Engagement Strategy – RED 01093</w:t>
            </w:r>
          </w:p>
          <w:p w14:paraId="5D5AB40E" w14:textId="77777777" w:rsidR="009F2CDD" w:rsidRPr="002056FA" w:rsidRDefault="009F2CDD" w:rsidP="008A3475">
            <w:pPr>
              <w:pStyle w:val="TableCopy"/>
              <w:keepNext/>
              <w:rPr>
                <w:rFonts w:eastAsia="Calibri"/>
                <w:lang w:eastAsia="en-US"/>
              </w:rPr>
            </w:pPr>
            <w:r w:rsidRPr="002056FA">
              <w:rPr>
                <w:rFonts w:eastAsia="Calibri"/>
                <w:lang w:eastAsia="en-US"/>
              </w:rPr>
              <w:t>(ii) Engaging with non-network providers – RED 01090</w:t>
            </w:r>
          </w:p>
          <w:p w14:paraId="7BBA733F" w14:textId="77777777" w:rsidR="009F2CDD" w:rsidRPr="002056FA" w:rsidRDefault="009F2CDD" w:rsidP="008A3475">
            <w:pPr>
              <w:pStyle w:val="TableCopy"/>
              <w:keepNext/>
              <w:rPr>
                <w:rFonts w:eastAsia="Calibri"/>
                <w:lang w:eastAsia="en-US"/>
              </w:rPr>
            </w:pPr>
            <w:r w:rsidRPr="002056FA">
              <w:rPr>
                <w:rFonts w:eastAsia="Calibri"/>
                <w:lang w:eastAsia="en-US"/>
              </w:rPr>
              <w:t>(iii) Deliver non-network solution – RED 01089</w:t>
            </w:r>
          </w:p>
          <w:p w14:paraId="3AE422E3" w14:textId="77777777" w:rsidR="009F2CDD" w:rsidRPr="002056FA" w:rsidRDefault="009F2CDD" w:rsidP="008A3475">
            <w:pPr>
              <w:pStyle w:val="TableCopy"/>
              <w:keepNext/>
              <w:rPr>
                <w:rFonts w:eastAsia="Calibri"/>
                <w:lang w:eastAsia="en-US"/>
              </w:rPr>
            </w:pPr>
            <w:r w:rsidRPr="002056FA">
              <w:rPr>
                <w:rFonts w:eastAsia="Calibri"/>
                <w:lang w:eastAsia="en-US"/>
              </w:rPr>
              <w:t>(iv) Maintain the Energex Demand Side Engagement Facility – RED 01091</w:t>
            </w:r>
          </w:p>
          <w:p w14:paraId="5D1B20A0" w14:textId="77777777" w:rsidR="009F2CDD" w:rsidRPr="002056FA" w:rsidRDefault="009F2CDD" w:rsidP="008A3475">
            <w:pPr>
              <w:pStyle w:val="TableCopy"/>
              <w:keepNext/>
              <w:rPr>
                <w:rFonts w:eastAsia="Calibri"/>
                <w:lang w:eastAsia="en-US"/>
              </w:rPr>
            </w:pPr>
            <w:r w:rsidRPr="002056FA">
              <w:rPr>
                <w:rFonts w:eastAsia="Calibri"/>
                <w:lang w:eastAsia="en-US"/>
              </w:rPr>
              <w:t>(v) Network Planning and Expansion – RED 01147</w:t>
            </w:r>
          </w:p>
          <w:p w14:paraId="74BF82DF" w14:textId="77777777" w:rsidR="009F2CDD" w:rsidRPr="002056FA" w:rsidRDefault="009F2CDD" w:rsidP="008A3475">
            <w:pPr>
              <w:pStyle w:val="TableCopy"/>
              <w:keepNext/>
              <w:rPr>
                <w:rFonts w:eastAsia="Calibri"/>
                <w:lang w:eastAsia="en-US"/>
              </w:rPr>
            </w:pPr>
            <w:r w:rsidRPr="002056FA">
              <w:rPr>
                <w:rFonts w:eastAsia="Calibri"/>
                <w:lang w:eastAsia="en-US"/>
              </w:rPr>
              <w:t>(vi) Maintain a non-network toolbox – RED 00548</w:t>
            </w:r>
          </w:p>
          <w:p w14:paraId="720CA2AA" w14:textId="77777777" w:rsidR="009F2CDD" w:rsidRPr="002056FA" w:rsidRDefault="009F2CDD" w:rsidP="008A3475">
            <w:pPr>
              <w:pStyle w:val="TableCopy"/>
              <w:keepNext/>
              <w:rPr>
                <w:rFonts w:eastAsia="Calibri"/>
                <w:lang w:eastAsia="en-US"/>
              </w:rPr>
            </w:pPr>
            <w:r w:rsidRPr="002056FA">
              <w:rPr>
                <w:rFonts w:eastAsia="Calibri"/>
                <w:lang w:eastAsia="en-US"/>
              </w:rPr>
              <w:t>(vii) Screening for non-network options – RED 01092</w:t>
            </w:r>
            <w:r>
              <w:rPr>
                <w:rFonts w:eastAsia="Calibri"/>
                <w:lang w:eastAsia="en-US"/>
              </w:rPr>
              <w:t>, and</w:t>
            </w:r>
          </w:p>
          <w:p w14:paraId="69C9451F" w14:textId="77777777" w:rsidR="009F2CDD" w:rsidRPr="002056FA" w:rsidRDefault="009F2CDD" w:rsidP="008A3475">
            <w:pPr>
              <w:pStyle w:val="TableCopy"/>
              <w:keepNext/>
              <w:rPr>
                <w:rFonts w:eastAsia="Calibri"/>
                <w:lang w:eastAsia="en-US"/>
              </w:rPr>
            </w:pPr>
            <w:r w:rsidRPr="002056FA">
              <w:rPr>
                <w:rFonts w:eastAsia="Calibri"/>
                <w:lang w:eastAsia="en-US"/>
              </w:rPr>
              <w:t>(viii) Produce a transmission planning RIT-D project assessment report – RED 00949.</w:t>
            </w:r>
          </w:p>
          <w:p w14:paraId="696DAFB8" w14:textId="77777777" w:rsidR="009F2CDD" w:rsidRPr="00A448F2" w:rsidRDefault="009F2CDD" w:rsidP="00E169B4">
            <w:pPr>
              <w:pStyle w:val="Bullet1"/>
              <w:numPr>
                <w:ilvl w:val="0"/>
                <w:numId w:val="0"/>
              </w:numPr>
              <w:rPr>
                <w:b/>
              </w:rPr>
            </w:pPr>
            <w:r w:rsidRPr="009126A2">
              <w:rPr>
                <w:sz w:val="20"/>
              </w:rPr>
              <w:t>There are a number of documented procedures for the delivery of Energex’s Demand Management Program these are located in the Process-to-Go system which contains the high level processes. The detailed procedures and work instructions are maintained in RED’.</w:t>
            </w:r>
          </w:p>
        </w:tc>
      </w:tr>
      <w:tr w:rsidR="009F2CDD" w:rsidRPr="002056FA" w14:paraId="7654DBD5" w14:textId="77777777" w:rsidTr="00E169B4">
        <w:tc>
          <w:tcPr>
            <w:tcW w:w="0" w:type="auto"/>
            <w:tcBorders>
              <w:bottom w:val="single" w:sz="4" w:space="0" w:color="auto"/>
            </w:tcBorders>
            <w:shd w:val="clear" w:color="auto" w:fill="auto"/>
          </w:tcPr>
          <w:p w14:paraId="4DB6712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8.2</w:t>
            </w:r>
          </w:p>
        </w:tc>
        <w:tc>
          <w:tcPr>
            <w:tcW w:w="0" w:type="auto"/>
            <w:tcBorders>
              <w:bottom w:val="single" w:sz="4" w:space="0" w:color="auto"/>
            </w:tcBorders>
            <w:shd w:val="clear" w:color="auto" w:fill="auto"/>
          </w:tcPr>
          <w:p w14:paraId="6B1F91A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Explain the extent to which the provision for efficient non-network alternatives has been considered in the development of the forecast capex proposal and the forecast opex proposal.</w:t>
            </w:r>
          </w:p>
        </w:tc>
        <w:tc>
          <w:tcPr>
            <w:tcW w:w="0" w:type="auto"/>
            <w:tcBorders>
              <w:bottom w:val="single" w:sz="4" w:space="0" w:color="auto"/>
            </w:tcBorders>
            <w:shd w:val="clear" w:color="auto" w:fill="auto"/>
          </w:tcPr>
          <w:p w14:paraId="35246FA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There are several unique factors in Energex’s network that influenced how demand management solutions could be utilised to reduce capital and operating costs. </w:t>
            </w:r>
          </w:p>
          <w:p w14:paraId="51DBBFA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extent to which the provision for efficient non network alternatives has been considered in the development of the forecast capex and forecast </w:t>
            </w:r>
            <w:r>
              <w:rPr>
                <w:rFonts w:eastAsia="Calibri"/>
                <w:color w:val="000000"/>
                <w:lang w:eastAsia="en-US"/>
              </w:rPr>
              <w:t>operating expenditure (</w:t>
            </w:r>
            <w:r w:rsidRPr="002056FA">
              <w:rPr>
                <w:rFonts w:eastAsia="Calibri"/>
                <w:color w:val="000000"/>
                <w:lang w:eastAsia="en-US"/>
              </w:rPr>
              <w:t>opex</w:t>
            </w:r>
            <w:r>
              <w:rPr>
                <w:rFonts w:eastAsia="Calibri"/>
                <w:color w:val="000000"/>
                <w:lang w:eastAsia="en-US"/>
              </w:rPr>
              <w:t>)</w:t>
            </w:r>
            <w:r w:rsidRPr="002056FA">
              <w:rPr>
                <w:rFonts w:eastAsia="Calibri"/>
                <w:color w:val="000000"/>
                <w:lang w:eastAsia="en-US"/>
              </w:rPr>
              <w:t xml:space="preserve"> proposal is expla</w:t>
            </w:r>
            <w:r>
              <w:rPr>
                <w:rFonts w:eastAsia="Calibri"/>
                <w:color w:val="000000"/>
                <w:lang w:eastAsia="en-US"/>
              </w:rPr>
              <w:t>ined in the</w:t>
            </w:r>
            <w:r w:rsidRPr="002056FA">
              <w:rPr>
                <w:rFonts w:eastAsia="Calibri"/>
                <w:color w:val="000000"/>
                <w:lang w:eastAsia="en-US"/>
              </w:rPr>
              <w:t xml:space="preserve"> Demand Management</w:t>
            </w:r>
            <w:r>
              <w:rPr>
                <w:rFonts w:eastAsia="Calibri"/>
                <w:color w:val="000000"/>
                <w:lang w:eastAsia="en-US"/>
              </w:rPr>
              <w:t xml:space="preserve"> Regulatory Proposal (2020-2025) document </w:t>
            </w:r>
            <w:r w:rsidRPr="00001857">
              <w:rPr>
                <w:rFonts w:eastAsia="Calibri"/>
                <w:color w:val="000000"/>
                <w:lang w:eastAsia="en-US"/>
              </w:rPr>
              <w:t xml:space="preserve">(Attachment </w:t>
            </w:r>
            <w:r>
              <w:rPr>
                <w:rFonts w:eastAsia="Calibri"/>
                <w:color w:val="000000"/>
                <w:lang w:eastAsia="en-US"/>
              </w:rPr>
              <w:t>7.051</w:t>
            </w:r>
            <w:r w:rsidRPr="00001857">
              <w:rPr>
                <w:rFonts w:eastAsia="Calibri"/>
                <w:color w:val="000000"/>
                <w:lang w:eastAsia="en-US"/>
              </w:rPr>
              <w:t>)</w:t>
            </w:r>
            <w:r w:rsidRPr="002056FA">
              <w:rPr>
                <w:rFonts w:eastAsia="Calibri"/>
                <w:color w:val="000000"/>
                <w:lang w:eastAsia="en-US"/>
              </w:rPr>
              <w:t xml:space="preserve"> </w:t>
            </w:r>
          </w:p>
        </w:tc>
      </w:tr>
      <w:tr w:rsidR="009F2CDD" w:rsidRPr="002056FA" w14:paraId="151D78E4" w14:textId="77777777" w:rsidTr="00E169B4">
        <w:tc>
          <w:tcPr>
            <w:tcW w:w="0" w:type="auto"/>
            <w:shd w:val="clear" w:color="auto" w:fill="D0CECE" w:themeFill="background2" w:themeFillShade="E6"/>
          </w:tcPr>
          <w:p w14:paraId="30827CF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8.3</w:t>
            </w:r>
          </w:p>
        </w:tc>
        <w:tc>
          <w:tcPr>
            <w:tcW w:w="0" w:type="auto"/>
            <w:shd w:val="clear" w:color="auto" w:fill="D0CECE" w:themeFill="background2" w:themeFillShade="E6"/>
          </w:tcPr>
          <w:p w14:paraId="190173B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Identify each non-network alternative that Energex has:</w:t>
            </w:r>
          </w:p>
        </w:tc>
        <w:tc>
          <w:tcPr>
            <w:tcW w:w="0" w:type="auto"/>
            <w:shd w:val="clear" w:color="auto" w:fill="D0CECE" w:themeFill="background2" w:themeFillShade="E6"/>
          </w:tcPr>
          <w:p w14:paraId="67C1E93B" w14:textId="77777777" w:rsidR="009F2CDD" w:rsidRPr="002056FA" w:rsidRDefault="009F2CDD" w:rsidP="00E169B4">
            <w:pPr>
              <w:pStyle w:val="TableCopy"/>
              <w:rPr>
                <w:rFonts w:eastAsia="Calibri"/>
                <w:color w:val="000000"/>
                <w:lang w:eastAsia="en-US"/>
              </w:rPr>
            </w:pPr>
          </w:p>
        </w:tc>
      </w:tr>
      <w:tr w:rsidR="009F2CDD" w:rsidRPr="002056FA" w14:paraId="135C36BF" w14:textId="77777777" w:rsidTr="00E169B4">
        <w:tc>
          <w:tcPr>
            <w:tcW w:w="0" w:type="auto"/>
            <w:shd w:val="clear" w:color="auto" w:fill="auto"/>
          </w:tcPr>
          <w:p w14:paraId="26B3915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8.3(a) </w:t>
            </w:r>
          </w:p>
        </w:tc>
        <w:tc>
          <w:tcPr>
            <w:tcW w:w="0" w:type="auto"/>
            <w:shd w:val="clear" w:color="auto" w:fill="auto"/>
          </w:tcPr>
          <w:p w14:paraId="51DC1152" w14:textId="77777777" w:rsidR="009F2CDD" w:rsidRPr="00001857" w:rsidRDefault="009F2CDD" w:rsidP="00E169B4">
            <w:pPr>
              <w:pStyle w:val="TableCopy"/>
              <w:rPr>
                <w:rFonts w:eastAsia="Calibri"/>
                <w:color w:val="000000"/>
                <w:lang w:eastAsia="en-US"/>
              </w:rPr>
            </w:pPr>
            <w:r w:rsidRPr="00001857">
              <w:rPr>
                <w:rFonts w:eastAsia="Calibri"/>
                <w:color w:val="000000"/>
                <w:lang w:eastAsia="en-US"/>
              </w:rPr>
              <w:t xml:space="preserve">commenced during the </w:t>
            </w:r>
            <w:r w:rsidRPr="00001857">
              <w:rPr>
                <w:rFonts w:eastAsia="Calibri"/>
                <w:iCs/>
                <w:color w:val="000000"/>
                <w:lang w:eastAsia="en-US"/>
              </w:rPr>
              <w:t>current regulatory control period</w:t>
            </w:r>
            <w:r w:rsidRPr="00001857">
              <w:rPr>
                <w:rFonts w:eastAsia="Calibri"/>
                <w:color w:val="000000"/>
                <w:lang w:eastAsia="en-US"/>
              </w:rPr>
              <w:t xml:space="preserve">; and </w:t>
            </w:r>
          </w:p>
        </w:tc>
        <w:tc>
          <w:tcPr>
            <w:tcW w:w="0" w:type="auto"/>
            <w:shd w:val="clear" w:color="auto" w:fill="auto"/>
          </w:tcPr>
          <w:p w14:paraId="029158A6" w14:textId="77777777" w:rsidR="009F2CDD" w:rsidRPr="00001857" w:rsidRDefault="009F2CDD" w:rsidP="00E169B4">
            <w:pPr>
              <w:pStyle w:val="TableCopy"/>
              <w:rPr>
                <w:rFonts w:eastAsia="Calibri"/>
                <w:color w:val="000000"/>
                <w:lang w:eastAsia="en-US"/>
              </w:rPr>
            </w:pPr>
            <w:r w:rsidRPr="00001857">
              <w:rPr>
                <w:rFonts w:eastAsia="Calibri"/>
                <w:color w:val="000000"/>
                <w:lang w:eastAsia="en-US"/>
              </w:rPr>
              <w:t>The key non-network alternatives in the current period are identified in the following reports:</w:t>
            </w:r>
          </w:p>
          <w:p w14:paraId="1D029453" w14:textId="77777777" w:rsidR="009F2CDD" w:rsidRPr="00001857" w:rsidRDefault="009F2CDD" w:rsidP="00E169B4">
            <w:pPr>
              <w:pStyle w:val="Bullet1"/>
              <w:rPr>
                <w:color w:val="000000"/>
                <w:sz w:val="20"/>
                <w:szCs w:val="20"/>
              </w:rPr>
            </w:pPr>
            <w:r w:rsidRPr="00001857">
              <w:rPr>
                <w:color w:val="000000"/>
                <w:sz w:val="20"/>
                <w:szCs w:val="20"/>
              </w:rPr>
              <w:t xml:space="preserve">Demand Management Regulatory Proposal </w:t>
            </w:r>
            <w:r>
              <w:rPr>
                <w:color w:val="000000"/>
                <w:sz w:val="20"/>
                <w:szCs w:val="20"/>
              </w:rPr>
              <w:t>(</w:t>
            </w:r>
            <w:r w:rsidRPr="00001857">
              <w:rPr>
                <w:color w:val="000000"/>
                <w:sz w:val="20"/>
                <w:szCs w:val="20"/>
              </w:rPr>
              <w:t>2020-2025), s</w:t>
            </w:r>
            <w:r w:rsidRPr="00001857">
              <w:rPr>
                <w:sz w:val="20"/>
                <w:szCs w:val="20"/>
              </w:rPr>
              <w:t xml:space="preserve">ection 3 and Appendix One </w:t>
            </w:r>
            <w:r>
              <w:rPr>
                <w:sz w:val="20"/>
                <w:szCs w:val="20"/>
              </w:rPr>
              <w:t>(Attachment 7.051</w:t>
            </w:r>
            <w:r w:rsidRPr="00001857">
              <w:rPr>
                <w:sz w:val="20"/>
                <w:szCs w:val="20"/>
              </w:rPr>
              <w:t>)</w:t>
            </w:r>
          </w:p>
          <w:p w14:paraId="0700FA97" w14:textId="77777777" w:rsidR="009F2CDD" w:rsidRPr="00001857" w:rsidRDefault="009F2CDD" w:rsidP="00E169B4">
            <w:pPr>
              <w:pStyle w:val="Bullet1"/>
              <w:rPr>
                <w:color w:val="000000"/>
                <w:sz w:val="20"/>
                <w:szCs w:val="20"/>
              </w:rPr>
            </w:pPr>
            <w:r w:rsidRPr="00001857">
              <w:rPr>
                <w:color w:val="000000"/>
                <w:sz w:val="20"/>
                <w:szCs w:val="20"/>
              </w:rPr>
              <w:t>Energex Demand Management Plan Performance 2015-16 (</w:t>
            </w:r>
            <w:r>
              <w:rPr>
                <w:color w:val="000000"/>
                <w:sz w:val="20"/>
                <w:szCs w:val="20"/>
              </w:rPr>
              <w:t>Attachment 17.023</w:t>
            </w:r>
            <w:r w:rsidRPr="00001857">
              <w:rPr>
                <w:color w:val="000000"/>
                <w:sz w:val="20"/>
                <w:szCs w:val="20"/>
              </w:rPr>
              <w:t>)</w:t>
            </w:r>
          </w:p>
          <w:p w14:paraId="4B9A3371" w14:textId="77777777" w:rsidR="009F2CDD" w:rsidRPr="00001857" w:rsidRDefault="009F2CDD" w:rsidP="00E169B4">
            <w:pPr>
              <w:pStyle w:val="Bullet1"/>
              <w:rPr>
                <w:color w:val="000000"/>
                <w:sz w:val="20"/>
                <w:szCs w:val="20"/>
              </w:rPr>
            </w:pPr>
            <w:r w:rsidRPr="00001857">
              <w:rPr>
                <w:color w:val="000000"/>
                <w:sz w:val="20"/>
                <w:szCs w:val="20"/>
              </w:rPr>
              <w:t xml:space="preserve">Energex Demand Management Plan Performance  2016-17 (Attachment </w:t>
            </w:r>
            <w:r>
              <w:rPr>
                <w:color w:val="000000"/>
                <w:sz w:val="20"/>
                <w:szCs w:val="20"/>
              </w:rPr>
              <w:t>17.024</w:t>
            </w:r>
            <w:r w:rsidRPr="00001857">
              <w:rPr>
                <w:color w:val="000000"/>
                <w:sz w:val="20"/>
                <w:szCs w:val="20"/>
              </w:rPr>
              <w:t>)</w:t>
            </w:r>
          </w:p>
          <w:p w14:paraId="75B465EA" w14:textId="77777777" w:rsidR="009F2CDD" w:rsidRPr="00001857" w:rsidRDefault="009F2CDD" w:rsidP="00E169B4">
            <w:pPr>
              <w:pStyle w:val="Bullet1"/>
              <w:rPr>
                <w:color w:val="000000"/>
                <w:sz w:val="20"/>
                <w:szCs w:val="20"/>
              </w:rPr>
            </w:pPr>
            <w:r w:rsidRPr="00001857">
              <w:rPr>
                <w:color w:val="000000"/>
                <w:sz w:val="20"/>
                <w:szCs w:val="20"/>
              </w:rPr>
              <w:t xml:space="preserve">Energex Demand Management Plan Performance  2017-18 (Attachment </w:t>
            </w:r>
            <w:r>
              <w:rPr>
                <w:color w:val="000000"/>
                <w:sz w:val="20"/>
                <w:szCs w:val="20"/>
              </w:rPr>
              <w:t>17.025</w:t>
            </w:r>
            <w:r w:rsidRPr="00001857">
              <w:rPr>
                <w:color w:val="000000"/>
                <w:sz w:val="20"/>
                <w:szCs w:val="20"/>
              </w:rPr>
              <w:t>), and</w:t>
            </w:r>
          </w:p>
          <w:p w14:paraId="24B6C97B" w14:textId="77777777" w:rsidR="009F2CDD" w:rsidRPr="00001857" w:rsidRDefault="009F2CDD" w:rsidP="00E169B4">
            <w:pPr>
              <w:pStyle w:val="Bullet1"/>
              <w:rPr>
                <w:color w:val="000000"/>
                <w:sz w:val="20"/>
                <w:szCs w:val="20"/>
              </w:rPr>
            </w:pPr>
            <w:r w:rsidRPr="00001857">
              <w:rPr>
                <w:color w:val="000000"/>
                <w:sz w:val="20"/>
                <w:szCs w:val="20"/>
              </w:rPr>
              <w:t xml:space="preserve">Demand Management Plan (Attachment </w:t>
            </w:r>
            <w:r>
              <w:rPr>
                <w:color w:val="000000"/>
                <w:sz w:val="20"/>
                <w:szCs w:val="20"/>
              </w:rPr>
              <w:t>6.001</w:t>
            </w:r>
            <w:r w:rsidRPr="00001857">
              <w:rPr>
                <w:color w:val="000000"/>
                <w:sz w:val="20"/>
                <w:szCs w:val="20"/>
              </w:rPr>
              <w:t>).</w:t>
            </w:r>
          </w:p>
        </w:tc>
      </w:tr>
      <w:tr w:rsidR="009F2CDD" w:rsidRPr="002056FA" w14:paraId="02D18AC7" w14:textId="77777777" w:rsidTr="00E169B4">
        <w:tc>
          <w:tcPr>
            <w:tcW w:w="0" w:type="auto"/>
            <w:shd w:val="clear" w:color="auto" w:fill="auto"/>
          </w:tcPr>
          <w:p w14:paraId="53AD06AA"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8.3(b) </w:t>
            </w:r>
          </w:p>
        </w:tc>
        <w:tc>
          <w:tcPr>
            <w:tcW w:w="0" w:type="auto"/>
            <w:shd w:val="clear" w:color="auto" w:fill="auto"/>
          </w:tcPr>
          <w:p w14:paraId="2FE59A53"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selected to commence during, or will continue into, the </w:t>
            </w:r>
            <w:r w:rsidRPr="002056FA">
              <w:rPr>
                <w:rFonts w:eastAsia="Calibri"/>
                <w:iCs/>
                <w:color w:val="000000"/>
                <w:lang w:eastAsia="en-US"/>
              </w:rPr>
              <w:t>forthcoming regulatory control period</w:t>
            </w:r>
            <w:r w:rsidRPr="002056FA">
              <w:rPr>
                <w:rFonts w:eastAsia="Calibri"/>
                <w:color w:val="000000"/>
                <w:lang w:eastAsia="en-US"/>
              </w:rPr>
              <w:t xml:space="preserve">. </w:t>
            </w:r>
          </w:p>
        </w:tc>
        <w:tc>
          <w:tcPr>
            <w:tcW w:w="0" w:type="auto"/>
            <w:shd w:val="clear" w:color="auto" w:fill="auto"/>
          </w:tcPr>
          <w:p w14:paraId="165E319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 ha</w:t>
            </w:r>
            <w:r>
              <w:rPr>
                <w:rFonts w:eastAsia="Calibri"/>
                <w:color w:val="000000"/>
                <w:lang w:eastAsia="en-US"/>
              </w:rPr>
              <w:t>s</w:t>
            </w:r>
            <w:r w:rsidRPr="002056FA">
              <w:rPr>
                <w:rFonts w:eastAsia="Calibri"/>
                <w:color w:val="000000"/>
                <w:lang w:eastAsia="en-US"/>
              </w:rPr>
              <w:t xml:space="preserve"> assessed if there may be potential non-network solutions in the remainder of the current or forthcoming regulatory period. </w:t>
            </w:r>
          </w:p>
          <w:p w14:paraId="36A0C2EC" w14:textId="77777777" w:rsidR="009F2CDD" w:rsidRPr="002056FA" w:rsidRDefault="009F2CDD" w:rsidP="00E169B4">
            <w:pPr>
              <w:pStyle w:val="TableCopy"/>
              <w:rPr>
                <w:rFonts w:eastAsia="Calibri"/>
                <w:lang w:eastAsia="en-US"/>
              </w:rPr>
            </w:pPr>
            <w:r w:rsidRPr="002056FA">
              <w:rPr>
                <w:rFonts w:eastAsia="Calibri"/>
                <w:lang w:eastAsia="en-US"/>
              </w:rPr>
              <w:t xml:space="preserve">These projects are identified in </w:t>
            </w:r>
            <w:r w:rsidRPr="002056FA">
              <w:rPr>
                <w:rFonts w:eastAsia="Calibri"/>
                <w:color w:val="000000"/>
                <w:lang w:eastAsia="en-US"/>
              </w:rPr>
              <w:t>Demand Management</w:t>
            </w:r>
            <w:r>
              <w:rPr>
                <w:rFonts w:eastAsia="Calibri"/>
                <w:color w:val="000000"/>
                <w:lang w:eastAsia="en-US"/>
              </w:rPr>
              <w:t xml:space="preserve"> Regulatory Proposals (</w:t>
            </w:r>
            <w:r w:rsidRPr="002056FA">
              <w:rPr>
                <w:rFonts w:eastAsia="Calibri"/>
                <w:color w:val="000000"/>
                <w:lang w:eastAsia="en-US"/>
              </w:rPr>
              <w:t>2020-2025</w:t>
            </w:r>
            <w:r>
              <w:rPr>
                <w:rFonts w:eastAsia="Calibri"/>
                <w:color w:val="000000"/>
                <w:lang w:eastAsia="en-US"/>
              </w:rPr>
              <w:t xml:space="preserve">), </w:t>
            </w:r>
            <w:r w:rsidRPr="002056FA">
              <w:rPr>
                <w:rFonts w:eastAsia="Calibri"/>
                <w:lang w:eastAsia="en-US"/>
              </w:rPr>
              <w:t xml:space="preserve">section 4 and Appendix </w:t>
            </w:r>
            <w:r w:rsidRPr="00001857">
              <w:rPr>
                <w:rFonts w:eastAsia="Calibri"/>
                <w:lang w:eastAsia="en-US"/>
              </w:rPr>
              <w:t>One (Attachment 7.051).</w:t>
            </w:r>
          </w:p>
          <w:p w14:paraId="5062AE80" w14:textId="77777777" w:rsidR="009F2CDD" w:rsidRPr="002056FA" w:rsidRDefault="009F2CDD" w:rsidP="00E169B4">
            <w:pPr>
              <w:pStyle w:val="TableCopy"/>
              <w:rPr>
                <w:rFonts w:eastAsia="Calibri"/>
                <w:color w:val="000000"/>
                <w:lang w:eastAsia="en-US"/>
              </w:rPr>
            </w:pPr>
            <w:r w:rsidRPr="002056FA">
              <w:rPr>
                <w:rFonts w:eastAsia="Calibri"/>
                <w:lang w:eastAsia="en-US"/>
              </w:rPr>
              <w:t xml:space="preserve">For demand management Targeted Area initiatives, the location, problem statement and incentive offer will be published on the Energex web pages, refer to </w:t>
            </w:r>
            <w:hyperlink r:id="rId21" w:history="1">
              <w:r w:rsidRPr="002056FA">
                <w:rPr>
                  <w:rStyle w:val="Hyperlink"/>
                  <w:rFonts w:eastAsia="Calibri" w:cs="Arial"/>
                  <w:lang w:eastAsia="en-US"/>
                </w:rPr>
                <w:t>https://www.energex.com.au/home/control-your-energy/positive-payback-program/positive-payback-for-business/eligible-areas</w:t>
              </w:r>
            </w:hyperlink>
            <w:r w:rsidRPr="002056FA">
              <w:rPr>
                <w:rFonts w:eastAsia="Calibri"/>
                <w:lang w:eastAsia="en-US"/>
              </w:rPr>
              <w:t xml:space="preserve">   </w:t>
            </w:r>
          </w:p>
          <w:p w14:paraId="74CD4B60" w14:textId="77777777" w:rsidR="009F2CDD" w:rsidRPr="002056FA" w:rsidRDefault="009F2CDD" w:rsidP="00E169B4">
            <w:pPr>
              <w:pStyle w:val="TableCopy"/>
              <w:rPr>
                <w:rFonts w:eastAsia="Calibri"/>
                <w:color w:val="000000"/>
                <w:lang w:eastAsia="en-US"/>
              </w:rPr>
            </w:pPr>
            <w:r w:rsidRPr="002056FA">
              <w:rPr>
                <w:rFonts w:eastAsia="Calibri"/>
                <w:lang w:eastAsia="en-US"/>
              </w:rPr>
              <w:t>These are updated as network constraints and risks of exceeding capacity are identified.</w:t>
            </w:r>
          </w:p>
        </w:tc>
      </w:tr>
      <w:tr w:rsidR="009F2CDD" w:rsidRPr="002056FA" w14:paraId="683C8190" w14:textId="77777777" w:rsidTr="00E169B4">
        <w:tc>
          <w:tcPr>
            <w:tcW w:w="0" w:type="auto"/>
            <w:shd w:val="clear" w:color="auto" w:fill="auto"/>
          </w:tcPr>
          <w:p w14:paraId="3BC5B32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8.4 </w:t>
            </w:r>
          </w:p>
        </w:tc>
        <w:tc>
          <w:tcPr>
            <w:tcW w:w="0" w:type="auto"/>
            <w:shd w:val="clear" w:color="auto" w:fill="auto"/>
          </w:tcPr>
          <w:p w14:paraId="2A76EE9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For each non-network alternative identified in the response to paragraph 8.3, provide a description, including cost and location. </w:t>
            </w:r>
          </w:p>
        </w:tc>
        <w:tc>
          <w:tcPr>
            <w:tcW w:w="0" w:type="auto"/>
            <w:shd w:val="clear" w:color="auto" w:fill="auto"/>
          </w:tcPr>
          <w:p w14:paraId="2FABADE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key non-network alternatives in the current period are identified in Demand Management Regulatory Proposal </w:t>
            </w:r>
            <w:r>
              <w:rPr>
                <w:rFonts w:eastAsia="Calibri"/>
                <w:color w:val="000000"/>
                <w:lang w:eastAsia="en-US"/>
              </w:rPr>
              <w:t xml:space="preserve">(2020-2025), </w:t>
            </w:r>
            <w:r w:rsidRPr="002056FA">
              <w:rPr>
                <w:rFonts w:eastAsia="Calibri"/>
                <w:lang w:eastAsia="en-US"/>
              </w:rPr>
              <w:t xml:space="preserve">section 4 and </w:t>
            </w:r>
            <w:r w:rsidRPr="00001857">
              <w:rPr>
                <w:rFonts w:eastAsia="Calibri"/>
                <w:lang w:eastAsia="en-US"/>
              </w:rPr>
              <w:t>Appendix</w:t>
            </w:r>
            <w:r>
              <w:rPr>
                <w:rFonts w:eastAsia="Calibri"/>
                <w:lang w:eastAsia="en-US"/>
              </w:rPr>
              <w:t xml:space="preserve"> (Attachment 7.051</w:t>
            </w:r>
            <w:r w:rsidRPr="00001857">
              <w:rPr>
                <w:rFonts w:eastAsia="Calibri"/>
                <w:lang w:eastAsia="en-US"/>
              </w:rPr>
              <w:t>).</w:t>
            </w:r>
          </w:p>
        </w:tc>
      </w:tr>
      <w:tr w:rsidR="009F2CDD" w:rsidRPr="002056FA" w14:paraId="78B5C9E5" w14:textId="77777777" w:rsidTr="00E169B4">
        <w:tc>
          <w:tcPr>
            <w:tcW w:w="0" w:type="auto"/>
            <w:shd w:val="clear" w:color="auto" w:fill="auto"/>
          </w:tcPr>
          <w:p w14:paraId="7443660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8.5 </w:t>
            </w:r>
          </w:p>
        </w:tc>
        <w:tc>
          <w:tcPr>
            <w:tcW w:w="0" w:type="auto"/>
            <w:shd w:val="clear" w:color="auto" w:fill="auto"/>
          </w:tcPr>
          <w:p w14:paraId="58AEDA6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Provide, for each year of the </w:t>
            </w:r>
            <w:r w:rsidRPr="002056FA">
              <w:rPr>
                <w:rFonts w:eastAsia="Calibri"/>
                <w:iCs/>
                <w:color w:val="000000"/>
                <w:lang w:eastAsia="en-US"/>
              </w:rPr>
              <w:t>current regulatory control period</w:t>
            </w:r>
            <w:r w:rsidRPr="002056FA">
              <w:rPr>
                <w:rFonts w:eastAsia="Calibri"/>
                <w:color w:val="000000"/>
                <w:lang w:eastAsia="en-US"/>
              </w:rPr>
              <w:t xml:space="preserve">, and for the </w:t>
            </w:r>
            <w:r w:rsidRPr="002056FA">
              <w:rPr>
                <w:rFonts w:eastAsia="Calibri"/>
                <w:iCs/>
                <w:color w:val="000000"/>
                <w:lang w:eastAsia="en-US"/>
              </w:rPr>
              <w:t>forthcoming regulatory control period</w:t>
            </w:r>
            <w:r w:rsidRPr="002056FA">
              <w:rPr>
                <w:rFonts w:eastAsia="Calibri"/>
                <w:color w:val="000000"/>
                <w:lang w:eastAsia="en-US"/>
              </w:rPr>
              <w:t xml:space="preserve">, details of each payment made, or expected to be made, by </w:t>
            </w:r>
            <w:r w:rsidRPr="002056FA">
              <w:rPr>
                <w:rFonts w:eastAsia="Calibri"/>
                <w:iCs/>
                <w:color w:val="000000"/>
                <w:lang w:eastAsia="en-US"/>
              </w:rPr>
              <w:t xml:space="preserve">Energex </w:t>
            </w:r>
            <w:r w:rsidRPr="002056FA">
              <w:rPr>
                <w:rFonts w:eastAsia="Calibri"/>
                <w:color w:val="000000"/>
                <w:lang w:eastAsia="en-US"/>
              </w:rPr>
              <w:t xml:space="preserve">to an </w:t>
            </w:r>
            <w:r w:rsidRPr="002056FA">
              <w:rPr>
                <w:rFonts w:eastAsia="Calibri"/>
                <w:iCs/>
                <w:color w:val="000000"/>
                <w:lang w:eastAsia="en-US"/>
              </w:rPr>
              <w:t xml:space="preserve">Embedded Generator </w:t>
            </w:r>
            <w:r w:rsidRPr="002056FA">
              <w:rPr>
                <w:rFonts w:eastAsia="Calibri"/>
                <w:color w:val="000000"/>
                <w:lang w:eastAsia="en-US"/>
              </w:rPr>
              <w:t xml:space="preserve">in reflection any costs avoided by deferring </w:t>
            </w:r>
            <w:r w:rsidRPr="002056FA">
              <w:rPr>
                <w:rFonts w:eastAsia="Calibri"/>
                <w:iCs/>
                <w:color w:val="000000"/>
                <w:lang w:eastAsia="en-US"/>
              </w:rPr>
              <w:t xml:space="preserve">augmentation </w:t>
            </w:r>
            <w:r w:rsidRPr="002056FA">
              <w:rPr>
                <w:rFonts w:eastAsia="Calibri"/>
                <w:color w:val="000000"/>
                <w:lang w:eastAsia="en-US"/>
              </w:rPr>
              <w:t xml:space="preserve">of: </w:t>
            </w:r>
          </w:p>
        </w:tc>
        <w:tc>
          <w:tcPr>
            <w:tcW w:w="0" w:type="auto"/>
            <w:shd w:val="clear" w:color="auto" w:fill="auto"/>
          </w:tcPr>
          <w:p w14:paraId="46FDD851" w14:textId="77777777" w:rsidR="009F2CDD" w:rsidRPr="002056FA" w:rsidRDefault="009F2CDD" w:rsidP="00E169B4">
            <w:pPr>
              <w:pStyle w:val="TableCopy"/>
              <w:rPr>
                <w:rFonts w:eastAsia="Calibri"/>
                <w:lang w:eastAsia="en-US"/>
              </w:rPr>
            </w:pPr>
            <w:r w:rsidRPr="002056FA">
              <w:rPr>
                <w:rFonts w:eastAsia="Calibri"/>
                <w:lang w:eastAsia="en-US"/>
              </w:rPr>
              <w:t xml:space="preserve">Information on embedded generator contracts is detailed in Demand Management Regulatory Proposal </w:t>
            </w:r>
            <w:r>
              <w:rPr>
                <w:rFonts w:eastAsia="Calibri"/>
                <w:lang w:eastAsia="en-US"/>
              </w:rPr>
              <w:t>(</w:t>
            </w:r>
            <w:r w:rsidRPr="002056FA">
              <w:rPr>
                <w:rFonts w:eastAsia="Calibri"/>
                <w:lang w:eastAsia="en-US"/>
              </w:rPr>
              <w:t>2020-2025</w:t>
            </w:r>
            <w:r>
              <w:rPr>
                <w:rFonts w:eastAsia="Calibri"/>
                <w:lang w:eastAsia="en-US"/>
              </w:rPr>
              <w:t>),</w:t>
            </w:r>
            <w:r>
              <w:rPr>
                <w:rFonts w:eastAsia="Calibri"/>
                <w:color w:val="000000"/>
                <w:lang w:eastAsia="en-US"/>
              </w:rPr>
              <w:t xml:space="preserve"> </w:t>
            </w:r>
            <w:r w:rsidRPr="002056FA">
              <w:rPr>
                <w:rFonts w:eastAsia="Calibri"/>
                <w:color w:val="000000"/>
                <w:lang w:eastAsia="en-US"/>
              </w:rPr>
              <w:t xml:space="preserve">Appendix </w:t>
            </w:r>
            <w:r w:rsidRPr="00001857">
              <w:rPr>
                <w:rFonts w:eastAsia="Calibri"/>
                <w:color w:val="000000"/>
                <w:lang w:eastAsia="en-US"/>
              </w:rPr>
              <w:t xml:space="preserve">One </w:t>
            </w:r>
            <w:r w:rsidRPr="00001857">
              <w:rPr>
                <w:rFonts w:eastAsia="Calibri"/>
                <w:lang w:eastAsia="en-US"/>
              </w:rPr>
              <w:t xml:space="preserve">(Attachment </w:t>
            </w:r>
            <w:r>
              <w:rPr>
                <w:rFonts w:eastAsia="Calibri"/>
                <w:lang w:eastAsia="en-US"/>
              </w:rPr>
              <w:t>7.051</w:t>
            </w:r>
            <w:r w:rsidRPr="00001857">
              <w:rPr>
                <w:rFonts w:eastAsia="Calibri"/>
                <w:lang w:eastAsia="en-US"/>
              </w:rPr>
              <w:t>).</w:t>
            </w:r>
          </w:p>
          <w:p w14:paraId="13608407" w14:textId="77777777" w:rsidR="009F2CDD" w:rsidRPr="002056FA" w:rsidRDefault="009F2CDD" w:rsidP="00E169B4">
            <w:pPr>
              <w:pStyle w:val="TableCopy"/>
              <w:rPr>
                <w:rFonts w:eastAsia="Calibri"/>
                <w:color w:val="000000"/>
                <w:lang w:eastAsia="en-US"/>
              </w:rPr>
            </w:pPr>
          </w:p>
        </w:tc>
      </w:tr>
      <w:tr w:rsidR="009F2CDD" w:rsidRPr="002056FA" w14:paraId="2F3FA541" w14:textId="77777777" w:rsidTr="00E169B4">
        <w:tc>
          <w:tcPr>
            <w:tcW w:w="0" w:type="auto"/>
            <w:shd w:val="clear" w:color="auto" w:fill="auto"/>
          </w:tcPr>
          <w:p w14:paraId="710F4FB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8.5(a) </w:t>
            </w:r>
          </w:p>
        </w:tc>
        <w:tc>
          <w:tcPr>
            <w:tcW w:w="0" w:type="auto"/>
            <w:shd w:val="clear" w:color="auto" w:fill="auto"/>
          </w:tcPr>
          <w:p w14:paraId="73725E0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Energex’s distribution </w:t>
            </w:r>
            <w:r w:rsidRPr="002056FA">
              <w:rPr>
                <w:rFonts w:eastAsia="Calibri"/>
                <w:iCs/>
                <w:color w:val="000000"/>
                <w:lang w:eastAsia="en-US"/>
              </w:rPr>
              <w:t>network</w:t>
            </w:r>
            <w:r w:rsidRPr="002056FA">
              <w:rPr>
                <w:rFonts w:eastAsia="Calibri"/>
                <w:color w:val="000000"/>
                <w:lang w:eastAsia="en-US"/>
              </w:rPr>
              <w:t xml:space="preserve">; or </w:t>
            </w:r>
          </w:p>
        </w:tc>
        <w:tc>
          <w:tcPr>
            <w:tcW w:w="0" w:type="auto"/>
            <w:shd w:val="clear" w:color="auto" w:fill="auto"/>
          </w:tcPr>
          <w:p w14:paraId="058DE2B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8.5.</w:t>
            </w:r>
          </w:p>
        </w:tc>
      </w:tr>
      <w:tr w:rsidR="009F2CDD" w:rsidRPr="002056FA" w14:paraId="6818EB1E" w14:textId="77777777" w:rsidTr="00E169B4">
        <w:tc>
          <w:tcPr>
            <w:tcW w:w="0" w:type="auto"/>
            <w:tcBorders>
              <w:bottom w:val="single" w:sz="4" w:space="0" w:color="auto"/>
            </w:tcBorders>
            <w:shd w:val="clear" w:color="auto" w:fill="auto"/>
          </w:tcPr>
          <w:p w14:paraId="37B3847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8.5(b) </w:t>
            </w:r>
          </w:p>
        </w:tc>
        <w:tc>
          <w:tcPr>
            <w:tcW w:w="0" w:type="auto"/>
            <w:tcBorders>
              <w:bottom w:val="single" w:sz="4" w:space="0" w:color="auto"/>
            </w:tcBorders>
            <w:shd w:val="clear" w:color="auto" w:fill="auto"/>
          </w:tcPr>
          <w:p w14:paraId="7CEE42A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relevant transmission </w:t>
            </w:r>
            <w:r w:rsidRPr="002056FA">
              <w:rPr>
                <w:rFonts w:eastAsia="Calibri"/>
                <w:iCs/>
                <w:color w:val="000000"/>
                <w:lang w:eastAsia="en-US"/>
              </w:rPr>
              <w:t>network</w:t>
            </w:r>
            <w:r w:rsidRPr="002056FA">
              <w:rPr>
                <w:rFonts w:eastAsia="Calibri"/>
                <w:color w:val="000000"/>
                <w:lang w:eastAsia="en-US"/>
              </w:rPr>
              <w:t xml:space="preserve">. </w:t>
            </w:r>
          </w:p>
        </w:tc>
        <w:tc>
          <w:tcPr>
            <w:tcW w:w="0" w:type="auto"/>
            <w:tcBorders>
              <w:bottom w:val="single" w:sz="4" w:space="0" w:color="auto"/>
            </w:tcBorders>
            <w:shd w:val="clear" w:color="auto" w:fill="auto"/>
          </w:tcPr>
          <w:p w14:paraId="5B8067B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Not applicable</w:t>
            </w:r>
          </w:p>
        </w:tc>
      </w:tr>
      <w:tr w:rsidR="009F2CDD" w:rsidRPr="002056FA" w14:paraId="16875E00" w14:textId="77777777" w:rsidTr="00E169B4">
        <w:tc>
          <w:tcPr>
            <w:tcW w:w="0" w:type="auto"/>
            <w:shd w:val="clear" w:color="auto" w:fill="D0CECE" w:themeFill="background2" w:themeFillShade="E6"/>
          </w:tcPr>
          <w:p w14:paraId="1F00CAD9"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9</w:t>
            </w:r>
          </w:p>
        </w:tc>
        <w:tc>
          <w:tcPr>
            <w:tcW w:w="0" w:type="auto"/>
            <w:shd w:val="clear" w:color="auto" w:fill="D0CECE" w:themeFill="background2" w:themeFillShade="E6"/>
          </w:tcPr>
          <w:p w14:paraId="7C729E5A"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FORECAST INPUT PRICE CHANGES</w:t>
            </w:r>
          </w:p>
        </w:tc>
        <w:tc>
          <w:tcPr>
            <w:tcW w:w="0" w:type="auto"/>
            <w:shd w:val="clear" w:color="auto" w:fill="D0CECE" w:themeFill="background2" w:themeFillShade="E6"/>
          </w:tcPr>
          <w:p w14:paraId="5431D363" w14:textId="77777777" w:rsidR="009F2CDD" w:rsidRPr="002056FA" w:rsidRDefault="009F2CDD" w:rsidP="00E169B4">
            <w:pPr>
              <w:pStyle w:val="TableCopy"/>
              <w:rPr>
                <w:rFonts w:eastAsia="Calibri"/>
                <w:color w:val="000000"/>
                <w:lang w:eastAsia="en-US"/>
              </w:rPr>
            </w:pPr>
          </w:p>
        </w:tc>
      </w:tr>
      <w:tr w:rsidR="009F2CDD" w:rsidRPr="002056FA" w14:paraId="3E62D110" w14:textId="77777777" w:rsidTr="00E169B4">
        <w:tc>
          <w:tcPr>
            <w:tcW w:w="0" w:type="auto"/>
            <w:shd w:val="clear" w:color="auto" w:fill="auto"/>
          </w:tcPr>
          <w:p w14:paraId="622DE21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9.1</w:t>
            </w:r>
          </w:p>
        </w:tc>
        <w:tc>
          <w:tcPr>
            <w:tcW w:w="0" w:type="auto"/>
            <w:shd w:val="clear" w:color="auto" w:fill="auto"/>
          </w:tcPr>
          <w:p w14:paraId="1547801F" w14:textId="77777777" w:rsidR="009F2CDD" w:rsidRPr="002056FA" w:rsidRDefault="009F2CDD" w:rsidP="00E169B4">
            <w:pPr>
              <w:pStyle w:val="TableCopy"/>
              <w:rPr>
                <w:rFonts w:eastAsia="Calibri"/>
                <w:lang w:eastAsia="en-US"/>
              </w:rPr>
            </w:pPr>
            <w:r w:rsidRPr="002056FA">
              <w:rPr>
                <w:rFonts w:eastAsia="Calibri"/>
                <w:lang w:eastAsia="en-US"/>
              </w:rPr>
              <w:t>Provide, in Workbook 1 – Regulatory determination, regulatory template CPI series, the CPI series and index used by Energex in its forecast capex proposal also the CPI series and index used by Energex in its forecast opex proposal.</w:t>
            </w:r>
          </w:p>
        </w:tc>
        <w:tc>
          <w:tcPr>
            <w:tcW w:w="0" w:type="auto"/>
            <w:shd w:val="clear" w:color="auto" w:fill="auto"/>
          </w:tcPr>
          <w:p w14:paraId="730AF11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 used the June CPI series for the eight capital cities that is published quarterly by the Australian Bureau of Statistics (ABS) for historical inflation up to June 2018.</w:t>
            </w:r>
            <w:r>
              <w:rPr>
                <w:rFonts w:eastAsia="Calibri"/>
                <w:color w:val="000000"/>
                <w:lang w:eastAsia="en-US"/>
              </w:rPr>
              <w:t xml:space="preserve"> The CPI series is provided in ‘</w:t>
            </w:r>
            <w:r w:rsidRPr="002056FA">
              <w:rPr>
                <w:rFonts w:eastAsia="Calibri"/>
                <w:color w:val="000000"/>
                <w:lang w:eastAsia="en-US"/>
              </w:rPr>
              <w:t>Workbo</w:t>
            </w:r>
            <w:r>
              <w:rPr>
                <w:rFonts w:eastAsia="Calibri"/>
                <w:color w:val="000000"/>
                <w:lang w:eastAsia="en-US"/>
              </w:rPr>
              <w:t>ok 1 – Regulatory Determination</w:t>
            </w:r>
            <w:r w:rsidRPr="002056FA">
              <w:rPr>
                <w:rFonts w:eastAsia="Calibri"/>
                <w:color w:val="000000"/>
                <w:lang w:eastAsia="en-US"/>
              </w:rPr>
              <w:t xml:space="preserve"> </w:t>
            </w:r>
            <w:r w:rsidRPr="0036430F">
              <w:rPr>
                <w:rFonts w:eastAsia="Calibri"/>
                <w:color w:val="000000"/>
                <w:lang w:val="en-GB" w:eastAsia="en-US"/>
              </w:rPr>
              <w:t>- 2020-25 Regulatory Determination RIN template</w:t>
            </w:r>
            <w:r>
              <w:rPr>
                <w:rFonts w:eastAsia="Calibri"/>
                <w:color w:val="000000"/>
                <w:lang w:val="en-GB" w:eastAsia="en-US"/>
              </w:rPr>
              <w:t xml:space="preserve"> </w:t>
            </w:r>
            <w:r w:rsidRPr="0036430F">
              <w:rPr>
                <w:rFonts w:eastAsia="Calibri"/>
                <w:color w:val="000000"/>
                <w:lang w:eastAsia="en-US"/>
              </w:rPr>
              <w:t>(</w:t>
            </w:r>
            <w:r w:rsidRPr="0036430F">
              <w:rPr>
                <w:rFonts w:eastAsia="Calibri"/>
                <w:color w:val="000000"/>
                <w:lang w:val="en-GB" w:eastAsia="en-US"/>
              </w:rPr>
              <w:t>Attachment 17.0</w:t>
            </w:r>
            <w:r>
              <w:rPr>
                <w:rFonts w:eastAsia="Calibri"/>
                <w:color w:val="000000"/>
                <w:lang w:val="en-GB" w:eastAsia="en-US"/>
              </w:rPr>
              <w:t>46)</w:t>
            </w:r>
            <w:r w:rsidRPr="0036430F">
              <w:rPr>
                <w:rFonts w:eastAsia="Calibri"/>
                <w:color w:val="000000"/>
                <w:lang w:eastAsia="en-US"/>
              </w:rPr>
              <w:t>, in</w:t>
            </w:r>
            <w:r w:rsidRPr="002056FA">
              <w:rPr>
                <w:rFonts w:eastAsia="Calibri"/>
                <w:color w:val="000000"/>
                <w:lang w:eastAsia="en-US"/>
              </w:rPr>
              <w:t xml:space="preserve"> accordance with the AER’s instructions.  </w:t>
            </w:r>
          </w:p>
          <w:p w14:paraId="05CFD24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This CPI series is also </w:t>
            </w:r>
            <w:r w:rsidRPr="0071681F">
              <w:rPr>
                <w:rFonts w:eastAsia="Calibri"/>
                <w:color w:val="000000"/>
                <w:lang w:eastAsia="en-US"/>
              </w:rPr>
              <w:t>replicated in various models that we are submitting, for instance, ‘Opex forecast – SCS’ (Attachment 6.007), ‘Opex forecast – ACS metering’ (Attachment 15.010)</w:t>
            </w:r>
            <w:r>
              <w:rPr>
                <w:rFonts w:eastAsia="Calibri"/>
                <w:color w:val="000000"/>
                <w:lang w:eastAsia="en-US"/>
              </w:rPr>
              <w:t>,</w:t>
            </w:r>
            <w:r w:rsidRPr="0071681F">
              <w:rPr>
                <w:rFonts w:eastAsia="Calibri"/>
                <w:color w:val="000000"/>
                <w:lang w:eastAsia="en-US"/>
              </w:rPr>
              <w:t xml:space="preserve"> ‘Opex forecast – ACS Public Lighting</w:t>
            </w:r>
            <w:r>
              <w:rPr>
                <w:rFonts w:eastAsia="Calibri"/>
                <w:color w:val="000000"/>
                <w:lang w:eastAsia="en-US"/>
              </w:rPr>
              <w:t xml:space="preserve"> Conventional</w:t>
            </w:r>
            <w:r w:rsidRPr="0071681F">
              <w:rPr>
                <w:rFonts w:eastAsia="Calibri"/>
                <w:color w:val="000000"/>
                <w:lang w:eastAsia="en-US"/>
              </w:rPr>
              <w:t>’ (Attachment 15.012</w:t>
            </w:r>
            <w:r w:rsidRPr="002056FA">
              <w:rPr>
                <w:rFonts w:eastAsia="Calibri"/>
                <w:color w:val="000000"/>
                <w:lang w:eastAsia="en-US"/>
              </w:rPr>
              <w:t>)</w:t>
            </w:r>
            <w:r>
              <w:rPr>
                <w:rFonts w:eastAsia="Calibri"/>
                <w:color w:val="000000"/>
                <w:lang w:eastAsia="en-US"/>
              </w:rPr>
              <w:t xml:space="preserve"> and </w:t>
            </w:r>
            <w:r w:rsidRPr="0071681F">
              <w:rPr>
                <w:rFonts w:eastAsia="Calibri"/>
                <w:color w:val="000000"/>
                <w:lang w:eastAsia="en-US"/>
              </w:rPr>
              <w:t>‘Opex forecast – ACS Public Lighting</w:t>
            </w:r>
            <w:r>
              <w:rPr>
                <w:rFonts w:eastAsia="Calibri"/>
                <w:color w:val="000000"/>
                <w:lang w:eastAsia="en-US"/>
              </w:rPr>
              <w:t xml:space="preserve"> LED</w:t>
            </w:r>
            <w:r w:rsidRPr="0071681F">
              <w:rPr>
                <w:rFonts w:eastAsia="Calibri"/>
                <w:color w:val="000000"/>
                <w:lang w:eastAsia="en-US"/>
              </w:rPr>
              <w:t xml:space="preserve"> (Attachment 15.01</w:t>
            </w:r>
            <w:r>
              <w:rPr>
                <w:rFonts w:eastAsia="Calibri"/>
                <w:color w:val="000000"/>
                <w:lang w:eastAsia="en-US"/>
              </w:rPr>
              <w:t>4</w:t>
            </w:r>
            <w:r w:rsidRPr="002056FA">
              <w:rPr>
                <w:rFonts w:eastAsia="Calibri"/>
                <w:color w:val="000000"/>
                <w:lang w:eastAsia="en-US"/>
              </w:rPr>
              <w:t xml:space="preserve">). </w:t>
            </w:r>
          </w:p>
          <w:p w14:paraId="10C3B0D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 The CPI series in these models convert historical values in to real $2020, together with inflation forecasts published by the Reserve Bank of Australia in its November 2018 Statement on Monetary Policy.</w:t>
            </w:r>
          </w:p>
        </w:tc>
      </w:tr>
      <w:tr w:rsidR="009F2CDD" w:rsidRPr="002056FA" w14:paraId="1162DDE8" w14:textId="77777777" w:rsidTr="00E169B4">
        <w:tc>
          <w:tcPr>
            <w:tcW w:w="0" w:type="auto"/>
            <w:tcBorders>
              <w:bottom w:val="single" w:sz="4" w:space="0" w:color="auto"/>
            </w:tcBorders>
            <w:shd w:val="clear" w:color="auto" w:fill="auto"/>
          </w:tcPr>
          <w:p w14:paraId="6FFB20C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9.2</w:t>
            </w:r>
          </w:p>
        </w:tc>
        <w:tc>
          <w:tcPr>
            <w:tcW w:w="0" w:type="auto"/>
            <w:tcBorders>
              <w:bottom w:val="single" w:sz="4" w:space="0" w:color="auto"/>
            </w:tcBorders>
            <w:shd w:val="clear" w:color="auto" w:fill="auto"/>
          </w:tcPr>
          <w:p w14:paraId="1026A8C7" w14:textId="77777777" w:rsidR="009F2CDD" w:rsidRPr="002056FA" w:rsidRDefault="009F2CDD" w:rsidP="00E169B4">
            <w:pPr>
              <w:pStyle w:val="TableCopy"/>
              <w:rPr>
                <w:rFonts w:eastAsia="Calibri"/>
                <w:lang w:eastAsia="en-US"/>
              </w:rPr>
            </w:pPr>
            <w:r w:rsidRPr="002056FA">
              <w:rPr>
                <w:rFonts w:eastAsia="Calibri"/>
                <w:lang w:eastAsia="en-US"/>
              </w:rPr>
              <w:t>Provide, in Workbook 1 – Regulatory determination, regulatory template 2.14, the capex and opex price changes assumed by Energex in its forecast capex proposal and the forecast opex proposal. All price changes must be expressed in percentage year on year real terms.</w:t>
            </w:r>
          </w:p>
        </w:tc>
        <w:tc>
          <w:tcPr>
            <w:tcW w:w="0" w:type="auto"/>
            <w:tcBorders>
              <w:bottom w:val="single" w:sz="4" w:space="0" w:color="auto"/>
            </w:tcBorders>
            <w:shd w:val="clear" w:color="auto" w:fill="auto"/>
          </w:tcPr>
          <w:p w14:paraId="36258C45" w14:textId="77777777" w:rsidR="009F2CDD" w:rsidRPr="002056FA" w:rsidRDefault="009F2CDD" w:rsidP="00E169B4">
            <w:pPr>
              <w:pStyle w:val="TableCopy"/>
              <w:rPr>
                <w:rFonts w:eastAsia="Calibri"/>
                <w:color w:val="000000"/>
                <w:lang w:eastAsia="en-US"/>
              </w:rPr>
            </w:pPr>
            <w:r>
              <w:rPr>
                <w:rFonts w:eastAsia="Calibri"/>
                <w:color w:val="000000"/>
                <w:lang w:eastAsia="en-US"/>
              </w:rPr>
              <w:t>R</w:t>
            </w:r>
            <w:r w:rsidRPr="002056FA">
              <w:rPr>
                <w:rFonts w:eastAsia="Calibri"/>
                <w:color w:val="000000"/>
                <w:lang w:eastAsia="en-US"/>
              </w:rPr>
              <w:t xml:space="preserve">efer to </w:t>
            </w:r>
            <w:r w:rsidRPr="008B51A8">
              <w:rPr>
                <w:rFonts w:eastAsia="Calibri"/>
                <w:color w:val="000000"/>
                <w:lang w:val="en-GB" w:eastAsia="en-US"/>
              </w:rPr>
              <w:t>2020-25 Regula</w:t>
            </w:r>
            <w:r>
              <w:rPr>
                <w:rFonts w:eastAsia="Calibri"/>
                <w:color w:val="000000"/>
                <w:lang w:val="en-GB" w:eastAsia="en-US"/>
              </w:rPr>
              <w:t>tory Determination RIN template</w:t>
            </w:r>
            <w:r w:rsidRPr="002056FA">
              <w:rPr>
                <w:rFonts w:eastAsia="Calibri"/>
                <w:color w:val="000000"/>
                <w:lang w:eastAsia="en-US"/>
              </w:rPr>
              <w:t xml:space="preserve"> </w:t>
            </w:r>
            <w:r w:rsidRPr="0036430F">
              <w:rPr>
                <w:rFonts w:eastAsia="Calibri"/>
                <w:color w:val="000000"/>
                <w:lang w:eastAsia="en-US"/>
              </w:rPr>
              <w:t>(Attachment 17.0</w:t>
            </w:r>
            <w:r>
              <w:rPr>
                <w:rFonts w:eastAsia="Calibri"/>
                <w:color w:val="000000"/>
                <w:lang w:eastAsia="en-US"/>
              </w:rPr>
              <w:t>46</w:t>
            </w:r>
            <w:r w:rsidRPr="002056FA">
              <w:rPr>
                <w:rFonts w:eastAsia="Calibri"/>
                <w:color w:val="000000"/>
                <w:lang w:eastAsia="en-US"/>
              </w:rPr>
              <w:t>) and:</w:t>
            </w:r>
          </w:p>
          <w:p w14:paraId="598312D3" w14:textId="77777777" w:rsidR="009F2CDD" w:rsidRPr="0036430F" w:rsidRDefault="009F2CDD" w:rsidP="00E169B4">
            <w:pPr>
              <w:pStyle w:val="Bullet1"/>
              <w:rPr>
                <w:sz w:val="20"/>
                <w:szCs w:val="20"/>
              </w:rPr>
            </w:pPr>
            <w:r w:rsidRPr="0036430F">
              <w:rPr>
                <w:sz w:val="20"/>
                <w:szCs w:val="20"/>
              </w:rPr>
              <w:t>Forecast Capex Model (Attachment 7.</w:t>
            </w:r>
            <w:r>
              <w:rPr>
                <w:sz w:val="20"/>
                <w:szCs w:val="20"/>
              </w:rPr>
              <w:t>153</w:t>
            </w:r>
            <w:r w:rsidRPr="0036430F">
              <w:rPr>
                <w:sz w:val="20"/>
                <w:szCs w:val="20"/>
              </w:rPr>
              <w:t>)</w:t>
            </w:r>
          </w:p>
          <w:p w14:paraId="147607BD" w14:textId="77777777" w:rsidR="009F2CDD" w:rsidRPr="0071681F" w:rsidRDefault="009F2CDD" w:rsidP="00E169B4">
            <w:pPr>
              <w:pStyle w:val="Bullet1"/>
              <w:rPr>
                <w:sz w:val="20"/>
                <w:szCs w:val="20"/>
              </w:rPr>
            </w:pPr>
            <w:r w:rsidRPr="0071681F">
              <w:rPr>
                <w:sz w:val="20"/>
                <w:szCs w:val="20"/>
              </w:rPr>
              <w:t xml:space="preserve">Fee based and quoted services model - ACS (Attachment 15.009). </w:t>
            </w:r>
          </w:p>
          <w:p w14:paraId="0F13A465" w14:textId="77777777" w:rsidR="009F2CDD" w:rsidRPr="0071681F" w:rsidRDefault="009F2CDD" w:rsidP="00E169B4">
            <w:pPr>
              <w:pStyle w:val="Bullet1"/>
              <w:rPr>
                <w:sz w:val="20"/>
                <w:szCs w:val="20"/>
              </w:rPr>
            </w:pPr>
            <w:r w:rsidRPr="0071681F">
              <w:rPr>
                <w:sz w:val="20"/>
                <w:szCs w:val="20"/>
              </w:rPr>
              <w:t>Opex forecast – SCS model (Attachment 6.007)</w:t>
            </w:r>
          </w:p>
          <w:p w14:paraId="7F967C25" w14:textId="77777777" w:rsidR="009F2CDD" w:rsidRDefault="009F2CDD" w:rsidP="00E169B4">
            <w:pPr>
              <w:pStyle w:val="Bullet1"/>
              <w:rPr>
                <w:sz w:val="20"/>
                <w:szCs w:val="20"/>
              </w:rPr>
            </w:pPr>
            <w:r w:rsidRPr="0071681F">
              <w:rPr>
                <w:sz w:val="20"/>
                <w:szCs w:val="20"/>
              </w:rPr>
              <w:t>Opex forecast – ACS Metering (Attachment 15.010)</w:t>
            </w:r>
          </w:p>
          <w:p w14:paraId="4B25A641" w14:textId="77777777" w:rsidR="009F2CDD" w:rsidRPr="0071681F" w:rsidRDefault="009F2CDD" w:rsidP="00E169B4">
            <w:pPr>
              <w:pStyle w:val="Bullet1"/>
              <w:rPr>
                <w:sz w:val="20"/>
                <w:szCs w:val="20"/>
              </w:rPr>
            </w:pPr>
            <w:r>
              <w:rPr>
                <w:sz w:val="20"/>
                <w:szCs w:val="20"/>
              </w:rPr>
              <w:t>Capex forecast – ACS Metering (Attachment 15.007)</w:t>
            </w:r>
            <w:r w:rsidRPr="0071681F">
              <w:rPr>
                <w:sz w:val="20"/>
                <w:szCs w:val="20"/>
              </w:rPr>
              <w:t xml:space="preserve"> </w:t>
            </w:r>
          </w:p>
          <w:p w14:paraId="7E67ED8B" w14:textId="77777777" w:rsidR="009F2CDD" w:rsidRPr="004F40EC" w:rsidRDefault="009F2CDD" w:rsidP="00E169B4">
            <w:pPr>
              <w:pStyle w:val="Bullet1"/>
            </w:pPr>
            <w:r w:rsidRPr="0071681F">
              <w:rPr>
                <w:sz w:val="20"/>
                <w:szCs w:val="20"/>
              </w:rPr>
              <w:t xml:space="preserve">Opex forecast – ACS Public Lighting </w:t>
            </w:r>
            <w:r>
              <w:rPr>
                <w:sz w:val="20"/>
                <w:szCs w:val="20"/>
              </w:rPr>
              <w:t xml:space="preserve">Conventional </w:t>
            </w:r>
            <w:r w:rsidRPr="0071681F">
              <w:rPr>
                <w:sz w:val="20"/>
                <w:szCs w:val="20"/>
              </w:rPr>
              <w:t>(Attachment 15.012)</w:t>
            </w:r>
          </w:p>
          <w:p w14:paraId="7410D6D8" w14:textId="77777777" w:rsidR="009F2CDD" w:rsidRPr="004F40EC" w:rsidRDefault="009F2CDD" w:rsidP="00E169B4">
            <w:pPr>
              <w:pStyle w:val="Bullet1"/>
            </w:pPr>
            <w:r w:rsidRPr="0071681F">
              <w:rPr>
                <w:sz w:val="20"/>
                <w:szCs w:val="20"/>
              </w:rPr>
              <w:t xml:space="preserve">Opex forecast – ACS Public Lighting </w:t>
            </w:r>
            <w:r>
              <w:rPr>
                <w:sz w:val="20"/>
                <w:szCs w:val="20"/>
              </w:rPr>
              <w:t xml:space="preserve">LED </w:t>
            </w:r>
            <w:r w:rsidRPr="0071681F">
              <w:rPr>
                <w:sz w:val="20"/>
                <w:szCs w:val="20"/>
              </w:rPr>
              <w:t>(Attachment 15.01</w:t>
            </w:r>
            <w:r>
              <w:rPr>
                <w:sz w:val="20"/>
                <w:szCs w:val="20"/>
              </w:rPr>
              <w:t>4</w:t>
            </w:r>
            <w:r w:rsidRPr="0071681F">
              <w:rPr>
                <w:sz w:val="20"/>
                <w:szCs w:val="20"/>
              </w:rPr>
              <w:t>)</w:t>
            </w:r>
          </w:p>
          <w:p w14:paraId="450F054B" w14:textId="77777777" w:rsidR="009F2CDD" w:rsidRDefault="009F2CDD" w:rsidP="00E169B4">
            <w:pPr>
              <w:pStyle w:val="Bullet1"/>
              <w:rPr>
                <w:sz w:val="20"/>
                <w:szCs w:val="20"/>
              </w:rPr>
            </w:pPr>
            <w:r w:rsidRPr="00864F96">
              <w:rPr>
                <w:sz w:val="20"/>
                <w:szCs w:val="20"/>
              </w:rPr>
              <w:t>Capex forecast –</w:t>
            </w:r>
            <w:r w:rsidRPr="004F40EC">
              <w:rPr>
                <w:sz w:val="20"/>
                <w:szCs w:val="20"/>
              </w:rPr>
              <w:t xml:space="preserve"> ACS Publi</w:t>
            </w:r>
            <w:r>
              <w:rPr>
                <w:sz w:val="20"/>
                <w:szCs w:val="20"/>
              </w:rPr>
              <w:t>c</w:t>
            </w:r>
            <w:r w:rsidRPr="004F40EC">
              <w:rPr>
                <w:sz w:val="20"/>
                <w:szCs w:val="20"/>
              </w:rPr>
              <w:t xml:space="preserve"> L</w:t>
            </w:r>
            <w:r w:rsidRPr="00864F96">
              <w:rPr>
                <w:sz w:val="20"/>
                <w:szCs w:val="20"/>
              </w:rPr>
              <w:t>ighting Conventional (Attachme</w:t>
            </w:r>
            <w:r>
              <w:rPr>
                <w:sz w:val="20"/>
                <w:szCs w:val="20"/>
              </w:rPr>
              <w:t>nt 15.031), and</w:t>
            </w:r>
          </w:p>
          <w:p w14:paraId="6C4AEC94" w14:textId="77777777" w:rsidR="009F2CDD" w:rsidRPr="004F40EC" w:rsidRDefault="009F2CDD" w:rsidP="00E169B4">
            <w:pPr>
              <w:pStyle w:val="Bullet1"/>
              <w:rPr>
                <w:sz w:val="20"/>
                <w:szCs w:val="20"/>
              </w:rPr>
            </w:pPr>
            <w:r w:rsidRPr="00864F96">
              <w:rPr>
                <w:sz w:val="20"/>
                <w:szCs w:val="20"/>
              </w:rPr>
              <w:t>Capex forecast –</w:t>
            </w:r>
            <w:r w:rsidRPr="007775CE">
              <w:rPr>
                <w:sz w:val="20"/>
                <w:szCs w:val="20"/>
              </w:rPr>
              <w:t xml:space="preserve"> ACS Publi</w:t>
            </w:r>
            <w:r>
              <w:rPr>
                <w:sz w:val="20"/>
                <w:szCs w:val="20"/>
              </w:rPr>
              <w:t>c</w:t>
            </w:r>
            <w:r w:rsidRPr="007775CE">
              <w:rPr>
                <w:sz w:val="20"/>
                <w:szCs w:val="20"/>
              </w:rPr>
              <w:t xml:space="preserve"> L</w:t>
            </w:r>
            <w:r w:rsidRPr="00864F96">
              <w:rPr>
                <w:sz w:val="20"/>
                <w:szCs w:val="20"/>
              </w:rPr>
              <w:t xml:space="preserve">ighting </w:t>
            </w:r>
            <w:r>
              <w:rPr>
                <w:sz w:val="20"/>
                <w:szCs w:val="20"/>
              </w:rPr>
              <w:t>LED</w:t>
            </w:r>
            <w:r w:rsidRPr="00864F96">
              <w:rPr>
                <w:sz w:val="20"/>
                <w:szCs w:val="20"/>
              </w:rPr>
              <w:t xml:space="preserve"> (Attachme</w:t>
            </w:r>
            <w:r>
              <w:rPr>
                <w:sz w:val="20"/>
                <w:szCs w:val="20"/>
              </w:rPr>
              <w:t>nt 15.033).</w:t>
            </w:r>
            <w:r w:rsidRPr="004F40EC">
              <w:rPr>
                <w:sz w:val="20"/>
                <w:szCs w:val="20"/>
              </w:rPr>
              <w:t xml:space="preserve"> </w:t>
            </w:r>
          </w:p>
        </w:tc>
      </w:tr>
      <w:tr w:rsidR="009F2CDD" w:rsidRPr="002056FA" w14:paraId="74A94829" w14:textId="77777777" w:rsidTr="00E169B4">
        <w:tc>
          <w:tcPr>
            <w:tcW w:w="0" w:type="auto"/>
            <w:shd w:val="clear" w:color="auto" w:fill="D0CECE" w:themeFill="background2" w:themeFillShade="E6"/>
          </w:tcPr>
          <w:p w14:paraId="18E7D5B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9.3</w:t>
            </w:r>
          </w:p>
        </w:tc>
        <w:tc>
          <w:tcPr>
            <w:tcW w:w="0" w:type="auto"/>
            <w:shd w:val="clear" w:color="auto" w:fill="D0CECE" w:themeFill="background2" w:themeFillShade="E6"/>
          </w:tcPr>
          <w:p w14:paraId="10FF7FF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w:t>
            </w:r>
          </w:p>
        </w:tc>
        <w:tc>
          <w:tcPr>
            <w:tcW w:w="0" w:type="auto"/>
            <w:shd w:val="clear" w:color="auto" w:fill="D0CECE" w:themeFill="background2" w:themeFillShade="E6"/>
          </w:tcPr>
          <w:p w14:paraId="34DBF095" w14:textId="77777777" w:rsidR="009F2CDD" w:rsidRPr="002056FA" w:rsidRDefault="009F2CDD" w:rsidP="00E169B4">
            <w:pPr>
              <w:pStyle w:val="TableCopy"/>
              <w:rPr>
                <w:rFonts w:eastAsia="Calibri"/>
                <w:color w:val="000000"/>
                <w:lang w:eastAsia="en-US"/>
              </w:rPr>
            </w:pPr>
          </w:p>
        </w:tc>
      </w:tr>
      <w:tr w:rsidR="009F2CDD" w:rsidRPr="002056FA" w14:paraId="63DA67AD" w14:textId="77777777" w:rsidTr="00E169B4">
        <w:tc>
          <w:tcPr>
            <w:tcW w:w="0" w:type="auto"/>
            <w:shd w:val="clear" w:color="auto" w:fill="auto"/>
          </w:tcPr>
          <w:p w14:paraId="1D424A6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9.3(a) </w:t>
            </w:r>
          </w:p>
        </w:tc>
        <w:tc>
          <w:tcPr>
            <w:tcW w:w="0" w:type="auto"/>
            <w:shd w:val="clear" w:color="auto" w:fill="auto"/>
          </w:tcPr>
          <w:p w14:paraId="132D0E7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model(s) used to derive and apply the materials price changes, including model(s) developed by a third party; </w:t>
            </w:r>
          </w:p>
        </w:tc>
        <w:tc>
          <w:tcPr>
            <w:tcW w:w="0" w:type="auto"/>
            <w:shd w:val="clear" w:color="auto" w:fill="auto"/>
          </w:tcPr>
          <w:p w14:paraId="4291864F" w14:textId="77777777" w:rsidR="009F2CDD" w:rsidRPr="002056FA" w:rsidRDefault="009F2CDD" w:rsidP="00E169B4">
            <w:pPr>
              <w:pStyle w:val="TableCopy"/>
              <w:rPr>
                <w:rFonts w:eastAsia="Calibri"/>
                <w:color w:val="000000"/>
                <w:highlight w:val="yellow"/>
                <w:lang w:eastAsia="en-US"/>
              </w:rPr>
            </w:pPr>
            <w:r w:rsidRPr="002056FA">
              <w:rPr>
                <w:rFonts w:eastAsia="Calibri"/>
                <w:color w:val="000000"/>
                <w:lang w:eastAsia="en-US"/>
              </w:rPr>
              <w:t xml:space="preserve">Energex is not proposing any (real) materials escalators.  Rather, Energex </w:t>
            </w:r>
            <w:r>
              <w:rPr>
                <w:rFonts w:eastAsia="Calibri"/>
                <w:color w:val="000000"/>
                <w:lang w:eastAsia="en-US"/>
              </w:rPr>
              <w:t>is</w:t>
            </w:r>
            <w:r w:rsidRPr="002056FA">
              <w:rPr>
                <w:rFonts w:eastAsia="Calibri"/>
                <w:color w:val="000000"/>
                <w:lang w:eastAsia="en-US"/>
              </w:rPr>
              <w:t xml:space="preserve"> proposing that the cost of materials escalates consistent with forecast inflation.</w:t>
            </w:r>
          </w:p>
        </w:tc>
      </w:tr>
      <w:tr w:rsidR="009F2CDD" w:rsidRPr="002056FA" w14:paraId="308BA661" w14:textId="77777777" w:rsidTr="00E169B4">
        <w:tc>
          <w:tcPr>
            <w:tcW w:w="0" w:type="auto"/>
            <w:shd w:val="clear" w:color="auto" w:fill="auto"/>
          </w:tcPr>
          <w:p w14:paraId="4CC85607"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9.3(b) </w:t>
            </w:r>
          </w:p>
        </w:tc>
        <w:tc>
          <w:tcPr>
            <w:tcW w:w="0" w:type="auto"/>
            <w:shd w:val="clear" w:color="auto" w:fill="auto"/>
          </w:tcPr>
          <w:p w14:paraId="3C991FE3"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in relation to labour escalators, a copy of the current Enterprise Bargaining Agreement or equivalent agreement; and </w:t>
            </w:r>
          </w:p>
        </w:tc>
        <w:tc>
          <w:tcPr>
            <w:tcW w:w="0" w:type="auto"/>
            <w:shd w:val="clear" w:color="auto" w:fill="auto"/>
          </w:tcPr>
          <w:p w14:paraId="59691D08" w14:textId="77777777" w:rsidR="009F2CDD" w:rsidRPr="002056FA" w:rsidRDefault="009F2CDD" w:rsidP="00E169B4">
            <w:pPr>
              <w:pStyle w:val="TableCopy"/>
              <w:rPr>
                <w:rFonts w:eastAsia="Calibri"/>
                <w:color w:val="000000"/>
                <w:lang w:eastAsia="en-US"/>
              </w:rPr>
            </w:pPr>
            <w:r w:rsidRPr="002056FA">
              <w:rPr>
                <w:rFonts w:eastAsia="Calibri"/>
                <w:lang w:eastAsia="en-US"/>
              </w:rPr>
              <w:t xml:space="preserve">Please see </w:t>
            </w:r>
            <w:r>
              <w:rPr>
                <w:rFonts w:eastAsia="Calibri"/>
                <w:lang w:eastAsia="en-US"/>
              </w:rPr>
              <w:t>‘</w:t>
            </w:r>
            <w:r w:rsidRPr="008B51A8">
              <w:rPr>
                <w:rFonts w:eastAsia="Calibri"/>
                <w:lang w:eastAsia="en-US"/>
              </w:rPr>
              <w:t>Energy Queensland: Enterprise Bargaining Agreement</w:t>
            </w:r>
            <w:r>
              <w:rPr>
                <w:rFonts w:eastAsia="Calibri"/>
                <w:lang w:eastAsia="en-US"/>
              </w:rPr>
              <w:t xml:space="preserve">’ </w:t>
            </w:r>
            <w:r w:rsidRPr="0036430F">
              <w:rPr>
                <w:rFonts w:eastAsia="Calibri"/>
                <w:lang w:eastAsia="en-US"/>
              </w:rPr>
              <w:t xml:space="preserve">(Attachment </w:t>
            </w:r>
            <w:r>
              <w:rPr>
                <w:rFonts w:eastAsia="Calibri"/>
                <w:lang w:eastAsia="en-US"/>
              </w:rPr>
              <w:t>17.026</w:t>
            </w:r>
            <w:r w:rsidRPr="0036430F">
              <w:rPr>
                <w:rFonts w:eastAsia="Calibri"/>
                <w:lang w:eastAsia="en-US"/>
              </w:rPr>
              <w:t>).</w:t>
            </w:r>
          </w:p>
        </w:tc>
      </w:tr>
      <w:tr w:rsidR="009F2CDD" w:rsidRPr="002056FA" w14:paraId="2A670C6C" w14:textId="77777777" w:rsidTr="00E169B4">
        <w:tc>
          <w:tcPr>
            <w:tcW w:w="0" w:type="auto"/>
            <w:tcBorders>
              <w:bottom w:val="single" w:sz="4" w:space="0" w:color="auto"/>
            </w:tcBorders>
            <w:shd w:val="clear" w:color="auto" w:fill="auto"/>
          </w:tcPr>
          <w:p w14:paraId="787AB55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9.3(c) </w:t>
            </w:r>
          </w:p>
        </w:tc>
        <w:tc>
          <w:tcPr>
            <w:tcW w:w="0" w:type="auto"/>
            <w:tcBorders>
              <w:bottom w:val="single" w:sz="4" w:space="0" w:color="auto"/>
            </w:tcBorders>
            <w:shd w:val="clear" w:color="auto" w:fill="auto"/>
          </w:tcPr>
          <w:p w14:paraId="168BF69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documents supporting or relied upon that accurately explain the change in the price of goods and services purchased by </w:t>
            </w:r>
            <w:r w:rsidRPr="002056FA">
              <w:rPr>
                <w:rFonts w:eastAsia="Calibri"/>
                <w:iCs/>
                <w:color w:val="000000"/>
                <w:lang w:eastAsia="en-US"/>
              </w:rPr>
              <w:t>Energex</w:t>
            </w:r>
            <w:r w:rsidRPr="002056FA">
              <w:rPr>
                <w:rFonts w:eastAsia="Calibri"/>
                <w:color w:val="000000"/>
                <w:lang w:eastAsia="en-US"/>
              </w:rPr>
              <w:t xml:space="preserve">, including evidence that any materials price forecasting method explains the price of materials previously purchased by </w:t>
            </w:r>
            <w:r w:rsidRPr="002056FA">
              <w:rPr>
                <w:rFonts w:eastAsia="Calibri"/>
                <w:iCs/>
                <w:color w:val="000000"/>
                <w:lang w:eastAsia="en-US"/>
              </w:rPr>
              <w:t xml:space="preserve">Energex </w:t>
            </w:r>
            <w:r w:rsidRPr="002056FA">
              <w:rPr>
                <w:rFonts w:eastAsia="Calibri"/>
                <w:color w:val="000000"/>
                <w:lang w:eastAsia="en-US"/>
              </w:rPr>
              <w:t xml:space="preserve">. </w:t>
            </w:r>
          </w:p>
        </w:tc>
        <w:tc>
          <w:tcPr>
            <w:tcW w:w="0" w:type="auto"/>
            <w:tcBorders>
              <w:bottom w:val="single" w:sz="4" w:space="0" w:color="auto"/>
            </w:tcBorders>
            <w:shd w:val="clear" w:color="auto" w:fill="auto"/>
          </w:tcPr>
          <w:p w14:paraId="127EED6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As noted in response to 9.3(a), Energex is not proposing any (real) materials escalators.  This means that Energex ha</w:t>
            </w:r>
            <w:r>
              <w:rPr>
                <w:rFonts w:eastAsia="Calibri"/>
                <w:color w:val="000000"/>
                <w:lang w:eastAsia="en-US"/>
              </w:rPr>
              <w:t>s</w:t>
            </w:r>
            <w:r w:rsidRPr="002056FA">
              <w:rPr>
                <w:rFonts w:eastAsia="Calibri"/>
                <w:color w:val="000000"/>
                <w:lang w:eastAsia="en-US"/>
              </w:rPr>
              <w:t xml:space="preserve"> not developed or relied upon any documents to support material escalators, including any that explain the change in price of goods and services purchased.</w:t>
            </w:r>
          </w:p>
        </w:tc>
      </w:tr>
      <w:tr w:rsidR="009F2CDD" w:rsidRPr="002056FA" w14:paraId="5589A392" w14:textId="77777777" w:rsidTr="00E169B4">
        <w:tc>
          <w:tcPr>
            <w:tcW w:w="0" w:type="auto"/>
            <w:shd w:val="clear" w:color="auto" w:fill="D0CECE" w:themeFill="background2" w:themeFillShade="E6"/>
          </w:tcPr>
          <w:p w14:paraId="4E5449F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9.4</w:t>
            </w:r>
          </w:p>
        </w:tc>
        <w:tc>
          <w:tcPr>
            <w:tcW w:w="0" w:type="auto"/>
            <w:shd w:val="clear" w:color="auto" w:fill="D0CECE" w:themeFill="background2" w:themeFillShade="E6"/>
          </w:tcPr>
          <w:p w14:paraId="12A5CA6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also an explanation of :</w:t>
            </w:r>
          </w:p>
        </w:tc>
        <w:tc>
          <w:tcPr>
            <w:tcW w:w="0" w:type="auto"/>
            <w:shd w:val="clear" w:color="auto" w:fill="D0CECE" w:themeFill="background2" w:themeFillShade="E6"/>
          </w:tcPr>
          <w:p w14:paraId="7D52335E" w14:textId="77777777" w:rsidR="009F2CDD" w:rsidRPr="002056FA" w:rsidRDefault="009F2CDD" w:rsidP="00E169B4">
            <w:pPr>
              <w:pStyle w:val="TableCopy"/>
              <w:rPr>
                <w:rFonts w:eastAsia="Calibri"/>
                <w:color w:val="000000"/>
                <w:lang w:eastAsia="en-US"/>
              </w:rPr>
            </w:pPr>
          </w:p>
        </w:tc>
      </w:tr>
      <w:tr w:rsidR="009F2CDD" w:rsidRPr="002056FA" w14:paraId="2D7FD206" w14:textId="77777777" w:rsidTr="00E169B4">
        <w:tc>
          <w:tcPr>
            <w:tcW w:w="0" w:type="auto"/>
            <w:shd w:val="clear" w:color="auto" w:fill="auto"/>
          </w:tcPr>
          <w:p w14:paraId="1C54ECC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9.4(a)</w:t>
            </w:r>
          </w:p>
        </w:tc>
        <w:tc>
          <w:tcPr>
            <w:tcW w:w="0" w:type="auto"/>
            <w:shd w:val="clear" w:color="auto" w:fill="auto"/>
          </w:tcPr>
          <w:p w14:paraId="010C9F3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methodology underlying the calculation of each price change, including:</w:t>
            </w:r>
          </w:p>
        </w:tc>
        <w:tc>
          <w:tcPr>
            <w:tcW w:w="0" w:type="auto"/>
            <w:shd w:val="clear" w:color="auto" w:fill="auto"/>
          </w:tcPr>
          <w:p w14:paraId="5C4472F8" w14:textId="77777777" w:rsidR="009F2CDD" w:rsidRPr="002056FA" w:rsidRDefault="009F2CDD" w:rsidP="00E169B4">
            <w:pPr>
              <w:pStyle w:val="TableCopy"/>
              <w:rPr>
                <w:rFonts w:eastAsia="Calibri"/>
                <w:lang w:eastAsia="en-US"/>
              </w:rPr>
            </w:pPr>
            <w:r w:rsidRPr="002056FA">
              <w:rPr>
                <w:rFonts w:eastAsia="Calibri"/>
                <w:lang w:eastAsia="en-US"/>
              </w:rPr>
              <w:t xml:space="preserve">Energex </w:t>
            </w:r>
            <w:r>
              <w:rPr>
                <w:rFonts w:eastAsia="Calibri"/>
                <w:lang w:eastAsia="en-US"/>
              </w:rPr>
              <w:t>has</w:t>
            </w:r>
            <w:r w:rsidRPr="002056FA">
              <w:rPr>
                <w:rFonts w:eastAsia="Calibri"/>
                <w:lang w:eastAsia="en-US"/>
              </w:rPr>
              <w:t xml:space="preserve"> not included any real material cost escalators in our forecast. </w:t>
            </w:r>
          </w:p>
          <w:p w14:paraId="48FB6F35" w14:textId="77777777" w:rsidR="009F2CDD" w:rsidRPr="002056FA" w:rsidRDefault="009F2CDD" w:rsidP="00E169B4">
            <w:pPr>
              <w:pStyle w:val="TableCopy"/>
              <w:rPr>
                <w:rFonts w:eastAsia="Calibri"/>
                <w:lang w:eastAsia="en-US"/>
              </w:rPr>
            </w:pPr>
            <w:r w:rsidRPr="002056FA">
              <w:rPr>
                <w:rFonts w:eastAsia="Calibri"/>
                <w:lang w:eastAsia="en-US"/>
              </w:rPr>
              <w:t xml:space="preserve">For real labour escalators, Energex </w:t>
            </w:r>
            <w:r>
              <w:rPr>
                <w:rFonts w:eastAsia="Calibri"/>
                <w:lang w:eastAsia="en-US"/>
              </w:rPr>
              <w:t>has</w:t>
            </w:r>
            <w:r w:rsidRPr="002056FA">
              <w:rPr>
                <w:rFonts w:eastAsia="Calibri"/>
                <w:lang w:eastAsia="en-US"/>
              </w:rPr>
              <w:t xml:space="preserve"> applied a labour cost escalator of 0.26% on average per year.  This was calculated by taking the average of the forecasts from BIS Oxford and Deloitte Access Economics (DAE) (being 0.85% annually for the </w:t>
            </w:r>
            <w:r>
              <w:rPr>
                <w:rFonts w:eastAsia="Calibri"/>
                <w:lang w:eastAsia="en-US"/>
              </w:rPr>
              <w:t>r</w:t>
            </w:r>
            <w:r w:rsidRPr="002056FA">
              <w:rPr>
                <w:rFonts w:eastAsia="Calibri"/>
                <w:lang w:eastAsia="en-US"/>
              </w:rPr>
              <w:t xml:space="preserve">egulatory </w:t>
            </w:r>
            <w:r>
              <w:rPr>
                <w:rFonts w:eastAsia="Calibri"/>
                <w:lang w:eastAsia="en-US"/>
              </w:rPr>
              <w:t>c</w:t>
            </w:r>
            <w:r w:rsidRPr="002056FA">
              <w:rPr>
                <w:rFonts w:eastAsia="Calibri"/>
                <w:lang w:eastAsia="en-US"/>
              </w:rPr>
              <w:t xml:space="preserve">ontrol </w:t>
            </w:r>
            <w:r>
              <w:rPr>
                <w:rFonts w:eastAsia="Calibri"/>
                <w:lang w:eastAsia="en-US"/>
              </w:rPr>
              <w:t>p</w:t>
            </w:r>
            <w:r w:rsidRPr="002056FA">
              <w:rPr>
                <w:rFonts w:eastAsia="Calibri"/>
                <w:lang w:eastAsia="en-US"/>
              </w:rPr>
              <w:t xml:space="preserve">eriod) and subtracting 0.59% annually reflecting our management commitment </w:t>
            </w:r>
            <w:r>
              <w:rPr>
                <w:rFonts w:eastAsia="Calibri"/>
                <w:lang w:eastAsia="en-US"/>
              </w:rPr>
              <w:t>improve our program of works delivery</w:t>
            </w:r>
            <w:r w:rsidRPr="002056FA">
              <w:rPr>
                <w:rFonts w:eastAsia="Calibri"/>
                <w:lang w:eastAsia="en-US"/>
              </w:rPr>
              <w:t xml:space="preserve"> by 3% over the regulatory control period. </w:t>
            </w:r>
          </w:p>
          <w:p w14:paraId="70E624C2" w14:textId="77777777" w:rsidR="009F2CDD" w:rsidRPr="002056FA" w:rsidRDefault="009F2CDD" w:rsidP="00E169B4">
            <w:pPr>
              <w:pStyle w:val="TableCopy"/>
              <w:rPr>
                <w:rFonts w:eastAsia="Calibri"/>
                <w:lang w:eastAsia="en-US"/>
              </w:rPr>
            </w:pPr>
            <w:r w:rsidRPr="002056FA">
              <w:rPr>
                <w:rFonts w:eastAsia="Calibri"/>
                <w:lang w:eastAsia="en-US"/>
              </w:rPr>
              <w:t xml:space="preserve">Energex commissioned BIS Oxford to provide us with real labour escalator forecasts and adopted the DAE forecasts used by the AER in its draft </w:t>
            </w:r>
            <w:r>
              <w:rPr>
                <w:rFonts w:eastAsia="Calibri"/>
                <w:lang w:eastAsia="en-US"/>
              </w:rPr>
              <w:t>D</w:t>
            </w:r>
            <w:r w:rsidRPr="002056FA">
              <w:rPr>
                <w:rFonts w:eastAsia="Calibri"/>
                <w:lang w:eastAsia="en-US"/>
              </w:rPr>
              <w:t>etermination for the NSW distributors, expecting the AER to commission DAE labour forecasts for Queensland in due course.</w:t>
            </w:r>
            <w:r w:rsidRPr="002056FA">
              <w:rPr>
                <w:rFonts w:eastAsia="Calibri"/>
                <w:vertAlign w:val="superscript"/>
                <w:lang w:eastAsia="en-US"/>
              </w:rPr>
              <w:footnoteReference w:customMarkFollows="1" w:id="1"/>
              <w:t>[1]</w:t>
            </w:r>
            <w:r w:rsidRPr="002056FA">
              <w:rPr>
                <w:rFonts w:eastAsia="Calibri"/>
                <w:lang w:eastAsia="en-US"/>
              </w:rPr>
              <w:t xml:space="preserve"> The reports – listed below – explain the methodology, sources, and data conversions used to calculate the labour cost escalator forecasts.  Energex </w:t>
            </w:r>
            <w:r>
              <w:rPr>
                <w:rFonts w:eastAsia="Calibri"/>
                <w:lang w:eastAsia="en-US"/>
              </w:rPr>
              <w:t>was</w:t>
            </w:r>
            <w:r w:rsidRPr="002056FA">
              <w:rPr>
                <w:rFonts w:eastAsia="Calibri"/>
                <w:lang w:eastAsia="en-US"/>
              </w:rPr>
              <w:t xml:space="preserve"> not provided and do not have access to the models used by either DAE or BIS to prepare their respective forecasts:</w:t>
            </w:r>
          </w:p>
          <w:p w14:paraId="481D24E1" w14:textId="77777777" w:rsidR="009F2CDD" w:rsidRPr="00E45382" w:rsidRDefault="009F2CDD" w:rsidP="00E169B4">
            <w:pPr>
              <w:pStyle w:val="Bullet1"/>
              <w:rPr>
                <w:sz w:val="20"/>
                <w:szCs w:val="20"/>
              </w:rPr>
            </w:pPr>
            <w:r w:rsidRPr="00E45382">
              <w:rPr>
                <w:sz w:val="20"/>
                <w:szCs w:val="20"/>
              </w:rPr>
              <w:t>Deloitte Access Economics, Labour Price Growth Forecasts (Attachment 6.006)</w:t>
            </w:r>
            <w:r>
              <w:rPr>
                <w:sz w:val="20"/>
                <w:szCs w:val="20"/>
              </w:rPr>
              <w:t>,</w:t>
            </w:r>
            <w:r w:rsidRPr="00E45382">
              <w:rPr>
                <w:sz w:val="20"/>
                <w:szCs w:val="20"/>
              </w:rPr>
              <w:t xml:space="preserve"> and </w:t>
            </w:r>
          </w:p>
          <w:p w14:paraId="211CB610" w14:textId="77777777" w:rsidR="009F2CDD" w:rsidRPr="00E45382" w:rsidRDefault="009F2CDD" w:rsidP="00E169B4">
            <w:pPr>
              <w:pStyle w:val="Bullet1"/>
              <w:rPr>
                <w:b/>
                <w:sz w:val="20"/>
                <w:szCs w:val="20"/>
              </w:rPr>
            </w:pPr>
            <w:r w:rsidRPr="00E45382">
              <w:rPr>
                <w:sz w:val="20"/>
                <w:szCs w:val="20"/>
              </w:rPr>
              <w:t>BIS Oxford Economics, Cost Escalation Forecasts to 2024</w:t>
            </w:r>
            <w:r>
              <w:rPr>
                <w:sz w:val="20"/>
                <w:szCs w:val="20"/>
              </w:rPr>
              <w:t>-</w:t>
            </w:r>
            <w:r w:rsidRPr="00E45382">
              <w:rPr>
                <w:sz w:val="20"/>
                <w:szCs w:val="20"/>
              </w:rPr>
              <w:t>25 (Attachment 6.005)</w:t>
            </w:r>
            <w:r w:rsidRPr="00E45382">
              <w:rPr>
                <w:b/>
                <w:sz w:val="20"/>
                <w:szCs w:val="20"/>
              </w:rPr>
              <w:t>.</w:t>
            </w:r>
          </w:p>
          <w:p w14:paraId="658153FC" w14:textId="77777777" w:rsidR="009F2CDD" w:rsidRPr="002056FA" w:rsidRDefault="009F2CDD" w:rsidP="00E169B4">
            <w:pPr>
              <w:pStyle w:val="TableCopy"/>
              <w:rPr>
                <w:rFonts w:eastAsia="Calibri"/>
                <w:color w:val="548DD4"/>
                <w:lang w:eastAsia="en-US"/>
              </w:rPr>
            </w:pPr>
            <w:r w:rsidRPr="002056FA">
              <w:rPr>
                <w:rFonts w:eastAsia="Calibri"/>
                <w:color w:val="000000"/>
                <w:lang w:eastAsia="en-US"/>
              </w:rPr>
              <w:t xml:space="preserve">For both forecasts the wage price index measure was used. For the DEA forecast, Energex used the real escalator for the utilities industry, unadjusted for productivity.  For the BIS </w:t>
            </w:r>
            <w:r>
              <w:rPr>
                <w:rFonts w:eastAsia="Calibri"/>
                <w:color w:val="000000"/>
                <w:lang w:eastAsia="en-US"/>
              </w:rPr>
              <w:t xml:space="preserve">Oxford </w:t>
            </w:r>
            <w:r w:rsidRPr="002056FA">
              <w:rPr>
                <w:rFonts w:eastAsia="Calibri"/>
                <w:color w:val="000000"/>
                <w:lang w:eastAsia="en-US"/>
              </w:rPr>
              <w:t>forecast, Energex used the real escalator for the electricity, gas, water and waste services industry.</w:t>
            </w:r>
          </w:p>
        </w:tc>
      </w:tr>
      <w:tr w:rsidR="009F2CDD" w:rsidRPr="002056FA" w14:paraId="69E095AD" w14:textId="77777777" w:rsidTr="00E169B4">
        <w:tc>
          <w:tcPr>
            <w:tcW w:w="0" w:type="auto"/>
            <w:shd w:val="clear" w:color="auto" w:fill="auto"/>
          </w:tcPr>
          <w:p w14:paraId="1BA9041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9.4(a)(i)</w:t>
            </w:r>
          </w:p>
        </w:tc>
        <w:tc>
          <w:tcPr>
            <w:tcW w:w="0" w:type="auto"/>
            <w:shd w:val="clear" w:color="auto" w:fill="auto"/>
          </w:tcPr>
          <w:p w14:paraId="3E0F1DB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sources;</w:t>
            </w:r>
          </w:p>
        </w:tc>
        <w:tc>
          <w:tcPr>
            <w:tcW w:w="0" w:type="auto"/>
            <w:shd w:val="clear" w:color="auto" w:fill="auto"/>
          </w:tcPr>
          <w:p w14:paraId="64F36E6F" w14:textId="77777777" w:rsidR="009F2CDD" w:rsidRPr="002056FA" w:rsidRDefault="009F2CDD" w:rsidP="00E169B4">
            <w:pPr>
              <w:pStyle w:val="TableCopy"/>
              <w:rPr>
                <w:rFonts w:eastAsia="Calibri"/>
                <w:lang w:eastAsia="en-US"/>
              </w:rPr>
            </w:pPr>
            <w:r w:rsidRPr="002056FA">
              <w:rPr>
                <w:rFonts w:eastAsia="Calibri"/>
                <w:lang w:eastAsia="en-US"/>
              </w:rPr>
              <w:t>As noted above, these are explained in the reports from DAE and BIS</w:t>
            </w:r>
            <w:r>
              <w:rPr>
                <w:rFonts w:eastAsia="Calibri"/>
                <w:lang w:eastAsia="en-US"/>
              </w:rPr>
              <w:t xml:space="preserve"> Oxford</w:t>
            </w:r>
            <w:r w:rsidRPr="002056FA">
              <w:rPr>
                <w:rFonts w:eastAsia="Calibri"/>
                <w:lang w:eastAsia="en-US"/>
              </w:rPr>
              <w:t>.</w:t>
            </w:r>
          </w:p>
        </w:tc>
      </w:tr>
      <w:tr w:rsidR="009F2CDD" w:rsidRPr="002056FA" w14:paraId="6E8F2DE3" w14:textId="77777777" w:rsidTr="00E169B4">
        <w:tc>
          <w:tcPr>
            <w:tcW w:w="0" w:type="auto"/>
            <w:shd w:val="clear" w:color="auto" w:fill="auto"/>
          </w:tcPr>
          <w:p w14:paraId="67DB09A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9.4(a)(ii)</w:t>
            </w:r>
          </w:p>
        </w:tc>
        <w:tc>
          <w:tcPr>
            <w:tcW w:w="0" w:type="auto"/>
            <w:shd w:val="clear" w:color="auto" w:fill="auto"/>
          </w:tcPr>
          <w:p w14:paraId="590D420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data conversions;</w:t>
            </w:r>
          </w:p>
        </w:tc>
        <w:tc>
          <w:tcPr>
            <w:tcW w:w="0" w:type="auto"/>
            <w:shd w:val="clear" w:color="auto" w:fill="auto"/>
          </w:tcPr>
          <w:p w14:paraId="6CAAC688" w14:textId="77777777" w:rsidR="009F2CDD" w:rsidRPr="002056FA" w:rsidRDefault="009F2CDD" w:rsidP="00E169B4">
            <w:pPr>
              <w:pStyle w:val="TableCopy"/>
              <w:rPr>
                <w:rFonts w:eastAsia="Calibri"/>
                <w:lang w:eastAsia="en-US"/>
              </w:rPr>
            </w:pPr>
            <w:r w:rsidRPr="002056FA">
              <w:rPr>
                <w:rFonts w:eastAsia="Calibri"/>
                <w:lang w:eastAsia="en-US"/>
              </w:rPr>
              <w:t>As noted above, these are explained in the reports from DAE and BIS</w:t>
            </w:r>
            <w:r>
              <w:rPr>
                <w:rFonts w:eastAsia="Calibri"/>
                <w:lang w:eastAsia="en-US"/>
              </w:rPr>
              <w:t xml:space="preserve"> Oxford</w:t>
            </w:r>
            <w:r w:rsidRPr="002056FA">
              <w:rPr>
                <w:rFonts w:eastAsia="Calibri"/>
                <w:lang w:eastAsia="en-US"/>
              </w:rPr>
              <w:t>.</w:t>
            </w:r>
          </w:p>
        </w:tc>
      </w:tr>
      <w:tr w:rsidR="009F2CDD" w:rsidRPr="002056FA" w14:paraId="38B4371A" w14:textId="77777777" w:rsidTr="00E169B4">
        <w:tc>
          <w:tcPr>
            <w:tcW w:w="0" w:type="auto"/>
            <w:shd w:val="clear" w:color="auto" w:fill="auto"/>
          </w:tcPr>
          <w:p w14:paraId="05E05F9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9.4(a)(iii) </w:t>
            </w:r>
          </w:p>
        </w:tc>
        <w:tc>
          <w:tcPr>
            <w:tcW w:w="0" w:type="auto"/>
            <w:shd w:val="clear" w:color="auto" w:fill="auto"/>
          </w:tcPr>
          <w:p w14:paraId="0BC0F78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operation of any model(s) provided under paragraph 9.3(a); and </w:t>
            </w:r>
          </w:p>
        </w:tc>
        <w:tc>
          <w:tcPr>
            <w:tcW w:w="0" w:type="auto"/>
            <w:shd w:val="clear" w:color="auto" w:fill="auto"/>
          </w:tcPr>
          <w:p w14:paraId="04E3F82B" w14:textId="77777777" w:rsidR="009F2CDD" w:rsidRPr="002056FA" w:rsidRDefault="009F2CDD" w:rsidP="00E169B4">
            <w:pPr>
              <w:pStyle w:val="TableCopy"/>
              <w:rPr>
                <w:rFonts w:eastAsia="Calibri"/>
                <w:color w:val="548DD4"/>
                <w:lang w:eastAsia="en-US"/>
              </w:rPr>
            </w:pPr>
            <w:r w:rsidRPr="002056FA">
              <w:rPr>
                <w:rFonts w:eastAsia="Calibri"/>
                <w:lang w:eastAsia="en-US"/>
              </w:rPr>
              <w:t>As noted in response to 9.3(a), Energex is not proposing any (real) materials escalators, and so have not relied on any model to derive and apply the materials price changes.</w:t>
            </w:r>
          </w:p>
        </w:tc>
      </w:tr>
      <w:tr w:rsidR="009F2CDD" w:rsidRPr="002056FA" w14:paraId="656ED175" w14:textId="77777777" w:rsidTr="00E169B4">
        <w:tc>
          <w:tcPr>
            <w:tcW w:w="0" w:type="auto"/>
            <w:shd w:val="clear" w:color="auto" w:fill="auto"/>
          </w:tcPr>
          <w:p w14:paraId="74B2C41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9.4(a)(iv) </w:t>
            </w:r>
          </w:p>
        </w:tc>
        <w:tc>
          <w:tcPr>
            <w:tcW w:w="0" w:type="auto"/>
            <w:shd w:val="clear" w:color="auto" w:fill="auto"/>
          </w:tcPr>
          <w:p w14:paraId="0919E34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use of any assumptions such as lags or productivity gains; </w:t>
            </w:r>
          </w:p>
        </w:tc>
        <w:tc>
          <w:tcPr>
            <w:tcW w:w="0" w:type="auto"/>
            <w:shd w:val="clear" w:color="auto" w:fill="auto"/>
          </w:tcPr>
          <w:p w14:paraId="412FE4F1" w14:textId="77777777" w:rsidR="009F2CDD" w:rsidRPr="002056FA" w:rsidRDefault="009F2CDD" w:rsidP="00E169B4">
            <w:pPr>
              <w:pStyle w:val="TableCopy"/>
              <w:rPr>
                <w:rFonts w:eastAsia="Calibri"/>
                <w:color w:val="548DD4"/>
                <w:lang w:eastAsia="en-US"/>
              </w:rPr>
            </w:pPr>
            <w:r w:rsidRPr="002056FA">
              <w:rPr>
                <w:rFonts w:eastAsia="Calibri"/>
                <w:lang w:eastAsia="en-US"/>
              </w:rPr>
              <w:t xml:space="preserve">Energex is applying a </w:t>
            </w:r>
            <w:r>
              <w:rPr>
                <w:rFonts w:eastAsia="Calibri"/>
                <w:lang w:eastAsia="en-US"/>
              </w:rPr>
              <w:t>1.72</w:t>
            </w:r>
            <w:r w:rsidRPr="002056FA">
              <w:rPr>
                <w:rFonts w:eastAsia="Calibri"/>
                <w:lang w:eastAsia="en-US"/>
              </w:rPr>
              <w:t xml:space="preserve">% </w:t>
            </w:r>
            <w:r>
              <w:rPr>
                <w:rFonts w:eastAsia="Calibri"/>
                <w:lang w:eastAsia="en-US"/>
              </w:rPr>
              <w:t xml:space="preserve">per annum </w:t>
            </w:r>
            <w:r w:rsidRPr="002056FA">
              <w:rPr>
                <w:rFonts w:eastAsia="Calibri"/>
                <w:lang w:eastAsia="en-US"/>
              </w:rPr>
              <w:t>productivity factor to reflect our management initiatives to reduce overhead costs.</w:t>
            </w:r>
          </w:p>
        </w:tc>
      </w:tr>
      <w:tr w:rsidR="009F2CDD" w:rsidRPr="002056FA" w14:paraId="3CF3A44A" w14:textId="77777777" w:rsidTr="00E169B4">
        <w:tc>
          <w:tcPr>
            <w:tcW w:w="0" w:type="auto"/>
            <w:shd w:val="clear" w:color="auto" w:fill="auto"/>
          </w:tcPr>
          <w:p w14:paraId="6766628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9.4(b) </w:t>
            </w:r>
          </w:p>
        </w:tc>
        <w:tc>
          <w:tcPr>
            <w:tcW w:w="0" w:type="auto"/>
            <w:shd w:val="clear" w:color="auto" w:fill="auto"/>
          </w:tcPr>
          <w:p w14:paraId="5DDE938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whether the same price changes have been used in developing both the </w:t>
            </w:r>
            <w:r w:rsidRPr="002056FA">
              <w:rPr>
                <w:rFonts w:eastAsia="Calibri"/>
                <w:iCs/>
                <w:color w:val="000000"/>
                <w:lang w:eastAsia="en-US"/>
              </w:rPr>
              <w:t xml:space="preserve">forecast capex </w:t>
            </w:r>
            <w:r w:rsidRPr="002056FA">
              <w:rPr>
                <w:rFonts w:eastAsia="Calibri"/>
                <w:color w:val="000000"/>
                <w:lang w:eastAsia="en-US"/>
              </w:rPr>
              <w:t xml:space="preserve">proposal and forecast </w:t>
            </w:r>
            <w:r w:rsidRPr="002056FA">
              <w:rPr>
                <w:rFonts w:eastAsia="Calibri"/>
                <w:iCs/>
                <w:color w:val="000000"/>
                <w:lang w:eastAsia="en-US"/>
              </w:rPr>
              <w:t xml:space="preserve">opex </w:t>
            </w:r>
            <w:r w:rsidRPr="002056FA">
              <w:rPr>
                <w:rFonts w:eastAsia="Calibri"/>
                <w:color w:val="000000"/>
                <w:lang w:eastAsia="en-US"/>
              </w:rPr>
              <w:t xml:space="preserve">proposal; and </w:t>
            </w:r>
          </w:p>
        </w:tc>
        <w:tc>
          <w:tcPr>
            <w:tcW w:w="0" w:type="auto"/>
            <w:shd w:val="clear" w:color="auto" w:fill="auto"/>
          </w:tcPr>
          <w:p w14:paraId="3ECEB4F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same price changes have been used in developing both the capex and opex forecasts.  These are reflected in</w:t>
            </w:r>
            <w:r>
              <w:rPr>
                <w:rFonts w:eastAsia="Calibri"/>
                <w:color w:val="000000"/>
                <w:lang w:eastAsia="en-US"/>
              </w:rPr>
              <w:t xml:space="preserve"> the following models</w:t>
            </w:r>
            <w:r w:rsidRPr="002056FA">
              <w:rPr>
                <w:rFonts w:eastAsia="Calibri"/>
                <w:color w:val="000000"/>
                <w:lang w:eastAsia="en-US"/>
              </w:rPr>
              <w:t>:</w:t>
            </w:r>
          </w:p>
          <w:p w14:paraId="1B01BC3B" w14:textId="77777777" w:rsidR="009F2CDD" w:rsidRPr="004F40EC" w:rsidRDefault="009F2CDD" w:rsidP="00E169B4">
            <w:pPr>
              <w:pStyle w:val="Bullet1"/>
              <w:rPr>
                <w:sz w:val="20"/>
                <w:szCs w:val="20"/>
              </w:rPr>
            </w:pPr>
            <w:r w:rsidRPr="004F40EC">
              <w:rPr>
                <w:sz w:val="20"/>
                <w:szCs w:val="20"/>
              </w:rPr>
              <w:t>Forecast Capex Model ( Attachment 7.15</w:t>
            </w:r>
            <w:r>
              <w:rPr>
                <w:sz w:val="20"/>
                <w:szCs w:val="20"/>
              </w:rPr>
              <w:t>3</w:t>
            </w:r>
            <w:r w:rsidRPr="004F40EC">
              <w:rPr>
                <w:sz w:val="20"/>
                <w:szCs w:val="20"/>
              </w:rPr>
              <w:t>)</w:t>
            </w:r>
          </w:p>
          <w:p w14:paraId="2C9EDC02" w14:textId="77777777" w:rsidR="009F2CDD" w:rsidRPr="004F40EC" w:rsidRDefault="009F2CDD" w:rsidP="00E169B4">
            <w:pPr>
              <w:pStyle w:val="Bullet1"/>
              <w:rPr>
                <w:sz w:val="20"/>
                <w:szCs w:val="20"/>
              </w:rPr>
            </w:pPr>
            <w:r w:rsidRPr="004F40EC">
              <w:rPr>
                <w:sz w:val="20"/>
                <w:szCs w:val="20"/>
              </w:rPr>
              <w:t>Opex forecast – SCS model (Attachment 6.00</w:t>
            </w:r>
            <w:r>
              <w:rPr>
                <w:sz w:val="20"/>
                <w:szCs w:val="20"/>
              </w:rPr>
              <w:t>7</w:t>
            </w:r>
            <w:r w:rsidRPr="004F40EC">
              <w:rPr>
                <w:sz w:val="20"/>
                <w:szCs w:val="20"/>
              </w:rPr>
              <w:t>)</w:t>
            </w:r>
          </w:p>
          <w:p w14:paraId="656AF185" w14:textId="77777777" w:rsidR="009F2CDD" w:rsidRPr="004F40EC" w:rsidRDefault="009F2CDD" w:rsidP="00E169B4">
            <w:pPr>
              <w:pStyle w:val="Bullet1"/>
              <w:rPr>
                <w:sz w:val="20"/>
                <w:szCs w:val="20"/>
              </w:rPr>
            </w:pPr>
            <w:r w:rsidRPr="004F40EC">
              <w:rPr>
                <w:sz w:val="20"/>
                <w:szCs w:val="20"/>
              </w:rPr>
              <w:t>Capex forecast – ACS metering (attachment 15.00</w:t>
            </w:r>
            <w:r>
              <w:rPr>
                <w:sz w:val="20"/>
                <w:szCs w:val="20"/>
              </w:rPr>
              <w:t>7</w:t>
            </w:r>
            <w:r w:rsidRPr="004F40EC">
              <w:rPr>
                <w:sz w:val="20"/>
                <w:szCs w:val="20"/>
              </w:rPr>
              <w:t>)</w:t>
            </w:r>
          </w:p>
          <w:p w14:paraId="52C06F61" w14:textId="77777777" w:rsidR="009F2CDD" w:rsidRPr="004F40EC" w:rsidRDefault="009F2CDD" w:rsidP="00E169B4">
            <w:pPr>
              <w:pStyle w:val="Bullet1"/>
              <w:rPr>
                <w:sz w:val="20"/>
                <w:szCs w:val="20"/>
              </w:rPr>
            </w:pPr>
            <w:r w:rsidRPr="004F40EC">
              <w:rPr>
                <w:sz w:val="20"/>
                <w:szCs w:val="20"/>
              </w:rPr>
              <w:t>Capex forecast – ACS public lighting conventional (attachment 15.03</w:t>
            </w:r>
            <w:r>
              <w:rPr>
                <w:sz w:val="20"/>
                <w:szCs w:val="20"/>
              </w:rPr>
              <w:t>1</w:t>
            </w:r>
            <w:r w:rsidRPr="004F40EC">
              <w:rPr>
                <w:sz w:val="20"/>
                <w:szCs w:val="20"/>
              </w:rPr>
              <w:t>)</w:t>
            </w:r>
          </w:p>
          <w:p w14:paraId="3B7DC3F1" w14:textId="77777777" w:rsidR="009F2CDD" w:rsidRPr="004F40EC" w:rsidRDefault="009F2CDD" w:rsidP="00E169B4">
            <w:pPr>
              <w:pStyle w:val="Bullet1"/>
              <w:rPr>
                <w:sz w:val="20"/>
                <w:szCs w:val="20"/>
              </w:rPr>
            </w:pPr>
            <w:r w:rsidRPr="004F40EC">
              <w:rPr>
                <w:sz w:val="20"/>
                <w:szCs w:val="20"/>
              </w:rPr>
              <w:t>Capex forecast – ACS public lighting LED (attachment 15.03</w:t>
            </w:r>
            <w:r>
              <w:rPr>
                <w:sz w:val="20"/>
                <w:szCs w:val="20"/>
              </w:rPr>
              <w:t>3</w:t>
            </w:r>
            <w:r w:rsidRPr="004F40EC">
              <w:rPr>
                <w:sz w:val="20"/>
                <w:szCs w:val="20"/>
              </w:rPr>
              <w:t>)</w:t>
            </w:r>
          </w:p>
          <w:p w14:paraId="62D2B703" w14:textId="77777777" w:rsidR="009F2CDD" w:rsidRPr="004F40EC" w:rsidRDefault="009F2CDD" w:rsidP="00E169B4">
            <w:pPr>
              <w:pStyle w:val="Bullet1"/>
              <w:rPr>
                <w:sz w:val="20"/>
                <w:szCs w:val="20"/>
              </w:rPr>
            </w:pPr>
            <w:r w:rsidRPr="004F40EC">
              <w:rPr>
                <w:sz w:val="20"/>
                <w:szCs w:val="20"/>
              </w:rPr>
              <w:t>Opex forecast – ACS Metering (Attachment 15.01</w:t>
            </w:r>
            <w:r>
              <w:rPr>
                <w:sz w:val="20"/>
                <w:szCs w:val="20"/>
              </w:rPr>
              <w:t>0</w:t>
            </w:r>
            <w:r w:rsidRPr="004F40EC">
              <w:rPr>
                <w:sz w:val="20"/>
                <w:szCs w:val="20"/>
              </w:rPr>
              <w:t>)</w:t>
            </w:r>
          </w:p>
          <w:p w14:paraId="48C3CC59" w14:textId="77777777" w:rsidR="009F2CDD" w:rsidRPr="004F40EC" w:rsidRDefault="009F2CDD" w:rsidP="00E169B4">
            <w:pPr>
              <w:pStyle w:val="Bullet1"/>
              <w:rPr>
                <w:sz w:val="20"/>
                <w:szCs w:val="20"/>
              </w:rPr>
            </w:pPr>
            <w:r w:rsidRPr="004F40EC">
              <w:rPr>
                <w:sz w:val="20"/>
                <w:szCs w:val="20"/>
              </w:rPr>
              <w:t>Opex forecast – ACS Public Lighting conventional (Attachment 15.01</w:t>
            </w:r>
            <w:r>
              <w:rPr>
                <w:sz w:val="20"/>
                <w:szCs w:val="20"/>
              </w:rPr>
              <w:t>2</w:t>
            </w:r>
            <w:r w:rsidRPr="004F40EC">
              <w:rPr>
                <w:sz w:val="20"/>
                <w:szCs w:val="20"/>
              </w:rPr>
              <w:t>), and</w:t>
            </w:r>
          </w:p>
          <w:p w14:paraId="1A835F81" w14:textId="77777777" w:rsidR="009F2CDD" w:rsidRPr="002056FA" w:rsidRDefault="009F2CDD" w:rsidP="00E169B4">
            <w:pPr>
              <w:pStyle w:val="Bullet1"/>
            </w:pPr>
            <w:r w:rsidRPr="004F40EC">
              <w:rPr>
                <w:sz w:val="20"/>
                <w:szCs w:val="20"/>
              </w:rPr>
              <w:t>Opex forecast – ACS public lighting LED (attachment 15.01</w:t>
            </w:r>
            <w:r>
              <w:rPr>
                <w:sz w:val="20"/>
                <w:szCs w:val="20"/>
              </w:rPr>
              <w:t>4</w:t>
            </w:r>
            <w:r w:rsidRPr="004F40EC">
              <w:rPr>
                <w:sz w:val="20"/>
                <w:szCs w:val="20"/>
              </w:rPr>
              <w:t>).</w:t>
            </w:r>
          </w:p>
        </w:tc>
      </w:tr>
      <w:tr w:rsidR="009F2CDD" w:rsidRPr="002056FA" w14:paraId="3DD1379A" w14:textId="77777777" w:rsidTr="00E169B4">
        <w:tc>
          <w:tcPr>
            <w:tcW w:w="0" w:type="auto"/>
            <w:shd w:val="clear" w:color="auto" w:fill="auto"/>
          </w:tcPr>
          <w:p w14:paraId="69F28F3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9.4(c) </w:t>
            </w:r>
          </w:p>
        </w:tc>
        <w:tc>
          <w:tcPr>
            <w:tcW w:w="0" w:type="auto"/>
            <w:shd w:val="clear" w:color="auto" w:fill="auto"/>
          </w:tcPr>
          <w:p w14:paraId="196CECC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if the response to paragraph 9.4(b) is negative, why it is appropriate for different expenditure escalators to apply. </w:t>
            </w:r>
          </w:p>
        </w:tc>
        <w:tc>
          <w:tcPr>
            <w:tcW w:w="0" w:type="auto"/>
            <w:shd w:val="clear" w:color="auto" w:fill="auto"/>
          </w:tcPr>
          <w:p w14:paraId="02C43FD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As noted in 9.4(b) above, the same </w:t>
            </w:r>
            <w:r>
              <w:rPr>
                <w:rFonts w:eastAsia="Calibri"/>
                <w:color w:val="000000"/>
                <w:lang w:eastAsia="en-US"/>
              </w:rPr>
              <w:t xml:space="preserve">price </w:t>
            </w:r>
            <w:r w:rsidRPr="002056FA">
              <w:rPr>
                <w:rFonts w:eastAsia="Calibri"/>
                <w:color w:val="000000"/>
                <w:lang w:eastAsia="en-US"/>
              </w:rPr>
              <w:t>escalat</w:t>
            </w:r>
            <w:r>
              <w:rPr>
                <w:rFonts w:eastAsia="Calibri"/>
                <w:color w:val="000000"/>
                <w:lang w:eastAsia="en-US"/>
              </w:rPr>
              <w:t>ion rates</w:t>
            </w:r>
            <w:r>
              <w:rPr>
                <w:color w:val="1F497D"/>
              </w:rPr>
              <w:t xml:space="preserve"> (i.e. labour, contractor and materials)</w:t>
            </w:r>
            <w:r w:rsidRPr="002056FA">
              <w:rPr>
                <w:rFonts w:eastAsia="Calibri"/>
                <w:color w:val="000000"/>
                <w:lang w:eastAsia="en-US"/>
              </w:rPr>
              <w:t xml:space="preserve"> are proposed for both forecast capex and opex.</w:t>
            </w:r>
          </w:p>
        </w:tc>
      </w:tr>
      <w:tr w:rsidR="009F2CDD" w:rsidRPr="002056FA" w14:paraId="2A4DB540" w14:textId="77777777" w:rsidTr="00E169B4">
        <w:tc>
          <w:tcPr>
            <w:tcW w:w="0" w:type="auto"/>
            <w:tcBorders>
              <w:bottom w:val="single" w:sz="4" w:space="0" w:color="auto"/>
            </w:tcBorders>
            <w:shd w:val="clear" w:color="auto" w:fill="auto"/>
          </w:tcPr>
          <w:p w14:paraId="1E4EE06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9.5 </w:t>
            </w:r>
          </w:p>
        </w:tc>
        <w:tc>
          <w:tcPr>
            <w:tcW w:w="0" w:type="auto"/>
            <w:tcBorders>
              <w:bottom w:val="single" w:sz="4" w:space="0" w:color="auto"/>
            </w:tcBorders>
            <w:shd w:val="clear" w:color="auto" w:fill="auto"/>
          </w:tcPr>
          <w:p w14:paraId="53035E2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If an agreement provided in response to paragraph 9.3(b) is due to expire during the </w:t>
            </w:r>
            <w:r w:rsidRPr="002056FA">
              <w:rPr>
                <w:rFonts w:eastAsia="Calibri"/>
                <w:iCs/>
                <w:color w:val="000000"/>
                <w:lang w:eastAsia="en-US"/>
              </w:rPr>
              <w:t>forthcoming regulatory control period</w:t>
            </w:r>
            <w:r w:rsidRPr="002056FA">
              <w:rPr>
                <w:rFonts w:eastAsia="Calibri"/>
                <w:color w:val="000000"/>
                <w:lang w:eastAsia="en-US"/>
              </w:rPr>
              <w:t xml:space="preserve">, explain the progress and outcomes of any negotiations to date to review and replace the current agreement. </w:t>
            </w:r>
          </w:p>
        </w:tc>
        <w:tc>
          <w:tcPr>
            <w:tcW w:w="0" w:type="auto"/>
            <w:tcBorders>
              <w:bottom w:val="single" w:sz="4" w:space="0" w:color="auto"/>
            </w:tcBorders>
            <w:shd w:val="clear" w:color="auto" w:fill="auto"/>
          </w:tcPr>
          <w:p w14:paraId="4340DC3C" w14:textId="77777777" w:rsidR="009F2CDD" w:rsidRPr="002056FA" w:rsidRDefault="009F2CDD" w:rsidP="00E169B4">
            <w:pPr>
              <w:pStyle w:val="TableCopy"/>
              <w:rPr>
                <w:rFonts w:eastAsia="Calibri"/>
                <w:color w:val="000000"/>
                <w:lang w:eastAsia="en-US"/>
              </w:rPr>
            </w:pPr>
            <w:r w:rsidRPr="002056FA">
              <w:rPr>
                <w:rFonts w:eastAsia="Calibri"/>
                <w:lang w:eastAsia="en-US"/>
              </w:rPr>
              <w:t xml:space="preserve">Refer response 9.3. The current </w:t>
            </w:r>
            <w:r w:rsidRPr="00E45382">
              <w:rPr>
                <w:rFonts w:eastAsia="Calibri"/>
                <w:lang w:eastAsia="en-US"/>
              </w:rPr>
              <w:t xml:space="preserve">Energy Queensland Enterprise Bargaining Agreement </w:t>
            </w:r>
            <w:r>
              <w:rPr>
                <w:rFonts w:eastAsia="Calibri"/>
                <w:lang w:eastAsia="en-US"/>
              </w:rPr>
              <w:t xml:space="preserve">2017 </w:t>
            </w:r>
            <w:r w:rsidRPr="002056FA">
              <w:rPr>
                <w:rFonts w:eastAsia="Calibri"/>
                <w:lang w:eastAsia="en-US"/>
              </w:rPr>
              <w:t>has a nomina</w:t>
            </w:r>
            <w:r>
              <w:rPr>
                <w:rFonts w:eastAsia="Calibri"/>
                <w:lang w:eastAsia="en-US"/>
              </w:rPr>
              <w:t xml:space="preserve">l expiry date of 1 March 2021. </w:t>
            </w:r>
            <w:r w:rsidRPr="002056FA">
              <w:rPr>
                <w:rFonts w:eastAsia="Calibri"/>
                <w:lang w:eastAsia="en-US"/>
              </w:rPr>
              <w:t>Planning and preparation for negotiations for a replacement Enterprise Agreement will commence in 2020.</w:t>
            </w:r>
          </w:p>
        </w:tc>
      </w:tr>
      <w:tr w:rsidR="009F2CDD" w:rsidRPr="002056FA" w14:paraId="08C62BEE" w14:textId="77777777" w:rsidTr="00E169B4">
        <w:tc>
          <w:tcPr>
            <w:tcW w:w="0" w:type="auto"/>
            <w:shd w:val="clear" w:color="auto" w:fill="D0CECE" w:themeFill="background2" w:themeFillShade="E6"/>
          </w:tcPr>
          <w:p w14:paraId="022F2EB9"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10</w:t>
            </w:r>
          </w:p>
        </w:tc>
        <w:tc>
          <w:tcPr>
            <w:tcW w:w="0" w:type="auto"/>
            <w:shd w:val="clear" w:color="auto" w:fill="D0CECE" w:themeFill="background2" w:themeFillShade="E6"/>
          </w:tcPr>
          <w:p w14:paraId="672013D8"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OPERATING AND MAINTENANCE EXPENDITURE</w:t>
            </w:r>
          </w:p>
        </w:tc>
        <w:tc>
          <w:tcPr>
            <w:tcW w:w="0" w:type="auto"/>
            <w:shd w:val="clear" w:color="auto" w:fill="D0CECE" w:themeFill="background2" w:themeFillShade="E6"/>
          </w:tcPr>
          <w:p w14:paraId="54A63EDB" w14:textId="77777777" w:rsidR="009F2CDD" w:rsidRPr="002056FA" w:rsidRDefault="009F2CDD" w:rsidP="00E169B4">
            <w:pPr>
              <w:pStyle w:val="TableCopy"/>
              <w:rPr>
                <w:rFonts w:eastAsia="Calibri"/>
                <w:color w:val="000000"/>
                <w:lang w:eastAsia="en-US"/>
              </w:rPr>
            </w:pPr>
          </w:p>
        </w:tc>
      </w:tr>
      <w:tr w:rsidR="009F2CDD" w:rsidRPr="002056FA" w14:paraId="13E5431D" w14:textId="77777777" w:rsidTr="00E169B4">
        <w:tc>
          <w:tcPr>
            <w:tcW w:w="0" w:type="auto"/>
            <w:shd w:val="clear" w:color="auto" w:fill="D0CECE" w:themeFill="background2" w:themeFillShade="E6"/>
          </w:tcPr>
          <w:p w14:paraId="3590112B" w14:textId="77777777" w:rsidR="009F2CDD" w:rsidRPr="002056FA" w:rsidRDefault="009F2CDD" w:rsidP="00E169B4">
            <w:pPr>
              <w:pStyle w:val="TableCopy"/>
              <w:rPr>
                <w:rFonts w:eastAsia="Calibri"/>
                <w:color w:val="000000"/>
                <w:lang w:eastAsia="en-US"/>
              </w:rPr>
            </w:pPr>
          </w:p>
        </w:tc>
        <w:tc>
          <w:tcPr>
            <w:tcW w:w="0" w:type="auto"/>
            <w:shd w:val="clear" w:color="auto" w:fill="D0CECE" w:themeFill="background2" w:themeFillShade="E6"/>
          </w:tcPr>
          <w:p w14:paraId="72EF71F0"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Total forecast operating and maintenance expenditure (opex)</w:t>
            </w:r>
          </w:p>
        </w:tc>
        <w:tc>
          <w:tcPr>
            <w:tcW w:w="0" w:type="auto"/>
            <w:shd w:val="clear" w:color="auto" w:fill="D0CECE" w:themeFill="background2" w:themeFillShade="E6"/>
          </w:tcPr>
          <w:p w14:paraId="66F303CA" w14:textId="77777777" w:rsidR="009F2CDD" w:rsidRPr="002056FA" w:rsidRDefault="009F2CDD" w:rsidP="00E169B4">
            <w:pPr>
              <w:pStyle w:val="TableCopy"/>
              <w:rPr>
                <w:rFonts w:eastAsia="Calibri"/>
                <w:color w:val="000000"/>
                <w:lang w:eastAsia="en-US"/>
              </w:rPr>
            </w:pPr>
          </w:p>
        </w:tc>
      </w:tr>
      <w:tr w:rsidR="009F2CDD" w:rsidRPr="002056FA" w14:paraId="46F735B3" w14:textId="77777777" w:rsidTr="00E169B4">
        <w:tc>
          <w:tcPr>
            <w:tcW w:w="0" w:type="auto"/>
            <w:shd w:val="clear" w:color="auto" w:fill="D0CECE" w:themeFill="background2" w:themeFillShade="E6"/>
          </w:tcPr>
          <w:p w14:paraId="5D4C642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10.1</w:t>
            </w:r>
          </w:p>
        </w:tc>
        <w:tc>
          <w:tcPr>
            <w:tcW w:w="0" w:type="auto"/>
            <w:shd w:val="clear" w:color="auto" w:fill="D0CECE" w:themeFill="background2" w:themeFillShade="E6"/>
          </w:tcPr>
          <w:p w14:paraId="56AA59D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w:t>
            </w:r>
          </w:p>
        </w:tc>
        <w:tc>
          <w:tcPr>
            <w:tcW w:w="0" w:type="auto"/>
            <w:shd w:val="clear" w:color="auto" w:fill="D0CECE" w:themeFill="background2" w:themeFillShade="E6"/>
          </w:tcPr>
          <w:p w14:paraId="6044B596" w14:textId="77777777" w:rsidR="009F2CDD" w:rsidRPr="002056FA" w:rsidRDefault="009F2CDD" w:rsidP="00E169B4">
            <w:pPr>
              <w:pStyle w:val="TableCopy"/>
              <w:rPr>
                <w:rFonts w:eastAsia="Calibri"/>
                <w:color w:val="000000"/>
                <w:lang w:eastAsia="en-US"/>
              </w:rPr>
            </w:pPr>
          </w:p>
        </w:tc>
      </w:tr>
      <w:tr w:rsidR="009F2CDD" w:rsidRPr="002056FA" w14:paraId="5DC3B6E6" w14:textId="77777777" w:rsidTr="00E169B4">
        <w:tc>
          <w:tcPr>
            <w:tcW w:w="0" w:type="auto"/>
            <w:tcBorders>
              <w:bottom w:val="single" w:sz="4" w:space="0" w:color="auto"/>
            </w:tcBorders>
            <w:shd w:val="clear" w:color="auto" w:fill="auto"/>
          </w:tcPr>
          <w:p w14:paraId="14D3F7A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10.1(a) </w:t>
            </w:r>
          </w:p>
        </w:tc>
        <w:tc>
          <w:tcPr>
            <w:tcW w:w="0" w:type="auto"/>
            <w:tcBorders>
              <w:bottom w:val="single" w:sz="4" w:space="0" w:color="auto"/>
            </w:tcBorders>
            <w:shd w:val="clear" w:color="auto" w:fill="auto"/>
          </w:tcPr>
          <w:p w14:paraId="22D1BE6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model(s) and the methodology </w:t>
            </w:r>
            <w:r w:rsidRPr="002056FA">
              <w:rPr>
                <w:rFonts w:eastAsia="Calibri"/>
                <w:iCs/>
                <w:color w:val="000000"/>
                <w:lang w:eastAsia="en-US"/>
              </w:rPr>
              <w:t xml:space="preserve">Energex </w:t>
            </w:r>
            <w:r w:rsidRPr="002056FA">
              <w:rPr>
                <w:rFonts w:eastAsia="Calibri"/>
                <w:color w:val="000000"/>
                <w:lang w:eastAsia="en-US"/>
              </w:rPr>
              <w:t xml:space="preserve">used to develop total forecast </w:t>
            </w:r>
            <w:r w:rsidRPr="002056FA">
              <w:rPr>
                <w:rFonts w:eastAsia="Calibri"/>
                <w:iCs/>
                <w:color w:val="000000"/>
                <w:lang w:eastAsia="en-US"/>
              </w:rPr>
              <w:t>opex</w:t>
            </w:r>
            <w:r w:rsidRPr="002056FA">
              <w:rPr>
                <w:rFonts w:eastAsia="Calibri"/>
                <w:color w:val="000000"/>
                <w:lang w:eastAsia="en-US"/>
              </w:rPr>
              <w:t xml:space="preserve">; </w:t>
            </w:r>
          </w:p>
        </w:tc>
        <w:tc>
          <w:tcPr>
            <w:tcW w:w="0" w:type="auto"/>
            <w:tcBorders>
              <w:bottom w:val="single" w:sz="4" w:space="0" w:color="auto"/>
            </w:tcBorders>
            <w:shd w:val="clear" w:color="auto" w:fill="auto"/>
          </w:tcPr>
          <w:p w14:paraId="638165DB" w14:textId="77777777" w:rsidR="009F2CDD" w:rsidRPr="004F40EC" w:rsidRDefault="009F2CDD" w:rsidP="00E169B4">
            <w:pPr>
              <w:pStyle w:val="TableCopy"/>
              <w:rPr>
                <w:rFonts w:eastAsia="Calibri"/>
                <w:color w:val="000000"/>
                <w:lang w:eastAsia="en-US"/>
              </w:rPr>
            </w:pPr>
            <w:r w:rsidRPr="002056FA">
              <w:rPr>
                <w:rFonts w:eastAsia="Calibri"/>
                <w:color w:val="000000"/>
                <w:lang w:eastAsia="en-US"/>
              </w:rPr>
              <w:t xml:space="preserve">Energex </w:t>
            </w:r>
            <w:r>
              <w:rPr>
                <w:rFonts w:eastAsia="Calibri"/>
                <w:color w:val="000000"/>
                <w:lang w:eastAsia="en-US"/>
              </w:rPr>
              <w:t>has</w:t>
            </w:r>
            <w:r w:rsidRPr="002056FA">
              <w:rPr>
                <w:rFonts w:eastAsia="Calibri"/>
                <w:color w:val="000000"/>
                <w:lang w:eastAsia="en-US"/>
              </w:rPr>
              <w:t xml:space="preserve"> provided </w:t>
            </w:r>
            <w:r w:rsidRPr="004F40EC">
              <w:rPr>
                <w:rFonts w:eastAsia="Calibri"/>
                <w:color w:val="000000"/>
                <w:lang w:eastAsia="en-US"/>
              </w:rPr>
              <w:t xml:space="preserve"> Opex forecast – SCS model (Attachment 6.007)</w:t>
            </w:r>
            <w:r>
              <w:rPr>
                <w:rFonts w:eastAsia="Calibri"/>
                <w:color w:val="000000"/>
                <w:lang w:eastAsia="en-US"/>
              </w:rPr>
              <w:t xml:space="preserve"> which was used to develop</w:t>
            </w:r>
            <w:r w:rsidRPr="002056FA">
              <w:rPr>
                <w:rFonts w:eastAsia="Calibri"/>
                <w:color w:val="000000"/>
                <w:lang w:eastAsia="en-US"/>
              </w:rPr>
              <w:t xml:space="preserve"> </w:t>
            </w:r>
            <w:r>
              <w:rPr>
                <w:rFonts w:eastAsia="Calibri"/>
                <w:color w:val="000000"/>
                <w:lang w:eastAsia="en-US"/>
              </w:rPr>
              <w:t xml:space="preserve">the </w:t>
            </w:r>
            <w:r w:rsidRPr="002056FA">
              <w:rPr>
                <w:rFonts w:eastAsia="Calibri"/>
                <w:color w:val="000000"/>
                <w:lang w:eastAsia="en-US"/>
              </w:rPr>
              <w:t xml:space="preserve">total forecast opex for </w:t>
            </w:r>
            <w:r>
              <w:rPr>
                <w:rFonts w:eastAsia="Calibri"/>
                <w:color w:val="000000"/>
                <w:lang w:eastAsia="en-US"/>
              </w:rPr>
              <w:t xml:space="preserve">SCS. </w:t>
            </w:r>
            <w:r w:rsidRPr="004F40EC">
              <w:rPr>
                <w:rFonts w:eastAsia="Calibri"/>
                <w:color w:val="000000"/>
                <w:lang w:eastAsia="en-US"/>
              </w:rPr>
              <w:t xml:space="preserve"> The methodology underlying Energex’s total forecast opex is discussed in chapter 6 of our Regulatory Proposal, and is supported by the ‘Base Year Opex Overview’ document (Attachment 6.003).Energex has also provided the following models for ACS prepared using a limited building block approa</w:t>
            </w:r>
            <w:r>
              <w:rPr>
                <w:rFonts w:eastAsia="Calibri"/>
                <w:color w:val="000000"/>
                <w:lang w:eastAsia="en-US"/>
              </w:rPr>
              <w:t>ch:</w:t>
            </w:r>
            <w:r w:rsidRPr="004F40EC">
              <w:rPr>
                <w:rFonts w:eastAsia="Calibri"/>
                <w:color w:val="000000"/>
                <w:lang w:eastAsia="en-US"/>
              </w:rPr>
              <w:t>Opex forecast – ACS Metering (Attachment 15.010)</w:t>
            </w:r>
          </w:p>
          <w:p w14:paraId="762D5B7F" w14:textId="77777777" w:rsidR="009F2CDD" w:rsidRPr="004F40EC" w:rsidRDefault="009F2CDD" w:rsidP="00E169B4">
            <w:pPr>
              <w:pStyle w:val="TableCopy"/>
              <w:rPr>
                <w:rFonts w:eastAsia="Calibri"/>
                <w:color w:val="000000"/>
                <w:lang w:eastAsia="en-US"/>
              </w:rPr>
            </w:pPr>
            <w:r w:rsidRPr="004F40EC">
              <w:rPr>
                <w:rFonts w:eastAsia="Calibri"/>
                <w:color w:val="000000"/>
                <w:lang w:eastAsia="en-US"/>
              </w:rPr>
              <w:t>Opex forecast – ACS Public Lighting Conventional (Attachment 15.012), and</w:t>
            </w:r>
          </w:p>
          <w:p w14:paraId="451C0847" w14:textId="77777777" w:rsidR="009F2CDD" w:rsidRPr="004F40EC" w:rsidRDefault="009F2CDD" w:rsidP="00E169B4">
            <w:pPr>
              <w:pStyle w:val="TableCopy"/>
              <w:rPr>
                <w:rFonts w:eastAsia="Calibri"/>
                <w:color w:val="000000"/>
                <w:lang w:eastAsia="en-US"/>
              </w:rPr>
            </w:pPr>
            <w:r w:rsidRPr="004F40EC">
              <w:rPr>
                <w:rFonts w:eastAsia="Calibri"/>
                <w:color w:val="000000"/>
                <w:lang w:eastAsia="en-US"/>
              </w:rPr>
              <w:t>Opex forecast – ACS Public Lighting LED (Attachment 15.014).</w:t>
            </w:r>
          </w:p>
          <w:p w14:paraId="5F76706C" w14:textId="77777777" w:rsidR="009F2CDD" w:rsidRPr="002056FA" w:rsidRDefault="009F2CDD" w:rsidP="00E169B4">
            <w:pPr>
              <w:pStyle w:val="TableCopy"/>
              <w:rPr>
                <w:rFonts w:eastAsia="Calibri"/>
                <w:color w:val="000000"/>
                <w:lang w:eastAsia="en-US"/>
              </w:rPr>
            </w:pPr>
          </w:p>
        </w:tc>
      </w:tr>
      <w:tr w:rsidR="009F2CDD" w:rsidRPr="002056FA" w14:paraId="203CA683" w14:textId="77777777" w:rsidTr="00E169B4">
        <w:tc>
          <w:tcPr>
            <w:tcW w:w="0" w:type="auto"/>
            <w:shd w:val="clear" w:color="auto" w:fill="D0CECE" w:themeFill="background2" w:themeFillShade="E6"/>
          </w:tcPr>
          <w:p w14:paraId="384C835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10.1(b)</w:t>
            </w:r>
          </w:p>
        </w:tc>
        <w:tc>
          <w:tcPr>
            <w:tcW w:w="0" w:type="auto"/>
            <w:shd w:val="clear" w:color="auto" w:fill="D0CECE" w:themeFill="background2" w:themeFillShade="E6"/>
          </w:tcPr>
          <w:p w14:paraId="6A56E4F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justification for Energex’s total forecast opex, including:</w:t>
            </w:r>
          </w:p>
        </w:tc>
        <w:tc>
          <w:tcPr>
            <w:tcW w:w="0" w:type="auto"/>
            <w:shd w:val="clear" w:color="auto" w:fill="D0CECE" w:themeFill="background2" w:themeFillShade="E6"/>
          </w:tcPr>
          <w:p w14:paraId="229A9B18" w14:textId="77777777" w:rsidR="009F2CDD" w:rsidRPr="002056FA" w:rsidRDefault="009F2CDD" w:rsidP="00E169B4">
            <w:pPr>
              <w:pStyle w:val="TableCopy"/>
              <w:rPr>
                <w:rFonts w:eastAsia="Calibri"/>
                <w:color w:val="000000"/>
                <w:lang w:eastAsia="en-US"/>
              </w:rPr>
            </w:pPr>
          </w:p>
        </w:tc>
      </w:tr>
      <w:tr w:rsidR="009F2CDD" w:rsidRPr="002056FA" w14:paraId="6C5F293C" w14:textId="77777777" w:rsidTr="00E169B4">
        <w:tc>
          <w:tcPr>
            <w:tcW w:w="0" w:type="auto"/>
            <w:shd w:val="clear" w:color="auto" w:fill="auto"/>
          </w:tcPr>
          <w:p w14:paraId="51CCAB4F"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10.1(b)(i) </w:t>
            </w:r>
          </w:p>
        </w:tc>
        <w:tc>
          <w:tcPr>
            <w:tcW w:w="0" w:type="auto"/>
            <w:shd w:val="clear" w:color="auto" w:fill="auto"/>
          </w:tcPr>
          <w:p w14:paraId="33D4C69F"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why the proposed total forecast </w:t>
            </w:r>
            <w:r w:rsidRPr="002056FA">
              <w:rPr>
                <w:rFonts w:eastAsia="Calibri"/>
                <w:iCs/>
                <w:color w:val="000000"/>
                <w:lang w:eastAsia="en-US"/>
              </w:rPr>
              <w:t xml:space="preserve">opex </w:t>
            </w:r>
            <w:r w:rsidRPr="002056FA">
              <w:rPr>
                <w:rFonts w:eastAsia="Calibri"/>
                <w:color w:val="000000"/>
                <w:lang w:eastAsia="en-US"/>
              </w:rPr>
              <w:t xml:space="preserve">is required for </w:t>
            </w:r>
            <w:r w:rsidRPr="002056FA">
              <w:rPr>
                <w:rFonts w:eastAsia="Calibri"/>
                <w:iCs/>
                <w:color w:val="000000"/>
                <w:lang w:eastAsia="en-US"/>
              </w:rPr>
              <w:t xml:space="preserve">Energex </w:t>
            </w:r>
            <w:r w:rsidRPr="002056FA">
              <w:rPr>
                <w:rFonts w:eastAsia="Calibri"/>
                <w:color w:val="000000"/>
                <w:lang w:eastAsia="en-US"/>
              </w:rPr>
              <w:t xml:space="preserve">to achieve each of the objectives in clause 6.5.6(a) of the </w:t>
            </w:r>
            <w:r w:rsidRPr="002056FA">
              <w:rPr>
                <w:rFonts w:eastAsia="Calibri"/>
                <w:iCs/>
                <w:color w:val="000000"/>
                <w:lang w:eastAsia="en-US"/>
              </w:rPr>
              <w:t>NER</w:t>
            </w:r>
            <w:r w:rsidRPr="002056FA">
              <w:rPr>
                <w:rFonts w:eastAsia="Calibri"/>
                <w:color w:val="000000"/>
                <w:lang w:eastAsia="en-US"/>
              </w:rPr>
              <w:t xml:space="preserve">; </w:t>
            </w:r>
          </w:p>
        </w:tc>
        <w:tc>
          <w:tcPr>
            <w:tcW w:w="0" w:type="auto"/>
            <w:shd w:val="clear" w:color="auto" w:fill="auto"/>
          </w:tcPr>
          <w:p w14:paraId="04D4A23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 </w:t>
            </w:r>
            <w:r>
              <w:rPr>
                <w:rFonts w:eastAsia="Calibri"/>
                <w:color w:val="000000"/>
                <w:lang w:eastAsia="en-US"/>
              </w:rPr>
              <w:t>has</w:t>
            </w:r>
            <w:r w:rsidRPr="002056FA">
              <w:rPr>
                <w:rFonts w:eastAsia="Calibri"/>
                <w:color w:val="000000"/>
                <w:lang w:eastAsia="en-US"/>
              </w:rPr>
              <w:t xml:space="preserve"> demonstrated how our total forecast opex achieves each of the objectives in 6.5.6(a) of the NER in the </w:t>
            </w:r>
            <w:r w:rsidRPr="002056FA">
              <w:rPr>
                <w:rFonts w:eastAsia="Calibri"/>
                <w:lang w:eastAsia="en-US"/>
              </w:rPr>
              <w:t xml:space="preserve">document </w:t>
            </w:r>
            <w:r>
              <w:rPr>
                <w:rFonts w:eastAsia="Calibri"/>
                <w:color w:val="000000"/>
                <w:lang w:eastAsia="en-US"/>
              </w:rPr>
              <w:t>‘</w:t>
            </w:r>
            <w:r w:rsidRPr="00E45382">
              <w:rPr>
                <w:rFonts w:eastAsia="Calibri"/>
                <w:lang w:eastAsia="en-US"/>
              </w:rPr>
              <w:t xml:space="preserve">Capex and Opex Objectives, Criteria and Factors in Chapter 6 of the </w:t>
            </w:r>
            <w:r w:rsidRPr="000979B4">
              <w:rPr>
                <w:rFonts w:eastAsia="Calibri"/>
                <w:lang w:eastAsia="en-US"/>
              </w:rPr>
              <w:t>NER’</w:t>
            </w:r>
            <w:r w:rsidRPr="000979B4">
              <w:rPr>
                <w:rFonts w:eastAsia="Calibri"/>
                <w:color w:val="000000"/>
                <w:lang w:eastAsia="en-US"/>
              </w:rPr>
              <w:t xml:space="preserve"> (Attachment </w:t>
            </w:r>
            <w:r>
              <w:rPr>
                <w:rFonts w:eastAsia="Calibri"/>
                <w:color w:val="000000"/>
                <w:lang w:eastAsia="en-US"/>
              </w:rPr>
              <w:t>1.006</w:t>
            </w:r>
            <w:r w:rsidRPr="000979B4">
              <w:rPr>
                <w:rFonts w:eastAsia="Calibri"/>
                <w:color w:val="000000"/>
                <w:lang w:eastAsia="en-US"/>
              </w:rPr>
              <w:t>).</w:t>
            </w:r>
          </w:p>
        </w:tc>
      </w:tr>
      <w:tr w:rsidR="009F2CDD" w:rsidRPr="002056FA" w14:paraId="268E843C" w14:textId="77777777" w:rsidTr="00E169B4">
        <w:tc>
          <w:tcPr>
            <w:tcW w:w="0" w:type="auto"/>
            <w:shd w:val="clear" w:color="auto" w:fill="auto"/>
          </w:tcPr>
          <w:p w14:paraId="19BDD12B"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10.1(b)(ii) </w:t>
            </w:r>
          </w:p>
        </w:tc>
        <w:tc>
          <w:tcPr>
            <w:tcW w:w="0" w:type="auto"/>
            <w:shd w:val="clear" w:color="auto" w:fill="auto"/>
          </w:tcPr>
          <w:p w14:paraId="220E2787"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how </w:t>
            </w:r>
            <w:r w:rsidRPr="002056FA">
              <w:rPr>
                <w:rFonts w:eastAsia="Calibri"/>
                <w:iCs/>
                <w:color w:val="000000"/>
                <w:lang w:eastAsia="en-US"/>
              </w:rPr>
              <w:t xml:space="preserve">Energex ’s </w:t>
            </w:r>
            <w:r w:rsidRPr="002056FA">
              <w:rPr>
                <w:rFonts w:eastAsia="Calibri"/>
                <w:color w:val="000000"/>
                <w:lang w:eastAsia="en-US"/>
              </w:rPr>
              <w:t xml:space="preserve">total forecast </w:t>
            </w:r>
            <w:r w:rsidRPr="002056FA">
              <w:rPr>
                <w:rFonts w:eastAsia="Calibri"/>
                <w:iCs/>
                <w:color w:val="000000"/>
                <w:lang w:eastAsia="en-US"/>
              </w:rPr>
              <w:t xml:space="preserve">opex </w:t>
            </w:r>
            <w:r w:rsidRPr="002056FA">
              <w:rPr>
                <w:rFonts w:eastAsia="Calibri"/>
                <w:color w:val="000000"/>
                <w:lang w:eastAsia="en-US"/>
              </w:rPr>
              <w:t xml:space="preserve">reasonably reflects each of the criteria in clause 6.5.6(c) of the </w:t>
            </w:r>
            <w:r w:rsidRPr="002056FA">
              <w:rPr>
                <w:rFonts w:eastAsia="Calibri"/>
                <w:iCs/>
                <w:color w:val="000000"/>
                <w:lang w:eastAsia="en-US"/>
              </w:rPr>
              <w:t>NER</w:t>
            </w:r>
            <w:r w:rsidRPr="002056FA">
              <w:rPr>
                <w:rFonts w:eastAsia="Calibri"/>
                <w:color w:val="000000"/>
                <w:lang w:eastAsia="en-US"/>
              </w:rPr>
              <w:t xml:space="preserve">; and </w:t>
            </w:r>
          </w:p>
        </w:tc>
        <w:tc>
          <w:tcPr>
            <w:tcW w:w="0" w:type="auto"/>
            <w:shd w:val="clear" w:color="auto" w:fill="auto"/>
          </w:tcPr>
          <w:p w14:paraId="140F35C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 </w:t>
            </w:r>
            <w:r>
              <w:rPr>
                <w:rFonts w:eastAsia="Calibri"/>
                <w:color w:val="000000"/>
                <w:lang w:eastAsia="en-US"/>
              </w:rPr>
              <w:t>has</w:t>
            </w:r>
            <w:r w:rsidRPr="002056FA">
              <w:rPr>
                <w:rFonts w:eastAsia="Calibri"/>
                <w:color w:val="000000"/>
                <w:lang w:eastAsia="en-US"/>
              </w:rPr>
              <w:t xml:space="preserve"> demonstrated how our total forecast opex reasonably reflects each of the criteria in 6.5.6(c) of the NER in the d</w:t>
            </w:r>
            <w:r>
              <w:rPr>
                <w:rFonts w:eastAsia="Calibri"/>
                <w:color w:val="000000"/>
                <w:lang w:eastAsia="en-US"/>
              </w:rPr>
              <w:t>ocument</w:t>
            </w:r>
            <w:r w:rsidRPr="002056FA">
              <w:rPr>
                <w:rFonts w:eastAsia="Calibri"/>
                <w:color w:val="000000"/>
                <w:lang w:eastAsia="en-US"/>
              </w:rPr>
              <w:t xml:space="preserve"> </w:t>
            </w:r>
            <w:r w:rsidRPr="0071681F">
              <w:rPr>
                <w:rFonts w:eastAsia="Calibri"/>
                <w:color w:val="000000"/>
                <w:lang w:eastAsia="en-US"/>
              </w:rPr>
              <w:t xml:space="preserve">‘Capex and Opex Objectives, Criteria and Factors in Chapter 6 of the </w:t>
            </w:r>
            <w:r w:rsidRPr="000979B4">
              <w:rPr>
                <w:rFonts w:eastAsia="Calibri"/>
                <w:color w:val="000000"/>
                <w:lang w:eastAsia="en-US"/>
              </w:rPr>
              <w:t xml:space="preserve">NER’ (Attachment </w:t>
            </w:r>
            <w:r>
              <w:rPr>
                <w:rFonts w:eastAsia="Calibri"/>
                <w:color w:val="000000"/>
                <w:lang w:eastAsia="en-US"/>
              </w:rPr>
              <w:t>1.006</w:t>
            </w:r>
            <w:r w:rsidRPr="000979B4">
              <w:rPr>
                <w:rFonts w:eastAsia="Calibri"/>
                <w:color w:val="000000"/>
                <w:lang w:eastAsia="en-US"/>
              </w:rPr>
              <w:t>).</w:t>
            </w:r>
          </w:p>
        </w:tc>
      </w:tr>
      <w:tr w:rsidR="009F2CDD" w:rsidRPr="002056FA" w14:paraId="4212C8DD" w14:textId="77777777" w:rsidTr="00E169B4">
        <w:tc>
          <w:tcPr>
            <w:tcW w:w="0" w:type="auto"/>
            <w:tcBorders>
              <w:bottom w:val="single" w:sz="4" w:space="0" w:color="auto"/>
            </w:tcBorders>
            <w:shd w:val="clear" w:color="auto" w:fill="auto"/>
          </w:tcPr>
          <w:p w14:paraId="4473B81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10.1(b)(iii) </w:t>
            </w:r>
          </w:p>
        </w:tc>
        <w:tc>
          <w:tcPr>
            <w:tcW w:w="0" w:type="auto"/>
            <w:tcBorders>
              <w:bottom w:val="single" w:sz="4" w:space="0" w:color="auto"/>
            </w:tcBorders>
            <w:shd w:val="clear" w:color="auto" w:fill="auto"/>
          </w:tcPr>
          <w:p w14:paraId="2669BFA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how </w:t>
            </w:r>
            <w:r w:rsidRPr="002056FA">
              <w:rPr>
                <w:rFonts w:eastAsia="Calibri"/>
                <w:iCs/>
                <w:color w:val="000000"/>
                <w:lang w:eastAsia="en-US"/>
              </w:rPr>
              <w:t xml:space="preserve">Energex ’s </w:t>
            </w:r>
            <w:r w:rsidRPr="002056FA">
              <w:rPr>
                <w:rFonts w:eastAsia="Calibri"/>
                <w:color w:val="000000"/>
                <w:lang w:eastAsia="en-US"/>
              </w:rPr>
              <w:t xml:space="preserve">total forecast </w:t>
            </w:r>
            <w:r w:rsidRPr="002056FA">
              <w:rPr>
                <w:rFonts w:eastAsia="Calibri"/>
                <w:iCs/>
                <w:color w:val="000000"/>
                <w:lang w:eastAsia="en-US"/>
              </w:rPr>
              <w:t xml:space="preserve">opex </w:t>
            </w:r>
            <w:r w:rsidRPr="002056FA">
              <w:rPr>
                <w:rFonts w:eastAsia="Calibri"/>
                <w:color w:val="000000"/>
                <w:lang w:eastAsia="en-US"/>
              </w:rPr>
              <w:t xml:space="preserve">accounts for the factors in clause 6.5.6(e) of the </w:t>
            </w:r>
            <w:r w:rsidRPr="002056FA">
              <w:rPr>
                <w:rFonts w:eastAsia="Calibri"/>
                <w:iCs/>
                <w:color w:val="000000"/>
                <w:lang w:eastAsia="en-US"/>
              </w:rPr>
              <w:t>NER</w:t>
            </w:r>
            <w:r w:rsidRPr="002056FA">
              <w:rPr>
                <w:rFonts w:eastAsia="Calibri"/>
                <w:color w:val="000000"/>
                <w:lang w:eastAsia="en-US"/>
              </w:rPr>
              <w:t xml:space="preserve">; </w:t>
            </w:r>
          </w:p>
        </w:tc>
        <w:tc>
          <w:tcPr>
            <w:tcW w:w="0" w:type="auto"/>
            <w:tcBorders>
              <w:bottom w:val="single" w:sz="4" w:space="0" w:color="auto"/>
            </w:tcBorders>
            <w:shd w:val="clear" w:color="auto" w:fill="auto"/>
          </w:tcPr>
          <w:p w14:paraId="41E9D16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 </w:t>
            </w:r>
            <w:r>
              <w:rPr>
                <w:rFonts w:eastAsia="Calibri"/>
                <w:color w:val="000000"/>
                <w:lang w:eastAsia="en-US"/>
              </w:rPr>
              <w:t>has</w:t>
            </w:r>
            <w:r w:rsidRPr="002056FA">
              <w:rPr>
                <w:rFonts w:eastAsia="Calibri"/>
                <w:color w:val="000000"/>
                <w:lang w:eastAsia="en-US"/>
              </w:rPr>
              <w:t xml:space="preserve"> demonstrated how our total forecast opex accounts for the factors in 6.5.6(e) of the NER in the documen</w:t>
            </w:r>
            <w:r>
              <w:rPr>
                <w:rFonts w:eastAsia="Calibri"/>
                <w:color w:val="000000"/>
                <w:lang w:eastAsia="en-US"/>
              </w:rPr>
              <w:t xml:space="preserve">t </w:t>
            </w:r>
            <w:r w:rsidRPr="00E45382">
              <w:rPr>
                <w:rFonts w:eastAsia="Calibri"/>
                <w:color w:val="000000"/>
                <w:lang w:eastAsia="en-US"/>
              </w:rPr>
              <w:t xml:space="preserve">‘Capex and Opex Objectives, Criteria and Factors in Chapter 6 of the </w:t>
            </w:r>
            <w:r w:rsidRPr="000979B4">
              <w:rPr>
                <w:rFonts w:eastAsia="Calibri"/>
                <w:color w:val="000000"/>
                <w:lang w:eastAsia="en-US"/>
              </w:rPr>
              <w:t>NER’ (</w:t>
            </w:r>
            <w:r>
              <w:rPr>
                <w:rFonts w:eastAsia="Calibri"/>
                <w:color w:val="000000"/>
                <w:lang w:eastAsia="en-US"/>
              </w:rPr>
              <w:t>Attachment 1.006</w:t>
            </w:r>
            <w:r w:rsidRPr="000979B4">
              <w:rPr>
                <w:rFonts w:eastAsia="Calibri"/>
                <w:color w:val="000000"/>
                <w:lang w:eastAsia="en-US"/>
              </w:rPr>
              <w:t>).</w:t>
            </w:r>
          </w:p>
        </w:tc>
      </w:tr>
      <w:tr w:rsidR="009F2CDD" w:rsidRPr="002056FA" w14:paraId="18CBE1DA" w14:textId="77777777" w:rsidTr="00E169B4">
        <w:tc>
          <w:tcPr>
            <w:tcW w:w="0" w:type="auto"/>
            <w:shd w:val="clear" w:color="auto" w:fill="D0CECE" w:themeFill="background2" w:themeFillShade="E6"/>
          </w:tcPr>
          <w:p w14:paraId="65B0907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10.2</w:t>
            </w:r>
          </w:p>
        </w:tc>
        <w:tc>
          <w:tcPr>
            <w:tcW w:w="0" w:type="auto"/>
            <w:shd w:val="clear" w:color="auto" w:fill="D0CECE" w:themeFill="background2" w:themeFillShade="E6"/>
          </w:tcPr>
          <w:p w14:paraId="41A2F85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w:t>
            </w:r>
          </w:p>
        </w:tc>
        <w:tc>
          <w:tcPr>
            <w:tcW w:w="0" w:type="auto"/>
            <w:shd w:val="clear" w:color="auto" w:fill="D0CECE" w:themeFill="background2" w:themeFillShade="E6"/>
          </w:tcPr>
          <w:p w14:paraId="241D72DA" w14:textId="77777777" w:rsidR="009F2CDD" w:rsidRPr="002056FA" w:rsidRDefault="009F2CDD" w:rsidP="00E169B4">
            <w:pPr>
              <w:pStyle w:val="TableCopy"/>
              <w:rPr>
                <w:rFonts w:eastAsia="Calibri"/>
                <w:color w:val="000000"/>
                <w:lang w:eastAsia="en-US"/>
              </w:rPr>
            </w:pPr>
          </w:p>
        </w:tc>
      </w:tr>
      <w:tr w:rsidR="009F2CDD" w:rsidRPr="002056FA" w14:paraId="2C27ADAE" w14:textId="77777777" w:rsidTr="00E169B4">
        <w:tc>
          <w:tcPr>
            <w:tcW w:w="0" w:type="auto"/>
            <w:shd w:val="clear" w:color="auto" w:fill="auto"/>
          </w:tcPr>
          <w:p w14:paraId="60A414B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10.2(a)</w:t>
            </w:r>
          </w:p>
        </w:tc>
        <w:tc>
          <w:tcPr>
            <w:tcW w:w="0" w:type="auto"/>
            <w:shd w:val="clear" w:color="auto" w:fill="auto"/>
          </w:tcPr>
          <w:p w14:paraId="11BB133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quantum of non-recurrent opex for each year of the forthcoming regulatory control period; and</w:t>
            </w:r>
          </w:p>
        </w:tc>
        <w:tc>
          <w:tcPr>
            <w:tcW w:w="0" w:type="auto"/>
            <w:shd w:val="clear" w:color="auto" w:fill="auto"/>
          </w:tcPr>
          <w:p w14:paraId="50DBCB1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All non-recurrent costs have been removed from Energex’s base year opex forecast; therefore Energex has not forecast any non-recurrent costs for the 2020-2025 regulatory </w:t>
            </w:r>
            <w:r>
              <w:rPr>
                <w:rFonts w:eastAsia="Calibri"/>
                <w:color w:val="000000"/>
                <w:lang w:eastAsia="en-US"/>
              </w:rPr>
              <w:t xml:space="preserve">control </w:t>
            </w:r>
            <w:r w:rsidRPr="002056FA">
              <w:rPr>
                <w:rFonts w:eastAsia="Calibri"/>
                <w:color w:val="000000"/>
                <w:lang w:eastAsia="en-US"/>
              </w:rPr>
              <w:t xml:space="preserve">period. </w:t>
            </w:r>
          </w:p>
          <w:p w14:paraId="1B0B031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 has used the opex forecast model typically used by the AER in its more recent regulatory decisions to apply the base step trend </w:t>
            </w:r>
            <w:r>
              <w:rPr>
                <w:rFonts w:eastAsia="Calibri"/>
                <w:color w:val="000000"/>
                <w:lang w:eastAsia="en-US"/>
              </w:rPr>
              <w:t xml:space="preserve">(BST) </w:t>
            </w:r>
            <w:r w:rsidRPr="002056FA">
              <w:rPr>
                <w:rFonts w:eastAsia="Calibri"/>
                <w:color w:val="000000"/>
                <w:lang w:eastAsia="en-US"/>
              </w:rPr>
              <w:t>method.  In applying this method</w:t>
            </w:r>
            <w:r>
              <w:rPr>
                <w:rFonts w:eastAsia="Calibri"/>
                <w:color w:val="000000"/>
                <w:lang w:eastAsia="en-US"/>
              </w:rPr>
              <w:t>, d</w:t>
            </w:r>
            <w:r w:rsidRPr="002056FA">
              <w:t xml:space="preserve">ebt raising costs have not been included as these are separately accounted for – on a benchmark basis – in </w:t>
            </w:r>
            <w:r w:rsidRPr="0071681F">
              <w:t xml:space="preserve">Energex’s proposed revenue models including the </w:t>
            </w:r>
            <w:r>
              <w:t>PTRM</w:t>
            </w:r>
            <w:r w:rsidRPr="0071681F">
              <w:t xml:space="preserve"> - SCS (Attachment 8.003), </w:t>
            </w:r>
            <w:r>
              <w:t>PTRM</w:t>
            </w:r>
            <w:r w:rsidRPr="0071681F">
              <w:t xml:space="preserve"> – ACS Metering (Attachment 15.016</w:t>
            </w:r>
            <w:r>
              <w:t>), PTRM</w:t>
            </w:r>
            <w:r w:rsidRPr="0071681F">
              <w:t xml:space="preserve"> – Public Lighting</w:t>
            </w:r>
            <w:r>
              <w:t xml:space="preserve"> Conventional</w:t>
            </w:r>
            <w:r w:rsidRPr="0071681F">
              <w:t xml:space="preserve"> (Attachment 15.018)</w:t>
            </w:r>
            <w:r>
              <w:t xml:space="preserve"> and </w:t>
            </w:r>
            <w:r w:rsidRPr="0071681F">
              <w:t xml:space="preserve"> </w:t>
            </w:r>
            <w:r>
              <w:t>PTRM</w:t>
            </w:r>
            <w:r w:rsidRPr="0071681F">
              <w:t xml:space="preserve"> – Public Lighting</w:t>
            </w:r>
            <w:r>
              <w:t xml:space="preserve"> LED (Attachment 15.020). </w:t>
            </w:r>
          </w:p>
          <w:p w14:paraId="1082DCCE" w14:textId="77777777" w:rsidR="009F2CDD" w:rsidRPr="0071681F" w:rsidRDefault="009F2CDD" w:rsidP="00E169B4">
            <w:pPr>
              <w:pStyle w:val="Bullet1"/>
              <w:numPr>
                <w:ilvl w:val="0"/>
                <w:numId w:val="0"/>
              </w:numPr>
              <w:ind w:left="360"/>
              <w:rPr>
                <w:sz w:val="20"/>
                <w:szCs w:val="20"/>
              </w:rPr>
            </w:pPr>
            <w:r w:rsidRPr="002056FA">
              <w:rPr>
                <w:sz w:val="20"/>
                <w:szCs w:val="20"/>
              </w:rPr>
              <w:t xml:space="preserve"> </w:t>
            </w:r>
          </w:p>
          <w:p w14:paraId="075D94F2" w14:textId="77777777" w:rsidR="009F2CDD" w:rsidRPr="002056FA" w:rsidRDefault="009F2CDD" w:rsidP="00E169B4">
            <w:pPr>
              <w:pStyle w:val="Bullet1"/>
              <w:numPr>
                <w:ilvl w:val="0"/>
                <w:numId w:val="0"/>
              </w:numPr>
            </w:pPr>
          </w:p>
        </w:tc>
      </w:tr>
      <w:tr w:rsidR="009F2CDD" w:rsidRPr="002056FA" w14:paraId="6AAF92CF" w14:textId="77777777" w:rsidTr="00E169B4">
        <w:tc>
          <w:tcPr>
            <w:tcW w:w="0" w:type="auto"/>
            <w:tcBorders>
              <w:bottom w:val="single" w:sz="4" w:space="0" w:color="auto"/>
            </w:tcBorders>
            <w:shd w:val="clear" w:color="auto" w:fill="auto"/>
          </w:tcPr>
          <w:p w14:paraId="093EB4A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10.2(b)</w:t>
            </w:r>
          </w:p>
        </w:tc>
        <w:tc>
          <w:tcPr>
            <w:tcW w:w="0" w:type="auto"/>
            <w:tcBorders>
              <w:bottom w:val="single" w:sz="4" w:space="0" w:color="auto"/>
            </w:tcBorders>
            <w:shd w:val="clear" w:color="auto" w:fill="auto"/>
          </w:tcPr>
          <w:p w14:paraId="45A5D06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an explanation of the driver of each non-recurrent opex.</w:t>
            </w:r>
          </w:p>
        </w:tc>
        <w:tc>
          <w:tcPr>
            <w:tcW w:w="0" w:type="auto"/>
            <w:tcBorders>
              <w:bottom w:val="single" w:sz="4" w:space="0" w:color="auto"/>
            </w:tcBorders>
            <w:shd w:val="clear" w:color="auto" w:fill="auto"/>
          </w:tcPr>
          <w:p w14:paraId="0538AF7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to 10.2(a), noting Energex has not forecast any non-recurrent costs.</w:t>
            </w:r>
          </w:p>
        </w:tc>
      </w:tr>
      <w:tr w:rsidR="009F2CDD" w:rsidRPr="002056FA" w14:paraId="1085790F" w14:textId="77777777" w:rsidTr="00E169B4">
        <w:tc>
          <w:tcPr>
            <w:tcW w:w="0" w:type="auto"/>
            <w:shd w:val="clear" w:color="auto" w:fill="D0CECE" w:themeFill="background2" w:themeFillShade="E6"/>
          </w:tcPr>
          <w:p w14:paraId="6CA00CB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10.3</w:t>
            </w:r>
          </w:p>
        </w:tc>
        <w:tc>
          <w:tcPr>
            <w:tcW w:w="0" w:type="auto"/>
            <w:shd w:val="clear" w:color="auto" w:fill="D0CECE" w:themeFill="background2" w:themeFillShade="E6"/>
          </w:tcPr>
          <w:p w14:paraId="531438B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If Energex used a revealed cost base year approach to develop its total forecast opex proposal, provide:</w:t>
            </w:r>
          </w:p>
        </w:tc>
        <w:tc>
          <w:tcPr>
            <w:tcW w:w="0" w:type="auto"/>
            <w:shd w:val="clear" w:color="auto" w:fill="D0CECE" w:themeFill="background2" w:themeFillShade="E6"/>
          </w:tcPr>
          <w:p w14:paraId="49D1CBD5" w14:textId="77777777" w:rsidR="009F2CDD" w:rsidRPr="002056FA" w:rsidRDefault="009F2CDD" w:rsidP="00E169B4">
            <w:pPr>
              <w:pStyle w:val="TableCopy"/>
              <w:rPr>
                <w:rFonts w:eastAsia="Calibri"/>
                <w:color w:val="000000"/>
                <w:lang w:eastAsia="en-US"/>
              </w:rPr>
            </w:pPr>
          </w:p>
        </w:tc>
      </w:tr>
      <w:tr w:rsidR="009F2CDD" w:rsidRPr="002056FA" w14:paraId="4FDDF8A9" w14:textId="77777777" w:rsidTr="00E169B4">
        <w:tc>
          <w:tcPr>
            <w:tcW w:w="0" w:type="auto"/>
            <w:shd w:val="clear" w:color="auto" w:fill="auto"/>
          </w:tcPr>
          <w:p w14:paraId="6B81DD4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10.3(a) </w:t>
            </w:r>
          </w:p>
        </w:tc>
        <w:tc>
          <w:tcPr>
            <w:tcW w:w="0" w:type="auto"/>
            <w:shd w:val="clear" w:color="auto" w:fill="auto"/>
          </w:tcPr>
          <w:p w14:paraId="7013132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in Microsoft Excel format, reconciliation (including all calculations and formulae) of </w:t>
            </w:r>
            <w:r w:rsidRPr="002056FA">
              <w:rPr>
                <w:rFonts w:eastAsia="Calibri"/>
                <w:iCs/>
                <w:color w:val="000000"/>
                <w:lang w:eastAsia="en-US"/>
              </w:rPr>
              <w:t xml:space="preserve">Energex ’s </w:t>
            </w:r>
            <w:r w:rsidRPr="002056FA">
              <w:rPr>
                <w:rFonts w:eastAsia="Calibri"/>
                <w:color w:val="000000"/>
                <w:lang w:eastAsia="en-US"/>
              </w:rPr>
              <w:t xml:space="preserve">forecast total </w:t>
            </w:r>
            <w:r w:rsidRPr="002056FA">
              <w:rPr>
                <w:rFonts w:eastAsia="Calibri"/>
                <w:iCs/>
                <w:color w:val="000000"/>
                <w:lang w:eastAsia="en-US"/>
              </w:rPr>
              <w:t xml:space="preserve">opex </w:t>
            </w:r>
            <w:r w:rsidRPr="002056FA">
              <w:rPr>
                <w:rFonts w:eastAsia="Calibri"/>
                <w:color w:val="000000"/>
                <w:lang w:eastAsia="en-US"/>
              </w:rPr>
              <w:t xml:space="preserve">proposal to forecast </w:t>
            </w:r>
            <w:r w:rsidRPr="002056FA">
              <w:rPr>
                <w:rFonts w:eastAsia="Calibri"/>
                <w:iCs/>
                <w:color w:val="000000"/>
                <w:lang w:eastAsia="en-US"/>
              </w:rPr>
              <w:t xml:space="preserve">standard control services opex </w:t>
            </w:r>
            <w:r w:rsidRPr="002056FA">
              <w:rPr>
                <w:rFonts w:eastAsia="Calibri"/>
                <w:color w:val="000000"/>
                <w:lang w:eastAsia="en-US"/>
              </w:rPr>
              <w:t xml:space="preserve">by </w:t>
            </w:r>
            <w:r w:rsidRPr="002056FA">
              <w:rPr>
                <w:rFonts w:eastAsia="Calibri"/>
                <w:iCs/>
                <w:color w:val="000000"/>
                <w:lang w:eastAsia="en-US"/>
              </w:rPr>
              <w:t xml:space="preserve">opex </w:t>
            </w:r>
            <w:r w:rsidRPr="002056FA">
              <w:rPr>
                <w:rFonts w:eastAsia="Calibri"/>
                <w:color w:val="000000"/>
                <w:lang w:eastAsia="en-US"/>
              </w:rPr>
              <w:t xml:space="preserve">driver in </w:t>
            </w:r>
            <w:r w:rsidRPr="002056FA">
              <w:rPr>
                <w:rFonts w:eastAsia="Calibri"/>
                <w:iCs/>
                <w:color w:val="000000"/>
                <w:lang w:eastAsia="en-US"/>
              </w:rPr>
              <w:t xml:space="preserve">Workbook 1 – regulatory determination, regulatory template 2.16, </w:t>
            </w:r>
            <w:r w:rsidRPr="002056FA">
              <w:rPr>
                <w:rFonts w:eastAsia="Calibri"/>
                <w:color w:val="000000"/>
                <w:lang w:eastAsia="en-US"/>
              </w:rPr>
              <w:t xml:space="preserve">tables 2.16.1 and 2.16.3; </w:t>
            </w:r>
          </w:p>
        </w:tc>
        <w:tc>
          <w:tcPr>
            <w:tcW w:w="0" w:type="auto"/>
            <w:shd w:val="clear" w:color="auto" w:fill="auto"/>
          </w:tcPr>
          <w:p w14:paraId="26D1E27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This is set out in Microsoft Excel form in the following models:</w:t>
            </w:r>
          </w:p>
          <w:p w14:paraId="5CEA6E82" w14:textId="77777777" w:rsidR="009F2CDD" w:rsidRPr="002056FA" w:rsidRDefault="009F2CDD" w:rsidP="00E169B4">
            <w:pPr>
              <w:pStyle w:val="Bullet1"/>
              <w:rPr>
                <w:sz w:val="20"/>
                <w:szCs w:val="20"/>
              </w:rPr>
            </w:pPr>
            <w:r>
              <w:rPr>
                <w:sz w:val="20"/>
                <w:szCs w:val="20"/>
              </w:rPr>
              <w:t>Reset RIN Population Model</w:t>
            </w:r>
            <w:r w:rsidRPr="002056FA">
              <w:rPr>
                <w:sz w:val="20"/>
                <w:szCs w:val="20"/>
              </w:rPr>
              <w:t xml:space="preserve"> </w:t>
            </w:r>
            <w:r w:rsidRPr="0071681F">
              <w:rPr>
                <w:sz w:val="20"/>
                <w:szCs w:val="20"/>
              </w:rPr>
              <w:t>- (Attachment 17.06</w:t>
            </w:r>
            <w:r>
              <w:rPr>
                <w:sz w:val="20"/>
                <w:szCs w:val="20"/>
              </w:rPr>
              <w:t>5</w:t>
            </w:r>
            <w:r w:rsidRPr="0071681F">
              <w:rPr>
                <w:sz w:val="20"/>
                <w:szCs w:val="20"/>
              </w:rPr>
              <w:t>)</w:t>
            </w:r>
            <w:r>
              <w:rPr>
                <w:sz w:val="20"/>
                <w:szCs w:val="20"/>
              </w:rPr>
              <w:t>,</w:t>
            </w:r>
            <w:r w:rsidRPr="0071681F">
              <w:rPr>
                <w:sz w:val="20"/>
                <w:szCs w:val="20"/>
              </w:rPr>
              <w:t xml:space="preserve"> and</w:t>
            </w:r>
          </w:p>
          <w:p w14:paraId="289E6BA9" w14:textId="77777777" w:rsidR="009F2CDD" w:rsidRPr="0071681F" w:rsidRDefault="009F2CDD" w:rsidP="00E169B4">
            <w:pPr>
              <w:pStyle w:val="Bullet1"/>
              <w:rPr>
                <w:sz w:val="20"/>
                <w:szCs w:val="20"/>
              </w:rPr>
            </w:pPr>
            <w:r>
              <w:rPr>
                <w:sz w:val="20"/>
                <w:szCs w:val="20"/>
              </w:rPr>
              <w:t>Opex forecast – SCS model</w:t>
            </w:r>
            <w:r w:rsidRPr="002056FA">
              <w:rPr>
                <w:sz w:val="20"/>
                <w:szCs w:val="20"/>
              </w:rPr>
              <w:t xml:space="preserve"> </w:t>
            </w:r>
            <w:r w:rsidRPr="0071681F">
              <w:rPr>
                <w:sz w:val="20"/>
                <w:szCs w:val="20"/>
              </w:rPr>
              <w:t>(Attachment 6.007).</w:t>
            </w:r>
          </w:p>
          <w:p w14:paraId="60950497" w14:textId="77777777" w:rsidR="009F2CDD" w:rsidRPr="002056FA" w:rsidRDefault="009F2CDD" w:rsidP="00E169B4">
            <w:pPr>
              <w:pStyle w:val="TableCopy"/>
              <w:rPr>
                <w:rFonts w:eastAsia="Calibri"/>
                <w:color w:val="000000"/>
                <w:lang w:eastAsia="en-US"/>
              </w:rPr>
            </w:pPr>
          </w:p>
        </w:tc>
      </w:tr>
      <w:tr w:rsidR="009F2CDD" w:rsidRPr="002056FA" w14:paraId="705DB018" w14:textId="77777777" w:rsidTr="00E169B4">
        <w:tc>
          <w:tcPr>
            <w:tcW w:w="0" w:type="auto"/>
            <w:shd w:val="clear" w:color="auto" w:fill="auto"/>
          </w:tcPr>
          <w:p w14:paraId="1199432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10.3(b) </w:t>
            </w:r>
          </w:p>
        </w:tc>
        <w:tc>
          <w:tcPr>
            <w:tcW w:w="0" w:type="auto"/>
            <w:shd w:val="clear" w:color="auto" w:fill="auto"/>
          </w:tcPr>
          <w:p w14:paraId="3FB1641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w:t>
            </w:r>
            <w:r w:rsidRPr="002056FA">
              <w:rPr>
                <w:rFonts w:eastAsia="Calibri"/>
                <w:iCs/>
                <w:color w:val="000000"/>
                <w:lang w:eastAsia="en-US"/>
              </w:rPr>
              <w:t xml:space="preserve">base year Energex </w:t>
            </w:r>
            <w:r w:rsidRPr="002056FA">
              <w:rPr>
                <w:rFonts w:eastAsia="Calibri"/>
                <w:color w:val="000000"/>
                <w:lang w:eastAsia="en-US"/>
              </w:rPr>
              <w:t xml:space="preserve">used; and </w:t>
            </w:r>
          </w:p>
        </w:tc>
        <w:tc>
          <w:tcPr>
            <w:tcW w:w="0" w:type="auto"/>
            <w:shd w:val="clear" w:color="auto" w:fill="auto"/>
          </w:tcPr>
          <w:p w14:paraId="1359A00C" w14:textId="77777777" w:rsidR="009F2CDD" w:rsidRPr="002056FA" w:rsidRDefault="009F2CDD" w:rsidP="00E169B4">
            <w:pPr>
              <w:pStyle w:val="TableCopy"/>
              <w:rPr>
                <w:rFonts w:eastAsia="Calibri"/>
                <w:color w:val="548DD4"/>
                <w:lang w:eastAsia="en-US"/>
              </w:rPr>
            </w:pPr>
            <w:r w:rsidRPr="002056FA">
              <w:rPr>
                <w:rFonts w:eastAsia="Calibri"/>
                <w:lang w:eastAsia="en-US"/>
              </w:rPr>
              <w:t xml:space="preserve">As noted in chapter </w:t>
            </w:r>
            <w:r>
              <w:rPr>
                <w:rFonts w:eastAsia="Calibri"/>
                <w:lang w:eastAsia="en-US"/>
              </w:rPr>
              <w:t>6</w:t>
            </w:r>
            <w:r w:rsidRPr="002056FA">
              <w:rPr>
                <w:rFonts w:eastAsia="Calibri"/>
                <w:lang w:eastAsia="en-US"/>
              </w:rPr>
              <w:t xml:space="preserve"> of Energex’s Regulatory Proposal, and </w:t>
            </w:r>
            <w:r w:rsidRPr="00E45382">
              <w:rPr>
                <w:rFonts w:eastAsia="Calibri"/>
                <w:lang w:eastAsia="en-US"/>
              </w:rPr>
              <w:t xml:space="preserve">‘Base Year Opex </w:t>
            </w:r>
            <w:r w:rsidRPr="000979B4">
              <w:rPr>
                <w:rFonts w:eastAsia="Calibri"/>
                <w:lang w:eastAsia="en-US"/>
              </w:rPr>
              <w:t xml:space="preserve">Overview’ (Attachment </w:t>
            </w:r>
            <w:r>
              <w:rPr>
                <w:rFonts w:eastAsia="Calibri"/>
                <w:lang w:eastAsia="en-US"/>
              </w:rPr>
              <w:t>6.003</w:t>
            </w:r>
            <w:r w:rsidRPr="000979B4">
              <w:rPr>
                <w:rFonts w:eastAsia="Calibri"/>
                <w:lang w:eastAsia="en-US"/>
              </w:rPr>
              <w:t>),</w:t>
            </w:r>
            <w:r w:rsidRPr="002056FA">
              <w:rPr>
                <w:rFonts w:eastAsia="Calibri"/>
                <w:lang w:eastAsia="en-US"/>
              </w:rPr>
              <w:t xml:space="preserve"> Energex </w:t>
            </w:r>
            <w:r>
              <w:rPr>
                <w:rFonts w:eastAsia="Calibri"/>
                <w:lang w:eastAsia="en-US"/>
              </w:rPr>
              <w:t>has</w:t>
            </w:r>
            <w:r w:rsidRPr="002056FA">
              <w:rPr>
                <w:rFonts w:eastAsia="Calibri"/>
                <w:lang w:eastAsia="en-US"/>
              </w:rPr>
              <w:t xml:space="preserve"> used 2018-19 as the base year for forecasting opex in </w:t>
            </w:r>
            <w:r>
              <w:rPr>
                <w:rFonts w:eastAsia="Calibri"/>
                <w:lang w:eastAsia="en-US"/>
              </w:rPr>
              <w:t>our Regulatory P</w:t>
            </w:r>
            <w:r w:rsidRPr="002056FA">
              <w:rPr>
                <w:rFonts w:eastAsia="Calibri"/>
                <w:lang w:eastAsia="en-US"/>
              </w:rPr>
              <w:t xml:space="preserve">roposal.  </w:t>
            </w:r>
          </w:p>
        </w:tc>
      </w:tr>
      <w:tr w:rsidR="009F2CDD" w:rsidRPr="002056FA" w14:paraId="3987AC68" w14:textId="77777777" w:rsidTr="00E169B4">
        <w:tc>
          <w:tcPr>
            <w:tcW w:w="0" w:type="auto"/>
            <w:tcBorders>
              <w:bottom w:val="single" w:sz="4" w:space="0" w:color="auto"/>
            </w:tcBorders>
            <w:shd w:val="clear" w:color="auto" w:fill="auto"/>
          </w:tcPr>
          <w:p w14:paraId="55396A5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10.3(c) </w:t>
            </w:r>
          </w:p>
        </w:tc>
        <w:tc>
          <w:tcPr>
            <w:tcW w:w="0" w:type="auto"/>
            <w:tcBorders>
              <w:bottom w:val="single" w:sz="4" w:space="0" w:color="auto"/>
            </w:tcBorders>
            <w:shd w:val="clear" w:color="auto" w:fill="auto"/>
          </w:tcPr>
          <w:p w14:paraId="16B1CC4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explanation and justification for why that </w:t>
            </w:r>
            <w:r w:rsidRPr="002056FA">
              <w:rPr>
                <w:rFonts w:eastAsia="Calibri"/>
                <w:iCs/>
                <w:color w:val="000000"/>
                <w:lang w:eastAsia="en-US"/>
              </w:rPr>
              <w:t xml:space="preserve">base year </w:t>
            </w:r>
            <w:r w:rsidRPr="002056FA">
              <w:rPr>
                <w:rFonts w:eastAsia="Calibri"/>
                <w:color w:val="000000"/>
                <w:lang w:eastAsia="en-US"/>
              </w:rPr>
              <w:t xml:space="preserve">represents efficient and recurrent costs. </w:t>
            </w:r>
          </w:p>
        </w:tc>
        <w:tc>
          <w:tcPr>
            <w:tcW w:w="0" w:type="auto"/>
            <w:tcBorders>
              <w:bottom w:val="single" w:sz="4" w:space="0" w:color="auto"/>
            </w:tcBorders>
            <w:shd w:val="clear" w:color="auto" w:fill="auto"/>
          </w:tcPr>
          <w:p w14:paraId="3DF566A7" w14:textId="77777777" w:rsidR="009F2CDD" w:rsidRPr="002056FA" w:rsidRDefault="009F2CDD" w:rsidP="00E169B4">
            <w:pPr>
              <w:pStyle w:val="TableCopy"/>
              <w:rPr>
                <w:rFonts w:eastAsia="Calibri"/>
                <w:lang w:eastAsia="en-US"/>
              </w:rPr>
            </w:pPr>
            <w:r w:rsidRPr="002056FA">
              <w:rPr>
                <w:rFonts w:eastAsia="Calibri"/>
                <w:lang w:eastAsia="en-US"/>
              </w:rPr>
              <w:t xml:space="preserve">Energex </w:t>
            </w:r>
            <w:r>
              <w:rPr>
                <w:rFonts w:eastAsia="Calibri"/>
                <w:lang w:eastAsia="en-US"/>
              </w:rPr>
              <w:t>has</w:t>
            </w:r>
            <w:r w:rsidRPr="002056FA">
              <w:rPr>
                <w:rFonts w:eastAsia="Calibri"/>
                <w:lang w:eastAsia="en-US"/>
              </w:rPr>
              <w:t xml:space="preserve"> explained and justified this base year in chapter </w:t>
            </w:r>
            <w:r>
              <w:rPr>
                <w:rFonts w:eastAsia="Calibri"/>
                <w:lang w:eastAsia="en-US"/>
              </w:rPr>
              <w:t>6</w:t>
            </w:r>
            <w:r w:rsidRPr="002056FA">
              <w:rPr>
                <w:rFonts w:eastAsia="Calibri"/>
                <w:lang w:eastAsia="en-US"/>
              </w:rPr>
              <w:t xml:space="preserve"> of our Regu</w:t>
            </w:r>
            <w:r>
              <w:rPr>
                <w:rFonts w:eastAsia="Calibri"/>
                <w:lang w:eastAsia="en-US"/>
              </w:rPr>
              <w:t xml:space="preserve">latory </w:t>
            </w:r>
            <w:r w:rsidRPr="000979B4">
              <w:rPr>
                <w:rFonts w:eastAsia="Calibri"/>
                <w:lang w:eastAsia="en-US"/>
              </w:rPr>
              <w:t>Proposal document and in the ‘Base Year Opex Overview’ document (A</w:t>
            </w:r>
            <w:r>
              <w:rPr>
                <w:rFonts w:eastAsia="Calibri"/>
                <w:lang w:eastAsia="en-US"/>
              </w:rPr>
              <w:t>ttachment 6.003</w:t>
            </w:r>
            <w:r w:rsidRPr="000979B4">
              <w:rPr>
                <w:rFonts w:eastAsia="Calibri"/>
                <w:lang w:eastAsia="en-US"/>
              </w:rPr>
              <w:t>). In</w:t>
            </w:r>
            <w:r w:rsidRPr="002056FA">
              <w:rPr>
                <w:rFonts w:eastAsia="Calibri"/>
                <w:lang w:eastAsia="en-US"/>
              </w:rPr>
              <w:t xml:space="preserve"> summary, 2018-19 was selected as a base year because it:</w:t>
            </w:r>
          </w:p>
          <w:p w14:paraId="0A6FDF60" w14:textId="77777777" w:rsidR="009F2CDD" w:rsidRPr="002056FA" w:rsidRDefault="009F2CDD" w:rsidP="00E169B4">
            <w:pPr>
              <w:pStyle w:val="Bullet1"/>
              <w:rPr>
                <w:sz w:val="20"/>
                <w:szCs w:val="20"/>
              </w:rPr>
            </w:pPr>
            <w:r w:rsidRPr="002056FA">
              <w:rPr>
                <w:sz w:val="20"/>
                <w:szCs w:val="20"/>
              </w:rPr>
              <w:t xml:space="preserve">Will be the most recent full regulatory year of actual reported expenditure at the time the AER will make its final determination on our Regulatory Proposal </w:t>
            </w:r>
          </w:p>
          <w:p w14:paraId="00D91D07" w14:textId="77777777" w:rsidR="009F2CDD" w:rsidRPr="002056FA" w:rsidRDefault="009F2CDD" w:rsidP="00E169B4">
            <w:pPr>
              <w:pStyle w:val="Bullet1"/>
              <w:rPr>
                <w:sz w:val="20"/>
                <w:szCs w:val="20"/>
              </w:rPr>
            </w:pPr>
            <w:r w:rsidRPr="002056FA">
              <w:rPr>
                <w:sz w:val="20"/>
                <w:szCs w:val="20"/>
              </w:rPr>
              <w:t>Is the first year where our operations – and associated costs – largely reflect a harmonised approach following the establishment of Energy Queensland and the joint management of Energex and Ergon Energy</w:t>
            </w:r>
          </w:p>
          <w:p w14:paraId="243B3D08" w14:textId="77777777" w:rsidR="009F2CDD" w:rsidRPr="002056FA" w:rsidRDefault="009F2CDD" w:rsidP="00E169B4">
            <w:pPr>
              <w:pStyle w:val="Bullet1"/>
              <w:rPr>
                <w:sz w:val="20"/>
                <w:szCs w:val="20"/>
              </w:rPr>
            </w:pPr>
            <w:r w:rsidRPr="002056FA">
              <w:rPr>
                <w:sz w:val="20"/>
                <w:szCs w:val="20"/>
              </w:rPr>
              <w:t>Reflects the efficiencies that have been achieved in the current regulatory control period, noting that our actual opex has reduced over the current regulatory control period and is estimated to be below the AER’s allowance for the period</w:t>
            </w:r>
          </w:p>
          <w:p w14:paraId="0FA12B2F" w14:textId="77777777" w:rsidR="009F2CDD" w:rsidRPr="002056FA" w:rsidRDefault="009F2CDD" w:rsidP="00E169B4">
            <w:pPr>
              <w:pStyle w:val="Bullet1"/>
              <w:rPr>
                <w:sz w:val="20"/>
                <w:szCs w:val="20"/>
              </w:rPr>
            </w:pPr>
            <w:r w:rsidRPr="002056FA">
              <w:rPr>
                <w:sz w:val="20"/>
                <w:szCs w:val="20"/>
              </w:rPr>
              <w:t xml:space="preserve">Is efficient when tested against the econometric models considered in the AER’s 2018 Annual </w:t>
            </w:r>
            <w:r>
              <w:rPr>
                <w:sz w:val="20"/>
                <w:szCs w:val="20"/>
              </w:rPr>
              <w:t>B</w:t>
            </w:r>
            <w:r w:rsidRPr="002056FA">
              <w:rPr>
                <w:sz w:val="20"/>
                <w:szCs w:val="20"/>
              </w:rPr>
              <w:t xml:space="preserve">enchmarking </w:t>
            </w:r>
            <w:r>
              <w:rPr>
                <w:sz w:val="20"/>
                <w:szCs w:val="20"/>
              </w:rPr>
              <w:t>R</w:t>
            </w:r>
            <w:r w:rsidRPr="002056FA">
              <w:rPr>
                <w:sz w:val="20"/>
                <w:szCs w:val="20"/>
              </w:rPr>
              <w:t>eport, and</w:t>
            </w:r>
          </w:p>
          <w:p w14:paraId="35026FCC" w14:textId="77777777" w:rsidR="009F2CDD" w:rsidRPr="002056FA" w:rsidRDefault="009F2CDD" w:rsidP="00E169B4">
            <w:pPr>
              <w:pStyle w:val="Bullet1"/>
            </w:pPr>
            <w:r w:rsidRPr="002056FA">
              <w:rPr>
                <w:sz w:val="20"/>
                <w:szCs w:val="20"/>
              </w:rPr>
              <w:t>Is consistent with applying the E</w:t>
            </w:r>
            <w:r>
              <w:rPr>
                <w:sz w:val="20"/>
                <w:szCs w:val="20"/>
              </w:rPr>
              <w:t xml:space="preserve">fficiency </w:t>
            </w:r>
            <w:r w:rsidRPr="002056FA">
              <w:rPr>
                <w:sz w:val="20"/>
                <w:szCs w:val="20"/>
              </w:rPr>
              <w:t>B</w:t>
            </w:r>
            <w:r>
              <w:rPr>
                <w:sz w:val="20"/>
                <w:szCs w:val="20"/>
              </w:rPr>
              <w:t xml:space="preserve">enefit </w:t>
            </w:r>
            <w:r w:rsidRPr="002056FA">
              <w:rPr>
                <w:sz w:val="20"/>
                <w:szCs w:val="20"/>
              </w:rPr>
              <w:t>S</w:t>
            </w:r>
            <w:r>
              <w:rPr>
                <w:sz w:val="20"/>
                <w:szCs w:val="20"/>
              </w:rPr>
              <w:t xml:space="preserve">haring </w:t>
            </w:r>
            <w:r w:rsidRPr="002056FA">
              <w:rPr>
                <w:sz w:val="20"/>
                <w:szCs w:val="20"/>
              </w:rPr>
              <w:t>S</w:t>
            </w:r>
            <w:r>
              <w:rPr>
                <w:sz w:val="20"/>
                <w:szCs w:val="20"/>
              </w:rPr>
              <w:t>cheme</w:t>
            </w:r>
            <w:r w:rsidRPr="002056FA">
              <w:rPr>
                <w:sz w:val="20"/>
                <w:szCs w:val="20"/>
              </w:rPr>
              <w:t xml:space="preserve"> for the 2020-25 regulatory control period.</w:t>
            </w:r>
          </w:p>
        </w:tc>
      </w:tr>
      <w:tr w:rsidR="009F2CDD" w:rsidRPr="002056FA" w14:paraId="247DF535" w14:textId="77777777" w:rsidTr="00E169B4">
        <w:tc>
          <w:tcPr>
            <w:tcW w:w="0" w:type="auto"/>
            <w:shd w:val="clear" w:color="auto" w:fill="D0CECE" w:themeFill="background2" w:themeFillShade="E6"/>
          </w:tcPr>
          <w:p w14:paraId="24EDD1F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10.4 </w:t>
            </w:r>
          </w:p>
        </w:tc>
        <w:tc>
          <w:tcPr>
            <w:tcW w:w="0" w:type="auto"/>
            <w:shd w:val="clear" w:color="auto" w:fill="D0CECE" w:themeFill="background2" w:themeFillShade="E6"/>
          </w:tcPr>
          <w:p w14:paraId="529C80C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If </w:t>
            </w:r>
            <w:r w:rsidRPr="002056FA">
              <w:rPr>
                <w:rFonts w:eastAsia="Calibri"/>
                <w:iCs/>
                <w:color w:val="000000"/>
                <w:lang w:eastAsia="en-US"/>
              </w:rPr>
              <w:t xml:space="preserve">Energex </w:t>
            </w:r>
            <w:r w:rsidRPr="002056FA">
              <w:rPr>
                <w:rFonts w:eastAsia="Calibri"/>
                <w:color w:val="000000"/>
                <w:lang w:eastAsia="en-US"/>
              </w:rPr>
              <w:t xml:space="preserve">does not use a revealed cost base year approach to develop its total forecast provide: </w:t>
            </w:r>
          </w:p>
        </w:tc>
        <w:tc>
          <w:tcPr>
            <w:tcW w:w="0" w:type="auto"/>
            <w:shd w:val="clear" w:color="auto" w:fill="D0CECE" w:themeFill="background2" w:themeFillShade="E6"/>
          </w:tcPr>
          <w:p w14:paraId="5904B418" w14:textId="77777777" w:rsidR="009F2CDD" w:rsidRPr="002056FA" w:rsidRDefault="009F2CDD" w:rsidP="00E169B4">
            <w:pPr>
              <w:pStyle w:val="TableCopy"/>
              <w:rPr>
                <w:rFonts w:eastAsia="Calibri"/>
                <w:color w:val="000000"/>
                <w:lang w:eastAsia="en-US"/>
              </w:rPr>
            </w:pPr>
          </w:p>
        </w:tc>
      </w:tr>
      <w:tr w:rsidR="009F2CDD" w:rsidRPr="002056FA" w14:paraId="24BC1871" w14:textId="77777777" w:rsidTr="00E169B4">
        <w:tc>
          <w:tcPr>
            <w:tcW w:w="0" w:type="auto"/>
            <w:shd w:val="clear" w:color="auto" w:fill="auto"/>
          </w:tcPr>
          <w:p w14:paraId="0F34A8B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10.4(a)</w:t>
            </w:r>
          </w:p>
        </w:tc>
        <w:tc>
          <w:tcPr>
            <w:tcW w:w="0" w:type="auto"/>
            <w:shd w:val="clear" w:color="auto" w:fill="auto"/>
          </w:tcPr>
          <w:p w14:paraId="7239C36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forecast expenditure by opex category in Workbook 1 – Regulatory determination, regulatory template 2.16 for standard control services opex and dual function asset opex in tables 2.16.2 and 2.16.4;</w:t>
            </w:r>
          </w:p>
        </w:tc>
        <w:tc>
          <w:tcPr>
            <w:tcW w:w="0" w:type="auto"/>
            <w:shd w:val="clear" w:color="auto" w:fill="auto"/>
          </w:tcPr>
          <w:p w14:paraId="2D0B475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 has used a revealed cost base year approach as set out in </w:t>
            </w:r>
            <w:r w:rsidRPr="00E45382">
              <w:rPr>
                <w:rFonts w:eastAsia="Calibri"/>
                <w:color w:val="000000"/>
                <w:lang w:eastAsia="en-US"/>
              </w:rPr>
              <w:t xml:space="preserve">Chapter </w:t>
            </w:r>
            <w:r>
              <w:rPr>
                <w:rFonts w:eastAsia="Calibri"/>
                <w:color w:val="000000"/>
                <w:lang w:eastAsia="en-US"/>
              </w:rPr>
              <w:t>6 of our</w:t>
            </w:r>
            <w:r w:rsidRPr="002056FA">
              <w:rPr>
                <w:rFonts w:eastAsia="Calibri"/>
                <w:color w:val="000000"/>
                <w:lang w:eastAsia="en-US"/>
              </w:rPr>
              <w:t xml:space="preserve"> Regulatory Proposal. For this reason, Energex </w:t>
            </w:r>
            <w:r>
              <w:rPr>
                <w:rFonts w:eastAsia="Calibri"/>
                <w:color w:val="000000"/>
                <w:lang w:eastAsia="en-US"/>
              </w:rPr>
              <w:t>has</w:t>
            </w:r>
            <w:r w:rsidRPr="002056FA">
              <w:rPr>
                <w:rFonts w:eastAsia="Calibri"/>
                <w:color w:val="000000"/>
                <w:lang w:eastAsia="en-US"/>
              </w:rPr>
              <w:t xml:space="preserve"> not provided a response to this question. </w:t>
            </w:r>
          </w:p>
        </w:tc>
      </w:tr>
      <w:tr w:rsidR="009F2CDD" w:rsidRPr="002056FA" w14:paraId="69FA5730" w14:textId="77777777" w:rsidTr="00E169B4">
        <w:tc>
          <w:tcPr>
            <w:tcW w:w="0" w:type="auto"/>
            <w:shd w:val="clear" w:color="auto" w:fill="auto"/>
          </w:tcPr>
          <w:p w14:paraId="5F025FF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10.4(b) </w:t>
            </w:r>
          </w:p>
        </w:tc>
        <w:tc>
          <w:tcPr>
            <w:tcW w:w="0" w:type="auto"/>
            <w:shd w:val="clear" w:color="auto" w:fill="auto"/>
          </w:tcPr>
          <w:p w14:paraId="7929954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in Microsoft Excel format, clear reconciliation (including all calculations and formulae) of </w:t>
            </w:r>
            <w:r w:rsidRPr="002056FA">
              <w:rPr>
                <w:rFonts w:eastAsia="Calibri"/>
                <w:iCs/>
                <w:color w:val="000000"/>
                <w:lang w:eastAsia="en-US"/>
              </w:rPr>
              <w:t xml:space="preserve">Energex </w:t>
            </w:r>
            <w:r w:rsidRPr="002056FA">
              <w:rPr>
                <w:rFonts w:eastAsia="Calibri"/>
                <w:color w:val="000000"/>
                <w:lang w:eastAsia="en-US"/>
              </w:rPr>
              <w:t xml:space="preserve">’s total forecast </w:t>
            </w:r>
            <w:r w:rsidRPr="002056FA">
              <w:rPr>
                <w:rFonts w:eastAsia="Calibri"/>
                <w:iCs/>
                <w:color w:val="000000"/>
                <w:lang w:eastAsia="en-US"/>
              </w:rPr>
              <w:t xml:space="preserve">opex </w:t>
            </w:r>
            <w:r w:rsidRPr="002056FA">
              <w:rPr>
                <w:rFonts w:eastAsia="Calibri"/>
                <w:color w:val="000000"/>
                <w:lang w:eastAsia="en-US"/>
              </w:rPr>
              <w:t xml:space="preserve">proposal to forecast </w:t>
            </w:r>
            <w:r w:rsidRPr="002056FA">
              <w:rPr>
                <w:rFonts w:eastAsia="Calibri"/>
                <w:iCs/>
                <w:color w:val="000000"/>
                <w:lang w:eastAsia="en-US"/>
              </w:rPr>
              <w:t xml:space="preserve">standard control services opex </w:t>
            </w:r>
            <w:r w:rsidRPr="002056FA">
              <w:rPr>
                <w:rFonts w:eastAsia="Calibri"/>
                <w:color w:val="000000"/>
                <w:lang w:eastAsia="en-US"/>
              </w:rPr>
              <w:t xml:space="preserve">by </w:t>
            </w:r>
            <w:r w:rsidRPr="002056FA">
              <w:rPr>
                <w:rFonts w:eastAsia="Calibri"/>
                <w:iCs/>
                <w:color w:val="000000"/>
                <w:lang w:eastAsia="en-US"/>
              </w:rPr>
              <w:t xml:space="preserve">opex category </w:t>
            </w:r>
            <w:r w:rsidRPr="002056FA">
              <w:rPr>
                <w:rFonts w:eastAsia="Calibri"/>
                <w:color w:val="000000"/>
                <w:lang w:eastAsia="en-US"/>
              </w:rPr>
              <w:t xml:space="preserve">in </w:t>
            </w:r>
            <w:r w:rsidRPr="002056FA">
              <w:rPr>
                <w:rFonts w:eastAsia="Calibri"/>
                <w:iCs/>
                <w:color w:val="000000"/>
                <w:lang w:eastAsia="en-US"/>
              </w:rPr>
              <w:t xml:space="preserve">Workbook 1 – regulatory determination, regulatory template 2.16, </w:t>
            </w:r>
            <w:r w:rsidRPr="002056FA">
              <w:rPr>
                <w:rFonts w:eastAsia="Calibri"/>
                <w:color w:val="000000"/>
                <w:lang w:eastAsia="en-US"/>
              </w:rPr>
              <w:t xml:space="preserve">table 2.16.2 and 2.16.4; </w:t>
            </w:r>
          </w:p>
        </w:tc>
        <w:tc>
          <w:tcPr>
            <w:tcW w:w="0" w:type="auto"/>
            <w:shd w:val="clear" w:color="auto" w:fill="auto"/>
          </w:tcPr>
          <w:p w14:paraId="4B507DE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response to 10.4(a), noting Energex has used a revealed base year cost. </w:t>
            </w:r>
          </w:p>
        </w:tc>
      </w:tr>
      <w:tr w:rsidR="009F2CDD" w:rsidRPr="002056FA" w14:paraId="364B419B" w14:textId="77777777" w:rsidTr="00E169B4">
        <w:tc>
          <w:tcPr>
            <w:tcW w:w="0" w:type="auto"/>
            <w:tcBorders>
              <w:bottom w:val="single" w:sz="4" w:space="0" w:color="auto"/>
            </w:tcBorders>
            <w:shd w:val="clear" w:color="auto" w:fill="auto"/>
          </w:tcPr>
          <w:p w14:paraId="43EFB19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10.4(c) </w:t>
            </w:r>
          </w:p>
        </w:tc>
        <w:tc>
          <w:tcPr>
            <w:tcW w:w="0" w:type="auto"/>
            <w:tcBorders>
              <w:bottom w:val="single" w:sz="4" w:space="0" w:color="auto"/>
            </w:tcBorders>
            <w:shd w:val="clear" w:color="auto" w:fill="auto"/>
          </w:tcPr>
          <w:p w14:paraId="5D7CCFE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explanation of major drivers for the increases and decreases in expenditure by </w:t>
            </w:r>
            <w:r w:rsidRPr="002056FA">
              <w:rPr>
                <w:rFonts w:eastAsia="Calibri"/>
                <w:iCs/>
                <w:color w:val="000000"/>
                <w:lang w:eastAsia="en-US"/>
              </w:rPr>
              <w:t xml:space="preserve">opex category </w:t>
            </w:r>
            <w:r w:rsidRPr="002056FA">
              <w:rPr>
                <w:rFonts w:eastAsia="Calibri"/>
                <w:color w:val="000000"/>
                <w:lang w:eastAsia="en-US"/>
              </w:rPr>
              <w:t xml:space="preserve">in the </w:t>
            </w:r>
            <w:r w:rsidRPr="002056FA">
              <w:rPr>
                <w:rFonts w:eastAsia="Calibri"/>
                <w:iCs/>
                <w:color w:val="000000"/>
                <w:lang w:eastAsia="en-US"/>
              </w:rPr>
              <w:t xml:space="preserve">forthcoming regulatory control period </w:t>
            </w:r>
            <w:r w:rsidRPr="002056FA">
              <w:rPr>
                <w:rFonts w:eastAsia="Calibri"/>
                <w:color w:val="000000"/>
                <w:lang w:eastAsia="en-US"/>
              </w:rPr>
              <w:t xml:space="preserve">compared to actual historical expenditure; </w:t>
            </w:r>
          </w:p>
        </w:tc>
        <w:tc>
          <w:tcPr>
            <w:tcW w:w="0" w:type="auto"/>
            <w:tcBorders>
              <w:bottom w:val="single" w:sz="4" w:space="0" w:color="auto"/>
            </w:tcBorders>
            <w:shd w:val="clear" w:color="auto" w:fill="auto"/>
          </w:tcPr>
          <w:p w14:paraId="1841FB1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response to 10.4(a), noting Energex has used a revealed base year cost. </w:t>
            </w:r>
          </w:p>
        </w:tc>
      </w:tr>
      <w:tr w:rsidR="009F2CDD" w:rsidRPr="002056FA" w14:paraId="29A7C802" w14:textId="77777777" w:rsidTr="00E169B4">
        <w:tc>
          <w:tcPr>
            <w:tcW w:w="0" w:type="auto"/>
            <w:shd w:val="clear" w:color="auto" w:fill="D0CECE" w:themeFill="background2" w:themeFillShade="E6"/>
          </w:tcPr>
          <w:p w14:paraId="0020A86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10.4(d) </w:t>
            </w:r>
          </w:p>
        </w:tc>
        <w:tc>
          <w:tcPr>
            <w:tcW w:w="0" w:type="auto"/>
            <w:shd w:val="clear" w:color="auto" w:fill="D0CECE" w:themeFill="background2" w:themeFillShade="E6"/>
          </w:tcPr>
          <w:p w14:paraId="7FE87F9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explanation and justification for: </w:t>
            </w:r>
          </w:p>
        </w:tc>
        <w:tc>
          <w:tcPr>
            <w:tcW w:w="0" w:type="auto"/>
            <w:shd w:val="clear" w:color="auto" w:fill="D0CECE" w:themeFill="background2" w:themeFillShade="E6"/>
          </w:tcPr>
          <w:p w14:paraId="15744C82" w14:textId="77777777" w:rsidR="009F2CDD" w:rsidRPr="002056FA" w:rsidRDefault="009F2CDD" w:rsidP="00E169B4">
            <w:pPr>
              <w:pStyle w:val="TableCopy"/>
              <w:rPr>
                <w:rFonts w:eastAsia="Calibri"/>
                <w:color w:val="000000"/>
                <w:lang w:eastAsia="en-US"/>
              </w:rPr>
            </w:pPr>
          </w:p>
        </w:tc>
      </w:tr>
      <w:tr w:rsidR="009F2CDD" w:rsidRPr="002056FA" w14:paraId="46C0EE5E" w14:textId="77777777" w:rsidTr="00E169B4">
        <w:tc>
          <w:tcPr>
            <w:tcW w:w="0" w:type="auto"/>
            <w:shd w:val="clear" w:color="auto" w:fill="auto"/>
          </w:tcPr>
          <w:p w14:paraId="24B0B1B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10.4(d)(i) </w:t>
            </w:r>
          </w:p>
        </w:tc>
        <w:tc>
          <w:tcPr>
            <w:tcW w:w="0" w:type="auto"/>
            <w:shd w:val="clear" w:color="auto" w:fill="auto"/>
          </w:tcPr>
          <w:p w14:paraId="299EB42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whether </w:t>
            </w:r>
            <w:r w:rsidRPr="002056FA">
              <w:rPr>
                <w:rFonts w:eastAsia="Calibri"/>
                <w:iCs/>
                <w:color w:val="000000"/>
                <w:lang w:eastAsia="en-US"/>
              </w:rPr>
              <w:t xml:space="preserve">Energex </w:t>
            </w:r>
            <w:r w:rsidRPr="002056FA">
              <w:rPr>
                <w:rFonts w:eastAsia="Calibri"/>
                <w:color w:val="000000"/>
                <w:lang w:eastAsia="en-US"/>
              </w:rPr>
              <w:t xml:space="preserve">considers there is a year of historic </w:t>
            </w:r>
            <w:r w:rsidRPr="002056FA">
              <w:rPr>
                <w:rFonts w:eastAsia="Calibri"/>
                <w:iCs/>
                <w:color w:val="000000"/>
                <w:lang w:eastAsia="en-US"/>
              </w:rPr>
              <w:t xml:space="preserve">opex </w:t>
            </w:r>
            <w:r w:rsidRPr="002056FA">
              <w:rPr>
                <w:rFonts w:eastAsia="Calibri"/>
                <w:color w:val="000000"/>
                <w:lang w:eastAsia="en-US"/>
              </w:rPr>
              <w:t xml:space="preserve">that represents efficient and recurrent costs; or </w:t>
            </w:r>
          </w:p>
        </w:tc>
        <w:tc>
          <w:tcPr>
            <w:tcW w:w="0" w:type="auto"/>
            <w:shd w:val="clear" w:color="auto" w:fill="auto"/>
          </w:tcPr>
          <w:p w14:paraId="487189D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response to 10.4, noting Energex has used a revealed base year cost. </w:t>
            </w:r>
          </w:p>
        </w:tc>
      </w:tr>
      <w:tr w:rsidR="009F2CDD" w:rsidRPr="002056FA" w14:paraId="0B1FAEC8" w14:textId="77777777" w:rsidTr="00E169B4">
        <w:tc>
          <w:tcPr>
            <w:tcW w:w="0" w:type="auto"/>
            <w:tcBorders>
              <w:bottom w:val="single" w:sz="4" w:space="0" w:color="auto"/>
            </w:tcBorders>
            <w:shd w:val="clear" w:color="auto" w:fill="auto"/>
          </w:tcPr>
          <w:p w14:paraId="7285650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10.4(d)(ii) </w:t>
            </w:r>
          </w:p>
        </w:tc>
        <w:tc>
          <w:tcPr>
            <w:tcW w:w="0" w:type="auto"/>
            <w:tcBorders>
              <w:bottom w:val="single" w:sz="4" w:space="0" w:color="auto"/>
            </w:tcBorders>
            <w:shd w:val="clear" w:color="auto" w:fill="auto"/>
          </w:tcPr>
          <w:p w14:paraId="02810E4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why </w:t>
            </w:r>
            <w:r w:rsidRPr="002056FA">
              <w:rPr>
                <w:rFonts w:eastAsia="Calibri"/>
                <w:iCs/>
                <w:color w:val="000000"/>
                <w:lang w:eastAsia="en-US"/>
              </w:rPr>
              <w:t xml:space="preserve">Energex </w:t>
            </w:r>
            <w:r w:rsidRPr="002056FA">
              <w:rPr>
                <w:rFonts w:eastAsia="Calibri"/>
                <w:color w:val="000000"/>
                <w:lang w:eastAsia="en-US"/>
              </w:rPr>
              <w:t xml:space="preserve">considers no year of historic </w:t>
            </w:r>
            <w:r w:rsidRPr="002056FA">
              <w:rPr>
                <w:rFonts w:eastAsia="Calibri"/>
                <w:iCs/>
                <w:color w:val="000000"/>
                <w:lang w:eastAsia="en-US"/>
              </w:rPr>
              <w:t xml:space="preserve">opex </w:t>
            </w:r>
            <w:r w:rsidRPr="002056FA">
              <w:rPr>
                <w:rFonts w:eastAsia="Calibri"/>
                <w:color w:val="000000"/>
                <w:lang w:eastAsia="en-US"/>
              </w:rPr>
              <w:t xml:space="preserve">represents efficient and recurrent costs. </w:t>
            </w:r>
          </w:p>
        </w:tc>
        <w:tc>
          <w:tcPr>
            <w:tcW w:w="0" w:type="auto"/>
            <w:tcBorders>
              <w:bottom w:val="single" w:sz="4" w:space="0" w:color="auto"/>
            </w:tcBorders>
            <w:shd w:val="clear" w:color="auto" w:fill="auto"/>
          </w:tcPr>
          <w:p w14:paraId="2C0D090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response to 10.4, noting Energex has used a revealed base year cost. </w:t>
            </w:r>
          </w:p>
        </w:tc>
      </w:tr>
      <w:tr w:rsidR="009F2CDD" w:rsidRPr="002056FA" w14:paraId="59F94750" w14:textId="77777777" w:rsidTr="00E169B4">
        <w:tc>
          <w:tcPr>
            <w:tcW w:w="0" w:type="auto"/>
            <w:shd w:val="clear" w:color="auto" w:fill="D0CECE" w:themeFill="background2" w:themeFillShade="E6"/>
          </w:tcPr>
          <w:p w14:paraId="5980EE58" w14:textId="77777777" w:rsidR="009F2CDD" w:rsidRPr="002056FA" w:rsidRDefault="009F2CDD" w:rsidP="00E169B4">
            <w:pPr>
              <w:pStyle w:val="TableCopy"/>
              <w:rPr>
                <w:rFonts w:eastAsia="Calibri"/>
                <w:color w:val="000000"/>
                <w:lang w:eastAsia="en-US"/>
              </w:rPr>
            </w:pPr>
          </w:p>
        </w:tc>
        <w:tc>
          <w:tcPr>
            <w:tcW w:w="0" w:type="auto"/>
            <w:shd w:val="clear" w:color="auto" w:fill="D0CECE" w:themeFill="background2" w:themeFillShade="E6"/>
          </w:tcPr>
          <w:p w14:paraId="42448EF2"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Output growth</w:t>
            </w:r>
          </w:p>
        </w:tc>
        <w:tc>
          <w:tcPr>
            <w:tcW w:w="0" w:type="auto"/>
            <w:shd w:val="clear" w:color="auto" w:fill="D0CECE" w:themeFill="background2" w:themeFillShade="E6"/>
          </w:tcPr>
          <w:p w14:paraId="5B2C9FBF" w14:textId="77777777" w:rsidR="009F2CDD" w:rsidRPr="002056FA" w:rsidRDefault="009F2CDD" w:rsidP="00E169B4">
            <w:pPr>
              <w:pStyle w:val="TableCopy"/>
              <w:rPr>
                <w:rFonts w:eastAsia="Calibri"/>
                <w:color w:val="000000"/>
                <w:lang w:eastAsia="en-US"/>
              </w:rPr>
            </w:pPr>
          </w:p>
        </w:tc>
      </w:tr>
      <w:tr w:rsidR="009F2CDD" w:rsidRPr="002056FA" w14:paraId="7107FCC8" w14:textId="77777777" w:rsidTr="00E169B4">
        <w:tc>
          <w:tcPr>
            <w:tcW w:w="0" w:type="auto"/>
            <w:tcBorders>
              <w:bottom w:val="single" w:sz="4" w:space="0" w:color="auto"/>
            </w:tcBorders>
            <w:shd w:val="clear" w:color="auto" w:fill="auto"/>
          </w:tcPr>
          <w:p w14:paraId="4B31BB9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10.5</w:t>
            </w:r>
          </w:p>
        </w:tc>
        <w:tc>
          <w:tcPr>
            <w:tcW w:w="0" w:type="auto"/>
            <w:tcBorders>
              <w:bottom w:val="single" w:sz="4" w:space="0" w:color="auto"/>
            </w:tcBorders>
            <w:shd w:val="clear" w:color="auto" w:fill="auto"/>
          </w:tcPr>
          <w:p w14:paraId="4DF6E03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Provide the amount of total forecast opex attributable to output growth changes for standard control services opex and dual function assets opex in Workbook 1 – Regulatory determination, regulatory template 2.16, tables 2.16.1 and 2.16.3.  </w:t>
            </w:r>
          </w:p>
        </w:tc>
        <w:tc>
          <w:tcPr>
            <w:tcW w:w="0" w:type="auto"/>
            <w:tcBorders>
              <w:bottom w:val="single" w:sz="4" w:space="0" w:color="auto"/>
            </w:tcBorders>
            <w:shd w:val="clear" w:color="auto" w:fill="auto"/>
          </w:tcPr>
          <w:p w14:paraId="130516BF" w14:textId="77777777" w:rsidR="009F2CDD" w:rsidRPr="002056FA" w:rsidRDefault="009F2CDD" w:rsidP="00E169B4">
            <w:pPr>
              <w:pStyle w:val="TableCopy"/>
              <w:rPr>
                <w:rFonts w:eastAsia="Calibri"/>
                <w:lang w:eastAsia="en-US"/>
              </w:rPr>
            </w:pPr>
            <w:r w:rsidRPr="002056FA">
              <w:rPr>
                <w:rFonts w:eastAsia="Calibri"/>
                <w:lang w:eastAsia="en-US"/>
              </w:rPr>
              <w:t xml:space="preserve">Forecast output growth changes for SCS are provided in chapter </w:t>
            </w:r>
            <w:r>
              <w:rPr>
                <w:rFonts w:eastAsia="Calibri"/>
                <w:lang w:eastAsia="en-US"/>
              </w:rPr>
              <w:t>6</w:t>
            </w:r>
            <w:r w:rsidRPr="002056FA">
              <w:rPr>
                <w:rFonts w:eastAsia="Calibri"/>
                <w:lang w:eastAsia="en-US"/>
              </w:rPr>
              <w:t xml:space="preserve"> of Energex’s Regulatory Proposal.</w:t>
            </w:r>
          </w:p>
          <w:p w14:paraId="454652A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Template 2.16 has been completed in accordance with the AER’s instruc</w:t>
            </w:r>
            <w:r>
              <w:rPr>
                <w:rFonts w:eastAsia="Calibri"/>
                <w:color w:val="000000"/>
                <w:lang w:eastAsia="en-US"/>
              </w:rPr>
              <w:t>tions.</w:t>
            </w:r>
          </w:p>
          <w:p w14:paraId="203A20C6" w14:textId="37B8B0D1" w:rsidR="009F2CDD" w:rsidRPr="00E169B4" w:rsidRDefault="009F2CDD" w:rsidP="00E169B4">
            <w:pPr>
              <w:pStyle w:val="TableCopy"/>
              <w:rPr>
                <w:rFonts w:eastAsia="Calibri"/>
                <w:color w:val="000000"/>
                <w:lang w:eastAsia="en-US"/>
              </w:rPr>
            </w:pPr>
            <w:r w:rsidRPr="002056FA">
              <w:rPr>
                <w:rFonts w:eastAsia="Calibri"/>
                <w:color w:val="000000"/>
                <w:lang w:eastAsia="en-US"/>
              </w:rPr>
              <w:t>Ta</w:t>
            </w:r>
            <w:r>
              <w:rPr>
                <w:rFonts w:eastAsia="Calibri"/>
                <w:color w:val="000000"/>
                <w:lang w:eastAsia="en-US"/>
              </w:rPr>
              <w:t xml:space="preserve">ble 2.16.1 was populated using the ‘Reset RIN population </w:t>
            </w:r>
            <w:r w:rsidRPr="00054BD7">
              <w:rPr>
                <w:rFonts w:eastAsia="Calibri"/>
                <w:color w:val="000000"/>
                <w:lang w:eastAsia="en-US"/>
              </w:rPr>
              <w:t xml:space="preserve">model’ (Attachment </w:t>
            </w:r>
            <w:r>
              <w:rPr>
                <w:rFonts w:eastAsia="Calibri"/>
                <w:color w:val="000000"/>
                <w:lang w:eastAsia="en-US"/>
              </w:rPr>
              <w:t>17.065</w:t>
            </w:r>
            <w:r w:rsidRPr="00054BD7">
              <w:rPr>
                <w:rFonts w:eastAsia="Calibri"/>
                <w:color w:val="000000"/>
                <w:lang w:eastAsia="en-US"/>
              </w:rPr>
              <w:t>),</w:t>
            </w:r>
            <w:r w:rsidRPr="002056FA">
              <w:rPr>
                <w:rFonts w:eastAsia="Calibri"/>
                <w:color w:val="000000"/>
                <w:lang w:eastAsia="en-US"/>
              </w:rPr>
              <w:t xml:space="preserve"> which links to the </w:t>
            </w:r>
            <w:r>
              <w:rPr>
                <w:rFonts w:eastAsia="Calibri"/>
                <w:color w:val="000000"/>
                <w:lang w:eastAsia="en-US"/>
              </w:rPr>
              <w:t xml:space="preserve">Opex forecast – SCS </w:t>
            </w:r>
            <w:r w:rsidRPr="002056FA">
              <w:rPr>
                <w:rFonts w:eastAsia="Calibri"/>
                <w:color w:val="000000"/>
                <w:lang w:eastAsia="en-US"/>
              </w:rPr>
              <w:t>model</w:t>
            </w:r>
            <w:r>
              <w:rPr>
                <w:rFonts w:eastAsia="Calibri"/>
                <w:color w:val="000000"/>
                <w:lang w:eastAsia="en-US"/>
              </w:rPr>
              <w:t xml:space="preserve"> (Attachment 6.007)</w:t>
            </w:r>
            <w:r w:rsidRPr="002056FA">
              <w:rPr>
                <w:rFonts w:eastAsia="Calibri"/>
                <w:color w:val="000000"/>
                <w:lang w:eastAsia="en-US"/>
              </w:rPr>
              <w:t xml:space="preserve"> used to develop our output growth forecast</w:t>
            </w:r>
            <w:r>
              <w:rPr>
                <w:rFonts w:eastAsia="Calibri"/>
                <w:color w:val="000000"/>
                <w:lang w:eastAsia="en-US"/>
              </w:rPr>
              <w:t>.</w:t>
            </w:r>
          </w:p>
        </w:tc>
      </w:tr>
      <w:tr w:rsidR="009F2CDD" w:rsidRPr="002056FA" w14:paraId="06E7A2BC" w14:textId="77777777" w:rsidTr="00E169B4">
        <w:tc>
          <w:tcPr>
            <w:tcW w:w="0" w:type="auto"/>
            <w:shd w:val="clear" w:color="auto" w:fill="D0CECE" w:themeFill="background2" w:themeFillShade="E6"/>
          </w:tcPr>
          <w:p w14:paraId="5A796EF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10.6</w:t>
            </w:r>
          </w:p>
        </w:tc>
        <w:tc>
          <w:tcPr>
            <w:tcW w:w="0" w:type="auto"/>
            <w:shd w:val="clear" w:color="auto" w:fill="D0CECE" w:themeFill="background2" w:themeFillShade="E6"/>
          </w:tcPr>
          <w:p w14:paraId="7FA3636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w:t>
            </w:r>
          </w:p>
        </w:tc>
        <w:tc>
          <w:tcPr>
            <w:tcW w:w="0" w:type="auto"/>
            <w:shd w:val="clear" w:color="auto" w:fill="D0CECE" w:themeFill="background2" w:themeFillShade="E6"/>
          </w:tcPr>
          <w:p w14:paraId="3A2A6168" w14:textId="77777777" w:rsidR="009F2CDD" w:rsidRPr="002056FA" w:rsidRDefault="009F2CDD" w:rsidP="00E169B4">
            <w:pPr>
              <w:pStyle w:val="TableCopy"/>
              <w:rPr>
                <w:rFonts w:eastAsia="Calibri"/>
                <w:color w:val="000000"/>
                <w:lang w:eastAsia="en-US"/>
              </w:rPr>
            </w:pPr>
          </w:p>
        </w:tc>
      </w:tr>
      <w:tr w:rsidR="009F2CDD" w:rsidRPr="002056FA" w14:paraId="5681E42A" w14:textId="77777777" w:rsidTr="00E169B4">
        <w:tc>
          <w:tcPr>
            <w:tcW w:w="0" w:type="auto"/>
            <w:shd w:val="clear" w:color="auto" w:fill="auto"/>
          </w:tcPr>
          <w:p w14:paraId="7F5AB28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10.6(a) </w:t>
            </w:r>
          </w:p>
        </w:tc>
        <w:tc>
          <w:tcPr>
            <w:tcW w:w="0" w:type="auto"/>
            <w:shd w:val="clear" w:color="auto" w:fill="auto"/>
          </w:tcPr>
          <w:p w14:paraId="557EDF2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output growth drivers </w:t>
            </w:r>
            <w:r w:rsidRPr="002056FA">
              <w:rPr>
                <w:rFonts w:eastAsia="Calibri"/>
                <w:iCs/>
                <w:color w:val="000000"/>
                <w:lang w:eastAsia="en-US"/>
              </w:rPr>
              <w:t xml:space="preserve">Energex </w:t>
            </w:r>
            <w:r w:rsidRPr="002056FA">
              <w:rPr>
                <w:rFonts w:eastAsia="Calibri"/>
                <w:color w:val="000000"/>
                <w:lang w:eastAsia="en-US"/>
              </w:rPr>
              <w:t xml:space="preserve">used to develop the amount of total forecast </w:t>
            </w:r>
            <w:r w:rsidRPr="002056FA">
              <w:rPr>
                <w:rFonts w:eastAsia="Calibri"/>
                <w:iCs/>
                <w:color w:val="000000"/>
                <w:lang w:eastAsia="en-US"/>
              </w:rPr>
              <w:t xml:space="preserve">opex </w:t>
            </w:r>
            <w:r w:rsidRPr="002056FA">
              <w:rPr>
                <w:rFonts w:eastAsia="Calibri"/>
                <w:color w:val="000000"/>
                <w:lang w:eastAsia="en-US"/>
              </w:rPr>
              <w:t xml:space="preserve">attributable to output growth changes; </w:t>
            </w:r>
          </w:p>
        </w:tc>
        <w:tc>
          <w:tcPr>
            <w:tcW w:w="0" w:type="auto"/>
            <w:shd w:val="clear" w:color="auto" w:fill="auto"/>
          </w:tcPr>
          <w:p w14:paraId="7F437803" w14:textId="77777777" w:rsidR="009F2CDD" w:rsidRPr="002056FA" w:rsidRDefault="009F2CDD" w:rsidP="00E169B4">
            <w:pPr>
              <w:pStyle w:val="TableCopy"/>
              <w:rPr>
                <w:rFonts w:eastAsia="Calibri"/>
                <w:lang w:eastAsia="en-US"/>
              </w:rPr>
            </w:pPr>
            <w:r w:rsidRPr="002056FA">
              <w:rPr>
                <w:rFonts w:eastAsia="Calibri"/>
                <w:lang w:eastAsia="en-US"/>
              </w:rPr>
              <w:t>Customer numbers, circuit length, ratcheted maximum demand and energy throughput (consumption) drivers were used to forecast output growth.  Energex applied the four models used by the AER to determine the output change measures and their respective weightings based on the 2018 Annual Benchmarking Report. This is consistent with the method used by the AER in recent decisions for other distribution network service providers (DNSPs).</w:t>
            </w:r>
          </w:p>
          <w:p w14:paraId="5A6008AB" w14:textId="77777777" w:rsidR="009F2CDD" w:rsidRPr="002056FA" w:rsidRDefault="009F2CDD" w:rsidP="00E169B4">
            <w:pPr>
              <w:pStyle w:val="TableCopy"/>
              <w:rPr>
                <w:rFonts w:eastAsia="Calibri"/>
                <w:lang w:eastAsia="en-US"/>
              </w:rPr>
            </w:pPr>
            <w:r w:rsidRPr="002056FA">
              <w:rPr>
                <w:rFonts w:eastAsia="Calibri"/>
                <w:lang w:eastAsia="en-US"/>
              </w:rPr>
              <w:t>The drivers are combined in the following forecast opex models:</w:t>
            </w:r>
          </w:p>
          <w:p w14:paraId="31397272" w14:textId="77777777" w:rsidR="009F2CDD" w:rsidRPr="002056FA" w:rsidRDefault="009F2CDD" w:rsidP="00E169B4">
            <w:pPr>
              <w:pStyle w:val="Bullet1"/>
              <w:rPr>
                <w:sz w:val="20"/>
                <w:szCs w:val="20"/>
              </w:rPr>
            </w:pPr>
            <w:r>
              <w:rPr>
                <w:sz w:val="20"/>
                <w:szCs w:val="20"/>
              </w:rPr>
              <w:t>Opex forecast – SCS model</w:t>
            </w:r>
            <w:r w:rsidRPr="002056FA">
              <w:rPr>
                <w:sz w:val="20"/>
                <w:szCs w:val="20"/>
              </w:rPr>
              <w:t xml:space="preserve"> (Attachment </w:t>
            </w:r>
            <w:r>
              <w:rPr>
                <w:sz w:val="20"/>
                <w:szCs w:val="20"/>
              </w:rPr>
              <w:t>6.007</w:t>
            </w:r>
            <w:r w:rsidRPr="002056FA">
              <w:rPr>
                <w:sz w:val="20"/>
                <w:szCs w:val="20"/>
              </w:rPr>
              <w:t>)</w:t>
            </w:r>
          </w:p>
          <w:p w14:paraId="03E84F97" w14:textId="77777777" w:rsidR="009F2CDD" w:rsidRPr="002056FA" w:rsidRDefault="009F2CDD" w:rsidP="00E169B4">
            <w:pPr>
              <w:pStyle w:val="Bullet1"/>
              <w:rPr>
                <w:sz w:val="20"/>
                <w:szCs w:val="20"/>
              </w:rPr>
            </w:pPr>
            <w:r>
              <w:rPr>
                <w:sz w:val="20"/>
                <w:szCs w:val="20"/>
              </w:rPr>
              <w:t>Opex forecast – ACS Metering</w:t>
            </w:r>
            <w:r w:rsidRPr="002056FA">
              <w:rPr>
                <w:sz w:val="20"/>
                <w:szCs w:val="20"/>
              </w:rPr>
              <w:t xml:space="preserve"> (Attachment </w:t>
            </w:r>
            <w:r>
              <w:rPr>
                <w:sz w:val="20"/>
                <w:szCs w:val="20"/>
              </w:rPr>
              <w:t>15.010</w:t>
            </w:r>
            <w:r w:rsidRPr="002056FA">
              <w:rPr>
                <w:sz w:val="20"/>
                <w:szCs w:val="20"/>
              </w:rPr>
              <w:t>)</w:t>
            </w:r>
          </w:p>
          <w:p w14:paraId="024214F9" w14:textId="77777777" w:rsidR="009F2CDD" w:rsidRDefault="009F2CDD" w:rsidP="00E169B4">
            <w:pPr>
              <w:pStyle w:val="Bullet1"/>
              <w:rPr>
                <w:sz w:val="20"/>
                <w:szCs w:val="20"/>
              </w:rPr>
            </w:pPr>
            <w:r w:rsidRPr="002056FA">
              <w:rPr>
                <w:sz w:val="20"/>
                <w:szCs w:val="20"/>
              </w:rPr>
              <w:t>Opex</w:t>
            </w:r>
            <w:r>
              <w:rPr>
                <w:sz w:val="20"/>
                <w:szCs w:val="20"/>
              </w:rPr>
              <w:t xml:space="preserve"> forecast – ACS Public Lighting</w:t>
            </w:r>
            <w:r w:rsidRPr="002056FA">
              <w:rPr>
                <w:sz w:val="20"/>
                <w:szCs w:val="20"/>
              </w:rPr>
              <w:t xml:space="preserve"> </w:t>
            </w:r>
            <w:r>
              <w:rPr>
                <w:sz w:val="20"/>
                <w:szCs w:val="20"/>
              </w:rPr>
              <w:t xml:space="preserve">Conventional </w:t>
            </w:r>
            <w:r w:rsidRPr="002056FA">
              <w:rPr>
                <w:sz w:val="20"/>
                <w:szCs w:val="20"/>
              </w:rPr>
              <w:t xml:space="preserve">(Attachment </w:t>
            </w:r>
            <w:r>
              <w:rPr>
                <w:sz w:val="20"/>
                <w:szCs w:val="20"/>
              </w:rPr>
              <w:t>15.</w:t>
            </w:r>
            <w:r w:rsidRPr="00D53750">
              <w:rPr>
                <w:sz w:val="20"/>
                <w:szCs w:val="20"/>
              </w:rPr>
              <w:t>012)</w:t>
            </w:r>
            <w:r>
              <w:rPr>
                <w:sz w:val="20"/>
                <w:szCs w:val="20"/>
              </w:rPr>
              <w:t>, and</w:t>
            </w:r>
          </w:p>
          <w:p w14:paraId="3C2B4204" w14:textId="77777777" w:rsidR="009F2CDD" w:rsidRPr="00D53750" w:rsidRDefault="009F2CDD" w:rsidP="00E169B4">
            <w:pPr>
              <w:pStyle w:val="Bullet1"/>
              <w:rPr>
                <w:sz w:val="20"/>
                <w:szCs w:val="20"/>
              </w:rPr>
            </w:pPr>
            <w:r>
              <w:rPr>
                <w:sz w:val="20"/>
                <w:szCs w:val="20"/>
              </w:rPr>
              <w:t>Opex forecast – ACS Public Lighting LED (Attachment 15.014)</w:t>
            </w:r>
            <w:r w:rsidRPr="00D53750">
              <w:rPr>
                <w:sz w:val="20"/>
                <w:szCs w:val="20"/>
              </w:rPr>
              <w:t>.</w:t>
            </w:r>
          </w:p>
          <w:p w14:paraId="629057B7" w14:textId="77777777" w:rsidR="009F2CDD" w:rsidRPr="002056FA" w:rsidRDefault="009F2CDD" w:rsidP="00E169B4">
            <w:pPr>
              <w:pStyle w:val="TableCopy"/>
              <w:rPr>
                <w:rFonts w:eastAsia="Calibri"/>
                <w:lang w:eastAsia="en-US"/>
              </w:rPr>
            </w:pPr>
            <w:r w:rsidRPr="002056FA">
              <w:rPr>
                <w:rFonts w:eastAsia="Calibri"/>
                <w:lang w:eastAsia="en-US"/>
              </w:rPr>
              <w:t xml:space="preserve">The driver forecasts are sourced from the  DAPR, refer to </w:t>
            </w:r>
            <w:r>
              <w:rPr>
                <w:rFonts w:eastAsia="Calibri"/>
                <w:lang w:eastAsia="en-US"/>
              </w:rPr>
              <w:t>Attachment 7.049</w:t>
            </w:r>
          </w:p>
        </w:tc>
      </w:tr>
      <w:tr w:rsidR="009F2CDD" w:rsidRPr="002056FA" w14:paraId="4EDC016C" w14:textId="77777777" w:rsidTr="00E169B4">
        <w:tc>
          <w:tcPr>
            <w:tcW w:w="0" w:type="auto"/>
            <w:shd w:val="clear" w:color="auto" w:fill="auto"/>
          </w:tcPr>
          <w:p w14:paraId="501B138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10.6(b) </w:t>
            </w:r>
          </w:p>
        </w:tc>
        <w:tc>
          <w:tcPr>
            <w:tcW w:w="0" w:type="auto"/>
            <w:shd w:val="clear" w:color="auto" w:fill="auto"/>
          </w:tcPr>
          <w:p w14:paraId="39C9B81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any economies of scale factors applied to the growth drivers; </w:t>
            </w:r>
          </w:p>
        </w:tc>
        <w:tc>
          <w:tcPr>
            <w:tcW w:w="0" w:type="auto"/>
            <w:shd w:val="clear" w:color="auto" w:fill="auto"/>
          </w:tcPr>
          <w:p w14:paraId="0AA899E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Consistent with the method used by the AER in recent decisions, Energex has not applied any economies of scale factors to the growth drivers. This is demonstrated in the following forecast opex models:</w:t>
            </w:r>
          </w:p>
          <w:p w14:paraId="012538AB" w14:textId="77777777" w:rsidR="009F2CDD" w:rsidRPr="00D53750" w:rsidRDefault="009F2CDD" w:rsidP="00E169B4">
            <w:pPr>
              <w:pStyle w:val="Bullet1"/>
              <w:rPr>
                <w:sz w:val="20"/>
                <w:szCs w:val="20"/>
              </w:rPr>
            </w:pPr>
            <w:r>
              <w:rPr>
                <w:sz w:val="20"/>
                <w:szCs w:val="20"/>
              </w:rPr>
              <w:t>Opex forecast – SCS model</w:t>
            </w:r>
            <w:r w:rsidRPr="002056FA">
              <w:rPr>
                <w:sz w:val="20"/>
                <w:szCs w:val="20"/>
              </w:rPr>
              <w:t xml:space="preserve"> (Attachment </w:t>
            </w:r>
            <w:r>
              <w:rPr>
                <w:sz w:val="20"/>
                <w:szCs w:val="20"/>
              </w:rPr>
              <w:t>6.</w:t>
            </w:r>
            <w:r w:rsidRPr="00D53750">
              <w:rPr>
                <w:sz w:val="20"/>
                <w:szCs w:val="20"/>
              </w:rPr>
              <w:t>007)</w:t>
            </w:r>
          </w:p>
          <w:p w14:paraId="0BFBB45E" w14:textId="77777777" w:rsidR="009F2CDD" w:rsidRPr="00D53750" w:rsidRDefault="009F2CDD" w:rsidP="00E169B4">
            <w:pPr>
              <w:pStyle w:val="Bullet1"/>
              <w:rPr>
                <w:sz w:val="20"/>
                <w:szCs w:val="20"/>
              </w:rPr>
            </w:pPr>
            <w:r w:rsidRPr="00D53750">
              <w:rPr>
                <w:sz w:val="20"/>
                <w:szCs w:val="20"/>
              </w:rPr>
              <w:t>Opex forecast – ACS Metering (Attachment 15.010)</w:t>
            </w:r>
          </w:p>
          <w:p w14:paraId="52432F20" w14:textId="77777777" w:rsidR="009F2CDD" w:rsidRPr="004F40EC" w:rsidRDefault="009F2CDD" w:rsidP="00E169B4">
            <w:pPr>
              <w:pStyle w:val="Bullet1"/>
            </w:pPr>
            <w:r w:rsidRPr="00D53750">
              <w:rPr>
                <w:sz w:val="20"/>
                <w:szCs w:val="20"/>
              </w:rPr>
              <w:t xml:space="preserve">Opex forecast – ACS Public Lighting </w:t>
            </w:r>
            <w:r>
              <w:rPr>
                <w:sz w:val="20"/>
                <w:szCs w:val="20"/>
              </w:rPr>
              <w:t xml:space="preserve">Conventional </w:t>
            </w:r>
            <w:r w:rsidRPr="00D53750">
              <w:rPr>
                <w:sz w:val="20"/>
                <w:szCs w:val="20"/>
              </w:rPr>
              <w:t>(Attachment 15.012)</w:t>
            </w:r>
            <w:r>
              <w:rPr>
                <w:sz w:val="20"/>
                <w:szCs w:val="20"/>
              </w:rPr>
              <w:t>, and</w:t>
            </w:r>
          </w:p>
          <w:p w14:paraId="7673ADB5" w14:textId="77777777" w:rsidR="009F2CDD" w:rsidRPr="002056FA" w:rsidRDefault="009F2CDD" w:rsidP="00E169B4">
            <w:pPr>
              <w:pStyle w:val="Bullet1"/>
            </w:pPr>
            <w:r w:rsidRPr="00D53750">
              <w:rPr>
                <w:sz w:val="20"/>
                <w:szCs w:val="20"/>
              </w:rPr>
              <w:t>.</w:t>
            </w:r>
            <w:r>
              <w:rPr>
                <w:sz w:val="20"/>
                <w:szCs w:val="20"/>
              </w:rPr>
              <w:t xml:space="preserve">Opex forecast – ACS Public Lighting LED (Attachment 15.014). </w:t>
            </w:r>
          </w:p>
        </w:tc>
      </w:tr>
      <w:tr w:rsidR="009F2CDD" w:rsidRPr="002056FA" w14:paraId="0134326B" w14:textId="77777777" w:rsidTr="00E169B4">
        <w:tc>
          <w:tcPr>
            <w:tcW w:w="0" w:type="auto"/>
            <w:tcBorders>
              <w:bottom w:val="single" w:sz="4" w:space="0" w:color="auto"/>
            </w:tcBorders>
            <w:shd w:val="clear" w:color="auto" w:fill="auto"/>
          </w:tcPr>
          <w:p w14:paraId="692F720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10.6(c) </w:t>
            </w:r>
          </w:p>
        </w:tc>
        <w:tc>
          <w:tcPr>
            <w:tcW w:w="0" w:type="auto"/>
            <w:tcBorders>
              <w:bottom w:val="single" w:sz="4" w:space="0" w:color="auto"/>
            </w:tcBorders>
            <w:shd w:val="clear" w:color="auto" w:fill="auto"/>
          </w:tcPr>
          <w:p w14:paraId="5C37A3E1"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evidence that the growth drivers explain cost changes due to output growth; and </w:t>
            </w:r>
          </w:p>
        </w:tc>
        <w:tc>
          <w:tcPr>
            <w:tcW w:w="0" w:type="auto"/>
            <w:tcBorders>
              <w:bottom w:val="single" w:sz="4" w:space="0" w:color="auto"/>
            </w:tcBorders>
            <w:shd w:val="clear" w:color="auto" w:fill="auto"/>
          </w:tcPr>
          <w:p w14:paraId="5D96E74C" w14:textId="77777777" w:rsidR="009F2CDD" w:rsidRPr="002056FA" w:rsidRDefault="009F2CDD" w:rsidP="00E169B4">
            <w:pPr>
              <w:pStyle w:val="TableCopy"/>
              <w:rPr>
                <w:rFonts w:eastAsia="Calibri"/>
                <w:lang w:eastAsia="en-US"/>
              </w:rPr>
            </w:pPr>
            <w:r w:rsidRPr="002056FA">
              <w:rPr>
                <w:rFonts w:eastAsia="Calibri"/>
                <w:lang w:eastAsia="en-US"/>
              </w:rPr>
              <w:t xml:space="preserve">As noted in Chapter </w:t>
            </w:r>
            <w:r>
              <w:rPr>
                <w:rFonts w:eastAsia="Calibri"/>
                <w:lang w:eastAsia="en-US"/>
              </w:rPr>
              <w:t>6</w:t>
            </w:r>
            <w:r w:rsidRPr="002056FA">
              <w:rPr>
                <w:rFonts w:eastAsia="Calibri"/>
                <w:lang w:eastAsia="en-US"/>
              </w:rPr>
              <w:t xml:space="preserve"> of the Regulatory Proposal, Energex </w:t>
            </w:r>
            <w:r>
              <w:rPr>
                <w:rFonts w:eastAsia="Calibri"/>
                <w:lang w:eastAsia="en-US"/>
              </w:rPr>
              <w:t>has</w:t>
            </w:r>
            <w:r w:rsidRPr="002056FA">
              <w:rPr>
                <w:rFonts w:eastAsia="Calibri"/>
                <w:lang w:eastAsia="en-US"/>
              </w:rPr>
              <w:t xml:space="preserve"> applied the output change measures and respective weightings that are detailed in the Economic Insights memo released with the AER’s 2018 Annual Benchmarking Report. </w:t>
            </w:r>
          </w:p>
        </w:tc>
      </w:tr>
      <w:tr w:rsidR="009F2CDD" w:rsidRPr="002056FA" w14:paraId="1B5749E1" w14:textId="77777777" w:rsidTr="00E169B4">
        <w:tc>
          <w:tcPr>
            <w:tcW w:w="0" w:type="auto"/>
            <w:shd w:val="clear" w:color="auto" w:fill="D0CECE" w:themeFill="background2" w:themeFillShade="E6"/>
          </w:tcPr>
          <w:p w14:paraId="4A7EE44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10.6(d)</w:t>
            </w:r>
          </w:p>
        </w:tc>
        <w:tc>
          <w:tcPr>
            <w:tcW w:w="0" w:type="auto"/>
            <w:shd w:val="clear" w:color="auto" w:fill="D0CECE" w:themeFill="background2" w:themeFillShade="E6"/>
          </w:tcPr>
          <w:p w14:paraId="010739A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if Energex applied any composite multiple output growth drivers:</w:t>
            </w:r>
          </w:p>
        </w:tc>
        <w:tc>
          <w:tcPr>
            <w:tcW w:w="0" w:type="auto"/>
            <w:shd w:val="clear" w:color="auto" w:fill="D0CECE" w:themeFill="background2" w:themeFillShade="E6"/>
          </w:tcPr>
          <w:p w14:paraId="0D3A9448" w14:textId="77777777" w:rsidR="009F2CDD" w:rsidRPr="002056FA" w:rsidRDefault="009F2CDD" w:rsidP="00E169B4">
            <w:pPr>
              <w:pStyle w:val="TableCopy"/>
              <w:rPr>
                <w:rFonts w:eastAsia="Calibri"/>
                <w:color w:val="000000"/>
                <w:lang w:eastAsia="en-US"/>
              </w:rPr>
            </w:pPr>
          </w:p>
        </w:tc>
      </w:tr>
      <w:tr w:rsidR="009F2CDD" w:rsidRPr="002056FA" w14:paraId="569C037A" w14:textId="77777777" w:rsidTr="00E169B4">
        <w:tc>
          <w:tcPr>
            <w:tcW w:w="0" w:type="auto"/>
            <w:shd w:val="clear" w:color="auto" w:fill="auto"/>
          </w:tcPr>
          <w:p w14:paraId="7EB9F2C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10.6(d)(i) </w:t>
            </w:r>
          </w:p>
        </w:tc>
        <w:tc>
          <w:tcPr>
            <w:tcW w:w="0" w:type="auto"/>
            <w:shd w:val="clear" w:color="auto" w:fill="auto"/>
          </w:tcPr>
          <w:p w14:paraId="3EA46B3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inputs for each composite multiple output growth driver; and </w:t>
            </w:r>
          </w:p>
        </w:tc>
        <w:tc>
          <w:tcPr>
            <w:tcW w:w="0" w:type="auto"/>
            <w:shd w:val="clear" w:color="auto" w:fill="auto"/>
          </w:tcPr>
          <w:p w14:paraId="44B1086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 did not apply any composite multiple output growth drivers. Energex applied the output change measures and respective weightings that are detailed in the Economic Insights memo released with the AER’s 2018 Annual Benchmarking Report.</w:t>
            </w:r>
          </w:p>
        </w:tc>
      </w:tr>
      <w:tr w:rsidR="009F2CDD" w:rsidRPr="002056FA" w14:paraId="55080D33" w14:textId="77777777" w:rsidTr="00E169B4">
        <w:tc>
          <w:tcPr>
            <w:tcW w:w="0" w:type="auto"/>
            <w:tcBorders>
              <w:bottom w:val="single" w:sz="4" w:space="0" w:color="auto"/>
            </w:tcBorders>
            <w:shd w:val="clear" w:color="auto" w:fill="auto"/>
          </w:tcPr>
          <w:p w14:paraId="3A3E31A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10.6(d)(ii) </w:t>
            </w:r>
          </w:p>
        </w:tc>
        <w:tc>
          <w:tcPr>
            <w:tcW w:w="0" w:type="auto"/>
            <w:tcBorders>
              <w:bottom w:val="single" w:sz="4" w:space="0" w:color="auto"/>
            </w:tcBorders>
            <w:shd w:val="clear" w:color="auto" w:fill="auto"/>
          </w:tcPr>
          <w:p w14:paraId="7F04387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weightings for each input. </w:t>
            </w:r>
          </w:p>
        </w:tc>
        <w:tc>
          <w:tcPr>
            <w:tcW w:w="0" w:type="auto"/>
            <w:tcBorders>
              <w:bottom w:val="single" w:sz="4" w:space="0" w:color="auto"/>
            </w:tcBorders>
            <w:shd w:val="clear" w:color="auto" w:fill="auto"/>
          </w:tcPr>
          <w:p w14:paraId="5FF855F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 did not apply any composite multiple output growth drivers. Energex applied the output change measures and respective weightings that are detailed in the Economic Insights memo released with the AER’s 2018 Annual Benchmarking Report.</w:t>
            </w:r>
          </w:p>
        </w:tc>
      </w:tr>
      <w:tr w:rsidR="009F2CDD" w:rsidRPr="002056FA" w14:paraId="2EAFCFD4" w14:textId="77777777" w:rsidTr="00E169B4">
        <w:tc>
          <w:tcPr>
            <w:tcW w:w="0" w:type="auto"/>
            <w:shd w:val="clear" w:color="auto" w:fill="D0CECE" w:themeFill="background2" w:themeFillShade="E6"/>
          </w:tcPr>
          <w:p w14:paraId="30EF372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10.7</w:t>
            </w:r>
          </w:p>
        </w:tc>
        <w:tc>
          <w:tcPr>
            <w:tcW w:w="0" w:type="auto"/>
            <w:shd w:val="clear" w:color="auto" w:fill="D0CECE" w:themeFill="background2" w:themeFillShade="E6"/>
          </w:tcPr>
          <w:p w14:paraId="6423433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an explanation of how, in developing the amount of total forecast opex attributable to output growth changes, Energex:</w:t>
            </w:r>
          </w:p>
        </w:tc>
        <w:tc>
          <w:tcPr>
            <w:tcW w:w="0" w:type="auto"/>
            <w:shd w:val="clear" w:color="auto" w:fill="D0CECE" w:themeFill="background2" w:themeFillShade="E6"/>
          </w:tcPr>
          <w:p w14:paraId="37D62E02" w14:textId="77777777" w:rsidR="009F2CDD" w:rsidRPr="002056FA" w:rsidRDefault="009F2CDD" w:rsidP="00E169B4">
            <w:pPr>
              <w:pStyle w:val="TableCopy"/>
              <w:rPr>
                <w:rFonts w:eastAsia="Calibri"/>
                <w:color w:val="000000"/>
                <w:lang w:eastAsia="en-US"/>
              </w:rPr>
            </w:pPr>
          </w:p>
        </w:tc>
      </w:tr>
      <w:tr w:rsidR="009F2CDD" w:rsidRPr="002056FA" w14:paraId="23368657" w14:textId="77777777" w:rsidTr="00E169B4">
        <w:tc>
          <w:tcPr>
            <w:tcW w:w="0" w:type="auto"/>
            <w:shd w:val="clear" w:color="auto" w:fill="auto"/>
          </w:tcPr>
          <w:p w14:paraId="29C4CE5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10.7(a) </w:t>
            </w:r>
          </w:p>
        </w:tc>
        <w:tc>
          <w:tcPr>
            <w:tcW w:w="0" w:type="auto"/>
            <w:shd w:val="clear" w:color="auto" w:fill="auto"/>
          </w:tcPr>
          <w:p w14:paraId="7E2C764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applied the output growth drivers; and </w:t>
            </w:r>
          </w:p>
        </w:tc>
        <w:tc>
          <w:tcPr>
            <w:tcW w:w="0" w:type="auto"/>
            <w:shd w:val="clear" w:color="auto" w:fill="auto"/>
          </w:tcPr>
          <w:p w14:paraId="0AC38FF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growth forecasts are applied to Energex’s proposed SCS and ACS metering and public lighting opex forecasts via the following models:</w:t>
            </w:r>
          </w:p>
          <w:p w14:paraId="0B76B380" w14:textId="77777777" w:rsidR="009F2CDD" w:rsidRPr="00D53750" w:rsidRDefault="009F2CDD" w:rsidP="00E169B4">
            <w:pPr>
              <w:pStyle w:val="Bullet1"/>
              <w:rPr>
                <w:sz w:val="20"/>
                <w:szCs w:val="20"/>
              </w:rPr>
            </w:pPr>
            <w:r>
              <w:rPr>
                <w:sz w:val="20"/>
                <w:szCs w:val="20"/>
              </w:rPr>
              <w:t>Opex forecast – SCS model</w:t>
            </w:r>
            <w:r w:rsidRPr="002056FA">
              <w:rPr>
                <w:sz w:val="20"/>
                <w:szCs w:val="20"/>
              </w:rPr>
              <w:t xml:space="preserve"> (Attachment </w:t>
            </w:r>
            <w:r>
              <w:rPr>
                <w:sz w:val="20"/>
                <w:szCs w:val="20"/>
              </w:rPr>
              <w:t>6</w:t>
            </w:r>
            <w:r w:rsidRPr="00D53750">
              <w:rPr>
                <w:sz w:val="20"/>
                <w:szCs w:val="20"/>
              </w:rPr>
              <w:t>.007)</w:t>
            </w:r>
          </w:p>
          <w:p w14:paraId="63D0F4E3" w14:textId="77777777" w:rsidR="009F2CDD" w:rsidRPr="00D53750" w:rsidRDefault="009F2CDD" w:rsidP="00E169B4">
            <w:pPr>
              <w:pStyle w:val="Bullet1"/>
              <w:rPr>
                <w:sz w:val="20"/>
                <w:szCs w:val="20"/>
              </w:rPr>
            </w:pPr>
            <w:r w:rsidRPr="00D53750">
              <w:rPr>
                <w:sz w:val="20"/>
                <w:szCs w:val="20"/>
              </w:rPr>
              <w:t>Opex forecast – ACS Metering (Attachment 15.010)</w:t>
            </w:r>
          </w:p>
          <w:p w14:paraId="624F9BED" w14:textId="77777777" w:rsidR="009F2CDD" w:rsidRDefault="009F2CDD" w:rsidP="00E169B4">
            <w:pPr>
              <w:pStyle w:val="Bullet1"/>
              <w:rPr>
                <w:sz w:val="20"/>
                <w:szCs w:val="20"/>
              </w:rPr>
            </w:pPr>
            <w:r w:rsidRPr="00D53750">
              <w:rPr>
                <w:sz w:val="20"/>
                <w:szCs w:val="20"/>
              </w:rPr>
              <w:t>Opex forecast – ACS Public Lighting (Attachment 15.012)</w:t>
            </w:r>
            <w:r>
              <w:rPr>
                <w:sz w:val="20"/>
                <w:szCs w:val="20"/>
              </w:rPr>
              <w:t>, and</w:t>
            </w:r>
          </w:p>
          <w:p w14:paraId="231DCFC8" w14:textId="77777777" w:rsidR="009F2CDD" w:rsidRPr="00D53750" w:rsidRDefault="009F2CDD" w:rsidP="00E169B4">
            <w:pPr>
              <w:pStyle w:val="Bullet1"/>
              <w:rPr>
                <w:sz w:val="20"/>
                <w:szCs w:val="20"/>
              </w:rPr>
            </w:pPr>
            <w:r>
              <w:rPr>
                <w:sz w:val="20"/>
                <w:szCs w:val="20"/>
              </w:rPr>
              <w:t>Opex forecast – ACS Public Lighting (Attachment 15.014)</w:t>
            </w:r>
            <w:r w:rsidRPr="00D53750">
              <w:rPr>
                <w:sz w:val="20"/>
                <w:szCs w:val="20"/>
              </w:rPr>
              <w:t>.</w:t>
            </w:r>
          </w:p>
          <w:p w14:paraId="49B8E8B9" w14:textId="77777777" w:rsidR="009F2CDD" w:rsidRPr="002056FA" w:rsidRDefault="009F2CDD" w:rsidP="00E169B4">
            <w:pPr>
              <w:pStyle w:val="TableCopy"/>
              <w:rPr>
                <w:rFonts w:eastAsia="Calibri"/>
                <w:lang w:eastAsia="en-US"/>
              </w:rPr>
            </w:pPr>
            <w:r w:rsidRPr="002056FA">
              <w:rPr>
                <w:rFonts w:eastAsia="Calibri"/>
                <w:lang w:eastAsia="en-US"/>
              </w:rPr>
              <w:t>In summary, Energex applied the method reflected in the opex model typically used by the AER in recent decisions, which involves:</w:t>
            </w:r>
          </w:p>
          <w:p w14:paraId="55C4DC78" w14:textId="77777777" w:rsidR="009F2CDD" w:rsidRPr="002056FA" w:rsidRDefault="009F2CDD" w:rsidP="00E169B4">
            <w:pPr>
              <w:pStyle w:val="Bullet1"/>
              <w:rPr>
                <w:sz w:val="20"/>
                <w:szCs w:val="20"/>
              </w:rPr>
            </w:pPr>
            <w:r w:rsidRPr="002056FA">
              <w:rPr>
                <w:sz w:val="20"/>
                <w:szCs w:val="20"/>
              </w:rPr>
              <w:t>Forecasting the growth drivers</w:t>
            </w:r>
          </w:p>
          <w:p w14:paraId="7C4ACA92" w14:textId="77777777" w:rsidR="009F2CDD" w:rsidRPr="002056FA" w:rsidRDefault="009F2CDD" w:rsidP="00E169B4">
            <w:pPr>
              <w:pStyle w:val="Bullet1"/>
              <w:rPr>
                <w:sz w:val="20"/>
                <w:szCs w:val="20"/>
              </w:rPr>
            </w:pPr>
            <w:r w:rsidRPr="002056FA">
              <w:rPr>
                <w:sz w:val="20"/>
                <w:szCs w:val="20"/>
              </w:rPr>
              <w:t>Weighting these growth drivers in to a single output growth factor</w:t>
            </w:r>
          </w:p>
          <w:p w14:paraId="5C4A4138" w14:textId="77777777" w:rsidR="009F2CDD" w:rsidRPr="002056FA" w:rsidRDefault="009F2CDD" w:rsidP="00E169B4">
            <w:pPr>
              <w:pStyle w:val="Bullet1"/>
              <w:rPr>
                <w:sz w:val="20"/>
                <w:szCs w:val="20"/>
              </w:rPr>
            </w:pPr>
            <w:r w:rsidRPr="002056FA">
              <w:rPr>
                <w:sz w:val="20"/>
                <w:szCs w:val="20"/>
              </w:rPr>
              <w:t>Combining this output growth factor with the forecast price change and productivity change factors to get a single opex rate of change</w:t>
            </w:r>
            <w:r>
              <w:rPr>
                <w:sz w:val="20"/>
                <w:szCs w:val="20"/>
              </w:rPr>
              <w:t>, and</w:t>
            </w:r>
          </w:p>
          <w:p w14:paraId="27B4D6B0" w14:textId="77777777" w:rsidR="009F2CDD" w:rsidRPr="002056FA" w:rsidRDefault="009F2CDD" w:rsidP="00E169B4">
            <w:pPr>
              <w:pStyle w:val="Bullet1"/>
              <w:rPr>
                <w:sz w:val="20"/>
                <w:szCs w:val="20"/>
              </w:rPr>
            </w:pPr>
            <w:r w:rsidRPr="002056FA">
              <w:rPr>
                <w:sz w:val="20"/>
                <w:szCs w:val="20"/>
              </w:rPr>
              <w:t>Applying the single rate of change to base year opex.</w:t>
            </w:r>
          </w:p>
          <w:p w14:paraId="5F9CF381" w14:textId="77777777" w:rsidR="009F2CDD" w:rsidRPr="002056FA" w:rsidRDefault="009F2CDD" w:rsidP="00E169B4">
            <w:pPr>
              <w:pStyle w:val="TableCopy"/>
              <w:rPr>
                <w:rFonts w:eastAsia="Calibri"/>
                <w:color w:val="000000"/>
                <w:highlight w:val="yellow"/>
                <w:lang w:eastAsia="en-US"/>
              </w:rPr>
            </w:pPr>
            <w:r w:rsidRPr="002056FA">
              <w:rPr>
                <w:rFonts w:eastAsia="Calibri"/>
                <w:color w:val="000000"/>
                <w:lang w:eastAsia="en-US"/>
              </w:rPr>
              <w:t xml:space="preserve">Energex </w:t>
            </w:r>
            <w:r>
              <w:rPr>
                <w:rFonts w:eastAsia="Calibri"/>
                <w:color w:val="000000"/>
                <w:lang w:eastAsia="en-US"/>
              </w:rPr>
              <w:t>has</w:t>
            </w:r>
            <w:r w:rsidRPr="002056FA">
              <w:rPr>
                <w:rFonts w:eastAsia="Calibri"/>
                <w:color w:val="000000"/>
                <w:lang w:eastAsia="en-US"/>
              </w:rPr>
              <w:t xml:space="preserve"> also provided the model underlying the application of output growth drivers to derive t</w:t>
            </w:r>
            <w:r>
              <w:rPr>
                <w:rFonts w:eastAsia="Calibri"/>
                <w:color w:val="000000"/>
                <w:lang w:eastAsia="en-US"/>
              </w:rPr>
              <w:t xml:space="preserve">otal forecast opex. Please refer to Opex forecast – SCS model </w:t>
            </w:r>
            <w:r w:rsidRPr="002056FA">
              <w:rPr>
                <w:rFonts w:eastAsia="Calibri"/>
                <w:color w:val="000000"/>
                <w:lang w:eastAsia="en-US"/>
              </w:rPr>
              <w:t>(</w:t>
            </w:r>
            <w:r w:rsidRPr="00D53750">
              <w:rPr>
                <w:rFonts w:eastAsia="Calibri"/>
                <w:color w:val="000000"/>
                <w:lang w:eastAsia="en-US"/>
              </w:rPr>
              <w:t xml:space="preserve">Attachment 6.007). </w:t>
            </w:r>
          </w:p>
        </w:tc>
      </w:tr>
      <w:tr w:rsidR="009F2CDD" w:rsidRPr="002056FA" w14:paraId="7923766F" w14:textId="77777777" w:rsidTr="00E169B4">
        <w:tc>
          <w:tcPr>
            <w:tcW w:w="0" w:type="auto"/>
            <w:tcBorders>
              <w:bottom w:val="single" w:sz="4" w:space="0" w:color="auto"/>
            </w:tcBorders>
            <w:shd w:val="clear" w:color="auto" w:fill="auto"/>
          </w:tcPr>
          <w:p w14:paraId="7DCC6F5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10.7(b) </w:t>
            </w:r>
          </w:p>
        </w:tc>
        <w:tc>
          <w:tcPr>
            <w:tcW w:w="0" w:type="auto"/>
            <w:tcBorders>
              <w:bottom w:val="single" w:sz="4" w:space="0" w:color="auto"/>
            </w:tcBorders>
            <w:shd w:val="clear" w:color="auto" w:fill="auto"/>
          </w:tcPr>
          <w:p w14:paraId="26D8AEE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accounted for economies of scale. </w:t>
            </w:r>
          </w:p>
        </w:tc>
        <w:tc>
          <w:tcPr>
            <w:tcW w:w="0" w:type="auto"/>
            <w:tcBorders>
              <w:bottom w:val="single" w:sz="4" w:space="0" w:color="auto"/>
            </w:tcBorders>
            <w:shd w:val="clear" w:color="auto" w:fill="auto"/>
          </w:tcPr>
          <w:p w14:paraId="61BBB534" w14:textId="77777777" w:rsidR="009F2CDD" w:rsidRPr="002056FA" w:rsidRDefault="009F2CDD" w:rsidP="00E169B4">
            <w:pPr>
              <w:pStyle w:val="TableCopy"/>
              <w:rPr>
                <w:rFonts w:eastAsia="Calibri"/>
                <w:color w:val="000000"/>
                <w:lang w:eastAsia="en-US"/>
              </w:rPr>
            </w:pPr>
            <w:r w:rsidRPr="002056FA">
              <w:rPr>
                <w:rFonts w:eastAsia="Calibri"/>
                <w:lang w:eastAsia="en-US"/>
              </w:rPr>
              <w:t xml:space="preserve">No economies of scale were explicitly applied when applying the output growth drivers.  </w:t>
            </w:r>
          </w:p>
        </w:tc>
      </w:tr>
      <w:tr w:rsidR="009F2CDD" w:rsidRPr="002056FA" w14:paraId="156A9E8C" w14:textId="77777777" w:rsidTr="00E169B4">
        <w:tc>
          <w:tcPr>
            <w:tcW w:w="0" w:type="auto"/>
            <w:shd w:val="clear" w:color="auto" w:fill="D0CECE" w:themeFill="background2" w:themeFillShade="E6"/>
          </w:tcPr>
          <w:p w14:paraId="60838BC4" w14:textId="77777777" w:rsidR="009F2CDD" w:rsidRPr="002056FA" w:rsidRDefault="009F2CDD" w:rsidP="00E169B4">
            <w:pPr>
              <w:pStyle w:val="TableCopy"/>
              <w:rPr>
                <w:rFonts w:eastAsia="Calibri"/>
                <w:color w:val="000000"/>
                <w:lang w:eastAsia="en-US"/>
              </w:rPr>
            </w:pPr>
          </w:p>
        </w:tc>
        <w:tc>
          <w:tcPr>
            <w:tcW w:w="0" w:type="auto"/>
            <w:shd w:val="clear" w:color="auto" w:fill="D0CECE" w:themeFill="background2" w:themeFillShade="E6"/>
          </w:tcPr>
          <w:p w14:paraId="3195B964"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Real price changes</w:t>
            </w:r>
          </w:p>
        </w:tc>
        <w:tc>
          <w:tcPr>
            <w:tcW w:w="0" w:type="auto"/>
            <w:shd w:val="clear" w:color="auto" w:fill="D0CECE" w:themeFill="background2" w:themeFillShade="E6"/>
          </w:tcPr>
          <w:p w14:paraId="57F60D57" w14:textId="77777777" w:rsidR="009F2CDD" w:rsidRPr="002056FA" w:rsidRDefault="009F2CDD" w:rsidP="00E169B4">
            <w:pPr>
              <w:pStyle w:val="TableCopy"/>
              <w:rPr>
                <w:rFonts w:eastAsia="Calibri"/>
                <w:b/>
                <w:bCs/>
                <w:color w:val="FFFFFF"/>
                <w:lang w:eastAsia="en-US"/>
              </w:rPr>
            </w:pPr>
          </w:p>
        </w:tc>
      </w:tr>
      <w:tr w:rsidR="009F2CDD" w:rsidRPr="002056FA" w14:paraId="2E9DD3ED" w14:textId="77777777" w:rsidTr="00E169B4">
        <w:tc>
          <w:tcPr>
            <w:tcW w:w="0" w:type="auto"/>
            <w:tcBorders>
              <w:bottom w:val="single" w:sz="4" w:space="0" w:color="auto"/>
            </w:tcBorders>
            <w:shd w:val="clear" w:color="auto" w:fill="auto"/>
          </w:tcPr>
          <w:p w14:paraId="36510F7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10.8</w:t>
            </w:r>
          </w:p>
        </w:tc>
        <w:tc>
          <w:tcPr>
            <w:tcW w:w="0" w:type="auto"/>
            <w:tcBorders>
              <w:bottom w:val="single" w:sz="4" w:space="0" w:color="auto"/>
            </w:tcBorders>
            <w:shd w:val="clear" w:color="auto" w:fill="auto"/>
          </w:tcPr>
          <w:p w14:paraId="5ECB215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the amount of total forecast opex attributable to changes in the price of labour and materials for standard control services opex and dual function assets opex in Workbook 1 – Regulatory determination, regulatory template 2.16, tables 2.16.1 and 2.16.3.</w:t>
            </w:r>
          </w:p>
        </w:tc>
        <w:tc>
          <w:tcPr>
            <w:tcW w:w="0" w:type="auto"/>
            <w:tcBorders>
              <w:bottom w:val="single" w:sz="4" w:space="0" w:color="auto"/>
            </w:tcBorders>
            <w:shd w:val="clear" w:color="auto" w:fill="auto"/>
          </w:tcPr>
          <w:p w14:paraId="31CA1F8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 has completed </w:t>
            </w:r>
            <w:r>
              <w:rPr>
                <w:rFonts w:eastAsia="Calibri"/>
                <w:color w:val="000000"/>
                <w:lang w:eastAsia="en-US"/>
              </w:rPr>
              <w:t>template 2.16</w:t>
            </w:r>
            <w:r w:rsidRPr="002056FA">
              <w:rPr>
                <w:rFonts w:eastAsia="Calibri"/>
                <w:color w:val="000000"/>
                <w:lang w:eastAsia="en-US"/>
              </w:rPr>
              <w:t xml:space="preserve"> in accordanc</w:t>
            </w:r>
            <w:r>
              <w:rPr>
                <w:rFonts w:eastAsia="Calibri"/>
                <w:color w:val="000000"/>
                <w:lang w:eastAsia="en-US"/>
              </w:rPr>
              <w:t>e with the AER’s instructions.</w:t>
            </w:r>
          </w:p>
          <w:p w14:paraId="3227741A" w14:textId="77777777" w:rsidR="009F2CDD" w:rsidRPr="002056FA" w:rsidRDefault="009F2CDD" w:rsidP="00E169B4">
            <w:pPr>
              <w:pStyle w:val="TableCopy"/>
              <w:rPr>
                <w:rFonts w:eastAsia="Calibri"/>
                <w:color w:val="000000"/>
                <w:lang w:eastAsia="en-US"/>
              </w:rPr>
            </w:pPr>
          </w:p>
        </w:tc>
      </w:tr>
      <w:tr w:rsidR="009F2CDD" w:rsidRPr="002056FA" w14:paraId="4C80C5A7" w14:textId="77777777" w:rsidTr="00E169B4">
        <w:tc>
          <w:tcPr>
            <w:tcW w:w="0" w:type="auto"/>
            <w:shd w:val="clear" w:color="auto" w:fill="D0CECE" w:themeFill="background2" w:themeFillShade="E6"/>
          </w:tcPr>
          <w:p w14:paraId="77D7F3B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10.9</w:t>
            </w:r>
          </w:p>
        </w:tc>
        <w:tc>
          <w:tcPr>
            <w:tcW w:w="0" w:type="auto"/>
            <w:shd w:val="clear" w:color="auto" w:fill="D0CECE" w:themeFill="background2" w:themeFillShade="E6"/>
          </w:tcPr>
          <w:p w14:paraId="32AD1A9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an explanation of:</w:t>
            </w:r>
          </w:p>
        </w:tc>
        <w:tc>
          <w:tcPr>
            <w:tcW w:w="0" w:type="auto"/>
            <w:shd w:val="clear" w:color="auto" w:fill="D0CECE" w:themeFill="background2" w:themeFillShade="E6"/>
          </w:tcPr>
          <w:p w14:paraId="35E27A76" w14:textId="77777777" w:rsidR="009F2CDD" w:rsidRPr="002056FA" w:rsidRDefault="009F2CDD" w:rsidP="00E169B4">
            <w:pPr>
              <w:pStyle w:val="TableCopy"/>
              <w:rPr>
                <w:rFonts w:eastAsia="Calibri"/>
                <w:color w:val="000000"/>
                <w:lang w:eastAsia="en-US"/>
              </w:rPr>
            </w:pPr>
          </w:p>
        </w:tc>
      </w:tr>
      <w:tr w:rsidR="009F2CDD" w:rsidRPr="002056FA" w14:paraId="1AE0936A" w14:textId="77777777" w:rsidTr="00E169B4">
        <w:tc>
          <w:tcPr>
            <w:tcW w:w="0" w:type="auto"/>
            <w:shd w:val="clear" w:color="auto" w:fill="auto"/>
          </w:tcPr>
          <w:p w14:paraId="032B67C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10.9(a) </w:t>
            </w:r>
          </w:p>
        </w:tc>
        <w:tc>
          <w:tcPr>
            <w:tcW w:w="0" w:type="auto"/>
            <w:shd w:val="clear" w:color="auto" w:fill="auto"/>
          </w:tcPr>
          <w:p w14:paraId="3338AAB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how, in developing the amount of total forecast </w:t>
            </w:r>
            <w:r w:rsidRPr="002056FA">
              <w:rPr>
                <w:rFonts w:eastAsia="Calibri"/>
                <w:iCs/>
                <w:color w:val="000000"/>
                <w:lang w:eastAsia="en-US"/>
              </w:rPr>
              <w:t xml:space="preserve">opex </w:t>
            </w:r>
            <w:r w:rsidRPr="002056FA">
              <w:rPr>
                <w:rFonts w:eastAsia="Calibri"/>
                <w:color w:val="000000"/>
                <w:lang w:eastAsia="en-US"/>
              </w:rPr>
              <w:t xml:space="preserve">attributable to changes in the price of labour and materials, </w:t>
            </w:r>
            <w:r w:rsidRPr="002056FA">
              <w:rPr>
                <w:rFonts w:eastAsia="Calibri"/>
                <w:iCs/>
                <w:color w:val="000000"/>
                <w:lang w:eastAsia="en-US"/>
              </w:rPr>
              <w:t xml:space="preserve">Energex </w:t>
            </w:r>
            <w:r w:rsidRPr="002056FA">
              <w:rPr>
                <w:rFonts w:eastAsia="Calibri"/>
                <w:color w:val="000000"/>
                <w:lang w:eastAsia="en-US"/>
              </w:rPr>
              <w:t xml:space="preserve">applied the real price measures in </w:t>
            </w:r>
            <w:r w:rsidRPr="002056FA">
              <w:rPr>
                <w:rFonts w:eastAsia="Calibri"/>
                <w:iCs/>
                <w:color w:val="000000"/>
                <w:lang w:eastAsia="en-US"/>
              </w:rPr>
              <w:t>Workbook 1 – regulatory determination, regulatory template 2.14</w:t>
            </w:r>
            <w:r w:rsidRPr="002056FA">
              <w:rPr>
                <w:rFonts w:eastAsia="Calibri"/>
                <w:color w:val="000000"/>
                <w:lang w:eastAsia="en-US"/>
              </w:rPr>
              <w:t xml:space="preserve">; and </w:t>
            </w:r>
          </w:p>
        </w:tc>
        <w:tc>
          <w:tcPr>
            <w:tcW w:w="0" w:type="auto"/>
            <w:shd w:val="clear" w:color="auto" w:fill="auto"/>
          </w:tcPr>
          <w:p w14:paraId="1FF9E02A" w14:textId="77777777" w:rsidR="009F2CDD" w:rsidRPr="002056FA" w:rsidRDefault="009F2CDD" w:rsidP="00E169B4">
            <w:pPr>
              <w:pStyle w:val="TableCopy"/>
              <w:rPr>
                <w:rFonts w:eastAsia="Calibri"/>
                <w:color w:val="548DD4"/>
                <w:lang w:eastAsia="en-US"/>
              </w:rPr>
            </w:pPr>
            <w:r w:rsidRPr="002056FA">
              <w:rPr>
                <w:rFonts w:eastAsia="Calibri"/>
                <w:lang w:eastAsia="en-US"/>
              </w:rPr>
              <w:t xml:space="preserve">Chapter </w:t>
            </w:r>
            <w:r>
              <w:rPr>
                <w:rFonts w:eastAsia="Calibri"/>
                <w:lang w:eastAsia="en-US"/>
              </w:rPr>
              <w:t>6</w:t>
            </w:r>
            <w:r w:rsidRPr="002056FA">
              <w:rPr>
                <w:rFonts w:eastAsia="Calibri"/>
                <w:lang w:eastAsia="en-US"/>
              </w:rPr>
              <w:t xml:space="preserve"> of Energex’s </w:t>
            </w:r>
            <w:r>
              <w:rPr>
                <w:rFonts w:eastAsia="Calibri"/>
                <w:lang w:eastAsia="en-US"/>
              </w:rPr>
              <w:t>R</w:t>
            </w:r>
            <w:r w:rsidRPr="002056FA">
              <w:rPr>
                <w:rFonts w:eastAsia="Calibri"/>
                <w:lang w:eastAsia="en-US"/>
              </w:rPr>
              <w:t xml:space="preserve">egulatory </w:t>
            </w:r>
            <w:r>
              <w:rPr>
                <w:rFonts w:eastAsia="Calibri"/>
                <w:lang w:eastAsia="en-US"/>
              </w:rPr>
              <w:t>P</w:t>
            </w:r>
            <w:r w:rsidRPr="002056FA">
              <w:rPr>
                <w:rFonts w:eastAsia="Calibri"/>
                <w:lang w:eastAsia="en-US"/>
              </w:rPr>
              <w:t>roposal explains our method for developing the total amount of forecast opex attributable to changes in the prices of labour and materials. In summary, Energex</w:t>
            </w:r>
            <w:r w:rsidRPr="002056FA">
              <w:rPr>
                <w:rFonts w:eastAsia="Calibri"/>
                <w:color w:val="548DD4"/>
                <w:lang w:eastAsia="en-US"/>
              </w:rPr>
              <w:t>:</w:t>
            </w:r>
          </w:p>
          <w:p w14:paraId="50195FC8" w14:textId="77777777" w:rsidR="009F2CDD" w:rsidRPr="002056FA" w:rsidRDefault="009F2CDD" w:rsidP="00E169B4">
            <w:pPr>
              <w:pStyle w:val="TableCopy"/>
              <w:rPr>
                <w:rFonts w:eastAsia="Calibri"/>
                <w:lang w:eastAsia="en-US"/>
              </w:rPr>
            </w:pPr>
            <w:r w:rsidRPr="002056FA">
              <w:rPr>
                <w:rFonts w:eastAsia="Calibri"/>
                <w:lang w:eastAsia="en-US"/>
              </w:rPr>
              <w:t xml:space="preserve">Split the base year opex into labour and non-labour components using the weights (59.7%/40.3%) reflected in the AER draft </w:t>
            </w:r>
            <w:r>
              <w:rPr>
                <w:rFonts w:eastAsia="Calibri"/>
                <w:lang w:eastAsia="en-US"/>
              </w:rPr>
              <w:t>D</w:t>
            </w:r>
            <w:r w:rsidRPr="002056FA">
              <w:rPr>
                <w:rFonts w:eastAsia="Calibri"/>
                <w:lang w:eastAsia="en-US"/>
              </w:rPr>
              <w:t xml:space="preserve">etermination for NSW distributors. </w:t>
            </w:r>
          </w:p>
          <w:p w14:paraId="787C6228" w14:textId="77777777" w:rsidR="009F2CDD" w:rsidRPr="002056FA" w:rsidRDefault="009F2CDD" w:rsidP="00E169B4">
            <w:pPr>
              <w:pStyle w:val="TableCopy"/>
              <w:rPr>
                <w:rFonts w:eastAsia="Calibri"/>
                <w:lang w:eastAsia="en-US"/>
              </w:rPr>
            </w:pPr>
            <w:r w:rsidRPr="002056FA">
              <w:rPr>
                <w:rFonts w:eastAsia="Calibri"/>
                <w:lang w:eastAsia="en-US"/>
              </w:rPr>
              <w:t>For the labour component, we used the labour escalators described in response to 9 above.</w:t>
            </w:r>
          </w:p>
          <w:p w14:paraId="56CE84F4" w14:textId="77777777" w:rsidR="009F2CDD" w:rsidRPr="002056FA" w:rsidRDefault="009F2CDD" w:rsidP="00E169B4">
            <w:pPr>
              <w:pStyle w:val="TableCopy"/>
              <w:rPr>
                <w:rFonts w:eastAsia="Calibri"/>
                <w:lang w:eastAsia="en-US"/>
              </w:rPr>
            </w:pPr>
            <w:r w:rsidRPr="002056FA">
              <w:rPr>
                <w:rFonts w:eastAsia="Calibri"/>
                <w:lang w:eastAsia="en-US"/>
              </w:rPr>
              <w:t>For the non-labour (i.e. materials) component, we assumed no real price changes.</w:t>
            </w:r>
          </w:p>
          <w:p w14:paraId="4BCF582F" w14:textId="77777777" w:rsidR="009F2CDD" w:rsidRPr="002056FA" w:rsidRDefault="009F2CDD" w:rsidP="00E169B4">
            <w:pPr>
              <w:pStyle w:val="TableCopy"/>
              <w:rPr>
                <w:rFonts w:eastAsia="Calibri"/>
                <w:lang w:eastAsia="en-US"/>
              </w:rPr>
            </w:pPr>
            <w:r w:rsidRPr="002056FA">
              <w:rPr>
                <w:rFonts w:eastAsia="Calibri"/>
                <w:lang w:eastAsia="en-US"/>
              </w:rPr>
              <w:t>Combined the real labour escalator with the (zero) real materials escalator and the assumed weights to get a single forecast price change factor.</w:t>
            </w:r>
          </w:p>
          <w:p w14:paraId="6C76F137" w14:textId="77777777" w:rsidR="009F2CDD" w:rsidRPr="002056FA" w:rsidRDefault="009F2CDD" w:rsidP="00E169B4">
            <w:pPr>
              <w:pStyle w:val="TableCopy"/>
              <w:rPr>
                <w:rFonts w:eastAsia="Calibri"/>
                <w:lang w:eastAsia="en-US"/>
              </w:rPr>
            </w:pPr>
            <w:r w:rsidRPr="002056FA">
              <w:rPr>
                <w:rFonts w:eastAsia="Calibri"/>
                <w:lang w:eastAsia="en-US"/>
              </w:rPr>
              <w:t>Combined this price change factor with the forecast output growth and productivity change factors to get a single opex rate of change.</w:t>
            </w:r>
          </w:p>
          <w:p w14:paraId="2A10CBA2" w14:textId="77777777" w:rsidR="009F2CDD" w:rsidRPr="002056FA" w:rsidRDefault="009F2CDD" w:rsidP="00E169B4">
            <w:pPr>
              <w:pStyle w:val="TableCopy"/>
              <w:rPr>
                <w:rFonts w:eastAsia="Calibri"/>
                <w:lang w:eastAsia="en-US"/>
              </w:rPr>
            </w:pPr>
            <w:r w:rsidRPr="002056FA">
              <w:rPr>
                <w:rFonts w:eastAsia="Calibri"/>
                <w:lang w:eastAsia="en-US"/>
              </w:rPr>
              <w:t>Applied the single rate of change to base year opex.</w:t>
            </w:r>
          </w:p>
          <w:p w14:paraId="6160DB0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This method was applied in the following models:</w:t>
            </w:r>
          </w:p>
          <w:p w14:paraId="5BC022FD" w14:textId="77777777" w:rsidR="009F2CDD" w:rsidRPr="002056FA" w:rsidRDefault="009F2CDD" w:rsidP="00E169B4">
            <w:pPr>
              <w:pStyle w:val="Bullet1"/>
              <w:rPr>
                <w:sz w:val="20"/>
                <w:szCs w:val="20"/>
              </w:rPr>
            </w:pPr>
            <w:r w:rsidRPr="002056FA">
              <w:rPr>
                <w:sz w:val="20"/>
                <w:szCs w:val="20"/>
              </w:rPr>
              <w:t>Opex</w:t>
            </w:r>
            <w:r>
              <w:rPr>
                <w:sz w:val="20"/>
                <w:szCs w:val="20"/>
              </w:rPr>
              <w:t xml:space="preserve"> forecast – SCS model</w:t>
            </w:r>
            <w:r w:rsidRPr="002056FA">
              <w:rPr>
                <w:sz w:val="20"/>
                <w:szCs w:val="20"/>
              </w:rPr>
              <w:t xml:space="preserve"> (Attachment </w:t>
            </w:r>
            <w:r>
              <w:rPr>
                <w:sz w:val="20"/>
                <w:szCs w:val="20"/>
              </w:rPr>
              <w:t>6.007</w:t>
            </w:r>
            <w:r w:rsidRPr="002056FA">
              <w:rPr>
                <w:sz w:val="20"/>
                <w:szCs w:val="20"/>
              </w:rPr>
              <w:t>)</w:t>
            </w:r>
          </w:p>
          <w:p w14:paraId="750B369F" w14:textId="77777777" w:rsidR="009F2CDD" w:rsidRPr="002056FA" w:rsidRDefault="009F2CDD" w:rsidP="00E169B4">
            <w:pPr>
              <w:pStyle w:val="Bullet1"/>
              <w:rPr>
                <w:sz w:val="20"/>
                <w:szCs w:val="20"/>
              </w:rPr>
            </w:pPr>
            <w:r>
              <w:rPr>
                <w:sz w:val="20"/>
                <w:szCs w:val="20"/>
              </w:rPr>
              <w:t>Opex forecast – ACS Metering</w:t>
            </w:r>
            <w:r w:rsidRPr="002056FA">
              <w:rPr>
                <w:sz w:val="20"/>
                <w:szCs w:val="20"/>
              </w:rPr>
              <w:t xml:space="preserve"> (Attachment </w:t>
            </w:r>
            <w:r>
              <w:rPr>
                <w:sz w:val="20"/>
                <w:szCs w:val="20"/>
              </w:rPr>
              <w:t>15.010</w:t>
            </w:r>
            <w:r w:rsidRPr="002056FA">
              <w:rPr>
                <w:sz w:val="20"/>
                <w:szCs w:val="20"/>
              </w:rPr>
              <w:t>)</w:t>
            </w:r>
          </w:p>
          <w:p w14:paraId="4A3B757C" w14:textId="77777777" w:rsidR="009F2CDD" w:rsidRPr="004F40EC" w:rsidRDefault="009F2CDD" w:rsidP="00E169B4">
            <w:pPr>
              <w:pStyle w:val="Bullet1"/>
            </w:pPr>
            <w:r w:rsidRPr="002056FA">
              <w:rPr>
                <w:sz w:val="20"/>
                <w:szCs w:val="20"/>
              </w:rPr>
              <w:t>Opex</w:t>
            </w:r>
            <w:r>
              <w:rPr>
                <w:sz w:val="20"/>
                <w:szCs w:val="20"/>
              </w:rPr>
              <w:t xml:space="preserve"> forecast – ACS Public Lighting</w:t>
            </w:r>
            <w:r w:rsidRPr="002056FA">
              <w:rPr>
                <w:sz w:val="20"/>
                <w:szCs w:val="20"/>
              </w:rPr>
              <w:t xml:space="preserve"> </w:t>
            </w:r>
            <w:r>
              <w:rPr>
                <w:sz w:val="20"/>
                <w:szCs w:val="20"/>
              </w:rPr>
              <w:t xml:space="preserve">Conventional </w:t>
            </w:r>
            <w:r w:rsidRPr="002056FA">
              <w:rPr>
                <w:sz w:val="20"/>
                <w:szCs w:val="20"/>
              </w:rPr>
              <w:t xml:space="preserve">(Attachment </w:t>
            </w:r>
            <w:r>
              <w:rPr>
                <w:sz w:val="20"/>
                <w:szCs w:val="20"/>
              </w:rPr>
              <w:t>15.012</w:t>
            </w:r>
            <w:r w:rsidRPr="00D53750">
              <w:rPr>
                <w:sz w:val="20"/>
                <w:szCs w:val="20"/>
              </w:rPr>
              <w:t>)</w:t>
            </w:r>
            <w:r>
              <w:rPr>
                <w:sz w:val="20"/>
                <w:szCs w:val="20"/>
              </w:rPr>
              <w:t>, and</w:t>
            </w:r>
          </w:p>
          <w:p w14:paraId="6616FC79" w14:textId="77777777" w:rsidR="009F2CDD" w:rsidRPr="002056FA" w:rsidRDefault="009F2CDD" w:rsidP="00E169B4">
            <w:pPr>
              <w:pStyle w:val="Bullet1"/>
            </w:pPr>
            <w:r>
              <w:rPr>
                <w:sz w:val="20"/>
                <w:szCs w:val="20"/>
              </w:rPr>
              <w:t>Opex forecast – ACS Public Lighting LED (Attachment 15.014)</w:t>
            </w:r>
            <w:r w:rsidRPr="00D53750">
              <w:rPr>
                <w:sz w:val="20"/>
                <w:szCs w:val="20"/>
              </w:rPr>
              <w:t>.</w:t>
            </w:r>
          </w:p>
        </w:tc>
      </w:tr>
      <w:tr w:rsidR="009F2CDD" w:rsidRPr="002056FA" w14:paraId="6B28A670" w14:textId="77777777" w:rsidTr="00E169B4">
        <w:tc>
          <w:tcPr>
            <w:tcW w:w="0" w:type="auto"/>
            <w:tcBorders>
              <w:bottom w:val="single" w:sz="4" w:space="0" w:color="auto"/>
            </w:tcBorders>
            <w:shd w:val="clear" w:color="auto" w:fill="auto"/>
          </w:tcPr>
          <w:p w14:paraId="3483FAB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10.9(b) </w:t>
            </w:r>
          </w:p>
        </w:tc>
        <w:tc>
          <w:tcPr>
            <w:tcW w:w="0" w:type="auto"/>
            <w:tcBorders>
              <w:bottom w:val="single" w:sz="4" w:space="0" w:color="auto"/>
            </w:tcBorders>
            <w:shd w:val="clear" w:color="auto" w:fill="auto"/>
          </w:tcPr>
          <w:p w14:paraId="4636E51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whether </w:t>
            </w:r>
            <w:r w:rsidRPr="002056FA">
              <w:rPr>
                <w:rFonts w:eastAsia="Calibri"/>
                <w:iCs/>
                <w:color w:val="000000"/>
                <w:lang w:eastAsia="en-US"/>
              </w:rPr>
              <w:t xml:space="preserve">Energex ’s </w:t>
            </w:r>
            <w:r w:rsidRPr="002056FA">
              <w:rPr>
                <w:rFonts w:eastAsia="Calibri"/>
                <w:color w:val="000000"/>
                <w:lang w:eastAsia="en-US"/>
              </w:rPr>
              <w:t xml:space="preserve">labour price measure compensates for any form of labour productivity change. </w:t>
            </w:r>
          </w:p>
        </w:tc>
        <w:tc>
          <w:tcPr>
            <w:tcW w:w="0" w:type="auto"/>
            <w:tcBorders>
              <w:bottom w:val="single" w:sz="4" w:space="0" w:color="auto"/>
            </w:tcBorders>
            <w:shd w:val="clear" w:color="auto" w:fill="auto"/>
          </w:tcPr>
          <w:p w14:paraId="42FFD203" w14:textId="77777777" w:rsidR="009F2CDD" w:rsidRPr="002056FA" w:rsidRDefault="009F2CDD" w:rsidP="00E169B4">
            <w:pPr>
              <w:pStyle w:val="TableCopy"/>
              <w:rPr>
                <w:rFonts w:eastAsia="Calibri"/>
                <w:lang w:eastAsia="en-US"/>
              </w:rPr>
            </w:pPr>
            <w:r w:rsidRPr="002056FA">
              <w:rPr>
                <w:rFonts w:eastAsia="Calibri"/>
                <w:lang w:eastAsia="en-US"/>
              </w:rPr>
              <w:t xml:space="preserve">Energex </w:t>
            </w:r>
            <w:r>
              <w:rPr>
                <w:rFonts w:eastAsia="Calibri"/>
                <w:lang w:eastAsia="en-US"/>
              </w:rPr>
              <w:t>has</w:t>
            </w:r>
            <w:r w:rsidRPr="002056FA">
              <w:rPr>
                <w:rFonts w:eastAsia="Calibri"/>
                <w:lang w:eastAsia="en-US"/>
              </w:rPr>
              <w:t xml:space="preserve"> used a wage (or labour) price index.  This does not directly factor in labour productivity.  However, as discussed </w:t>
            </w:r>
            <w:r>
              <w:rPr>
                <w:rFonts w:eastAsia="Calibri"/>
                <w:lang w:eastAsia="en-US"/>
              </w:rPr>
              <w:t>chapter 6 of our</w:t>
            </w:r>
            <w:r w:rsidRPr="002056FA">
              <w:rPr>
                <w:rFonts w:eastAsia="Calibri"/>
                <w:lang w:eastAsia="en-US"/>
              </w:rPr>
              <w:t xml:space="preserve"> Regulatory Proposal, a labour cost escalator of 0.26% on average per year was applied to reflect the management’s commitment to </w:t>
            </w:r>
            <w:r>
              <w:rPr>
                <w:rFonts w:eastAsia="Calibri"/>
                <w:lang w:eastAsia="en-US"/>
              </w:rPr>
              <w:t>improve the program of works</w:t>
            </w:r>
            <w:r w:rsidRPr="002056FA">
              <w:rPr>
                <w:rFonts w:eastAsia="Calibri"/>
                <w:lang w:eastAsia="en-US"/>
              </w:rPr>
              <w:t xml:space="preserve"> </w:t>
            </w:r>
            <w:r>
              <w:rPr>
                <w:rFonts w:eastAsia="Calibri"/>
                <w:lang w:eastAsia="en-US"/>
              </w:rPr>
              <w:t xml:space="preserve">delivery </w:t>
            </w:r>
            <w:r w:rsidRPr="002056FA">
              <w:rPr>
                <w:rFonts w:eastAsia="Calibri"/>
                <w:lang w:eastAsia="en-US"/>
              </w:rPr>
              <w:t xml:space="preserve">by 3% over the forecast period. </w:t>
            </w:r>
          </w:p>
        </w:tc>
      </w:tr>
      <w:tr w:rsidR="009F2CDD" w:rsidRPr="002056FA" w14:paraId="6045D846" w14:textId="77777777" w:rsidTr="00E169B4">
        <w:tc>
          <w:tcPr>
            <w:tcW w:w="0" w:type="auto"/>
            <w:shd w:val="clear" w:color="auto" w:fill="D0CECE" w:themeFill="background2" w:themeFillShade="E6"/>
          </w:tcPr>
          <w:p w14:paraId="1185FF5E" w14:textId="77777777" w:rsidR="009F2CDD" w:rsidRPr="002056FA" w:rsidRDefault="009F2CDD" w:rsidP="00E169B4">
            <w:pPr>
              <w:pStyle w:val="TableCopy"/>
              <w:rPr>
                <w:rFonts w:eastAsia="Calibri"/>
                <w:color w:val="000000"/>
                <w:lang w:eastAsia="en-US"/>
              </w:rPr>
            </w:pPr>
          </w:p>
        </w:tc>
        <w:tc>
          <w:tcPr>
            <w:tcW w:w="0" w:type="auto"/>
            <w:shd w:val="clear" w:color="auto" w:fill="D0CECE" w:themeFill="background2" w:themeFillShade="E6"/>
          </w:tcPr>
          <w:p w14:paraId="5CA2632F" w14:textId="77777777" w:rsidR="009F2CDD" w:rsidRPr="002056FA" w:rsidRDefault="009F2CDD" w:rsidP="00E169B4">
            <w:pPr>
              <w:pStyle w:val="TableCopy"/>
              <w:rPr>
                <w:rFonts w:eastAsia="Calibri"/>
                <w:b/>
                <w:color w:val="000000"/>
                <w:lang w:eastAsia="en-US"/>
              </w:rPr>
            </w:pPr>
            <w:r w:rsidRPr="002056FA">
              <w:rPr>
                <w:rFonts w:eastAsia="Calibri"/>
                <w:b/>
                <w:color w:val="000000"/>
                <w:lang w:eastAsia="en-US"/>
              </w:rPr>
              <w:t>Productivity change</w:t>
            </w:r>
          </w:p>
        </w:tc>
        <w:tc>
          <w:tcPr>
            <w:tcW w:w="0" w:type="auto"/>
            <w:shd w:val="clear" w:color="auto" w:fill="D0CECE" w:themeFill="background2" w:themeFillShade="E6"/>
          </w:tcPr>
          <w:p w14:paraId="5CC3D817" w14:textId="77777777" w:rsidR="009F2CDD" w:rsidRPr="002056FA" w:rsidRDefault="009F2CDD" w:rsidP="00E169B4">
            <w:pPr>
              <w:pStyle w:val="TableCopy"/>
              <w:rPr>
                <w:rFonts w:eastAsia="Calibri"/>
                <w:color w:val="000000"/>
                <w:lang w:eastAsia="en-US"/>
              </w:rPr>
            </w:pPr>
          </w:p>
        </w:tc>
      </w:tr>
      <w:tr w:rsidR="009F2CDD" w:rsidRPr="002056FA" w14:paraId="7F57C41B" w14:textId="77777777" w:rsidTr="00E169B4">
        <w:tc>
          <w:tcPr>
            <w:tcW w:w="0" w:type="auto"/>
            <w:shd w:val="clear" w:color="auto" w:fill="auto"/>
          </w:tcPr>
          <w:p w14:paraId="7286E12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10.10</w:t>
            </w:r>
          </w:p>
        </w:tc>
        <w:tc>
          <w:tcPr>
            <w:tcW w:w="0" w:type="auto"/>
            <w:shd w:val="clear" w:color="auto" w:fill="auto"/>
          </w:tcPr>
          <w:p w14:paraId="3B795CD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the amount of total forecast opex attributable to changes in productivity for standard control services opex and dual function assets opex in Workbook 1 – Regulatory determination, regulatory template 2.16, tables 2.16.1 and 2.16.3.</w:t>
            </w:r>
          </w:p>
        </w:tc>
        <w:tc>
          <w:tcPr>
            <w:tcW w:w="0" w:type="auto"/>
            <w:shd w:val="clear" w:color="auto" w:fill="auto"/>
          </w:tcPr>
          <w:p w14:paraId="39EB16F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 has completed template 2.16 in accordance with the AER’s instructions as can be demonstrated in </w:t>
            </w:r>
            <w:r>
              <w:rPr>
                <w:rFonts w:eastAsia="Calibri"/>
                <w:color w:val="000000"/>
                <w:lang w:eastAsia="en-US"/>
              </w:rPr>
              <w:t xml:space="preserve">the 2020-25 </w:t>
            </w:r>
            <w:r w:rsidRPr="00686851">
              <w:rPr>
                <w:rFonts w:eastAsia="Calibri"/>
                <w:color w:val="000000"/>
                <w:lang w:eastAsia="en-US"/>
              </w:rPr>
              <w:t>Regulatory Determination RIN template</w:t>
            </w:r>
            <w:r w:rsidRPr="002056FA">
              <w:rPr>
                <w:rFonts w:eastAsia="Calibri"/>
                <w:color w:val="000000"/>
                <w:lang w:eastAsia="en-US"/>
              </w:rPr>
              <w:t xml:space="preserve"> (Attachment </w:t>
            </w:r>
            <w:r>
              <w:rPr>
                <w:rFonts w:eastAsia="Calibri"/>
                <w:color w:val="000000"/>
                <w:lang w:eastAsia="en-US"/>
              </w:rPr>
              <w:t>17.046</w:t>
            </w:r>
            <w:r w:rsidRPr="002056FA">
              <w:rPr>
                <w:rFonts w:eastAsia="Calibri"/>
                <w:color w:val="000000"/>
                <w:lang w:eastAsia="en-US"/>
              </w:rPr>
              <w:t>). This</w:t>
            </w:r>
            <w:r>
              <w:rPr>
                <w:rFonts w:eastAsia="Calibri"/>
                <w:color w:val="000000"/>
                <w:lang w:eastAsia="en-US"/>
              </w:rPr>
              <w:t xml:space="preserve"> has been derived from data in the Reset RIN Population Model</w:t>
            </w:r>
            <w:r w:rsidRPr="002056FA">
              <w:rPr>
                <w:rFonts w:eastAsia="Calibri"/>
                <w:color w:val="000000"/>
                <w:lang w:eastAsia="en-US"/>
              </w:rPr>
              <w:t xml:space="preserve"> (</w:t>
            </w:r>
            <w:r w:rsidRPr="00054BD7">
              <w:rPr>
                <w:rFonts w:eastAsia="Calibri"/>
                <w:color w:val="000000"/>
                <w:lang w:eastAsia="en-US"/>
              </w:rPr>
              <w:t xml:space="preserve">Attachment </w:t>
            </w:r>
            <w:r>
              <w:rPr>
                <w:rFonts w:eastAsia="Calibri"/>
                <w:color w:val="000000"/>
                <w:lang w:eastAsia="en-US"/>
              </w:rPr>
              <w:t>17.065</w:t>
            </w:r>
            <w:r w:rsidRPr="00054BD7">
              <w:rPr>
                <w:rFonts w:eastAsia="Calibri"/>
                <w:color w:val="000000"/>
                <w:lang w:eastAsia="en-US"/>
              </w:rPr>
              <w:t>).</w:t>
            </w:r>
            <w:r w:rsidRPr="002056FA">
              <w:rPr>
                <w:rFonts w:eastAsia="Calibri"/>
                <w:color w:val="000000"/>
                <w:lang w:eastAsia="en-US"/>
              </w:rPr>
              <w:t xml:space="preserve"> </w:t>
            </w:r>
          </w:p>
          <w:p w14:paraId="0ADDF049" w14:textId="77777777" w:rsidR="009F2CDD" w:rsidRPr="002056FA" w:rsidRDefault="009F2CDD" w:rsidP="00E169B4">
            <w:pPr>
              <w:pStyle w:val="TableCopy"/>
              <w:rPr>
                <w:rFonts w:eastAsia="Calibri"/>
                <w:color w:val="000000"/>
                <w:lang w:eastAsia="en-US"/>
              </w:rPr>
            </w:pPr>
          </w:p>
        </w:tc>
      </w:tr>
      <w:tr w:rsidR="009F2CDD" w:rsidRPr="002056FA" w14:paraId="4ED5C6C3" w14:textId="77777777" w:rsidTr="00E169B4">
        <w:tc>
          <w:tcPr>
            <w:tcW w:w="0" w:type="auto"/>
            <w:tcBorders>
              <w:bottom w:val="single" w:sz="4" w:space="0" w:color="auto"/>
            </w:tcBorders>
            <w:shd w:val="clear" w:color="auto" w:fill="auto"/>
          </w:tcPr>
          <w:p w14:paraId="650B4AB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10.11</w:t>
            </w:r>
          </w:p>
        </w:tc>
        <w:tc>
          <w:tcPr>
            <w:tcW w:w="0" w:type="auto"/>
            <w:tcBorders>
              <w:bottom w:val="single" w:sz="4" w:space="0" w:color="auto"/>
            </w:tcBorders>
            <w:shd w:val="clear" w:color="auto" w:fill="auto"/>
          </w:tcPr>
          <w:p w14:paraId="7D3E926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in percentage year on year terms, the productivity measure that Energex used to develop the amount of total forecast opex attributable to changes in productivity.</w:t>
            </w:r>
          </w:p>
        </w:tc>
        <w:tc>
          <w:tcPr>
            <w:tcW w:w="0" w:type="auto"/>
            <w:tcBorders>
              <w:bottom w:val="single" w:sz="4" w:space="0" w:color="auto"/>
            </w:tcBorders>
            <w:shd w:val="clear" w:color="auto" w:fill="auto"/>
          </w:tcPr>
          <w:p w14:paraId="6483EC55" w14:textId="77777777" w:rsidR="009F2CDD" w:rsidRPr="00485275" w:rsidRDefault="009F2CDD" w:rsidP="00E169B4">
            <w:pPr>
              <w:pStyle w:val="TableCopy"/>
              <w:rPr>
                <w:rFonts w:eastAsia="Calibri"/>
                <w:color w:val="000000"/>
                <w:lang w:eastAsia="en-US"/>
              </w:rPr>
            </w:pPr>
            <w:r w:rsidRPr="00485275">
              <w:rPr>
                <w:rFonts w:eastAsia="Calibri"/>
                <w:color w:val="000000"/>
                <w:lang w:eastAsia="en-US"/>
              </w:rPr>
              <w:t xml:space="preserve">As noted in Chapter 6 of Energex’s Regulatory Proposal, Energex is committed to pursuing further savings over the 2020-25 regulatory control period. Therefore, Energex </w:t>
            </w:r>
            <w:r>
              <w:rPr>
                <w:rFonts w:eastAsia="Calibri"/>
                <w:color w:val="000000"/>
                <w:lang w:eastAsia="en-US"/>
              </w:rPr>
              <w:t>is</w:t>
            </w:r>
            <w:r w:rsidRPr="00485275">
              <w:rPr>
                <w:rFonts w:eastAsia="Calibri"/>
                <w:color w:val="000000"/>
                <w:lang w:eastAsia="en-US"/>
              </w:rPr>
              <w:t xml:space="preserve"> proposing a positive productivity saving based on the top-down management initiative of 10% total indirect cost savings, and other targeted cost reductions, which results in an overall productivity saving of 9% for SCS over the 2020-25 regulatory control period, or 1.72% per annum.  In this way, the savings will be progressively achieved through a structured program throughout 2020-25.</w:t>
            </w:r>
          </w:p>
          <w:p w14:paraId="340E7496" w14:textId="77777777" w:rsidR="009F2CDD" w:rsidRPr="00485275" w:rsidRDefault="009F2CDD" w:rsidP="00E169B4">
            <w:pPr>
              <w:pStyle w:val="TableCopy"/>
              <w:rPr>
                <w:rFonts w:eastAsia="Calibri"/>
                <w:color w:val="000000"/>
                <w:lang w:eastAsia="en-US"/>
              </w:rPr>
            </w:pPr>
          </w:p>
          <w:p w14:paraId="299B7410" w14:textId="77777777" w:rsidR="009F2CDD" w:rsidRPr="00485275" w:rsidRDefault="009F2CDD" w:rsidP="00E169B4">
            <w:pPr>
              <w:pStyle w:val="TableCopy"/>
              <w:rPr>
                <w:rFonts w:eastAsia="Calibri"/>
                <w:color w:val="000000"/>
                <w:lang w:eastAsia="en-US"/>
              </w:rPr>
            </w:pPr>
            <w:r w:rsidRPr="00485275">
              <w:rPr>
                <w:rFonts w:eastAsia="Calibri"/>
                <w:color w:val="000000"/>
                <w:lang w:eastAsia="en-US"/>
              </w:rPr>
              <w:t>For ACS we applied the same productivity improvements as for SCS.  For Public Lighting, further productivity gains were assumed in line with the implementation of LEDs which have significantly lower operating and maintenance costs than conventional lights.</w:t>
            </w:r>
          </w:p>
          <w:p w14:paraId="4BC04DEC" w14:textId="77777777" w:rsidR="009F2CDD" w:rsidRPr="00485275" w:rsidRDefault="009F2CDD" w:rsidP="00E169B4">
            <w:pPr>
              <w:pStyle w:val="TableCopy"/>
              <w:rPr>
                <w:rFonts w:eastAsia="Calibri"/>
                <w:color w:val="000000"/>
                <w:lang w:eastAsia="en-US"/>
              </w:rPr>
            </w:pPr>
          </w:p>
          <w:p w14:paraId="2B7A34D9" w14:textId="77777777" w:rsidR="009F2CDD" w:rsidRPr="00485275" w:rsidRDefault="009F2CDD" w:rsidP="00E169B4">
            <w:pPr>
              <w:pStyle w:val="TableCopy"/>
              <w:rPr>
                <w:rFonts w:eastAsia="Calibri"/>
                <w:color w:val="000000"/>
                <w:lang w:eastAsia="en-US"/>
              </w:rPr>
            </w:pPr>
            <w:r w:rsidRPr="00485275">
              <w:rPr>
                <w:rFonts w:eastAsia="Calibri"/>
                <w:color w:val="000000"/>
                <w:lang w:eastAsia="en-US"/>
              </w:rPr>
              <w:t>Energex expects that, because of our targeted productivity savings, we will at least maintain our relative performance as benchmarked against our peers, with an aspiration to improve. This is reflected in the following models:</w:t>
            </w:r>
          </w:p>
          <w:p w14:paraId="0A4A21B5" w14:textId="77777777" w:rsidR="009F2CDD" w:rsidRPr="00485275" w:rsidRDefault="009F2CDD" w:rsidP="00D517E4">
            <w:pPr>
              <w:pStyle w:val="TableCopy"/>
              <w:numPr>
                <w:ilvl w:val="0"/>
                <w:numId w:val="17"/>
              </w:numPr>
              <w:rPr>
                <w:rFonts w:eastAsia="Calibri"/>
                <w:color w:val="000000"/>
                <w:lang w:eastAsia="en-US"/>
              </w:rPr>
            </w:pPr>
            <w:r w:rsidRPr="00485275">
              <w:rPr>
                <w:rFonts w:eastAsia="Calibri"/>
                <w:color w:val="000000"/>
                <w:lang w:eastAsia="en-US"/>
              </w:rPr>
              <w:t>Opex forecast – SCS JAN19 PUBLIC (attachment 6.007)</w:t>
            </w:r>
          </w:p>
          <w:p w14:paraId="58FBCB0F" w14:textId="77777777" w:rsidR="009F2CDD" w:rsidRPr="00485275" w:rsidRDefault="009F2CDD" w:rsidP="00D517E4">
            <w:pPr>
              <w:pStyle w:val="TableCopy"/>
              <w:numPr>
                <w:ilvl w:val="0"/>
                <w:numId w:val="17"/>
              </w:numPr>
              <w:rPr>
                <w:rFonts w:eastAsia="Calibri"/>
                <w:color w:val="000000"/>
                <w:lang w:eastAsia="en-US"/>
              </w:rPr>
            </w:pPr>
            <w:r w:rsidRPr="00485275">
              <w:rPr>
                <w:rFonts w:eastAsia="Calibri"/>
                <w:color w:val="000000"/>
                <w:lang w:eastAsia="en-US"/>
              </w:rPr>
              <w:t>Opex forecast – ACS metering JAN19 PUBLIC (attachment 15.010)</w:t>
            </w:r>
          </w:p>
          <w:p w14:paraId="4EA9E207" w14:textId="77777777" w:rsidR="009F2CDD" w:rsidRPr="00485275" w:rsidRDefault="009F2CDD" w:rsidP="00D517E4">
            <w:pPr>
              <w:pStyle w:val="TableCopy"/>
              <w:numPr>
                <w:ilvl w:val="0"/>
                <w:numId w:val="17"/>
              </w:numPr>
              <w:rPr>
                <w:rFonts w:eastAsia="Calibri"/>
                <w:color w:val="000000"/>
                <w:lang w:eastAsia="en-US"/>
              </w:rPr>
            </w:pPr>
            <w:r w:rsidRPr="00485275">
              <w:rPr>
                <w:rFonts w:eastAsia="Calibri"/>
                <w:color w:val="000000"/>
                <w:lang w:eastAsia="en-US"/>
              </w:rPr>
              <w:t>Opex forecast – ACS public lighting CON JAN19 PUBLIC (attachment 15.012)</w:t>
            </w:r>
          </w:p>
          <w:p w14:paraId="66510FBE" w14:textId="77777777" w:rsidR="009F2CDD" w:rsidRPr="002056FA" w:rsidRDefault="009F2CDD" w:rsidP="00E169B4">
            <w:pPr>
              <w:pStyle w:val="Bullet1"/>
            </w:pPr>
            <w:r w:rsidRPr="00485275">
              <w:rPr>
                <w:color w:val="000000"/>
              </w:rPr>
              <w:t>•             Opex forecast – ACS public lighting LED JAN19 PUBLIC (attachment 15.014)</w:t>
            </w:r>
          </w:p>
        </w:tc>
      </w:tr>
      <w:tr w:rsidR="009F2CDD" w:rsidRPr="002056FA" w14:paraId="3123BB6C" w14:textId="77777777" w:rsidTr="00E169B4">
        <w:tc>
          <w:tcPr>
            <w:tcW w:w="0" w:type="auto"/>
            <w:shd w:val="clear" w:color="auto" w:fill="D0CECE" w:themeFill="background2" w:themeFillShade="E6"/>
          </w:tcPr>
          <w:p w14:paraId="7A36FF6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10.12</w:t>
            </w:r>
          </w:p>
        </w:tc>
        <w:tc>
          <w:tcPr>
            <w:tcW w:w="0" w:type="auto"/>
            <w:shd w:val="clear" w:color="auto" w:fill="D0CECE" w:themeFill="background2" w:themeFillShade="E6"/>
          </w:tcPr>
          <w:p w14:paraId="2AF1071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an explanation of:</w:t>
            </w:r>
          </w:p>
        </w:tc>
        <w:tc>
          <w:tcPr>
            <w:tcW w:w="0" w:type="auto"/>
            <w:shd w:val="clear" w:color="auto" w:fill="D0CECE" w:themeFill="background2" w:themeFillShade="E6"/>
          </w:tcPr>
          <w:p w14:paraId="7BA9836C" w14:textId="77777777" w:rsidR="009F2CDD" w:rsidRPr="002056FA" w:rsidRDefault="009F2CDD" w:rsidP="00E169B4">
            <w:pPr>
              <w:pStyle w:val="TableCopy"/>
              <w:rPr>
                <w:rFonts w:eastAsia="Calibri"/>
                <w:color w:val="000000"/>
                <w:lang w:eastAsia="en-US"/>
              </w:rPr>
            </w:pPr>
          </w:p>
        </w:tc>
      </w:tr>
      <w:tr w:rsidR="009F2CDD" w:rsidRPr="002056FA" w14:paraId="4B9F5FE6" w14:textId="77777777" w:rsidTr="00E169B4">
        <w:tc>
          <w:tcPr>
            <w:tcW w:w="0" w:type="auto"/>
            <w:shd w:val="clear" w:color="auto" w:fill="auto"/>
          </w:tcPr>
          <w:p w14:paraId="42D9FB5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10.12(a) </w:t>
            </w:r>
          </w:p>
        </w:tc>
        <w:tc>
          <w:tcPr>
            <w:tcW w:w="0" w:type="auto"/>
            <w:shd w:val="clear" w:color="auto" w:fill="auto"/>
          </w:tcPr>
          <w:p w14:paraId="3F8D3CE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how, in developing the amount of total forecast </w:t>
            </w:r>
            <w:r w:rsidRPr="002056FA">
              <w:rPr>
                <w:rFonts w:eastAsia="Calibri"/>
                <w:iCs/>
                <w:color w:val="000000"/>
                <w:lang w:eastAsia="en-US"/>
              </w:rPr>
              <w:t xml:space="preserve">opex </w:t>
            </w:r>
            <w:r w:rsidRPr="002056FA">
              <w:rPr>
                <w:rFonts w:eastAsia="Calibri"/>
                <w:color w:val="000000"/>
                <w:lang w:eastAsia="en-US"/>
              </w:rPr>
              <w:t xml:space="preserve">attributable to changes in productivity, </w:t>
            </w:r>
            <w:r w:rsidRPr="002056FA">
              <w:rPr>
                <w:rFonts w:eastAsia="Calibri"/>
                <w:iCs/>
                <w:color w:val="000000"/>
                <w:lang w:eastAsia="en-US"/>
              </w:rPr>
              <w:t xml:space="preserve">Energex </w:t>
            </w:r>
            <w:r w:rsidRPr="002056FA">
              <w:rPr>
                <w:rFonts w:eastAsia="Calibri"/>
                <w:color w:val="000000"/>
                <w:lang w:eastAsia="en-US"/>
              </w:rPr>
              <w:t xml:space="preserve">applied the productivity measure in paragraph 10.11; </w:t>
            </w:r>
          </w:p>
        </w:tc>
        <w:tc>
          <w:tcPr>
            <w:tcW w:w="0" w:type="auto"/>
            <w:shd w:val="clear" w:color="auto" w:fill="auto"/>
          </w:tcPr>
          <w:p w14:paraId="28658DFC" w14:textId="77777777" w:rsidR="009F2CDD" w:rsidRPr="00485275" w:rsidRDefault="009F2CDD" w:rsidP="00E169B4">
            <w:pPr>
              <w:pStyle w:val="TableCopy"/>
              <w:rPr>
                <w:rFonts w:eastAsia="Calibri"/>
                <w:lang w:eastAsia="en-US"/>
              </w:rPr>
            </w:pPr>
            <w:r w:rsidRPr="00485275">
              <w:rPr>
                <w:rFonts w:eastAsia="Calibri"/>
                <w:lang w:eastAsia="en-US"/>
              </w:rPr>
              <w:t>The 1.72% annual productivity adjustment was applied in the following models:</w:t>
            </w:r>
          </w:p>
          <w:p w14:paraId="5B04B4E4" w14:textId="77777777" w:rsidR="009F2CDD" w:rsidRPr="00485275" w:rsidRDefault="009F2CDD" w:rsidP="00D517E4">
            <w:pPr>
              <w:pStyle w:val="TableCopy"/>
              <w:numPr>
                <w:ilvl w:val="0"/>
                <w:numId w:val="17"/>
              </w:numPr>
              <w:rPr>
                <w:rFonts w:eastAsia="Calibri"/>
                <w:lang w:eastAsia="en-US"/>
              </w:rPr>
            </w:pPr>
            <w:r w:rsidRPr="00485275">
              <w:rPr>
                <w:rFonts w:eastAsia="Calibri"/>
                <w:lang w:eastAsia="en-US"/>
              </w:rPr>
              <w:t>Opex forecast – SCS JAN19 PUBLIC (attachment 6.007)</w:t>
            </w:r>
          </w:p>
          <w:p w14:paraId="5E9C7F72" w14:textId="77777777" w:rsidR="009F2CDD" w:rsidRPr="00485275" w:rsidRDefault="009F2CDD" w:rsidP="00D517E4">
            <w:pPr>
              <w:pStyle w:val="TableCopy"/>
              <w:numPr>
                <w:ilvl w:val="0"/>
                <w:numId w:val="17"/>
              </w:numPr>
              <w:rPr>
                <w:rFonts w:eastAsia="Calibri"/>
                <w:lang w:eastAsia="en-US"/>
              </w:rPr>
            </w:pPr>
            <w:r w:rsidRPr="00485275">
              <w:rPr>
                <w:rFonts w:eastAsia="Calibri"/>
                <w:lang w:eastAsia="en-US"/>
              </w:rPr>
              <w:t>Opex forecast – ACS metering JAN19 PUBLIC (attachment 15.010)</w:t>
            </w:r>
          </w:p>
          <w:p w14:paraId="34D2127B" w14:textId="77777777" w:rsidR="009F2CDD" w:rsidRPr="00485275" w:rsidRDefault="009F2CDD" w:rsidP="00E169B4">
            <w:pPr>
              <w:pStyle w:val="TableCopy"/>
              <w:rPr>
                <w:rFonts w:eastAsia="Calibri"/>
                <w:lang w:eastAsia="en-US"/>
              </w:rPr>
            </w:pPr>
          </w:p>
          <w:p w14:paraId="7A1BB8E5" w14:textId="77777777" w:rsidR="009F2CDD" w:rsidRPr="00485275" w:rsidRDefault="009F2CDD" w:rsidP="00E169B4">
            <w:pPr>
              <w:pStyle w:val="TableCopy"/>
              <w:rPr>
                <w:rFonts w:eastAsia="Calibri"/>
                <w:lang w:eastAsia="en-US"/>
              </w:rPr>
            </w:pPr>
            <w:r w:rsidRPr="00485275">
              <w:rPr>
                <w:rFonts w:eastAsia="Calibri"/>
                <w:lang w:eastAsia="en-US"/>
              </w:rPr>
              <w:t>The 8% annual productivity adjustment for three years was applied in the following models:</w:t>
            </w:r>
          </w:p>
          <w:p w14:paraId="14911C95" w14:textId="77777777" w:rsidR="009F2CDD" w:rsidRPr="00485275" w:rsidRDefault="009F2CDD" w:rsidP="00D517E4">
            <w:pPr>
              <w:pStyle w:val="TableCopy"/>
              <w:numPr>
                <w:ilvl w:val="0"/>
                <w:numId w:val="17"/>
              </w:numPr>
              <w:rPr>
                <w:rFonts w:eastAsia="Calibri"/>
                <w:lang w:eastAsia="en-US"/>
              </w:rPr>
            </w:pPr>
            <w:r w:rsidRPr="00485275">
              <w:rPr>
                <w:rFonts w:eastAsia="Calibri"/>
                <w:lang w:eastAsia="en-US"/>
              </w:rPr>
              <w:t>Opex forecast – ACS public lighting LED JAN19 PUBLIC (attachment 15.014)</w:t>
            </w:r>
          </w:p>
          <w:p w14:paraId="1E024F7B" w14:textId="77777777" w:rsidR="009F2CDD" w:rsidRPr="00485275" w:rsidRDefault="009F2CDD" w:rsidP="00E169B4">
            <w:pPr>
              <w:pStyle w:val="TableCopy"/>
              <w:rPr>
                <w:rFonts w:eastAsia="Calibri"/>
                <w:lang w:eastAsia="en-US"/>
              </w:rPr>
            </w:pPr>
          </w:p>
          <w:p w14:paraId="59AFE2DF" w14:textId="77777777" w:rsidR="009F2CDD" w:rsidRPr="002056FA" w:rsidRDefault="009F2CDD" w:rsidP="00E169B4">
            <w:pPr>
              <w:pStyle w:val="Bullet1"/>
              <w:rPr>
                <w:color w:val="548DD4"/>
              </w:rPr>
            </w:pPr>
            <w:r w:rsidRPr="00485275">
              <w:t>)</w:t>
            </w:r>
          </w:p>
        </w:tc>
      </w:tr>
      <w:tr w:rsidR="009F2CDD" w:rsidRPr="002056FA" w14:paraId="11A63BFE" w14:textId="77777777" w:rsidTr="00E169B4">
        <w:tc>
          <w:tcPr>
            <w:tcW w:w="0" w:type="auto"/>
            <w:shd w:val="clear" w:color="auto" w:fill="auto"/>
          </w:tcPr>
          <w:p w14:paraId="3C2EE10F"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10.12(b) </w:t>
            </w:r>
          </w:p>
        </w:tc>
        <w:tc>
          <w:tcPr>
            <w:tcW w:w="0" w:type="auto"/>
            <w:shd w:val="clear" w:color="auto" w:fill="auto"/>
          </w:tcPr>
          <w:p w14:paraId="6D7CC281"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whether </w:t>
            </w:r>
            <w:r w:rsidRPr="002056FA">
              <w:rPr>
                <w:rFonts w:eastAsia="Calibri"/>
                <w:iCs/>
                <w:color w:val="000000"/>
                <w:lang w:eastAsia="en-US"/>
              </w:rPr>
              <w:t xml:space="preserve">Energex </w:t>
            </w:r>
            <w:r w:rsidRPr="002056FA">
              <w:rPr>
                <w:rFonts w:eastAsia="Calibri"/>
                <w:color w:val="000000"/>
                <w:lang w:eastAsia="en-US"/>
              </w:rPr>
              <w:t xml:space="preserve">’s forecast productivity changes capture the historic trend of cost increases due to changes in </w:t>
            </w:r>
            <w:r w:rsidRPr="002056FA">
              <w:rPr>
                <w:rFonts w:eastAsia="Calibri"/>
                <w:iCs/>
                <w:color w:val="000000"/>
                <w:lang w:eastAsia="en-US"/>
              </w:rPr>
              <w:t xml:space="preserve">regulatory obligations or requirements </w:t>
            </w:r>
            <w:r w:rsidRPr="002056FA">
              <w:rPr>
                <w:rFonts w:eastAsia="Calibri"/>
                <w:color w:val="000000"/>
                <w:lang w:eastAsia="en-US"/>
              </w:rPr>
              <w:t xml:space="preserve">and industry best practice; and </w:t>
            </w:r>
          </w:p>
        </w:tc>
        <w:tc>
          <w:tcPr>
            <w:tcW w:w="0" w:type="auto"/>
            <w:shd w:val="clear" w:color="auto" w:fill="auto"/>
          </w:tcPr>
          <w:p w14:paraId="663EC8B2" w14:textId="77777777" w:rsidR="009F2CDD" w:rsidRPr="002056FA" w:rsidRDefault="009F2CDD" w:rsidP="00E169B4">
            <w:pPr>
              <w:pStyle w:val="TableCopy"/>
              <w:rPr>
                <w:rFonts w:eastAsia="Calibri"/>
                <w:color w:val="548DD4"/>
                <w:lang w:eastAsia="en-US"/>
              </w:rPr>
            </w:pPr>
            <w:r w:rsidRPr="002056FA">
              <w:rPr>
                <w:rFonts w:eastAsia="Calibri"/>
                <w:lang w:eastAsia="en-US"/>
              </w:rPr>
              <w:t xml:space="preserve">As noted above, Energex </w:t>
            </w:r>
            <w:r>
              <w:rPr>
                <w:rFonts w:eastAsia="Calibri"/>
                <w:lang w:eastAsia="en-US"/>
              </w:rPr>
              <w:t>is</w:t>
            </w:r>
            <w:r w:rsidRPr="002056FA">
              <w:rPr>
                <w:rFonts w:eastAsia="Calibri"/>
                <w:lang w:eastAsia="en-US"/>
              </w:rPr>
              <w:t xml:space="preserve"> committed to pursuing further savings over the 2020-25 regulatory control period. Therefore, Energex </w:t>
            </w:r>
            <w:r>
              <w:rPr>
                <w:rFonts w:eastAsia="Calibri"/>
                <w:lang w:eastAsia="en-US"/>
              </w:rPr>
              <w:t>is</w:t>
            </w:r>
            <w:r w:rsidRPr="002056FA">
              <w:rPr>
                <w:rFonts w:eastAsia="Calibri"/>
                <w:lang w:eastAsia="en-US"/>
              </w:rPr>
              <w:t xml:space="preserve"> proposing a positive productivity saving based on the top-down management initiative of 10% total indirect cost savings, and other targeted cost reductions, which results in an overall productivity saving of </w:t>
            </w:r>
            <w:r>
              <w:rPr>
                <w:rFonts w:eastAsia="Calibri"/>
                <w:lang w:eastAsia="en-US"/>
              </w:rPr>
              <w:t>9</w:t>
            </w:r>
            <w:r w:rsidRPr="002056FA">
              <w:rPr>
                <w:rFonts w:eastAsia="Calibri"/>
                <w:lang w:eastAsia="en-US"/>
              </w:rPr>
              <w:t xml:space="preserve">% </w:t>
            </w:r>
            <w:r>
              <w:rPr>
                <w:rFonts w:eastAsia="Calibri"/>
                <w:lang w:eastAsia="en-US"/>
              </w:rPr>
              <w:t xml:space="preserve">for SCS </w:t>
            </w:r>
            <w:r w:rsidRPr="002056FA">
              <w:rPr>
                <w:rFonts w:eastAsia="Calibri"/>
                <w:lang w:eastAsia="en-US"/>
              </w:rPr>
              <w:t xml:space="preserve">over the 2020-25 regulatory control period, or </w:t>
            </w:r>
            <w:r>
              <w:rPr>
                <w:rFonts w:eastAsia="Calibri"/>
                <w:lang w:eastAsia="en-US"/>
              </w:rPr>
              <w:t>1.72</w:t>
            </w:r>
            <w:r w:rsidRPr="002056FA">
              <w:rPr>
                <w:rFonts w:eastAsia="Calibri"/>
                <w:lang w:eastAsia="en-US"/>
              </w:rPr>
              <w:t xml:space="preserve">% per annum. </w:t>
            </w:r>
          </w:p>
        </w:tc>
      </w:tr>
      <w:tr w:rsidR="009F2CDD" w:rsidRPr="002056FA" w14:paraId="376D9B6F" w14:textId="77777777" w:rsidTr="00E169B4">
        <w:tc>
          <w:tcPr>
            <w:tcW w:w="0" w:type="auto"/>
            <w:tcBorders>
              <w:bottom w:val="single" w:sz="4" w:space="0" w:color="auto"/>
            </w:tcBorders>
            <w:shd w:val="clear" w:color="auto" w:fill="auto"/>
          </w:tcPr>
          <w:p w14:paraId="3158454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10.12(c) </w:t>
            </w:r>
          </w:p>
        </w:tc>
        <w:tc>
          <w:tcPr>
            <w:tcW w:w="0" w:type="auto"/>
            <w:tcBorders>
              <w:bottom w:val="single" w:sz="4" w:space="0" w:color="auto"/>
            </w:tcBorders>
            <w:shd w:val="clear" w:color="auto" w:fill="auto"/>
          </w:tcPr>
          <w:p w14:paraId="2265C17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whether </w:t>
            </w:r>
            <w:r w:rsidRPr="002056FA">
              <w:rPr>
                <w:rFonts w:eastAsia="Calibri"/>
                <w:iCs/>
                <w:color w:val="000000"/>
                <w:lang w:eastAsia="en-US"/>
              </w:rPr>
              <w:t xml:space="preserve">Energex </w:t>
            </w:r>
            <w:r w:rsidRPr="002056FA">
              <w:rPr>
                <w:rFonts w:eastAsia="Calibri"/>
                <w:color w:val="000000"/>
                <w:lang w:eastAsia="en-US"/>
              </w:rPr>
              <w:t xml:space="preserve">’s productivity measure includes productivity change compensated for by the labour price measure used by </w:t>
            </w:r>
            <w:r w:rsidRPr="002056FA">
              <w:rPr>
                <w:rFonts w:eastAsia="Calibri"/>
                <w:iCs/>
                <w:color w:val="000000"/>
                <w:lang w:eastAsia="en-US"/>
              </w:rPr>
              <w:t xml:space="preserve">Energex </w:t>
            </w:r>
            <w:r w:rsidRPr="002056FA">
              <w:rPr>
                <w:rFonts w:eastAsia="Calibri"/>
                <w:color w:val="000000"/>
                <w:lang w:eastAsia="en-US"/>
              </w:rPr>
              <w:t xml:space="preserve">to forecast the change in the price of labour. </w:t>
            </w:r>
          </w:p>
        </w:tc>
        <w:tc>
          <w:tcPr>
            <w:tcW w:w="0" w:type="auto"/>
            <w:tcBorders>
              <w:bottom w:val="single" w:sz="4" w:space="0" w:color="auto"/>
            </w:tcBorders>
            <w:shd w:val="clear" w:color="auto" w:fill="auto"/>
          </w:tcPr>
          <w:p w14:paraId="34BC509E" w14:textId="77777777" w:rsidR="009F2CDD" w:rsidRPr="002056FA" w:rsidRDefault="009F2CDD" w:rsidP="00E169B4">
            <w:pPr>
              <w:pStyle w:val="TableCopy"/>
              <w:rPr>
                <w:rFonts w:eastAsia="Calibri"/>
                <w:lang w:eastAsia="en-US"/>
              </w:rPr>
            </w:pPr>
            <w:r w:rsidRPr="002056FA">
              <w:rPr>
                <w:rFonts w:eastAsia="Calibri"/>
                <w:lang w:eastAsia="en-US"/>
              </w:rPr>
              <w:t xml:space="preserve">As noted in response to 10.9(b), a labour cost escalator of 0.26% on average per year has been applied to reflect Energex management’s commitment to </w:t>
            </w:r>
            <w:r>
              <w:rPr>
                <w:rFonts w:eastAsia="Calibri"/>
                <w:lang w:eastAsia="en-US"/>
              </w:rPr>
              <w:t>improve the program of works delivery</w:t>
            </w:r>
            <w:r w:rsidRPr="002056FA">
              <w:rPr>
                <w:rFonts w:eastAsia="Calibri"/>
                <w:lang w:eastAsia="en-US"/>
              </w:rPr>
              <w:t xml:space="preserve"> by 3% over the forecast period.</w:t>
            </w:r>
          </w:p>
        </w:tc>
      </w:tr>
      <w:tr w:rsidR="009F2CDD" w:rsidRPr="002056FA" w14:paraId="29F5862B" w14:textId="77777777" w:rsidTr="00E169B4">
        <w:tc>
          <w:tcPr>
            <w:tcW w:w="0" w:type="auto"/>
            <w:shd w:val="clear" w:color="auto" w:fill="D0CECE" w:themeFill="background2" w:themeFillShade="E6"/>
          </w:tcPr>
          <w:p w14:paraId="02F0C998"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11</w:t>
            </w:r>
          </w:p>
        </w:tc>
        <w:tc>
          <w:tcPr>
            <w:tcW w:w="0" w:type="auto"/>
            <w:shd w:val="clear" w:color="auto" w:fill="D0CECE" w:themeFill="background2" w:themeFillShade="E6"/>
          </w:tcPr>
          <w:p w14:paraId="6A727EA5"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STEP CHANGES</w:t>
            </w:r>
          </w:p>
        </w:tc>
        <w:tc>
          <w:tcPr>
            <w:tcW w:w="0" w:type="auto"/>
            <w:shd w:val="clear" w:color="auto" w:fill="D0CECE" w:themeFill="background2" w:themeFillShade="E6"/>
          </w:tcPr>
          <w:p w14:paraId="45716326" w14:textId="77777777" w:rsidR="009F2CDD" w:rsidRPr="002056FA" w:rsidRDefault="009F2CDD" w:rsidP="00E169B4">
            <w:pPr>
              <w:pStyle w:val="TableCopy"/>
              <w:rPr>
                <w:rFonts w:eastAsia="Calibri"/>
                <w:color w:val="000000"/>
                <w:lang w:eastAsia="en-US"/>
              </w:rPr>
            </w:pPr>
          </w:p>
        </w:tc>
      </w:tr>
      <w:tr w:rsidR="009F2CDD" w:rsidRPr="002056FA" w14:paraId="7FFBE4D2" w14:textId="77777777" w:rsidTr="00E169B4">
        <w:tc>
          <w:tcPr>
            <w:tcW w:w="0" w:type="auto"/>
            <w:tcBorders>
              <w:bottom w:val="single" w:sz="4" w:space="0" w:color="auto"/>
            </w:tcBorders>
            <w:shd w:val="clear" w:color="auto" w:fill="auto"/>
          </w:tcPr>
          <w:p w14:paraId="4B28DF8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11.1</w:t>
            </w:r>
          </w:p>
        </w:tc>
        <w:tc>
          <w:tcPr>
            <w:tcW w:w="0" w:type="auto"/>
            <w:tcBorders>
              <w:bottom w:val="single" w:sz="4" w:space="0" w:color="auto"/>
            </w:tcBorders>
            <w:shd w:val="clear" w:color="auto" w:fill="auto"/>
          </w:tcPr>
          <w:p w14:paraId="7A14624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Provide the amount of total forecast opex attributable to opex step changes for standard control services opex and dual function assets opex in Workbook 1 – Regulatory determination, regulatory template 2.16, tables 2.16.1 and 2.16.3.  </w:t>
            </w:r>
          </w:p>
        </w:tc>
        <w:tc>
          <w:tcPr>
            <w:tcW w:w="0" w:type="auto"/>
            <w:tcBorders>
              <w:bottom w:val="single" w:sz="4" w:space="0" w:color="auto"/>
            </w:tcBorders>
            <w:shd w:val="clear" w:color="auto" w:fill="auto"/>
          </w:tcPr>
          <w:p w14:paraId="7B0B6A5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 has not proposed any step changes as part of the </w:t>
            </w:r>
            <w:r>
              <w:rPr>
                <w:rFonts w:eastAsia="Calibri"/>
                <w:color w:val="000000"/>
                <w:lang w:eastAsia="en-US"/>
              </w:rPr>
              <w:t>BST</w:t>
            </w:r>
            <w:r w:rsidRPr="002056FA">
              <w:rPr>
                <w:rFonts w:eastAsia="Calibri"/>
                <w:color w:val="000000"/>
                <w:lang w:eastAsia="en-US"/>
              </w:rPr>
              <w:t xml:space="preserve"> opex forecasts for either SCS or ACS.</w:t>
            </w:r>
          </w:p>
        </w:tc>
      </w:tr>
      <w:tr w:rsidR="009F2CDD" w:rsidRPr="002056FA" w14:paraId="4F4EC806" w14:textId="77777777" w:rsidTr="00E169B4">
        <w:tc>
          <w:tcPr>
            <w:tcW w:w="0" w:type="auto"/>
            <w:shd w:val="clear" w:color="auto" w:fill="D0CECE" w:themeFill="background2" w:themeFillShade="E6"/>
          </w:tcPr>
          <w:p w14:paraId="7D863C4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11.2</w:t>
            </w:r>
          </w:p>
        </w:tc>
        <w:tc>
          <w:tcPr>
            <w:tcW w:w="0" w:type="auto"/>
            <w:shd w:val="clear" w:color="auto" w:fill="D0CECE" w:themeFill="background2" w:themeFillShade="E6"/>
          </w:tcPr>
          <w:p w14:paraId="21C46B7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an explanation of why Energex considers:</w:t>
            </w:r>
          </w:p>
        </w:tc>
        <w:tc>
          <w:tcPr>
            <w:tcW w:w="0" w:type="auto"/>
            <w:shd w:val="clear" w:color="auto" w:fill="D0CECE" w:themeFill="background2" w:themeFillShade="E6"/>
          </w:tcPr>
          <w:p w14:paraId="075B295F" w14:textId="77777777" w:rsidR="009F2CDD" w:rsidRPr="002056FA" w:rsidRDefault="009F2CDD" w:rsidP="00E169B4">
            <w:pPr>
              <w:pStyle w:val="TableCopy"/>
              <w:rPr>
                <w:rFonts w:eastAsia="Calibri"/>
                <w:color w:val="000000"/>
                <w:lang w:eastAsia="en-US"/>
              </w:rPr>
            </w:pPr>
          </w:p>
        </w:tc>
      </w:tr>
      <w:tr w:rsidR="009F2CDD" w:rsidRPr="002056FA" w14:paraId="72D07169" w14:textId="77777777" w:rsidTr="00E169B4">
        <w:tc>
          <w:tcPr>
            <w:tcW w:w="0" w:type="auto"/>
            <w:shd w:val="clear" w:color="auto" w:fill="auto"/>
          </w:tcPr>
          <w:p w14:paraId="1C5C75F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11.2(a) </w:t>
            </w:r>
          </w:p>
        </w:tc>
        <w:tc>
          <w:tcPr>
            <w:tcW w:w="0" w:type="auto"/>
            <w:shd w:val="clear" w:color="auto" w:fill="auto"/>
          </w:tcPr>
          <w:p w14:paraId="2226017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efficient costs of the </w:t>
            </w:r>
            <w:r w:rsidRPr="002056FA">
              <w:rPr>
                <w:rFonts w:eastAsia="Calibri"/>
                <w:iCs/>
                <w:color w:val="000000"/>
                <w:lang w:eastAsia="en-US"/>
              </w:rPr>
              <w:t xml:space="preserve">step change </w:t>
            </w:r>
            <w:r w:rsidRPr="002056FA">
              <w:rPr>
                <w:rFonts w:eastAsia="Calibri"/>
                <w:color w:val="000000"/>
                <w:lang w:eastAsia="en-US"/>
              </w:rPr>
              <w:t xml:space="preserve">are not provided by other components of </w:t>
            </w:r>
            <w:r w:rsidRPr="002056FA">
              <w:rPr>
                <w:rFonts w:eastAsia="Calibri"/>
                <w:iCs/>
                <w:color w:val="000000"/>
                <w:lang w:eastAsia="en-US"/>
              </w:rPr>
              <w:t xml:space="preserve">Energex </w:t>
            </w:r>
            <w:r w:rsidRPr="002056FA">
              <w:rPr>
                <w:rFonts w:eastAsia="Calibri"/>
                <w:color w:val="000000"/>
                <w:lang w:eastAsia="en-US"/>
              </w:rPr>
              <w:t xml:space="preserve">’s total forecast </w:t>
            </w:r>
            <w:r w:rsidRPr="002056FA">
              <w:rPr>
                <w:rFonts w:eastAsia="Calibri"/>
                <w:iCs/>
                <w:color w:val="000000"/>
                <w:lang w:eastAsia="en-US"/>
              </w:rPr>
              <w:t xml:space="preserve">opex </w:t>
            </w:r>
            <w:r w:rsidRPr="002056FA">
              <w:rPr>
                <w:rFonts w:eastAsia="Calibri"/>
                <w:color w:val="000000"/>
                <w:lang w:eastAsia="en-US"/>
              </w:rPr>
              <w:t xml:space="preserve">such as base </w:t>
            </w:r>
            <w:r w:rsidRPr="002056FA">
              <w:rPr>
                <w:rFonts w:eastAsia="Calibri"/>
                <w:iCs/>
                <w:color w:val="000000"/>
                <w:lang w:eastAsia="en-US"/>
              </w:rPr>
              <w:t>opex</w:t>
            </w:r>
            <w:r w:rsidRPr="002056FA">
              <w:rPr>
                <w:rFonts w:eastAsia="Calibri"/>
                <w:color w:val="000000"/>
                <w:lang w:eastAsia="en-US"/>
              </w:rPr>
              <w:t xml:space="preserve">, output growth changes, real price changes or productivity change; </w:t>
            </w:r>
          </w:p>
        </w:tc>
        <w:tc>
          <w:tcPr>
            <w:tcW w:w="0" w:type="auto"/>
            <w:shd w:val="clear" w:color="auto" w:fill="auto"/>
          </w:tcPr>
          <w:p w14:paraId="2711D97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11.1.  Energex has not proposed any step changes in forecast expenditures.</w:t>
            </w:r>
          </w:p>
        </w:tc>
      </w:tr>
      <w:tr w:rsidR="009F2CDD" w:rsidRPr="002056FA" w14:paraId="78C84E67" w14:textId="77777777" w:rsidTr="00E169B4">
        <w:tc>
          <w:tcPr>
            <w:tcW w:w="0" w:type="auto"/>
            <w:shd w:val="clear" w:color="auto" w:fill="auto"/>
          </w:tcPr>
          <w:p w14:paraId="419BB86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11.2(b) </w:t>
            </w:r>
          </w:p>
        </w:tc>
        <w:tc>
          <w:tcPr>
            <w:tcW w:w="0" w:type="auto"/>
            <w:shd w:val="clear" w:color="auto" w:fill="auto"/>
          </w:tcPr>
          <w:p w14:paraId="0DFE8A4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total forecast </w:t>
            </w:r>
            <w:r w:rsidRPr="002056FA">
              <w:rPr>
                <w:rFonts w:eastAsia="Calibri"/>
                <w:iCs/>
                <w:color w:val="000000"/>
                <w:lang w:eastAsia="en-US"/>
              </w:rPr>
              <w:t xml:space="preserve">opex </w:t>
            </w:r>
            <w:r w:rsidRPr="002056FA">
              <w:rPr>
                <w:rFonts w:eastAsia="Calibri"/>
                <w:color w:val="000000"/>
                <w:lang w:eastAsia="en-US"/>
              </w:rPr>
              <w:t xml:space="preserve">will not allow </w:t>
            </w:r>
            <w:r w:rsidRPr="002056FA">
              <w:rPr>
                <w:rFonts w:eastAsia="Calibri"/>
                <w:iCs/>
                <w:color w:val="000000"/>
                <w:lang w:eastAsia="en-US"/>
              </w:rPr>
              <w:t xml:space="preserve">Energex </w:t>
            </w:r>
            <w:r w:rsidRPr="002056FA">
              <w:rPr>
                <w:rFonts w:eastAsia="Calibri"/>
                <w:color w:val="000000"/>
                <w:lang w:eastAsia="en-US"/>
              </w:rPr>
              <w:t xml:space="preserve">to achieve the objectives in clause 6.5.6(a) of the </w:t>
            </w:r>
            <w:r w:rsidRPr="002056FA">
              <w:rPr>
                <w:rFonts w:eastAsia="Calibri"/>
                <w:iCs/>
                <w:color w:val="000000"/>
                <w:lang w:eastAsia="en-US"/>
              </w:rPr>
              <w:t xml:space="preserve">NER </w:t>
            </w:r>
            <w:r w:rsidRPr="002056FA">
              <w:rPr>
                <w:rFonts w:eastAsia="Calibri"/>
                <w:color w:val="000000"/>
                <w:lang w:eastAsia="en-US"/>
              </w:rPr>
              <w:t xml:space="preserve">unless the </w:t>
            </w:r>
            <w:r w:rsidRPr="002056FA">
              <w:rPr>
                <w:rFonts w:eastAsia="Calibri"/>
                <w:iCs/>
                <w:color w:val="000000"/>
                <w:lang w:eastAsia="en-US"/>
              </w:rPr>
              <w:t xml:space="preserve">step change </w:t>
            </w:r>
            <w:r w:rsidRPr="002056FA">
              <w:rPr>
                <w:rFonts w:eastAsia="Calibri"/>
                <w:color w:val="000000"/>
                <w:lang w:eastAsia="en-US"/>
              </w:rPr>
              <w:t xml:space="preserve">is included; and </w:t>
            </w:r>
          </w:p>
        </w:tc>
        <w:tc>
          <w:tcPr>
            <w:tcW w:w="0" w:type="auto"/>
            <w:shd w:val="clear" w:color="auto" w:fill="auto"/>
          </w:tcPr>
          <w:p w14:paraId="790CBD5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11.1.  Energex has not proposed any step changes in forecast expenditures.</w:t>
            </w:r>
          </w:p>
        </w:tc>
      </w:tr>
      <w:tr w:rsidR="009F2CDD" w:rsidRPr="002056FA" w14:paraId="652AFA55" w14:textId="77777777" w:rsidTr="00E169B4">
        <w:tc>
          <w:tcPr>
            <w:tcW w:w="0" w:type="auto"/>
            <w:tcBorders>
              <w:bottom w:val="single" w:sz="4" w:space="0" w:color="auto"/>
            </w:tcBorders>
            <w:shd w:val="clear" w:color="auto" w:fill="auto"/>
          </w:tcPr>
          <w:p w14:paraId="3774AE3E"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11.2(c) </w:t>
            </w:r>
          </w:p>
        </w:tc>
        <w:tc>
          <w:tcPr>
            <w:tcW w:w="0" w:type="auto"/>
            <w:tcBorders>
              <w:bottom w:val="single" w:sz="4" w:space="0" w:color="auto"/>
            </w:tcBorders>
            <w:shd w:val="clear" w:color="auto" w:fill="auto"/>
          </w:tcPr>
          <w:p w14:paraId="124D5EDC"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the total forecast </w:t>
            </w:r>
            <w:r w:rsidRPr="002056FA">
              <w:rPr>
                <w:rFonts w:eastAsia="Calibri"/>
                <w:iCs/>
                <w:color w:val="000000"/>
                <w:lang w:eastAsia="en-US"/>
              </w:rPr>
              <w:t xml:space="preserve">opex </w:t>
            </w:r>
            <w:r w:rsidRPr="002056FA">
              <w:rPr>
                <w:rFonts w:eastAsia="Calibri"/>
                <w:color w:val="000000"/>
                <w:lang w:eastAsia="en-US"/>
              </w:rPr>
              <w:t xml:space="preserve">will not reasonably reflect the criteria in clause 6.5.6(c) of the </w:t>
            </w:r>
            <w:r w:rsidRPr="002056FA">
              <w:rPr>
                <w:rFonts w:eastAsia="Calibri"/>
                <w:iCs/>
                <w:color w:val="000000"/>
                <w:lang w:eastAsia="en-US"/>
              </w:rPr>
              <w:t xml:space="preserve">NER </w:t>
            </w:r>
            <w:r w:rsidRPr="002056FA">
              <w:rPr>
                <w:rFonts w:eastAsia="Calibri"/>
                <w:color w:val="000000"/>
                <w:lang w:eastAsia="en-US"/>
              </w:rPr>
              <w:t xml:space="preserve">unless the </w:t>
            </w:r>
            <w:r w:rsidRPr="002056FA">
              <w:rPr>
                <w:rFonts w:eastAsia="Calibri"/>
                <w:iCs/>
                <w:color w:val="000000"/>
                <w:lang w:eastAsia="en-US"/>
              </w:rPr>
              <w:t xml:space="preserve">step change </w:t>
            </w:r>
            <w:r w:rsidRPr="002056FA">
              <w:rPr>
                <w:rFonts w:eastAsia="Calibri"/>
                <w:color w:val="000000"/>
                <w:lang w:eastAsia="en-US"/>
              </w:rPr>
              <w:t xml:space="preserve">is included. </w:t>
            </w:r>
          </w:p>
        </w:tc>
        <w:tc>
          <w:tcPr>
            <w:tcW w:w="0" w:type="auto"/>
            <w:tcBorders>
              <w:bottom w:val="single" w:sz="4" w:space="0" w:color="auto"/>
            </w:tcBorders>
            <w:shd w:val="clear" w:color="auto" w:fill="auto"/>
          </w:tcPr>
          <w:p w14:paraId="3D3CEBB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11.1. Energex has not proposed any step changes in forecast expenditures.</w:t>
            </w:r>
          </w:p>
        </w:tc>
      </w:tr>
      <w:tr w:rsidR="009F2CDD" w:rsidRPr="002056FA" w14:paraId="35FA74BF" w14:textId="77777777" w:rsidTr="00E169B4">
        <w:tc>
          <w:tcPr>
            <w:tcW w:w="0" w:type="auto"/>
            <w:shd w:val="clear" w:color="auto" w:fill="D0CECE" w:themeFill="background2" w:themeFillShade="E6"/>
          </w:tcPr>
          <w:p w14:paraId="3CD2739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11.3</w:t>
            </w:r>
          </w:p>
        </w:tc>
        <w:tc>
          <w:tcPr>
            <w:tcW w:w="0" w:type="auto"/>
            <w:shd w:val="clear" w:color="auto" w:fill="D0CECE" w:themeFill="background2" w:themeFillShade="E6"/>
          </w:tcPr>
          <w:p w14:paraId="70A8F9C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all step changes in forecast expenditure provide:</w:t>
            </w:r>
          </w:p>
        </w:tc>
        <w:tc>
          <w:tcPr>
            <w:tcW w:w="0" w:type="auto"/>
            <w:shd w:val="clear" w:color="auto" w:fill="D0CECE" w:themeFill="background2" w:themeFillShade="E6"/>
          </w:tcPr>
          <w:p w14:paraId="1D82977E" w14:textId="77777777" w:rsidR="009F2CDD" w:rsidRPr="002056FA" w:rsidRDefault="009F2CDD" w:rsidP="00E169B4">
            <w:pPr>
              <w:pStyle w:val="TableCopy"/>
              <w:rPr>
                <w:rFonts w:eastAsia="Calibri"/>
                <w:color w:val="000000"/>
                <w:lang w:eastAsia="en-US"/>
              </w:rPr>
            </w:pPr>
          </w:p>
        </w:tc>
      </w:tr>
      <w:tr w:rsidR="009F2CDD" w:rsidRPr="002056FA" w14:paraId="2AA62D17" w14:textId="77777777" w:rsidTr="00E169B4">
        <w:tc>
          <w:tcPr>
            <w:tcW w:w="0" w:type="auto"/>
            <w:shd w:val="clear" w:color="auto" w:fill="auto"/>
          </w:tcPr>
          <w:p w14:paraId="645D912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11.3(a)</w:t>
            </w:r>
          </w:p>
        </w:tc>
        <w:tc>
          <w:tcPr>
            <w:tcW w:w="0" w:type="auto"/>
            <w:shd w:val="clear" w:color="auto" w:fill="auto"/>
          </w:tcPr>
          <w:p w14:paraId="7496C09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In Workbook 1 – Regulatory determination, regulatory template 2.17 the quantum of the step changes :</w:t>
            </w:r>
          </w:p>
        </w:tc>
        <w:tc>
          <w:tcPr>
            <w:tcW w:w="0" w:type="auto"/>
            <w:shd w:val="clear" w:color="auto" w:fill="auto"/>
          </w:tcPr>
          <w:p w14:paraId="5666390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11.1. Energex has not proposed any step changes in forecast expenditures.</w:t>
            </w:r>
          </w:p>
        </w:tc>
      </w:tr>
      <w:tr w:rsidR="009F2CDD" w:rsidRPr="002056FA" w14:paraId="2B47388C" w14:textId="77777777" w:rsidTr="00E169B4">
        <w:tc>
          <w:tcPr>
            <w:tcW w:w="0" w:type="auto"/>
            <w:shd w:val="clear" w:color="auto" w:fill="auto"/>
          </w:tcPr>
          <w:p w14:paraId="441C8EA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11.3(a)(i) </w:t>
            </w:r>
          </w:p>
        </w:tc>
        <w:tc>
          <w:tcPr>
            <w:tcW w:w="0" w:type="auto"/>
            <w:shd w:val="clear" w:color="auto" w:fill="auto"/>
          </w:tcPr>
          <w:p w14:paraId="169907C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forecasts for each year of the </w:t>
            </w:r>
            <w:r w:rsidRPr="002056FA">
              <w:rPr>
                <w:rFonts w:eastAsia="Calibri"/>
                <w:iCs/>
                <w:color w:val="000000"/>
                <w:lang w:eastAsia="en-US"/>
              </w:rPr>
              <w:t>forthcoming regulatory control period</w:t>
            </w:r>
            <w:r w:rsidRPr="002056FA">
              <w:rPr>
                <w:rFonts w:eastAsia="Calibri"/>
                <w:color w:val="000000"/>
                <w:lang w:eastAsia="en-US"/>
              </w:rPr>
              <w:t xml:space="preserve">; and </w:t>
            </w:r>
          </w:p>
        </w:tc>
        <w:tc>
          <w:tcPr>
            <w:tcW w:w="0" w:type="auto"/>
            <w:shd w:val="clear" w:color="auto" w:fill="auto"/>
          </w:tcPr>
          <w:p w14:paraId="07CBAA0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11.1. Energex has not proposed any step changes in forecast expenditures.</w:t>
            </w:r>
          </w:p>
        </w:tc>
      </w:tr>
      <w:tr w:rsidR="009F2CDD" w:rsidRPr="002056FA" w14:paraId="20D5D6A8" w14:textId="77777777" w:rsidTr="00E169B4">
        <w:tc>
          <w:tcPr>
            <w:tcW w:w="0" w:type="auto"/>
            <w:shd w:val="clear" w:color="auto" w:fill="auto"/>
          </w:tcPr>
          <w:p w14:paraId="6651107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11.3(a)(ii) </w:t>
            </w:r>
          </w:p>
        </w:tc>
        <w:tc>
          <w:tcPr>
            <w:tcW w:w="0" w:type="auto"/>
            <w:shd w:val="clear" w:color="auto" w:fill="auto"/>
          </w:tcPr>
          <w:p w14:paraId="4EF0F17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expected to be incurred, in the </w:t>
            </w:r>
            <w:r w:rsidRPr="002056FA">
              <w:rPr>
                <w:rFonts w:eastAsia="Calibri"/>
                <w:iCs/>
                <w:color w:val="000000"/>
                <w:lang w:eastAsia="en-US"/>
              </w:rPr>
              <w:t>current regulatory control period</w:t>
            </w:r>
            <w:r w:rsidRPr="002056FA">
              <w:rPr>
                <w:rFonts w:eastAsia="Calibri"/>
                <w:color w:val="000000"/>
                <w:lang w:eastAsia="en-US"/>
              </w:rPr>
              <w:t xml:space="preserve">; </w:t>
            </w:r>
          </w:p>
        </w:tc>
        <w:tc>
          <w:tcPr>
            <w:tcW w:w="0" w:type="auto"/>
            <w:shd w:val="clear" w:color="auto" w:fill="auto"/>
          </w:tcPr>
          <w:p w14:paraId="0C6BDBA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11.1. Energex has not proposed any step changes in forecast expenditures.</w:t>
            </w:r>
          </w:p>
        </w:tc>
      </w:tr>
      <w:tr w:rsidR="009F2CDD" w:rsidRPr="002056FA" w14:paraId="45CE6D14" w14:textId="77777777" w:rsidTr="00E169B4">
        <w:tc>
          <w:tcPr>
            <w:tcW w:w="0" w:type="auto"/>
            <w:tcBorders>
              <w:bottom w:val="single" w:sz="4" w:space="0" w:color="auto"/>
            </w:tcBorders>
            <w:shd w:val="clear" w:color="auto" w:fill="auto"/>
          </w:tcPr>
          <w:p w14:paraId="4698A7B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11.3(b) </w:t>
            </w:r>
          </w:p>
        </w:tc>
        <w:tc>
          <w:tcPr>
            <w:tcW w:w="0" w:type="auto"/>
            <w:tcBorders>
              <w:bottom w:val="single" w:sz="4" w:space="0" w:color="auto"/>
            </w:tcBorders>
            <w:shd w:val="clear" w:color="auto" w:fill="auto"/>
          </w:tcPr>
          <w:p w14:paraId="696742F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 description of the </w:t>
            </w:r>
            <w:r w:rsidRPr="002056FA">
              <w:rPr>
                <w:rFonts w:eastAsia="Calibri"/>
                <w:iCs/>
                <w:color w:val="000000"/>
                <w:lang w:eastAsia="en-US"/>
              </w:rPr>
              <w:t xml:space="preserve">step change. </w:t>
            </w:r>
          </w:p>
        </w:tc>
        <w:tc>
          <w:tcPr>
            <w:tcW w:w="0" w:type="auto"/>
            <w:tcBorders>
              <w:bottom w:val="single" w:sz="4" w:space="0" w:color="auto"/>
            </w:tcBorders>
            <w:shd w:val="clear" w:color="auto" w:fill="auto"/>
          </w:tcPr>
          <w:p w14:paraId="3981DB7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11.1. Energex has not proposed any step changes in forecast expenditures.</w:t>
            </w:r>
          </w:p>
        </w:tc>
      </w:tr>
      <w:tr w:rsidR="009F2CDD" w:rsidRPr="002056FA" w14:paraId="60E7619C" w14:textId="77777777" w:rsidTr="00E169B4">
        <w:tc>
          <w:tcPr>
            <w:tcW w:w="0" w:type="auto"/>
            <w:shd w:val="clear" w:color="auto" w:fill="D0CECE" w:themeFill="background2" w:themeFillShade="E6"/>
          </w:tcPr>
          <w:p w14:paraId="1B3B7F3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11.4</w:t>
            </w:r>
          </w:p>
        </w:tc>
        <w:tc>
          <w:tcPr>
            <w:tcW w:w="0" w:type="auto"/>
            <w:shd w:val="clear" w:color="auto" w:fill="D0CECE" w:themeFill="background2" w:themeFillShade="E6"/>
          </w:tcPr>
          <w:p w14:paraId="548C50D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each step change listed in response to paragraph 11.3, provide an explanation of:</w:t>
            </w:r>
          </w:p>
        </w:tc>
        <w:tc>
          <w:tcPr>
            <w:tcW w:w="0" w:type="auto"/>
            <w:shd w:val="clear" w:color="auto" w:fill="D0CECE" w:themeFill="background2" w:themeFillShade="E6"/>
          </w:tcPr>
          <w:p w14:paraId="260675F1" w14:textId="77777777" w:rsidR="009F2CDD" w:rsidRPr="002056FA" w:rsidRDefault="009F2CDD" w:rsidP="00E169B4">
            <w:pPr>
              <w:pStyle w:val="TableCopy"/>
              <w:rPr>
                <w:rFonts w:eastAsia="Calibri"/>
                <w:color w:val="000000"/>
                <w:lang w:eastAsia="en-US"/>
              </w:rPr>
            </w:pPr>
          </w:p>
        </w:tc>
      </w:tr>
      <w:tr w:rsidR="009F2CDD" w:rsidRPr="002056FA" w14:paraId="1E3E142B" w14:textId="77777777" w:rsidTr="00E169B4">
        <w:tc>
          <w:tcPr>
            <w:tcW w:w="0" w:type="auto"/>
            <w:shd w:val="clear" w:color="auto" w:fill="auto"/>
          </w:tcPr>
          <w:p w14:paraId="27988D5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11.4(a) </w:t>
            </w:r>
          </w:p>
        </w:tc>
        <w:tc>
          <w:tcPr>
            <w:tcW w:w="0" w:type="auto"/>
            <w:shd w:val="clear" w:color="auto" w:fill="auto"/>
          </w:tcPr>
          <w:p w14:paraId="227228A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when the change occurred, or is expected to occur; </w:t>
            </w:r>
          </w:p>
        </w:tc>
        <w:tc>
          <w:tcPr>
            <w:tcW w:w="0" w:type="auto"/>
            <w:shd w:val="clear" w:color="auto" w:fill="auto"/>
          </w:tcPr>
          <w:p w14:paraId="108D77E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35A4F8C7" w14:textId="77777777" w:rsidTr="00E169B4">
        <w:tc>
          <w:tcPr>
            <w:tcW w:w="0" w:type="auto"/>
            <w:shd w:val="clear" w:color="auto" w:fill="auto"/>
          </w:tcPr>
          <w:p w14:paraId="4E98660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11.4(b) </w:t>
            </w:r>
          </w:p>
        </w:tc>
        <w:tc>
          <w:tcPr>
            <w:tcW w:w="0" w:type="auto"/>
            <w:shd w:val="clear" w:color="auto" w:fill="auto"/>
          </w:tcPr>
          <w:p w14:paraId="478EDB0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what the driver of the </w:t>
            </w:r>
            <w:r w:rsidRPr="002056FA">
              <w:rPr>
                <w:rFonts w:eastAsia="Calibri"/>
                <w:iCs/>
                <w:color w:val="000000"/>
                <w:lang w:eastAsia="en-US"/>
              </w:rPr>
              <w:t xml:space="preserve">step change </w:t>
            </w:r>
            <w:r w:rsidRPr="002056FA">
              <w:rPr>
                <w:rFonts w:eastAsia="Calibri"/>
                <w:color w:val="000000"/>
                <w:lang w:eastAsia="en-US"/>
              </w:rPr>
              <w:t xml:space="preserve">is; </w:t>
            </w:r>
          </w:p>
        </w:tc>
        <w:tc>
          <w:tcPr>
            <w:tcW w:w="0" w:type="auto"/>
            <w:shd w:val="clear" w:color="auto" w:fill="auto"/>
          </w:tcPr>
          <w:p w14:paraId="4E7690F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5CDCD19C" w14:textId="77777777" w:rsidTr="00E169B4">
        <w:tc>
          <w:tcPr>
            <w:tcW w:w="0" w:type="auto"/>
            <w:shd w:val="clear" w:color="auto" w:fill="auto"/>
          </w:tcPr>
          <w:p w14:paraId="14E8ACF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11.4(c) </w:t>
            </w:r>
          </w:p>
        </w:tc>
        <w:tc>
          <w:tcPr>
            <w:tcW w:w="0" w:type="auto"/>
            <w:shd w:val="clear" w:color="auto" w:fill="auto"/>
          </w:tcPr>
          <w:p w14:paraId="3D40E5F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how the driver has changed or will change (for example, revised legislation may lead to a change in a </w:t>
            </w:r>
            <w:r w:rsidRPr="002056FA">
              <w:rPr>
                <w:rFonts w:eastAsia="Calibri"/>
                <w:iCs/>
                <w:color w:val="000000"/>
                <w:lang w:eastAsia="en-US"/>
              </w:rPr>
              <w:t>regulatory obligation or requirement</w:t>
            </w:r>
            <w:r w:rsidRPr="002056FA">
              <w:rPr>
                <w:rFonts w:eastAsia="Calibri"/>
                <w:color w:val="000000"/>
                <w:lang w:eastAsia="en-US"/>
              </w:rPr>
              <w:t xml:space="preserve">); and </w:t>
            </w:r>
          </w:p>
        </w:tc>
        <w:tc>
          <w:tcPr>
            <w:tcW w:w="0" w:type="auto"/>
            <w:shd w:val="clear" w:color="auto" w:fill="auto"/>
          </w:tcPr>
          <w:p w14:paraId="7DC3D55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51EF5928" w14:textId="77777777" w:rsidTr="00E169B4">
        <w:tc>
          <w:tcPr>
            <w:tcW w:w="0" w:type="auto"/>
            <w:tcBorders>
              <w:bottom w:val="single" w:sz="4" w:space="0" w:color="auto"/>
            </w:tcBorders>
            <w:shd w:val="clear" w:color="auto" w:fill="auto"/>
          </w:tcPr>
          <w:p w14:paraId="1E62278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11.4(d) </w:t>
            </w:r>
          </w:p>
        </w:tc>
        <w:tc>
          <w:tcPr>
            <w:tcW w:w="0" w:type="auto"/>
            <w:tcBorders>
              <w:bottom w:val="single" w:sz="4" w:space="0" w:color="auto"/>
            </w:tcBorders>
            <w:shd w:val="clear" w:color="auto" w:fill="auto"/>
          </w:tcPr>
          <w:p w14:paraId="36929E4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whether the </w:t>
            </w:r>
            <w:r w:rsidRPr="002056FA">
              <w:rPr>
                <w:rFonts w:eastAsia="Calibri"/>
                <w:iCs/>
                <w:color w:val="000000"/>
                <w:lang w:eastAsia="en-US"/>
              </w:rPr>
              <w:t xml:space="preserve">step change </w:t>
            </w:r>
            <w:r w:rsidRPr="002056FA">
              <w:rPr>
                <w:rFonts w:eastAsia="Calibri"/>
                <w:color w:val="000000"/>
                <w:lang w:eastAsia="en-US"/>
              </w:rPr>
              <w:t xml:space="preserve">is recurrent in nature. </w:t>
            </w:r>
          </w:p>
        </w:tc>
        <w:tc>
          <w:tcPr>
            <w:tcW w:w="0" w:type="auto"/>
            <w:tcBorders>
              <w:bottom w:val="single" w:sz="4" w:space="0" w:color="auto"/>
            </w:tcBorders>
            <w:shd w:val="clear" w:color="auto" w:fill="auto"/>
          </w:tcPr>
          <w:p w14:paraId="31CE49B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5EAED826" w14:textId="77777777" w:rsidTr="00E169B4">
        <w:tc>
          <w:tcPr>
            <w:tcW w:w="0" w:type="auto"/>
            <w:shd w:val="clear" w:color="auto" w:fill="D0CECE" w:themeFill="background2" w:themeFillShade="E6"/>
          </w:tcPr>
          <w:p w14:paraId="663C45A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11.5</w:t>
            </w:r>
          </w:p>
        </w:tc>
        <w:tc>
          <w:tcPr>
            <w:tcW w:w="0" w:type="auto"/>
            <w:shd w:val="clear" w:color="auto" w:fill="D0CECE" w:themeFill="background2" w:themeFillShade="E6"/>
          </w:tcPr>
          <w:p w14:paraId="3148BD4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each step change listed in response to paragraph 11.3, provide justification for when, and how, the step change affected, or is expected to affect:</w:t>
            </w:r>
          </w:p>
        </w:tc>
        <w:tc>
          <w:tcPr>
            <w:tcW w:w="0" w:type="auto"/>
            <w:shd w:val="clear" w:color="auto" w:fill="D0CECE" w:themeFill="background2" w:themeFillShade="E6"/>
          </w:tcPr>
          <w:p w14:paraId="4E92540A" w14:textId="77777777" w:rsidR="009F2CDD" w:rsidRPr="002056FA" w:rsidRDefault="009F2CDD" w:rsidP="00E169B4">
            <w:pPr>
              <w:pStyle w:val="TableCopy"/>
              <w:rPr>
                <w:rFonts w:eastAsia="Calibri"/>
                <w:color w:val="000000"/>
                <w:lang w:eastAsia="en-US"/>
              </w:rPr>
            </w:pPr>
          </w:p>
        </w:tc>
      </w:tr>
      <w:tr w:rsidR="009F2CDD" w:rsidRPr="002056FA" w14:paraId="353CD207" w14:textId="77777777" w:rsidTr="00E169B4">
        <w:tc>
          <w:tcPr>
            <w:tcW w:w="0" w:type="auto"/>
            <w:shd w:val="clear" w:color="auto" w:fill="auto"/>
          </w:tcPr>
          <w:p w14:paraId="74A725C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11.5(a) </w:t>
            </w:r>
          </w:p>
        </w:tc>
        <w:tc>
          <w:tcPr>
            <w:tcW w:w="0" w:type="auto"/>
            <w:shd w:val="clear" w:color="auto" w:fill="auto"/>
          </w:tcPr>
          <w:p w14:paraId="4B6267A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relevant </w:t>
            </w:r>
            <w:r w:rsidRPr="002056FA">
              <w:rPr>
                <w:rFonts w:eastAsia="Calibri"/>
                <w:iCs/>
                <w:color w:val="000000"/>
                <w:lang w:eastAsia="en-US"/>
              </w:rPr>
              <w:t>opex category</w:t>
            </w:r>
            <w:r w:rsidRPr="002056FA">
              <w:rPr>
                <w:rFonts w:eastAsia="Calibri"/>
                <w:color w:val="000000"/>
                <w:lang w:eastAsia="en-US"/>
              </w:rPr>
              <w:t xml:space="preserve">; </w:t>
            </w:r>
          </w:p>
        </w:tc>
        <w:tc>
          <w:tcPr>
            <w:tcW w:w="0" w:type="auto"/>
            <w:shd w:val="clear" w:color="auto" w:fill="auto"/>
          </w:tcPr>
          <w:p w14:paraId="192ED8B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79FBEFB0" w14:textId="77777777" w:rsidTr="00E169B4">
        <w:tc>
          <w:tcPr>
            <w:tcW w:w="0" w:type="auto"/>
            <w:shd w:val="clear" w:color="auto" w:fill="auto"/>
          </w:tcPr>
          <w:p w14:paraId="79521F7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11.5(b) </w:t>
            </w:r>
          </w:p>
        </w:tc>
        <w:tc>
          <w:tcPr>
            <w:tcW w:w="0" w:type="auto"/>
            <w:shd w:val="clear" w:color="auto" w:fill="auto"/>
          </w:tcPr>
          <w:p w14:paraId="5E8D4E8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relevant </w:t>
            </w:r>
            <w:r w:rsidRPr="002056FA">
              <w:rPr>
                <w:rFonts w:eastAsia="Calibri"/>
                <w:iCs/>
                <w:color w:val="000000"/>
                <w:lang w:eastAsia="en-US"/>
              </w:rPr>
              <w:t>capex category</w:t>
            </w:r>
            <w:r w:rsidRPr="002056FA">
              <w:rPr>
                <w:rFonts w:eastAsia="Calibri"/>
                <w:color w:val="000000"/>
                <w:lang w:eastAsia="en-US"/>
              </w:rPr>
              <w:t xml:space="preserve">; </w:t>
            </w:r>
          </w:p>
        </w:tc>
        <w:tc>
          <w:tcPr>
            <w:tcW w:w="0" w:type="auto"/>
            <w:shd w:val="clear" w:color="auto" w:fill="auto"/>
          </w:tcPr>
          <w:p w14:paraId="6E09688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3EA4C51F" w14:textId="77777777" w:rsidTr="00E169B4">
        <w:tc>
          <w:tcPr>
            <w:tcW w:w="0" w:type="auto"/>
            <w:shd w:val="clear" w:color="auto" w:fill="auto"/>
          </w:tcPr>
          <w:p w14:paraId="51271B7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11.5(c) </w:t>
            </w:r>
          </w:p>
        </w:tc>
        <w:tc>
          <w:tcPr>
            <w:tcW w:w="0" w:type="auto"/>
            <w:shd w:val="clear" w:color="auto" w:fill="auto"/>
          </w:tcPr>
          <w:p w14:paraId="645566B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total </w:t>
            </w:r>
            <w:r w:rsidRPr="002056FA">
              <w:rPr>
                <w:rFonts w:eastAsia="Calibri"/>
                <w:iCs/>
                <w:color w:val="000000"/>
                <w:lang w:eastAsia="en-US"/>
              </w:rPr>
              <w:t>opex</w:t>
            </w:r>
            <w:r w:rsidRPr="002056FA">
              <w:rPr>
                <w:rFonts w:eastAsia="Calibri"/>
                <w:color w:val="000000"/>
                <w:lang w:eastAsia="en-US"/>
              </w:rPr>
              <w:t xml:space="preserve">; and </w:t>
            </w:r>
          </w:p>
        </w:tc>
        <w:tc>
          <w:tcPr>
            <w:tcW w:w="0" w:type="auto"/>
            <w:shd w:val="clear" w:color="auto" w:fill="auto"/>
          </w:tcPr>
          <w:p w14:paraId="3B51729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44AAC7D0" w14:textId="77777777" w:rsidTr="00E169B4">
        <w:tc>
          <w:tcPr>
            <w:tcW w:w="0" w:type="auto"/>
            <w:shd w:val="clear" w:color="auto" w:fill="auto"/>
          </w:tcPr>
          <w:p w14:paraId="522B02B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11.5(d) </w:t>
            </w:r>
          </w:p>
        </w:tc>
        <w:tc>
          <w:tcPr>
            <w:tcW w:w="0" w:type="auto"/>
            <w:shd w:val="clear" w:color="auto" w:fill="auto"/>
          </w:tcPr>
          <w:p w14:paraId="5712FE4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total </w:t>
            </w:r>
            <w:r w:rsidRPr="002056FA">
              <w:rPr>
                <w:rFonts w:eastAsia="Calibri"/>
                <w:iCs/>
                <w:color w:val="000000"/>
                <w:lang w:eastAsia="en-US"/>
              </w:rPr>
              <w:t xml:space="preserve">capex. </w:t>
            </w:r>
          </w:p>
        </w:tc>
        <w:tc>
          <w:tcPr>
            <w:tcW w:w="0" w:type="auto"/>
            <w:shd w:val="clear" w:color="auto" w:fill="auto"/>
          </w:tcPr>
          <w:p w14:paraId="0EB158D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1C7A9C75" w14:textId="77777777" w:rsidTr="00E169B4">
        <w:tc>
          <w:tcPr>
            <w:tcW w:w="0" w:type="auto"/>
            <w:shd w:val="clear" w:color="auto" w:fill="auto"/>
          </w:tcPr>
          <w:p w14:paraId="66C052D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11.6 </w:t>
            </w:r>
          </w:p>
        </w:tc>
        <w:tc>
          <w:tcPr>
            <w:tcW w:w="0" w:type="auto"/>
            <w:shd w:val="clear" w:color="auto" w:fill="auto"/>
          </w:tcPr>
          <w:p w14:paraId="7B382CD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For each step change registered in response to paragraph 11.3, provide the process undertaken by </w:t>
            </w:r>
            <w:r w:rsidRPr="002056FA">
              <w:rPr>
                <w:rFonts w:eastAsia="Calibri"/>
                <w:iCs/>
                <w:color w:val="000000"/>
                <w:lang w:eastAsia="en-US"/>
              </w:rPr>
              <w:t xml:space="preserve">Energex </w:t>
            </w:r>
            <w:r w:rsidRPr="002056FA">
              <w:rPr>
                <w:rFonts w:eastAsia="Calibri"/>
                <w:color w:val="000000"/>
                <w:lang w:eastAsia="en-US"/>
              </w:rPr>
              <w:t xml:space="preserve">to identify and quantify the </w:t>
            </w:r>
            <w:r w:rsidRPr="002056FA">
              <w:rPr>
                <w:rFonts w:eastAsia="Calibri"/>
                <w:iCs/>
                <w:color w:val="000000"/>
                <w:lang w:eastAsia="en-US"/>
              </w:rPr>
              <w:t>step change</w:t>
            </w:r>
            <w:r w:rsidRPr="002056FA">
              <w:rPr>
                <w:rFonts w:eastAsia="Calibri"/>
                <w:color w:val="000000"/>
                <w:lang w:eastAsia="en-US"/>
              </w:rPr>
              <w:t xml:space="preserve">; provide cost benefit analysis that demonstrates </w:t>
            </w:r>
            <w:r w:rsidRPr="002056FA">
              <w:rPr>
                <w:rFonts w:eastAsia="Calibri"/>
                <w:iCs/>
                <w:color w:val="000000"/>
                <w:lang w:eastAsia="en-US"/>
              </w:rPr>
              <w:t xml:space="preserve">Energex </w:t>
            </w:r>
            <w:r w:rsidRPr="002056FA">
              <w:rPr>
                <w:rFonts w:eastAsia="Calibri"/>
                <w:color w:val="000000"/>
                <w:lang w:eastAsia="en-US"/>
              </w:rPr>
              <w:t xml:space="preserve">proposes to address the </w:t>
            </w:r>
            <w:r w:rsidRPr="002056FA">
              <w:rPr>
                <w:rFonts w:eastAsia="Calibri"/>
                <w:iCs/>
                <w:color w:val="000000"/>
                <w:lang w:eastAsia="en-US"/>
              </w:rPr>
              <w:t xml:space="preserve">step change </w:t>
            </w:r>
            <w:r w:rsidRPr="002056FA">
              <w:rPr>
                <w:rFonts w:eastAsia="Calibri"/>
                <w:color w:val="000000"/>
                <w:lang w:eastAsia="en-US"/>
              </w:rPr>
              <w:t xml:space="preserve">in a prudent and efficient manner, including: </w:t>
            </w:r>
          </w:p>
        </w:tc>
        <w:tc>
          <w:tcPr>
            <w:tcW w:w="0" w:type="auto"/>
            <w:shd w:val="clear" w:color="auto" w:fill="auto"/>
          </w:tcPr>
          <w:p w14:paraId="351C5F2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0D4D880F" w14:textId="77777777" w:rsidTr="00E169B4">
        <w:tc>
          <w:tcPr>
            <w:tcW w:w="0" w:type="auto"/>
            <w:shd w:val="clear" w:color="auto" w:fill="auto"/>
          </w:tcPr>
          <w:p w14:paraId="26D0E6B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11.6(a) </w:t>
            </w:r>
          </w:p>
        </w:tc>
        <w:tc>
          <w:tcPr>
            <w:tcW w:w="0" w:type="auto"/>
            <w:shd w:val="clear" w:color="auto" w:fill="auto"/>
          </w:tcPr>
          <w:p w14:paraId="372F7C0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timing of the </w:t>
            </w:r>
            <w:r w:rsidRPr="002056FA">
              <w:rPr>
                <w:rFonts w:eastAsia="Calibri"/>
                <w:iCs/>
                <w:color w:val="000000"/>
                <w:lang w:eastAsia="en-US"/>
              </w:rPr>
              <w:t>step change</w:t>
            </w:r>
            <w:r w:rsidRPr="002056FA">
              <w:rPr>
                <w:rFonts w:eastAsia="Calibri"/>
                <w:color w:val="000000"/>
                <w:lang w:eastAsia="en-US"/>
              </w:rPr>
              <w:t xml:space="preserve">; and </w:t>
            </w:r>
          </w:p>
        </w:tc>
        <w:tc>
          <w:tcPr>
            <w:tcW w:w="0" w:type="auto"/>
            <w:shd w:val="clear" w:color="auto" w:fill="auto"/>
          </w:tcPr>
          <w:p w14:paraId="33B6F7C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35220E2D" w14:textId="77777777" w:rsidTr="00E169B4">
        <w:tc>
          <w:tcPr>
            <w:tcW w:w="0" w:type="auto"/>
            <w:tcBorders>
              <w:bottom w:val="single" w:sz="4" w:space="0" w:color="auto"/>
            </w:tcBorders>
            <w:shd w:val="clear" w:color="auto" w:fill="auto"/>
          </w:tcPr>
          <w:p w14:paraId="7269625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11.6(b) </w:t>
            </w:r>
          </w:p>
        </w:tc>
        <w:tc>
          <w:tcPr>
            <w:tcW w:w="0" w:type="auto"/>
            <w:tcBorders>
              <w:bottom w:val="single" w:sz="4" w:space="0" w:color="auto"/>
            </w:tcBorders>
            <w:shd w:val="clear" w:color="auto" w:fill="auto"/>
          </w:tcPr>
          <w:p w14:paraId="4FEE9AF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if </w:t>
            </w:r>
            <w:r w:rsidRPr="002056FA">
              <w:rPr>
                <w:rFonts w:eastAsia="Calibri"/>
                <w:iCs/>
                <w:color w:val="000000"/>
                <w:lang w:eastAsia="en-US"/>
              </w:rPr>
              <w:t xml:space="preserve">Energex </w:t>
            </w:r>
            <w:r w:rsidRPr="002056FA">
              <w:rPr>
                <w:rFonts w:eastAsia="Calibri"/>
                <w:color w:val="000000"/>
                <w:lang w:eastAsia="en-US"/>
              </w:rPr>
              <w:t xml:space="preserve">considered a ‘do nothing’ option, evidence of how </w:t>
            </w:r>
            <w:r w:rsidRPr="002056FA">
              <w:rPr>
                <w:rFonts w:eastAsia="Calibri"/>
                <w:iCs/>
                <w:color w:val="000000"/>
                <w:lang w:eastAsia="en-US"/>
              </w:rPr>
              <w:t xml:space="preserve">Energex </w:t>
            </w:r>
            <w:r w:rsidRPr="002056FA">
              <w:rPr>
                <w:rFonts w:eastAsia="Calibri"/>
                <w:color w:val="000000"/>
                <w:lang w:eastAsia="en-US"/>
              </w:rPr>
              <w:t xml:space="preserve">assessed the risks of this option compared with other options. </w:t>
            </w:r>
          </w:p>
        </w:tc>
        <w:tc>
          <w:tcPr>
            <w:tcW w:w="0" w:type="auto"/>
            <w:tcBorders>
              <w:bottom w:val="single" w:sz="4" w:space="0" w:color="auto"/>
            </w:tcBorders>
            <w:shd w:val="clear" w:color="auto" w:fill="auto"/>
          </w:tcPr>
          <w:p w14:paraId="0FBBDD3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7A9FA7E1" w14:textId="77777777" w:rsidTr="00E169B4">
        <w:tc>
          <w:tcPr>
            <w:tcW w:w="0" w:type="auto"/>
            <w:shd w:val="clear" w:color="auto" w:fill="D0CECE" w:themeFill="background2" w:themeFillShade="E6"/>
          </w:tcPr>
          <w:p w14:paraId="7686989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11.7</w:t>
            </w:r>
          </w:p>
        </w:tc>
        <w:tc>
          <w:tcPr>
            <w:tcW w:w="0" w:type="auto"/>
            <w:shd w:val="clear" w:color="auto" w:fill="D0CECE" w:themeFill="background2" w:themeFillShade="E6"/>
          </w:tcPr>
          <w:p w14:paraId="24995E5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each step change listed in response to paragraph 11.3, where the step change is due to a change in a regulatory obligation or requirement provide:</w:t>
            </w:r>
          </w:p>
        </w:tc>
        <w:tc>
          <w:tcPr>
            <w:tcW w:w="0" w:type="auto"/>
            <w:shd w:val="clear" w:color="auto" w:fill="D0CECE" w:themeFill="background2" w:themeFillShade="E6"/>
          </w:tcPr>
          <w:p w14:paraId="2AC5A034" w14:textId="77777777" w:rsidR="009F2CDD" w:rsidRPr="002056FA" w:rsidRDefault="009F2CDD" w:rsidP="00E169B4">
            <w:pPr>
              <w:pStyle w:val="TableCopy"/>
              <w:rPr>
                <w:rFonts w:eastAsia="Calibri"/>
                <w:color w:val="000000"/>
                <w:lang w:eastAsia="en-US"/>
              </w:rPr>
            </w:pPr>
          </w:p>
        </w:tc>
      </w:tr>
      <w:tr w:rsidR="009F2CDD" w:rsidRPr="002056FA" w14:paraId="782DAD31" w14:textId="77777777" w:rsidTr="00E169B4">
        <w:tc>
          <w:tcPr>
            <w:tcW w:w="0" w:type="auto"/>
            <w:shd w:val="clear" w:color="auto" w:fill="auto"/>
          </w:tcPr>
          <w:p w14:paraId="59F85D6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11.7(a) </w:t>
            </w:r>
          </w:p>
        </w:tc>
        <w:tc>
          <w:tcPr>
            <w:tcW w:w="0" w:type="auto"/>
            <w:shd w:val="clear" w:color="auto" w:fill="auto"/>
          </w:tcPr>
          <w:p w14:paraId="2823D2D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any relevant variations or exemptions granted to </w:t>
            </w:r>
            <w:r w:rsidRPr="002056FA">
              <w:rPr>
                <w:rFonts w:eastAsia="Calibri"/>
                <w:iCs/>
                <w:color w:val="000000"/>
                <w:lang w:eastAsia="en-US"/>
              </w:rPr>
              <w:t xml:space="preserve">Energex </w:t>
            </w:r>
            <w:r w:rsidRPr="002056FA">
              <w:rPr>
                <w:rFonts w:eastAsia="Calibri"/>
                <w:color w:val="000000"/>
                <w:lang w:eastAsia="en-US"/>
              </w:rPr>
              <w:t xml:space="preserve">during the </w:t>
            </w:r>
            <w:r w:rsidRPr="002056FA">
              <w:rPr>
                <w:rFonts w:eastAsia="Calibri"/>
                <w:iCs/>
                <w:color w:val="000000"/>
                <w:lang w:eastAsia="en-US"/>
              </w:rPr>
              <w:t xml:space="preserve">previous regulatory control period </w:t>
            </w:r>
            <w:r w:rsidRPr="002056FA">
              <w:rPr>
                <w:rFonts w:eastAsia="Calibri"/>
                <w:color w:val="000000"/>
                <w:lang w:eastAsia="en-US"/>
              </w:rPr>
              <w:t xml:space="preserve">or the </w:t>
            </w:r>
            <w:r w:rsidRPr="002056FA">
              <w:rPr>
                <w:rFonts w:eastAsia="Calibri"/>
                <w:iCs/>
                <w:color w:val="000000"/>
                <w:lang w:eastAsia="en-US"/>
              </w:rPr>
              <w:t>current regulatory control period</w:t>
            </w:r>
            <w:r w:rsidRPr="002056FA">
              <w:rPr>
                <w:rFonts w:eastAsia="Calibri"/>
                <w:color w:val="000000"/>
                <w:lang w:eastAsia="en-US"/>
              </w:rPr>
              <w:t xml:space="preserve">; and </w:t>
            </w:r>
          </w:p>
        </w:tc>
        <w:tc>
          <w:tcPr>
            <w:tcW w:w="0" w:type="auto"/>
            <w:shd w:val="clear" w:color="auto" w:fill="auto"/>
          </w:tcPr>
          <w:p w14:paraId="015D6D1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1241212F" w14:textId="77777777" w:rsidTr="00E169B4">
        <w:tc>
          <w:tcPr>
            <w:tcW w:w="0" w:type="auto"/>
            <w:shd w:val="clear" w:color="auto" w:fill="auto"/>
          </w:tcPr>
          <w:p w14:paraId="0B5A1B5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11.7(b) </w:t>
            </w:r>
          </w:p>
        </w:tc>
        <w:tc>
          <w:tcPr>
            <w:tcW w:w="0" w:type="auto"/>
            <w:shd w:val="clear" w:color="auto" w:fill="auto"/>
          </w:tcPr>
          <w:p w14:paraId="1AD815F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any relevant compliance </w:t>
            </w:r>
            <w:r w:rsidRPr="002056FA">
              <w:rPr>
                <w:rFonts w:eastAsia="Calibri"/>
                <w:iCs/>
                <w:color w:val="000000"/>
                <w:lang w:eastAsia="en-US"/>
              </w:rPr>
              <w:t xml:space="preserve">audits Energex </w:t>
            </w:r>
            <w:r w:rsidRPr="002056FA">
              <w:rPr>
                <w:rFonts w:eastAsia="Calibri"/>
                <w:color w:val="000000"/>
                <w:lang w:eastAsia="en-US"/>
              </w:rPr>
              <w:t xml:space="preserve">conducted during the </w:t>
            </w:r>
            <w:r w:rsidRPr="002056FA">
              <w:rPr>
                <w:rFonts w:eastAsia="Calibri"/>
                <w:iCs/>
                <w:color w:val="000000"/>
                <w:lang w:eastAsia="en-US"/>
              </w:rPr>
              <w:t xml:space="preserve">previous regulatory control period </w:t>
            </w:r>
            <w:r w:rsidRPr="002056FA">
              <w:rPr>
                <w:rFonts w:eastAsia="Calibri"/>
                <w:color w:val="000000"/>
                <w:lang w:eastAsia="en-US"/>
              </w:rPr>
              <w:t xml:space="preserve">or the </w:t>
            </w:r>
            <w:r w:rsidRPr="002056FA">
              <w:rPr>
                <w:rFonts w:eastAsia="Calibri"/>
                <w:iCs/>
                <w:color w:val="000000"/>
                <w:lang w:eastAsia="en-US"/>
              </w:rPr>
              <w:t xml:space="preserve">current regulatory control period. </w:t>
            </w:r>
          </w:p>
        </w:tc>
        <w:tc>
          <w:tcPr>
            <w:tcW w:w="0" w:type="auto"/>
            <w:shd w:val="clear" w:color="auto" w:fill="auto"/>
          </w:tcPr>
          <w:p w14:paraId="6ECEE55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180B32C7" w14:textId="77777777" w:rsidTr="00E169B4">
        <w:tc>
          <w:tcPr>
            <w:tcW w:w="0" w:type="auto"/>
            <w:shd w:val="clear" w:color="auto" w:fill="auto"/>
          </w:tcPr>
          <w:p w14:paraId="67A2D52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11.8 </w:t>
            </w:r>
          </w:p>
        </w:tc>
        <w:tc>
          <w:tcPr>
            <w:tcW w:w="0" w:type="auto"/>
            <w:shd w:val="clear" w:color="auto" w:fill="auto"/>
          </w:tcPr>
          <w:p w14:paraId="6CD8F5A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For each </w:t>
            </w:r>
            <w:r w:rsidRPr="002056FA">
              <w:rPr>
                <w:rFonts w:eastAsia="Calibri"/>
                <w:iCs/>
                <w:color w:val="000000"/>
                <w:lang w:eastAsia="en-US"/>
              </w:rPr>
              <w:t xml:space="preserve">step change </w:t>
            </w:r>
            <w:r w:rsidRPr="002056FA">
              <w:rPr>
                <w:rFonts w:eastAsia="Calibri"/>
                <w:color w:val="000000"/>
                <w:lang w:eastAsia="en-US"/>
              </w:rPr>
              <w:t xml:space="preserve">registered in response to paragraph 11.7, provide, with reference to specific clauses of the relevant legislative instrument(s), the: </w:t>
            </w:r>
          </w:p>
        </w:tc>
        <w:tc>
          <w:tcPr>
            <w:tcW w:w="0" w:type="auto"/>
            <w:shd w:val="clear" w:color="auto" w:fill="auto"/>
          </w:tcPr>
          <w:p w14:paraId="5A555E3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3B3BF982" w14:textId="77777777" w:rsidTr="00E169B4">
        <w:tc>
          <w:tcPr>
            <w:tcW w:w="0" w:type="auto"/>
            <w:shd w:val="clear" w:color="auto" w:fill="auto"/>
          </w:tcPr>
          <w:p w14:paraId="00A7BFE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11.8(a) </w:t>
            </w:r>
          </w:p>
        </w:tc>
        <w:tc>
          <w:tcPr>
            <w:tcW w:w="0" w:type="auto"/>
            <w:shd w:val="clear" w:color="auto" w:fill="auto"/>
          </w:tcPr>
          <w:p w14:paraId="3E78EE6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previous </w:t>
            </w:r>
            <w:r w:rsidRPr="002056FA">
              <w:rPr>
                <w:rFonts w:eastAsia="Calibri"/>
                <w:iCs/>
                <w:color w:val="000000"/>
                <w:lang w:eastAsia="en-US"/>
              </w:rPr>
              <w:t>regulatory obligation or requirement</w:t>
            </w:r>
            <w:r w:rsidRPr="002056FA">
              <w:rPr>
                <w:rFonts w:eastAsia="Calibri"/>
                <w:color w:val="000000"/>
                <w:lang w:eastAsia="en-US"/>
              </w:rPr>
              <w:t xml:space="preserve">; and </w:t>
            </w:r>
          </w:p>
        </w:tc>
        <w:tc>
          <w:tcPr>
            <w:tcW w:w="0" w:type="auto"/>
            <w:shd w:val="clear" w:color="auto" w:fill="auto"/>
          </w:tcPr>
          <w:p w14:paraId="405FEE0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16BA557E" w14:textId="77777777" w:rsidTr="00E169B4">
        <w:tc>
          <w:tcPr>
            <w:tcW w:w="0" w:type="auto"/>
            <w:tcBorders>
              <w:bottom w:val="single" w:sz="4" w:space="0" w:color="auto"/>
            </w:tcBorders>
            <w:shd w:val="clear" w:color="auto" w:fill="auto"/>
          </w:tcPr>
          <w:p w14:paraId="06DFBE1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11.8(b) </w:t>
            </w:r>
          </w:p>
        </w:tc>
        <w:tc>
          <w:tcPr>
            <w:tcW w:w="0" w:type="auto"/>
            <w:tcBorders>
              <w:bottom w:val="single" w:sz="4" w:space="0" w:color="auto"/>
            </w:tcBorders>
            <w:shd w:val="clear" w:color="auto" w:fill="auto"/>
          </w:tcPr>
          <w:p w14:paraId="508BD48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how the changed </w:t>
            </w:r>
            <w:r w:rsidRPr="002056FA">
              <w:rPr>
                <w:rFonts w:eastAsia="Calibri"/>
                <w:iCs/>
                <w:color w:val="000000"/>
                <w:lang w:eastAsia="en-US"/>
              </w:rPr>
              <w:t xml:space="preserve">regulatory obligation or requirement </w:t>
            </w:r>
            <w:r w:rsidRPr="002056FA">
              <w:rPr>
                <w:rFonts w:eastAsia="Calibri"/>
                <w:color w:val="000000"/>
                <w:lang w:eastAsia="en-US"/>
              </w:rPr>
              <w:t xml:space="preserve">is driving the </w:t>
            </w:r>
            <w:r w:rsidRPr="002056FA">
              <w:rPr>
                <w:rFonts w:eastAsia="Calibri"/>
                <w:iCs/>
                <w:color w:val="000000"/>
                <w:lang w:eastAsia="en-US"/>
              </w:rPr>
              <w:t>step change</w:t>
            </w:r>
            <w:r w:rsidRPr="002056FA">
              <w:rPr>
                <w:rFonts w:eastAsia="Calibri"/>
                <w:color w:val="000000"/>
                <w:lang w:eastAsia="en-US"/>
              </w:rPr>
              <w:t xml:space="preserve">. </w:t>
            </w:r>
          </w:p>
        </w:tc>
        <w:tc>
          <w:tcPr>
            <w:tcW w:w="0" w:type="auto"/>
            <w:tcBorders>
              <w:bottom w:val="single" w:sz="4" w:space="0" w:color="auto"/>
            </w:tcBorders>
            <w:shd w:val="clear" w:color="auto" w:fill="auto"/>
          </w:tcPr>
          <w:p w14:paraId="1F6592B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11.3.  Energex has not proposed any step changes in forecast expenditures.</w:t>
            </w:r>
          </w:p>
        </w:tc>
      </w:tr>
      <w:tr w:rsidR="009F2CDD" w:rsidRPr="002056FA" w14:paraId="515AEC2E" w14:textId="77777777" w:rsidTr="00E169B4">
        <w:tc>
          <w:tcPr>
            <w:tcW w:w="0" w:type="auto"/>
            <w:shd w:val="clear" w:color="auto" w:fill="D0CECE" w:themeFill="background2" w:themeFillShade="E6"/>
          </w:tcPr>
          <w:p w14:paraId="056E828B" w14:textId="77777777" w:rsidR="009F2CDD" w:rsidRPr="002056FA" w:rsidRDefault="009F2CDD" w:rsidP="00E169B4">
            <w:pPr>
              <w:pStyle w:val="TableCopy"/>
              <w:rPr>
                <w:rFonts w:eastAsia="Calibri"/>
                <w:color w:val="000000"/>
                <w:lang w:eastAsia="en-US"/>
              </w:rPr>
            </w:pPr>
          </w:p>
        </w:tc>
        <w:tc>
          <w:tcPr>
            <w:tcW w:w="0" w:type="auto"/>
            <w:shd w:val="clear" w:color="auto" w:fill="D0CECE" w:themeFill="background2" w:themeFillShade="E6"/>
          </w:tcPr>
          <w:p w14:paraId="7B92B1B6"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 xml:space="preserve">Category specific opex </w:t>
            </w:r>
          </w:p>
        </w:tc>
        <w:tc>
          <w:tcPr>
            <w:tcW w:w="0" w:type="auto"/>
            <w:shd w:val="clear" w:color="auto" w:fill="D0CECE" w:themeFill="background2" w:themeFillShade="E6"/>
          </w:tcPr>
          <w:p w14:paraId="45B87B31" w14:textId="77777777" w:rsidR="009F2CDD" w:rsidRPr="002056FA" w:rsidRDefault="009F2CDD" w:rsidP="00E169B4">
            <w:pPr>
              <w:pStyle w:val="TableCopy"/>
              <w:rPr>
                <w:rFonts w:eastAsia="Calibri"/>
                <w:color w:val="000000"/>
                <w:lang w:eastAsia="en-US"/>
              </w:rPr>
            </w:pPr>
          </w:p>
        </w:tc>
      </w:tr>
      <w:tr w:rsidR="009F2CDD" w:rsidRPr="002056FA" w14:paraId="5F293F90" w14:textId="77777777" w:rsidTr="00E169B4">
        <w:tc>
          <w:tcPr>
            <w:tcW w:w="0" w:type="auto"/>
            <w:tcBorders>
              <w:bottom w:val="single" w:sz="4" w:space="0" w:color="auto"/>
            </w:tcBorders>
            <w:shd w:val="clear" w:color="auto" w:fill="auto"/>
          </w:tcPr>
          <w:p w14:paraId="2823715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11.9</w:t>
            </w:r>
          </w:p>
        </w:tc>
        <w:tc>
          <w:tcPr>
            <w:tcW w:w="0" w:type="auto"/>
            <w:tcBorders>
              <w:bottom w:val="single" w:sz="4" w:space="0" w:color="auto"/>
            </w:tcBorders>
            <w:shd w:val="clear" w:color="auto" w:fill="auto"/>
          </w:tcPr>
          <w:p w14:paraId="72BFB4C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the amount of total forecast opex attributable to category specific opex in Workbook 1 – Regulatory determination, regulatory template 2.17, table 2.17.5. The amount of total opex attributable to category specific opex must correspond with the category specific opex reported in Workbook 1 – Regulatory determination, regulatory template 2.16, table 2.16.1.</w:t>
            </w:r>
          </w:p>
        </w:tc>
        <w:tc>
          <w:tcPr>
            <w:tcW w:w="0" w:type="auto"/>
            <w:tcBorders>
              <w:bottom w:val="single" w:sz="4" w:space="0" w:color="auto"/>
            </w:tcBorders>
            <w:shd w:val="clear" w:color="auto" w:fill="auto"/>
          </w:tcPr>
          <w:p w14:paraId="3F87FE0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 has completed Template 2.17, table 2.17.5 in accordance with the AER’s instruc</w:t>
            </w:r>
            <w:r>
              <w:rPr>
                <w:rFonts w:eastAsia="Calibri"/>
                <w:color w:val="000000"/>
                <w:lang w:eastAsia="en-US"/>
              </w:rPr>
              <w:t>tions</w:t>
            </w:r>
            <w:r w:rsidRPr="002056FA">
              <w:rPr>
                <w:rFonts w:eastAsia="Calibri"/>
                <w:color w:val="000000"/>
                <w:lang w:eastAsia="en-US"/>
              </w:rPr>
              <w:t xml:space="preserve">. Energex has populated this table using </w:t>
            </w:r>
            <w:r>
              <w:rPr>
                <w:rFonts w:eastAsia="Calibri"/>
                <w:color w:val="000000"/>
                <w:lang w:eastAsia="en-US"/>
              </w:rPr>
              <w:t>the Reset RIN population model</w:t>
            </w:r>
            <w:r w:rsidRPr="002056FA">
              <w:rPr>
                <w:rFonts w:eastAsia="Calibri"/>
                <w:color w:val="000000"/>
                <w:lang w:eastAsia="en-US"/>
              </w:rPr>
              <w:t xml:space="preserve"> </w:t>
            </w:r>
            <w:r w:rsidRPr="00054BD7">
              <w:rPr>
                <w:rFonts w:eastAsia="Calibri"/>
                <w:color w:val="000000"/>
                <w:lang w:eastAsia="en-US"/>
              </w:rPr>
              <w:t>(Attachment 17.0</w:t>
            </w:r>
            <w:r>
              <w:rPr>
                <w:rFonts w:eastAsia="Calibri"/>
                <w:color w:val="000000"/>
                <w:lang w:eastAsia="en-US"/>
              </w:rPr>
              <w:t>65</w:t>
            </w:r>
            <w:r w:rsidRPr="00054BD7">
              <w:rPr>
                <w:rFonts w:eastAsia="Calibri"/>
                <w:color w:val="000000"/>
                <w:lang w:eastAsia="en-US"/>
              </w:rPr>
              <w:t>).</w:t>
            </w:r>
          </w:p>
        </w:tc>
      </w:tr>
      <w:tr w:rsidR="009F2CDD" w:rsidRPr="002056FA" w14:paraId="6FE4572A" w14:textId="77777777" w:rsidTr="00E169B4">
        <w:tc>
          <w:tcPr>
            <w:tcW w:w="0" w:type="auto"/>
            <w:shd w:val="clear" w:color="auto" w:fill="D0CECE" w:themeFill="background2" w:themeFillShade="E6"/>
          </w:tcPr>
          <w:p w14:paraId="4C785C2A"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12</w:t>
            </w:r>
          </w:p>
        </w:tc>
        <w:tc>
          <w:tcPr>
            <w:tcW w:w="0" w:type="auto"/>
            <w:shd w:val="clear" w:color="auto" w:fill="D0CECE" w:themeFill="background2" w:themeFillShade="E6"/>
          </w:tcPr>
          <w:p w14:paraId="4074A3D4" w14:textId="77777777" w:rsidR="009F2CDD" w:rsidRPr="0030327C" w:rsidRDefault="009F2CDD" w:rsidP="00E169B4">
            <w:pPr>
              <w:pStyle w:val="TableCopy"/>
              <w:rPr>
                <w:rFonts w:eastAsia="Calibri"/>
                <w:color w:val="000000"/>
                <w:lang w:eastAsia="en-US"/>
              </w:rPr>
            </w:pPr>
            <w:r w:rsidRPr="00E376F2">
              <w:rPr>
                <w:rFonts w:eastAsia="Calibri"/>
                <w:b/>
                <w:color w:val="000000"/>
                <w:lang w:eastAsia="en-US"/>
              </w:rPr>
              <w:t>ECONOMIC BENCHMARKING</w:t>
            </w:r>
            <w:r w:rsidRPr="001F271E">
              <w:rPr>
                <w:rFonts w:eastAsia="Calibri"/>
                <w:b/>
                <w:color w:val="000000"/>
                <w:lang w:eastAsia="en-US"/>
              </w:rPr>
              <w:t xml:space="preserve"> </w:t>
            </w:r>
          </w:p>
        </w:tc>
        <w:tc>
          <w:tcPr>
            <w:tcW w:w="0" w:type="auto"/>
            <w:shd w:val="clear" w:color="auto" w:fill="D0CECE" w:themeFill="background2" w:themeFillShade="E6"/>
          </w:tcPr>
          <w:p w14:paraId="55BDDD6C" w14:textId="77777777" w:rsidR="009F2CDD" w:rsidRPr="002056FA" w:rsidRDefault="009F2CDD" w:rsidP="00E169B4">
            <w:pPr>
              <w:pStyle w:val="TableCopy"/>
              <w:rPr>
                <w:rFonts w:eastAsia="Calibri"/>
                <w:color w:val="000000"/>
                <w:lang w:eastAsia="en-US"/>
              </w:rPr>
            </w:pPr>
          </w:p>
        </w:tc>
      </w:tr>
      <w:tr w:rsidR="009F2CDD" w:rsidRPr="002056FA" w14:paraId="09E6FE16" w14:textId="77777777" w:rsidTr="00E169B4">
        <w:tc>
          <w:tcPr>
            <w:tcW w:w="0" w:type="auto"/>
            <w:shd w:val="clear" w:color="auto" w:fill="auto"/>
          </w:tcPr>
          <w:p w14:paraId="25F0EBC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12.1</w:t>
            </w:r>
          </w:p>
        </w:tc>
        <w:tc>
          <w:tcPr>
            <w:tcW w:w="0" w:type="auto"/>
            <w:shd w:val="clear" w:color="auto" w:fill="auto"/>
          </w:tcPr>
          <w:p w14:paraId="2692258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Complete the Workbook 1 – Regulatory determination, regulatory templates 3.1 to 3.7 in accordance with:</w:t>
            </w:r>
          </w:p>
        </w:tc>
        <w:tc>
          <w:tcPr>
            <w:tcW w:w="0" w:type="auto"/>
            <w:shd w:val="clear" w:color="auto" w:fill="auto"/>
          </w:tcPr>
          <w:p w14:paraId="4FB5BB80" w14:textId="77777777" w:rsidR="009F2CDD" w:rsidRPr="002056FA" w:rsidRDefault="009F2CDD" w:rsidP="00E169B4">
            <w:pPr>
              <w:pStyle w:val="TableCopy"/>
              <w:rPr>
                <w:rFonts w:eastAsia="Calibri"/>
                <w:color w:val="365F91"/>
                <w:lang w:eastAsia="en-US"/>
              </w:rPr>
            </w:pPr>
            <w:r w:rsidRPr="002056FA">
              <w:rPr>
                <w:rFonts w:eastAsia="Calibri"/>
                <w:lang w:eastAsia="en-US"/>
              </w:rPr>
              <w:t>Energex has completed regu</w:t>
            </w:r>
            <w:r>
              <w:rPr>
                <w:rFonts w:eastAsia="Calibri"/>
                <w:lang w:eastAsia="en-US"/>
              </w:rPr>
              <w:t xml:space="preserve">latory templates 3.1 to 3.7 in </w:t>
            </w:r>
            <w:r w:rsidRPr="002056FA">
              <w:rPr>
                <w:rFonts w:eastAsia="Calibri"/>
                <w:lang w:eastAsia="en-US"/>
              </w:rPr>
              <w:t>Workbo</w:t>
            </w:r>
            <w:r>
              <w:rPr>
                <w:rFonts w:eastAsia="Calibri"/>
                <w:lang w:eastAsia="en-US"/>
              </w:rPr>
              <w:t>ok 1 – Regulatory Determination</w:t>
            </w:r>
            <w:r w:rsidRPr="002056FA">
              <w:rPr>
                <w:rFonts w:eastAsia="Calibri"/>
                <w:lang w:eastAsia="en-US"/>
              </w:rPr>
              <w:t xml:space="preserve"> (</w:t>
            </w:r>
            <w:r w:rsidRPr="00405A1F">
              <w:rPr>
                <w:rFonts w:eastAsia="Calibri"/>
                <w:lang w:eastAsia="en-US"/>
              </w:rPr>
              <w:t>Attachment 17.</w:t>
            </w:r>
            <w:r>
              <w:rPr>
                <w:rFonts w:eastAsia="Calibri"/>
                <w:lang w:eastAsia="en-US"/>
              </w:rPr>
              <w:t>046</w:t>
            </w:r>
            <w:r w:rsidRPr="00405A1F">
              <w:rPr>
                <w:rFonts w:eastAsia="Calibri"/>
                <w:lang w:eastAsia="en-US"/>
              </w:rPr>
              <w:t>).</w:t>
            </w:r>
          </w:p>
        </w:tc>
      </w:tr>
      <w:tr w:rsidR="009F2CDD" w:rsidRPr="002056FA" w14:paraId="3656D4CE" w14:textId="77777777" w:rsidTr="00E169B4">
        <w:tc>
          <w:tcPr>
            <w:tcW w:w="0" w:type="auto"/>
            <w:shd w:val="clear" w:color="auto" w:fill="auto"/>
          </w:tcPr>
          <w:p w14:paraId="7DAE4AA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12.1(a) </w:t>
            </w:r>
          </w:p>
        </w:tc>
        <w:tc>
          <w:tcPr>
            <w:tcW w:w="0" w:type="auto"/>
            <w:shd w:val="clear" w:color="auto" w:fill="auto"/>
          </w:tcPr>
          <w:p w14:paraId="2272355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‘Economic Benchmarking RIN for distribution network service providers – Instructions and Definitions’ issued to Energex on 28 November 2013, chapters 2 to 9;</w:t>
            </w:r>
          </w:p>
        </w:tc>
        <w:tc>
          <w:tcPr>
            <w:tcW w:w="0" w:type="auto"/>
            <w:shd w:val="clear" w:color="auto" w:fill="auto"/>
          </w:tcPr>
          <w:p w14:paraId="12753AA0" w14:textId="77777777" w:rsidR="009F2CDD" w:rsidRPr="002056FA" w:rsidRDefault="009F2CDD" w:rsidP="00E169B4">
            <w:pPr>
              <w:pStyle w:val="TableCopy"/>
              <w:rPr>
                <w:rFonts w:eastAsia="Calibri"/>
                <w:color w:val="365F91"/>
                <w:lang w:eastAsia="en-US"/>
              </w:rPr>
            </w:pPr>
            <w:r w:rsidRPr="002056FA">
              <w:rPr>
                <w:rFonts w:eastAsia="Calibri"/>
                <w:lang w:eastAsia="en-US"/>
              </w:rPr>
              <w:t>Energex has completed regu</w:t>
            </w:r>
            <w:r>
              <w:rPr>
                <w:rFonts w:eastAsia="Calibri"/>
                <w:lang w:eastAsia="en-US"/>
              </w:rPr>
              <w:t xml:space="preserve">latory templates 3.1 to 3.7 of </w:t>
            </w:r>
            <w:r w:rsidRPr="002056FA">
              <w:rPr>
                <w:rFonts w:eastAsia="Calibri"/>
                <w:lang w:eastAsia="en-US"/>
              </w:rPr>
              <w:t>Workbo</w:t>
            </w:r>
            <w:r>
              <w:rPr>
                <w:rFonts w:eastAsia="Calibri"/>
                <w:lang w:eastAsia="en-US"/>
              </w:rPr>
              <w:t>ok 1 – Regulatory Determination</w:t>
            </w:r>
            <w:r w:rsidRPr="002056FA">
              <w:rPr>
                <w:rFonts w:eastAsia="Calibri"/>
                <w:lang w:eastAsia="en-US"/>
              </w:rPr>
              <w:t xml:space="preserve"> (</w:t>
            </w:r>
            <w:r w:rsidRPr="00405A1F">
              <w:rPr>
                <w:rFonts w:eastAsia="Calibri"/>
                <w:lang w:eastAsia="en-US"/>
              </w:rPr>
              <w:t>Attachment 17.</w:t>
            </w:r>
            <w:r>
              <w:rPr>
                <w:rFonts w:eastAsia="Calibri"/>
                <w:lang w:eastAsia="en-US"/>
              </w:rPr>
              <w:t>046</w:t>
            </w:r>
            <w:r w:rsidRPr="00405A1F">
              <w:rPr>
                <w:rFonts w:eastAsia="Calibri"/>
                <w:lang w:eastAsia="en-US"/>
              </w:rPr>
              <w:t>) in</w:t>
            </w:r>
            <w:r w:rsidRPr="002056FA">
              <w:rPr>
                <w:rFonts w:eastAsia="Calibri"/>
                <w:lang w:eastAsia="en-US"/>
              </w:rPr>
              <w:t xml:space="preserve"> accordance with the ‘Economic Benchmarking RIN for distribution network service providers – Instructions and Definitions’ issued to Energex on 28 November 2013, chapters 2 to 9.</w:t>
            </w:r>
          </w:p>
        </w:tc>
      </w:tr>
      <w:tr w:rsidR="009F2CDD" w:rsidRPr="002056FA" w14:paraId="684BC6D9" w14:textId="77777777" w:rsidTr="00E169B4">
        <w:tc>
          <w:tcPr>
            <w:tcW w:w="0" w:type="auto"/>
            <w:tcBorders>
              <w:bottom w:val="single" w:sz="4" w:space="0" w:color="auto"/>
            </w:tcBorders>
            <w:shd w:val="clear" w:color="auto" w:fill="auto"/>
          </w:tcPr>
          <w:p w14:paraId="3C2EC40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12.1(b) </w:t>
            </w:r>
          </w:p>
        </w:tc>
        <w:tc>
          <w:tcPr>
            <w:tcW w:w="0" w:type="auto"/>
            <w:tcBorders>
              <w:bottom w:val="single" w:sz="4" w:space="0" w:color="auto"/>
            </w:tcBorders>
            <w:shd w:val="clear" w:color="auto" w:fill="auto"/>
          </w:tcPr>
          <w:p w14:paraId="6922BDD8"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paragraphs 12.2 to 12.10. </w:t>
            </w:r>
          </w:p>
        </w:tc>
        <w:tc>
          <w:tcPr>
            <w:tcW w:w="0" w:type="auto"/>
            <w:tcBorders>
              <w:bottom w:val="single" w:sz="4" w:space="0" w:color="auto"/>
            </w:tcBorders>
            <w:shd w:val="clear" w:color="auto" w:fill="auto"/>
          </w:tcPr>
          <w:p w14:paraId="74D9F2FD" w14:textId="77777777" w:rsidR="009F2CDD" w:rsidRPr="002056FA" w:rsidRDefault="009F2CDD" w:rsidP="00E169B4">
            <w:pPr>
              <w:pStyle w:val="TableCopy"/>
              <w:rPr>
                <w:rFonts w:eastAsia="Calibri"/>
                <w:color w:val="365F91"/>
                <w:lang w:eastAsia="en-US"/>
              </w:rPr>
            </w:pPr>
            <w:r w:rsidRPr="002056FA">
              <w:rPr>
                <w:rFonts w:eastAsia="Calibri"/>
                <w:lang w:eastAsia="en-US"/>
              </w:rPr>
              <w:t>Refer response 12.2.  Energex has completed regu</w:t>
            </w:r>
            <w:r>
              <w:rPr>
                <w:rFonts w:eastAsia="Calibri"/>
                <w:lang w:eastAsia="en-US"/>
              </w:rPr>
              <w:t xml:space="preserve">latory templates 3.1 to 3.7 of </w:t>
            </w:r>
            <w:r w:rsidRPr="002056FA">
              <w:rPr>
                <w:rFonts w:eastAsia="Calibri"/>
                <w:lang w:eastAsia="en-US"/>
              </w:rPr>
              <w:t>Workbo</w:t>
            </w:r>
            <w:r>
              <w:rPr>
                <w:rFonts w:eastAsia="Calibri"/>
                <w:lang w:eastAsia="en-US"/>
              </w:rPr>
              <w:t>ok 1 – Regulatory Determination</w:t>
            </w:r>
            <w:r w:rsidRPr="002056FA">
              <w:rPr>
                <w:rFonts w:eastAsia="Calibri"/>
                <w:lang w:eastAsia="en-US"/>
              </w:rPr>
              <w:t xml:space="preserve"> (Attachment </w:t>
            </w:r>
            <w:r w:rsidRPr="00405A1F">
              <w:rPr>
                <w:rFonts w:eastAsia="Calibri"/>
                <w:lang w:eastAsia="en-US"/>
              </w:rPr>
              <w:t>17.</w:t>
            </w:r>
            <w:r>
              <w:rPr>
                <w:rFonts w:eastAsia="Calibri"/>
                <w:lang w:eastAsia="en-US"/>
              </w:rPr>
              <w:t>046</w:t>
            </w:r>
            <w:r w:rsidRPr="00405A1F">
              <w:rPr>
                <w:rFonts w:eastAsia="Calibri"/>
                <w:lang w:eastAsia="en-US"/>
              </w:rPr>
              <w:t>) in</w:t>
            </w:r>
            <w:r w:rsidRPr="002056FA">
              <w:rPr>
                <w:rFonts w:eastAsia="Calibri"/>
                <w:lang w:eastAsia="en-US"/>
              </w:rPr>
              <w:t xml:space="preserve"> accordance with paragraphs 12.2 to 12.10 of the AER’s Reset RIN.</w:t>
            </w:r>
          </w:p>
        </w:tc>
      </w:tr>
      <w:tr w:rsidR="009F2CDD" w:rsidRPr="002056FA" w14:paraId="0417DD79" w14:textId="77777777" w:rsidTr="00E169B4">
        <w:tc>
          <w:tcPr>
            <w:tcW w:w="0" w:type="auto"/>
            <w:shd w:val="clear" w:color="auto" w:fill="D0CECE" w:themeFill="background2" w:themeFillShade="E6"/>
          </w:tcPr>
          <w:p w14:paraId="3E18653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12.2</w:t>
            </w:r>
          </w:p>
        </w:tc>
        <w:tc>
          <w:tcPr>
            <w:tcW w:w="0" w:type="auto"/>
            <w:shd w:val="clear" w:color="auto" w:fill="D0CECE" w:themeFill="background2" w:themeFillShade="E6"/>
          </w:tcPr>
          <w:p w14:paraId="48F109B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forecast revenue groupings in Workbook 1 – Regulatory determination, regulatory templates 3.1, tables 3.1.1 and 3.1.2 may be developed by trending forward actual historical revenue groupings in previous regulatory years. However:</w:t>
            </w:r>
          </w:p>
        </w:tc>
        <w:tc>
          <w:tcPr>
            <w:tcW w:w="0" w:type="auto"/>
            <w:shd w:val="clear" w:color="auto" w:fill="D0CECE" w:themeFill="background2" w:themeFillShade="E6"/>
          </w:tcPr>
          <w:p w14:paraId="620F680E" w14:textId="77777777" w:rsidR="009F2CDD" w:rsidRPr="002056FA" w:rsidRDefault="009F2CDD" w:rsidP="00E169B4">
            <w:pPr>
              <w:pStyle w:val="TableCopy"/>
              <w:rPr>
                <w:rFonts w:eastAsia="Calibri"/>
                <w:color w:val="000000"/>
                <w:lang w:eastAsia="en-US"/>
              </w:rPr>
            </w:pPr>
          </w:p>
        </w:tc>
      </w:tr>
      <w:tr w:rsidR="009F2CDD" w:rsidRPr="002056FA" w14:paraId="7FAD1A4A" w14:textId="77777777" w:rsidTr="00E169B4">
        <w:tc>
          <w:tcPr>
            <w:tcW w:w="0" w:type="auto"/>
            <w:shd w:val="clear" w:color="auto" w:fill="auto"/>
          </w:tcPr>
          <w:p w14:paraId="22980C27"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12.2(a) </w:t>
            </w:r>
          </w:p>
        </w:tc>
        <w:tc>
          <w:tcPr>
            <w:tcW w:w="0" w:type="auto"/>
            <w:shd w:val="clear" w:color="auto" w:fill="auto"/>
          </w:tcPr>
          <w:p w14:paraId="3E16F98D"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Total revenues must equal the total forecast revenues proposed by </w:t>
            </w:r>
            <w:r w:rsidRPr="002056FA">
              <w:rPr>
                <w:rFonts w:eastAsia="Calibri"/>
                <w:iCs/>
                <w:color w:val="000000"/>
                <w:lang w:eastAsia="en-US"/>
              </w:rPr>
              <w:t xml:space="preserve">Energex </w:t>
            </w:r>
            <w:r w:rsidRPr="002056FA">
              <w:rPr>
                <w:rFonts w:eastAsia="Calibri"/>
                <w:color w:val="000000"/>
                <w:lang w:eastAsia="en-US"/>
              </w:rPr>
              <w:t xml:space="preserve">in its </w:t>
            </w:r>
            <w:r w:rsidRPr="002056FA">
              <w:rPr>
                <w:rFonts w:eastAsia="Calibri"/>
                <w:iCs/>
                <w:color w:val="000000"/>
                <w:lang w:eastAsia="en-US"/>
              </w:rPr>
              <w:t xml:space="preserve">regulatory proposal; </w:t>
            </w:r>
            <w:r w:rsidRPr="002056FA">
              <w:rPr>
                <w:rFonts w:eastAsia="Calibri"/>
                <w:color w:val="000000"/>
                <w:lang w:eastAsia="en-US"/>
              </w:rPr>
              <w:t xml:space="preserve">and </w:t>
            </w:r>
          </w:p>
        </w:tc>
        <w:tc>
          <w:tcPr>
            <w:tcW w:w="0" w:type="auto"/>
            <w:shd w:val="clear" w:color="auto" w:fill="auto"/>
          </w:tcPr>
          <w:p w14:paraId="127077B5" w14:textId="77777777" w:rsidR="009F2CDD" w:rsidRPr="002056FA" w:rsidRDefault="009F2CDD" w:rsidP="00E169B4">
            <w:pPr>
              <w:pStyle w:val="TableCopy"/>
              <w:rPr>
                <w:rFonts w:eastAsia="Calibri"/>
                <w:lang w:eastAsia="en-US"/>
              </w:rPr>
            </w:pPr>
            <w:r w:rsidRPr="002056FA">
              <w:rPr>
                <w:rFonts w:eastAsia="Calibri"/>
                <w:lang w:eastAsia="en-US"/>
              </w:rPr>
              <w:t>Energex notes that forecast revenues</w:t>
            </w:r>
            <w:r>
              <w:rPr>
                <w:rFonts w:eastAsia="Calibri"/>
                <w:lang w:eastAsia="en-US"/>
              </w:rPr>
              <w:t xml:space="preserve"> in regulatory template 3.1 of </w:t>
            </w:r>
            <w:r w:rsidRPr="002056FA">
              <w:rPr>
                <w:rFonts w:eastAsia="Calibri"/>
                <w:lang w:eastAsia="en-US"/>
              </w:rPr>
              <w:t>Workbo</w:t>
            </w:r>
            <w:r>
              <w:rPr>
                <w:rFonts w:eastAsia="Calibri"/>
                <w:lang w:eastAsia="en-US"/>
              </w:rPr>
              <w:t>ok 1 – Regulatory Determination</w:t>
            </w:r>
            <w:r w:rsidRPr="002056FA">
              <w:rPr>
                <w:rFonts w:eastAsia="Calibri"/>
                <w:lang w:eastAsia="en-US"/>
              </w:rPr>
              <w:t xml:space="preserve"> (Attachment </w:t>
            </w:r>
            <w:r>
              <w:rPr>
                <w:rFonts w:eastAsia="Calibri"/>
                <w:lang w:eastAsia="en-US"/>
              </w:rPr>
              <w:t>17</w:t>
            </w:r>
            <w:r w:rsidRPr="00405A1F">
              <w:rPr>
                <w:rFonts w:eastAsia="Calibri"/>
                <w:lang w:eastAsia="en-US"/>
              </w:rPr>
              <w:t>.</w:t>
            </w:r>
            <w:r>
              <w:rPr>
                <w:rFonts w:eastAsia="Calibri"/>
                <w:lang w:eastAsia="en-US"/>
              </w:rPr>
              <w:t>046</w:t>
            </w:r>
            <w:r w:rsidRPr="00405A1F">
              <w:rPr>
                <w:rFonts w:eastAsia="Calibri"/>
                <w:lang w:eastAsia="en-US"/>
              </w:rPr>
              <w:t>) are</w:t>
            </w:r>
            <w:r w:rsidRPr="002056FA">
              <w:rPr>
                <w:rFonts w:eastAsia="Calibri"/>
                <w:lang w:eastAsia="en-US"/>
              </w:rPr>
              <w:t xml:space="preserve"> consistent with forecast revenues presented in the </w:t>
            </w:r>
            <w:r>
              <w:rPr>
                <w:rFonts w:eastAsia="Calibri"/>
                <w:lang w:eastAsia="en-US"/>
              </w:rPr>
              <w:t>R</w:t>
            </w:r>
            <w:r w:rsidRPr="002056FA">
              <w:rPr>
                <w:rFonts w:eastAsia="Calibri"/>
                <w:lang w:eastAsia="en-US"/>
              </w:rPr>
              <w:t xml:space="preserve">egulatory </w:t>
            </w:r>
            <w:r>
              <w:rPr>
                <w:rFonts w:eastAsia="Calibri"/>
                <w:lang w:eastAsia="en-US"/>
              </w:rPr>
              <w:t>P</w:t>
            </w:r>
            <w:r w:rsidRPr="002056FA">
              <w:rPr>
                <w:rFonts w:eastAsia="Calibri"/>
                <w:lang w:eastAsia="en-US"/>
              </w:rPr>
              <w:t>roposal.</w:t>
            </w:r>
          </w:p>
        </w:tc>
      </w:tr>
      <w:tr w:rsidR="009F2CDD" w:rsidRPr="002056FA" w14:paraId="03A48652" w14:textId="77777777" w:rsidTr="00E169B4">
        <w:tc>
          <w:tcPr>
            <w:tcW w:w="0" w:type="auto"/>
            <w:shd w:val="clear" w:color="auto" w:fill="auto"/>
          </w:tcPr>
          <w:p w14:paraId="2ED68A4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12.2(b) </w:t>
            </w:r>
          </w:p>
        </w:tc>
        <w:tc>
          <w:tcPr>
            <w:tcW w:w="0" w:type="auto"/>
            <w:shd w:val="clear" w:color="auto" w:fill="auto"/>
          </w:tcPr>
          <w:p w14:paraId="7783E0A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Revenue groupings must reflect </w:t>
            </w:r>
            <w:r w:rsidRPr="002056FA">
              <w:rPr>
                <w:rFonts w:eastAsia="Calibri"/>
                <w:iCs/>
                <w:color w:val="000000"/>
                <w:lang w:eastAsia="en-US"/>
              </w:rPr>
              <w:t xml:space="preserve">Energex’s </w:t>
            </w:r>
            <w:r w:rsidRPr="002056FA">
              <w:rPr>
                <w:rFonts w:eastAsia="Calibri"/>
                <w:color w:val="000000"/>
                <w:lang w:eastAsia="en-US"/>
              </w:rPr>
              <w:t xml:space="preserve">forecast demand for its services in the </w:t>
            </w:r>
            <w:r w:rsidRPr="002056FA">
              <w:rPr>
                <w:rFonts w:eastAsia="Calibri"/>
                <w:iCs/>
                <w:color w:val="000000"/>
                <w:lang w:eastAsia="en-US"/>
              </w:rPr>
              <w:t xml:space="preserve">forthcoming regulatory control period </w:t>
            </w:r>
            <w:r w:rsidRPr="002056FA">
              <w:rPr>
                <w:rFonts w:eastAsia="Calibri"/>
                <w:color w:val="000000"/>
                <w:lang w:eastAsia="en-US"/>
              </w:rPr>
              <w:t xml:space="preserve">in its </w:t>
            </w:r>
            <w:r w:rsidRPr="002056FA">
              <w:rPr>
                <w:rFonts w:eastAsia="Calibri"/>
                <w:iCs/>
                <w:color w:val="000000"/>
                <w:lang w:eastAsia="en-US"/>
              </w:rPr>
              <w:t>regulatory proposal</w:t>
            </w:r>
            <w:r w:rsidRPr="002056FA">
              <w:rPr>
                <w:rFonts w:eastAsia="Calibri"/>
                <w:color w:val="000000"/>
                <w:lang w:eastAsia="en-US"/>
              </w:rPr>
              <w:t xml:space="preserve">. </w:t>
            </w:r>
          </w:p>
        </w:tc>
        <w:tc>
          <w:tcPr>
            <w:tcW w:w="0" w:type="auto"/>
            <w:shd w:val="clear" w:color="auto" w:fill="auto"/>
          </w:tcPr>
          <w:p w14:paraId="194EEB45" w14:textId="77777777" w:rsidR="009F2CDD" w:rsidRPr="002056FA" w:rsidRDefault="009F2CDD" w:rsidP="00E169B4">
            <w:pPr>
              <w:pStyle w:val="TableCopy"/>
              <w:rPr>
                <w:rFonts w:eastAsia="Calibri"/>
                <w:lang w:eastAsia="en-US"/>
              </w:rPr>
            </w:pPr>
            <w:r w:rsidRPr="002056FA">
              <w:rPr>
                <w:rFonts w:eastAsia="Calibri"/>
                <w:lang w:eastAsia="en-US"/>
              </w:rPr>
              <w:t>Energex has complied with the AER’s instructions as the revenue groupings</w:t>
            </w:r>
            <w:r>
              <w:rPr>
                <w:rFonts w:eastAsia="Calibri"/>
                <w:lang w:eastAsia="en-US"/>
              </w:rPr>
              <w:t xml:space="preserve"> in regulatory template 3.1 in </w:t>
            </w:r>
            <w:r w:rsidRPr="002056FA">
              <w:rPr>
                <w:rFonts w:eastAsia="Calibri"/>
                <w:lang w:eastAsia="en-US"/>
              </w:rPr>
              <w:t>Workbook 1 – Regulatory Determinat</w:t>
            </w:r>
            <w:r>
              <w:rPr>
                <w:rFonts w:eastAsia="Calibri"/>
                <w:lang w:eastAsia="en-US"/>
              </w:rPr>
              <w:t>ion</w:t>
            </w:r>
            <w:r w:rsidRPr="002056FA">
              <w:rPr>
                <w:rFonts w:eastAsia="Calibri"/>
                <w:lang w:eastAsia="en-US"/>
              </w:rPr>
              <w:t xml:space="preserve"> (Attachment </w:t>
            </w:r>
            <w:r w:rsidRPr="00405A1F">
              <w:rPr>
                <w:rFonts w:eastAsia="Calibri"/>
                <w:lang w:eastAsia="en-US"/>
              </w:rPr>
              <w:t>17.</w:t>
            </w:r>
            <w:r>
              <w:rPr>
                <w:rFonts w:eastAsia="Calibri"/>
                <w:lang w:eastAsia="en-US"/>
              </w:rPr>
              <w:t>046</w:t>
            </w:r>
            <w:r w:rsidRPr="00405A1F">
              <w:rPr>
                <w:rFonts w:eastAsia="Calibri"/>
                <w:lang w:eastAsia="en-US"/>
              </w:rPr>
              <w:t>) are</w:t>
            </w:r>
            <w:r w:rsidRPr="002056FA">
              <w:rPr>
                <w:rFonts w:eastAsia="Calibri"/>
                <w:lang w:eastAsia="en-US"/>
              </w:rPr>
              <w:t xml:space="preserve"> consistent with forecast demand for services in the </w:t>
            </w:r>
            <w:r>
              <w:rPr>
                <w:rFonts w:eastAsia="Calibri"/>
                <w:lang w:eastAsia="en-US"/>
              </w:rPr>
              <w:t>R</w:t>
            </w:r>
            <w:r w:rsidRPr="002056FA">
              <w:rPr>
                <w:rFonts w:eastAsia="Calibri"/>
                <w:lang w:eastAsia="en-US"/>
              </w:rPr>
              <w:t xml:space="preserve">egulatory </w:t>
            </w:r>
            <w:r>
              <w:rPr>
                <w:rFonts w:eastAsia="Calibri"/>
                <w:lang w:eastAsia="en-US"/>
              </w:rPr>
              <w:t>P</w:t>
            </w:r>
            <w:r w:rsidRPr="002056FA">
              <w:rPr>
                <w:rFonts w:eastAsia="Calibri"/>
                <w:lang w:eastAsia="en-US"/>
              </w:rPr>
              <w:t>roposal.</w:t>
            </w:r>
          </w:p>
        </w:tc>
      </w:tr>
      <w:tr w:rsidR="009F2CDD" w:rsidRPr="002056FA" w14:paraId="302873E0" w14:textId="77777777" w:rsidTr="00E169B4">
        <w:tc>
          <w:tcPr>
            <w:tcW w:w="0" w:type="auto"/>
            <w:shd w:val="clear" w:color="auto" w:fill="auto"/>
          </w:tcPr>
          <w:p w14:paraId="59C1998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12.3</w:t>
            </w:r>
          </w:p>
        </w:tc>
        <w:tc>
          <w:tcPr>
            <w:tcW w:w="0" w:type="auto"/>
            <w:shd w:val="clear" w:color="auto" w:fill="auto"/>
          </w:tcPr>
          <w:p w14:paraId="732AE00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Information provided in Workbook 1 – Regulatory determination, regulatory templates 3.2, tables 3.2.1 and 3.2.2 must reflect Energex’s cost allocation method.</w:t>
            </w:r>
          </w:p>
        </w:tc>
        <w:tc>
          <w:tcPr>
            <w:tcW w:w="0" w:type="auto"/>
            <w:shd w:val="clear" w:color="auto" w:fill="auto"/>
          </w:tcPr>
          <w:p w14:paraId="4EE1312D" w14:textId="77777777" w:rsidR="009F2CDD" w:rsidRPr="002056FA" w:rsidRDefault="009F2CDD" w:rsidP="00E169B4">
            <w:pPr>
              <w:pStyle w:val="TableCopy"/>
              <w:rPr>
                <w:rFonts w:eastAsia="Calibri"/>
                <w:lang w:eastAsia="en-US"/>
              </w:rPr>
            </w:pPr>
            <w:r w:rsidRPr="002056FA">
              <w:rPr>
                <w:rFonts w:eastAsia="Calibri"/>
                <w:lang w:eastAsia="en-US"/>
              </w:rPr>
              <w:t xml:space="preserve">Energex has complied with the AER’s instructions </w:t>
            </w:r>
            <w:r>
              <w:rPr>
                <w:rFonts w:eastAsia="Calibri"/>
                <w:lang w:eastAsia="en-US"/>
              </w:rPr>
              <w:t xml:space="preserve">for regulatory template 3.2 in </w:t>
            </w:r>
            <w:r w:rsidRPr="002056FA">
              <w:rPr>
                <w:rFonts w:eastAsia="Calibri"/>
                <w:lang w:eastAsia="en-US"/>
              </w:rPr>
              <w:t>Workbo</w:t>
            </w:r>
            <w:r>
              <w:rPr>
                <w:rFonts w:eastAsia="Calibri"/>
                <w:lang w:eastAsia="en-US"/>
              </w:rPr>
              <w:t>ok 1 – Regulatory Determination</w:t>
            </w:r>
            <w:r w:rsidRPr="002056FA">
              <w:rPr>
                <w:rFonts w:eastAsia="Calibri"/>
                <w:lang w:eastAsia="en-US"/>
              </w:rPr>
              <w:t xml:space="preserve"> (Attachment </w:t>
            </w:r>
            <w:r w:rsidRPr="00405A1F">
              <w:rPr>
                <w:rFonts w:eastAsia="Calibri"/>
                <w:lang w:eastAsia="en-US"/>
              </w:rPr>
              <w:t>17.</w:t>
            </w:r>
            <w:r>
              <w:rPr>
                <w:rFonts w:eastAsia="Calibri"/>
                <w:lang w:eastAsia="en-US"/>
              </w:rPr>
              <w:t>046</w:t>
            </w:r>
            <w:r w:rsidRPr="00405A1F">
              <w:rPr>
                <w:rFonts w:eastAsia="Calibri"/>
                <w:lang w:eastAsia="en-US"/>
              </w:rPr>
              <w:t>), including</w:t>
            </w:r>
            <w:r w:rsidRPr="002056FA">
              <w:rPr>
                <w:rFonts w:eastAsia="Calibri"/>
                <w:lang w:eastAsia="en-US"/>
              </w:rPr>
              <w:t xml:space="preserve"> that it reflects Energex’s approved </w:t>
            </w:r>
            <w:r>
              <w:rPr>
                <w:rFonts w:eastAsia="Calibri"/>
                <w:lang w:eastAsia="en-US"/>
              </w:rPr>
              <w:t>CAM</w:t>
            </w:r>
            <w:r w:rsidRPr="002056FA">
              <w:rPr>
                <w:rFonts w:eastAsia="Calibri"/>
                <w:lang w:eastAsia="en-US"/>
              </w:rPr>
              <w:t xml:space="preserve">. </w:t>
            </w:r>
          </w:p>
        </w:tc>
      </w:tr>
      <w:tr w:rsidR="009F2CDD" w:rsidRPr="002056FA" w14:paraId="032A1F36" w14:textId="77777777" w:rsidTr="00E169B4">
        <w:tc>
          <w:tcPr>
            <w:tcW w:w="0" w:type="auto"/>
            <w:shd w:val="clear" w:color="auto" w:fill="auto"/>
          </w:tcPr>
          <w:p w14:paraId="1AF21AC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12.4</w:t>
            </w:r>
          </w:p>
        </w:tc>
        <w:tc>
          <w:tcPr>
            <w:tcW w:w="0" w:type="auto"/>
            <w:shd w:val="clear" w:color="auto" w:fill="auto"/>
          </w:tcPr>
          <w:p w14:paraId="54F9822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RAB asset financial data in the Workbook 1 – Regulatory determination, regulatory template 3.3 must reconcile to that in Energex’s regulatory proposal PTRM and RFM.</w:t>
            </w:r>
          </w:p>
        </w:tc>
        <w:tc>
          <w:tcPr>
            <w:tcW w:w="0" w:type="auto"/>
            <w:shd w:val="clear" w:color="auto" w:fill="auto"/>
          </w:tcPr>
          <w:p w14:paraId="03021D49" w14:textId="77777777" w:rsidR="009F2CDD" w:rsidRPr="002056FA" w:rsidRDefault="009F2CDD" w:rsidP="00E169B4">
            <w:pPr>
              <w:pStyle w:val="TableCopy"/>
              <w:rPr>
                <w:rFonts w:eastAsia="Calibri"/>
                <w:lang w:eastAsia="en-US"/>
              </w:rPr>
            </w:pPr>
            <w:r w:rsidRPr="002056FA">
              <w:rPr>
                <w:rFonts w:eastAsia="Calibri"/>
                <w:lang w:eastAsia="en-US"/>
              </w:rPr>
              <w:t xml:space="preserve">The </w:t>
            </w:r>
            <w:r>
              <w:rPr>
                <w:rFonts w:eastAsia="Calibri"/>
                <w:lang w:eastAsia="en-US"/>
              </w:rPr>
              <w:t>regulatory asset base</w:t>
            </w:r>
            <w:r w:rsidRPr="002056FA">
              <w:rPr>
                <w:rFonts w:eastAsia="Calibri"/>
                <w:lang w:eastAsia="en-US"/>
              </w:rPr>
              <w:t xml:space="preserve"> </w:t>
            </w:r>
            <w:r>
              <w:rPr>
                <w:rFonts w:eastAsia="Calibri"/>
                <w:lang w:eastAsia="en-US"/>
              </w:rPr>
              <w:t xml:space="preserve">(RAB) </w:t>
            </w:r>
            <w:r w:rsidRPr="002056FA">
              <w:rPr>
                <w:rFonts w:eastAsia="Calibri"/>
                <w:lang w:eastAsia="en-US"/>
              </w:rPr>
              <w:t>asset financial da</w:t>
            </w:r>
            <w:r>
              <w:rPr>
                <w:rFonts w:eastAsia="Calibri"/>
                <w:lang w:eastAsia="en-US"/>
              </w:rPr>
              <w:t xml:space="preserve">ta in regulatory template 3 of </w:t>
            </w:r>
            <w:r w:rsidRPr="002056FA">
              <w:rPr>
                <w:rFonts w:eastAsia="Calibri"/>
                <w:lang w:eastAsia="en-US"/>
              </w:rPr>
              <w:t>Workbo</w:t>
            </w:r>
            <w:r>
              <w:rPr>
                <w:rFonts w:eastAsia="Calibri"/>
                <w:lang w:eastAsia="en-US"/>
              </w:rPr>
              <w:t>ok 1 – Regulatory Determination</w:t>
            </w:r>
            <w:r w:rsidRPr="002056FA">
              <w:rPr>
                <w:rFonts w:eastAsia="Calibri"/>
                <w:lang w:eastAsia="en-US"/>
              </w:rPr>
              <w:t xml:space="preserve"> (</w:t>
            </w:r>
            <w:r w:rsidRPr="00405A1F">
              <w:rPr>
                <w:rFonts w:eastAsia="Calibri"/>
                <w:lang w:eastAsia="en-US"/>
              </w:rPr>
              <w:t>Attachment 17.</w:t>
            </w:r>
            <w:r>
              <w:rPr>
                <w:rFonts w:eastAsia="Calibri"/>
                <w:lang w:eastAsia="en-US"/>
              </w:rPr>
              <w:t>046</w:t>
            </w:r>
            <w:r w:rsidRPr="00405A1F">
              <w:rPr>
                <w:rFonts w:eastAsia="Calibri"/>
                <w:lang w:eastAsia="en-US"/>
              </w:rPr>
              <w:t>) reconcile</w:t>
            </w:r>
            <w:r w:rsidRPr="002056FA">
              <w:rPr>
                <w:rFonts w:eastAsia="Calibri"/>
                <w:lang w:eastAsia="en-US"/>
              </w:rPr>
              <w:t xml:space="preserve"> to that in the </w:t>
            </w:r>
            <w:r>
              <w:rPr>
                <w:rFonts w:eastAsia="Calibri"/>
                <w:lang w:eastAsia="en-US"/>
              </w:rPr>
              <w:t>R</w:t>
            </w:r>
            <w:r w:rsidRPr="002056FA">
              <w:rPr>
                <w:rFonts w:eastAsia="Calibri"/>
                <w:lang w:eastAsia="en-US"/>
              </w:rPr>
              <w:t xml:space="preserve">egulatory </w:t>
            </w:r>
            <w:r>
              <w:rPr>
                <w:rFonts w:eastAsia="Calibri"/>
                <w:lang w:eastAsia="en-US"/>
              </w:rPr>
              <w:t>P</w:t>
            </w:r>
            <w:r w:rsidRPr="002056FA">
              <w:rPr>
                <w:rFonts w:eastAsia="Calibri"/>
                <w:lang w:eastAsia="en-US"/>
              </w:rPr>
              <w:t>roposal PTRM</w:t>
            </w:r>
            <w:r>
              <w:rPr>
                <w:rFonts w:eastAsia="Calibri"/>
                <w:lang w:eastAsia="en-US"/>
              </w:rPr>
              <w:t>-SCS</w:t>
            </w:r>
            <w:r w:rsidRPr="002056FA">
              <w:rPr>
                <w:rFonts w:eastAsia="Calibri"/>
                <w:lang w:eastAsia="en-US"/>
              </w:rPr>
              <w:t xml:space="preserve"> (</w:t>
            </w:r>
            <w:r w:rsidRPr="00405A1F">
              <w:rPr>
                <w:rFonts w:eastAsia="Calibri"/>
                <w:lang w:eastAsia="en-US"/>
              </w:rPr>
              <w:t>Attachment 8.</w:t>
            </w:r>
            <w:r>
              <w:rPr>
                <w:rFonts w:eastAsia="Calibri"/>
                <w:lang w:eastAsia="en-US"/>
              </w:rPr>
              <w:t>003</w:t>
            </w:r>
            <w:r w:rsidRPr="00405A1F">
              <w:rPr>
                <w:rFonts w:eastAsia="Calibri"/>
                <w:lang w:eastAsia="en-US"/>
              </w:rPr>
              <w:t>) and RFM-SCS (Attachment 8.</w:t>
            </w:r>
            <w:r>
              <w:rPr>
                <w:rFonts w:eastAsia="Calibri"/>
                <w:lang w:eastAsia="en-US"/>
              </w:rPr>
              <w:t>007</w:t>
            </w:r>
            <w:r w:rsidRPr="00405A1F">
              <w:rPr>
                <w:rFonts w:eastAsia="Calibri"/>
                <w:lang w:eastAsia="en-US"/>
              </w:rPr>
              <w:t>).</w:t>
            </w:r>
          </w:p>
        </w:tc>
      </w:tr>
      <w:tr w:rsidR="009F2CDD" w:rsidRPr="002056FA" w14:paraId="292F84C6" w14:textId="77777777" w:rsidTr="00E169B4">
        <w:tc>
          <w:tcPr>
            <w:tcW w:w="0" w:type="auto"/>
            <w:shd w:val="clear" w:color="auto" w:fill="auto"/>
          </w:tcPr>
          <w:p w14:paraId="01FC1C1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12.5</w:t>
            </w:r>
          </w:p>
        </w:tc>
        <w:tc>
          <w:tcPr>
            <w:tcW w:w="0" w:type="auto"/>
            <w:shd w:val="clear" w:color="auto" w:fill="auto"/>
          </w:tcPr>
          <w:p w14:paraId="3FCF1F3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definition of a tree must be applied when completing the variables “Average number of trees per urban and CBD vegetation maintenance span” (DOEF0208) and “Average number of trees per rural vegetation maintenance span” (DOEF0209)</w:t>
            </w:r>
          </w:p>
        </w:tc>
        <w:tc>
          <w:tcPr>
            <w:tcW w:w="0" w:type="auto"/>
            <w:shd w:val="clear" w:color="auto" w:fill="auto"/>
          </w:tcPr>
          <w:p w14:paraId="07ECF995" w14:textId="77777777" w:rsidR="009F2CDD" w:rsidRPr="002056FA" w:rsidRDefault="009F2CDD" w:rsidP="00E169B4">
            <w:pPr>
              <w:pStyle w:val="TableCopy"/>
              <w:rPr>
                <w:rFonts w:eastAsia="Calibri"/>
                <w:color w:val="548DD4"/>
                <w:lang w:eastAsia="en-US"/>
              </w:rPr>
            </w:pPr>
            <w:r w:rsidRPr="002056FA">
              <w:rPr>
                <w:rFonts w:eastAsia="Calibri"/>
                <w:lang w:eastAsia="en-US"/>
              </w:rPr>
              <w:t xml:space="preserve">Energex has applied the definition of a tree when completing variables DOEF0208 and DOEF0209 in Workbook 1 – Regulatory determination, regulatory template 3.7. </w:t>
            </w:r>
          </w:p>
        </w:tc>
      </w:tr>
      <w:tr w:rsidR="009F2CDD" w:rsidRPr="002056FA" w14:paraId="16971977" w14:textId="77777777" w:rsidTr="00E169B4">
        <w:tc>
          <w:tcPr>
            <w:tcW w:w="0" w:type="auto"/>
            <w:shd w:val="clear" w:color="auto" w:fill="auto"/>
          </w:tcPr>
          <w:p w14:paraId="1F0569E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12.6</w:t>
            </w:r>
          </w:p>
        </w:tc>
        <w:tc>
          <w:tcPr>
            <w:tcW w:w="0" w:type="auto"/>
            <w:shd w:val="clear" w:color="auto" w:fill="auto"/>
          </w:tcPr>
          <w:p w14:paraId="2DBBE7A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In calculating responses to the variables DOEF0202 to DOEF0205, spans in the network service area where Energex is not responsible for the vegetation management associated with the span are not to be counted.</w:t>
            </w:r>
          </w:p>
        </w:tc>
        <w:tc>
          <w:tcPr>
            <w:tcW w:w="0" w:type="auto"/>
            <w:shd w:val="clear" w:color="auto" w:fill="auto"/>
          </w:tcPr>
          <w:p w14:paraId="1CB2E8BB" w14:textId="77777777" w:rsidR="009F2CDD" w:rsidRPr="002056FA" w:rsidRDefault="009F2CDD" w:rsidP="00E169B4">
            <w:pPr>
              <w:pStyle w:val="TableCopy"/>
              <w:rPr>
                <w:rFonts w:eastAsia="Calibri"/>
                <w:color w:val="548DD4"/>
                <w:lang w:eastAsia="en-US"/>
              </w:rPr>
            </w:pPr>
            <w:r w:rsidRPr="002056FA">
              <w:rPr>
                <w:rFonts w:eastAsia="Calibri"/>
                <w:lang w:eastAsia="en-US"/>
              </w:rPr>
              <w:t>In preparing Workbook 1 – Regulatory determination, regulatory template 3.7 Energex has not counted the spans in the network service areas where it is not responsible for the vegetation management associated with the span (variables DOEF0202 to DOEF0205).</w:t>
            </w:r>
          </w:p>
        </w:tc>
      </w:tr>
      <w:tr w:rsidR="009F2CDD" w:rsidRPr="002056FA" w14:paraId="5C7BC1F1" w14:textId="77777777" w:rsidTr="00E169B4">
        <w:tc>
          <w:tcPr>
            <w:tcW w:w="0" w:type="auto"/>
            <w:shd w:val="clear" w:color="auto" w:fill="auto"/>
          </w:tcPr>
          <w:p w14:paraId="3DB8A14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12.7</w:t>
            </w:r>
          </w:p>
        </w:tc>
        <w:tc>
          <w:tcPr>
            <w:tcW w:w="0" w:type="auto"/>
            <w:shd w:val="clear" w:color="auto" w:fill="auto"/>
          </w:tcPr>
          <w:p w14:paraId="6F10F43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“Total number of spans” (DOEF0205) does not include service line spans.</w:t>
            </w:r>
          </w:p>
        </w:tc>
        <w:tc>
          <w:tcPr>
            <w:tcW w:w="0" w:type="auto"/>
            <w:shd w:val="clear" w:color="auto" w:fill="auto"/>
          </w:tcPr>
          <w:p w14:paraId="7875DBBC" w14:textId="77777777" w:rsidR="009F2CDD" w:rsidRPr="002056FA" w:rsidRDefault="009F2CDD" w:rsidP="00E169B4">
            <w:pPr>
              <w:pStyle w:val="TableCopy"/>
              <w:rPr>
                <w:rFonts w:eastAsia="Calibri"/>
                <w:color w:val="548DD4"/>
                <w:lang w:eastAsia="en-US"/>
              </w:rPr>
            </w:pPr>
            <w:r w:rsidRPr="002056FA">
              <w:rPr>
                <w:rFonts w:eastAsia="Calibri"/>
                <w:lang w:eastAsia="en-US"/>
              </w:rPr>
              <w:t>In preparing Workbook 1 – Regulatory determination, regulatory template 3.7, Energex confirms that the “Total number of spans” (DOEF0205) does not include service line spans.</w:t>
            </w:r>
          </w:p>
        </w:tc>
      </w:tr>
      <w:tr w:rsidR="009F2CDD" w:rsidRPr="002056FA" w14:paraId="571D8C22" w14:textId="77777777" w:rsidTr="00E169B4">
        <w:tc>
          <w:tcPr>
            <w:tcW w:w="0" w:type="auto"/>
            <w:tcBorders>
              <w:bottom w:val="single" w:sz="4" w:space="0" w:color="auto"/>
            </w:tcBorders>
            <w:shd w:val="clear" w:color="auto" w:fill="auto"/>
          </w:tcPr>
          <w:p w14:paraId="12CC242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12.8</w:t>
            </w:r>
          </w:p>
        </w:tc>
        <w:tc>
          <w:tcPr>
            <w:tcW w:w="0" w:type="auto"/>
            <w:tcBorders>
              <w:bottom w:val="single" w:sz="4" w:space="0" w:color="auto"/>
            </w:tcBorders>
            <w:shd w:val="clear" w:color="auto" w:fill="auto"/>
          </w:tcPr>
          <w:p w14:paraId="3C92B6D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 must report the route line length of feeders classified as either short rural or long rural divided by the total route feeder line length (this is the total feeder route line length for all CBD, urban, short rural and long rural feeders) against “Rural proportion” (DOEF0201).</w:t>
            </w:r>
          </w:p>
        </w:tc>
        <w:tc>
          <w:tcPr>
            <w:tcW w:w="0" w:type="auto"/>
            <w:tcBorders>
              <w:bottom w:val="single" w:sz="4" w:space="0" w:color="auto"/>
            </w:tcBorders>
            <w:shd w:val="clear" w:color="auto" w:fill="auto"/>
          </w:tcPr>
          <w:p w14:paraId="637D406D" w14:textId="77777777" w:rsidR="009F2CDD" w:rsidRPr="002056FA" w:rsidRDefault="009F2CDD" w:rsidP="00E169B4">
            <w:pPr>
              <w:pStyle w:val="TableCopy"/>
              <w:rPr>
                <w:rFonts w:eastAsia="Calibri"/>
                <w:color w:val="548DD4"/>
                <w:lang w:eastAsia="en-US"/>
              </w:rPr>
            </w:pPr>
            <w:r w:rsidRPr="002056FA">
              <w:rPr>
                <w:rFonts w:eastAsia="Calibri"/>
                <w:lang w:eastAsia="en-US"/>
              </w:rPr>
              <w:t>In preparing Workbook 1 – Regulatory determination, regulatory template 3.7, Energex has reported the route line length of feeders classified as either short rural or long rural divided by the total route feeder line length against “Rural proportion” (DOEF0201).</w:t>
            </w:r>
          </w:p>
        </w:tc>
      </w:tr>
      <w:tr w:rsidR="009F2CDD" w:rsidRPr="002056FA" w14:paraId="27D48F76" w14:textId="77777777" w:rsidTr="00E169B4">
        <w:tc>
          <w:tcPr>
            <w:tcW w:w="0" w:type="auto"/>
            <w:shd w:val="clear" w:color="auto" w:fill="D0CECE" w:themeFill="background2" w:themeFillShade="E6"/>
          </w:tcPr>
          <w:p w14:paraId="2395DBD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12.9</w:t>
            </w:r>
          </w:p>
        </w:tc>
        <w:tc>
          <w:tcPr>
            <w:tcW w:w="0" w:type="auto"/>
            <w:shd w:val="clear" w:color="auto" w:fill="D0CECE" w:themeFill="background2" w:themeFillShade="E6"/>
          </w:tcPr>
          <w:p w14:paraId="471F27E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the purposes of calculating the “Route line length” variable (DOEF0301) or other variables measured in terms of route line length:</w:t>
            </w:r>
          </w:p>
        </w:tc>
        <w:tc>
          <w:tcPr>
            <w:tcW w:w="0" w:type="auto"/>
            <w:shd w:val="clear" w:color="auto" w:fill="D0CECE" w:themeFill="background2" w:themeFillShade="E6"/>
          </w:tcPr>
          <w:p w14:paraId="114BE673" w14:textId="77777777" w:rsidR="009F2CDD" w:rsidRPr="002056FA" w:rsidRDefault="009F2CDD" w:rsidP="00E169B4">
            <w:pPr>
              <w:pStyle w:val="TableCopy"/>
              <w:rPr>
                <w:rFonts w:eastAsia="Calibri"/>
                <w:color w:val="000000"/>
                <w:lang w:eastAsia="en-US"/>
              </w:rPr>
            </w:pPr>
          </w:p>
        </w:tc>
      </w:tr>
      <w:tr w:rsidR="009F2CDD" w:rsidRPr="002056FA" w14:paraId="4E80266E" w14:textId="77777777" w:rsidTr="00E169B4">
        <w:tc>
          <w:tcPr>
            <w:tcW w:w="0" w:type="auto"/>
            <w:shd w:val="clear" w:color="auto" w:fill="auto"/>
          </w:tcPr>
          <w:p w14:paraId="209078D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12.9(a)</w:t>
            </w:r>
          </w:p>
        </w:tc>
        <w:tc>
          <w:tcPr>
            <w:tcW w:w="0" w:type="auto"/>
            <w:shd w:val="clear" w:color="auto" w:fill="auto"/>
          </w:tcPr>
          <w:p w14:paraId="6179655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length of service lines is not to be counted</w:t>
            </w:r>
          </w:p>
        </w:tc>
        <w:tc>
          <w:tcPr>
            <w:tcW w:w="0" w:type="auto"/>
            <w:shd w:val="clear" w:color="auto" w:fill="auto"/>
          </w:tcPr>
          <w:p w14:paraId="09319725" w14:textId="77777777" w:rsidR="009F2CDD" w:rsidRPr="002056FA" w:rsidRDefault="009F2CDD" w:rsidP="00E169B4">
            <w:pPr>
              <w:pStyle w:val="TableCopy"/>
              <w:rPr>
                <w:rFonts w:eastAsia="Calibri"/>
                <w:lang w:eastAsia="en-US"/>
              </w:rPr>
            </w:pPr>
            <w:r w:rsidRPr="002056FA">
              <w:rPr>
                <w:rFonts w:eastAsia="Calibri"/>
                <w:lang w:eastAsia="en-US"/>
              </w:rPr>
              <w:t>In preparing Workbook 1 – Regulatory determination, regulatory template 3.7, the length of service lines has not been counted for the purposes of calculating the “Route line length” variable (DOEF0301) or other variables measured in terms of route line length.</w:t>
            </w:r>
          </w:p>
        </w:tc>
      </w:tr>
      <w:tr w:rsidR="009F2CDD" w:rsidRPr="002056FA" w14:paraId="4F23832D" w14:textId="77777777" w:rsidTr="00E169B4">
        <w:tc>
          <w:tcPr>
            <w:tcW w:w="0" w:type="auto"/>
            <w:shd w:val="clear" w:color="auto" w:fill="auto"/>
          </w:tcPr>
          <w:p w14:paraId="254F287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12.9(b)</w:t>
            </w:r>
          </w:p>
        </w:tc>
        <w:tc>
          <w:tcPr>
            <w:tcW w:w="0" w:type="auto"/>
            <w:shd w:val="clear" w:color="auto" w:fill="auto"/>
          </w:tcPr>
          <w:p w14:paraId="68CF792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length of a span that shares multiple voltage levels is only to be counted once</w:t>
            </w:r>
          </w:p>
        </w:tc>
        <w:tc>
          <w:tcPr>
            <w:tcW w:w="0" w:type="auto"/>
            <w:shd w:val="clear" w:color="auto" w:fill="auto"/>
          </w:tcPr>
          <w:p w14:paraId="7A66A70C" w14:textId="77777777" w:rsidR="009F2CDD" w:rsidRPr="002056FA" w:rsidRDefault="009F2CDD" w:rsidP="00E169B4">
            <w:pPr>
              <w:pStyle w:val="TableCopy"/>
              <w:rPr>
                <w:rFonts w:eastAsia="Calibri"/>
                <w:lang w:eastAsia="en-US"/>
              </w:rPr>
            </w:pPr>
            <w:r w:rsidRPr="002056FA">
              <w:rPr>
                <w:rFonts w:eastAsia="Calibri"/>
                <w:lang w:eastAsia="en-US"/>
              </w:rPr>
              <w:t>In preparing Workbook 1 – Regulatory determination, regulatory template 3.7 the length of a span that shares multiple voltage levels is only counted once for the purposes of calculating the “Route line length” variable (DOEF0301) or other variables measured in terms of route line length.</w:t>
            </w:r>
          </w:p>
        </w:tc>
      </w:tr>
      <w:tr w:rsidR="009F2CDD" w:rsidRPr="002056FA" w14:paraId="455EE1EF" w14:textId="77777777" w:rsidTr="00E169B4">
        <w:tc>
          <w:tcPr>
            <w:tcW w:w="0" w:type="auto"/>
            <w:shd w:val="clear" w:color="auto" w:fill="auto"/>
          </w:tcPr>
          <w:p w14:paraId="206C2D1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12.9(c)</w:t>
            </w:r>
          </w:p>
        </w:tc>
        <w:tc>
          <w:tcPr>
            <w:tcW w:w="0" w:type="auto"/>
            <w:shd w:val="clear" w:color="auto" w:fill="auto"/>
          </w:tcPr>
          <w:p w14:paraId="710A99B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lengths of two sets of lines that run on different sets of poles (or towers) but share the same easement are counted separately</w:t>
            </w:r>
          </w:p>
        </w:tc>
        <w:tc>
          <w:tcPr>
            <w:tcW w:w="0" w:type="auto"/>
            <w:shd w:val="clear" w:color="auto" w:fill="auto"/>
          </w:tcPr>
          <w:p w14:paraId="3EB874A0" w14:textId="77777777" w:rsidR="009F2CDD" w:rsidRPr="002056FA" w:rsidRDefault="009F2CDD" w:rsidP="00E169B4">
            <w:pPr>
              <w:pStyle w:val="TableCopy"/>
              <w:rPr>
                <w:rFonts w:eastAsia="Calibri"/>
                <w:lang w:eastAsia="en-US"/>
              </w:rPr>
            </w:pPr>
            <w:r w:rsidRPr="002056FA">
              <w:rPr>
                <w:rFonts w:eastAsia="Calibri"/>
                <w:lang w:eastAsia="en-US"/>
              </w:rPr>
              <w:t>In preparing Workbook 1 – Regulatory determination, regulatory template 3.7, Energex confirms that lengths of two sets of lines that run on different sets of poles (or towers) but share that same easement are counted separately for the purposes of calculating the “Route line length” variable (DOEF0301) or other variables measured in terms of route line length.</w:t>
            </w:r>
          </w:p>
        </w:tc>
      </w:tr>
      <w:tr w:rsidR="009F2CDD" w:rsidRPr="002056FA" w14:paraId="7E49C9DD" w14:textId="77777777" w:rsidTr="00E169B4">
        <w:tc>
          <w:tcPr>
            <w:tcW w:w="0" w:type="auto"/>
            <w:shd w:val="clear" w:color="auto" w:fill="auto"/>
          </w:tcPr>
          <w:p w14:paraId="640E766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12.10</w:t>
            </w:r>
          </w:p>
        </w:tc>
        <w:tc>
          <w:tcPr>
            <w:tcW w:w="0" w:type="auto"/>
            <w:shd w:val="clear" w:color="auto" w:fill="auto"/>
          </w:tcPr>
          <w:p w14:paraId="19E1FCF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All forecast variables in the Workbook 1 – Regulatory determination, regulatory templates 3.1 to 3.7 must align with those in Energex’s regulatory proposal. For the avoidance of doubt this includes forecast:</w:t>
            </w:r>
          </w:p>
        </w:tc>
        <w:tc>
          <w:tcPr>
            <w:tcW w:w="0" w:type="auto"/>
            <w:shd w:val="clear" w:color="auto" w:fill="auto"/>
          </w:tcPr>
          <w:p w14:paraId="0DB1EFD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All forecast variables report</w:t>
            </w:r>
            <w:r>
              <w:rPr>
                <w:rFonts w:eastAsia="Calibri"/>
                <w:color w:val="000000"/>
                <w:lang w:eastAsia="en-US"/>
              </w:rPr>
              <w:t xml:space="preserve">ed in templates 3.1 and 3.7 of </w:t>
            </w:r>
            <w:r w:rsidRPr="002056FA">
              <w:rPr>
                <w:rFonts w:eastAsia="Calibri"/>
                <w:color w:val="000000"/>
                <w:lang w:eastAsia="en-US"/>
              </w:rPr>
              <w:t>Workbook 1 – Regula</w:t>
            </w:r>
            <w:r>
              <w:rPr>
                <w:rFonts w:eastAsia="Calibri"/>
                <w:color w:val="000000"/>
                <w:lang w:eastAsia="en-US"/>
              </w:rPr>
              <w:t xml:space="preserve">tory </w:t>
            </w:r>
            <w:r w:rsidRPr="00405A1F">
              <w:rPr>
                <w:rFonts w:eastAsia="Calibri"/>
                <w:color w:val="000000"/>
                <w:lang w:eastAsia="en-US"/>
              </w:rPr>
              <w:t>Determination (Attachment 17.</w:t>
            </w:r>
            <w:r>
              <w:rPr>
                <w:rFonts w:eastAsia="Calibri"/>
                <w:color w:val="000000"/>
                <w:lang w:eastAsia="en-US"/>
              </w:rPr>
              <w:t>046</w:t>
            </w:r>
            <w:r w:rsidRPr="00405A1F">
              <w:rPr>
                <w:rFonts w:eastAsia="Calibri"/>
                <w:color w:val="000000"/>
                <w:lang w:eastAsia="en-US"/>
              </w:rPr>
              <w:t>) are consistent</w:t>
            </w:r>
            <w:r w:rsidRPr="002056FA">
              <w:rPr>
                <w:rFonts w:eastAsia="Calibri"/>
                <w:color w:val="000000"/>
                <w:lang w:eastAsia="en-US"/>
              </w:rPr>
              <w:t xml:space="preserve"> with the documents submitted as part of the </w:t>
            </w:r>
            <w:r>
              <w:rPr>
                <w:rFonts w:eastAsia="Calibri"/>
                <w:color w:val="000000"/>
                <w:lang w:eastAsia="en-US"/>
              </w:rPr>
              <w:t>R</w:t>
            </w:r>
            <w:r w:rsidRPr="002056FA">
              <w:rPr>
                <w:rFonts w:eastAsia="Calibri"/>
                <w:color w:val="000000"/>
                <w:lang w:eastAsia="en-US"/>
              </w:rPr>
              <w:t xml:space="preserve">egulatory </w:t>
            </w:r>
            <w:r>
              <w:rPr>
                <w:rFonts w:eastAsia="Calibri"/>
                <w:color w:val="000000"/>
                <w:lang w:eastAsia="en-US"/>
              </w:rPr>
              <w:t>P</w:t>
            </w:r>
            <w:r w:rsidRPr="002056FA">
              <w:rPr>
                <w:rFonts w:eastAsia="Calibri"/>
                <w:color w:val="000000"/>
                <w:lang w:eastAsia="en-US"/>
              </w:rPr>
              <w:t>roposal.</w:t>
            </w:r>
          </w:p>
        </w:tc>
      </w:tr>
      <w:tr w:rsidR="009F2CDD" w:rsidRPr="002056FA" w14:paraId="532F1613" w14:textId="77777777" w:rsidTr="00E169B4">
        <w:tc>
          <w:tcPr>
            <w:tcW w:w="0" w:type="auto"/>
            <w:shd w:val="clear" w:color="auto" w:fill="auto"/>
          </w:tcPr>
          <w:p w14:paraId="6FD2122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12.10(a)</w:t>
            </w:r>
          </w:p>
        </w:tc>
        <w:tc>
          <w:tcPr>
            <w:tcW w:w="0" w:type="auto"/>
            <w:shd w:val="clear" w:color="auto" w:fill="auto"/>
          </w:tcPr>
          <w:p w14:paraId="691041F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opex and capex;</w:t>
            </w:r>
          </w:p>
        </w:tc>
        <w:tc>
          <w:tcPr>
            <w:tcW w:w="0" w:type="auto"/>
            <w:shd w:val="clear" w:color="auto" w:fill="auto"/>
          </w:tcPr>
          <w:p w14:paraId="2FBF265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12.10.</w:t>
            </w:r>
          </w:p>
        </w:tc>
      </w:tr>
      <w:tr w:rsidR="009F2CDD" w:rsidRPr="002056FA" w14:paraId="2FE1E355" w14:textId="77777777" w:rsidTr="00E169B4">
        <w:tc>
          <w:tcPr>
            <w:tcW w:w="0" w:type="auto"/>
            <w:shd w:val="clear" w:color="auto" w:fill="auto"/>
          </w:tcPr>
          <w:p w14:paraId="506EA66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12.10(b)</w:t>
            </w:r>
          </w:p>
        </w:tc>
        <w:tc>
          <w:tcPr>
            <w:tcW w:w="0" w:type="auto"/>
            <w:shd w:val="clear" w:color="auto" w:fill="auto"/>
          </w:tcPr>
          <w:p w14:paraId="3FF28C8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maximum demand, energy delivery;</w:t>
            </w:r>
          </w:p>
        </w:tc>
        <w:tc>
          <w:tcPr>
            <w:tcW w:w="0" w:type="auto"/>
            <w:shd w:val="clear" w:color="auto" w:fill="auto"/>
          </w:tcPr>
          <w:p w14:paraId="5706832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12.10.</w:t>
            </w:r>
          </w:p>
        </w:tc>
      </w:tr>
      <w:tr w:rsidR="009F2CDD" w:rsidRPr="002056FA" w14:paraId="721C17AD" w14:textId="77777777" w:rsidTr="00E169B4">
        <w:tc>
          <w:tcPr>
            <w:tcW w:w="0" w:type="auto"/>
            <w:shd w:val="clear" w:color="auto" w:fill="auto"/>
          </w:tcPr>
          <w:p w14:paraId="07DAF2E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12.10(c)</w:t>
            </w:r>
          </w:p>
        </w:tc>
        <w:tc>
          <w:tcPr>
            <w:tcW w:w="0" w:type="auto"/>
            <w:shd w:val="clear" w:color="auto" w:fill="auto"/>
          </w:tcPr>
          <w:p w14:paraId="75A50BD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revenues;</w:t>
            </w:r>
          </w:p>
        </w:tc>
        <w:tc>
          <w:tcPr>
            <w:tcW w:w="0" w:type="auto"/>
            <w:shd w:val="clear" w:color="auto" w:fill="auto"/>
          </w:tcPr>
          <w:p w14:paraId="57C3157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12.10.</w:t>
            </w:r>
          </w:p>
        </w:tc>
      </w:tr>
      <w:tr w:rsidR="009F2CDD" w:rsidRPr="002056FA" w14:paraId="5765EE2E" w14:textId="77777777" w:rsidTr="00E169B4">
        <w:tc>
          <w:tcPr>
            <w:tcW w:w="0" w:type="auto"/>
            <w:shd w:val="clear" w:color="auto" w:fill="auto"/>
          </w:tcPr>
          <w:p w14:paraId="3AC53BB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12.10(d)</w:t>
            </w:r>
          </w:p>
        </w:tc>
        <w:tc>
          <w:tcPr>
            <w:tcW w:w="0" w:type="auto"/>
            <w:shd w:val="clear" w:color="auto" w:fill="auto"/>
          </w:tcPr>
          <w:p w14:paraId="3B8FA1E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quality of services variables including SAIDI and SAIFI; and</w:t>
            </w:r>
          </w:p>
        </w:tc>
        <w:tc>
          <w:tcPr>
            <w:tcW w:w="0" w:type="auto"/>
            <w:shd w:val="clear" w:color="auto" w:fill="auto"/>
          </w:tcPr>
          <w:p w14:paraId="104237D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12.10.</w:t>
            </w:r>
          </w:p>
        </w:tc>
      </w:tr>
      <w:tr w:rsidR="009F2CDD" w:rsidRPr="002056FA" w14:paraId="3DED0557" w14:textId="77777777" w:rsidTr="00E169B4">
        <w:tc>
          <w:tcPr>
            <w:tcW w:w="0" w:type="auto"/>
            <w:tcBorders>
              <w:bottom w:val="single" w:sz="4" w:space="0" w:color="auto"/>
            </w:tcBorders>
            <w:shd w:val="clear" w:color="auto" w:fill="auto"/>
          </w:tcPr>
          <w:p w14:paraId="7C6F2CD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12.10(e)</w:t>
            </w:r>
          </w:p>
        </w:tc>
        <w:tc>
          <w:tcPr>
            <w:tcW w:w="0" w:type="auto"/>
            <w:tcBorders>
              <w:bottom w:val="single" w:sz="4" w:space="0" w:color="auto"/>
            </w:tcBorders>
            <w:shd w:val="clear" w:color="auto" w:fill="auto"/>
          </w:tcPr>
          <w:p w14:paraId="5017C43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quantities of physical assets.</w:t>
            </w:r>
          </w:p>
        </w:tc>
        <w:tc>
          <w:tcPr>
            <w:tcW w:w="0" w:type="auto"/>
            <w:tcBorders>
              <w:bottom w:val="single" w:sz="4" w:space="0" w:color="auto"/>
            </w:tcBorders>
            <w:shd w:val="clear" w:color="auto" w:fill="auto"/>
          </w:tcPr>
          <w:p w14:paraId="3ACF4DE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response 12.10.</w:t>
            </w:r>
          </w:p>
        </w:tc>
      </w:tr>
      <w:tr w:rsidR="009F2CDD" w:rsidRPr="002056FA" w14:paraId="50DEAFCC" w14:textId="77777777" w:rsidTr="00E169B4">
        <w:tc>
          <w:tcPr>
            <w:tcW w:w="0" w:type="auto"/>
            <w:shd w:val="clear" w:color="auto" w:fill="D0CECE" w:themeFill="background2" w:themeFillShade="E6"/>
          </w:tcPr>
          <w:p w14:paraId="48F2B3B2"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13</w:t>
            </w:r>
          </w:p>
        </w:tc>
        <w:tc>
          <w:tcPr>
            <w:tcW w:w="0" w:type="auto"/>
            <w:shd w:val="clear" w:color="auto" w:fill="D0CECE" w:themeFill="background2" w:themeFillShade="E6"/>
          </w:tcPr>
          <w:p w14:paraId="21E48C62"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ALTERNATIVE CONTROL SERVICES</w:t>
            </w:r>
          </w:p>
        </w:tc>
        <w:tc>
          <w:tcPr>
            <w:tcW w:w="0" w:type="auto"/>
            <w:shd w:val="clear" w:color="auto" w:fill="D0CECE" w:themeFill="background2" w:themeFillShade="E6"/>
          </w:tcPr>
          <w:p w14:paraId="57EA4179" w14:textId="77777777" w:rsidR="009F2CDD" w:rsidRPr="002056FA" w:rsidRDefault="009F2CDD" w:rsidP="00E169B4">
            <w:pPr>
              <w:pStyle w:val="TableCopy"/>
              <w:rPr>
                <w:rFonts w:eastAsia="Calibri"/>
                <w:color w:val="000000"/>
                <w:lang w:eastAsia="en-US"/>
              </w:rPr>
            </w:pPr>
          </w:p>
        </w:tc>
      </w:tr>
      <w:tr w:rsidR="009F2CDD" w:rsidRPr="002056FA" w14:paraId="254890BB" w14:textId="77777777" w:rsidTr="00E169B4">
        <w:tc>
          <w:tcPr>
            <w:tcW w:w="0" w:type="auto"/>
            <w:shd w:val="clear" w:color="auto" w:fill="auto"/>
          </w:tcPr>
          <w:p w14:paraId="0A0B141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13.1</w:t>
            </w:r>
          </w:p>
        </w:tc>
        <w:tc>
          <w:tcPr>
            <w:tcW w:w="0" w:type="auto"/>
            <w:shd w:val="clear" w:color="auto" w:fill="auto"/>
          </w:tcPr>
          <w:p w14:paraId="660E1D7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overheads relating to each alternative control service listed in paragraph 13.2 must be disclosed.</w:t>
            </w:r>
          </w:p>
        </w:tc>
        <w:tc>
          <w:tcPr>
            <w:tcW w:w="0" w:type="auto"/>
            <w:shd w:val="clear" w:color="auto" w:fill="auto"/>
          </w:tcPr>
          <w:p w14:paraId="468DC5D5" w14:textId="77777777" w:rsidR="009F2CDD" w:rsidRDefault="009F2CDD" w:rsidP="00E169B4">
            <w:pPr>
              <w:pStyle w:val="TableCopy"/>
              <w:rPr>
                <w:rFonts w:eastAsia="Calibri"/>
                <w:lang w:val="en-GB" w:eastAsia="en-US"/>
              </w:rPr>
            </w:pPr>
            <w:r>
              <w:rPr>
                <w:rFonts w:eastAsia="Calibri"/>
                <w:lang w:eastAsia="en-US"/>
              </w:rPr>
              <w:t xml:space="preserve">For fee based and quoted ACS, </w:t>
            </w:r>
            <w:r w:rsidRPr="002056FA">
              <w:rPr>
                <w:rFonts w:eastAsia="Calibri"/>
                <w:lang w:eastAsia="en-US"/>
              </w:rPr>
              <w:t xml:space="preserve">Energex </w:t>
            </w:r>
            <w:r>
              <w:rPr>
                <w:rFonts w:eastAsia="Calibri"/>
                <w:lang w:eastAsia="en-US"/>
              </w:rPr>
              <w:t>has</w:t>
            </w:r>
            <w:r w:rsidRPr="002056FA">
              <w:rPr>
                <w:rFonts w:eastAsia="Calibri"/>
                <w:lang w:eastAsia="en-US"/>
              </w:rPr>
              <w:t xml:space="preserve"> outlined the overheads </w:t>
            </w:r>
            <w:r w:rsidRPr="00694205">
              <w:rPr>
                <w:rFonts w:eastAsia="Calibri"/>
                <w:lang w:eastAsia="en-US"/>
              </w:rPr>
              <w:t xml:space="preserve">in the </w:t>
            </w:r>
            <w:r w:rsidRPr="00694205">
              <w:rPr>
                <w:rFonts w:eastAsia="Calibri"/>
                <w:lang w:val="en-GB" w:eastAsia="en-US"/>
              </w:rPr>
              <w:t>ACS – Fee based and quoted ser</w:t>
            </w:r>
            <w:r>
              <w:rPr>
                <w:rFonts w:eastAsia="Calibri"/>
                <w:lang w:val="en-GB" w:eastAsia="en-US"/>
              </w:rPr>
              <w:t>vices model (Attachment 15.009).</w:t>
            </w:r>
          </w:p>
          <w:p w14:paraId="47EB6787" w14:textId="77777777" w:rsidR="009F2CDD" w:rsidRDefault="009F2CDD" w:rsidP="00E169B4">
            <w:pPr>
              <w:pStyle w:val="TableCopy"/>
              <w:rPr>
                <w:rFonts w:eastAsia="Calibri"/>
                <w:lang w:val="en-GB" w:eastAsia="en-US"/>
              </w:rPr>
            </w:pPr>
            <w:r>
              <w:rPr>
                <w:rFonts w:eastAsia="Calibri"/>
                <w:lang w:val="en-GB" w:eastAsia="en-US"/>
              </w:rPr>
              <w:t xml:space="preserve">Metering and public lighting forecasts have been prepared using a limited building block approach. Opex has been forecast using the same BST approach used for SCS. Therefore overheads cannot be separately identified. However, </w:t>
            </w:r>
            <w:r w:rsidRPr="00300960">
              <w:rPr>
                <w:rFonts w:eastAsia="Calibri"/>
                <w:lang w:val="en-GB" w:eastAsia="en-US"/>
              </w:rPr>
              <w:t>capitalised overheads are set out in the following models</w:t>
            </w:r>
            <w:r>
              <w:rPr>
                <w:rFonts w:eastAsia="Calibri"/>
                <w:lang w:val="en-GB" w:eastAsia="en-US"/>
              </w:rPr>
              <w:t>:</w:t>
            </w:r>
          </w:p>
          <w:p w14:paraId="2CEF7625" w14:textId="77777777" w:rsidR="009F2CDD" w:rsidRPr="001F271E" w:rsidRDefault="009F2CDD" w:rsidP="00E169B4">
            <w:pPr>
              <w:pStyle w:val="Bullet1"/>
            </w:pPr>
            <w:r w:rsidRPr="004F40EC">
              <w:rPr>
                <w:sz w:val="20"/>
                <w:szCs w:val="20"/>
              </w:rPr>
              <w:t>Capex f</w:t>
            </w:r>
            <w:r>
              <w:rPr>
                <w:sz w:val="20"/>
                <w:szCs w:val="20"/>
              </w:rPr>
              <w:t>orecast – ACS metering (Attachment 15.007)</w:t>
            </w:r>
          </w:p>
          <w:p w14:paraId="79942395" w14:textId="77777777" w:rsidR="009F2CDD" w:rsidRPr="001F271E" w:rsidRDefault="009F2CDD" w:rsidP="00E169B4">
            <w:pPr>
              <w:pStyle w:val="Bullet1"/>
            </w:pPr>
            <w:r>
              <w:rPr>
                <w:sz w:val="20"/>
                <w:szCs w:val="20"/>
              </w:rPr>
              <w:t>Capex forecast – ASC public lighting conventional (Attachment 15.031); and</w:t>
            </w:r>
          </w:p>
          <w:p w14:paraId="43260988" w14:textId="77777777" w:rsidR="009F2CDD" w:rsidRPr="001F271E" w:rsidRDefault="009F2CDD" w:rsidP="00E169B4">
            <w:pPr>
              <w:pStyle w:val="Bullet1"/>
            </w:pPr>
            <w:r>
              <w:rPr>
                <w:sz w:val="20"/>
                <w:szCs w:val="20"/>
              </w:rPr>
              <w:t xml:space="preserve">Capex forecast – ACS public lighting LED (Attachment 15.033). </w:t>
            </w:r>
            <w:r>
              <w:t xml:space="preserve"> </w:t>
            </w:r>
          </w:p>
        </w:tc>
      </w:tr>
      <w:tr w:rsidR="009F2CDD" w:rsidRPr="002056FA" w14:paraId="652A8E46" w14:textId="77777777" w:rsidTr="00E169B4">
        <w:tc>
          <w:tcPr>
            <w:tcW w:w="0" w:type="auto"/>
            <w:shd w:val="clear" w:color="auto" w:fill="auto"/>
          </w:tcPr>
          <w:p w14:paraId="6BE5261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13.2</w:t>
            </w:r>
          </w:p>
        </w:tc>
        <w:tc>
          <w:tcPr>
            <w:tcW w:w="0" w:type="auto"/>
            <w:shd w:val="clear" w:color="auto" w:fill="auto"/>
          </w:tcPr>
          <w:p w14:paraId="50F3C14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a list of all of the alternative control services that Energex intends to provide to customers and levy charges for in the forthcoming regulatory control period.</w:t>
            </w:r>
          </w:p>
        </w:tc>
        <w:tc>
          <w:tcPr>
            <w:tcW w:w="0" w:type="auto"/>
            <w:shd w:val="clear" w:color="auto" w:fill="auto"/>
          </w:tcPr>
          <w:p w14:paraId="324AE184" w14:textId="77777777" w:rsidR="009F2CDD" w:rsidRPr="0012357C" w:rsidRDefault="009F2CDD" w:rsidP="00E169B4">
            <w:pPr>
              <w:pStyle w:val="TableCopy"/>
              <w:rPr>
                <w:rFonts w:eastAsia="Calibri"/>
                <w:lang w:eastAsia="en-US"/>
              </w:rPr>
            </w:pPr>
            <w:r w:rsidRPr="002056FA">
              <w:rPr>
                <w:rFonts w:eastAsia="Calibri"/>
                <w:lang w:eastAsia="en-US"/>
              </w:rPr>
              <w:t xml:space="preserve">Energex </w:t>
            </w:r>
            <w:r>
              <w:rPr>
                <w:rFonts w:eastAsia="Calibri"/>
                <w:lang w:eastAsia="en-US"/>
              </w:rPr>
              <w:t xml:space="preserve">has </w:t>
            </w:r>
            <w:r w:rsidRPr="002056FA">
              <w:rPr>
                <w:rFonts w:eastAsia="Calibri"/>
                <w:lang w:eastAsia="en-US"/>
              </w:rPr>
              <w:t xml:space="preserve">provided a </w:t>
            </w:r>
            <w:r>
              <w:rPr>
                <w:rFonts w:eastAsia="Calibri"/>
                <w:lang w:eastAsia="en-US"/>
              </w:rPr>
              <w:t>list</w:t>
            </w:r>
            <w:r w:rsidRPr="002056FA">
              <w:rPr>
                <w:rFonts w:eastAsia="Calibri"/>
                <w:lang w:eastAsia="en-US"/>
              </w:rPr>
              <w:t xml:space="preserve"> of each </w:t>
            </w:r>
            <w:r>
              <w:rPr>
                <w:rFonts w:eastAsia="Calibri"/>
                <w:lang w:eastAsia="en-US"/>
              </w:rPr>
              <w:t>ACS</w:t>
            </w:r>
            <w:r w:rsidRPr="002056FA">
              <w:rPr>
                <w:rFonts w:eastAsia="Calibri"/>
                <w:lang w:eastAsia="en-US"/>
              </w:rPr>
              <w:t xml:space="preserve"> that we </w:t>
            </w:r>
            <w:r>
              <w:rPr>
                <w:rFonts w:eastAsia="Calibri"/>
                <w:lang w:eastAsia="en-US"/>
              </w:rPr>
              <w:t>intend to provide customers in:</w:t>
            </w:r>
          </w:p>
          <w:p w14:paraId="7DBA502D" w14:textId="77777777" w:rsidR="009F2CDD" w:rsidRPr="00DE5058" w:rsidRDefault="009F2CDD" w:rsidP="00E169B4">
            <w:pPr>
              <w:pStyle w:val="Bullet1"/>
              <w:rPr>
                <w:sz w:val="20"/>
                <w:szCs w:val="20"/>
              </w:rPr>
            </w:pPr>
            <w:r w:rsidRPr="00DE5058">
              <w:rPr>
                <w:sz w:val="20"/>
                <w:szCs w:val="20"/>
              </w:rPr>
              <w:t>Alternative Control Serv</w:t>
            </w:r>
            <w:r>
              <w:rPr>
                <w:sz w:val="20"/>
                <w:szCs w:val="20"/>
              </w:rPr>
              <w:t>ices (Attachment 15.005</w:t>
            </w:r>
            <w:r w:rsidRPr="00DE5058">
              <w:rPr>
                <w:sz w:val="20"/>
                <w:szCs w:val="20"/>
              </w:rPr>
              <w:t>)</w:t>
            </w:r>
          </w:p>
          <w:p w14:paraId="6FA2DCA2" w14:textId="77777777" w:rsidR="009F2CDD" w:rsidRPr="00DE5058" w:rsidRDefault="009F2CDD" w:rsidP="00E169B4">
            <w:pPr>
              <w:pStyle w:val="Bullet1"/>
              <w:rPr>
                <w:sz w:val="20"/>
                <w:szCs w:val="20"/>
              </w:rPr>
            </w:pPr>
            <w:r w:rsidRPr="00DE5058">
              <w:rPr>
                <w:sz w:val="20"/>
                <w:szCs w:val="20"/>
              </w:rPr>
              <w:t>2020-2025 Tariff Structure Statement (Attachment 14.0</w:t>
            </w:r>
            <w:r>
              <w:rPr>
                <w:sz w:val="20"/>
                <w:szCs w:val="20"/>
              </w:rPr>
              <w:t>01</w:t>
            </w:r>
            <w:r w:rsidRPr="00DE5058">
              <w:rPr>
                <w:sz w:val="20"/>
                <w:szCs w:val="20"/>
              </w:rPr>
              <w:t>) and TSS Explanatory Notes (Attachment 1</w:t>
            </w:r>
            <w:r>
              <w:rPr>
                <w:sz w:val="20"/>
                <w:szCs w:val="20"/>
              </w:rPr>
              <w:t>4</w:t>
            </w:r>
            <w:r w:rsidRPr="00DE5058">
              <w:rPr>
                <w:sz w:val="20"/>
                <w:szCs w:val="20"/>
              </w:rPr>
              <w:t>.0</w:t>
            </w:r>
            <w:r>
              <w:rPr>
                <w:sz w:val="20"/>
                <w:szCs w:val="20"/>
              </w:rPr>
              <w:t>03</w:t>
            </w:r>
            <w:r w:rsidRPr="00DE5058">
              <w:rPr>
                <w:sz w:val="20"/>
                <w:szCs w:val="20"/>
              </w:rPr>
              <w:t>)</w:t>
            </w:r>
          </w:p>
          <w:p w14:paraId="55F730A8" w14:textId="77777777" w:rsidR="009F2CDD" w:rsidRPr="002F13FA" w:rsidRDefault="009F2CDD" w:rsidP="00E169B4">
            <w:pPr>
              <w:pStyle w:val="Bullet1"/>
              <w:rPr>
                <w:sz w:val="20"/>
                <w:szCs w:val="20"/>
              </w:rPr>
            </w:pPr>
            <w:r w:rsidRPr="002F13FA">
              <w:rPr>
                <w:sz w:val="20"/>
                <w:szCs w:val="20"/>
              </w:rPr>
              <w:t xml:space="preserve">ACS </w:t>
            </w:r>
            <w:r>
              <w:rPr>
                <w:sz w:val="20"/>
                <w:szCs w:val="20"/>
              </w:rPr>
              <w:t>m</w:t>
            </w:r>
            <w:r w:rsidRPr="002F13FA">
              <w:rPr>
                <w:sz w:val="20"/>
                <w:szCs w:val="20"/>
              </w:rPr>
              <w:t xml:space="preserve">etering </w:t>
            </w:r>
            <w:r>
              <w:rPr>
                <w:sz w:val="20"/>
                <w:szCs w:val="20"/>
              </w:rPr>
              <w:t>p</w:t>
            </w:r>
            <w:r w:rsidRPr="002F13FA">
              <w:rPr>
                <w:sz w:val="20"/>
                <w:szCs w:val="20"/>
              </w:rPr>
              <w:t xml:space="preserve">ricing </w:t>
            </w:r>
            <w:r>
              <w:rPr>
                <w:sz w:val="20"/>
                <w:szCs w:val="20"/>
              </w:rPr>
              <w:t>m</w:t>
            </w:r>
            <w:r w:rsidRPr="002F13FA">
              <w:rPr>
                <w:sz w:val="20"/>
                <w:szCs w:val="20"/>
              </w:rPr>
              <w:t>odel (Attachment 15.0</w:t>
            </w:r>
            <w:r>
              <w:rPr>
                <w:sz w:val="20"/>
                <w:szCs w:val="20"/>
              </w:rPr>
              <w:t>28</w:t>
            </w:r>
            <w:r w:rsidRPr="002F13FA">
              <w:rPr>
                <w:sz w:val="20"/>
                <w:szCs w:val="20"/>
              </w:rPr>
              <w:t>)</w:t>
            </w:r>
          </w:p>
          <w:p w14:paraId="071275FA" w14:textId="77777777" w:rsidR="009F2CDD" w:rsidRPr="00C96530" w:rsidRDefault="009F2CDD" w:rsidP="00E169B4">
            <w:pPr>
              <w:pStyle w:val="Bullet1"/>
              <w:rPr>
                <w:sz w:val="20"/>
                <w:szCs w:val="20"/>
              </w:rPr>
            </w:pPr>
            <w:r w:rsidRPr="00C96530">
              <w:rPr>
                <w:sz w:val="20"/>
                <w:szCs w:val="20"/>
              </w:rPr>
              <w:t xml:space="preserve">ACS </w:t>
            </w:r>
            <w:r>
              <w:rPr>
                <w:sz w:val="20"/>
                <w:szCs w:val="20"/>
              </w:rPr>
              <w:t>p</w:t>
            </w:r>
            <w:r w:rsidRPr="00C96530">
              <w:rPr>
                <w:sz w:val="20"/>
                <w:szCs w:val="20"/>
              </w:rPr>
              <w:t xml:space="preserve">ublic lighting </w:t>
            </w:r>
            <w:r>
              <w:rPr>
                <w:sz w:val="20"/>
                <w:szCs w:val="20"/>
              </w:rPr>
              <w:t>LED and conventional pricing</w:t>
            </w:r>
            <w:r w:rsidRPr="00C96530">
              <w:rPr>
                <w:sz w:val="20"/>
                <w:szCs w:val="20"/>
              </w:rPr>
              <w:t xml:space="preserve"> </w:t>
            </w:r>
            <w:r>
              <w:rPr>
                <w:sz w:val="20"/>
                <w:szCs w:val="20"/>
              </w:rPr>
              <w:t>m</w:t>
            </w:r>
            <w:r w:rsidRPr="00C96530">
              <w:rPr>
                <w:sz w:val="20"/>
                <w:szCs w:val="20"/>
              </w:rPr>
              <w:t>odel (Attachment 15.0</w:t>
            </w:r>
            <w:r>
              <w:rPr>
                <w:sz w:val="20"/>
                <w:szCs w:val="20"/>
              </w:rPr>
              <w:t>29</w:t>
            </w:r>
            <w:r w:rsidRPr="00C96530">
              <w:rPr>
                <w:sz w:val="20"/>
                <w:szCs w:val="20"/>
              </w:rPr>
              <w:t>)</w:t>
            </w:r>
            <w:r>
              <w:rPr>
                <w:sz w:val="20"/>
                <w:szCs w:val="20"/>
              </w:rPr>
              <w:t>,</w:t>
            </w:r>
            <w:r w:rsidRPr="00C96530">
              <w:rPr>
                <w:sz w:val="20"/>
                <w:szCs w:val="20"/>
              </w:rPr>
              <w:t xml:space="preserve"> and </w:t>
            </w:r>
          </w:p>
          <w:p w14:paraId="6A449C3C" w14:textId="77777777" w:rsidR="009F2CDD" w:rsidRPr="002056FA" w:rsidRDefault="009F2CDD" w:rsidP="00E169B4">
            <w:pPr>
              <w:pStyle w:val="Bullet1"/>
            </w:pPr>
            <w:r w:rsidRPr="00C96530">
              <w:rPr>
                <w:sz w:val="20"/>
                <w:szCs w:val="20"/>
              </w:rPr>
              <w:t>Fee based and quoted services model</w:t>
            </w:r>
            <w:r>
              <w:rPr>
                <w:sz w:val="20"/>
                <w:szCs w:val="20"/>
              </w:rPr>
              <w:t xml:space="preserve"> - ACS</w:t>
            </w:r>
            <w:r w:rsidRPr="00C96530">
              <w:rPr>
                <w:sz w:val="20"/>
                <w:szCs w:val="20"/>
              </w:rPr>
              <w:t xml:space="preserve"> (Attachment 15.00</w:t>
            </w:r>
            <w:r>
              <w:rPr>
                <w:sz w:val="20"/>
                <w:szCs w:val="20"/>
              </w:rPr>
              <w:t>9</w:t>
            </w:r>
            <w:r w:rsidRPr="00C96530">
              <w:rPr>
                <w:sz w:val="20"/>
                <w:szCs w:val="20"/>
              </w:rPr>
              <w:t>).</w:t>
            </w:r>
          </w:p>
        </w:tc>
      </w:tr>
      <w:tr w:rsidR="009F2CDD" w:rsidRPr="002056FA" w14:paraId="7457DD6D" w14:textId="77777777" w:rsidTr="00E169B4">
        <w:tc>
          <w:tcPr>
            <w:tcW w:w="0" w:type="auto"/>
            <w:shd w:val="clear" w:color="auto" w:fill="auto"/>
          </w:tcPr>
          <w:p w14:paraId="2CA1038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13.3</w:t>
            </w:r>
          </w:p>
        </w:tc>
        <w:tc>
          <w:tcPr>
            <w:tcW w:w="0" w:type="auto"/>
            <w:shd w:val="clear" w:color="auto" w:fill="auto"/>
          </w:tcPr>
          <w:p w14:paraId="3810FB5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a definition of each alternative control service listed in paragraphs 14, 15 and 16.</w:t>
            </w:r>
          </w:p>
        </w:tc>
        <w:tc>
          <w:tcPr>
            <w:tcW w:w="0" w:type="auto"/>
            <w:shd w:val="clear" w:color="auto" w:fill="auto"/>
          </w:tcPr>
          <w:p w14:paraId="7E86A293" w14:textId="77777777" w:rsidR="009F2CDD" w:rsidRPr="002056FA" w:rsidRDefault="009F2CDD" w:rsidP="00E169B4">
            <w:pPr>
              <w:pStyle w:val="TableCopy"/>
              <w:rPr>
                <w:rFonts w:eastAsia="Calibri"/>
                <w:lang w:eastAsia="en-US"/>
              </w:rPr>
            </w:pPr>
            <w:r w:rsidRPr="002056FA">
              <w:rPr>
                <w:rFonts w:eastAsia="Calibri"/>
                <w:lang w:eastAsia="en-US"/>
              </w:rPr>
              <w:t xml:space="preserve">Energex </w:t>
            </w:r>
            <w:r>
              <w:rPr>
                <w:rFonts w:eastAsia="Calibri"/>
                <w:lang w:eastAsia="en-US"/>
              </w:rPr>
              <w:t xml:space="preserve">has </w:t>
            </w:r>
            <w:r w:rsidRPr="002056FA">
              <w:rPr>
                <w:rFonts w:eastAsia="Calibri"/>
                <w:lang w:eastAsia="en-US"/>
              </w:rPr>
              <w:t xml:space="preserve">provided a </w:t>
            </w:r>
            <w:r>
              <w:rPr>
                <w:rFonts w:eastAsia="Calibri"/>
                <w:lang w:eastAsia="en-US"/>
              </w:rPr>
              <w:t>definition</w:t>
            </w:r>
            <w:r w:rsidRPr="002056FA">
              <w:rPr>
                <w:rFonts w:eastAsia="Calibri"/>
                <w:lang w:eastAsia="en-US"/>
              </w:rPr>
              <w:t xml:space="preserve"> of each </w:t>
            </w:r>
            <w:r>
              <w:rPr>
                <w:rFonts w:eastAsia="Calibri"/>
                <w:lang w:eastAsia="en-US"/>
              </w:rPr>
              <w:t>ACS</w:t>
            </w:r>
            <w:r w:rsidRPr="002056FA">
              <w:rPr>
                <w:rFonts w:eastAsia="Calibri"/>
                <w:lang w:eastAsia="en-US"/>
              </w:rPr>
              <w:t xml:space="preserve"> that we intend to provide customers in:</w:t>
            </w:r>
          </w:p>
          <w:p w14:paraId="0E17D22C" w14:textId="77777777" w:rsidR="009F2CDD" w:rsidRPr="002F13FA" w:rsidRDefault="009F2CDD" w:rsidP="00E169B4">
            <w:pPr>
              <w:pStyle w:val="Bullet1"/>
              <w:rPr>
                <w:sz w:val="20"/>
                <w:szCs w:val="20"/>
              </w:rPr>
            </w:pPr>
            <w:r w:rsidRPr="002F13FA">
              <w:rPr>
                <w:sz w:val="20"/>
                <w:szCs w:val="20"/>
              </w:rPr>
              <w:t>Alternative Control Services (Attachment 15.0</w:t>
            </w:r>
            <w:r>
              <w:rPr>
                <w:sz w:val="20"/>
                <w:szCs w:val="20"/>
              </w:rPr>
              <w:t>05</w:t>
            </w:r>
            <w:r w:rsidRPr="002F13FA">
              <w:rPr>
                <w:sz w:val="20"/>
                <w:szCs w:val="20"/>
              </w:rPr>
              <w:t>)</w:t>
            </w:r>
          </w:p>
          <w:p w14:paraId="42E6A3B2" w14:textId="77777777" w:rsidR="009F2CDD" w:rsidRPr="00DE5058" w:rsidRDefault="009F2CDD" w:rsidP="00E169B4">
            <w:pPr>
              <w:pStyle w:val="Bullet1"/>
              <w:rPr>
                <w:sz w:val="20"/>
                <w:szCs w:val="20"/>
              </w:rPr>
            </w:pPr>
            <w:r w:rsidRPr="002F13FA">
              <w:rPr>
                <w:sz w:val="20"/>
                <w:szCs w:val="20"/>
              </w:rPr>
              <w:t>2020-2025 Tariff Structure Statement (Attachment 14.0</w:t>
            </w:r>
            <w:r>
              <w:rPr>
                <w:sz w:val="20"/>
                <w:szCs w:val="20"/>
              </w:rPr>
              <w:t>01</w:t>
            </w:r>
            <w:r w:rsidRPr="002F13FA">
              <w:rPr>
                <w:sz w:val="20"/>
                <w:szCs w:val="20"/>
              </w:rPr>
              <w:t>) and TSS</w:t>
            </w:r>
            <w:r w:rsidRPr="00DE5058">
              <w:rPr>
                <w:sz w:val="20"/>
                <w:szCs w:val="20"/>
              </w:rPr>
              <w:t xml:space="preserve"> </w:t>
            </w:r>
            <w:r>
              <w:rPr>
                <w:sz w:val="20"/>
                <w:szCs w:val="20"/>
              </w:rPr>
              <w:t>Explanatory Notes (Attachment 14</w:t>
            </w:r>
            <w:r w:rsidRPr="00DE5058">
              <w:rPr>
                <w:sz w:val="20"/>
                <w:szCs w:val="20"/>
              </w:rPr>
              <w:t>.0</w:t>
            </w:r>
            <w:r>
              <w:rPr>
                <w:sz w:val="20"/>
                <w:szCs w:val="20"/>
              </w:rPr>
              <w:t>03</w:t>
            </w:r>
            <w:r w:rsidRPr="00DE5058">
              <w:rPr>
                <w:sz w:val="20"/>
                <w:szCs w:val="20"/>
              </w:rPr>
              <w:t>),</w:t>
            </w:r>
            <w:r>
              <w:rPr>
                <w:sz w:val="20"/>
                <w:szCs w:val="20"/>
              </w:rPr>
              <w:t xml:space="preserve"> and</w:t>
            </w:r>
          </w:p>
          <w:p w14:paraId="2522C8F8" w14:textId="77777777" w:rsidR="009F2CDD" w:rsidRPr="00C96530" w:rsidRDefault="009F2CDD" w:rsidP="00E169B4">
            <w:pPr>
              <w:pStyle w:val="Bullet1"/>
              <w:rPr>
                <w:sz w:val="20"/>
                <w:szCs w:val="20"/>
              </w:rPr>
            </w:pPr>
            <w:r w:rsidRPr="00C96530">
              <w:rPr>
                <w:sz w:val="20"/>
                <w:szCs w:val="20"/>
              </w:rPr>
              <w:t xml:space="preserve"> </w:t>
            </w:r>
          </w:p>
          <w:p w14:paraId="42849BC0" w14:textId="77777777" w:rsidR="009F2CDD" w:rsidRPr="002056FA" w:rsidRDefault="009F2CDD" w:rsidP="00E169B4">
            <w:pPr>
              <w:pStyle w:val="Bullet1"/>
            </w:pPr>
            <w:r w:rsidRPr="00C96530">
              <w:rPr>
                <w:sz w:val="20"/>
                <w:szCs w:val="20"/>
              </w:rPr>
              <w:t xml:space="preserve">Fee based and quoted services model </w:t>
            </w:r>
            <w:r>
              <w:rPr>
                <w:sz w:val="20"/>
                <w:szCs w:val="20"/>
              </w:rPr>
              <w:t xml:space="preserve">– ACS </w:t>
            </w:r>
            <w:r w:rsidRPr="00C96530">
              <w:rPr>
                <w:sz w:val="20"/>
                <w:szCs w:val="20"/>
              </w:rPr>
              <w:t>(Attachment 15.0</w:t>
            </w:r>
            <w:r>
              <w:rPr>
                <w:sz w:val="20"/>
                <w:szCs w:val="20"/>
              </w:rPr>
              <w:t>09</w:t>
            </w:r>
            <w:r w:rsidRPr="00C96530">
              <w:rPr>
                <w:sz w:val="20"/>
                <w:szCs w:val="20"/>
              </w:rPr>
              <w:t>).</w:t>
            </w:r>
          </w:p>
        </w:tc>
      </w:tr>
      <w:tr w:rsidR="009F2CDD" w:rsidRPr="002056FA" w14:paraId="3AE64076" w14:textId="77777777" w:rsidTr="00E169B4">
        <w:tc>
          <w:tcPr>
            <w:tcW w:w="0" w:type="auto"/>
            <w:shd w:val="clear" w:color="auto" w:fill="auto"/>
          </w:tcPr>
          <w:p w14:paraId="69D6A62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13.4</w:t>
            </w:r>
          </w:p>
        </w:tc>
        <w:tc>
          <w:tcPr>
            <w:tcW w:w="0" w:type="auto"/>
            <w:shd w:val="clear" w:color="auto" w:fill="auto"/>
          </w:tcPr>
          <w:p w14:paraId="6AB0A38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each alternative control service (excluding quoted services) listed in paragraphs 14, 15 and 16, specify the charges applicable during each year of the current regulatory control period. Also include proposed charges for each year of the forthcoming regulatory control period.</w:t>
            </w:r>
          </w:p>
        </w:tc>
        <w:tc>
          <w:tcPr>
            <w:tcW w:w="0" w:type="auto"/>
            <w:shd w:val="clear" w:color="auto" w:fill="auto"/>
          </w:tcPr>
          <w:p w14:paraId="157EFDFD" w14:textId="77777777" w:rsidR="009F2CDD" w:rsidRPr="002056FA" w:rsidRDefault="009F2CDD" w:rsidP="00E169B4">
            <w:pPr>
              <w:pStyle w:val="TableCopy"/>
              <w:rPr>
                <w:rFonts w:eastAsia="Calibri"/>
                <w:lang w:eastAsia="en-US"/>
              </w:rPr>
            </w:pPr>
            <w:r>
              <w:rPr>
                <w:rFonts w:eastAsia="Calibri"/>
                <w:lang w:eastAsia="en-US"/>
              </w:rPr>
              <w:t>Charges for the</w:t>
            </w:r>
            <w:r w:rsidRPr="002056FA">
              <w:rPr>
                <w:rFonts w:eastAsia="Calibri"/>
                <w:lang w:eastAsia="en-US"/>
              </w:rPr>
              <w:t xml:space="preserve"> proposed ACS </w:t>
            </w:r>
            <w:r>
              <w:rPr>
                <w:rFonts w:eastAsia="Calibri"/>
                <w:lang w:eastAsia="en-US"/>
              </w:rPr>
              <w:t xml:space="preserve">in the forthcoming regulatory control period </w:t>
            </w:r>
            <w:r w:rsidRPr="002056FA">
              <w:rPr>
                <w:rFonts w:eastAsia="Calibri"/>
                <w:lang w:eastAsia="en-US"/>
              </w:rPr>
              <w:t xml:space="preserve">have been developed in accordance with the </w:t>
            </w:r>
            <w:r>
              <w:rPr>
                <w:rFonts w:eastAsia="Calibri"/>
                <w:lang w:eastAsia="en-US"/>
              </w:rPr>
              <w:t xml:space="preserve">methodology set in the 2020-2025 </w:t>
            </w:r>
            <w:r w:rsidRPr="002056FA">
              <w:rPr>
                <w:rFonts w:eastAsia="Calibri"/>
                <w:lang w:eastAsia="en-US"/>
              </w:rPr>
              <w:t xml:space="preserve">Tariff Structure </w:t>
            </w:r>
            <w:r w:rsidRPr="002F13FA">
              <w:rPr>
                <w:rFonts w:eastAsia="Calibri"/>
                <w:lang w:eastAsia="en-US"/>
              </w:rPr>
              <w:t>Statement (Attachment</w:t>
            </w:r>
            <w:r>
              <w:rPr>
                <w:rFonts w:eastAsia="Calibri"/>
                <w:lang w:eastAsia="en-US"/>
              </w:rPr>
              <w:t>14.001</w:t>
            </w:r>
            <w:r w:rsidRPr="002F13FA">
              <w:rPr>
                <w:rFonts w:eastAsia="Calibri"/>
                <w:lang w:eastAsia="en-US"/>
              </w:rPr>
              <w:t>).</w:t>
            </w:r>
          </w:p>
          <w:p w14:paraId="43E29B5E" w14:textId="77777777" w:rsidR="009F2CDD" w:rsidRDefault="009F2CDD" w:rsidP="00E169B4">
            <w:pPr>
              <w:pStyle w:val="TableCopy"/>
              <w:rPr>
                <w:rFonts w:eastAsia="Calibri"/>
                <w:lang w:eastAsia="en-US"/>
              </w:rPr>
            </w:pPr>
            <w:r w:rsidRPr="002056FA">
              <w:rPr>
                <w:rFonts w:eastAsia="Calibri"/>
                <w:lang w:eastAsia="en-US"/>
              </w:rPr>
              <w:t xml:space="preserve">The charges for the current regulatory </w:t>
            </w:r>
            <w:r>
              <w:rPr>
                <w:rFonts w:eastAsia="Calibri"/>
                <w:lang w:eastAsia="en-US"/>
              </w:rPr>
              <w:t xml:space="preserve">control </w:t>
            </w:r>
            <w:r w:rsidRPr="002056FA">
              <w:rPr>
                <w:rFonts w:eastAsia="Calibri"/>
                <w:lang w:eastAsia="en-US"/>
              </w:rPr>
              <w:t xml:space="preserve">period have been developed in accordance with the formula set in the 2017-2020 Tariff Structure Statement, which </w:t>
            </w:r>
            <w:r>
              <w:rPr>
                <w:rFonts w:eastAsia="Calibri"/>
                <w:lang w:eastAsia="en-US"/>
              </w:rPr>
              <w:t>was</w:t>
            </w:r>
            <w:r w:rsidRPr="002056FA">
              <w:rPr>
                <w:rFonts w:eastAsia="Calibri"/>
                <w:lang w:eastAsia="en-US"/>
              </w:rPr>
              <w:t xml:space="preserve"> approved by the AER.</w:t>
            </w:r>
            <w:r>
              <w:rPr>
                <w:rFonts w:eastAsia="Calibri"/>
                <w:lang w:eastAsia="en-US"/>
              </w:rPr>
              <w:t xml:space="preserve"> </w:t>
            </w:r>
          </w:p>
          <w:p w14:paraId="676F316C" w14:textId="77777777" w:rsidR="009F2CDD" w:rsidRDefault="009F2CDD" w:rsidP="00E169B4">
            <w:pPr>
              <w:pStyle w:val="TableCopy"/>
              <w:rPr>
                <w:rFonts w:eastAsia="Calibri"/>
                <w:lang w:eastAsia="en-US"/>
              </w:rPr>
            </w:pPr>
            <w:r>
              <w:rPr>
                <w:rFonts w:eastAsia="Calibri"/>
                <w:lang w:eastAsia="en-US"/>
              </w:rPr>
              <w:t>Charges for fee based services for the current and forthcoming regulatory control periods are set out in Attachment 17.067.</w:t>
            </w:r>
          </w:p>
          <w:p w14:paraId="2FC7F8FE" w14:textId="77777777" w:rsidR="009F2CDD" w:rsidRDefault="009F2CDD" w:rsidP="00E169B4">
            <w:pPr>
              <w:pStyle w:val="TableCopy"/>
              <w:rPr>
                <w:rFonts w:eastAsia="Calibri"/>
                <w:lang w:eastAsia="en-US"/>
              </w:rPr>
            </w:pPr>
            <w:r>
              <w:rPr>
                <w:rFonts w:eastAsia="Calibri"/>
                <w:lang w:eastAsia="en-US"/>
              </w:rPr>
              <w:t>For public lighting and metering, charges for the current regulatory control period are set out in the relevant annual Pricing Proposal approved by the AER. These documents are available on the Energex website. The charges applicable for the forthcoming regulatory control period have been provided in:</w:t>
            </w:r>
          </w:p>
          <w:p w14:paraId="25A7EC4F" w14:textId="77777777" w:rsidR="009F2CDD" w:rsidRDefault="009F2CDD" w:rsidP="00D517E4">
            <w:pPr>
              <w:pStyle w:val="Bullet1"/>
              <w:numPr>
                <w:ilvl w:val="0"/>
                <w:numId w:val="16"/>
              </w:numPr>
              <w:rPr>
                <w:sz w:val="20"/>
                <w:szCs w:val="20"/>
              </w:rPr>
            </w:pPr>
            <w:r w:rsidRPr="007C2137">
              <w:rPr>
                <w:sz w:val="20"/>
                <w:szCs w:val="20"/>
              </w:rPr>
              <w:t>ACS m</w:t>
            </w:r>
            <w:r w:rsidRPr="00952ED1">
              <w:rPr>
                <w:sz w:val="20"/>
                <w:szCs w:val="20"/>
              </w:rPr>
              <w:t xml:space="preserve">etering pricing </w:t>
            </w:r>
            <w:r w:rsidRPr="00475CC3">
              <w:rPr>
                <w:sz w:val="20"/>
                <w:szCs w:val="20"/>
              </w:rPr>
              <w:t>m</w:t>
            </w:r>
            <w:r w:rsidRPr="00502A14">
              <w:rPr>
                <w:sz w:val="20"/>
                <w:szCs w:val="20"/>
              </w:rPr>
              <w:t>odel (Attachment 15.028), and</w:t>
            </w:r>
          </w:p>
          <w:p w14:paraId="362169D7" w14:textId="77777777" w:rsidR="009F2CDD" w:rsidRPr="002056FA" w:rsidRDefault="009F2CDD" w:rsidP="00E169B4">
            <w:pPr>
              <w:pStyle w:val="Bullet1"/>
              <w:numPr>
                <w:ilvl w:val="0"/>
                <w:numId w:val="0"/>
              </w:numPr>
            </w:pPr>
            <w:r w:rsidRPr="004F40EC">
              <w:rPr>
                <w:sz w:val="20"/>
                <w:szCs w:val="20"/>
              </w:rPr>
              <w:t xml:space="preserve">ACS public lighting LED and conventional pricing model (Attachment 15.029). </w:t>
            </w:r>
          </w:p>
        </w:tc>
      </w:tr>
      <w:tr w:rsidR="009F2CDD" w:rsidRPr="002056FA" w14:paraId="16757208" w14:textId="77777777" w:rsidTr="00E169B4">
        <w:tc>
          <w:tcPr>
            <w:tcW w:w="0" w:type="auto"/>
            <w:shd w:val="clear" w:color="auto" w:fill="auto"/>
          </w:tcPr>
          <w:p w14:paraId="2E43C32A"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13.5</w:t>
            </w:r>
          </w:p>
        </w:tc>
        <w:tc>
          <w:tcPr>
            <w:tcW w:w="0" w:type="auto"/>
            <w:shd w:val="clear" w:color="auto" w:fill="auto"/>
          </w:tcPr>
          <w:p w14:paraId="78A2E2FE"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For each alternative control service (excluding quoted services) listed in paragraphs 14, 15 and 16, specify the total revenue earned by Energex in each year of the current regulatory control period and forecast to be earned in the forthcoming regulatory control period.</w:t>
            </w:r>
          </w:p>
        </w:tc>
        <w:tc>
          <w:tcPr>
            <w:tcW w:w="0" w:type="auto"/>
            <w:shd w:val="clear" w:color="auto" w:fill="auto"/>
          </w:tcPr>
          <w:p w14:paraId="1BEB2815" w14:textId="77777777" w:rsidR="009F2CDD" w:rsidRPr="002056FA" w:rsidRDefault="009F2CDD" w:rsidP="00E169B4">
            <w:pPr>
              <w:pStyle w:val="TableCopy"/>
              <w:rPr>
                <w:rFonts w:eastAsia="Calibri"/>
                <w:lang w:eastAsia="en-US"/>
              </w:rPr>
            </w:pPr>
            <w:r w:rsidRPr="002056FA">
              <w:rPr>
                <w:rFonts w:eastAsia="Calibri"/>
                <w:lang w:eastAsia="en-US"/>
              </w:rPr>
              <w:t xml:space="preserve">Energex </w:t>
            </w:r>
            <w:r>
              <w:rPr>
                <w:rFonts w:eastAsia="Calibri"/>
                <w:lang w:eastAsia="en-US"/>
              </w:rPr>
              <w:t>has</w:t>
            </w:r>
            <w:r w:rsidRPr="002056FA">
              <w:rPr>
                <w:rFonts w:eastAsia="Calibri"/>
                <w:lang w:eastAsia="en-US"/>
              </w:rPr>
              <w:t xml:space="preserve"> outlined the total </w:t>
            </w:r>
            <w:r>
              <w:rPr>
                <w:rFonts w:eastAsia="Calibri"/>
                <w:lang w:eastAsia="en-US"/>
              </w:rPr>
              <w:t xml:space="preserve">ACS </w:t>
            </w:r>
            <w:r w:rsidRPr="002056FA">
              <w:rPr>
                <w:rFonts w:eastAsia="Calibri"/>
                <w:lang w:eastAsia="en-US"/>
              </w:rPr>
              <w:t>rev</w:t>
            </w:r>
            <w:bookmarkStart w:id="5" w:name="_GoBack"/>
            <w:bookmarkEnd w:id="5"/>
            <w:r w:rsidRPr="002056FA">
              <w:rPr>
                <w:rFonts w:eastAsia="Calibri"/>
                <w:lang w:eastAsia="en-US"/>
              </w:rPr>
              <w:t xml:space="preserve">enue earned by Energex in each year </w:t>
            </w:r>
            <w:r>
              <w:rPr>
                <w:rFonts w:eastAsia="Calibri"/>
                <w:lang w:eastAsia="en-US"/>
              </w:rPr>
              <w:t xml:space="preserve">of the current regulatory control period in </w:t>
            </w:r>
            <w:r w:rsidRPr="00644D49">
              <w:rPr>
                <w:rFonts w:eastAsia="Calibri"/>
                <w:lang w:eastAsia="en-US"/>
              </w:rPr>
              <w:t>ASC Supporting Information (Reset RIN Schedule 1 s13.5 - 13.6)</w:t>
            </w:r>
            <w:r>
              <w:rPr>
                <w:rFonts w:eastAsia="Calibri"/>
                <w:lang w:eastAsia="en-US"/>
              </w:rPr>
              <w:t xml:space="preserve"> document (Attachment 17.001).</w:t>
            </w:r>
          </w:p>
          <w:p w14:paraId="276D6035" w14:textId="77777777" w:rsidR="009F2CDD" w:rsidRPr="002056FA" w:rsidRDefault="009F2CDD" w:rsidP="00E169B4">
            <w:pPr>
              <w:pStyle w:val="TableCopy"/>
              <w:rPr>
                <w:rFonts w:eastAsia="Calibri"/>
                <w:lang w:eastAsia="en-US"/>
              </w:rPr>
            </w:pPr>
            <w:r w:rsidRPr="002056FA">
              <w:rPr>
                <w:rFonts w:eastAsia="Calibri"/>
                <w:lang w:eastAsia="en-US"/>
              </w:rPr>
              <w:t>For the forthcomi</w:t>
            </w:r>
            <w:r>
              <w:rPr>
                <w:rFonts w:eastAsia="Calibri"/>
                <w:lang w:eastAsia="en-US"/>
              </w:rPr>
              <w:t xml:space="preserve">ng regulatory control period </w:t>
            </w:r>
            <w:r w:rsidRPr="002056FA">
              <w:rPr>
                <w:rFonts w:eastAsia="Calibri"/>
                <w:lang w:eastAsia="en-US"/>
              </w:rPr>
              <w:t>information is provided in:</w:t>
            </w:r>
          </w:p>
          <w:p w14:paraId="2A109C09" w14:textId="77777777" w:rsidR="009F2CDD" w:rsidRPr="00675DE4" w:rsidRDefault="009F2CDD" w:rsidP="00E169B4">
            <w:pPr>
              <w:pStyle w:val="Bullet1"/>
              <w:rPr>
                <w:sz w:val="20"/>
                <w:szCs w:val="20"/>
              </w:rPr>
            </w:pPr>
            <w:r w:rsidRPr="00675DE4">
              <w:rPr>
                <w:sz w:val="20"/>
                <w:szCs w:val="20"/>
              </w:rPr>
              <w:t>Alternative Control Servi</w:t>
            </w:r>
            <w:r>
              <w:rPr>
                <w:sz w:val="20"/>
                <w:szCs w:val="20"/>
              </w:rPr>
              <w:t xml:space="preserve">ces </w:t>
            </w:r>
            <w:r w:rsidRPr="00C96530">
              <w:rPr>
                <w:sz w:val="20"/>
                <w:szCs w:val="20"/>
              </w:rPr>
              <w:t>(Attachment 15.0</w:t>
            </w:r>
            <w:r>
              <w:rPr>
                <w:sz w:val="20"/>
                <w:szCs w:val="20"/>
              </w:rPr>
              <w:t>05</w:t>
            </w:r>
            <w:r w:rsidRPr="00C96530">
              <w:rPr>
                <w:sz w:val="20"/>
                <w:szCs w:val="20"/>
              </w:rPr>
              <w:t>)</w:t>
            </w:r>
            <w:r w:rsidRPr="00675DE4">
              <w:rPr>
                <w:sz w:val="20"/>
                <w:szCs w:val="20"/>
              </w:rPr>
              <w:t xml:space="preserve"> </w:t>
            </w:r>
          </w:p>
          <w:p w14:paraId="5A3EC362" w14:textId="77777777" w:rsidR="009F2CDD" w:rsidRPr="00675DE4" w:rsidRDefault="009F2CDD" w:rsidP="00E169B4">
            <w:pPr>
              <w:pStyle w:val="Bullet1"/>
              <w:rPr>
                <w:sz w:val="20"/>
                <w:szCs w:val="20"/>
              </w:rPr>
            </w:pPr>
            <w:r w:rsidRPr="00675DE4">
              <w:rPr>
                <w:sz w:val="20"/>
                <w:szCs w:val="20"/>
              </w:rPr>
              <w:t xml:space="preserve">PTRM – ACS </w:t>
            </w:r>
            <w:r>
              <w:rPr>
                <w:sz w:val="20"/>
                <w:szCs w:val="20"/>
              </w:rPr>
              <w:t>m</w:t>
            </w:r>
            <w:r w:rsidRPr="00675DE4">
              <w:rPr>
                <w:sz w:val="20"/>
                <w:szCs w:val="20"/>
              </w:rPr>
              <w:t xml:space="preserve">etering </w:t>
            </w:r>
            <w:r w:rsidRPr="00C96530">
              <w:rPr>
                <w:sz w:val="20"/>
                <w:szCs w:val="20"/>
              </w:rPr>
              <w:t>(Attachment 15.0</w:t>
            </w:r>
            <w:r>
              <w:rPr>
                <w:sz w:val="20"/>
                <w:szCs w:val="20"/>
              </w:rPr>
              <w:t>16</w:t>
            </w:r>
            <w:r w:rsidRPr="00C96530">
              <w:rPr>
                <w:sz w:val="20"/>
                <w:szCs w:val="20"/>
              </w:rPr>
              <w:t>)</w:t>
            </w:r>
            <w:r w:rsidRPr="00675DE4">
              <w:rPr>
                <w:sz w:val="20"/>
                <w:szCs w:val="20"/>
              </w:rPr>
              <w:t xml:space="preserve"> </w:t>
            </w:r>
          </w:p>
          <w:p w14:paraId="34DA76B2" w14:textId="77777777" w:rsidR="009F2CDD" w:rsidRDefault="009F2CDD" w:rsidP="00E169B4">
            <w:pPr>
              <w:pStyle w:val="Bullet1"/>
              <w:rPr>
                <w:sz w:val="20"/>
                <w:szCs w:val="20"/>
              </w:rPr>
            </w:pPr>
            <w:r w:rsidRPr="00675DE4">
              <w:rPr>
                <w:sz w:val="20"/>
                <w:szCs w:val="20"/>
              </w:rPr>
              <w:t xml:space="preserve">PTRM – ACS </w:t>
            </w:r>
            <w:r>
              <w:rPr>
                <w:sz w:val="20"/>
                <w:szCs w:val="20"/>
              </w:rPr>
              <w:t>p</w:t>
            </w:r>
            <w:r w:rsidRPr="00675DE4">
              <w:rPr>
                <w:sz w:val="20"/>
                <w:szCs w:val="20"/>
              </w:rPr>
              <w:t xml:space="preserve">ublic lighting </w:t>
            </w:r>
            <w:r>
              <w:rPr>
                <w:sz w:val="20"/>
                <w:szCs w:val="20"/>
              </w:rPr>
              <w:t>conventional</w:t>
            </w:r>
            <w:r w:rsidRPr="00C96530">
              <w:rPr>
                <w:sz w:val="20"/>
                <w:szCs w:val="20"/>
              </w:rPr>
              <w:t xml:space="preserve"> (Attachment 15.0</w:t>
            </w:r>
            <w:r>
              <w:rPr>
                <w:sz w:val="20"/>
                <w:szCs w:val="20"/>
              </w:rPr>
              <w:t>18</w:t>
            </w:r>
            <w:r w:rsidRPr="00C96530">
              <w:rPr>
                <w:sz w:val="20"/>
                <w:szCs w:val="20"/>
              </w:rPr>
              <w:t>)</w:t>
            </w:r>
          </w:p>
          <w:p w14:paraId="3C085A50" w14:textId="77777777" w:rsidR="009F2CDD" w:rsidRPr="00675DE4" w:rsidRDefault="009F2CDD" w:rsidP="00E169B4">
            <w:pPr>
              <w:pStyle w:val="Bullet1"/>
              <w:rPr>
                <w:sz w:val="20"/>
                <w:szCs w:val="20"/>
              </w:rPr>
            </w:pPr>
            <w:r>
              <w:rPr>
                <w:sz w:val="20"/>
                <w:szCs w:val="20"/>
              </w:rPr>
              <w:t>PTRM – ACS public lighting LED (Attachment 15.020), and</w:t>
            </w:r>
            <w:r w:rsidRPr="00C96530">
              <w:rPr>
                <w:sz w:val="20"/>
                <w:szCs w:val="20"/>
              </w:rPr>
              <w:t xml:space="preserve"> </w:t>
            </w:r>
          </w:p>
          <w:p w14:paraId="277D8C20" w14:textId="77777777" w:rsidR="009F2CDD" w:rsidRPr="002056FA" w:rsidRDefault="009F2CDD" w:rsidP="00E169B4">
            <w:pPr>
              <w:pStyle w:val="Bullet1"/>
            </w:pPr>
            <w:r w:rsidRPr="00675DE4">
              <w:rPr>
                <w:sz w:val="20"/>
                <w:szCs w:val="20"/>
              </w:rPr>
              <w:t xml:space="preserve">Fee </w:t>
            </w:r>
            <w:r>
              <w:rPr>
                <w:sz w:val="20"/>
                <w:szCs w:val="20"/>
              </w:rPr>
              <w:t>b</w:t>
            </w:r>
            <w:r w:rsidRPr="00675DE4">
              <w:rPr>
                <w:sz w:val="20"/>
                <w:szCs w:val="20"/>
              </w:rPr>
              <w:t>ased and quoted s</w:t>
            </w:r>
            <w:r>
              <w:rPr>
                <w:sz w:val="20"/>
                <w:szCs w:val="20"/>
              </w:rPr>
              <w:t xml:space="preserve">ervices model – ACS </w:t>
            </w:r>
            <w:r w:rsidRPr="00C96530">
              <w:rPr>
                <w:sz w:val="20"/>
                <w:szCs w:val="20"/>
              </w:rPr>
              <w:t>(Attachment 15.0</w:t>
            </w:r>
            <w:r>
              <w:rPr>
                <w:sz w:val="20"/>
                <w:szCs w:val="20"/>
              </w:rPr>
              <w:t>09</w:t>
            </w:r>
            <w:r w:rsidRPr="00C96530">
              <w:rPr>
                <w:sz w:val="20"/>
                <w:szCs w:val="20"/>
              </w:rPr>
              <w:t>).</w:t>
            </w:r>
          </w:p>
        </w:tc>
      </w:tr>
      <w:tr w:rsidR="009F2CDD" w:rsidRPr="002056FA" w14:paraId="7A4C93D5" w14:textId="77777777" w:rsidTr="00E169B4">
        <w:tc>
          <w:tcPr>
            <w:tcW w:w="0" w:type="auto"/>
            <w:shd w:val="clear" w:color="auto" w:fill="auto"/>
          </w:tcPr>
          <w:p w14:paraId="32A45E8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13.6</w:t>
            </w:r>
          </w:p>
        </w:tc>
        <w:tc>
          <w:tcPr>
            <w:tcW w:w="0" w:type="auto"/>
            <w:shd w:val="clear" w:color="auto" w:fill="auto"/>
          </w:tcPr>
          <w:p w14:paraId="66CBD8D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quoted services (in aggregate) specify the total revenue earned in each year of the current regulatory control period and forecast to be earned in the forthcoming regulatory control period.</w:t>
            </w:r>
          </w:p>
        </w:tc>
        <w:tc>
          <w:tcPr>
            <w:tcW w:w="0" w:type="auto"/>
            <w:shd w:val="clear" w:color="auto" w:fill="auto"/>
          </w:tcPr>
          <w:p w14:paraId="354A3128" w14:textId="77777777" w:rsidR="009F2CDD" w:rsidRPr="002056FA" w:rsidRDefault="009F2CDD" w:rsidP="00E169B4">
            <w:pPr>
              <w:pStyle w:val="TableCopy"/>
              <w:rPr>
                <w:rFonts w:eastAsia="Calibri"/>
                <w:color w:val="365F91"/>
                <w:lang w:eastAsia="en-US"/>
              </w:rPr>
            </w:pPr>
            <w:r>
              <w:rPr>
                <w:rFonts w:eastAsia="Calibri"/>
                <w:lang w:eastAsia="en-US"/>
              </w:rPr>
              <w:t>Refer to ‘ACS Supporting Information (Reset RIN Schedule 1 s13.5 -</w:t>
            </w:r>
            <w:r w:rsidRPr="002056FA">
              <w:rPr>
                <w:rFonts w:eastAsia="Calibri"/>
                <w:lang w:eastAsia="en-US"/>
              </w:rPr>
              <w:t xml:space="preserve"> </w:t>
            </w:r>
            <w:r>
              <w:rPr>
                <w:rFonts w:eastAsia="Calibri"/>
                <w:lang w:eastAsia="en-US"/>
              </w:rPr>
              <w:t xml:space="preserve">13.6)’ </w:t>
            </w:r>
            <w:r w:rsidRPr="00C96530">
              <w:rPr>
                <w:rFonts w:eastAsia="Calibri"/>
                <w:lang w:eastAsia="en-US"/>
              </w:rPr>
              <w:t>document (Attachment 17.0</w:t>
            </w:r>
            <w:r>
              <w:rPr>
                <w:rFonts w:eastAsia="Calibri"/>
                <w:lang w:eastAsia="en-US"/>
              </w:rPr>
              <w:t>01</w:t>
            </w:r>
            <w:r w:rsidRPr="00C96530">
              <w:rPr>
                <w:rFonts w:eastAsia="Calibri"/>
                <w:lang w:eastAsia="en-US"/>
              </w:rPr>
              <w:t>) for</w:t>
            </w:r>
            <w:r>
              <w:rPr>
                <w:rFonts w:eastAsia="Calibri"/>
                <w:lang w:eastAsia="en-US"/>
              </w:rPr>
              <w:t xml:space="preserve"> the total revenue earned for quoted services in each year of the current regulatory period and forecast to be earned in the forthcoming regulatory control period. </w:t>
            </w:r>
          </w:p>
        </w:tc>
      </w:tr>
      <w:tr w:rsidR="009F2CDD" w:rsidRPr="002056FA" w14:paraId="03CBADEA" w14:textId="77777777" w:rsidTr="00E169B4">
        <w:tc>
          <w:tcPr>
            <w:tcW w:w="0" w:type="auto"/>
            <w:shd w:val="clear" w:color="auto" w:fill="auto"/>
          </w:tcPr>
          <w:p w14:paraId="66D05D7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13.7</w:t>
            </w:r>
          </w:p>
        </w:tc>
        <w:tc>
          <w:tcPr>
            <w:tcW w:w="0" w:type="auto"/>
            <w:shd w:val="clear" w:color="auto" w:fill="auto"/>
          </w:tcPr>
          <w:p w14:paraId="629DBD0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each alternative control service listed in paragraphs 14, 15 and 16, provide the labour rate(s) used to calculate the charges for the current and forthcoming regulatory control periods:</w:t>
            </w:r>
          </w:p>
        </w:tc>
        <w:tc>
          <w:tcPr>
            <w:tcW w:w="0" w:type="auto"/>
            <w:shd w:val="clear" w:color="auto" w:fill="auto"/>
          </w:tcPr>
          <w:p w14:paraId="586A5F02" w14:textId="77777777" w:rsidR="009F2CDD" w:rsidRPr="002056FA" w:rsidRDefault="009F2CDD" w:rsidP="00E169B4">
            <w:pPr>
              <w:pStyle w:val="TableCopy"/>
              <w:rPr>
                <w:rFonts w:eastAsia="Calibri"/>
                <w:color w:val="365F91"/>
                <w:lang w:eastAsia="en-US"/>
              </w:rPr>
            </w:pPr>
            <w:r>
              <w:rPr>
                <w:rFonts w:eastAsia="Calibri"/>
                <w:lang w:eastAsia="en-US"/>
              </w:rPr>
              <w:t>Charges for public lighting and metering are based on a limited building block approach and therefore labour rates are not applicable. For fee and quoted services refer to ‘</w:t>
            </w:r>
            <w:r w:rsidRPr="00225068">
              <w:rPr>
                <w:rFonts w:eastAsia="Calibri"/>
                <w:lang w:eastAsia="en-US"/>
              </w:rPr>
              <w:t>ACS Supporting Information (Reset RIN Schedule 1 s13 and s14)</w:t>
            </w:r>
            <w:r>
              <w:rPr>
                <w:rFonts w:eastAsia="Calibri"/>
                <w:lang w:eastAsia="en-US"/>
              </w:rPr>
              <w:t>’ (Attachment 17.067)</w:t>
            </w:r>
            <w:r w:rsidRPr="00225068">
              <w:rPr>
                <w:rFonts w:eastAsia="Calibri"/>
                <w:lang w:eastAsia="en-US"/>
              </w:rPr>
              <w:t>.</w:t>
            </w:r>
          </w:p>
        </w:tc>
      </w:tr>
      <w:tr w:rsidR="009F2CDD" w:rsidRPr="002056FA" w14:paraId="3DE3E07B" w14:textId="77777777" w:rsidTr="00E169B4">
        <w:tc>
          <w:tcPr>
            <w:tcW w:w="0" w:type="auto"/>
            <w:shd w:val="clear" w:color="auto" w:fill="auto"/>
          </w:tcPr>
          <w:p w14:paraId="37DBA9D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13.7(a) </w:t>
            </w:r>
          </w:p>
        </w:tc>
        <w:tc>
          <w:tcPr>
            <w:tcW w:w="0" w:type="auto"/>
            <w:shd w:val="clear" w:color="auto" w:fill="auto"/>
          </w:tcPr>
          <w:p w14:paraId="010FBA6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specify the </w:t>
            </w:r>
            <w:r w:rsidRPr="002056FA">
              <w:rPr>
                <w:rFonts w:eastAsia="Calibri"/>
                <w:iCs/>
                <w:color w:val="000000"/>
                <w:lang w:eastAsia="en-US"/>
              </w:rPr>
              <w:t xml:space="preserve">labour classification level </w:t>
            </w:r>
            <w:r w:rsidRPr="002056FA">
              <w:rPr>
                <w:rFonts w:eastAsia="Calibri"/>
                <w:color w:val="000000"/>
                <w:lang w:eastAsia="en-US"/>
              </w:rPr>
              <w:t xml:space="preserve">used to provide the services e.g. outsourced or internally provided and labourer type; </w:t>
            </w:r>
          </w:p>
        </w:tc>
        <w:tc>
          <w:tcPr>
            <w:tcW w:w="0" w:type="auto"/>
            <w:shd w:val="clear" w:color="auto" w:fill="auto"/>
          </w:tcPr>
          <w:p w14:paraId="536DFF31" w14:textId="77777777" w:rsidR="009F2CDD" w:rsidRPr="002056FA" w:rsidRDefault="009F2CDD" w:rsidP="00E169B4">
            <w:pPr>
              <w:pStyle w:val="TableCopy"/>
              <w:rPr>
                <w:rFonts w:eastAsia="Calibri"/>
                <w:lang w:eastAsia="en-US"/>
              </w:rPr>
            </w:pPr>
            <w:r>
              <w:rPr>
                <w:rFonts w:eastAsia="Calibri"/>
                <w:lang w:eastAsia="en-US"/>
              </w:rPr>
              <w:t>As noted above, charges for public lighting and metering are based on a limited building block approach and therefore labour classifications are not applicable. For fee based and quoted services refer to the Fee based and quoted services model – ACS (Attachment 15.009)</w:t>
            </w:r>
            <w:r w:rsidRPr="00225068">
              <w:rPr>
                <w:rFonts w:eastAsia="Calibri"/>
                <w:lang w:eastAsia="en-US"/>
              </w:rPr>
              <w:t>.</w:t>
            </w:r>
          </w:p>
        </w:tc>
      </w:tr>
      <w:tr w:rsidR="009F2CDD" w:rsidRPr="002056FA" w14:paraId="2843BFEA" w14:textId="77777777" w:rsidTr="00E169B4">
        <w:tc>
          <w:tcPr>
            <w:tcW w:w="0" w:type="auto"/>
            <w:shd w:val="clear" w:color="auto" w:fill="auto"/>
          </w:tcPr>
          <w:p w14:paraId="6A27A04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13.7(b) </w:t>
            </w:r>
          </w:p>
        </w:tc>
        <w:tc>
          <w:tcPr>
            <w:tcW w:w="0" w:type="auto"/>
            <w:shd w:val="clear" w:color="auto" w:fill="auto"/>
          </w:tcPr>
          <w:p w14:paraId="0D3CBC95" w14:textId="77777777" w:rsidR="009F2CDD" w:rsidRPr="004F40EC" w:rsidRDefault="009F2CDD" w:rsidP="00E169B4">
            <w:pPr>
              <w:pStyle w:val="TableCopy"/>
              <w:rPr>
                <w:rFonts w:eastAsia="Calibri"/>
                <w:color w:val="000000"/>
                <w:highlight w:val="yellow"/>
                <w:lang w:eastAsia="en-US"/>
              </w:rPr>
            </w:pPr>
            <w:r w:rsidRPr="0038434E">
              <w:rPr>
                <w:rFonts w:eastAsia="Calibri"/>
                <w:color w:val="000000"/>
                <w:lang w:eastAsia="en-US"/>
              </w:rPr>
              <w:t xml:space="preserve">register all </w:t>
            </w:r>
            <w:r w:rsidRPr="0038434E">
              <w:rPr>
                <w:rFonts w:eastAsia="Calibri"/>
                <w:iCs/>
                <w:color w:val="000000"/>
                <w:lang w:eastAsia="en-US"/>
              </w:rPr>
              <w:t>direct costs</w:t>
            </w:r>
            <w:r w:rsidRPr="0038434E">
              <w:rPr>
                <w:rFonts w:eastAsia="Calibri"/>
                <w:color w:val="000000"/>
                <w:lang w:eastAsia="en-US"/>
              </w:rPr>
              <w:t xml:space="preserve">, and their quantum, in the make-up of the labour rate(s). </w:t>
            </w:r>
          </w:p>
        </w:tc>
        <w:tc>
          <w:tcPr>
            <w:tcW w:w="0" w:type="auto"/>
            <w:shd w:val="clear" w:color="auto" w:fill="auto"/>
          </w:tcPr>
          <w:p w14:paraId="6E1B4C1C" w14:textId="77777777" w:rsidR="009F2CDD" w:rsidRPr="002056FA" w:rsidRDefault="009F2CDD" w:rsidP="00E169B4">
            <w:pPr>
              <w:pStyle w:val="TableCopy"/>
              <w:rPr>
                <w:rFonts w:eastAsia="Calibri"/>
                <w:color w:val="365F91"/>
                <w:lang w:eastAsia="en-US"/>
              </w:rPr>
            </w:pPr>
            <w:r>
              <w:rPr>
                <w:rFonts w:eastAsia="Calibri"/>
                <w:lang w:eastAsia="en-US"/>
              </w:rPr>
              <w:t xml:space="preserve">As noted above, charges for public lighting and metering are based on a limited building block approach and therefore labour classifications are not applicable. For fee based and quoted services refer to Fee based and quoted services model – ACS (Attachment 15.009). </w:t>
            </w:r>
            <w:r w:rsidRPr="00F71F03">
              <w:rPr>
                <w:rFonts w:eastAsia="Calibri"/>
                <w:lang w:eastAsia="en-US"/>
              </w:rPr>
              <w:t>.</w:t>
            </w:r>
          </w:p>
        </w:tc>
      </w:tr>
      <w:tr w:rsidR="009F2CDD" w:rsidRPr="002056FA" w14:paraId="3027D7A0" w14:textId="77777777" w:rsidTr="00E169B4">
        <w:tc>
          <w:tcPr>
            <w:tcW w:w="0" w:type="auto"/>
            <w:shd w:val="clear" w:color="auto" w:fill="auto"/>
          </w:tcPr>
          <w:p w14:paraId="4A2643A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13.8</w:t>
            </w:r>
          </w:p>
        </w:tc>
        <w:tc>
          <w:tcPr>
            <w:tcW w:w="0" w:type="auto"/>
            <w:shd w:val="clear" w:color="auto" w:fill="auto"/>
          </w:tcPr>
          <w:p w14:paraId="38FE611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List each material category (e.g. </w:t>
            </w:r>
            <w:r w:rsidRPr="002056FA">
              <w:rPr>
                <w:rFonts w:eastAsia="Calibri"/>
                <w:iCs/>
                <w:color w:val="000000"/>
                <w:lang w:eastAsia="en-US"/>
              </w:rPr>
              <w:t>meters</w:t>
            </w:r>
            <w:r w:rsidRPr="002056FA">
              <w:rPr>
                <w:rFonts w:eastAsia="Calibri"/>
                <w:color w:val="000000"/>
                <w:lang w:eastAsia="en-US"/>
              </w:rPr>
              <w:t xml:space="preserve">, </w:t>
            </w:r>
            <w:r w:rsidRPr="002056FA">
              <w:rPr>
                <w:rFonts w:eastAsia="Calibri"/>
                <w:iCs/>
                <w:color w:val="000000"/>
                <w:lang w:eastAsia="en-US"/>
              </w:rPr>
              <w:t>poles</w:t>
            </w:r>
            <w:r w:rsidRPr="002056FA">
              <w:rPr>
                <w:rFonts w:eastAsia="Calibri"/>
                <w:color w:val="000000"/>
                <w:lang w:eastAsia="en-US"/>
              </w:rPr>
              <w:t xml:space="preserve">, brackets) required for the provision of </w:t>
            </w:r>
            <w:r w:rsidRPr="002056FA">
              <w:rPr>
                <w:rFonts w:eastAsia="Calibri"/>
                <w:iCs/>
                <w:color w:val="000000"/>
                <w:lang w:eastAsia="en-US"/>
              </w:rPr>
              <w:t xml:space="preserve">alternative control services </w:t>
            </w:r>
            <w:r w:rsidRPr="002056FA">
              <w:rPr>
                <w:rFonts w:eastAsia="Calibri"/>
                <w:color w:val="000000"/>
                <w:lang w:eastAsia="en-US"/>
              </w:rPr>
              <w:t xml:space="preserve">registered in the response to paragraphs 14, 15 and 16. </w:t>
            </w:r>
          </w:p>
        </w:tc>
        <w:tc>
          <w:tcPr>
            <w:tcW w:w="0" w:type="auto"/>
            <w:shd w:val="clear" w:color="auto" w:fill="auto"/>
          </w:tcPr>
          <w:p w14:paraId="11DFA020" w14:textId="77777777" w:rsidR="009F2CDD" w:rsidRPr="002056FA" w:rsidRDefault="009F2CDD" w:rsidP="00E169B4">
            <w:pPr>
              <w:pStyle w:val="TableCopy"/>
              <w:rPr>
                <w:rFonts w:eastAsia="Calibri"/>
                <w:lang w:eastAsia="en-US"/>
              </w:rPr>
            </w:pPr>
            <w:r w:rsidRPr="002056FA">
              <w:rPr>
                <w:rFonts w:eastAsia="Calibri"/>
                <w:lang w:eastAsia="en-US"/>
              </w:rPr>
              <w:t xml:space="preserve">For </w:t>
            </w:r>
            <w:r>
              <w:rPr>
                <w:rFonts w:eastAsia="Calibri"/>
                <w:lang w:eastAsia="en-US"/>
              </w:rPr>
              <w:t>p</w:t>
            </w:r>
            <w:r w:rsidRPr="002056FA">
              <w:rPr>
                <w:rFonts w:eastAsia="Calibri"/>
                <w:lang w:eastAsia="en-US"/>
              </w:rPr>
              <w:t xml:space="preserve">ublic </w:t>
            </w:r>
            <w:r>
              <w:rPr>
                <w:rFonts w:eastAsia="Calibri"/>
                <w:lang w:eastAsia="en-US"/>
              </w:rPr>
              <w:t>l</w:t>
            </w:r>
            <w:r w:rsidRPr="002056FA">
              <w:rPr>
                <w:rFonts w:eastAsia="Calibri"/>
                <w:lang w:eastAsia="en-US"/>
              </w:rPr>
              <w:t xml:space="preserve">ighting, we have identified the light, bracket and pole as the material cost categories. </w:t>
            </w:r>
          </w:p>
          <w:p w14:paraId="4B0EAD43" w14:textId="77777777" w:rsidR="009F2CDD" w:rsidRPr="002056FA" w:rsidRDefault="009F2CDD" w:rsidP="00E169B4">
            <w:pPr>
              <w:pStyle w:val="TableCopy"/>
              <w:rPr>
                <w:rFonts w:eastAsia="Calibri"/>
                <w:lang w:eastAsia="en-US"/>
              </w:rPr>
            </w:pPr>
            <w:r w:rsidRPr="002056FA">
              <w:rPr>
                <w:rFonts w:eastAsia="Calibri"/>
                <w:lang w:eastAsia="en-US"/>
              </w:rPr>
              <w:t>Metering equipment is the only identified material costs for customer initiated metering services.  </w:t>
            </w:r>
          </w:p>
          <w:p w14:paraId="0D19C1AE" w14:textId="77777777" w:rsidR="009F2CDD" w:rsidRPr="002056FA" w:rsidRDefault="009F2CDD" w:rsidP="00E169B4">
            <w:pPr>
              <w:pStyle w:val="TableCopy"/>
              <w:rPr>
                <w:rFonts w:eastAsia="Calibri"/>
                <w:color w:val="365F91"/>
                <w:lang w:eastAsia="en-US"/>
              </w:rPr>
            </w:pPr>
            <w:r w:rsidRPr="002056FA">
              <w:rPr>
                <w:rFonts w:eastAsia="Calibri"/>
                <w:lang w:eastAsia="en-US"/>
              </w:rPr>
              <w:t xml:space="preserve">For </w:t>
            </w:r>
            <w:r>
              <w:rPr>
                <w:rFonts w:eastAsia="Calibri"/>
                <w:lang w:eastAsia="en-US"/>
              </w:rPr>
              <w:t xml:space="preserve">fee based and </w:t>
            </w:r>
            <w:r w:rsidRPr="002056FA">
              <w:rPr>
                <w:rFonts w:eastAsia="Calibri"/>
                <w:lang w:eastAsia="en-US"/>
              </w:rPr>
              <w:t xml:space="preserve">quoted services, the material cost is dependent on the activity performed, and therefore there is no set schedule of material costs. </w:t>
            </w:r>
          </w:p>
        </w:tc>
      </w:tr>
      <w:tr w:rsidR="009F2CDD" w:rsidRPr="002056FA" w14:paraId="6F9D6A39" w14:textId="77777777" w:rsidTr="00E169B4">
        <w:tc>
          <w:tcPr>
            <w:tcW w:w="0" w:type="auto"/>
            <w:shd w:val="clear" w:color="auto" w:fill="auto"/>
          </w:tcPr>
          <w:p w14:paraId="0387DD6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13.8(a) </w:t>
            </w:r>
          </w:p>
        </w:tc>
        <w:tc>
          <w:tcPr>
            <w:tcW w:w="0" w:type="auto"/>
            <w:shd w:val="clear" w:color="auto" w:fill="auto"/>
          </w:tcPr>
          <w:p w14:paraId="0E46A9A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provide a description of each material category; </w:t>
            </w:r>
          </w:p>
        </w:tc>
        <w:tc>
          <w:tcPr>
            <w:tcW w:w="0" w:type="auto"/>
            <w:shd w:val="clear" w:color="auto" w:fill="auto"/>
          </w:tcPr>
          <w:p w14:paraId="47E7BD6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Light – being the identified costs associate with the luminaire, lamp and associated equipment that provide illumination.</w:t>
            </w:r>
          </w:p>
          <w:p w14:paraId="20598EF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Bracket – the identified costs associated with the horizontal arm on which the light is attached.</w:t>
            </w:r>
          </w:p>
          <w:p w14:paraId="26CEEB0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Pole – the identified costs associated with the vertical element on which the bracket is attached.</w:t>
            </w:r>
          </w:p>
          <w:p w14:paraId="6B1A6B90" w14:textId="77777777" w:rsidR="009F2CDD" w:rsidRPr="002056FA" w:rsidRDefault="009F2CDD" w:rsidP="00E169B4">
            <w:pPr>
              <w:pStyle w:val="TableCopy"/>
              <w:rPr>
                <w:rFonts w:eastAsia="Calibri"/>
                <w:lang w:eastAsia="en-US"/>
              </w:rPr>
            </w:pPr>
            <w:r w:rsidRPr="002056FA">
              <w:rPr>
                <w:rFonts w:eastAsia="Calibri"/>
                <w:color w:val="000000"/>
                <w:lang w:eastAsia="en-US"/>
              </w:rPr>
              <w:t>Meter – identified costs relate to the meter and any consumables required for the installation.</w:t>
            </w:r>
          </w:p>
        </w:tc>
      </w:tr>
      <w:tr w:rsidR="009F2CDD" w:rsidRPr="002056FA" w14:paraId="53119561" w14:textId="77777777" w:rsidTr="00E169B4">
        <w:tc>
          <w:tcPr>
            <w:tcW w:w="0" w:type="auto"/>
            <w:shd w:val="clear" w:color="auto" w:fill="auto"/>
          </w:tcPr>
          <w:p w14:paraId="0500F0B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13.8(b) </w:t>
            </w:r>
          </w:p>
        </w:tc>
        <w:tc>
          <w:tcPr>
            <w:tcW w:w="0" w:type="auto"/>
            <w:shd w:val="clear" w:color="auto" w:fill="auto"/>
          </w:tcPr>
          <w:p w14:paraId="1020490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provide the </w:t>
            </w:r>
            <w:r w:rsidRPr="002056FA">
              <w:rPr>
                <w:rFonts w:eastAsia="Calibri"/>
                <w:iCs/>
                <w:color w:val="000000"/>
                <w:lang w:eastAsia="en-US"/>
              </w:rPr>
              <w:t xml:space="preserve">average unit costs </w:t>
            </w:r>
            <w:r w:rsidRPr="002056FA">
              <w:rPr>
                <w:rFonts w:eastAsia="Calibri"/>
                <w:color w:val="000000"/>
                <w:lang w:eastAsia="en-US"/>
              </w:rPr>
              <w:t xml:space="preserve">for each material category; </w:t>
            </w:r>
          </w:p>
        </w:tc>
        <w:tc>
          <w:tcPr>
            <w:tcW w:w="0" w:type="auto"/>
            <w:shd w:val="clear" w:color="auto" w:fill="auto"/>
          </w:tcPr>
          <w:p w14:paraId="419E0DCC" w14:textId="77777777" w:rsidR="009F2CDD" w:rsidRPr="002056FA" w:rsidRDefault="009F2CDD" w:rsidP="00E169B4">
            <w:pPr>
              <w:pStyle w:val="TableCopy"/>
              <w:rPr>
                <w:rFonts w:eastAsia="Calibri"/>
                <w:lang w:eastAsia="en-US"/>
              </w:rPr>
            </w:pPr>
            <w:r w:rsidRPr="002056FA">
              <w:rPr>
                <w:rFonts w:eastAsia="Calibri"/>
                <w:lang w:eastAsia="en-US"/>
              </w:rPr>
              <w:t xml:space="preserve">For metering refer to </w:t>
            </w:r>
            <w:r>
              <w:rPr>
                <w:rFonts w:eastAsia="Calibri"/>
                <w:lang w:eastAsia="en-US"/>
              </w:rPr>
              <w:t>‘</w:t>
            </w:r>
            <w:r w:rsidRPr="00442769">
              <w:rPr>
                <w:rFonts w:eastAsia="Calibri"/>
                <w:lang w:eastAsia="en-US"/>
              </w:rPr>
              <w:t>ACS Supporting Information (Reset RIN Schedule 1 s13 and s14)</w:t>
            </w:r>
            <w:r>
              <w:rPr>
                <w:rFonts w:eastAsia="Calibri"/>
                <w:lang w:eastAsia="en-US"/>
              </w:rPr>
              <w:t>’ (Attachment 17.067)</w:t>
            </w:r>
            <w:r w:rsidRPr="00442769">
              <w:rPr>
                <w:rFonts w:eastAsia="Calibri"/>
                <w:lang w:eastAsia="en-US"/>
              </w:rPr>
              <w:t>.</w:t>
            </w:r>
          </w:p>
          <w:p w14:paraId="678421CD" w14:textId="77777777" w:rsidR="009F2CDD" w:rsidRPr="002056FA" w:rsidRDefault="009F2CDD" w:rsidP="00E169B4">
            <w:pPr>
              <w:pStyle w:val="TableCopy"/>
              <w:rPr>
                <w:rFonts w:eastAsia="Calibri"/>
                <w:lang w:eastAsia="en-US"/>
              </w:rPr>
            </w:pPr>
            <w:r w:rsidRPr="002056FA">
              <w:rPr>
                <w:rFonts w:eastAsia="Calibri"/>
                <w:lang w:eastAsia="en-US"/>
              </w:rPr>
              <w:t>For public lighting refer to response to paragraph 16.2.</w:t>
            </w:r>
          </w:p>
        </w:tc>
      </w:tr>
      <w:tr w:rsidR="009F2CDD" w:rsidRPr="002056FA" w14:paraId="4A978D7D" w14:textId="77777777" w:rsidTr="00E169B4">
        <w:tc>
          <w:tcPr>
            <w:tcW w:w="0" w:type="auto"/>
            <w:shd w:val="clear" w:color="auto" w:fill="auto"/>
          </w:tcPr>
          <w:p w14:paraId="649C974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13.8(c) </w:t>
            </w:r>
          </w:p>
        </w:tc>
        <w:tc>
          <w:tcPr>
            <w:tcW w:w="0" w:type="auto"/>
            <w:shd w:val="clear" w:color="auto" w:fill="auto"/>
          </w:tcPr>
          <w:p w14:paraId="6663A3D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register all </w:t>
            </w:r>
            <w:r w:rsidRPr="002056FA">
              <w:rPr>
                <w:rFonts w:eastAsia="Calibri"/>
                <w:iCs/>
                <w:color w:val="000000"/>
                <w:lang w:eastAsia="en-US"/>
              </w:rPr>
              <w:t xml:space="preserve">direct costs </w:t>
            </w:r>
            <w:r w:rsidRPr="002056FA">
              <w:rPr>
                <w:rFonts w:eastAsia="Calibri"/>
                <w:color w:val="000000"/>
                <w:lang w:eastAsia="en-US"/>
              </w:rPr>
              <w:t xml:space="preserve">included in the unit costs; </w:t>
            </w:r>
          </w:p>
        </w:tc>
        <w:tc>
          <w:tcPr>
            <w:tcW w:w="0" w:type="auto"/>
            <w:shd w:val="clear" w:color="auto" w:fill="auto"/>
          </w:tcPr>
          <w:p w14:paraId="1790E897" w14:textId="77777777" w:rsidR="009F2CDD" w:rsidRPr="002056FA" w:rsidRDefault="009F2CDD" w:rsidP="00E169B4">
            <w:pPr>
              <w:pStyle w:val="TableCopy"/>
              <w:rPr>
                <w:rFonts w:eastAsia="Calibri"/>
                <w:lang w:eastAsia="en-US"/>
              </w:rPr>
            </w:pPr>
            <w:r w:rsidRPr="002056FA">
              <w:rPr>
                <w:rFonts w:eastAsia="Calibri"/>
                <w:lang w:eastAsia="en-US"/>
              </w:rPr>
              <w:t xml:space="preserve">For metering refer to </w:t>
            </w:r>
            <w:r>
              <w:rPr>
                <w:rFonts w:eastAsia="Calibri"/>
                <w:lang w:eastAsia="en-US"/>
              </w:rPr>
              <w:t>‘</w:t>
            </w:r>
            <w:r w:rsidRPr="00442769">
              <w:rPr>
                <w:rFonts w:eastAsia="Calibri"/>
                <w:lang w:eastAsia="en-US"/>
              </w:rPr>
              <w:t>ACS Supporting Information (Reset RIN Schedule 1 s13 and s14)</w:t>
            </w:r>
            <w:r>
              <w:rPr>
                <w:rFonts w:eastAsia="Calibri"/>
                <w:lang w:eastAsia="en-US"/>
              </w:rPr>
              <w:t>’ (Attachment 17.067)</w:t>
            </w:r>
            <w:r w:rsidRPr="00442769">
              <w:rPr>
                <w:rFonts w:eastAsia="Calibri"/>
                <w:lang w:eastAsia="en-US"/>
              </w:rPr>
              <w:t>.</w:t>
            </w:r>
          </w:p>
          <w:p w14:paraId="2D37A3E7" w14:textId="77777777" w:rsidR="009F2CDD" w:rsidRPr="002056FA" w:rsidRDefault="009F2CDD" w:rsidP="00E169B4">
            <w:pPr>
              <w:pStyle w:val="TableCopy"/>
              <w:rPr>
                <w:rFonts w:eastAsia="Calibri"/>
                <w:lang w:eastAsia="en-US"/>
              </w:rPr>
            </w:pPr>
            <w:r w:rsidRPr="002056FA">
              <w:rPr>
                <w:rFonts w:eastAsia="Calibri"/>
                <w:lang w:eastAsia="en-US"/>
              </w:rPr>
              <w:t>For public lighting refer to response to paragraph 16.2.</w:t>
            </w:r>
          </w:p>
        </w:tc>
      </w:tr>
      <w:tr w:rsidR="009F2CDD" w:rsidRPr="002056FA" w14:paraId="77C4813E" w14:textId="77777777" w:rsidTr="00E169B4">
        <w:tc>
          <w:tcPr>
            <w:tcW w:w="0" w:type="auto"/>
            <w:tcBorders>
              <w:bottom w:val="single" w:sz="4" w:space="0" w:color="auto"/>
            </w:tcBorders>
            <w:shd w:val="clear" w:color="auto" w:fill="auto"/>
          </w:tcPr>
          <w:p w14:paraId="331BD39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13.8(d) </w:t>
            </w:r>
          </w:p>
        </w:tc>
        <w:tc>
          <w:tcPr>
            <w:tcW w:w="0" w:type="auto"/>
            <w:tcBorders>
              <w:bottom w:val="single" w:sz="4" w:space="0" w:color="auto"/>
            </w:tcBorders>
            <w:shd w:val="clear" w:color="auto" w:fill="auto"/>
          </w:tcPr>
          <w:p w14:paraId="4D9055B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specify the calculation of the quantum of </w:t>
            </w:r>
            <w:r w:rsidRPr="002056FA">
              <w:rPr>
                <w:rFonts w:eastAsia="Calibri"/>
                <w:iCs/>
                <w:color w:val="000000"/>
                <w:lang w:eastAsia="en-US"/>
              </w:rPr>
              <w:t xml:space="preserve">direct materials costs </w:t>
            </w:r>
            <w:r w:rsidRPr="002056FA">
              <w:rPr>
                <w:rFonts w:eastAsia="Calibri"/>
                <w:color w:val="000000"/>
                <w:lang w:eastAsia="en-US"/>
              </w:rPr>
              <w:t xml:space="preserve">included in the unit cost of materials. </w:t>
            </w:r>
          </w:p>
        </w:tc>
        <w:tc>
          <w:tcPr>
            <w:tcW w:w="0" w:type="auto"/>
            <w:tcBorders>
              <w:bottom w:val="single" w:sz="4" w:space="0" w:color="auto"/>
            </w:tcBorders>
            <w:shd w:val="clear" w:color="auto" w:fill="auto"/>
          </w:tcPr>
          <w:p w14:paraId="35361B5D" w14:textId="77777777" w:rsidR="009F2CDD" w:rsidRPr="002056FA" w:rsidRDefault="009F2CDD" w:rsidP="00E169B4">
            <w:pPr>
              <w:pStyle w:val="TableCopy"/>
              <w:rPr>
                <w:rFonts w:eastAsia="Calibri"/>
                <w:color w:val="365F91"/>
                <w:lang w:eastAsia="en-US"/>
              </w:rPr>
            </w:pPr>
            <w:r w:rsidRPr="002056FA">
              <w:rPr>
                <w:rFonts w:eastAsia="Calibri"/>
                <w:lang w:eastAsia="en-US"/>
              </w:rPr>
              <w:t>Only direct costs are included in the unit costs listed for each material category.</w:t>
            </w:r>
          </w:p>
        </w:tc>
      </w:tr>
      <w:tr w:rsidR="009F2CDD" w:rsidRPr="002056FA" w14:paraId="2DC3A1FB" w14:textId="77777777" w:rsidTr="00E169B4">
        <w:tc>
          <w:tcPr>
            <w:tcW w:w="0" w:type="auto"/>
            <w:shd w:val="clear" w:color="auto" w:fill="D0CECE" w:themeFill="background2" w:themeFillShade="E6"/>
          </w:tcPr>
          <w:p w14:paraId="489F2C25"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14</w:t>
            </w:r>
          </w:p>
        </w:tc>
        <w:tc>
          <w:tcPr>
            <w:tcW w:w="0" w:type="auto"/>
            <w:shd w:val="clear" w:color="auto" w:fill="D0CECE" w:themeFill="background2" w:themeFillShade="E6"/>
          </w:tcPr>
          <w:p w14:paraId="1D6D74C4"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 xml:space="preserve">FEE BASED AND QUOTED ALTERNATIVE CONTROL SERVICES </w:t>
            </w:r>
          </w:p>
        </w:tc>
        <w:tc>
          <w:tcPr>
            <w:tcW w:w="0" w:type="auto"/>
            <w:shd w:val="clear" w:color="auto" w:fill="D0CECE" w:themeFill="background2" w:themeFillShade="E6"/>
          </w:tcPr>
          <w:p w14:paraId="0B253735" w14:textId="77777777" w:rsidR="009F2CDD" w:rsidRPr="002056FA" w:rsidRDefault="009F2CDD" w:rsidP="00E169B4">
            <w:pPr>
              <w:pStyle w:val="TableCopy"/>
              <w:rPr>
                <w:rFonts w:eastAsia="Calibri"/>
                <w:color w:val="000000"/>
                <w:lang w:eastAsia="en-US"/>
              </w:rPr>
            </w:pPr>
          </w:p>
        </w:tc>
      </w:tr>
      <w:tr w:rsidR="009F2CDD" w:rsidRPr="002056FA" w14:paraId="56073096" w14:textId="77777777" w:rsidTr="00E169B4">
        <w:tc>
          <w:tcPr>
            <w:tcW w:w="0" w:type="auto"/>
            <w:shd w:val="clear" w:color="auto" w:fill="auto"/>
          </w:tcPr>
          <w:p w14:paraId="4529D6B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14.1</w:t>
            </w:r>
          </w:p>
        </w:tc>
        <w:tc>
          <w:tcPr>
            <w:tcW w:w="0" w:type="auto"/>
            <w:shd w:val="clear" w:color="auto" w:fill="auto"/>
          </w:tcPr>
          <w:p w14:paraId="711F6E6A" w14:textId="77777777" w:rsidR="009F2CDD" w:rsidRPr="0058722A" w:rsidRDefault="009F2CDD" w:rsidP="00E169B4">
            <w:pPr>
              <w:pStyle w:val="TableCopy"/>
              <w:rPr>
                <w:rFonts w:eastAsia="Calibri"/>
                <w:color w:val="000000"/>
                <w:lang w:eastAsia="en-US"/>
              </w:rPr>
            </w:pPr>
            <w:r w:rsidRPr="0058722A">
              <w:rPr>
                <w:rFonts w:eastAsia="Calibri"/>
                <w:color w:val="000000"/>
                <w:lang w:eastAsia="en-US"/>
              </w:rPr>
              <w:t>Provide a description of each fee based and quoted service, explaining the purpose of the service and list the activities which comprise each service. The list of fee based and quoted services should be consistent with those services listed in Energex’s annual pricing proposals.</w:t>
            </w:r>
          </w:p>
        </w:tc>
        <w:tc>
          <w:tcPr>
            <w:tcW w:w="0" w:type="auto"/>
            <w:shd w:val="clear" w:color="auto" w:fill="auto"/>
          </w:tcPr>
          <w:p w14:paraId="5DDBD856" w14:textId="77777777" w:rsidR="009F2CDD" w:rsidRPr="0058722A" w:rsidRDefault="009F2CDD" w:rsidP="00E169B4">
            <w:pPr>
              <w:pStyle w:val="TableCopy"/>
              <w:rPr>
                <w:rFonts w:eastAsia="Calibri"/>
                <w:color w:val="365F91"/>
                <w:lang w:eastAsia="en-US"/>
              </w:rPr>
            </w:pPr>
            <w:r w:rsidRPr="0058722A">
              <w:rPr>
                <w:rFonts w:eastAsia="Calibri"/>
                <w:lang w:eastAsia="en-US"/>
              </w:rPr>
              <w:t xml:space="preserve">Ergon Energy has provided a </w:t>
            </w:r>
            <w:r>
              <w:rPr>
                <w:rFonts w:eastAsia="Calibri"/>
                <w:lang w:eastAsia="en-US"/>
              </w:rPr>
              <w:t>description</w:t>
            </w:r>
            <w:r w:rsidRPr="0058722A">
              <w:rPr>
                <w:rFonts w:eastAsia="Calibri"/>
                <w:lang w:eastAsia="en-US"/>
              </w:rPr>
              <w:t xml:space="preserve"> of each </w:t>
            </w:r>
            <w:r>
              <w:rPr>
                <w:rFonts w:eastAsia="Calibri"/>
                <w:lang w:eastAsia="en-US"/>
              </w:rPr>
              <w:t>ACS</w:t>
            </w:r>
            <w:r w:rsidRPr="0058722A">
              <w:rPr>
                <w:rFonts w:eastAsia="Calibri"/>
                <w:lang w:eastAsia="en-US"/>
              </w:rPr>
              <w:t xml:space="preserve"> that we intend to</w:t>
            </w:r>
            <w:r>
              <w:rPr>
                <w:rFonts w:eastAsia="Calibri"/>
                <w:lang w:eastAsia="en-US"/>
              </w:rPr>
              <w:t xml:space="preserve"> provide customers in our document, </w:t>
            </w:r>
            <w:r w:rsidRPr="0058722A">
              <w:rPr>
                <w:rFonts w:eastAsia="Calibri"/>
                <w:lang w:eastAsia="en-US"/>
              </w:rPr>
              <w:t xml:space="preserve">Alternative Control Services (Attachment </w:t>
            </w:r>
            <w:r>
              <w:rPr>
                <w:rFonts w:eastAsia="Calibri"/>
                <w:lang w:eastAsia="en-US"/>
              </w:rPr>
              <w:t>15.005</w:t>
            </w:r>
            <w:r w:rsidRPr="0058722A">
              <w:rPr>
                <w:rFonts w:eastAsia="Calibri"/>
                <w:lang w:eastAsia="en-US"/>
              </w:rPr>
              <w:t>).</w:t>
            </w:r>
          </w:p>
        </w:tc>
      </w:tr>
      <w:tr w:rsidR="009F2CDD" w:rsidRPr="002056FA" w14:paraId="5A027D92" w14:textId="77777777" w:rsidTr="00E169B4">
        <w:tc>
          <w:tcPr>
            <w:tcW w:w="0" w:type="auto"/>
            <w:shd w:val="clear" w:color="auto" w:fill="auto"/>
          </w:tcPr>
          <w:p w14:paraId="6CDFC00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14.1(a) </w:t>
            </w:r>
          </w:p>
        </w:tc>
        <w:tc>
          <w:tcPr>
            <w:tcW w:w="0" w:type="auto"/>
            <w:shd w:val="clear" w:color="auto" w:fill="auto"/>
          </w:tcPr>
          <w:p w14:paraId="5ED7E9E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specify if the charges are for </w:t>
            </w:r>
            <w:r w:rsidRPr="002056FA">
              <w:rPr>
                <w:rFonts w:eastAsia="Calibri"/>
                <w:iCs/>
                <w:color w:val="000000"/>
                <w:lang w:eastAsia="en-US"/>
              </w:rPr>
              <w:t xml:space="preserve">fee based </w:t>
            </w:r>
            <w:r w:rsidRPr="002056FA">
              <w:rPr>
                <w:rFonts w:eastAsia="Calibri"/>
                <w:color w:val="000000"/>
                <w:lang w:eastAsia="en-US"/>
              </w:rPr>
              <w:t xml:space="preserve">and/or quoted </w:t>
            </w:r>
            <w:r w:rsidRPr="002056FA">
              <w:rPr>
                <w:rFonts w:eastAsia="Calibri"/>
                <w:iCs/>
                <w:color w:val="000000"/>
                <w:lang w:eastAsia="en-US"/>
              </w:rPr>
              <w:t>alternative control services</w:t>
            </w:r>
            <w:r w:rsidRPr="002056FA">
              <w:rPr>
                <w:rFonts w:eastAsia="Calibri"/>
                <w:color w:val="000000"/>
                <w:lang w:eastAsia="en-US"/>
              </w:rPr>
              <w:t xml:space="preserve">; </w:t>
            </w:r>
          </w:p>
        </w:tc>
        <w:tc>
          <w:tcPr>
            <w:tcW w:w="0" w:type="auto"/>
            <w:shd w:val="clear" w:color="auto" w:fill="auto"/>
          </w:tcPr>
          <w:p w14:paraId="1C35E0EC" w14:textId="77777777" w:rsidR="009F2CDD" w:rsidRPr="002056FA" w:rsidRDefault="009F2CDD" w:rsidP="00E169B4">
            <w:pPr>
              <w:pStyle w:val="TableCopy"/>
              <w:rPr>
                <w:rFonts w:eastAsia="Calibri"/>
                <w:color w:val="365F91"/>
                <w:lang w:eastAsia="en-US"/>
              </w:rPr>
            </w:pPr>
            <w:r>
              <w:rPr>
                <w:rFonts w:eastAsia="Calibri"/>
                <w:color w:val="000000"/>
                <w:lang w:eastAsia="en-US"/>
              </w:rPr>
              <w:t xml:space="preserve">Refer to our document, </w:t>
            </w:r>
            <w:r w:rsidRPr="00675DE4">
              <w:rPr>
                <w:rFonts w:eastAsia="Calibri"/>
                <w:color w:val="000000"/>
                <w:lang w:eastAsia="en-US"/>
              </w:rPr>
              <w:t>Alternative Control Services</w:t>
            </w:r>
            <w:r w:rsidRPr="0058722A">
              <w:rPr>
                <w:rFonts w:eastAsia="Calibri"/>
                <w:color w:val="000000"/>
                <w:lang w:eastAsia="en-US"/>
              </w:rPr>
              <w:t xml:space="preserve"> (Attachment </w:t>
            </w:r>
            <w:r>
              <w:rPr>
                <w:rFonts w:eastAsia="Calibri"/>
                <w:color w:val="000000"/>
                <w:lang w:eastAsia="en-US"/>
              </w:rPr>
              <w:t>15.005</w:t>
            </w:r>
            <w:r w:rsidRPr="0058722A">
              <w:rPr>
                <w:rFonts w:eastAsia="Calibri"/>
                <w:color w:val="000000"/>
                <w:lang w:eastAsia="en-US"/>
              </w:rPr>
              <w:t>).</w:t>
            </w:r>
          </w:p>
        </w:tc>
      </w:tr>
      <w:tr w:rsidR="009F2CDD" w:rsidRPr="002056FA" w14:paraId="2F4A45AB" w14:textId="77777777" w:rsidTr="00E169B4">
        <w:tc>
          <w:tcPr>
            <w:tcW w:w="0" w:type="auto"/>
            <w:shd w:val="clear" w:color="auto" w:fill="auto"/>
          </w:tcPr>
          <w:p w14:paraId="2C9840F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14.1(b) </w:t>
            </w:r>
          </w:p>
        </w:tc>
        <w:tc>
          <w:tcPr>
            <w:tcW w:w="0" w:type="auto"/>
            <w:shd w:val="clear" w:color="auto" w:fill="auto"/>
          </w:tcPr>
          <w:p w14:paraId="68008E3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explain the reasons for the different charge with reference to the costs incurred; </w:t>
            </w:r>
          </w:p>
        </w:tc>
        <w:tc>
          <w:tcPr>
            <w:tcW w:w="0" w:type="auto"/>
            <w:shd w:val="clear" w:color="auto" w:fill="auto"/>
          </w:tcPr>
          <w:p w14:paraId="785D531C" w14:textId="77777777" w:rsidR="009F2CDD" w:rsidRPr="002056FA" w:rsidRDefault="009F2CDD" w:rsidP="00E169B4">
            <w:pPr>
              <w:pStyle w:val="TableCopy"/>
              <w:rPr>
                <w:rFonts w:eastAsia="Calibri"/>
                <w:color w:val="365F91"/>
                <w:lang w:eastAsia="en-US"/>
              </w:rPr>
            </w:pPr>
            <w:r w:rsidRPr="002056FA">
              <w:rPr>
                <w:rFonts w:eastAsia="Calibri"/>
                <w:lang w:eastAsia="en-US"/>
              </w:rPr>
              <w:t>Fee based services are generally predictable in scope and do not vary greatly with the project. In contrast, quoted services depend on the scope of a customer’s request. It is not practical to establish individual fees for quoted services as the costs vary significantly on a project-by-project basis.</w:t>
            </w:r>
          </w:p>
        </w:tc>
      </w:tr>
      <w:tr w:rsidR="009F2CDD" w:rsidRPr="002056FA" w14:paraId="32BFA407" w14:textId="77777777" w:rsidTr="00E169B4">
        <w:tc>
          <w:tcPr>
            <w:tcW w:w="0" w:type="auto"/>
            <w:shd w:val="clear" w:color="auto" w:fill="auto"/>
          </w:tcPr>
          <w:p w14:paraId="4F5F8B8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14.1(c) </w:t>
            </w:r>
          </w:p>
        </w:tc>
        <w:tc>
          <w:tcPr>
            <w:tcW w:w="0" w:type="auto"/>
            <w:shd w:val="clear" w:color="auto" w:fill="auto"/>
          </w:tcPr>
          <w:p w14:paraId="1F79D00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explain the method used to set the different charge; and </w:t>
            </w:r>
          </w:p>
        </w:tc>
        <w:tc>
          <w:tcPr>
            <w:tcW w:w="0" w:type="auto"/>
            <w:shd w:val="clear" w:color="auto" w:fill="auto"/>
          </w:tcPr>
          <w:p w14:paraId="1F2D9526" w14:textId="77777777" w:rsidR="009F2CDD" w:rsidRPr="002056FA" w:rsidRDefault="009F2CDD" w:rsidP="00E169B4">
            <w:pPr>
              <w:pStyle w:val="TableCopy"/>
              <w:rPr>
                <w:rFonts w:eastAsia="Calibri"/>
                <w:color w:val="365F91"/>
                <w:lang w:eastAsia="en-US"/>
              </w:rPr>
            </w:pPr>
            <w:r>
              <w:rPr>
                <w:rFonts w:eastAsia="Calibri"/>
                <w:lang w:eastAsia="en-US"/>
              </w:rPr>
              <w:t xml:space="preserve">Energex applies the formulae specified in the 2020-25 Tariff Structure Statement (Attachment 14.001) to set the charges for fee based and quoted services. </w:t>
            </w:r>
            <w:r w:rsidRPr="002056FA">
              <w:rPr>
                <w:rFonts w:eastAsia="Calibri"/>
                <w:lang w:eastAsia="en-US"/>
              </w:rPr>
              <w:t xml:space="preserve">Energex’s fee-based services use a bottom-up, input cost model to determine the efficient, cost-reflective charge for each individual service. Energex’s quoted services are based on labour rates per hour (including on-costs and overheads) with materials, contractor and other costs reflecting the costs involved with the specific project.  </w:t>
            </w:r>
          </w:p>
        </w:tc>
      </w:tr>
      <w:tr w:rsidR="009F2CDD" w:rsidRPr="002056FA" w14:paraId="122BA4B7" w14:textId="77777777" w:rsidTr="00E169B4">
        <w:tc>
          <w:tcPr>
            <w:tcW w:w="0" w:type="auto"/>
            <w:shd w:val="clear" w:color="auto" w:fill="auto"/>
          </w:tcPr>
          <w:p w14:paraId="7D04767B"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14.1(d) </w:t>
            </w:r>
          </w:p>
        </w:tc>
        <w:tc>
          <w:tcPr>
            <w:tcW w:w="0" w:type="auto"/>
            <w:shd w:val="clear" w:color="auto" w:fill="auto"/>
          </w:tcPr>
          <w:p w14:paraId="2F425A00"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provide the calculations underpinning the different charge. </w:t>
            </w:r>
          </w:p>
        </w:tc>
        <w:tc>
          <w:tcPr>
            <w:tcW w:w="0" w:type="auto"/>
            <w:shd w:val="clear" w:color="auto" w:fill="auto"/>
          </w:tcPr>
          <w:p w14:paraId="1F837BA8" w14:textId="77777777" w:rsidR="009F2CDD" w:rsidRPr="002056FA" w:rsidRDefault="009F2CDD" w:rsidP="00E169B4">
            <w:pPr>
              <w:pStyle w:val="TableCopy"/>
              <w:rPr>
                <w:rFonts w:eastAsia="Calibri"/>
                <w:lang w:eastAsia="en-US"/>
              </w:rPr>
            </w:pPr>
            <w:r w:rsidRPr="002056FA">
              <w:rPr>
                <w:rFonts w:eastAsia="Calibri"/>
                <w:lang w:eastAsia="en-US"/>
              </w:rPr>
              <w:t xml:space="preserve">Energex </w:t>
            </w:r>
            <w:r>
              <w:rPr>
                <w:rFonts w:eastAsia="Calibri"/>
                <w:lang w:eastAsia="en-US"/>
              </w:rPr>
              <w:t>has</w:t>
            </w:r>
            <w:r w:rsidRPr="002056FA">
              <w:rPr>
                <w:rFonts w:eastAsia="Calibri"/>
                <w:lang w:eastAsia="en-US"/>
              </w:rPr>
              <w:t xml:space="preserve"> provided the calculations for each </w:t>
            </w:r>
            <w:r>
              <w:rPr>
                <w:rFonts w:eastAsia="Calibri"/>
                <w:lang w:eastAsia="en-US"/>
              </w:rPr>
              <w:t xml:space="preserve">ACS fee based service and an example of a quoted service in the </w:t>
            </w:r>
            <w:r w:rsidRPr="002056FA">
              <w:rPr>
                <w:rFonts w:eastAsia="Calibri"/>
                <w:lang w:eastAsia="en-US"/>
              </w:rPr>
              <w:t xml:space="preserve">Fee </w:t>
            </w:r>
            <w:r>
              <w:rPr>
                <w:rFonts w:eastAsia="Calibri"/>
                <w:lang w:eastAsia="en-US"/>
              </w:rPr>
              <w:t>b</w:t>
            </w:r>
            <w:r w:rsidRPr="002056FA">
              <w:rPr>
                <w:rFonts w:eastAsia="Calibri"/>
                <w:lang w:eastAsia="en-US"/>
              </w:rPr>
              <w:t xml:space="preserve">ased </w:t>
            </w:r>
            <w:r>
              <w:rPr>
                <w:rFonts w:eastAsia="Calibri"/>
                <w:lang w:eastAsia="en-US"/>
              </w:rPr>
              <w:t>and quoted services</w:t>
            </w:r>
            <w:r w:rsidRPr="002056FA">
              <w:rPr>
                <w:rFonts w:eastAsia="Calibri"/>
                <w:lang w:eastAsia="en-US"/>
              </w:rPr>
              <w:t xml:space="preserve"> model</w:t>
            </w:r>
            <w:r>
              <w:rPr>
                <w:rFonts w:eastAsia="Calibri"/>
                <w:lang w:eastAsia="en-US"/>
              </w:rPr>
              <w:t xml:space="preserve"> - </w:t>
            </w:r>
            <w:r w:rsidRPr="0058722A">
              <w:rPr>
                <w:rFonts w:eastAsia="Calibri"/>
                <w:lang w:eastAsia="en-US"/>
              </w:rPr>
              <w:t>ACS (</w:t>
            </w:r>
            <w:r>
              <w:rPr>
                <w:rFonts w:eastAsia="Calibri"/>
                <w:lang w:eastAsia="en-US"/>
              </w:rPr>
              <w:t>Attachment 15.009</w:t>
            </w:r>
            <w:r w:rsidRPr="0058722A">
              <w:rPr>
                <w:rFonts w:eastAsia="Calibri"/>
                <w:lang w:eastAsia="en-US"/>
              </w:rPr>
              <w:t>).</w:t>
            </w:r>
          </w:p>
        </w:tc>
      </w:tr>
      <w:tr w:rsidR="009F2CDD" w:rsidRPr="002056FA" w14:paraId="31AFDB42" w14:textId="77777777" w:rsidTr="00E169B4">
        <w:tc>
          <w:tcPr>
            <w:tcW w:w="0" w:type="auto"/>
            <w:shd w:val="clear" w:color="auto" w:fill="auto"/>
          </w:tcPr>
          <w:p w14:paraId="2F5ABB4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14.2 </w:t>
            </w:r>
          </w:p>
        </w:tc>
        <w:tc>
          <w:tcPr>
            <w:tcW w:w="0" w:type="auto"/>
            <w:shd w:val="clear" w:color="auto" w:fill="auto"/>
          </w:tcPr>
          <w:p w14:paraId="46D0430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Identify the tasks involved in providing the service described in response to 14.1 including:</w:t>
            </w:r>
          </w:p>
        </w:tc>
        <w:tc>
          <w:tcPr>
            <w:tcW w:w="0" w:type="auto"/>
            <w:shd w:val="clear" w:color="auto" w:fill="auto"/>
          </w:tcPr>
          <w:p w14:paraId="3EA74286" w14:textId="77777777" w:rsidR="009F2CDD" w:rsidRPr="002056FA" w:rsidRDefault="009F2CDD" w:rsidP="00E169B4">
            <w:pPr>
              <w:pStyle w:val="TableCopy"/>
              <w:rPr>
                <w:rFonts w:eastAsia="Calibri"/>
                <w:lang w:eastAsia="en-US"/>
              </w:rPr>
            </w:pPr>
            <w:r w:rsidRPr="002056FA">
              <w:rPr>
                <w:rFonts w:eastAsia="Calibri"/>
                <w:lang w:eastAsia="en-US"/>
              </w:rPr>
              <w:t xml:space="preserve">Energex </w:t>
            </w:r>
            <w:r>
              <w:rPr>
                <w:rFonts w:eastAsia="Calibri"/>
                <w:lang w:eastAsia="en-US"/>
              </w:rPr>
              <w:t>has</w:t>
            </w:r>
            <w:r w:rsidRPr="002056FA">
              <w:rPr>
                <w:rFonts w:eastAsia="Calibri"/>
                <w:lang w:eastAsia="en-US"/>
              </w:rPr>
              <w:t xml:space="preserve"> itemised cost components to com</w:t>
            </w:r>
            <w:r>
              <w:rPr>
                <w:rFonts w:eastAsia="Calibri"/>
                <w:lang w:eastAsia="en-US"/>
              </w:rPr>
              <w:t xml:space="preserve">plete the task in the in the </w:t>
            </w:r>
            <w:r w:rsidRPr="002056FA">
              <w:rPr>
                <w:rFonts w:eastAsia="Calibri"/>
                <w:lang w:eastAsia="en-US"/>
              </w:rPr>
              <w:t xml:space="preserve">Fee Based </w:t>
            </w:r>
            <w:r>
              <w:rPr>
                <w:rFonts w:eastAsia="Calibri"/>
                <w:lang w:eastAsia="en-US"/>
              </w:rPr>
              <w:t xml:space="preserve">and Quoted services </w:t>
            </w:r>
            <w:r w:rsidRPr="002056FA">
              <w:rPr>
                <w:rFonts w:eastAsia="Calibri"/>
                <w:lang w:eastAsia="en-US"/>
              </w:rPr>
              <w:t>model</w:t>
            </w:r>
            <w:r>
              <w:rPr>
                <w:rFonts w:eastAsia="Calibri"/>
                <w:lang w:eastAsia="en-US"/>
              </w:rPr>
              <w:t xml:space="preserve"> - </w:t>
            </w:r>
            <w:r w:rsidRPr="0058722A">
              <w:rPr>
                <w:rFonts w:eastAsia="Calibri"/>
                <w:lang w:eastAsia="en-US"/>
              </w:rPr>
              <w:t>ACS (</w:t>
            </w:r>
            <w:r>
              <w:rPr>
                <w:rFonts w:eastAsia="Calibri"/>
                <w:lang w:eastAsia="en-US"/>
              </w:rPr>
              <w:t>Attachment 15.009</w:t>
            </w:r>
            <w:r w:rsidRPr="0058722A">
              <w:rPr>
                <w:rFonts w:eastAsia="Calibri"/>
                <w:lang w:eastAsia="en-US"/>
              </w:rPr>
              <w:t>).</w:t>
            </w:r>
          </w:p>
        </w:tc>
      </w:tr>
      <w:tr w:rsidR="009F2CDD" w:rsidRPr="002056FA" w14:paraId="2D69BDF8" w14:textId="77777777" w:rsidTr="00E169B4">
        <w:tc>
          <w:tcPr>
            <w:tcW w:w="0" w:type="auto"/>
            <w:shd w:val="clear" w:color="auto" w:fill="auto"/>
          </w:tcPr>
          <w:p w14:paraId="427B3EE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14.2(a) </w:t>
            </w:r>
          </w:p>
        </w:tc>
        <w:tc>
          <w:tcPr>
            <w:tcW w:w="0" w:type="auto"/>
            <w:shd w:val="clear" w:color="auto" w:fill="auto"/>
          </w:tcPr>
          <w:p w14:paraId="0D2817A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map the class of labour required to provide the service;</w:t>
            </w:r>
          </w:p>
        </w:tc>
        <w:tc>
          <w:tcPr>
            <w:tcW w:w="0" w:type="auto"/>
            <w:shd w:val="clear" w:color="auto" w:fill="auto"/>
          </w:tcPr>
          <w:p w14:paraId="56203A4F" w14:textId="77777777" w:rsidR="009F2CDD" w:rsidRPr="002056FA" w:rsidRDefault="009F2CDD" w:rsidP="00E169B4">
            <w:pPr>
              <w:pStyle w:val="TableCopy"/>
              <w:rPr>
                <w:rFonts w:eastAsia="Calibri"/>
                <w:lang w:eastAsia="en-US"/>
              </w:rPr>
            </w:pPr>
            <w:r w:rsidRPr="002056FA">
              <w:rPr>
                <w:rFonts w:eastAsia="Calibri"/>
                <w:lang w:eastAsia="en-US"/>
              </w:rPr>
              <w:t>Refer to response 14.2.</w:t>
            </w:r>
          </w:p>
        </w:tc>
      </w:tr>
      <w:tr w:rsidR="009F2CDD" w:rsidRPr="002056FA" w14:paraId="32DE55DB" w14:textId="77777777" w:rsidTr="00E169B4">
        <w:tc>
          <w:tcPr>
            <w:tcW w:w="0" w:type="auto"/>
            <w:shd w:val="clear" w:color="auto" w:fill="auto"/>
          </w:tcPr>
          <w:p w14:paraId="4CA9A1B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14.2(b) </w:t>
            </w:r>
          </w:p>
        </w:tc>
        <w:tc>
          <w:tcPr>
            <w:tcW w:w="0" w:type="auto"/>
            <w:shd w:val="clear" w:color="auto" w:fill="auto"/>
          </w:tcPr>
          <w:p w14:paraId="22ACF1E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number of workers required to undertake the task and deliver the service; </w:t>
            </w:r>
          </w:p>
        </w:tc>
        <w:tc>
          <w:tcPr>
            <w:tcW w:w="0" w:type="auto"/>
            <w:shd w:val="clear" w:color="auto" w:fill="auto"/>
          </w:tcPr>
          <w:p w14:paraId="5FC8BBED" w14:textId="77777777" w:rsidR="009F2CDD" w:rsidRPr="002056FA" w:rsidRDefault="009F2CDD" w:rsidP="00E169B4">
            <w:pPr>
              <w:pStyle w:val="TableCopy"/>
              <w:rPr>
                <w:rFonts w:eastAsia="Calibri"/>
                <w:lang w:eastAsia="en-US"/>
              </w:rPr>
            </w:pPr>
            <w:r w:rsidRPr="002056FA">
              <w:rPr>
                <w:rFonts w:eastAsia="Calibri"/>
                <w:lang w:eastAsia="en-US"/>
              </w:rPr>
              <w:t>Refer to response 14.2.</w:t>
            </w:r>
          </w:p>
        </w:tc>
      </w:tr>
      <w:tr w:rsidR="009F2CDD" w:rsidRPr="002056FA" w14:paraId="4389CB8C" w14:textId="77777777" w:rsidTr="00E169B4">
        <w:tc>
          <w:tcPr>
            <w:tcW w:w="0" w:type="auto"/>
            <w:shd w:val="clear" w:color="auto" w:fill="auto"/>
          </w:tcPr>
          <w:p w14:paraId="16907579" w14:textId="77777777" w:rsidR="009F2CDD" w:rsidRPr="002056FA" w:rsidRDefault="009F2CDD" w:rsidP="00E169B4">
            <w:pPr>
              <w:pStyle w:val="TableCopy"/>
              <w:rPr>
                <w:rFonts w:eastAsia="Calibri"/>
                <w:color w:val="000000"/>
                <w:lang w:eastAsia="en-US"/>
              </w:rPr>
            </w:pPr>
            <w:r>
              <w:rPr>
                <w:rFonts w:eastAsia="Calibri"/>
                <w:color w:val="000000"/>
                <w:lang w:eastAsia="en-US"/>
              </w:rPr>
              <w:t>14.2(c)</w:t>
            </w:r>
          </w:p>
        </w:tc>
        <w:tc>
          <w:tcPr>
            <w:tcW w:w="0" w:type="auto"/>
            <w:shd w:val="clear" w:color="auto" w:fill="auto"/>
          </w:tcPr>
          <w:p w14:paraId="3EF75E4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average time required to complete the task and deliver the service.</w:t>
            </w:r>
          </w:p>
        </w:tc>
        <w:tc>
          <w:tcPr>
            <w:tcW w:w="0" w:type="auto"/>
            <w:shd w:val="clear" w:color="auto" w:fill="auto"/>
          </w:tcPr>
          <w:p w14:paraId="32E9846B" w14:textId="77777777" w:rsidR="009F2CDD" w:rsidRPr="002056FA" w:rsidRDefault="009F2CDD" w:rsidP="00E169B4">
            <w:pPr>
              <w:pStyle w:val="TableCopy"/>
              <w:rPr>
                <w:rFonts w:eastAsia="Calibri"/>
                <w:lang w:eastAsia="en-US"/>
              </w:rPr>
            </w:pPr>
            <w:r w:rsidRPr="002056FA">
              <w:rPr>
                <w:rFonts w:eastAsia="Calibri"/>
                <w:lang w:eastAsia="en-US"/>
              </w:rPr>
              <w:t>Refer to response 14.2.</w:t>
            </w:r>
          </w:p>
        </w:tc>
      </w:tr>
      <w:tr w:rsidR="009F2CDD" w:rsidRPr="002056FA" w14:paraId="1F62794E" w14:textId="77777777" w:rsidTr="00E169B4">
        <w:tc>
          <w:tcPr>
            <w:tcW w:w="0" w:type="auto"/>
            <w:shd w:val="clear" w:color="auto" w:fill="auto"/>
          </w:tcPr>
          <w:p w14:paraId="1852891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14.3</w:t>
            </w:r>
          </w:p>
        </w:tc>
        <w:tc>
          <w:tcPr>
            <w:tcW w:w="0" w:type="auto"/>
            <w:shd w:val="clear" w:color="auto" w:fill="auto"/>
          </w:tcPr>
          <w:p w14:paraId="3160DE1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If materials are required to provide the service, specify each material category.</w:t>
            </w:r>
          </w:p>
        </w:tc>
        <w:tc>
          <w:tcPr>
            <w:tcW w:w="0" w:type="auto"/>
            <w:shd w:val="clear" w:color="auto" w:fill="auto"/>
          </w:tcPr>
          <w:p w14:paraId="6C33EEF1" w14:textId="77777777" w:rsidR="009F2CDD" w:rsidRPr="002056FA" w:rsidRDefault="009F2CDD" w:rsidP="00E169B4">
            <w:pPr>
              <w:pStyle w:val="TableCopy"/>
              <w:rPr>
                <w:rFonts w:eastAsia="Calibri"/>
                <w:color w:val="365F91"/>
                <w:lang w:eastAsia="en-US"/>
              </w:rPr>
            </w:pPr>
            <w:r w:rsidRPr="002056FA">
              <w:rPr>
                <w:rFonts w:eastAsia="Calibri"/>
                <w:lang w:eastAsia="en-US"/>
              </w:rPr>
              <w:t xml:space="preserve">Energex </w:t>
            </w:r>
            <w:r>
              <w:rPr>
                <w:rFonts w:eastAsia="Calibri"/>
                <w:lang w:eastAsia="en-US"/>
              </w:rPr>
              <w:t>has</w:t>
            </w:r>
            <w:r w:rsidRPr="002056FA">
              <w:rPr>
                <w:rFonts w:eastAsia="Calibri"/>
                <w:lang w:eastAsia="en-US"/>
              </w:rPr>
              <w:t xml:space="preserve"> itemised cost components to </w:t>
            </w:r>
            <w:r>
              <w:rPr>
                <w:rFonts w:eastAsia="Calibri"/>
                <w:lang w:eastAsia="en-US"/>
              </w:rPr>
              <w:t>complete the task in the in the</w:t>
            </w:r>
            <w:r w:rsidRPr="00675DE4">
              <w:rPr>
                <w:rFonts w:eastAsia="Calibri"/>
                <w:lang w:eastAsia="en-US"/>
              </w:rPr>
              <w:t xml:space="preserve"> Fee Based and quoted services model- </w:t>
            </w:r>
            <w:r w:rsidRPr="00FE00B4">
              <w:rPr>
                <w:rFonts w:eastAsia="Calibri"/>
                <w:lang w:eastAsia="en-US"/>
              </w:rPr>
              <w:t xml:space="preserve">ACS (Attachment </w:t>
            </w:r>
            <w:r>
              <w:rPr>
                <w:rFonts w:eastAsia="Calibri"/>
                <w:lang w:eastAsia="en-US"/>
              </w:rPr>
              <w:t>15.009</w:t>
            </w:r>
            <w:r w:rsidRPr="00FE00B4">
              <w:rPr>
                <w:rFonts w:eastAsia="Calibri"/>
                <w:lang w:eastAsia="en-US"/>
              </w:rPr>
              <w:t>).</w:t>
            </w:r>
          </w:p>
        </w:tc>
      </w:tr>
      <w:tr w:rsidR="009F2CDD" w:rsidRPr="002056FA" w14:paraId="768DE771" w14:textId="77777777" w:rsidTr="00E169B4">
        <w:tc>
          <w:tcPr>
            <w:tcW w:w="0" w:type="auto"/>
            <w:tcBorders>
              <w:bottom w:val="single" w:sz="4" w:space="0" w:color="auto"/>
            </w:tcBorders>
            <w:shd w:val="clear" w:color="auto" w:fill="auto"/>
          </w:tcPr>
          <w:p w14:paraId="1FD4729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14.4</w:t>
            </w:r>
          </w:p>
        </w:tc>
        <w:tc>
          <w:tcPr>
            <w:tcW w:w="0" w:type="auto"/>
            <w:tcBorders>
              <w:bottom w:val="single" w:sz="4" w:space="0" w:color="auto"/>
            </w:tcBorders>
            <w:shd w:val="clear" w:color="auto" w:fill="auto"/>
          </w:tcPr>
          <w:p w14:paraId="343CC8B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all current and proposed charges for each fee based alternative control service in the current and forthcoming regulatory control periods.</w:t>
            </w:r>
          </w:p>
        </w:tc>
        <w:tc>
          <w:tcPr>
            <w:tcW w:w="0" w:type="auto"/>
            <w:tcBorders>
              <w:bottom w:val="single" w:sz="4" w:space="0" w:color="auto"/>
            </w:tcBorders>
            <w:shd w:val="clear" w:color="auto" w:fill="auto"/>
          </w:tcPr>
          <w:p w14:paraId="1AEE2294" w14:textId="77777777" w:rsidR="009F2CDD" w:rsidRPr="002056FA" w:rsidRDefault="009F2CDD" w:rsidP="00E169B4">
            <w:pPr>
              <w:pStyle w:val="TableCopy"/>
              <w:rPr>
                <w:rFonts w:eastAsia="Calibri"/>
                <w:lang w:eastAsia="en-US"/>
              </w:rPr>
            </w:pPr>
            <w:r>
              <w:rPr>
                <w:rFonts w:eastAsia="Calibri"/>
                <w:lang w:eastAsia="en-US"/>
              </w:rPr>
              <w:t>Refer to the response to section 13.4.</w:t>
            </w:r>
          </w:p>
          <w:p w14:paraId="3CB13D6A" w14:textId="77777777" w:rsidR="009F2CDD" w:rsidRPr="002056FA" w:rsidRDefault="009F2CDD" w:rsidP="00E169B4">
            <w:pPr>
              <w:pStyle w:val="TableCopy"/>
              <w:rPr>
                <w:rFonts w:eastAsia="Calibri"/>
                <w:color w:val="365F91"/>
                <w:lang w:eastAsia="en-US"/>
              </w:rPr>
            </w:pPr>
          </w:p>
        </w:tc>
      </w:tr>
      <w:tr w:rsidR="009F2CDD" w:rsidRPr="002056FA" w14:paraId="4737BD79" w14:textId="77777777" w:rsidTr="00E169B4">
        <w:tc>
          <w:tcPr>
            <w:tcW w:w="0" w:type="auto"/>
            <w:tcBorders>
              <w:bottom w:val="single" w:sz="4" w:space="0" w:color="auto"/>
            </w:tcBorders>
            <w:shd w:val="clear" w:color="auto" w:fill="D0CECE" w:themeFill="background2" w:themeFillShade="E6"/>
          </w:tcPr>
          <w:p w14:paraId="3CF4D562"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15</w:t>
            </w:r>
          </w:p>
        </w:tc>
        <w:tc>
          <w:tcPr>
            <w:tcW w:w="0" w:type="auto"/>
            <w:tcBorders>
              <w:bottom w:val="single" w:sz="4" w:space="0" w:color="auto"/>
            </w:tcBorders>
            <w:shd w:val="clear" w:color="auto" w:fill="D0CECE" w:themeFill="background2" w:themeFillShade="E6"/>
          </w:tcPr>
          <w:p w14:paraId="17AAE9D8"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 xml:space="preserve">METERING ALTERNATIVE CONTROL SERVICES </w:t>
            </w:r>
          </w:p>
        </w:tc>
        <w:tc>
          <w:tcPr>
            <w:tcW w:w="0" w:type="auto"/>
            <w:tcBorders>
              <w:bottom w:val="single" w:sz="4" w:space="0" w:color="auto"/>
            </w:tcBorders>
            <w:shd w:val="clear" w:color="auto" w:fill="D0CECE" w:themeFill="background2" w:themeFillShade="E6"/>
          </w:tcPr>
          <w:p w14:paraId="12D9C3C3" w14:textId="77777777" w:rsidR="009F2CDD" w:rsidRPr="002056FA" w:rsidRDefault="009F2CDD" w:rsidP="00E169B4">
            <w:pPr>
              <w:pStyle w:val="TableCopy"/>
              <w:rPr>
                <w:rFonts w:eastAsia="Calibri"/>
                <w:color w:val="000000"/>
                <w:lang w:eastAsia="en-US"/>
              </w:rPr>
            </w:pPr>
          </w:p>
        </w:tc>
      </w:tr>
      <w:tr w:rsidR="009F2CDD" w:rsidRPr="002056FA" w14:paraId="5A0EBC0B" w14:textId="77777777" w:rsidTr="00E169B4">
        <w:tc>
          <w:tcPr>
            <w:tcW w:w="0" w:type="auto"/>
            <w:shd w:val="clear" w:color="auto" w:fill="D0CECE" w:themeFill="background2" w:themeFillShade="E6"/>
          </w:tcPr>
          <w:p w14:paraId="406C962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15.1</w:t>
            </w:r>
          </w:p>
        </w:tc>
        <w:tc>
          <w:tcPr>
            <w:tcW w:w="0" w:type="auto"/>
            <w:shd w:val="clear" w:color="auto" w:fill="D0CECE" w:themeFill="background2" w:themeFillShade="E6"/>
          </w:tcPr>
          <w:p w14:paraId="20CA710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metering alternative control services for the current regulatory control period and the forthcoming regulatory control period, provide details of the:</w:t>
            </w:r>
          </w:p>
        </w:tc>
        <w:tc>
          <w:tcPr>
            <w:tcW w:w="0" w:type="auto"/>
            <w:shd w:val="clear" w:color="auto" w:fill="D0CECE" w:themeFill="background2" w:themeFillShade="E6"/>
          </w:tcPr>
          <w:p w14:paraId="115DE45F" w14:textId="77777777" w:rsidR="009F2CDD" w:rsidRPr="002056FA" w:rsidRDefault="009F2CDD" w:rsidP="00E169B4">
            <w:pPr>
              <w:pStyle w:val="TableCopy"/>
              <w:rPr>
                <w:rFonts w:eastAsia="Calibri"/>
                <w:color w:val="365F91"/>
                <w:lang w:eastAsia="en-US"/>
              </w:rPr>
            </w:pPr>
            <w:r w:rsidRPr="002056FA">
              <w:rPr>
                <w:rFonts w:eastAsia="Calibri"/>
                <w:lang w:eastAsia="en-US"/>
              </w:rPr>
              <w:t xml:space="preserve">In addressing Question 15 of Schedule 1 of the RIN, Energex </w:t>
            </w:r>
            <w:r>
              <w:rPr>
                <w:rFonts w:eastAsia="Calibri"/>
                <w:lang w:eastAsia="en-US"/>
              </w:rPr>
              <w:t>has</w:t>
            </w:r>
            <w:r w:rsidRPr="002056FA">
              <w:rPr>
                <w:rFonts w:eastAsia="Calibri"/>
                <w:lang w:eastAsia="en-US"/>
              </w:rPr>
              <w:t xml:space="preserve"> defined metering </w:t>
            </w:r>
            <w:r>
              <w:rPr>
                <w:rFonts w:eastAsia="Calibri"/>
                <w:lang w:eastAsia="en-US"/>
              </w:rPr>
              <w:t>ACS</w:t>
            </w:r>
            <w:r w:rsidRPr="002056FA">
              <w:rPr>
                <w:rFonts w:eastAsia="Calibri"/>
                <w:lang w:eastAsia="en-US"/>
              </w:rPr>
              <w:t xml:space="preserve"> consistent with the final Framework and Approach paper dated July 2018. </w:t>
            </w:r>
          </w:p>
        </w:tc>
      </w:tr>
      <w:tr w:rsidR="009F2CDD" w:rsidRPr="002056FA" w14:paraId="1B1291E8" w14:textId="77777777" w:rsidTr="00E169B4">
        <w:tc>
          <w:tcPr>
            <w:tcW w:w="0" w:type="auto"/>
            <w:shd w:val="clear" w:color="auto" w:fill="auto"/>
          </w:tcPr>
          <w:p w14:paraId="0250E04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15.1(a) </w:t>
            </w:r>
          </w:p>
        </w:tc>
        <w:tc>
          <w:tcPr>
            <w:tcW w:w="0" w:type="auto"/>
            <w:shd w:val="clear" w:color="auto" w:fill="auto"/>
          </w:tcPr>
          <w:p w14:paraId="73B95F1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direct materials and </w:t>
            </w:r>
            <w:r w:rsidRPr="002056FA">
              <w:rPr>
                <w:rFonts w:eastAsia="Calibri"/>
                <w:iCs/>
                <w:color w:val="000000"/>
                <w:lang w:eastAsia="en-US"/>
              </w:rPr>
              <w:t>direct labour costs</w:t>
            </w:r>
            <w:r w:rsidRPr="002056FA">
              <w:rPr>
                <w:rFonts w:eastAsia="Calibri"/>
                <w:color w:val="000000"/>
                <w:lang w:eastAsia="en-US"/>
              </w:rPr>
              <w:t xml:space="preserve">; </w:t>
            </w:r>
          </w:p>
        </w:tc>
        <w:tc>
          <w:tcPr>
            <w:tcW w:w="0" w:type="auto"/>
            <w:shd w:val="clear" w:color="auto" w:fill="auto"/>
          </w:tcPr>
          <w:p w14:paraId="2982820D" w14:textId="77777777" w:rsidR="009F2CDD" w:rsidRPr="002056FA" w:rsidRDefault="009F2CDD" w:rsidP="00E169B4">
            <w:pPr>
              <w:pStyle w:val="TableCopy"/>
              <w:rPr>
                <w:rFonts w:eastAsia="Calibri"/>
                <w:lang w:eastAsia="en-US"/>
              </w:rPr>
            </w:pPr>
            <w:r w:rsidRPr="002056FA">
              <w:rPr>
                <w:rFonts w:eastAsia="Calibri"/>
                <w:lang w:eastAsia="en-US"/>
              </w:rPr>
              <w:t xml:space="preserve">The direct material costs include the costs of the meter, and other equipment associated with the meter such as the modem, antenna and communications. </w:t>
            </w:r>
          </w:p>
          <w:p w14:paraId="0EC40537" w14:textId="77777777" w:rsidR="009F2CDD" w:rsidRPr="002056FA" w:rsidRDefault="009F2CDD" w:rsidP="00E169B4">
            <w:pPr>
              <w:pStyle w:val="TableCopy"/>
              <w:rPr>
                <w:rFonts w:eastAsia="Calibri"/>
                <w:lang w:eastAsia="en-US"/>
              </w:rPr>
            </w:pPr>
            <w:r>
              <w:rPr>
                <w:rFonts w:eastAsia="Calibri"/>
                <w:lang w:eastAsia="en-US"/>
              </w:rPr>
              <w:t xml:space="preserve">Refer to </w:t>
            </w:r>
            <w:r w:rsidRPr="00A67AB0">
              <w:rPr>
                <w:rFonts w:eastAsia="Calibri"/>
                <w:lang w:eastAsia="en-US"/>
              </w:rPr>
              <w:t xml:space="preserve">‘Metering ACS Supporting Information (Reset RIN Schedule 1 s15)’ </w:t>
            </w:r>
            <w:r w:rsidRPr="002056FA">
              <w:rPr>
                <w:rFonts w:eastAsia="Calibri"/>
                <w:lang w:eastAsia="en-US"/>
              </w:rPr>
              <w:t>(</w:t>
            </w:r>
            <w:r w:rsidRPr="00FE00B4">
              <w:rPr>
                <w:rFonts w:eastAsia="Calibri"/>
                <w:lang w:eastAsia="en-US"/>
              </w:rPr>
              <w:t>Attachment 17.</w:t>
            </w:r>
            <w:r>
              <w:rPr>
                <w:rFonts w:eastAsia="Calibri"/>
                <w:lang w:eastAsia="en-US"/>
              </w:rPr>
              <w:t>044</w:t>
            </w:r>
            <w:r w:rsidRPr="00FE00B4">
              <w:rPr>
                <w:rFonts w:eastAsia="Calibri"/>
                <w:lang w:eastAsia="en-US"/>
              </w:rPr>
              <w:t>).</w:t>
            </w:r>
            <w:r w:rsidRPr="002056FA">
              <w:rPr>
                <w:rFonts w:eastAsia="Calibri"/>
                <w:lang w:eastAsia="en-US"/>
              </w:rPr>
              <w:t xml:space="preserve"> </w:t>
            </w:r>
          </w:p>
          <w:p w14:paraId="1108D651" w14:textId="77777777" w:rsidR="009F2CDD" w:rsidRPr="002056FA" w:rsidRDefault="009F2CDD" w:rsidP="00E169B4">
            <w:pPr>
              <w:pStyle w:val="TableCopy"/>
              <w:rPr>
                <w:rFonts w:eastAsia="Calibri"/>
                <w:lang w:eastAsia="en-US"/>
              </w:rPr>
            </w:pPr>
            <w:r w:rsidRPr="002056FA">
              <w:rPr>
                <w:rFonts w:eastAsia="Calibri"/>
                <w:lang w:eastAsia="en-US"/>
              </w:rPr>
              <w:t xml:space="preserve">Please note that forecast metering opex applies a </w:t>
            </w:r>
            <w:r>
              <w:rPr>
                <w:rFonts w:eastAsia="Calibri"/>
                <w:lang w:eastAsia="en-US"/>
              </w:rPr>
              <w:t>BST</w:t>
            </w:r>
            <w:r w:rsidRPr="002056FA">
              <w:rPr>
                <w:rFonts w:eastAsia="Calibri"/>
                <w:lang w:eastAsia="en-US"/>
              </w:rPr>
              <w:t xml:space="preserve"> approach, and therefore we have used </w:t>
            </w:r>
            <w:r>
              <w:rPr>
                <w:rFonts w:eastAsia="Calibri"/>
                <w:lang w:eastAsia="en-US"/>
              </w:rPr>
              <w:t xml:space="preserve">2018-19 </w:t>
            </w:r>
            <w:r w:rsidRPr="002056FA">
              <w:rPr>
                <w:rFonts w:eastAsia="Calibri"/>
                <w:lang w:eastAsia="en-US"/>
              </w:rPr>
              <w:t xml:space="preserve">opex as a basis for our forecasts. </w:t>
            </w:r>
          </w:p>
        </w:tc>
      </w:tr>
      <w:tr w:rsidR="009F2CDD" w:rsidRPr="002056FA" w14:paraId="1EF0FEAE" w14:textId="77777777" w:rsidTr="00E169B4">
        <w:tc>
          <w:tcPr>
            <w:tcW w:w="0" w:type="auto"/>
            <w:shd w:val="clear" w:color="auto" w:fill="auto"/>
          </w:tcPr>
          <w:p w14:paraId="327438C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15.1(b) </w:t>
            </w:r>
          </w:p>
        </w:tc>
        <w:tc>
          <w:tcPr>
            <w:tcW w:w="0" w:type="auto"/>
            <w:shd w:val="clear" w:color="auto" w:fill="auto"/>
          </w:tcPr>
          <w:p w14:paraId="2FB2759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installation costs; </w:t>
            </w:r>
          </w:p>
        </w:tc>
        <w:tc>
          <w:tcPr>
            <w:tcW w:w="0" w:type="auto"/>
            <w:shd w:val="clear" w:color="auto" w:fill="auto"/>
          </w:tcPr>
          <w:p w14:paraId="6C571400" w14:textId="77777777" w:rsidR="009F2CDD" w:rsidRPr="002056FA" w:rsidRDefault="009F2CDD" w:rsidP="00E169B4">
            <w:pPr>
              <w:pStyle w:val="TableCopy"/>
              <w:rPr>
                <w:rFonts w:eastAsia="Calibri"/>
                <w:lang w:eastAsia="en-US"/>
              </w:rPr>
            </w:pPr>
            <w:r w:rsidRPr="002056FA">
              <w:rPr>
                <w:rFonts w:eastAsia="Calibri"/>
                <w:lang w:eastAsia="en-US"/>
              </w:rPr>
              <w:t>For th</w:t>
            </w:r>
            <w:r>
              <w:rPr>
                <w:rFonts w:eastAsia="Calibri"/>
                <w:lang w:eastAsia="en-US"/>
              </w:rPr>
              <w:t xml:space="preserve">e current period, please refer </w:t>
            </w:r>
            <w:r w:rsidRPr="00A67AB0">
              <w:rPr>
                <w:rFonts w:eastAsia="Calibri"/>
                <w:lang w:eastAsia="en-US"/>
              </w:rPr>
              <w:t>‘Metering ACS Supporting Information (Reset RIN Schedule 1 s15)’</w:t>
            </w:r>
            <w:r w:rsidRPr="002056FA">
              <w:rPr>
                <w:rFonts w:eastAsia="Calibri"/>
                <w:lang w:eastAsia="en-US"/>
              </w:rPr>
              <w:t xml:space="preserve"> </w:t>
            </w:r>
            <w:r w:rsidRPr="00FE00B4">
              <w:rPr>
                <w:rFonts w:eastAsia="Calibri"/>
                <w:lang w:eastAsia="en-US"/>
              </w:rPr>
              <w:t>(Attachment 17.</w:t>
            </w:r>
            <w:r>
              <w:rPr>
                <w:rFonts w:eastAsia="Calibri"/>
                <w:lang w:eastAsia="en-US"/>
              </w:rPr>
              <w:t>044</w:t>
            </w:r>
            <w:r w:rsidRPr="00FE00B4">
              <w:rPr>
                <w:rFonts w:eastAsia="Calibri"/>
                <w:lang w:eastAsia="en-US"/>
              </w:rPr>
              <w:t>).</w:t>
            </w:r>
            <w:r w:rsidRPr="002056FA">
              <w:rPr>
                <w:rFonts w:eastAsia="Calibri"/>
                <w:lang w:eastAsia="en-US"/>
              </w:rPr>
              <w:t xml:space="preserve"> </w:t>
            </w:r>
          </w:p>
          <w:p w14:paraId="63A72987" w14:textId="77777777" w:rsidR="009F2CDD" w:rsidRPr="002056FA" w:rsidRDefault="009F2CDD" w:rsidP="00E169B4">
            <w:pPr>
              <w:pStyle w:val="TableCopy"/>
              <w:rPr>
                <w:rFonts w:eastAsia="Calibri"/>
                <w:lang w:eastAsia="en-US"/>
              </w:rPr>
            </w:pPr>
            <w:r w:rsidRPr="002056FA">
              <w:rPr>
                <w:rFonts w:eastAsia="Calibri"/>
                <w:lang w:eastAsia="en-US"/>
              </w:rPr>
              <w:t xml:space="preserve">For the forthcoming </w:t>
            </w:r>
            <w:r>
              <w:rPr>
                <w:rFonts w:eastAsia="Calibri"/>
                <w:lang w:eastAsia="en-US"/>
              </w:rPr>
              <w:t>period, please n</w:t>
            </w:r>
            <w:r w:rsidRPr="002056FA">
              <w:rPr>
                <w:rFonts w:eastAsia="Calibri"/>
                <w:lang w:eastAsia="en-US"/>
              </w:rPr>
              <w:t xml:space="preserve">ote that Energex does not forecast any installation costs due to Power of Choice reforms. </w:t>
            </w:r>
          </w:p>
        </w:tc>
      </w:tr>
      <w:tr w:rsidR="009F2CDD" w:rsidRPr="002056FA" w14:paraId="5D1015D2" w14:textId="77777777" w:rsidTr="00E169B4">
        <w:tc>
          <w:tcPr>
            <w:tcW w:w="0" w:type="auto"/>
            <w:shd w:val="clear" w:color="auto" w:fill="auto"/>
          </w:tcPr>
          <w:p w14:paraId="1E671C8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15.1(c) </w:t>
            </w:r>
          </w:p>
        </w:tc>
        <w:tc>
          <w:tcPr>
            <w:tcW w:w="0" w:type="auto"/>
            <w:shd w:val="clear" w:color="auto" w:fill="auto"/>
          </w:tcPr>
          <w:p w14:paraId="74BD125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meter purchase costs; </w:t>
            </w:r>
          </w:p>
        </w:tc>
        <w:tc>
          <w:tcPr>
            <w:tcW w:w="0" w:type="auto"/>
            <w:shd w:val="clear" w:color="auto" w:fill="auto"/>
          </w:tcPr>
          <w:p w14:paraId="1474B9FF" w14:textId="77777777" w:rsidR="009F2CDD" w:rsidRPr="002056FA" w:rsidRDefault="009F2CDD" w:rsidP="00E169B4">
            <w:pPr>
              <w:pStyle w:val="TableCopy"/>
              <w:rPr>
                <w:rFonts w:eastAsia="Calibri"/>
                <w:lang w:eastAsia="en-US"/>
              </w:rPr>
            </w:pPr>
            <w:r w:rsidRPr="002056FA">
              <w:rPr>
                <w:rFonts w:eastAsia="Calibri"/>
                <w:lang w:eastAsia="en-US"/>
              </w:rPr>
              <w:t>For the current</w:t>
            </w:r>
            <w:r>
              <w:rPr>
                <w:rFonts w:eastAsia="Calibri"/>
                <w:lang w:eastAsia="en-US"/>
              </w:rPr>
              <w:t xml:space="preserve"> and forthcoming</w:t>
            </w:r>
            <w:r w:rsidRPr="002056FA">
              <w:rPr>
                <w:rFonts w:eastAsia="Calibri"/>
                <w:lang w:eastAsia="en-US"/>
              </w:rPr>
              <w:t xml:space="preserve"> period,</w:t>
            </w:r>
            <w:r>
              <w:rPr>
                <w:rFonts w:eastAsia="Calibri"/>
                <w:lang w:eastAsia="en-US"/>
              </w:rPr>
              <w:t xml:space="preserve"> please refer to </w:t>
            </w:r>
            <w:r w:rsidRPr="00A67AB0">
              <w:rPr>
                <w:rFonts w:eastAsia="Calibri"/>
                <w:lang w:eastAsia="en-US"/>
              </w:rPr>
              <w:t>‘Metering ACS Supporting Information (Reset RIN Schedule 1 s15)</w:t>
            </w:r>
            <w:r w:rsidRPr="00FE00B4">
              <w:rPr>
                <w:rFonts w:eastAsia="Calibri"/>
                <w:lang w:eastAsia="en-US"/>
              </w:rPr>
              <w:t>’ (Attachment 17.</w:t>
            </w:r>
            <w:r>
              <w:rPr>
                <w:rFonts w:eastAsia="Calibri"/>
                <w:lang w:eastAsia="en-US"/>
              </w:rPr>
              <w:t>044</w:t>
            </w:r>
            <w:r w:rsidRPr="00FE00B4">
              <w:rPr>
                <w:rFonts w:eastAsia="Calibri"/>
                <w:lang w:eastAsia="en-US"/>
              </w:rPr>
              <w:t>).</w:t>
            </w:r>
            <w:r>
              <w:rPr>
                <w:rFonts w:eastAsia="Calibri"/>
                <w:lang w:eastAsia="en-US"/>
              </w:rPr>
              <w:t xml:space="preserve"> </w:t>
            </w:r>
          </w:p>
        </w:tc>
      </w:tr>
      <w:tr w:rsidR="009F2CDD" w:rsidRPr="002056FA" w14:paraId="35A0E224" w14:textId="77777777" w:rsidTr="00E169B4">
        <w:tc>
          <w:tcPr>
            <w:tcW w:w="0" w:type="auto"/>
            <w:shd w:val="clear" w:color="auto" w:fill="auto"/>
          </w:tcPr>
          <w:p w14:paraId="4D21FD3E"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15.1(d) </w:t>
            </w:r>
          </w:p>
        </w:tc>
        <w:tc>
          <w:tcPr>
            <w:tcW w:w="0" w:type="auto"/>
            <w:shd w:val="clear" w:color="auto" w:fill="auto"/>
          </w:tcPr>
          <w:p w14:paraId="2BFD1934"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volumes of work; </w:t>
            </w:r>
          </w:p>
        </w:tc>
        <w:tc>
          <w:tcPr>
            <w:tcW w:w="0" w:type="auto"/>
            <w:shd w:val="clear" w:color="auto" w:fill="auto"/>
          </w:tcPr>
          <w:p w14:paraId="27BCA606" w14:textId="77777777" w:rsidR="009F2CDD" w:rsidRPr="002056FA" w:rsidRDefault="009F2CDD" w:rsidP="00E169B4">
            <w:pPr>
              <w:pStyle w:val="TableCopy"/>
              <w:rPr>
                <w:rFonts w:eastAsia="Calibri"/>
                <w:lang w:eastAsia="en-US"/>
              </w:rPr>
            </w:pPr>
            <w:r w:rsidRPr="002056FA">
              <w:rPr>
                <w:rFonts w:eastAsia="Calibri"/>
                <w:lang w:eastAsia="en-US"/>
              </w:rPr>
              <w:t xml:space="preserve">For the current period, please refer </w:t>
            </w:r>
            <w:r>
              <w:rPr>
                <w:rFonts w:eastAsia="Calibri"/>
                <w:lang w:eastAsia="en-US"/>
              </w:rPr>
              <w:t xml:space="preserve">to </w:t>
            </w:r>
            <w:r w:rsidRPr="00A67AB0">
              <w:rPr>
                <w:rFonts w:eastAsia="Calibri"/>
                <w:lang w:eastAsia="en-US"/>
              </w:rPr>
              <w:t>‘Metering ACS Supporting Informa</w:t>
            </w:r>
            <w:r>
              <w:rPr>
                <w:rFonts w:eastAsia="Calibri"/>
                <w:lang w:eastAsia="en-US"/>
              </w:rPr>
              <w:t xml:space="preserve">tion (Reset RIN Schedule 1 </w:t>
            </w:r>
            <w:r w:rsidRPr="00FE00B4">
              <w:rPr>
                <w:rFonts w:eastAsia="Calibri"/>
                <w:lang w:eastAsia="en-US"/>
              </w:rPr>
              <w:t>s15)’ (Attachment 17.</w:t>
            </w:r>
            <w:r>
              <w:rPr>
                <w:rFonts w:eastAsia="Calibri"/>
                <w:lang w:eastAsia="en-US"/>
              </w:rPr>
              <w:t>044</w:t>
            </w:r>
            <w:r w:rsidRPr="00FE00B4">
              <w:rPr>
                <w:rFonts w:eastAsia="Calibri"/>
                <w:lang w:eastAsia="en-US"/>
              </w:rPr>
              <w:t>).</w:t>
            </w:r>
            <w:r w:rsidRPr="002056FA">
              <w:rPr>
                <w:rFonts w:eastAsia="Calibri"/>
                <w:lang w:eastAsia="en-US"/>
              </w:rPr>
              <w:t xml:space="preserve"> </w:t>
            </w:r>
          </w:p>
          <w:p w14:paraId="0B3A0E9F" w14:textId="77777777" w:rsidR="009F2CDD" w:rsidRPr="002056FA" w:rsidRDefault="009F2CDD" w:rsidP="00E169B4">
            <w:pPr>
              <w:pStyle w:val="TableCopy"/>
              <w:rPr>
                <w:rFonts w:eastAsia="Calibri"/>
                <w:lang w:eastAsia="en-US"/>
              </w:rPr>
            </w:pPr>
            <w:r w:rsidRPr="002056FA">
              <w:rPr>
                <w:rFonts w:eastAsia="Calibri"/>
                <w:lang w:eastAsia="en-US"/>
              </w:rPr>
              <w:t xml:space="preserve">For the forthcoming period, please refer to Template 4.2 in Workbook 1 Regulatory </w:t>
            </w:r>
            <w:r w:rsidRPr="00FE00B4">
              <w:rPr>
                <w:rFonts w:eastAsia="Calibri"/>
                <w:lang w:eastAsia="en-US"/>
              </w:rPr>
              <w:t>Determination (Attachment 17.</w:t>
            </w:r>
            <w:r>
              <w:rPr>
                <w:rFonts w:eastAsia="Calibri"/>
                <w:lang w:eastAsia="en-US"/>
              </w:rPr>
              <w:t>046</w:t>
            </w:r>
            <w:r w:rsidRPr="00FE00B4">
              <w:rPr>
                <w:rFonts w:eastAsia="Calibri"/>
                <w:lang w:eastAsia="en-US"/>
              </w:rPr>
              <w:t>)</w:t>
            </w:r>
            <w:r>
              <w:rPr>
                <w:rFonts w:eastAsia="Calibri"/>
                <w:lang w:eastAsia="en-US"/>
              </w:rPr>
              <w:t xml:space="preserve"> for default metering services and Workbook 1 Regulatory Determination template 4.3 Fee based services for all fee based work volumes.</w:t>
            </w:r>
          </w:p>
          <w:p w14:paraId="4D4FA674" w14:textId="77777777" w:rsidR="009F2CDD" w:rsidRDefault="009F2CDD" w:rsidP="00E169B4">
            <w:pPr>
              <w:pStyle w:val="TableCopy"/>
              <w:rPr>
                <w:rFonts w:eastAsia="Calibri"/>
                <w:lang w:eastAsia="en-US"/>
              </w:rPr>
            </w:pPr>
            <w:r w:rsidRPr="002056FA">
              <w:rPr>
                <w:rFonts w:eastAsia="Calibri"/>
                <w:lang w:eastAsia="en-US"/>
              </w:rPr>
              <w:t>Information for metering services is provided in the following categories:</w:t>
            </w:r>
          </w:p>
          <w:p w14:paraId="03B18EEE" w14:textId="77777777" w:rsidR="009F2CDD" w:rsidRPr="00E45E1F" w:rsidRDefault="009F2CDD" w:rsidP="00E169B4">
            <w:pPr>
              <w:pStyle w:val="Bullet1"/>
              <w:rPr>
                <w:sz w:val="20"/>
                <w:szCs w:val="20"/>
              </w:rPr>
            </w:pPr>
            <w:r w:rsidRPr="00E45E1F">
              <w:rPr>
                <w:sz w:val="20"/>
                <w:szCs w:val="20"/>
              </w:rPr>
              <w:t>Meter Testing - (template 4.2  Default Metering)</w:t>
            </w:r>
          </w:p>
          <w:p w14:paraId="4DC4EB52" w14:textId="77777777" w:rsidR="009F2CDD" w:rsidRPr="00E45E1F" w:rsidRDefault="009F2CDD" w:rsidP="00E169B4">
            <w:pPr>
              <w:pStyle w:val="Bullet1"/>
              <w:rPr>
                <w:sz w:val="20"/>
                <w:szCs w:val="20"/>
              </w:rPr>
            </w:pPr>
            <w:r w:rsidRPr="00E45E1F">
              <w:rPr>
                <w:sz w:val="20"/>
                <w:szCs w:val="20"/>
              </w:rPr>
              <w:t>Meter Investigation - (template 4.2 Default Metering)</w:t>
            </w:r>
          </w:p>
          <w:p w14:paraId="16847EBC" w14:textId="77777777" w:rsidR="009F2CDD" w:rsidRPr="00E45E1F" w:rsidRDefault="009F2CDD" w:rsidP="00E169B4">
            <w:pPr>
              <w:pStyle w:val="Bullet1"/>
              <w:rPr>
                <w:sz w:val="20"/>
                <w:szCs w:val="20"/>
              </w:rPr>
            </w:pPr>
            <w:r w:rsidRPr="00E45E1F">
              <w:rPr>
                <w:sz w:val="20"/>
                <w:szCs w:val="20"/>
              </w:rPr>
              <w:t>Scheduled Meter Reading - (template 4.2  Default Metering)</w:t>
            </w:r>
          </w:p>
          <w:p w14:paraId="73FEB2E2" w14:textId="77777777" w:rsidR="009F2CDD" w:rsidRPr="00E45E1F" w:rsidRDefault="009F2CDD" w:rsidP="00E169B4">
            <w:pPr>
              <w:pStyle w:val="Bullet1"/>
              <w:rPr>
                <w:sz w:val="20"/>
                <w:szCs w:val="20"/>
              </w:rPr>
            </w:pPr>
            <w:r w:rsidRPr="00E45E1F">
              <w:rPr>
                <w:sz w:val="20"/>
                <w:szCs w:val="20"/>
              </w:rPr>
              <w:t>Special Meter Reading – (template 4.3 Fee based services</w:t>
            </w:r>
          </w:p>
          <w:p w14:paraId="0D2177F9" w14:textId="77777777" w:rsidR="009F2CDD" w:rsidRPr="00E45E1F" w:rsidRDefault="009F2CDD" w:rsidP="00E169B4">
            <w:pPr>
              <w:pStyle w:val="Bullet1"/>
              <w:rPr>
                <w:sz w:val="20"/>
                <w:szCs w:val="20"/>
              </w:rPr>
            </w:pPr>
            <w:r w:rsidRPr="00E45E1F">
              <w:rPr>
                <w:sz w:val="20"/>
                <w:szCs w:val="20"/>
              </w:rPr>
              <w:t>New Meter Installation - (template 4.3 Fee based services</w:t>
            </w:r>
          </w:p>
          <w:p w14:paraId="58044646" w14:textId="77777777" w:rsidR="009F2CDD" w:rsidRPr="00E45E1F" w:rsidRDefault="009F2CDD" w:rsidP="00E169B4">
            <w:pPr>
              <w:pStyle w:val="Bullet1"/>
              <w:rPr>
                <w:sz w:val="20"/>
                <w:szCs w:val="20"/>
              </w:rPr>
            </w:pPr>
            <w:r w:rsidRPr="00E45E1F">
              <w:rPr>
                <w:sz w:val="20"/>
                <w:szCs w:val="20"/>
              </w:rPr>
              <w:t>Meter Replacement - (template 4.3 Fee based services)</w:t>
            </w:r>
          </w:p>
          <w:p w14:paraId="3708DBD3" w14:textId="77777777" w:rsidR="009F2CDD" w:rsidRPr="00E45E1F" w:rsidRDefault="009F2CDD" w:rsidP="00E169B4">
            <w:pPr>
              <w:pStyle w:val="Bullet1"/>
              <w:rPr>
                <w:sz w:val="20"/>
                <w:szCs w:val="20"/>
              </w:rPr>
            </w:pPr>
            <w:r w:rsidRPr="00E45E1F">
              <w:rPr>
                <w:sz w:val="20"/>
                <w:szCs w:val="20"/>
              </w:rPr>
              <w:t>Meter Maintenance - (template 4.2 Template Default Metering)</w:t>
            </w:r>
            <w:r>
              <w:rPr>
                <w:sz w:val="20"/>
                <w:szCs w:val="20"/>
              </w:rPr>
              <w:t>, and</w:t>
            </w:r>
          </w:p>
          <w:p w14:paraId="69E5F2CF" w14:textId="77777777" w:rsidR="009F2CDD" w:rsidRPr="00A67AB0" w:rsidRDefault="009F2CDD" w:rsidP="00E169B4">
            <w:pPr>
              <w:pStyle w:val="Bullet1"/>
              <w:rPr>
                <w:sz w:val="20"/>
                <w:szCs w:val="20"/>
              </w:rPr>
            </w:pPr>
            <w:r w:rsidRPr="00E45E1F">
              <w:rPr>
                <w:sz w:val="20"/>
                <w:szCs w:val="20"/>
              </w:rPr>
              <w:t xml:space="preserve">Other Metering – Meter Reconfiguration – (template </w:t>
            </w:r>
            <w:r>
              <w:rPr>
                <w:sz w:val="20"/>
                <w:szCs w:val="20"/>
              </w:rPr>
              <w:t>4.3 Fee based services)</w:t>
            </w:r>
          </w:p>
        </w:tc>
      </w:tr>
      <w:tr w:rsidR="009F2CDD" w:rsidRPr="002056FA" w14:paraId="0376F913" w14:textId="77777777" w:rsidTr="00E169B4">
        <w:tc>
          <w:tcPr>
            <w:tcW w:w="0" w:type="auto"/>
            <w:shd w:val="clear" w:color="auto" w:fill="auto"/>
          </w:tcPr>
          <w:p w14:paraId="78104AF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15.1(e) </w:t>
            </w:r>
          </w:p>
        </w:tc>
        <w:tc>
          <w:tcPr>
            <w:tcW w:w="0" w:type="auto"/>
            <w:shd w:val="clear" w:color="auto" w:fill="auto"/>
          </w:tcPr>
          <w:p w14:paraId="2419591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other costs associated with providing </w:t>
            </w:r>
            <w:r w:rsidRPr="002056FA">
              <w:rPr>
                <w:rFonts w:eastAsia="Calibri"/>
                <w:iCs/>
                <w:color w:val="000000"/>
                <w:lang w:eastAsia="en-US"/>
              </w:rPr>
              <w:t>metering services</w:t>
            </w:r>
            <w:r w:rsidRPr="002056FA">
              <w:rPr>
                <w:rFonts w:eastAsia="Calibri"/>
                <w:color w:val="000000"/>
                <w:lang w:eastAsia="en-US"/>
              </w:rPr>
              <w:t xml:space="preserve">; </w:t>
            </w:r>
          </w:p>
        </w:tc>
        <w:tc>
          <w:tcPr>
            <w:tcW w:w="0" w:type="auto"/>
            <w:shd w:val="clear" w:color="auto" w:fill="auto"/>
          </w:tcPr>
          <w:p w14:paraId="7B7BECB8" w14:textId="77777777" w:rsidR="009F2CDD" w:rsidRPr="002056FA" w:rsidRDefault="009F2CDD" w:rsidP="00E169B4">
            <w:pPr>
              <w:pStyle w:val="TableCopy"/>
              <w:rPr>
                <w:rFonts w:eastAsia="Calibri"/>
                <w:lang w:eastAsia="en-US"/>
              </w:rPr>
            </w:pPr>
            <w:r>
              <w:rPr>
                <w:rFonts w:eastAsia="Calibri"/>
                <w:lang w:eastAsia="en-US"/>
              </w:rPr>
              <w:t>For the current period,</w:t>
            </w:r>
            <w:r w:rsidRPr="002056FA">
              <w:rPr>
                <w:rFonts w:eastAsia="Calibri"/>
                <w:lang w:eastAsia="en-US"/>
              </w:rPr>
              <w:t xml:space="preserve"> refer to </w:t>
            </w:r>
            <w:r w:rsidRPr="00A67AB0">
              <w:rPr>
                <w:rFonts w:eastAsia="Calibri"/>
                <w:lang w:eastAsia="en-US"/>
              </w:rPr>
              <w:t>‘Metering ACS Supporting Information (Reset RIN Schedule 1 s15)’</w:t>
            </w:r>
            <w:r>
              <w:rPr>
                <w:rFonts w:eastAsia="Calibri"/>
                <w:lang w:eastAsia="en-US"/>
              </w:rPr>
              <w:t xml:space="preserve"> </w:t>
            </w:r>
            <w:r w:rsidRPr="002056FA">
              <w:rPr>
                <w:rFonts w:eastAsia="Calibri"/>
                <w:lang w:eastAsia="en-US"/>
              </w:rPr>
              <w:t xml:space="preserve">- </w:t>
            </w:r>
            <w:r w:rsidRPr="00FE00B4">
              <w:rPr>
                <w:rFonts w:eastAsia="Calibri"/>
                <w:lang w:eastAsia="en-US"/>
              </w:rPr>
              <w:t>Table 3, (Attachment 17.</w:t>
            </w:r>
            <w:r>
              <w:rPr>
                <w:rFonts w:eastAsia="Calibri"/>
                <w:lang w:eastAsia="en-US"/>
              </w:rPr>
              <w:t>044</w:t>
            </w:r>
            <w:r w:rsidRPr="00FE00B4">
              <w:rPr>
                <w:rFonts w:eastAsia="Calibri"/>
                <w:lang w:eastAsia="en-US"/>
              </w:rPr>
              <w:t>)</w:t>
            </w:r>
          </w:p>
          <w:p w14:paraId="5C354A79" w14:textId="77777777" w:rsidR="009F2CDD" w:rsidRPr="002056FA" w:rsidRDefault="009F2CDD" w:rsidP="00E169B4">
            <w:pPr>
              <w:pStyle w:val="TableCopy"/>
              <w:rPr>
                <w:rFonts w:eastAsia="Calibri"/>
                <w:lang w:eastAsia="en-US"/>
              </w:rPr>
            </w:pPr>
            <w:r w:rsidRPr="002056FA">
              <w:rPr>
                <w:rFonts w:eastAsia="Calibri"/>
                <w:lang w:eastAsia="en-US"/>
              </w:rPr>
              <w:t xml:space="preserve">For the forthcoming period, Energex does not forecast any other costs. </w:t>
            </w:r>
          </w:p>
        </w:tc>
      </w:tr>
      <w:tr w:rsidR="009F2CDD" w:rsidRPr="002056FA" w14:paraId="5B583CCF" w14:textId="77777777" w:rsidTr="00E169B4">
        <w:tc>
          <w:tcPr>
            <w:tcW w:w="0" w:type="auto"/>
            <w:shd w:val="clear" w:color="auto" w:fill="auto"/>
          </w:tcPr>
          <w:p w14:paraId="063DFDB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15.1(f) </w:t>
            </w:r>
          </w:p>
        </w:tc>
        <w:tc>
          <w:tcPr>
            <w:tcW w:w="0" w:type="auto"/>
            <w:shd w:val="clear" w:color="auto" w:fill="auto"/>
          </w:tcPr>
          <w:p w14:paraId="133ADE4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type of </w:t>
            </w:r>
            <w:r w:rsidRPr="002056FA">
              <w:rPr>
                <w:rFonts w:eastAsia="Calibri"/>
                <w:iCs/>
                <w:color w:val="000000"/>
                <w:lang w:eastAsia="en-US"/>
              </w:rPr>
              <w:t xml:space="preserve">meters </w:t>
            </w:r>
            <w:r w:rsidRPr="002056FA">
              <w:rPr>
                <w:rFonts w:eastAsia="Calibri"/>
                <w:color w:val="000000"/>
                <w:lang w:eastAsia="en-US"/>
              </w:rPr>
              <w:t xml:space="preserve">installed and forecast to be installed, separately for new meters and for replacement </w:t>
            </w:r>
            <w:r w:rsidRPr="002056FA">
              <w:rPr>
                <w:rFonts w:eastAsia="Calibri"/>
                <w:iCs/>
                <w:color w:val="000000"/>
                <w:lang w:eastAsia="en-US"/>
              </w:rPr>
              <w:t>meter</w:t>
            </w:r>
            <w:r w:rsidRPr="002056FA">
              <w:rPr>
                <w:rFonts w:eastAsia="Calibri"/>
                <w:color w:val="000000"/>
                <w:lang w:eastAsia="en-US"/>
              </w:rPr>
              <w:t xml:space="preserve">s; </w:t>
            </w:r>
          </w:p>
        </w:tc>
        <w:tc>
          <w:tcPr>
            <w:tcW w:w="0" w:type="auto"/>
            <w:shd w:val="clear" w:color="auto" w:fill="auto"/>
          </w:tcPr>
          <w:p w14:paraId="546CFA64" w14:textId="77777777" w:rsidR="009F2CDD" w:rsidRPr="002056FA" w:rsidRDefault="009F2CDD" w:rsidP="00E169B4">
            <w:pPr>
              <w:pStyle w:val="TableCopy"/>
              <w:rPr>
                <w:rFonts w:eastAsia="Calibri"/>
                <w:lang w:eastAsia="en-US"/>
              </w:rPr>
            </w:pPr>
            <w:r>
              <w:rPr>
                <w:rFonts w:eastAsia="Calibri"/>
                <w:lang w:eastAsia="en-US"/>
              </w:rPr>
              <w:t xml:space="preserve">For the current period, </w:t>
            </w:r>
            <w:r w:rsidRPr="002056FA">
              <w:rPr>
                <w:rFonts w:eastAsia="Calibri"/>
                <w:lang w:eastAsia="en-US"/>
              </w:rPr>
              <w:t xml:space="preserve">refer to </w:t>
            </w:r>
            <w:r w:rsidRPr="00A67AB0">
              <w:rPr>
                <w:rFonts w:eastAsia="Calibri"/>
                <w:lang w:eastAsia="en-US"/>
              </w:rPr>
              <w:t>‘Metering ACS Supporting Information (Reset RIN Schedule 1 s15</w:t>
            </w:r>
            <w:r w:rsidRPr="00FE00B4">
              <w:rPr>
                <w:rFonts w:eastAsia="Calibri"/>
                <w:lang w:eastAsia="en-US"/>
              </w:rPr>
              <w:t>)’ (Attachment 17.0</w:t>
            </w:r>
            <w:r>
              <w:rPr>
                <w:rFonts w:eastAsia="Calibri"/>
                <w:lang w:eastAsia="en-US"/>
              </w:rPr>
              <w:t>44</w:t>
            </w:r>
            <w:r w:rsidRPr="00FE00B4">
              <w:rPr>
                <w:rFonts w:eastAsia="Calibri"/>
                <w:lang w:eastAsia="en-US"/>
              </w:rPr>
              <w:t>).</w:t>
            </w:r>
            <w:r w:rsidRPr="002056FA">
              <w:rPr>
                <w:rFonts w:eastAsia="Calibri"/>
                <w:lang w:eastAsia="en-US"/>
              </w:rPr>
              <w:t xml:space="preserve"> </w:t>
            </w:r>
          </w:p>
          <w:p w14:paraId="73CEB08E" w14:textId="77777777" w:rsidR="009F2CDD" w:rsidRPr="002056FA" w:rsidRDefault="009F2CDD" w:rsidP="00E169B4">
            <w:pPr>
              <w:pStyle w:val="TableCopy"/>
              <w:rPr>
                <w:rFonts w:eastAsia="Calibri"/>
                <w:lang w:eastAsia="en-US"/>
              </w:rPr>
            </w:pPr>
            <w:r>
              <w:rPr>
                <w:rFonts w:eastAsia="Calibri"/>
                <w:lang w:eastAsia="en-US"/>
              </w:rPr>
              <w:t>Please n</w:t>
            </w:r>
            <w:r w:rsidRPr="002056FA">
              <w:rPr>
                <w:rFonts w:eastAsia="Calibri"/>
                <w:lang w:eastAsia="en-US"/>
              </w:rPr>
              <w:t>ote that Energex will no longer install any new or replacement meters for Types 1-6 metering installations due to Power of Choice (PoC) reform</w:t>
            </w:r>
            <w:r>
              <w:rPr>
                <w:rFonts w:eastAsia="Calibri"/>
                <w:lang w:eastAsia="en-US"/>
              </w:rPr>
              <w:t>s that came into effect from</w:t>
            </w:r>
            <w:r w:rsidRPr="002056FA">
              <w:rPr>
                <w:rFonts w:eastAsia="Calibri"/>
                <w:lang w:eastAsia="en-US"/>
              </w:rPr>
              <w:t xml:space="preserve"> 1 December 2017.</w:t>
            </w:r>
          </w:p>
        </w:tc>
      </w:tr>
      <w:tr w:rsidR="009F2CDD" w:rsidRPr="002056FA" w14:paraId="7FF16B21" w14:textId="77777777" w:rsidTr="00E169B4">
        <w:tc>
          <w:tcPr>
            <w:tcW w:w="0" w:type="auto"/>
            <w:shd w:val="clear" w:color="auto" w:fill="auto"/>
          </w:tcPr>
          <w:p w14:paraId="6321A98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15.1(g) </w:t>
            </w:r>
          </w:p>
        </w:tc>
        <w:tc>
          <w:tcPr>
            <w:tcW w:w="0" w:type="auto"/>
            <w:shd w:val="clear" w:color="auto" w:fill="auto"/>
          </w:tcPr>
          <w:p w14:paraId="1D71F2E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volume of </w:t>
            </w:r>
            <w:r w:rsidRPr="002056FA">
              <w:rPr>
                <w:rFonts w:eastAsia="Calibri"/>
                <w:iCs/>
                <w:color w:val="000000"/>
                <w:lang w:eastAsia="en-US"/>
              </w:rPr>
              <w:t xml:space="preserve">meters </w:t>
            </w:r>
            <w:r w:rsidRPr="002056FA">
              <w:rPr>
                <w:rFonts w:eastAsia="Calibri"/>
                <w:color w:val="000000"/>
                <w:lang w:eastAsia="en-US"/>
              </w:rPr>
              <w:t xml:space="preserve">by type set out in (f) and the revenue earned and forecast to be earned by each </w:t>
            </w:r>
            <w:r w:rsidRPr="002056FA">
              <w:rPr>
                <w:rFonts w:eastAsia="Calibri"/>
                <w:iCs/>
                <w:color w:val="000000"/>
                <w:lang w:eastAsia="en-US"/>
              </w:rPr>
              <w:t xml:space="preserve">meter </w:t>
            </w:r>
            <w:r w:rsidRPr="002056FA">
              <w:rPr>
                <w:rFonts w:eastAsia="Calibri"/>
                <w:color w:val="000000"/>
                <w:lang w:eastAsia="en-US"/>
              </w:rPr>
              <w:t xml:space="preserve">type; and </w:t>
            </w:r>
          </w:p>
        </w:tc>
        <w:tc>
          <w:tcPr>
            <w:tcW w:w="0" w:type="auto"/>
            <w:shd w:val="clear" w:color="auto" w:fill="auto"/>
          </w:tcPr>
          <w:p w14:paraId="377FF3EA" w14:textId="77777777" w:rsidR="009F2CDD" w:rsidRPr="00E45E1F" w:rsidRDefault="009F2CDD" w:rsidP="00E169B4">
            <w:pPr>
              <w:autoSpaceDE w:val="0"/>
              <w:autoSpaceDN w:val="0"/>
              <w:adjustRightInd w:val="0"/>
              <w:spacing w:before="0" w:after="120" w:line="240" w:lineRule="auto"/>
              <w:ind w:left="0"/>
              <w:rPr>
                <w:rFonts w:eastAsia="Calibri"/>
                <w:szCs w:val="20"/>
                <w:lang w:eastAsia="en-US"/>
              </w:rPr>
            </w:pPr>
            <w:r w:rsidRPr="00E45E1F">
              <w:rPr>
                <w:rFonts w:eastAsia="Calibri"/>
                <w:szCs w:val="20"/>
                <w:lang w:eastAsia="en-US"/>
              </w:rPr>
              <w:t>For the</w:t>
            </w:r>
            <w:r>
              <w:rPr>
                <w:rFonts w:eastAsia="Calibri"/>
                <w:szCs w:val="20"/>
                <w:lang w:eastAsia="en-US"/>
              </w:rPr>
              <w:t xml:space="preserve"> current period volumes, refer to </w:t>
            </w:r>
            <w:r w:rsidRPr="00A67AB0">
              <w:rPr>
                <w:rFonts w:eastAsia="Calibri"/>
                <w:szCs w:val="20"/>
                <w:lang w:eastAsia="en-US"/>
              </w:rPr>
              <w:t>‘Metering ACS Supporting Information (Reset RIN Schedule 1 s15)</w:t>
            </w:r>
            <w:r w:rsidRPr="00FE00B4">
              <w:rPr>
                <w:rFonts w:eastAsia="Calibri"/>
                <w:szCs w:val="20"/>
                <w:lang w:eastAsia="en-US"/>
              </w:rPr>
              <w:t>’document (Attachment 17.</w:t>
            </w:r>
            <w:r>
              <w:rPr>
                <w:rFonts w:eastAsia="Calibri"/>
                <w:szCs w:val="20"/>
                <w:lang w:eastAsia="en-US"/>
              </w:rPr>
              <w:t>044</w:t>
            </w:r>
            <w:r w:rsidRPr="00FE00B4">
              <w:rPr>
                <w:rFonts w:eastAsia="Calibri"/>
                <w:szCs w:val="20"/>
                <w:lang w:eastAsia="en-US"/>
              </w:rPr>
              <w:t>).</w:t>
            </w:r>
          </w:p>
          <w:p w14:paraId="42BD1EBE" w14:textId="77777777" w:rsidR="009F2CDD" w:rsidRPr="00E45E1F" w:rsidRDefault="009F2CDD" w:rsidP="00E169B4">
            <w:pPr>
              <w:autoSpaceDE w:val="0"/>
              <w:autoSpaceDN w:val="0"/>
              <w:adjustRightInd w:val="0"/>
              <w:spacing w:before="0" w:after="120" w:line="240" w:lineRule="auto"/>
              <w:ind w:left="0"/>
              <w:rPr>
                <w:rFonts w:eastAsia="Calibri"/>
                <w:szCs w:val="20"/>
                <w:lang w:eastAsia="en-US"/>
              </w:rPr>
            </w:pPr>
            <w:r w:rsidRPr="00E45E1F">
              <w:rPr>
                <w:rFonts w:eastAsia="Calibri"/>
                <w:szCs w:val="20"/>
                <w:lang w:eastAsia="en-US"/>
              </w:rPr>
              <w:t>For the forthcoming period volumes, please note that Energex will no longer install any new or replacement meters for Types 1-6 metering installations due to PoC reform</w:t>
            </w:r>
            <w:r>
              <w:rPr>
                <w:rFonts w:eastAsia="Calibri"/>
                <w:szCs w:val="20"/>
                <w:lang w:eastAsia="en-US"/>
              </w:rPr>
              <w:t>s that came into effect from 1</w:t>
            </w:r>
            <w:r w:rsidRPr="00E45E1F">
              <w:rPr>
                <w:rFonts w:eastAsia="Calibri"/>
                <w:szCs w:val="20"/>
                <w:lang w:eastAsia="en-US"/>
              </w:rPr>
              <w:t xml:space="preserve"> December 2017.</w:t>
            </w:r>
          </w:p>
          <w:p w14:paraId="6C51247B" w14:textId="77777777" w:rsidR="009F2CDD" w:rsidRPr="00E45E1F" w:rsidRDefault="009F2CDD" w:rsidP="00E169B4">
            <w:pPr>
              <w:autoSpaceDE w:val="0"/>
              <w:autoSpaceDN w:val="0"/>
              <w:adjustRightInd w:val="0"/>
              <w:spacing w:before="0" w:after="120" w:line="276" w:lineRule="auto"/>
              <w:ind w:left="0"/>
              <w:rPr>
                <w:rFonts w:eastAsia="Calibri"/>
                <w:szCs w:val="20"/>
                <w:lang w:eastAsia="en-US"/>
              </w:rPr>
            </w:pPr>
            <w:r w:rsidRPr="00E45E1F">
              <w:rPr>
                <w:rFonts w:eastAsia="Calibri"/>
                <w:szCs w:val="20"/>
                <w:lang w:eastAsia="en-US"/>
              </w:rPr>
              <w:t xml:space="preserve">For the current and forthcoming </w:t>
            </w:r>
            <w:r>
              <w:rPr>
                <w:rFonts w:eastAsia="Calibri"/>
                <w:szCs w:val="20"/>
                <w:lang w:eastAsia="en-US"/>
              </w:rPr>
              <w:t xml:space="preserve">regulatory </w:t>
            </w:r>
            <w:r w:rsidRPr="00E45E1F">
              <w:rPr>
                <w:rFonts w:eastAsia="Calibri"/>
                <w:szCs w:val="20"/>
                <w:lang w:eastAsia="en-US"/>
              </w:rPr>
              <w:t>period revenue</w:t>
            </w:r>
            <w:r>
              <w:rPr>
                <w:rFonts w:eastAsia="Calibri"/>
                <w:szCs w:val="20"/>
                <w:lang w:eastAsia="en-US"/>
              </w:rPr>
              <w:t xml:space="preserve"> refer to response 13.5 </w:t>
            </w:r>
            <w:r w:rsidRPr="00E45E1F">
              <w:rPr>
                <w:rFonts w:eastAsia="Calibri"/>
                <w:szCs w:val="20"/>
                <w:lang w:eastAsia="en-US"/>
              </w:rPr>
              <w:t xml:space="preserve">, </w:t>
            </w:r>
          </w:p>
        </w:tc>
      </w:tr>
      <w:tr w:rsidR="009F2CDD" w:rsidRPr="002056FA" w14:paraId="1D8E64A6" w14:textId="77777777" w:rsidTr="00E169B4">
        <w:tc>
          <w:tcPr>
            <w:tcW w:w="0" w:type="auto"/>
            <w:tcBorders>
              <w:bottom w:val="single" w:sz="4" w:space="0" w:color="auto"/>
            </w:tcBorders>
            <w:shd w:val="clear" w:color="auto" w:fill="auto"/>
          </w:tcPr>
          <w:p w14:paraId="6BA7D94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15.1(h) </w:t>
            </w:r>
          </w:p>
        </w:tc>
        <w:tc>
          <w:tcPr>
            <w:tcW w:w="0" w:type="auto"/>
            <w:tcBorders>
              <w:bottom w:val="single" w:sz="4" w:space="0" w:color="auto"/>
            </w:tcBorders>
            <w:shd w:val="clear" w:color="auto" w:fill="auto"/>
          </w:tcPr>
          <w:p w14:paraId="2147889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total operating and </w:t>
            </w:r>
            <w:r w:rsidRPr="002056FA">
              <w:rPr>
                <w:rFonts w:eastAsia="Calibri"/>
                <w:iCs/>
                <w:color w:val="000000"/>
                <w:lang w:eastAsia="en-US"/>
              </w:rPr>
              <w:t xml:space="preserve">maintenance </w:t>
            </w:r>
            <w:r w:rsidRPr="002056FA">
              <w:rPr>
                <w:rFonts w:eastAsia="Calibri"/>
                <w:color w:val="000000"/>
                <w:lang w:eastAsia="en-US"/>
              </w:rPr>
              <w:t xml:space="preserve">costs incurred, and forecast to be incurred, for </w:t>
            </w:r>
            <w:r w:rsidRPr="002056FA">
              <w:rPr>
                <w:rFonts w:eastAsia="Calibri"/>
                <w:iCs/>
                <w:color w:val="000000"/>
                <w:lang w:eastAsia="en-US"/>
              </w:rPr>
              <w:t>metering services</w:t>
            </w:r>
            <w:r w:rsidRPr="002056FA">
              <w:rPr>
                <w:rFonts w:eastAsia="Calibri"/>
                <w:color w:val="000000"/>
                <w:lang w:eastAsia="en-US"/>
              </w:rPr>
              <w:t xml:space="preserve">. </w:t>
            </w:r>
          </w:p>
        </w:tc>
        <w:tc>
          <w:tcPr>
            <w:tcW w:w="0" w:type="auto"/>
            <w:tcBorders>
              <w:bottom w:val="single" w:sz="4" w:space="0" w:color="auto"/>
            </w:tcBorders>
            <w:shd w:val="clear" w:color="auto" w:fill="auto"/>
          </w:tcPr>
          <w:p w14:paraId="504F857C" w14:textId="77777777" w:rsidR="009F2CDD" w:rsidRPr="002056FA" w:rsidRDefault="009F2CDD" w:rsidP="00E169B4">
            <w:pPr>
              <w:pStyle w:val="TableCopy"/>
              <w:rPr>
                <w:rFonts w:eastAsia="Calibri"/>
                <w:lang w:eastAsia="en-US"/>
              </w:rPr>
            </w:pPr>
            <w:r w:rsidRPr="002056FA">
              <w:rPr>
                <w:rFonts w:eastAsia="Calibri"/>
                <w:lang w:eastAsia="en-US"/>
              </w:rPr>
              <w:t xml:space="preserve">For the current period, please refer </w:t>
            </w:r>
            <w:r w:rsidRPr="002C67EC">
              <w:rPr>
                <w:rFonts w:eastAsia="Calibri"/>
                <w:lang w:eastAsia="en-US"/>
              </w:rPr>
              <w:t>‘Metering ACS Supporting Informa</w:t>
            </w:r>
            <w:r>
              <w:rPr>
                <w:rFonts w:eastAsia="Calibri"/>
                <w:lang w:eastAsia="en-US"/>
              </w:rPr>
              <w:t xml:space="preserve">tion (Reset RIN Schedule 1 s15)’ </w:t>
            </w:r>
            <w:r w:rsidRPr="00FE00B4">
              <w:rPr>
                <w:rFonts w:eastAsia="Calibri"/>
                <w:lang w:eastAsia="en-US"/>
              </w:rPr>
              <w:t>document (Attachment 17.</w:t>
            </w:r>
            <w:r>
              <w:rPr>
                <w:rFonts w:eastAsia="Calibri"/>
                <w:lang w:eastAsia="en-US"/>
              </w:rPr>
              <w:t>044</w:t>
            </w:r>
            <w:r w:rsidRPr="00FE00B4">
              <w:rPr>
                <w:rFonts w:eastAsia="Calibri"/>
                <w:lang w:eastAsia="en-US"/>
              </w:rPr>
              <w:t>).</w:t>
            </w:r>
            <w:r w:rsidRPr="002056FA">
              <w:rPr>
                <w:rFonts w:eastAsia="Calibri"/>
                <w:lang w:eastAsia="en-US"/>
              </w:rPr>
              <w:t xml:space="preserve"> </w:t>
            </w:r>
          </w:p>
          <w:p w14:paraId="15C0B938" w14:textId="77777777" w:rsidR="009F2CDD" w:rsidRPr="002056FA" w:rsidRDefault="009F2CDD" w:rsidP="00E169B4">
            <w:pPr>
              <w:pStyle w:val="TableCopy"/>
              <w:rPr>
                <w:rFonts w:eastAsia="Calibri"/>
                <w:lang w:eastAsia="en-US"/>
              </w:rPr>
            </w:pPr>
            <w:r w:rsidRPr="002056FA">
              <w:rPr>
                <w:rFonts w:eastAsia="Calibri"/>
                <w:lang w:eastAsia="en-US"/>
              </w:rPr>
              <w:t>For the forthcoming period please refer</w:t>
            </w:r>
            <w:r>
              <w:rPr>
                <w:rFonts w:eastAsia="Calibri"/>
                <w:lang w:eastAsia="en-US"/>
              </w:rPr>
              <w:t xml:space="preserve"> to Table 5 – Forecast Opex in our document, Alternative Control Services</w:t>
            </w:r>
            <w:r w:rsidRPr="002056FA">
              <w:rPr>
                <w:rFonts w:eastAsia="Calibri"/>
                <w:lang w:eastAsia="en-US"/>
              </w:rPr>
              <w:t xml:space="preserve"> </w:t>
            </w:r>
            <w:r w:rsidRPr="00FE00B4">
              <w:rPr>
                <w:rFonts w:eastAsia="Calibri"/>
                <w:lang w:eastAsia="en-US"/>
              </w:rPr>
              <w:t xml:space="preserve">(Attachment </w:t>
            </w:r>
            <w:r>
              <w:rPr>
                <w:rFonts w:eastAsia="Calibri"/>
                <w:lang w:eastAsia="en-US"/>
              </w:rPr>
              <w:t>15.005</w:t>
            </w:r>
            <w:r w:rsidRPr="00FE00B4">
              <w:rPr>
                <w:rFonts w:eastAsia="Calibri"/>
                <w:lang w:eastAsia="en-US"/>
              </w:rPr>
              <w:t>).</w:t>
            </w:r>
          </w:p>
        </w:tc>
      </w:tr>
      <w:tr w:rsidR="009F2CDD" w:rsidRPr="002056FA" w14:paraId="7177EB6D" w14:textId="77777777" w:rsidTr="00E169B4">
        <w:tc>
          <w:tcPr>
            <w:tcW w:w="0" w:type="auto"/>
            <w:shd w:val="clear" w:color="auto" w:fill="D0CECE" w:themeFill="background2" w:themeFillShade="E6"/>
          </w:tcPr>
          <w:p w14:paraId="7AB7FCD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15.2</w:t>
            </w:r>
          </w:p>
        </w:tc>
        <w:tc>
          <w:tcPr>
            <w:tcW w:w="0" w:type="auto"/>
            <w:shd w:val="clear" w:color="auto" w:fill="D0CECE" w:themeFill="background2" w:themeFillShade="E6"/>
          </w:tcPr>
          <w:p w14:paraId="7F6B70F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metering works, for each year of the current regulatory control period and forecasts for the forthcoming regulatory control period, provide a description of:</w:t>
            </w:r>
          </w:p>
        </w:tc>
        <w:tc>
          <w:tcPr>
            <w:tcW w:w="0" w:type="auto"/>
            <w:shd w:val="clear" w:color="auto" w:fill="D0CECE" w:themeFill="background2" w:themeFillShade="E6"/>
          </w:tcPr>
          <w:p w14:paraId="57DA6C41" w14:textId="77777777" w:rsidR="009F2CDD" w:rsidRPr="002056FA" w:rsidRDefault="009F2CDD" w:rsidP="00E169B4">
            <w:pPr>
              <w:pStyle w:val="TableCopy"/>
              <w:rPr>
                <w:rFonts w:eastAsia="Calibri"/>
                <w:color w:val="365F91"/>
                <w:lang w:eastAsia="en-US"/>
              </w:rPr>
            </w:pPr>
          </w:p>
        </w:tc>
      </w:tr>
      <w:tr w:rsidR="009F2CDD" w:rsidRPr="002056FA" w14:paraId="580E104C" w14:textId="77777777" w:rsidTr="00E169B4">
        <w:tc>
          <w:tcPr>
            <w:tcW w:w="0" w:type="auto"/>
            <w:shd w:val="clear" w:color="auto" w:fill="auto"/>
          </w:tcPr>
          <w:p w14:paraId="208FB16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15.2(a) </w:t>
            </w:r>
          </w:p>
        </w:tc>
        <w:tc>
          <w:tcPr>
            <w:tcW w:w="0" w:type="auto"/>
            <w:shd w:val="clear" w:color="auto" w:fill="auto"/>
          </w:tcPr>
          <w:p w14:paraId="4396941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type of work undertaken (e.g. </w:t>
            </w:r>
            <w:r w:rsidRPr="002056FA">
              <w:rPr>
                <w:rFonts w:eastAsia="Calibri"/>
                <w:iCs/>
                <w:color w:val="000000"/>
                <w:lang w:eastAsia="en-US"/>
              </w:rPr>
              <w:t xml:space="preserve">meter </w:t>
            </w:r>
            <w:r w:rsidRPr="002056FA">
              <w:rPr>
                <w:rFonts w:eastAsia="Calibri"/>
                <w:color w:val="000000"/>
                <w:lang w:eastAsia="en-US"/>
              </w:rPr>
              <w:t xml:space="preserve">reconfiguration, </w:t>
            </w:r>
            <w:r w:rsidRPr="002056FA">
              <w:rPr>
                <w:rFonts w:eastAsia="Calibri"/>
                <w:iCs/>
                <w:color w:val="000000"/>
                <w:lang w:eastAsia="en-US"/>
              </w:rPr>
              <w:t>special meter read</w:t>
            </w:r>
            <w:r w:rsidRPr="002056FA">
              <w:rPr>
                <w:rFonts w:eastAsia="Calibri"/>
                <w:color w:val="000000"/>
                <w:lang w:eastAsia="en-US"/>
              </w:rPr>
              <w:t xml:space="preserve">) including a description of the activities undertaken to provide the service; </w:t>
            </w:r>
          </w:p>
        </w:tc>
        <w:tc>
          <w:tcPr>
            <w:tcW w:w="0" w:type="auto"/>
            <w:shd w:val="clear" w:color="auto" w:fill="auto"/>
          </w:tcPr>
          <w:p w14:paraId="02BCFD7F" w14:textId="77777777" w:rsidR="009F2CDD" w:rsidRPr="002056FA" w:rsidRDefault="009F2CDD" w:rsidP="00E169B4">
            <w:pPr>
              <w:pStyle w:val="TableCopy"/>
              <w:rPr>
                <w:rFonts w:eastAsia="Calibri"/>
                <w:lang w:eastAsia="en-US"/>
              </w:rPr>
            </w:pPr>
            <w:r w:rsidRPr="002056FA">
              <w:rPr>
                <w:rFonts w:eastAsia="Calibri"/>
                <w:lang w:eastAsia="en-US"/>
              </w:rPr>
              <w:t xml:space="preserve">The activities for the current and forthcoming </w:t>
            </w:r>
            <w:r>
              <w:rPr>
                <w:rFonts w:eastAsia="Calibri"/>
                <w:lang w:eastAsia="en-US"/>
              </w:rPr>
              <w:t xml:space="preserve">regulatory control </w:t>
            </w:r>
            <w:r w:rsidRPr="002056FA">
              <w:rPr>
                <w:rFonts w:eastAsia="Calibri"/>
                <w:lang w:eastAsia="en-US"/>
              </w:rPr>
              <w:t>periods are of a similar nature and include the following:</w:t>
            </w:r>
          </w:p>
          <w:p w14:paraId="2755A643" w14:textId="77777777" w:rsidR="009F2CDD" w:rsidRPr="002056FA" w:rsidRDefault="009F2CDD" w:rsidP="00E169B4">
            <w:pPr>
              <w:pStyle w:val="Bullet1"/>
              <w:rPr>
                <w:sz w:val="20"/>
                <w:szCs w:val="20"/>
              </w:rPr>
            </w:pPr>
            <w:r w:rsidRPr="002056FA">
              <w:rPr>
                <w:sz w:val="20"/>
                <w:szCs w:val="20"/>
              </w:rPr>
              <w:t>Meter Purchases – the purchasing of meters and communications devices (such as modems and antennas) that meet the specifications required to provide a compliant metering service</w:t>
            </w:r>
          </w:p>
          <w:p w14:paraId="1BD829DE" w14:textId="77777777" w:rsidR="009F2CDD" w:rsidRPr="002056FA" w:rsidRDefault="009F2CDD" w:rsidP="00E169B4">
            <w:pPr>
              <w:pStyle w:val="Bullet1"/>
              <w:rPr>
                <w:sz w:val="20"/>
                <w:szCs w:val="20"/>
              </w:rPr>
            </w:pPr>
            <w:r w:rsidRPr="002056FA">
              <w:rPr>
                <w:sz w:val="20"/>
                <w:szCs w:val="20"/>
              </w:rPr>
              <w:t>Meter Testing – the testing of in-service meters and metering installations to confirm the metering installations accuracy and compliance</w:t>
            </w:r>
          </w:p>
          <w:p w14:paraId="4ECAE5BE" w14:textId="77777777" w:rsidR="009F2CDD" w:rsidRPr="002056FA" w:rsidRDefault="009F2CDD" w:rsidP="00E169B4">
            <w:pPr>
              <w:pStyle w:val="Bullet1"/>
              <w:rPr>
                <w:sz w:val="20"/>
                <w:szCs w:val="20"/>
              </w:rPr>
            </w:pPr>
            <w:r w:rsidRPr="002056FA">
              <w:rPr>
                <w:sz w:val="20"/>
                <w:szCs w:val="20"/>
              </w:rPr>
              <w:t>Meter Investigation – the investigation of in-service meters and metering installations to ensure metering installation accuracy and compliance</w:t>
            </w:r>
          </w:p>
          <w:p w14:paraId="58DC776C" w14:textId="77777777" w:rsidR="009F2CDD" w:rsidRPr="002056FA" w:rsidRDefault="009F2CDD" w:rsidP="00E169B4">
            <w:pPr>
              <w:pStyle w:val="Bullet1"/>
              <w:rPr>
                <w:sz w:val="20"/>
                <w:szCs w:val="20"/>
              </w:rPr>
            </w:pPr>
            <w:r w:rsidRPr="002056FA">
              <w:rPr>
                <w:sz w:val="20"/>
                <w:szCs w:val="20"/>
              </w:rPr>
              <w:t>Scheduled Meter Reading – the scheduled reading of meters for accurate customer billing data</w:t>
            </w:r>
          </w:p>
          <w:p w14:paraId="1CDE5C6D" w14:textId="77777777" w:rsidR="009F2CDD" w:rsidRPr="002056FA" w:rsidRDefault="009F2CDD" w:rsidP="00E169B4">
            <w:pPr>
              <w:pStyle w:val="Bullet1"/>
              <w:rPr>
                <w:sz w:val="20"/>
                <w:szCs w:val="20"/>
              </w:rPr>
            </w:pPr>
            <w:r w:rsidRPr="002056FA">
              <w:rPr>
                <w:sz w:val="20"/>
                <w:szCs w:val="20"/>
              </w:rPr>
              <w:t>Special Meter Reading – the out of cycle reading of meter to support a customer billing or consumption request</w:t>
            </w:r>
          </w:p>
          <w:p w14:paraId="198C948C" w14:textId="77777777" w:rsidR="009F2CDD" w:rsidRPr="002056FA" w:rsidRDefault="009F2CDD" w:rsidP="00E169B4">
            <w:pPr>
              <w:pStyle w:val="Bullet1"/>
              <w:rPr>
                <w:sz w:val="20"/>
                <w:szCs w:val="20"/>
              </w:rPr>
            </w:pPr>
            <w:r w:rsidRPr="002056FA">
              <w:rPr>
                <w:sz w:val="20"/>
                <w:szCs w:val="20"/>
              </w:rPr>
              <w:t xml:space="preserve">New Meter Installation – This involves the installation of a purchased meter in the premise of a customer. The nature of this activity can vary with the type of installation and metering requirement </w:t>
            </w:r>
          </w:p>
          <w:p w14:paraId="412B7542" w14:textId="77777777" w:rsidR="009F2CDD" w:rsidRPr="002056FA" w:rsidRDefault="009F2CDD" w:rsidP="00E169B4">
            <w:pPr>
              <w:pStyle w:val="Bullet1"/>
              <w:rPr>
                <w:sz w:val="20"/>
                <w:szCs w:val="20"/>
              </w:rPr>
            </w:pPr>
            <w:r w:rsidRPr="002056FA">
              <w:rPr>
                <w:sz w:val="20"/>
                <w:szCs w:val="20"/>
              </w:rPr>
              <w:t>Meter Replacement – The replacement of an existing meter installed in the premise of a customer that has been identified as end of useful life</w:t>
            </w:r>
          </w:p>
          <w:p w14:paraId="3B3E39DF" w14:textId="77777777" w:rsidR="009F2CDD" w:rsidRPr="002056FA" w:rsidRDefault="009F2CDD" w:rsidP="00E169B4">
            <w:pPr>
              <w:pStyle w:val="Bullet1"/>
              <w:rPr>
                <w:sz w:val="20"/>
                <w:szCs w:val="20"/>
              </w:rPr>
            </w:pPr>
            <w:r w:rsidRPr="002056FA">
              <w:rPr>
                <w:sz w:val="20"/>
                <w:szCs w:val="20"/>
              </w:rPr>
              <w:t>Meter Maintenance – the preventative or corrective maintenance of a meter or metering installation. The nature of this activity can vary depending on the type of installation and metering requirement</w:t>
            </w:r>
            <w:r>
              <w:rPr>
                <w:sz w:val="20"/>
                <w:szCs w:val="20"/>
              </w:rPr>
              <w:t>, and</w:t>
            </w:r>
          </w:p>
          <w:p w14:paraId="5D3EF222" w14:textId="77777777" w:rsidR="009F2CDD" w:rsidRPr="002056FA" w:rsidRDefault="009F2CDD" w:rsidP="00E169B4">
            <w:pPr>
              <w:pStyle w:val="Bullet1"/>
              <w:rPr>
                <w:sz w:val="20"/>
                <w:szCs w:val="20"/>
              </w:rPr>
            </w:pPr>
            <w:r w:rsidRPr="002056FA">
              <w:rPr>
                <w:sz w:val="20"/>
                <w:szCs w:val="20"/>
              </w:rPr>
              <w:t>Other Metering – All activities not captured by the defined meter services categories including those activities relating to type 7 meters</w:t>
            </w:r>
          </w:p>
          <w:p w14:paraId="52DBDF30" w14:textId="77777777" w:rsidR="009F2CDD" w:rsidRPr="002056FA" w:rsidRDefault="009F2CDD" w:rsidP="00E169B4">
            <w:pPr>
              <w:pStyle w:val="TableCopy"/>
              <w:rPr>
                <w:rFonts w:eastAsia="Calibri"/>
                <w:lang w:eastAsia="en-US"/>
              </w:rPr>
            </w:pPr>
            <w:r w:rsidRPr="002056FA">
              <w:rPr>
                <w:rFonts w:eastAsia="Calibri"/>
                <w:lang w:eastAsia="en-US"/>
              </w:rPr>
              <w:t xml:space="preserve">Note that the service types New Meter Installations and Meter Replacement will not be required for the forthcoming periods as Energex </w:t>
            </w:r>
            <w:r>
              <w:rPr>
                <w:rFonts w:eastAsia="Calibri"/>
                <w:lang w:eastAsia="en-US"/>
              </w:rPr>
              <w:t>is</w:t>
            </w:r>
            <w:r w:rsidRPr="002056FA">
              <w:rPr>
                <w:rFonts w:eastAsia="Calibri"/>
                <w:lang w:eastAsia="en-US"/>
              </w:rPr>
              <w:t xml:space="preserve"> no longer required to install new or replacement meters for Types 1-6 metering installations as part of the PoC reforms that took e</w:t>
            </w:r>
            <w:r>
              <w:rPr>
                <w:rFonts w:eastAsia="Calibri"/>
                <w:lang w:eastAsia="en-US"/>
              </w:rPr>
              <w:t>ffect on 1</w:t>
            </w:r>
            <w:r w:rsidRPr="002056FA">
              <w:rPr>
                <w:rFonts w:eastAsia="Calibri"/>
                <w:lang w:eastAsia="en-US"/>
              </w:rPr>
              <w:t xml:space="preserve"> December 2017.</w:t>
            </w:r>
          </w:p>
        </w:tc>
      </w:tr>
      <w:tr w:rsidR="009F2CDD" w:rsidRPr="002056FA" w14:paraId="72E33E9F" w14:textId="77777777" w:rsidTr="00E169B4">
        <w:tc>
          <w:tcPr>
            <w:tcW w:w="0" w:type="auto"/>
            <w:shd w:val="clear" w:color="auto" w:fill="auto"/>
          </w:tcPr>
          <w:p w14:paraId="2E9427F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15.2(b) </w:t>
            </w:r>
          </w:p>
        </w:tc>
        <w:tc>
          <w:tcPr>
            <w:tcW w:w="0" w:type="auto"/>
            <w:shd w:val="clear" w:color="auto" w:fill="auto"/>
          </w:tcPr>
          <w:p w14:paraId="04CE58A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w:t>
            </w:r>
            <w:r w:rsidRPr="002056FA">
              <w:rPr>
                <w:rFonts w:eastAsia="Calibri"/>
                <w:iCs/>
                <w:color w:val="000000"/>
                <w:lang w:eastAsia="en-US"/>
              </w:rPr>
              <w:t xml:space="preserve">labour costs </w:t>
            </w:r>
            <w:r w:rsidRPr="002056FA">
              <w:rPr>
                <w:rFonts w:eastAsia="Calibri"/>
                <w:color w:val="000000"/>
                <w:lang w:eastAsia="en-US"/>
              </w:rPr>
              <w:t xml:space="preserve">involved in providing the service, including any </w:t>
            </w:r>
            <w:r w:rsidRPr="002056FA">
              <w:rPr>
                <w:rFonts w:eastAsia="Calibri"/>
                <w:iCs/>
                <w:color w:val="000000"/>
                <w:lang w:eastAsia="en-US"/>
              </w:rPr>
              <w:t>overheads</w:t>
            </w:r>
            <w:r w:rsidRPr="002056FA">
              <w:rPr>
                <w:rFonts w:eastAsia="Calibri"/>
                <w:color w:val="000000"/>
                <w:lang w:eastAsia="en-US"/>
              </w:rPr>
              <w:t xml:space="preserve">; </w:t>
            </w:r>
          </w:p>
        </w:tc>
        <w:tc>
          <w:tcPr>
            <w:tcW w:w="0" w:type="auto"/>
            <w:shd w:val="clear" w:color="auto" w:fill="auto"/>
          </w:tcPr>
          <w:p w14:paraId="7B2C7075" w14:textId="77777777" w:rsidR="009F2CDD" w:rsidRPr="002056FA" w:rsidRDefault="009F2CDD" w:rsidP="00E169B4">
            <w:pPr>
              <w:pStyle w:val="TableCopy"/>
              <w:rPr>
                <w:rFonts w:eastAsia="Calibri"/>
                <w:color w:val="365F91"/>
                <w:lang w:eastAsia="en-US"/>
              </w:rPr>
            </w:pPr>
            <w:r w:rsidRPr="002056FA">
              <w:rPr>
                <w:rFonts w:eastAsia="Calibri"/>
                <w:lang w:eastAsia="en-US"/>
              </w:rPr>
              <w:t xml:space="preserve">The labour costs relate to meter testing, investigation, scheduled and special reading (excluding the data communication costs), replacement and maintenance as well as administration and training associated with these services. We also allocate overheads to metering services in accordance with the </w:t>
            </w:r>
            <w:r>
              <w:rPr>
                <w:rFonts w:eastAsia="Calibri"/>
                <w:lang w:eastAsia="en-US"/>
              </w:rPr>
              <w:t>CAM</w:t>
            </w:r>
            <w:r w:rsidRPr="002056FA">
              <w:rPr>
                <w:rFonts w:eastAsia="Calibri"/>
                <w:lang w:eastAsia="en-US"/>
              </w:rPr>
              <w:t>, and some of this may relate to labour hours. This would include labour costs for administration and training, together with the labour costs of Information and Communication Technology. It should be noted that some of the labour costs relate to external providers.</w:t>
            </w:r>
          </w:p>
        </w:tc>
      </w:tr>
      <w:tr w:rsidR="009F2CDD" w:rsidRPr="002056FA" w14:paraId="4147EDEA" w14:textId="77777777" w:rsidTr="00E169B4">
        <w:tc>
          <w:tcPr>
            <w:tcW w:w="0" w:type="auto"/>
            <w:shd w:val="clear" w:color="auto" w:fill="auto"/>
          </w:tcPr>
          <w:p w14:paraId="12E65F5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15.2(c) </w:t>
            </w:r>
          </w:p>
        </w:tc>
        <w:tc>
          <w:tcPr>
            <w:tcW w:w="0" w:type="auto"/>
            <w:shd w:val="clear" w:color="auto" w:fill="auto"/>
          </w:tcPr>
          <w:p w14:paraId="2AE5212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any materials costs involved in providing the service; </w:t>
            </w:r>
          </w:p>
        </w:tc>
        <w:tc>
          <w:tcPr>
            <w:tcW w:w="0" w:type="auto"/>
            <w:shd w:val="clear" w:color="auto" w:fill="auto"/>
          </w:tcPr>
          <w:p w14:paraId="333632CF" w14:textId="77777777" w:rsidR="009F2CDD" w:rsidRPr="002056FA" w:rsidRDefault="009F2CDD" w:rsidP="00E169B4">
            <w:pPr>
              <w:pStyle w:val="TableCopy"/>
              <w:rPr>
                <w:rFonts w:eastAsia="Calibri"/>
                <w:color w:val="365F91"/>
                <w:lang w:eastAsia="en-US"/>
              </w:rPr>
            </w:pPr>
            <w:r w:rsidRPr="002056FA">
              <w:rPr>
                <w:rFonts w:eastAsia="Calibri"/>
                <w:lang w:eastAsia="en-US"/>
              </w:rPr>
              <w:t>The material costs primarily relate to the purchase of the meter and communications devices (such as modems and antennas).</w:t>
            </w:r>
          </w:p>
        </w:tc>
      </w:tr>
      <w:tr w:rsidR="009F2CDD" w:rsidRPr="002056FA" w14:paraId="642D0E74" w14:textId="77777777" w:rsidTr="00E169B4">
        <w:tc>
          <w:tcPr>
            <w:tcW w:w="0" w:type="auto"/>
            <w:shd w:val="clear" w:color="auto" w:fill="auto"/>
          </w:tcPr>
          <w:p w14:paraId="7F7F051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15.2(d) </w:t>
            </w:r>
          </w:p>
        </w:tc>
        <w:tc>
          <w:tcPr>
            <w:tcW w:w="0" w:type="auto"/>
            <w:shd w:val="clear" w:color="auto" w:fill="auto"/>
          </w:tcPr>
          <w:p w14:paraId="46F44B4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number (volume) of services provided and associated assumptions on which the volume of service was derived or estimated; </w:t>
            </w:r>
          </w:p>
        </w:tc>
        <w:tc>
          <w:tcPr>
            <w:tcW w:w="0" w:type="auto"/>
            <w:shd w:val="clear" w:color="auto" w:fill="auto"/>
          </w:tcPr>
          <w:p w14:paraId="24F9CF79" w14:textId="77777777" w:rsidR="009F2CDD" w:rsidRPr="002056FA" w:rsidRDefault="009F2CDD" w:rsidP="00E169B4">
            <w:pPr>
              <w:pStyle w:val="TableCopy"/>
              <w:rPr>
                <w:rFonts w:eastAsia="Calibri"/>
                <w:lang w:eastAsia="en-US"/>
              </w:rPr>
            </w:pPr>
            <w:r w:rsidRPr="002056FA">
              <w:rPr>
                <w:rFonts w:eastAsia="Calibri"/>
                <w:lang w:eastAsia="en-US"/>
              </w:rPr>
              <w:t xml:space="preserve">For actual volumes in the current period please refer to </w:t>
            </w:r>
            <w:r w:rsidRPr="002C67EC">
              <w:rPr>
                <w:rFonts w:eastAsia="Calibri"/>
                <w:lang w:eastAsia="en-US"/>
              </w:rPr>
              <w:t>‘</w:t>
            </w:r>
            <w:r w:rsidRPr="00FE00B4">
              <w:rPr>
                <w:rFonts w:eastAsia="Calibri"/>
                <w:lang w:eastAsia="en-US"/>
              </w:rPr>
              <w:t>Metering ACS Supporting Information (Reset RIN Schedule 1 s15)’ document, Table 6 (Attachment 17.</w:t>
            </w:r>
            <w:r>
              <w:rPr>
                <w:rFonts w:eastAsia="Calibri"/>
                <w:lang w:eastAsia="en-US"/>
              </w:rPr>
              <w:t>044</w:t>
            </w:r>
            <w:r w:rsidRPr="00FE00B4">
              <w:rPr>
                <w:rFonts w:eastAsia="Calibri"/>
                <w:lang w:eastAsia="en-US"/>
              </w:rPr>
              <w:t>)</w:t>
            </w:r>
            <w:r w:rsidRPr="002056FA">
              <w:rPr>
                <w:rFonts w:eastAsia="Calibri"/>
                <w:lang w:eastAsia="en-US"/>
              </w:rPr>
              <w:t xml:space="preserve"> and break down of service types. </w:t>
            </w:r>
          </w:p>
          <w:p w14:paraId="1E990A29" w14:textId="77777777" w:rsidR="009F2CDD" w:rsidRPr="002056FA" w:rsidRDefault="009F2CDD" w:rsidP="00E169B4">
            <w:pPr>
              <w:pStyle w:val="TableCopy"/>
              <w:rPr>
                <w:rFonts w:eastAsia="Calibri"/>
                <w:lang w:eastAsia="en-US"/>
              </w:rPr>
            </w:pPr>
            <w:r w:rsidRPr="002056FA">
              <w:rPr>
                <w:rFonts w:eastAsia="Calibri"/>
                <w:lang w:eastAsia="en-US"/>
              </w:rPr>
              <w:t>For forecast volumes refer to Template 4.2 in Workbook 1 Regulatory Determination.</w:t>
            </w:r>
          </w:p>
          <w:p w14:paraId="70277905" w14:textId="77777777" w:rsidR="009F2CDD" w:rsidRPr="002056FA" w:rsidRDefault="009F2CDD" w:rsidP="00E169B4">
            <w:pPr>
              <w:pStyle w:val="TableCopy"/>
              <w:rPr>
                <w:rFonts w:eastAsia="Calibri"/>
                <w:lang w:eastAsia="en-US"/>
              </w:rPr>
            </w:pPr>
            <w:r w:rsidRPr="002056FA">
              <w:rPr>
                <w:rFonts w:eastAsia="Calibri"/>
                <w:lang w:eastAsia="en-US"/>
              </w:rPr>
              <w:t>Assumptions have been made in the forecast volumes based on historical trending volumes and PoC impacts. Further details  below:</w:t>
            </w:r>
          </w:p>
          <w:p w14:paraId="355AA283" w14:textId="77777777" w:rsidR="009F2CDD" w:rsidRPr="002056FA" w:rsidRDefault="009F2CDD" w:rsidP="00E169B4">
            <w:pPr>
              <w:pStyle w:val="Bullet1"/>
              <w:rPr>
                <w:sz w:val="20"/>
                <w:szCs w:val="20"/>
              </w:rPr>
            </w:pPr>
            <w:r w:rsidRPr="002056FA">
              <w:rPr>
                <w:sz w:val="20"/>
                <w:szCs w:val="20"/>
              </w:rPr>
              <w:t>No new or replacement meters will be installed due to PoC primarily affecting service order categories of New Meter Installation, Meter Replacement and Meter Purchases</w:t>
            </w:r>
          </w:p>
          <w:p w14:paraId="7119526E" w14:textId="77777777" w:rsidR="009F2CDD" w:rsidRPr="002056FA" w:rsidRDefault="009F2CDD" w:rsidP="00E169B4">
            <w:pPr>
              <w:pStyle w:val="Bullet1"/>
              <w:rPr>
                <w:sz w:val="20"/>
                <w:szCs w:val="20"/>
              </w:rPr>
            </w:pPr>
            <w:r w:rsidRPr="002056FA">
              <w:rPr>
                <w:sz w:val="20"/>
                <w:szCs w:val="20"/>
              </w:rPr>
              <w:t>Meter population decline of 3% per annum based off trending since PoC implementation</w:t>
            </w:r>
          </w:p>
          <w:p w14:paraId="737C33CE" w14:textId="77777777" w:rsidR="009F2CDD" w:rsidRPr="004F40EC" w:rsidRDefault="009F2CDD" w:rsidP="00E169B4">
            <w:pPr>
              <w:pStyle w:val="Bullet1"/>
              <w:rPr>
                <w:sz w:val="20"/>
                <w:szCs w:val="20"/>
              </w:rPr>
            </w:pPr>
            <w:r w:rsidRPr="004F40EC">
              <w:rPr>
                <w:sz w:val="20"/>
                <w:szCs w:val="20"/>
              </w:rPr>
              <w:t xml:space="preserve">Meter Testing to remain constant in line with the Australian Energy Market Operator’s (AEMO) testing obligations and the </w:t>
            </w:r>
            <w:r w:rsidRPr="005C09AE">
              <w:rPr>
                <w:sz w:val="20"/>
                <w:szCs w:val="20"/>
              </w:rPr>
              <w:t>Meter Asset Management Plan</w:t>
            </w:r>
            <w:r w:rsidRPr="00D52565">
              <w:rPr>
                <w:sz w:val="20"/>
                <w:szCs w:val="20"/>
              </w:rPr>
              <w:t xml:space="preserve"> (Attachment 15.001)</w:t>
            </w:r>
            <w:r>
              <w:rPr>
                <w:sz w:val="20"/>
                <w:szCs w:val="20"/>
              </w:rPr>
              <w:t>, and</w:t>
            </w:r>
          </w:p>
          <w:p w14:paraId="7EDC4AC3" w14:textId="77777777" w:rsidR="009F2CDD" w:rsidRPr="002056FA" w:rsidRDefault="009F2CDD" w:rsidP="00E169B4">
            <w:pPr>
              <w:pStyle w:val="Bullet1"/>
              <w:rPr>
                <w:sz w:val="20"/>
                <w:szCs w:val="20"/>
              </w:rPr>
            </w:pPr>
            <w:r w:rsidRPr="002056FA">
              <w:rPr>
                <w:sz w:val="20"/>
                <w:szCs w:val="20"/>
              </w:rPr>
              <w:t>All other service volumes have been evaluated based off trending since PoC implementation.</w:t>
            </w:r>
          </w:p>
        </w:tc>
      </w:tr>
      <w:tr w:rsidR="009F2CDD" w:rsidRPr="002056FA" w14:paraId="27A7C9E4" w14:textId="77777777" w:rsidTr="00E169B4">
        <w:tc>
          <w:tcPr>
            <w:tcW w:w="0" w:type="auto"/>
            <w:shd w:val="clear" w:color="auto" w:fill="auto"/>
          </w:tcPr>
          <w:p w14:paraId="2F905C7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15.2(e) </w:t>
            </w:r>
          </w:p>
        </w:tc>
        <w:tc>
          <w:tcPr>
            <w:tcW w:w="0" w:type="auto"/>
            <w:shd w:val="clear" w:color="auto" w:fill="auto"/>
          </w:tcPr>
          <w:p w14:paraId="503849C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charge per service; and </w:t>
            </w:r>
          </w:p>
        </w:tc>
        <w:tc>
          <w:tcPr>
            <w:tcW w:w="0" w:type="auto"/>
            <w:shd w:val="clear" w:color="auto" w:fill="auto"/>
          </w:tcPr>
          <w:p w14:paraId="1A7222A5" w14:textId="77777777" w:rsidR="009F2CDD" w:rsidRPr="002056FA" w:rsidRDefault="009F2CDD" w:rsidP="00E169B4">
            <w:pPr>
              <w:pStyle w:val="TableCopy"/>
              <w:rPr>
                <w:rFonts w:eastAsia="Calibri"/>
                <w:color w:val="365F91"/>
                <w:lang w:eastAsia="en-US"/>
              </w:rPr>
            </w:pPr>
            <w:r>
              <w:rPr>
                <w:rFonts w:eastAsia="Calibri"/>
                <w:lang w:eastAsia="en-US"/>
              </w:rPr>
              <w:t xml:space="preserve">The charges for metering services are explained in the 2020-25 Tariff Structure Statement (14.001). Refer to the response 13.4 for information on the charges in the current and forthcoming regulatory control periods. </w:t>
            </w:r>
          </w:p>
        </w:tc>
      </w:tr>
      <w:tr w:rsidR="009F2CDD" w:rsidRPr="002056FA" w14:paraId="072BAD0D" w14:textId="77777777" w:rsidTr="00E169B4">
        <w:tc>
          <w:tcPr>
            <w:tcW w:w="0" w:type="auto"/>
            <w:shd w:val="clear" w:color="auto" w:fill="auto"/>
          </w:tcPr>
          <w:p w14:paraId="6AF9014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15.2(f) </w:t>
            </w:r>
          </w:p>
        </w:tc>
        <w:tc>
          <w:tcPr>
            <w:tcW w:w="0" w:type="auto"/>
            <w:shd w:val="clear" w:color="auto" w:fill="auto"/>
          </w:tcPr>
          <w:p w14:paraId="6DB2C54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revenue earned by each service. </w:t>
            </w:r>
          </w:p>
        </w:tc>
        <w:tc>
          <w:tcPr>
            <w:tcW w:w="0" w:type="auto"/>
            <w:shd w:val="clear" w:color="auto" w:fill="auto"/>
          </w:tcPr>
          <w:p w14:paraId="7E470F87" w14:textId="77777777" w:rsidR="009F2CDD" w:rsidRPr="002056FA" w:rsidRDefault="009F2CDD" w:rsidP="00E169B4">
            <w:pPr>
              <w:pStyle w:val="TableCopy"/>
              <w:rPr>
                <w:rFonts w:eastAsia="Calibri"/>
                <w:color w:val="365F91"/>
                <w:lang w:eastAsia="en-US"/>
              </w:rPr>
            </w:pPr>
            <w:r>
              <w:rPr>
                <w:rFonts w:eastAsia="Calibri"/>
                <w:lang w:eastAsia="en-US"/>
              </w:rPr>
              <w:t>Refer to response 13.5.</w:t>
            </w:r>
          </w:p>
        </w:tc>
      </w:tr>
      <w:tr w:rsidR="009F2CDD" w:rsidRPr="002056FA" w14:paraId="02D13233" w14:textId="77777777" w:rsidTr="00E169B4">
        <w:tc>
          <w:tcPr>
            <w:tcW w:w="0" w:type="auto"/>
            <w:tcBorders>
              <w:bottom w:val="single" w:sz="4" w:space="0" w:color="auto"/>
            </w:tcBorders>
            <w:shd w:val="clear" w:color="auto" w:fill="auto"/>
          </w:tcPr>
          <w:p w14:paraId="319A7AB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15.3</w:t>
            </w:r>
          </w:p>
        </w:tc>
        <w:tc>
          <w:tcPr>
            <w:tcW w:w="0" w:type="auto"/>
            <w:tcBorders>
              <w:bottom w:val="single" w:sz="4" w:space="0" w:color="auto"/>
            </w:tcBorders>
            <w:shd w:val="clear" w:color="auto" w:fill="auto"/>
          </w:tcPr>
          <w:p w14:paraId="0E6220F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metering alternative control services, specify the number of customers in each year of the current regulatory control period, and forecasts for the forthcoming regulatory control period.</w:t>
            </w:r>
          </w:p>
        </w:tc>
        <w:tc>
          <w:tcPr>
            <w:tcW w:w="0" w:type="auto"/>
            <w:tcBorders>
              <w:bottom w:val="single" w:sz="4" w:space="0" w:color="auto"/>
            </w:tcBorders>
            <w:shd w:val="clear" w:color="auto" w:fill="auto"/>
          </w:tcPr>
          <w:p w14:paraId="6597417A" w14:textId="77777777" w:rsidR="009F2CDD" w:rsidRPr="002056FA" w:rsidRDefault="009F2CDD" w:rsidP="00E169B4">
            <w:pPr>
              <w:pStyle w:val="TableCopy"/>
              <w:rPr>
                <w:rFonts w:eastAsia="Calibri"/>
                <w:lang w:eastAsia="en-US"/>
              </w:rPr>
            </w:pPr>
            <w:r>
              <w:rPr>
                <w:rFonts w:eastAsia="Calibri"/>
                <w:lang w:eastAsia="en-US"/>
              </w:rPr>
              <w:t>For the current and f</w:t>
            </w:r>
            <w:r w:rsidRPr="002056FA">
              <w:rPr>
                <w:rFonts w:eastAsia="Calibri"/>
                <w:lang w:eastAsia="en-US"/>
              </w:rPr>
              <w:t>orthc</w:t>
            </w:r>
            <w:r>
              <w:rPr>
                <w:rFonts w:eastAsia="Calibri"/>
                <w:lang w:eastAsia="en-US"/>
              </w:rPr>
              <w:t xml:space="preserve">oming periods, refer to the </w:t>
            </w:r>
            <w:r w:rsidRPr="002C67EC">
              <w:rPr>
                <w:rFonts w:eastAsia="Calibri"/>
                <w:lang w:eastAsia="en-US"/>
              </w:rPr>
              <w:t xml:space="preserve">‘Metering ACS Supporting Information (Reset RIN Schedule 1 s15)’ </w:t>
            </w:r>
            <w:r>
              <w:rPr>
                <w:rFonts w:eastAsia="Calibri"/>
                <w:lang w:eastAsia="en-US"/>
              </w:rPr>
              <w:t xml:space="preserve">document </w:t>
            </w:r>
            <w:r w:rsidRPr="002C67EC">
              <w:rPr>
                <w:rFonts w:eastAsia="Calibri"/>
                <w:lang w:eastAsia="en-US"/>
              </w:rPr>
              <w:t>(Attachment 17.</w:t>
            </w:r>
            <w:r>
              <w:rPr>
                <w:rFonts w:eastAsia="Calibri"/>
                <w:lang w:eastAsia="en-US"/>
              </w:rPr>
              <w:t>044)</w:t>
            </w:r>
          </w:p>
          <w:p w14:paraId="76B7C36D" w14:textId="77777777" w:rsidR="009F2CDD" w:rsidRPr="002056FA" w:rsidRDefault="009F2CDD" w:rsidP="00E169B4">
            <w:pPr>
              <w:pStyle w:val="TableCopy"/>
              <w:rPr>
                <w:rFonts w:eastAsia="Calibri"/>
                <w:color w:val="365F91"/>
                <w:lang w:eastAsia="en-US"/>
              </w:rPr>
            </w:pPr>
          </w:p>
        </w:tc>
      </w:tr>
      <w:tr w:rsidR="009F2CDD" w:rsidRPr="002056FA" w14:paraId="323BB821" w14:textId="77777777" w:rsidTr="00E169B4">
        <w:tc>
          <w:tcPr>
            <w:tcW w:w="0" w:type="auto"/>
            <w:shd w:val="clear" w:color="auto" w:fill="D0CECE" w:themeFill="background2" w:themeFillShade="E6"/>
          </w:tcPr>
          <w:p w14:paraId="2E7F7CE9"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16</w:t>
            </w:r>
          </w:p>
        </w:tc>
        <w:tc>
          <w:tcPr>
            <w:tcW w:w="0" w:type="auto"/>
            <w:shd w:val="clear" w:color="auto" w:fill="D0CECE" w:themeFill="background2" w:themeFillShade="E6"/>
          </w:tcPr>
          <w:p w14:paraId="6BE7BAD4"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PUBLIC LIGHTING ALTERNATIVE CONTROL SERVICES</w:t>
            </w:r>
          </w:p>
        </w:tc>
        <w:tc>
          <w:tcPr>
            <w:tcW w:w="0" w:type="auto"/>
            <w:shd w:val="clear" w:color="auto" w:fill="D0CECE" w:themeFill="background2" w:themeFillShade="E6"/>
          </w:tcPr>
          <w:p w14:paraId="33F75319" w14:textId="77777777" w:rsidR="009F2CDD" w:rsidRPr="002056FA" w:rsidRDefault="009F2CDD" w:rsidP="00E169B4">
            <w:pPr>
              <w:pStyle w:val="TableCopy"/>
              <w:rPr>
                <w:rFonts w:eastAsia="Calibri"/>
                <w:color w:val="000000"/>
                <w:lang w:eastAsia="en-US"/>
              </w:rPr>
            </w:pPr>
          </w:p>
        </w:tc>
      </w:tr>
      <w:tr w:rsidR="009F2CDD" w:rsidRPr="002056FA" w14:paraId="7CC5E72C" w14:textId="77777777" w:rsidTr="00E169B4">
        <w:tc>
          <w:tcPr>
            <w:tcW w:w="0" w:type="auto"/>
            <w:tcBorders>
              <w:bottom w:val="single" w:sz="4" w:space="0" w:color="auto"/>
            </w:tcBorders>
            <w:shd w:val="clear" w:color="auto" w:fill="auto"/>
          </w:tcPr>
          <w:p w14:paraId="38139FD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16.1</w:t>
            </w:r>
          </w:p>
        </w:tc>
        <w:tc>
          <w:tcPr>
            <w:tcW w:w="0" w:type="auto"/>
            <w:tcBorders>
              <w:bottom w:val="single" w:sz="4" w:space="0" w:color="auto"/>
            </w:tcBorders>
            <w:shd w:val="clear" w:color="auto" w:fill="auto"/>
          </w:tcPr>
          <w:p w14:paraId="63E8748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Specify which items are capex and operational expenditure for each year of the current regulatory control period and forecasts for the forthcoming regulatory control period.</w:t>
            </w:r>
          </w:p>
        </w:tc>
        <w:tc>
          <w:tcPr>
            <w:tcW w:w="0" w:type="auto"/>
            <w:tcBorders>
              <w:bottom w:val="single" w:sz="4" w:space="0" w:color="auto"/>
            </w:tcBorders>
            <w:shd w:val="clear" w:color="auto" w:fill="auto"/>
          </w:tcPr>
          <w:p w14:paraId="67CBC61F" w14:textId="77777777" w:rsidR="009F2CDD" w:rsidRDefault="009F2CDD" w:rsidP="00E169B4">
            <w:pPr>
              <w:pStyle w:val="TableCopy"/>
              <w:rPr>
                <w:rFonts w:eastAsia="Calibri"/>
                <w:lang w:eastAsia="en-US"/>
              </w:rPr>
            </w:pPr>
            <w:r w:rsidRPr="008724AD">
              <w:rPr>
                <w:rFonts w:eastAsia="Calibri"/>
                <w:lang w:eastAsia="en-US"/>
              </w:rPr>
              <w:t>Refer to</w:t>
            </w:r>
            <w:r>
              <w:rPr>
                <w:rFonts w:eastAsia="Calibri"/>
                <w:lang w:eastAsia="en-US"/>
              </w:rPr>
              <w:t>:</w:t>
            </w:r>
          </w:p>
          <w:p w14:paraId="0F7C73FF" w14:textId="77777777" w:rsidR="009F2CDD" w:rsidRDefault="009F2CDD" w:rsidP="00E169B4">
            <w:pPr>
              <w:pStyle w:val="Bullet1"/>
              <w:ind w:left="432" w:hanging="432"/>
              <w:rPr>
                <w:sz w:val="20"/>
                <w:szCs w:val="20"/>
              </w:rPr>
            </w:pPr>
            <w:r>
              <w:rPr>
                <w:sz w:val="20"/>
                <w:szCs w:val="20"/>
              </w:rPr>
              <w:t>Alternative Control Services (Attachment 15.005)</w:t>
            </w:r>
          </w:p>
          <w:p w14:paraId="347AC438" w14:textId="77777777" w:rsidR="009F2CDD" w:rsidRDefault="009F2CDD" w:rsidP="00E169B4">
            <w:pPr>
              <w:pStyle w:val="Bullet1"/>
              <w:ind w:left="432" w:hanging="432"/>
              <w:rPr>
                <w:sz w:val="20"/>
                <w:szCs w:val="20"/>
              </w:rPr>
            </w:pPr>
            <w:r>
              <w:rPr>
                <w:sz w:val="20"/>
                <w:szCs w:val="20"/>
              </w:rPr>
              <w:t>Opex forecast – ACS public lighting conventional (Attachment 15.012)</w:t>
            </w:r>
          </w:p>
          <w:p w14:paraId="64C6763A" w14:textId="77777777" w:rsidR="009F2CDD" w:rsidRDefault="009F2CDD" w:rsidP="00E169B4">
            <w:pPr>
              <w:pStyle w:val="Bullet1"/>
              <w:ind w:left="432" w:hanging="432"/>
              <w:rPr>
                <w:sz w:val="20"/>
                <w:szCs w:val="20"/>
              </w:rPr>
            </w:pPr>
            <w:r>
              <w:rPr>
                <w:sz w:val="20"/>
                <w:szCs w:val="20"/>
              </w:rPr>
              <w:t>Opex forecast – ACS public lighting LED (Attachment 15.014)</w:t>
            </w:r>
          </w:p>
          <w:p w14:paraId="2CB27FC4" w14:textId="77777777" w:rsidR="009F2CDD" w:rsidRDefault="009F2CDD" w:rsidP="00E169B4">
            <w:pPr>
              <w:pStyle w:val="Bullet1"/>
              <w:ind w:left="432" w:hanging="432"/>
              <w:rPr>
                <w:sz w:val="20"/>
                <w:szCs w:val="20"/>
              </w:rPr>
            </w:pPr>
            <w:r>
              <w:rPr>
                <w:sz w:val="20"/>
                <w:szCs w:val="20"/>
              </w:rPr>
              <w:t>Capex forecast – ACS public lighting conventional (Attachment 15.031)</w:t>
            </w:r>
          </w:p>
          <w:p w14:paraId="56DC3CDF" w14:textId="77777777" w:rsidR="009F2CDD" w:rsidRDefault="009F2CDD" w:rsidP="00E169B4">
            <w:pPr>
              <w:pStyle w:val="Bullet1"/>
              <w:ind w:left="432" w:hanging="432"/>
              <w:rPr>
                <w:sz w:val="20"/>
                <w:szCs w:val="20"/>
              </w:rPr>
            </w:pPr>
            <w:r>
              <w:rPr>
                <w:sz w:val="20"/>
                <w:szCs w:val="20"/>
              </w:rPr>
              <w:t>Capex forecast – ACS public lighting LED (Attachment 15.033)</w:t>
            </w:r>
          </w:p>
          <w:p w14:paraId="5A181977" w14:textId="77777777" w:rsidR="009F2CDD" w:rsidRDefault="009F2CDD" w:rsidP="00E169B4">
            <w:pPr>
              <w:pStyle w:val="Bullet1"/>
              <w:ind w:left="432" w:hanging="432"/>
              <w:rPr>
                <w:sz w:val="20"/>
                <w:szCs w:val="20"/>
              </w:rPr>
            </w:pPr>
            <w:r>
              <w:rPr>
                <w:sz w:val="20"/>
                <w:szCs w:val="20"/>
              </w:rPr>
              <w:t xml:space="preserve">PTRM – ACS public lighting conventional </w:t>
            </w:r>
            <w:r w:rsidRPr="00442ADC">
              <w:rPr>
                <w:sz w:val="20"/>
                <w:szCs w:val="20"/>
              </w:rPr>
              <w:t>(</w:t>
            </w:r>
            <w:r w:rsidRPr="00F345FF">
              <w:rPr>
                <w:sz w:val="20"/>
                <w:szCs w:val="20"/>
              </w:rPr>
              <w:t>Attachment 15.</w:t>
            </w:r>
            <w:r>
              <w:rPr>
                <w:sz w:val="20"/>
                <w:szCs w:val="20"/>
              </w:rPr>
              <w:t>018</w:t>
            </w:r>
            <w:r w:rsidRPr="00F345FF">
              <w:rPr>
                <w:sz w:val="20"/>
                <w:szCs w:val="20"/>
              </w:rPr>
              <w:t>)</w:t>
            </w:r>
            <w:r>
              <w:rPr>
                <w:sz w:val="20"/>
                <w:szCs w:val="20"/>
              </w:rPr>
              <w:t>, and</w:t>
            </w:r>
          </w:p>
          <w:p w14:paraId="6995DDFE" w14:textId="77777777" w:rsidR="009F2CDD" w:rsidRDefault="009F2CDD" w:rsidP="00E169B4">
            <w:pPr>
              <w:pStyle w:val="Bullet1"/>
              <w:ind w:left="432" w:hanging="432"/>
              <w:rPr>
                <w:sz w:val="20"/>
                <w:szCs w:val="20"/>
              </w:rPr>
            </w:pPr>
            <w:r>
              <w:rPr>
                <w:sz w:val="20"/>
                <w:szCs w:val="20"/>
              </w:rPr>
              <w:t>PTRM – ACS public lighting LED (Attachment 15.020).</w:t>
            </w:r>
          </w:p>
          <w:p w14:paraId="35724B77" w14:textId="77777777" w:rsidR="009F2CDD" w:rsidRPr="00682032" w:rsidRDefault="009F2CDD" w:rsidP="00E169B4">
            <w:pPr>
              <w:pStyle w:val="Bullet1"/>
              <w:ind w:left="432" w:hanging="432"/>
              <w:rPr>
                <w:sz w:val="20"/>
                <w:szCs w:val="20"/>
              </w:rPr>
            </w:pPr>
          </w:p>
        </w:tc>
      </w:tr>
      <w:tr w:rsidR="009F2CDD" w:rsidRPr="002056FA" w14:paraId="16B4573B" w14:textId="77777777" w:rsidTr="00E169B4">
        <w:tc>
          <w:tcPr>
            <w:tcW w:w="0" w:type="auto"/>
            <w:shd w:val="clear" w:color="auto" w:fill="D0CECE" w:themeFill="background2" w:themeFillShade="E6"/>
          </w:tcPr>
          <w:p w14:paraId="4F42861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16.2</w:t>
            </w:r>
          </w:p>
        </w:tc>
        <w:tc>
          <w:tcPr>
            <w:tcW w:w="0" w:type="auto"/>
            <w:shd w:val="clear" w:color="auto" w:fill="D0CECE" w:themeFill="background2" w:themeFillShade="E6"/>
          </w:tcPr>
          <w:p w14:paraId="461FB53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unit costs for the current regulatory control period and forecast for the forthcoming regulatory control period for:</w:t>
            </w:r>
          </w:p>
        </w:tc>
        <w:tc>
          <w:tcPr>
            <w:tcW w:w="0" w:type="auto"/>
            <w:shd w:val="clear" w:color="auto" w:fill="D0CECE" w:themeFill="background2" w:themeFillShade="E6"/>
          </w:tcPr>
          <w:p w14:paraId="4977DF0A" w14:textId="77777777" w:rsidR="009F2CDD" w:rsidRPr="002056FA" w:rsidRDefault="009F2CDD" w:rsidP="00E169B4">
            <w:pPr>
              <w:pStyle w:val="TableCopy"/>
              <w:rPr>
                <w:rFonts w:eastAsia="Calibri"/>
                <w:color w:val="365F91"/>
                <w:lang w:eastAsia="en-US"/>
              </w:rPr>
            </w:pPr>
          </w:p>
        </w:tc>
      </w:tr>
      <w:tr w:rsidR="009F2CDD" w:rsidRPr="002056FA" w14:paraId="0E6D98A8" w14:textId="77777777" w:rsidTr="00E169B4">
        <w:tc>
          <w:tcPr>
            <w:tcW w:w="0" w:type="auto"/>
            <w:shd w:val="clear" w:color="auto" w:fill="auto"/>
          </w:tcPr>
          <w:p w14:paraId="1F8328A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16.2(a)</w:t>
            </w:r>
          </w:p>
        </w:tc>
        <w:tc>
          <w:tcPr>
            <w:tcW w:w="0" w:type="auto"/>
            <w:shd w:val="clear" w:color="auto" w:fill="auto"/>
          </w:tcPr>
          <w:p w14:paraId="05BC888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luminaires;</w:t>
            </w:r>
          </w:p>
        </w:tc>
        <w:tc>
          <w:tcPr>
            <w:tcW w:w="0" w:type="auto"/>
            <w:shd w:val="clear" w:color="auto" w:fill="auto"/>
          </w:tcPr>
          <w:p w14:paraId="2CCEA3C5" w14:textId="77777777" w:rsidR="009F2CDD" w:rsidRPr="002056FA" w:rsidRDefault="009F2CDD" w:rsidP="00E169B4">
            <w:pPr>
              <w:pStyle w:val="TableCopy"/>
              <w:rPr>
                <w:rFonts w:eastAsia="Calibri"/>
                <w:lang w:eastAsia="en-US"/>
              </w:rPr>
            </w:pPr>
            <w:r w:rsidRPr="009D7106">
              <w:rPr>
                <w:rFonts w:eastAsia="Calibri"/>
                <w:lang w:eastAsia="en-US"/>
              </w:rPr>
              <w:t xml:space="preserve">Refer to </w:t>
            </w:r>
            <w:r>
              <w:rPr>
                <w:rFonts w:eastAsia="Calibri"/>
                <w:lang w:eastAsia="en-US"/>
              </w:rPr>
              <w:t>Table 2 in this document</w:t>
            </w:r>
          </w:p>
        </w:tc>
      </w:tr>
      <w:tr w:rsidR="009F2CDD" w:rsidRPr="002056FA" w14:paraId="07292EAE" w14:textId="77777777" w:rsidTr="00E169B4">
        <w:tc>
          <w:tcPr>
            <w:tcW w:w="0" w:type="auto"/>
            <w:shd w:val="clear" w:color="auto" w:fill="auto"/>
          </w:tcPr>
          <w:p w14:paraId="1D86219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16.2(b)</w:t>
            </w:r>
          </w:p>
        </w:tc>
        <w:tc>
          <w:tcPr>
            <w:tcW w:w="0" w:type="auto"/>
            <w:shd w:val="clear" w:color="auto" w:fill="auto"/>
          </w:tcPr>
          <w:p w14:paraId="3DC2D54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dedicated street lighting poles;</w:t>
            </w:r>
          </w:p>
        </w:tc>
        <w:tc>
          <w:tcPr>
            <w:tcW w:w="0" w:type="auto"/>
            <w:shd w:val="clear" w:color="auto" w:fill="auto"/>
          </w:tcPr>
          <w:p w14:paraId="767BD1B6" w14:textId="77777777" w:rsidR="009F2CDD" w:rsidRPr="002056FA" w:rsidRDefault="009F2CDD" w:rsidP="00E169B4">
            <w:pPr>
              <w:pStyle w:val="TableCopy"/>
              <w:rPr>
                <w:rFonts w:eastAsia="Calibri"/>
                <w:lang w:eastAsia="en-US"/>
              </w:rPr>
            </w:pPr>
            <w:r w:rsidRPr="002056FA">
              <w:rPr>
                <w:rFonts w:eastAsia="Calibri"/>
                <w:lang w:eastAsia="en-US"/>
              </w:rPr>
              <w:t>Refer to response provided to 16.2(a).</w:t>
            </w:r>
          </w:p>
        </w:tc>
      </w:tr>
      <w:tr w:rsidR="009F2CDD" w:rsidRPr="002056FA" w14:paraId="383559F8" w14:textId="77777777" w:rsidTr="00E169B4">
        <w:tc>
          <w:tcPr>
            <w:tcW w:w="0" w:type="auto"/>
            <w:shd w:val="clear" w:color="auto" w:fill="auto"/>
          </w:tcPr>
          <w:p w14:paraId="51F06A8E"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16.2(c)</w:t>
            </w:r>
          </w:p>
        </w:tc>
        <w:tc>
          <w:tcPr>
            <w:tcW w:w="0" w:type="auto"/>
            <w:shd w:val="clear" w:color="auto" w:fill="auto"/>
          </w:tcPr>
          <w:p w14:paraId="0F349CE9"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brackets;</w:t>
            </w:r>
          </w:p>
        </w:tc>
        <w:tc>
          <w:tcPr>
            <w:tcW w:w="0" w:type="auto"/>
            <w:shd w:val="clear" w:color="auto" w:fill="auto"/>
          </w:tcPr>
          <w:p w14:paraId="70744985" w14:textId="77777777" w:rsidR="009F2CDD" w:rsidRPr="002056FA" w:rsidRDefault="009F2CDD" w:rsidP="00E169B4">
            <w:pPr>
              <w:pStyle w:val="TableCopy"/>
              <w:rPr>
                <w:rFonts w:eastAsia="Calibri"/>
                <w:lang w:eastAsia="en-US"/>
              </w:rPr>
            </w:pPr>
            <w:r w:rsidRPr="002056FA">
              <w:rPr>
                <w:rFonts w:eastAsia="Calibri"/>
                <w:lang w:eastAsia="en-US"/>
              </w:rPr>
              <w:t>Refer to response provided to 16.2(a).</w:t>
            </w:r>
          </w:p>
        </w:tc>
      </w:tr>
      <w:tr w:rsidR="009F2CDD" w:rsidRPr="002056FA" w14:paraId="62F1A099" w14:textId="77777777" w:rsidTr="00E169B4">
        <w:tc>
          <w:tcPr>
            <w:tcW w:w="0" w:type="auto"/>
            <w:shd w:val="clear" w:color="auto" w:fill="auto"/>
          </w:tcPr>
          <w:p w14:paraId="71C9533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16.2(d)</w:t>
            </w:r>
          </w:p>
        </w:tc>
        <w:tc>
          <w:tcPr>
            <w:tcW w:w="0" w:type="auto"/>
            <w:shd w:val="clear" w:color="auto" w:fill="auto"/>
          </w:tcPr>
          <w:p w14:paraId="538B245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lamps;</w:t>
            </w:r>
          </w:p>
        </w:tc>
        <w:tc>
          <w:tcPr>
            <w:tcW w:w="0" w:type="auto"/>
            <w:shd w:val="clear" w:color="auto" w:fill="auto"/>
          </w:tcPr>
          <w:p w14:paraId="1BFD63FD" w14:textId="77777777" w:rsidR="009F2CDD" w:rsidRPr="002056FA" w:rsidRDefault="009F2CDD" w:rsidP="00E169B4">
            <w:pPr>
              <w:pStyle w:val="TableCopy"/>
              <w:rPr>
                <w:rFonts w:eastAsia="Calibri"/>
                <w:lang w:eastAsia="en-US"/>
              </w:rPr>
            </w:pPr>
            <w:r w:rsidRPr="002056FA">
              <w:rPr>
                <w:rFonts w:eastAsia="Calibri"/>
                <w:lang w:eastAsia="en-US"/>
              </w:rPr>
              <w:t>Refer to response provided to 16.2(a).</w:t>
            </w:r>
          </w:p>
        </w:tc>
      </w:tr>
      <w:tr w:rsidR="009F2CDD" w:rsidRPr="002056FA" w14:paraId="588B69AB" w14:textId="77777777" w:rsidTr="00E169B4">
        <w:tc>
          <w:tcPr>
            <w:tcW w:w="0" w:type="auto"/>
            <w:shd w:val="clear" w:color="auto" w:fill="auto"/>
          </w:tcPr>
          <w:p w14:paraId="6AAAF68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16.2(e)</w:t>
            </w:r>
          </w:p>
        </w:tc>
        <w:tc>
          <w:tcPr>
            <w:tcW w:w="0" w:type="auto"/>
            <w:shd w:val="clear" w:color="auto" w:fill="auto"/>
          </w:tcPr>
          <w:p w14:paraId="3BC191C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photoelectric cells;</w:t>
            </w:r>
          </w:p>
        </w:tc>
        <w:tc>
          <w:tcPr>
            <w:tcW w:w="0" w:type="auto"/>
            <w:shd w:val="clear" w:color="auto" w:fill="auto"/>
          </w:tcPr>
          <w:p w14:paraId="0C028A97" w14:textId="77777777" w:rsidR="009F2CDD" w:rsidRPr="002056FA" w:rsidRDefault="009F2CDD" w:rsidP="00E169B4">
            <w:pPr>
              <w:pStyle w:val="TableCopy"/>
              <w:rPr>
                <w:rFonts w:eastAsia="Calibri"/>
                <w:lang w:eastAsia="en-US"/>
              </w:rPr>
            </w:pPr>
            <w:r w:rsidRPr="002056FA">
              <w:rPr>
                <w:rFonts w:eastAsia="Calibri"/>
                <w:lang w:eastAsia="en-US"/>
              </w:rPr>
              <w:t>Refer to response provided to 16.2(a).</w:t>
            </w:r>
          </w:p>
        </w:tc>
      </w:tr>
      <w:tr w:rsidR="009F2CDD" w:rsidRPr="002056FA" w14:paraId="13BDEFCF" w14:textId="77777777" w:rsidTr="00E169B4">
        <w:tc>
          <w:tcPr>
            <w:tcW w:w="0" w:type="auto"/>
            <w:shd w:val="clear" w:color="auto" w:fill="auto"/>
          </w:tcPr>
          <w:p w14:paraId="7761A26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16.2(f)</w:t>
            </w:r>
          </w:p>
        </w:tc>
        <w:tc>
          <w:tcPr>
            <w:tcW w:w="0" w:type="auto"/>
            <w:shd w:val="clear" w:color="auto" w:fill="auto"/>
          </w:tcPr>
          <w:p w14:paraId="77A04F1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labour rate (per hour);</w:t>
            </w:r>
          </w:p>
        </w:tc>
        <w:tc>
          <w:tcPr>
            <w:tcW w:w="0" w:type="auto"/>
            <w:shd w:val="clear" w:color="auto" w:fill="auto"/>
          </w:tcPr>
          <w:p w14:paraId="5C0700FE" w14:textId="77777777" w:rsidR="009F2CDD" w:rsidRPr="00DF0FA7" w:rsidRDefault="009F2CDD" w:rsidP="00E169B4">
            <w:pPr>
              <w:pStyle w:val="TableCopy"/>
              <w:rPr>
                <w:rFonts w:eastAsia="Calibri"/>
                <w:lang w:eastAsia="en-US"/>
              </w:rPr>
            </w:pPr>
            <w:r w:rsidRPr="00DF0FA7">
              <w:rPr>
                <w:rFonts w:eastAsia="Calibri"/>
                <w:lang w:eastAsia="en-US"/>
              </w:rPr>
              <w:t>Refer to response provided to 13.7.</w:t>
            </w:r>
          </w:p>
        </w:tc>
      </w:tr>
      <w:tr w:rsidR="009F2CDD" w:rsidRPr="002056FA" w14:paraId="2974EB4A" w14:textId="77777777" w:rsidTr="00E169B4">
        <w:tc>
          <w:tcPr>
            <w:tcW w:w="0" w:type="auto"/>
            <w:shd w:val="clear" w:color="auto" w:fill="auto"/>
          </w:tcPr>
          <w:p w14:paraId="78A5A26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16.2(g)</w:t>
            </w:r>
          </w:p>
        </w:tc>
        <w:tc>
          <w:tcPr>
            <w:tcW w:w="0" w:type="auto"/>
            <w:shd w:val="clear" w:color="auto" w:fill="auto"/>
          </w:tcPr>
          <w:p w14:paraId="0553365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miscellaneous materials.</w:t>
            </w:r>
          </w:p>
        </w:tc>
        <w:tc>
          <w:tcPr>
            <w:tcW w:w="0" w:type="auto"/>
            <w:shd w:val="clear" w:color="auto" w:fill="auto"/>
          </w:tcPr>
          <w:p w14:paraId="645845A6" w14:textId="77777777" w:rsidR="009F2CDD" w:rsidRPr="002056FA" w:rsidRDefault="009F2CDD" w:rsidP="00E169B4">
            <w:pPr>
              <w:pStyle w:val="TableCopy"/>
              <w:rPr>
                <w:rFonts w:eastAsia="Calibri"/>
                <w:lang w:eastAsia="en-US"/>
              </w:rPr>
            </w:pPr>
            <w:r w:rsidRPr="002056FA">
              <w:rPr>
                <w:rFonts w:eastAsia="Calibri"/>
                <w:lang w:eastAsia="en-US"/>
              </w:rPr>
              <w:t xml:space="preserve">Energex has not identified any miscellaneous materials costs in the provision of public lighting </w:t>
            </w:r>
            <w:r>
              <w:rPr>
                <w:rFonts w:eastAsia="Calibri"/>
                <w:lang w:eastAsia="en-US"/>
              </w:rPr>
              <w:t>ACS</w:t>
            </w:r>
            <w:r w:rsidRPr="002056FA">
              <w:rPr>
                <w:rFonts w:eastAsia="Calibri"/>
                <w:lang w:eastAsia="en-US"/>
              </w:rPr>
              <w:t xml:space="preserve">. </w:t>
            </w:r>
          </w:p>
        </w:tc>
      </w:tr>
      <w:tr w:rsidR="009F2CDD" w:rsidRPr="002056FA" w14:paraId="0112F435" w14:textId="77777777" w:rsidTr="00E169B4">
        <w:tc>
          <w:tcPr>
            <w:tcW w:w="0" w:type="auto"/>
            <w:shd w:val="clear" w:color="auto" w:fill="auto"/>
          </w:tcPr>
          <w:p w14:paraId="057344A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16.3</w:t>
            </w:r>
          </w:p>
        </w:tc>
        <w:tc>
          <w:tcPr>
            <w:tcW w:w="0" w:type="auto"/>
            <w:shd w:val="clear" w:color="auto" w:fill="auto"/>
          </w:tcPr>
          <w:p w14:paraId="321CD10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the depreciation period in years for each type of luminaire.</w:t>
            </w:r>
          </w:p>
        </w:tc>
        <w:tc>
          <w:tcPr>
            <w:tcW w:w="0" w:type="auto"/>
            <w:shd w:val="clear" w:color="auto" w:fill="auto"/>
          </w:tcPr>
          <w:p w14:paraId="168B8250" w14:textId="77777777" w:rsidR="009F2CDD" w:rsidRPr="002056FA" w:rsidRDefault="009F2CDD" w:rsidP="00E169B4">
            <w:pPr>
              <w:pStyle w:val="TableCopy"/>
              <w:rPr>
                <w:rFonts w:eastAsia="Calibri"/>
                <w:lang w:eastAsia="en-US"/>
              </w:rPr>
            </w:pPr>
            <w:r w:rsidRPr="002056FA">
              <w:rPr>
                <w:rFonts w:eastAsia="Calibri"/>
                <w:lang w:val="en-US" w:eastAsia="en-US"/>
              </w:rPr>
              <w:t xml:space="preserve">Energex uses an average depreciation period of 20 years for all types of luminaires. </w:t>
            </w:r>
          </w:p>
        </w:tc>
      </w:tr>
      <w:tr w:rsidR="009F2CDD" w:rsidRPr="002056FA" w14:paraId="7C27A22C" w14:textId="77777777" w:rsidTr="00E169B4">
        <w:tc>
          <w:tcPr>
            <w:tcW w:w="0" w:type="auto"/>
            <w:shd w:val="clear" w:color="auto" w:fill="auto"/>
          </w:tcPr>
          <w:p w14:paraId="4F2F511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16.4</w:t>
            </w:r>
          </w:p>
        </w:tc>
        <w:tc>
          <w:tcPr>
            <w:tcW w:w="0" w:type="auto"/>
            <w:shd w:val="clear" w:color="auto" w:fill="auto"/>
          </w:tcPr>
          <w:p w14:paraId="6547F11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the bulk change cycle in years for lamps and photoelectric cells.</w:t>
            </w:r>
          </w:p>
        </w:tc>
        <w:tc>
          <w:tcPr>
            <w:tcW w:w="0" w:type="auto"/>
            <w:shd w:val="clear" w:color="auto" w:fill="auto"/>
          </w:tcPr>
          <w:p w14:paraId="13FA15EB" w14:textId="77777777" w:rsidR="009F2CDD" w:rsidRPr="00AE44BF" w:rsidRDefault="009F2CDD" w:rsidP="00E169B4">
            <w:pPr>
              <w:pStyle w:val="TableCopy"/>
              <w:rPr>
                <w:rFonts w:eastAsia="Calibri"/>
                <w:lang w:eastAsia="en-US"/>
              </w:rPr>
            </w:pPr>
            <w:r w:rsidRPr="002C67EC">
              <w:rPr>
                <w:rFonts w:eastAsia="Calibri"/>
                <w:lang w:eastAsia="en-US"/>
              </w:rPr>
              <w:t xml:space="preserve">Refer to </w:t>
            </w:r>
            <w:r>
              <w:rPr>
                <w:rFonts w:eastAsia="Calibri"/>
                <w:lang w:eastAsia="en-US"/>
              </w:rPr>
              <w:t>the ‘</w:t>
            </w:r>
            <w:r w:rsidRPr="002C67EC">
              <w:rPr>
                <w:rFonts w:eastAsia="Calibri"/>
                <w:lang w:eastAsia="en-US"/>
              </w:rPr>
              <w:t>Asset Management Plan Public Lighting</w:t>
            </w:r>
            <w:r>
              <w:rPr>
                <w:rFonts w:eastAsia="Calibri"/>
                <w:lang w:eastAsia="en-US"/>
              </w:rPr>
              <w:t xml:space="preserve">’ document </w:t>
            </w:r>
            <w:r w:rsidRPr="002C67EC">
              <w:rPr>
                <w:rFonts w:eastAsia="Calibri"/>
                <w:lang w:eastAsia="en-US"/>
              </w:rPr>
              <w:t xml:space="preserve"> (Attachment 15.003)</w:t>
            </w:r>
          </w:p>
        </w:tc>
      </w:tr>
      <w:tr w:rsidR="009F2CDD" w:rsidRPr="002056FA" w14:paraId="5CBC7DF8" w14:textId="77777777" w:rsidTr="00E169B4">
        <w:tc>
          <w:tcPr>
            <w:tcW w:w="0" w:type="auto"/>
            <w:shd w:val="clear" w:color="auto" w:fill="auto"/>
          </w:tcPr>
          <w:p w14:paraId="17856EF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16.5</w:t>
            </w:r>
          </w:p>
        </w:tc>
        <w:tc>
          <w:tcPr>
            <w:tcW w:w="0" w:type="auto"/>
            <w:shd w:val="clear" w:color="auto" w:fill="auto"/>
          </w:tcPr>
          <w:p w14:paraId="74FED2A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details of the average replacement age of each type of luminaire.</w:t>
            </w:r>
          </w:p>
        </w:tc>
        <w:tc>
          <w:tcPr>
            <w:tcW w:w="0" w:type="auto"/>
            <w:shd w:val="clear" w:color="auto" w:fill="auto"/>
          </w:tcPr>
          <w:p w14:paraId="6EE4DB43" w14:textId="77777777" w:rsidR="009F2CDD" w:rsidRPr="00AE44BF" w:rsidRDefault="009F2CDD" w:rsidP="00E169B4">
            <w:pPr>
              <w:pStyle w:val="TableCopy"/>
              <w:rPr>
                <w:rFonts w:eastAsia="Calibri"/>
                <w:color w:val="000000"/>
                <w:lang w:eastAsia="en-US"/>
              </w:rPr>
            </w:pPr>
            <w:r w:rsidRPr="002C67EC">
              <w:rPr>
                <w:rFonts w:eastAsia="Calibri"/>
                <w:lang w:eastAsia="en-US"/>
              </w:rPr>
              <w:t xml:space="preserve">Refer to </w:t>
            </w:r>
            <w:r>
              <w:rPr>
                <w:rFonts w:eastAsia="Calibri"/>
                <w:lang w:eastAsia="en-US"/>
              </w:rPr>
              <w:t>the ‘</w:t>
            </w:r>
            <w:r w:rsidRPr="002C67EC">
              <w:rPr>
                <w:rFonts w:eastAsia="Calibri"/>
                <w:lang w:eastAsia="en-US"/>
              </w:rPr>
              <w:t>Asset Management Plan Public Lighting</w:t>
            </w:r>
            <w:r>
              <w:rPr>
                <w:rFonts w:eastAsia="Calibri"/>
                <w:lang w:eastAsia="en-US"/>
              </w:rPr>
              <w:t>’ document</w:t>
            </w:r>
            <w:r w:rsidRPr="002C67EC">
              <w:rPr>
                <w:rFonts w:eastAsia="Calibri"/>
                <w:lang w:eastAsia="en-US"/>
              </w:rPr>
              <w:t xml:space="preserve"> (Attachment 15.003)</w:t>
            </w:r>
          </w:p>
        </w:tc>
      </w:tr>
      <w:tr w:rsidR="009F2CDD" w:rsidRPr="002056FA" w14:paraId="53D2D87C" w14:textId="77777777" w:rsidTr="00E169B4">
        <w:tc>
          <w:tcPr>
            <w:tcW w:w="0" w:type="auto"/>
            <w:shd w:val="clear" w:color="auto" w:fill="auto"/>
          </w:tcPr>
          <w:p w14:paraId="46396AD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16.6</w:t>
            </w:r>
          </w:p>
        </w:tc>
        <w:tc>
          <w:tcPr>
            <w:tcW w:w="0" w:type="auto"/>
            <w:shd w:val="clear" w:color="auto" w:fill="auto"/>
          </w:tcPr>
          <w:p w14:paraId="23C4621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the number of luminaires, by type, for the current and forthcoming regulatory control periods.</w:t>
            </w:r>
          </w:p>
        </w:tc>
        <w:tc>
          <w:tcPr>
            <w:tcW w:w="0" w:type="auto"/>
            <w:shd w:val="clear" w:color="auto" w:fill="auto"/>
          </w:tcPr>
          <w:p w14:paraId="3FF4F297" w14:textId="77777777" w:rsidR="009F2CDD" w:rsidRPr="002056FA" w:rsidRDefault="009F2CDD" w:rsidP="00E169B4">
            <w:pPr>
              <w:pStyle w:val="TableCopy"/>
              <w:rPr>
                <w:rFonts w:eastAsia="Calibri"/>
                <w:color w:val="000000"/>
                <w:lang w:eastAsia="en-US"/>
              </w:rPr>
            </w:pPr>
            <w:r w:rsidRPr="002056FA">
              <w:rPr>
                <w:rFonts w:eastAsia="Calibri"/>
                <w:lang w:eastAsia="en-US"/>
              </w:rPr>
              <w:t xml:space="preserve">For the current regulatory control period refer to </w:t>
            </w:r>
            <w:r w:rsidRPr="002056FA">
              <w:rPr>
                <w:rFonts w:eastAsia="Calibri"/>
                <w:color w:val="000000"/>
                <w:lang w:eastAsia="en-US"/>
              </w:rPr>
              <w:t xml:space="preserve">Template 4.1 in the Annual Category Analysis RINs </w:t>
            </w:r>
            <w:r>
              <w:rPr>
                <w:rFonts w:eastAsia="Calibri"/>
                <w:color w:val="000000"/>
                <w:lang w:eastAsia="en-US"/>
              </w:rPr>
              <w:t xml:space="preserve">previously </w:t>
            </w:r>
            <w:r w:rsidRPr="002056FA">
              <w:rPr>
                <w:rFonts w:eastAsia="Calibri"/>
                <w:color w:val="000000"/>
                <w:lang w:eastAsia="en-US"/>
              </w:rPr>
              <w:t>submitted to the AER.</w:t>
            </w:r>
          </w:p>
          <w:p w14:paraId="330B4E97" w14:textId="77777777" w:rsidR="009F2CDD" w:rsidRPr="002056FA" w:rsidRDefault="009F2CDD" w:rsidP="00E169B4">
            <w:pPr>
              <w:pStyle w:val="TableCopy"/>
              <w:rPr>
                <w:rFonts w:eastAsia="Calibri"/>
                <w:lang w:eastAsia="en-US"/>
              </w:rPr>
            </w:pPr>
            <w:r w:rsidRPr="002C67EC">
              <w:rPr>
                <w:rFonts w:eastAsia="Calibri"/>
                <w:lang w:eastAsia="en-US"/>
              </w:rPr>
              <w:t>For the forthcoming regu</w:t>
            </w:r>
            <w:r>
              <w:rPr>
                <w:rFonts w:eastAsia="Calibri"/>
                <w:lang w:eastAsia="en-US"/>
              </w:rPr>
              <w:t xml:space="preserve">latory control period refer to </w:t>
            </w:r>
            <w:r w:rsidRPr="00682032">
              <w:rPr>
                <w:rFonts w:eastAsia="Calibri"/>
                <w:lang w:eastAsia="en-US"/>
              </w:rPr>
              <w:t>ACS Public lighting LED and Conventional Pricing model (Attachment 15.029).</w:t>
            </w:r>
          </w:p>
        </w:tc>
      </w:tr>
      <w:tr w:rsidR="009F2CDD" w:rsidRPr="002056FA" w14:paraId="69E219B1" w14:textId="77777777" w:rsidTr="00E169B4">
        <w:tc>
          <w:tcPr>
            <w:tcW w:w="0" w:type="auto"/>
            <w:shd w:val="clear" w:color="auto" w:fill="auto"/>
          </w:tcPr>
          <w:p w14:paraId="5AC800E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16.7</w:t>
            </w:r>
          </w:p>
        </w:tc>
        <w:tc>
          <w:tcPr>
            <w:tcW w:w="0" w:type="auto"/>
            <w:shd w:val="clear" w:color="auto" w:fill="auto"/>
          </w:tcPr>
          <w:p w14:paraId="45D6D74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the number of luminaires, poles and brackets replaced per year, for the current and forthcoming regulatory control periods.</w:t>
            </w:r>
          </w:p>
        </w:tc>
        <w:tc>
          <w:tcPr>
            <w:tcW w:w="0" w:type="auto"/>
            <w:shd w:val="clear" w:color="auto" w:fill="auto"/>
          </w:tcPr>
          <w:p w14:paraId="5E0CF42A" w14:textId="77777777" w:rsidR="009F2CDD" w:rsidRPr="00AE44BF" w:rsidRDefault="009F2CDD" w:rsidP="00E169B4">
            <w:pPr>
              <w:pStyle w:val="TableCopy"/>
              <w:rPr>
                <w:rFonts w:eastAsia="Calibri"/>
                <w:lang w:eastAsia="en-US"/>
              </w:rPr>
            </w:pPr>
            <w:r w:rsidRPr="00AE44BF">
              <w:rPr>
                <w:rFonts w:eastAsia="Calibri"/>
                <w:lang w:eastAsia="en-US"/>
              </w:rPr>
              <w:t>For the current period refer to Template 4.1 in the Annual Category Analysis RINs previously submitted to the AER.</w:t>
            </w:r>
          </w:p>
          <w:p w14:paraId="31FFCC65" w14:textId="77777777" w:rsidR="009F2CDD" w:rsidRPr="00AE44BF" w:rsidRDefault="009F2CDD" w:rsidP="00E169B4">
            <w:pPr>
              <w:pStyle w:val="TableCopy"/>
              <w:rPr>
                <w:rFonts w:eastAsia="Calibri"/>
                <w:lang w:eastAsia="en-US"/>
              </w:rPr>
            </w:pPr>
            <w:r w:rsidRPr="00AE44BF">
              <w:rPr>
                <w:rFonts w:eastAsia="Calibri"/>
                <w:lang w:eastAsia="en-US"/>
              </w:rPr>
              <w:t>For the forthcoming period refer to Template 4.1 in Workbook 1 – Regulatory Determination.</w:t>
            </w:r>
          </w:p>
          <w:p w14:paraId="3D511010" w14:textId="77777777" w:rsidR="009F2CDD" w:rsidRPr="00AE44BF" w:rsidRDefault="009F2CDD" w:rsidP="00E169B4">
            <w:pPr>
              <w:pStyle w:val="TableCopy"/>
              <w:rPr>
                <w:rFonts w:eastAsia="Calibri"/>
                <w:color w:val="365F91"/>
                <w:lang w:eastAsia="en-US"/>
              </w:rPr>
            </w:pPr>
            <w:r w:rsidRPr="00AE44BF">
              <w:rPr>
                <w:rFonts w:eastAsia="Calibri"/>
                <w:lang w:eastAsia="en-US"/>
              </w:rPr>
              <w:t>For further information re</w:t>
            </w:r>
            <w:r>
              <w:rPr>
                <w:rFonts w:eastAsia="Calibri"/>
                <w:lang w:eastAsia="en-US"/>
              </w:rPr>
              <w:t>fer to the ‘</w:t>
            </w:r>
            <w:r w:rsidRPr="002C67EC">
              <w:rPr>
                <w:rFonts w:eastAsia="Calibri"/>
                <w:lang w:eastAsia="en-US"/>
              </w:rPr>
              <w:t>Asset Management Plan Public Lighting</w:t>
            </w:r>
            <w:r>
              <w:rPr>
                <w:rFonts w:eastAsia="Calibri"/>
                <w:lang w:eastAsia="en-US"/>
              </w:rPr>
              <w:t>’ document</w:t>
            </w:r>
            <w:r w:rsidRPr="002C67EC">
              <w:rPr>
                <w:rFonts w:eastAsia="Calibri"/>
                <w:lang w:eastAsia="en-US"/>
              </w:rPr>
              <w:t xml:space="preserve"> (Attachment 15.003)</w:t>
            </w:r>
            <w:r>
              <w:rPr>
                <w:rFonts w:eastAsia="Calibri"/>
                <w:lang w:eastAsia="en-US"/>
              </w:rPr>
              <w:t>.</w:t>
            </w:r>
          </w:p>
        </w:tc>
      </w:tr>
      <w:tr w:rsidR="009F2CDD" w:rsidRPr="002056FA" w14:paraId="6EC0027B" w14:textId="77777777" w:rsidTr="00E169B4">
        <w:tc>
          <w:tcPr>
            <w:tcW w:w="0" w:type="auto"/>
            <w:shd w:val="clear" w:color="auto" w:fill="auto"/>
          </w:tcPr>
          <w:p w14:paraId="22007A0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16.8</w:t>
            </w:r>
          </w:p>
        </w:tc>
        <w:tc>
          <w:tcPr>
            <w:tcW w:w="0" w:type="auto"/>
            <w:shd w:val="clear" w:color="auto" w:fill="auto"/>
          </w:tcPr>
          <w:p w14:paraId="07558F5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details, including assumptions used, for any other costs that are incurred for the provision of public lighting services.</w:t>
            </w:r>
          </w:p>
        </w:tc>
        <w:tc>
          <w:tcPr>
            <w:tcW w:w="0" w:type="auto"/>
            <w:shd w:val="clear" w:color="auto" w:fill="auto"/>
          </w:tcPr>
          <w:p w14:paraId="7868FD08" w14:textId="77777777" w:rsidR="009F2CDD" w:rsidRPr="00AE44BF" w:rsidRDefault="009F2CDD" w:rsidP="00E169B4">
            <w:pPr>
              <w:pStyle w:val="TableCopy"/>
              <w:rPr>
                <w:rFonts w:eastAsia="Calibri"/>
                <w:color w:val="365F91"/>
                <w:lang w:eastAsia="en-US"/>
              </w:rPr>
            </w:pPr>
            <w:r w:rsidRPr="00AE44BF">
              <w:rPr>
                <w:rFonts w:eastAsia="Calibri"/>
                <w:lang w:eastAsia="en-US"/>
              </w:rPr>
              <w:t xml:space="preserve">For further information </w:t>
            </w:r>
            <w:r>
              <w:rPr>
                <w:rFonts w:eastAsia="Calibri"/>
                <w:lang w:eastAsia="en-US"/>
              </w:rPr>
              <w:t>refer to the ‘</w:t>
            </w:r>
            <w:r w:rsidRPr="002C67EC">
              <w:rPr>
                <w:rFonts w:eastAsia="Calibri"/>
                <w:lang w:eastAsia="en-US"/>
              </w:rPr>
              <w:t>Asset Management Plan Public Lighting</w:t>
            </w:r>
            <w:r>
              <w:rPr>
                <w:rFonts w:eastAsia="Calibri"/>
                <w:lang w:eastAsia="en-US"/>
              </w:rPr>
              <w:t>’ document</w:t>
            </w:r>
            <w:r w:rsidRPr="002C67EC">
              <w:rPr>
                <w:rFonts w:eastAsia="Calibri"/>
                <w:lang w:eastAsia="en-US"/>
              </w:rPr>
              <w:t xml:space="preserve"> (Attachment 15.003)</w:t>
            </w:r>
          </w:p>
        </w:tc>
      </w:tr>
      <w:tr w:rsidR="009F2CDD" w:rsidRPr="002056FA" w14:paraId="74CE2CED" w14:textId="77777777" w:rsidTr="00E169B4">
        <w:tc>
          <w:tcPr>
            <w:tcW w:w="0" w:type="auto"/>
            <w:shd w:val="clear" w:color="auto" w:fill="auto"/>
          </w:tcPr>
          <w:p w14:paraId="572C1C2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16.9</w:t>
            </w:r>
          </w:p>
        </w:tc>
        <w:tc>
          <w:tcPr>
            <w:tcW w:w="0" w:type="auto"/>
            <w:shd w:val="clear" w:color="auto" w:fill="auto"/>
          </w:tcPr>
          <w:p w14:paraId="5240B43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models and/or modelling that underpins proposed charges for the forthcoming regulatory control period and the reasons for the assumptions behind those forecasts.</w:t>
            </w:r>
          </w:p>
        </w:tc>
        <w:tc>
          <w:tcPr>
            <w:tcW w:w="0" w:type="auto"/>
            <w:shd w:val="clear" w:color="auto" w:fill="auto"/>
          </w:tcPr>
          <w:p w14:paraId="174DCC91" w14:textId="77777777" w:rsidR="009F2CDD" w:rsidRPr="002056FA" w:rsidRDefault="009F2CDD" w:rsidP="00E169B4">
            <w:pPr>
              <w:pStyle w:val="TableCopy"/>
              <w:rPr>
                <w:rFonts w:eastAsia="Calibri"/>
                <w:lang w:eastAsia="en-US"/>
              </w:rPr>
            </w:pPr>
            <w:r w:rsidRPr="002056FA">
              <w:rPr>
                <w:rFonts w:eastAsia="Calibri"/>
                <w:lang w:eastAsia="en-US"/>
              </w:rPr>
              <w:t>Refer to:</w:t>
            </w:r>
          </w:p>
          <w:p w14:paraId="1EAD8775" w14:textId="77777777" w:rsidR="009F2CDD" w:rsidRDefault="009F2CDD" w:rsidP="00E169B4">
            <w:pPr>
              <w:pStyle w:val="Bullet1"/>
              <w:rPr>
                <w:sz w:val="20"/>
                <w:szCs w:val="20"/>
              </w:rPr>
            </w:pPr>
            <w:r>
              <w:rPr>
                <w:sz w:val="20"/>
                <w:szCs w:val="20"/>
              </w:rPr>
              <w:t xml:space="preserve">PTRM – ACS public </w:t>
            </w:r>
            <w:r w:rsidRPr="008322C9">
              <w:rPr>
                <w:sz w:val="20"/>
                <w:szCs w:val="20"/>
              </w:rPr>
              <w:t xml:space="preserve">lighting </w:t>
            </w:r>
            <w:r>
              <w:rPr>
                <w:sz w:val="20"/>
                <w:szCs w:val="20"/>
              </w:rPr>
              <w:t xml:space="preserve">conventional </w:t>
            </w:r>
            <w:r w:rsidRPr="008322C9">
              <w:rPr>
                <w:sz w:val="20"/>
                <w:szCs w:val="20"/>
              </w:rPr>
              <w:t>(Attachment 15.018)</w:t>
            </w:r>
          </w:p>
          <w:p w14:paraId="02325080" w14:textId="77777777" w:rsidR="009F2CDD" w:rsidRPr="008322C9" w:rsidRDefault="009F2CDD" w:rsidP="00E169B4">
            <w:pPr>
              <w:pStyle w:val="Bullet1"/>
              <w:rPr>
                <w:sz w:val="20"/>
                <w:szCs w:val="20"/>
              </w:rPr>
            </w:pPr>
            <w:r>
              <w:rPr>
                <w:sz w:val="20"/>
                <w:szCs w:val="20"/>
              </w:rPr>
              <w:t xml:space="preserve">PTRM – ACS public lighting LED (Attachment 15.020) </w:t>
            </w:r>
          </w:p>
          <w:p w14:paraId="5F46EC6E" w14:textId="77777777" w:rsidR="009F2CDD" w:rsidRPr="004F40EC" w:rsidRDefault="009F2CDD" w:rsidP="00E169B4">
            <w:pPr>
              <w:pStyle w:val="Bullet1"/>
              <w:rPr>
                <w:color w:val="365F91"/>
                <w:sz w:val="20"/>
                <w:szCs w:val="20"/>
              </w:rPr>
            </w:pPr>
            <w:r w:rsidRPr="008322C9">
              <w:rPr>
                <w:sz w:val="20"/>
                <w:szCs w:val="20"/>
              </w:rPr>
              <w:t xml:space="preserve">RFM – ACS public lighting </w:t>
            </w:r>
            <w:r>
              <w:rPr>
                <w:sz w:val="20"/>
                <w:szCs w:val="20"/>
              </w:rPr>
              <w:t xml:space="preserve">conventional </w:t>
            </w:r>
            <w:r w:rsidRPr="008322C9">
              <w:rPr>
                <w:sz w:val="20"/>
                <w:szCs w:val="20"/>
              </w:rPr>
              <w:t xml:space="preserve">(Attachment </w:t>
            </w:r>
            <w:r>
              <w:rPr>
                <w:sz w:val="20"/>
                <w:szCs w:val="20"/>
              </w:rPr>
              <w:t>15.024</w:t>
            </w:r>
            <w:r w:rsidRPr="002056FA">
              <w:rPr>
                <w:sz w:val="20"/>
                <w:szCs w:val="20"/>
              </w:rPr>
              <w:t>)</w:t>
            </w:r>
          </w:p>
          <w:p w14:paraId="3EE91F11" w14:textId="77777777" w:rsidR="009F2CDD" w:rsidRPr="00682032" w:rsidRDefault="009F2CDD" w:rsidP="00E169B4">
            <w:pPr>
              <w:pStyle w:val="Bullet1"/>
              <w:rPr>
                <w:color w:val="365F91"/>
                <w:sz w:val="20"/>
                <w:szCs w:val="20"/>
              </w:rPr>
            </w:pPr>
            <w:r>
              <w:rPr>
                <w:sz w:val="20"/>
                <w:szCs w:val="20"/>
              </w:rPr>
              <w:t>RFM – ACS public lighting LED (Attachment 15.026), and</w:t>
            </w:r>
          </w:p>
          <w:p w14:paraId="10599743" w14:textId="77777777" w:rsidR="009F2CDD" w:rsidRPr="002056FA" w:rsidRDefault="009F2CDD" w:rsidP="00E169B4">
            <w:pPr>
              <w:pStyle w:val="Bullet1"/>
              <w:rPr>
                <w:color w:val="365F91"/>
                <w:sz w:val="20"/>
                <w:szCs w:val="20"/>
              </w:rPr>
            </w:pPr>
            <w:r w:rsidRPr="00682032">
              <w:rPr>
                <w:sz w:val="20"/>
                <w:szCs w:val="20"/>
                <w:lang w:val="en-AU"/>
              </w:rPr>
              <w:t>ACS Public lighting LED and Conventional Pricing model (Attachment 15.029).</w:t>
            </w:r>
          </w:p>
          <w:p w14:paraId="580C8EC6" w14:textId="77777777" w:rsidR="009F2CDD" w:rsidRPr="002056FA" w:rsidRDefault="009F2CDD" w:rsidP="00E169B4">
            <w:pPr>
              <w:pStyle w:val="TableCopy"/>
              <w:rPr>
                <w:rFonts w:eastAsia="Calibri"/>
                <w:color w:val="365F91"/>
                <w:lang w:eastAsia="en-US"/>
              </w:rPr>
            </w:pPr>
            <w:r w:rsidRPr="002056FA">
              <w:rPr>
                <w:rFonts w:eastAsia="Calibri"/>
                <w:lang w:eastAsia="en-US"/>
              </w:rPr>
              <w:t xml:space="preserve">For further information about the assumptions refer to </w:t>
            </w:r>
            <w:r>
              <w:rPr>
                <w:rFonts w:eastAsia="Calibri"/>
                <w:lang w:eastAsia="en-US"/>
              </w:rPr>
              <w:t>the ‘</w:t>
            </w:r>
            <w:r w:rsidRPr="00380955">
              <w:rPr>
                <w:rFonts w:eastAsia="Calibri"/>
                <w:lang w:eastAsia="en-US"/>
              </w:rPr>
              <w:t>Asset Management Plan Public Lighting</w:t>
            </w:r>
            <w:r>
              <w:rPr>
                <w:rFonts w:eastAsia="Calibri"/>
                <w:lang w:eastAsia="en-US"/>
              </w:rPr>
              <w:t>’ document</w:t>
            </w:r>
            <w:r w:rsidRPr="00380955">
              <w:rPr>
                <w:rFonts w:eastAsia="Calibri"/>
                <w:lang w:eastAsia="en-US"/>
              </w:rPr>
              <w:t xml:space="preserve"> (Attachment 15.003)</w:t>
            </w:r>
            <w:r>
              <w:rPr>
                <w:rFonts w:eastAsia="Calibri"/>
                <w:lang w:eastAsia="en-US"/>
              </w:rPr>
              <w:t xml:space="preserve"> and our document, Alternative Control Services (Attachment 15.005)</w:t>
            </w:r>
            <w:r w:rsidRPr="00380955">
              <w:rPr>
                <w:rFonts w:eastAsia="Calibri"/>
                <w:lang w:eastAsia="en-US"/>
              </w:rPr>
              <w:t>.</w:t>
            </w:r>
          </w:p>
        </w:tc>
      </w:tr>
      <w:tr w:rsidR="009F2CDD" w:rsidRPr="002056FA" w14:paraId="08423FE8" w14:textId="77777777" w:rsidTr="00E169B4">
        <w:tc>
          <w:tcPr>
            <w:tcW w:w="0" w:type="auto"/>
            <w:tcBorders>
              <w:bottom w:val="single" w:sz="4" w:space="0" w:color="auto"/>
            </w:tcBorders>
            <w:shd w:val="clear" w:color="auto" w:fill="auto"/>
          </w:tcPr>
          <w:p w14:paraId="249E68A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16.10</w:t>
            </w:r>
          </w:p>
        </w:tc>
        <w:tc>
          <w:tcPr>
            <w:tcW w:w="0" w:type="auto"/>
            <w:tcBorders>
              <w:bottom w:val="single" w:sz="4" w:space="0" w:color="auto"/>
            </w:tcBorders>
            <w:shd w:val="clear" w:color="auto" w:fill="auto"/>
          </w:tcPr>
          <w:p w14:paraId="6C20849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public lighting alternative control services, specify the number of customers in each year of the current regulatory control period, and forecasts for the forthcoming regulatory control period.</w:t>
            </w:r>
          </w:p>
        </w:tc>
        <w:tc>
          <w:tcPr>
            <w:tcW w:w="0" w:type="auto"/>
            <w:tcBorders>
              <w:bottom w:val="single" w:sz="4" w:space="0" w:color="auto"/>
            </w:tcBorders>
            <w:shd w:val="clear" w:color="auto" w:fill="auto"/>
          </w:tcPr>
          <w:p w14:paraId="368B4CC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Energex’s customers for public lighting include the 12 local government authorities in Energex’s area, the Department of Transport and Main Roads  and Queensland Rail.</w:t>
            </w:r>
          </w:p>
          <w:p w14:paraId="190C4F13" w14:textId="77777777" w:rsidR="009F2CDD" w:rsidRPr="002056FA" w:rsidRDefault="009F2CDD" w:rsidP="00E169B4">
            <w:pPr>
              <w:pStyle w:val="TableCopy"/>
              <w:rPr>
                <w:rFonts w:eastAsia="Calibri"/>
                <w:lang w:eastAsia="en-US"/>
              </w:rPr>
            </w:pPr>
            <w:r w:rsidRPr="002056FA">
              <w:rPr>
                <w:rFonts w:eastAsia="Calibri"/>
                <w:color w:val="000000"/>
                <w:lang w:eastAsia="en-US"/>
              </w:rPr>
              <w:t>The customer base will remain unchanged for the entire forthcoming regulatory control period.</w:t>
            </w:r>
          </w:p>
        </w:tc>
      </w:tr>
      <w:tr w:rsidR="009F2CDD" w:rsidRPr="002056FA" w14:paraId="68EFF78C" w14:textId="77777777" w:rsidTr="00E169B4">
        <w:tc>
          <w:tcPr>
            <w:tcW w:w="0" w:type="auto"/>
            <w:shd w:val="clear" w:color="auto" w:fill="D0CECE" w:themeFill="background2" w:themeFillShade="E6"/>
          </w:tcPr>
          <w:p w14:paraId="709A5D01"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17</w:t>
            </w:r>
          </w:p>
        </w:tc>
        <w:tc>
          <w:tcPr>
            <w:tcW w:w="0" w:type="auto"/>
            <w:shd w:val="clear" w:color="auto" w:fill="D0CECE" w:themeFill="background2" w:themeFillShade="E6"/>
          </w:tcPr>
          <w:p w14:paraId="6CEED244"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 xml:space="preserve">DEMAND AND CONNECTIONS FORECASTS </w:t>
            </w:r>
          </w:p>
        </w:tc>
        <w:tc>
          <w:tcPr>
            <w:tcW w:w="0" w:type="auto"/>
            <w:shd w:val="clear" w:color="auto" w:fill="D0CECE" w:themeFill="background2" w:themeFillShade="E6"/>
          </w:tcPr>
          <w:p w14:paraId="210571EB" w14:textId="77777777" w:rsidR="009F2CDD" w:rsidRPr="002056FA" w:rsidRDefault="009F2CDD" w:rsidP="00E169B4">
            <w:pPr>
              <w:pStyle w:val="TableCopy"/>
              <w:rPr>
                <w:rFonts w:eastAsia="Calibri"/>
                <w:color w:val="000000"/>
                <w:lang w:eastAsia="en-US"/>
              </w:rPr>
            </w:pPr>
          </w:p>
        </w:tc>
      </w:tr>
      <w:tr w:rsidR="009F2CDD" w:rsidRPr="002056FA" w14:paraId="7E129861" w14:textId="77777777" w:rsidTr="00E169B4">
        <w:tc>
          <w:tcPr>
            <w:tcW w:w="0" w:type="auto"/>
            <w:shd w:val="clear" w:color="auto" w:fill="D0CECE" w:themeFill="background2" w:themeFillShade="E6"/>
          </w:tcPr>
          <w:p w14:paraId="58F8920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17.1</w:t>
            </w:r>
          </w:p>
        </w:tc>
        <w:tc>
          <w:tcPr>
            <w:tcW w:w="0" w:type="auto"/>
            <w:shd w:val="clear" w:color="auto" w:fill="D0CECE" w:themeFill="background2" w:themeFillShade="E6"/>
          </w:tcPr>
          <w:p w14:paraId="5306B3B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and describe the methodology used to prepare the following forecasts for the forthcoming regulatory control period:</w:t>
            </w:r>
          </w:p>
        </w:tc>
        <w:tc>
          <w:tcPr>
            <w:tcW w:w="0" w:type="auto"/>
            <w:shd w:val="clear" w:color="auto" w:fill="D0CECE" w:themeFill="background2" w:themeFillShade="E6"/>
          </w:tcPr>
          <w:p w14:paraId="43285A07" w14:textId="77777777" w:rsidR="009F2CDD" w:rsidRPr="002056FA" w:rsidRDefault="009F2CDD" w:rsidP="00E169B4">
            <w:pPr>
              <w:pStyle w:val="TableCopy"/>
              <w:rPr>
                <w:rFonts w:eastAsia="Calibri"/>
                <w:color w:val="000000"/>
                <w:lang w:eastAsia="en-US"/>
              </w:rPr>
            </w:pPr>
          </w:p>
        </w:tc>
      </w:tr>
      <w:tr w:rsidR="009F2CDD" w:rsidRPr="002056FA" w14:paraId="679F388D" w14:textId="77777777" w:rsidTr="00E169B4">
        <w:tc>
          <w:tcPr>
            <w:tcW w:w="0" w:type="auto"/>
            <w:shd w:val="clear" w:color="auto" w:fill="auto"/>
          </w:tcPr>
          <w:p w14:paraId="2A6CB94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17.1(a)</w:t>
            </w:r>
          </w:p>
        </w:tc>
        <w:tc>
          <w:tcPr>
            <w:tcW w:w="0" w:type="auto"/>
            <w:shd w:val="clear" w:color="auto" w:fill="auto"/>
          </w:tcPr>
          <w:p w14:paraId="280C8BF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maximum demand; and</w:t>
            </w:r>
          </w:p>
        </w:tc>
        <w:tc>
          <w:tcPr>
            <w:tcW w:w="0" w:type="auto"/>
            <w:shd w:val="clear" w:color="auto" w:fill="auto"/>
          </w:tcPr>
          <w:p w14:paraId="04628542" w14:textId="77777777" w:rsidR="009F2CDD" w:rsidRPr="009C137A" w:rsidRDefault="009F2CDD" w:rsidP="00E169B4">
            <w:pPr>
              <w:pStyle w:val="TableCopy"/>
              <w:rPr>
                <w:rFonts w:eastAsia="Calibri"/>
                <w:lang w:eastAsia="en-US"/>
              </w:rPr>
            </w:pPr>
            <w:r w:rsidRPr="009C137A">
              <w:rPr>
                <w:rFonts w:eastAsia="Calibri"/>
                <w:lang w:eastAsia="en-US"/>
              </w:rPr>
              <w:t>The methodology for maximum demand forecasts is detailed in the following documents:</w:t>
            </w:r>
          </w:p>
          <w:p w14:paraId="529EF87C" w14:textId="77777777" w:rsidR="009F2CDD" w:rsidRPr="009C137A" w:rsidRDefault="009F2CDD" w:rsidP="00E169B4">
            <w:pPr>
              <w:pStyle w:val="Bullet1"/>
              <w:rPr>
                <w:sz w:val="20"/>
                <w:szCs w:val="20"/>
              </w:rPr>
            </w:pPr>
            <w:r w:rsidRPr="009C137A">
              <w:rPr>
                <w:sz w:val="20"/>
                <w:szCs w:val="20"/>
              </w:rPr>
              <w:t>Load Forecasting Spatial Maximum Demand (Attachment 17.042)</w:t>
            </w:r>
            <w:r>
              <w:rPr>
                <w:sz w:val="20"/>
                <w:szCs w:val="20"/>
              </w:rPr>
              <w:t>, and</w:t>
            </w:r>
          </w:p>
          <w:p w14:paraId="37AFA023" w14:textId="77777777" w:rsidR="009F2CDD" w:rsidRPr="009C137A" w:rsidRDefault="009F2CDD" w:rsidP="00E169B4">
            <w:pPr>
              <w:pStyle w:val="Bullet1"/>
            </w:pPr>
            <w:r>
              <w:rPr>
                <w:sz w:val="20"/>
                <w:szCs w:val="20"/>
              </w:rPr>
              <w:t>ACIL ALLEN Demand Review Energy Queensland</w:t>
            </w:r>
            <w:r w:rsidRPr="009C137A">
              <w:rPr>
                <w:sz w:val="20"/>
                <w:szCs w:val="20"/>
              </w:rPr>
              <w:t xml:space="preserve"> (Attachment 5.001)</w:t>
            </w:r>
            <w:r>
              <w:rPr>
                <w:sz w:val="20"/>
                <w:szCs w:val="20"/>
              </w:rPr>
              <w:t>.</w:t>
            </w:r>
          </w:p>
        </w:tc>
      </w:tr>
      <w:tr w:rsidR="009F2CDD" w:rsidRPr="002056FA" w14:paraId="71D29CA0" w14:textId="77777777" w:rsidTr="00E169B4">
        <w:tc>
          <w:tcPr>
            <w:tcW w:w="0" w:type="auto"/>
            <w:tcBorders>
              <w:bottom w:val="single" w:sz="4" w:space="0" w:color="auto"/>
            </w:tcBorders>
            <w:shd w:val="clear" w:color="auto" w:fill="auto"/>
          </w:tcPr>
          <w:p w14:paraId="6249714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17.1(b)</w:t>
            </w:r>
          </w:p>
        </w:tc>
        <w:tc>
          <w:tcPr>
            <w:tcW w:w="0" w:type="auto"/>
            <w:tcBorders>
              <w:bottom w:val="single" w:sz="4" w:space="0" w:color="auto"/>
            </w:tcBorders>
            <w:shd w:val="clear" w:color="auto" w:fill="auto"/>
          </w:tcPr>
          <w:p w14:paraId="368ACA5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number of new connections.</w:t>
            </w:r>
          </w:p>
        </w:tc>
        <w:tc>
          <w:tcPr>
            <w:tcW w:w="0" w:type="auto"/>
            <w:tcBorders>
              <w:bottom w:val="single" w:sz="4" w:space="0" w:color="auto"/>
            </w:tcBorders>
            <w:shd w:val="clear" w:color="auto" w:fill="auto"/>
          </w:tcPr>
          <w:p w14:paraId="05824661" w14:textId="77777777" w:rsidR="009F2CDD" w:rsidRPr="009C137A" w:rsidRDefault="009F2CDD" w:rsidP="00E169B4">
            <w:pPr>
              <w:pStyle w:val="TableCopy"/>
              <w:rPr>
                <w:rFonts w:eastAsia="Calibri"/>
                <w:lang w:eastAsia="en-US"/>
              </w:rPr>
            </w:pPr>
            <w:r>
              <w:rPr>
                <w:rFonts w:eastAsia="Calibri"/>
                <w:lang w:eastAsia="en-US"/>
              </w:rPr>
              <w:t xml:space="preserve">Energex considers the number of new connections to refer to customer number forecasts. </w:t>
            </w:r>
            <w:r w:rsidRPr="009C137A">
              <w:rPr>
                <w:rFonts w:eastAsia="Calibri"/>
                <w:lang w:eastAsia="en-US"/>
              </w:rPr>
              <w:t xml:space="preserve">Refer to Chapter </w:t>
            </w:r>
            <w:r>
              <w:rPr>
                <w:rFonts w:eastAsia="Calibri"/>
                <w:lang w:eastAsia="en-US"/>
              </w:rPr>
              <w:t>5</w:t>
            </w:r>
            <w:r w:rsidRPr="009C137A">
              <w:rPr>
                <w:rFonts w:eastAsia="Calibri"/>
                <w:lang w:eastAsia="en-US"/>
              </w:rPr>
              <w:t xml:space="preserve"> o</w:t>
            </w:r>
            <w:r>
              <w:rPr>
                <w:rFonts w:eastAsia="Calibri"/>
                <w:lang w:eastAsia="en-US"/>
              </w:rPr>
              <w:t>f Energex’s Regulatory Proposal.</w:t>
            </w:r>
          </w:p>
        </w:tc>
      </w:tr>
      <w:tr w:rsidR="009F2CDD" w:rsidRPr="002056FA" w14:paraId="28CFF983" w14:textId="77777777" w:rsidTr="00E169B4">
        <w:tc>
          <w:tcPr>
            <w:tcW w:w="0" w:type="auto"/>
            <w:shd w:val="clear" w:color="auto" w:fill="D0CECE" w:themeFill="background2" w:themeFillShade="E6"/>
          </w:tcPr>
          <w:p w14:paraId="37CF987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17.2</w:t>
            </w:r>
          </w:p>
        </w:tc>
        <w:tc>
          <w:tcPr>
            <w:tcW w:w="0" w:type="auto"/>
            <w:shd w:val="clear" w:color="auto" w:fill="D0CECE" w:themeFill="background2" w:themeFillShade="E6"/>
          </w:tcPr>
          <w:p w14:paraId="3218EE4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w:t>
            </w:r>
          </w:p>
        </w:tc>
        <w:tc>
          <w:tcPr>
            <w:tcW w:w="0" w:type="auto"/>
            <w:shd w:val="clear" w:color="auto" w:fill="D0CECE" w:themeFill="background2" w:themeFillShade="E6"/>
          </w:tcPr>
          <w:p w14:paraId="017962CD" w14:textId="77777777" w:rsidR="009F2CDD" w:rsidRPr="009C137A" w:rsidRDefault="009F2CDD" w:rsidP="00E169B4">
            <w:pPr>
              <w:pStyle w:val="TableCopy"/>
              <w:rPr>
                <w:rFonts w:eastAsia="Calibri"/>
                <w:color w:val="365F91"/>
                <w:lang w:eastAsia="en-US"/>
              </w:rPr>
            </w:pPr>
          </w:p>
        </w:tc>
      </w:tr>
      <w:tr w:rsidR="009F2CDD" w:rsidRPr="002056FA" w14:paraId="09CE0FEE" w14:textId="77777777" w:rsidTr="00E169B4">
        <w:tc>
          <w:tcPr>
            <w:tcW w:w="0" w:type="auto"/>
            <w:shd w:val="clear" w:color="auto" w:fill="auto"/>
          </w:tcPr>
          <w:p w14:paraId="4DA3E26B"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17.2(a)</w:t>
            </w:r>
          </w:p>
        </w:tc>
        <w:tc>
          <w:tcPr>
            <w:tcW w:w="0" w:type="auto"/>
            <w:shd w:val="clear" w:color="auto" w:fill="auto"/>
          </w:tcPr>
          <w:p w14:paraId="23320152"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the model(s) Energex used to forecast new connections and maximum demand;</w:t>
            </w:r>
          </w:p>
        </w:tc>
        <w:tc>
          <w:tcPr>
            <w:tcW w:w="0" w:type="auto"/>
            <w:shd w:val="clear" w:color="auto" w:fill="auto"/>
          </w:tcPr>
          <w:p w14:paraId="50696BDF" w14:textId="77777777" w:rsidR="009F2CDD" w:rsidRPr="009C137A" w:rsidRDefault="009F2CDD" w:rsidP="00E169B4">
            <w:pPr>
              <w:pStyle w:val="TableCopy"/>
              <w:rPr>
                <w:rFonts w:eastAsia="Calibri"/>
                <w:lang w:eastAsia="en-US"/>
              </w:rPr>
            </w:pPr>
            <w:r w:rsidRPr="009C137A">
              <w:rPr>
                <w:rFonts w:eastAsia="Calibri"/>
                <w:lang w:eastAsia="en-US"/>
              </w:rPr>
              <w:t xml:space="preserve">Energex </w:t>
            </w:r>
            <w:r>
              <w:rPr>
                <w:rFonts w:eastAsia="Calibri"/>
                <w:lang w:eastAsia="en-US"/>
              </w:rPr>
              <w:t>has</w:t>
            </w:r>
            <w:r w:rsidRPr="009C137A">
              <w:rPr>
                <w:rFonts w:eastAsia="Calibri"/>
                <w:lang w:eastAsia="en-US"/>
              </w:rPr>
              <w:t xml:space="preserve"> not provided models as most relevant information is embedded on </w:t>
            </w:r>
            <w:r>
              <w:rPr>
                <w:rFonts w:eastAsia="Calibri"/>
                <w:lang w:eastAsia="en-US"/>
              </w:rPr>
              <w:t>our internal server</w:t>
            </w:r>
            <w:r w:rsidRPr="009C137A">
              <w:rPr>
                <w:rFonts w:eastAsia="Calibri"/>
                <w:lang w:eastAsia="en-US"/>
              </w:rPr>
              <w:t>. For further information refer to:</w:t>
            </w:r>
          </w:p>
          <w:p w14:paraId="775C35FB" w14:textId="77777777" w:rsidR="009F2CDD" w:rsidRDefault="009F2CDD" w:rsidP="00E169B4">
            <w:pPr>
              <w:pStyle w:val="Bullet1"/>
              <w:rPr>
                <w:sz w:val="20"/>
                <w:szCs w:val="20"/>
              </w:rPr>
            </w:pPr>
            <w:r>
              <w:rPr>
                <w:sz w:val="20"/>
                <w:szCs w:val="20"/>
              </w:rPr>
              <w:t>Chapter 5 of our Regulatory Proposal</w:t>
            </w:r>
          </w:p>
          <w:p w14:paraId="278FD492" w14:textId="77777777" w:rsidR="009F2CDD" w:rsidRPr="009C137A" w:rsidRDefault="009F2CDD" w:rsidP="00E169B4">
            <w:pPr>
              <w:pStyle w:val="Bullet1"/>
              <w:rPr>
                <w:sz w:val="20"/>
                <w:szCs w:val="20"/>
              </w:rPr>
            </w:pPr>
            <w:r w:rsidRPr="009C137A">
              <w:rPr>
                <w:sz w:val="20"/>
                <w:szCs w:val="20"/>
              </w:rPr>
              <w:t>Load Forecasting Spatial Maximum Demand (Attachment 17.042)</w:t>
            </w:r>
            <w:r>
              <w:rPr>
                <w:sz w:val="20"/>
                <w:szCs w:val="20"/>
              </w:rPr>
              <w:t>, and</w:t>
            </w:r>
          </w:p>
          <w:p w14:paraId="53DABE94" w14:textId="77777777" w:rsidR="009F2CDD" w:rsidRPr="009C137A" w:rsidRDefault="009F2CDD" w:rsidP="00E169B4">
            <w:pPr>
              <w:pStyle w:val="Bullet1"/>
            </w:pPr>
            <w:r>
              <w:t>ACIL ALLEN Demand Review Energy Queensland</w:t>
            </w:r>
            <w:r w:rsidRPr="009C137A">
              <w:t xml:space="preserve"> (Attachment 5.001)</w:t>
            </w:r>
            <w:r>
              <w:t>.</w:t>
            </w:r>
          </w:p>
        </w:tc>
      </w:tr>
      <w:tr w:rsidR="009F2CDD" w:rsidRPr="002056FA" w14:paraId="757010BC" w14:textId="77777777" w:rsidTr="00E169B4">
        <w:tc>
          <w:tcPr>
            <w:tcW w:w="0" w:type="auto"/>
            <w:shd w:val="clear" w:color="auto" w:fill="auto"/>
          </w:tcPr>
          <w:p w14:paraId="4145E0F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17.2(b)</w:t>
            </w:r>
          </w:p>
        </w:tc>
        <w:tc>
          <w:tcPr>
            <w:tcW w:w="0" w:type="auto"/>
            <w:shd w:val="clear" w:color="auto" w:fill="auto"/>
          </w:tcPr>
          <w:p w14:paraId="30D47D2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Where Energex’s approach to weather correction has changed, provide historically consistent weather corrected maximum demand data, as per the format in Workbook 1 – Regulatory determination, regulatory templates 3.4 and 5.4 using Energex’s current approach. If any of this data is unavailable, explain why;</w:t>
            </w:r>
          </w:p>
        </w:tc>
        <w:tc>
          <w:tcPr>
            <w:tcW w:w="0" w:type="auto"/>
            <w:shd w:val="clear" w:color="auto" w:fill="auto"/>
          </w:tcPr>
          <w:p w14:paraId="62D34DE9" w14:textId="77777777" w:rsidR="009F2CDD" w:rsidRPr="0025280B" w:rsidRDefault="009F2CDD" w:rsidP="00E169B4">
            <w:pPr>
              <w:pStyle w:val="TableCopy"/>
              <w:rPr>
                <w:rFonts w:eastAsia="Calibri"/>
                <w:lang w:eastAsia="en-US"/>
              </w:rPr>
            </w:pPr>
            <w:r w:rsidRPr="0025280B">
              <w:rPr>
                <w:rFonts w:eastAsia="Calibri"/>
                <w:lang w:eastAsia="en-US"/>
              </w:rPr>
              <w:t xml:space="preserve">Energex </w:t>
            </w:r>
            <w:r>
              <w:rPr>
                <w:rFonts w:eastAsia="Calibri"/>
                <w:lang w:eastAsia="en-US"/>
              </w:rPr>
              <w:t>has</w:t>
            </w:r>
            <w:r w:rsidRPr="0025280B">
              <w:rPr>
                <w:rFonts w:eastAsia="Calibri"/>
                <w:lang w:eastAsia="en-US"/>
              </w:rPr>
              <w:t xml:space="preserve"> provided this information in templates 3.4 to 5.4 of Workbook 1 – Regulatory Determination (Attachment 17.046).</w:t>
            </w:r>
          </w:p>
          <w:p w14:paraId="5F60DBAE" w14:textId="77777777" w:rsidR="009F2CDD" w:rsidRPr="0025280B" w:rsidRDefault="009F2CDD" w:rsidP="00E169B4">
            <w:pPr>
              <w:pStyle w:val="TableCopy"/>
              <w:rPr>
                <w:rFonts w:eastAsia="Calibri"/>
                <w:lang w:eastAsia="en-US"/>
              </w:rPr>
            </w:pPr>
            <w:r w:rsidRPr="0025280B">
              <w:rPr>
                <w:rFonts w:eastAsia="Calibri"/>
                <w:lang w:eastAsia="en-US"/>
              </w:rPr>
              <w:t>For further information refer to:</w:t>
            </w:r>
          </w:p>
          <w:p w14:paraId="21D87B9A" w14:textId="77777777" w:rsidR="009F2CDD" w:rsidRPr="0025280B" w:rsidRDefault="009F2CDD" w:rsidP="00E169B4">
            <w:pPr>
              <w:pStyle w:val="Bullet1"/>
              <w:rPr>
                <w:sz w:val="20"/>
                <w:szCs w:val="20"/>
              </w:rPr>
            </w:pPr>
            <w:r w:rsidRPr="0025280B">
              <w:rPr>
                <w:sz w:val="20"/>
                <w:szCs w:val="20"/>
              </w:rPr>
              <w:t>Load Forecasting Spatial Maximum Demand (Attachment 17.042)</w:t>
            </w:r>
            <w:r>
              <w:rPr>
                <w:sz w:val="20"/>
                <w:szCs w:val="20"/>
              </w:rPr>
              <w:t>, and</w:t>
            </w:r>
          </w:p>
          <w:p w14:paraId="090A912D" w14:textId="77777777" w:rsidR="009F2CDD" w:rsidRPr="0025280B" w:rsidRDefault="009F2CDD" w:rsidP="00E169B4">
            <w:pPr>
              <w:pStyle w:val="Bullet1"/>
            </w:pPr>
            <w:r>
              <w:rPr>
                <w:sz w:val="20"/>
                <w:szCs w:val="20"/>
              </w:rPr>
              <w:t>ACIL ALLEN Demand Review Energy Queensland</w:t>
            </w:r>
            <w:r w:rsidRPr="0025280B">
              <w:rPr>
                <w:sz w:val="20"/>
                <w:szCs w:val="20"/>
              </w:rPr>
              <w:t xml:space="preserve"> (Attachment 5.001)</w:t>
            </w:r>
            <w:r>
              <w:rPr>
                <w:sz w:val="20"/>
                <w:szCs w:val="20"/>
              </w:rPr>
              <w:t>.</w:t>
            </w:r>
          </w:p>
        </w:tc>
      </w:tr>
      <w:tr w:rsidR="009F2CDD" w:rsidRPr="002056FA" w14:paraId="4EBAB014" w14:textId="77777777" w:rsidTr="00E169B4">
        <w:tc>
          <w:tcPr>
            <w:tcW w:w="0" w:type="auto"/>
            <w:shd w:val="clear" w:color="auto" w:fill="auto"/>
          </w:tcPr>
          <w:p w14:paraId="673EEEA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17.2(c)</w:t>
            </w:r>
          </w:p>
        </w:tc>
        <w:tc>
          <w:tcPr>
            <w:tcW w:w="0" w:type="auto"/>
            <w:shd w:val="clear" w:color="auto" w:fill="auto"/>
          </w:tcPr>
          <w:p w14:paraId="7455C43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new connections, volume expenditure data requested in Workbook 1 – Regulatory determination, regulatory template 2.5; and</w:t>
            </w:r>
          </w:p>
        </w:tc>
        <w:tc>
          <w:tcPr>
            <w:tcW w:w="0" w:type="auto"/>
            <w:shd w:val="clear" w:color="auto" w:fill="auto"/>
          </w:tcPr>
          <w:p w14:paraId="19568758" w14:textId="77777777" w:rsidR="009F2CDD" w:rsidRPr="0025280B" w:rsidRDefault="009F2CDD" w:rsidP="00E169B4">
            <w:pPr>
              <w:pStyle w:val="TableCopy"/>
              <w:rPr>
                <w:rFonts w:eastAsia="Calibri"/>
                <w:lang w:eastAsia="en-US"/>
              </w:rPr>
            </w:pPr>
            <w:r w:rsidRPr="0025280B">
              <w:rPr>
                <w:rFonts w:eastAsia="Calibri"/>
                <w:lang w:eastAsia="en-US"/>
              </w:rPr>
              <w:t xml:space="preserve">Energex </w:t>
            </w:r>
            <w:r>
              <w:rPr>
                <w:rFonts w:eastAsia="Calibri"/>
                <w:lang w:eastAsia="en-US"/>
              </w:rPr>
              <w:t>has</w:t>
            </w:r>
            <w:r w:rsidRPr="0025280B">
              <w:rPr>
                <w:rFonts w:eastAsia="Calibri"/>
                <w:lang w:eastAsia="en-US"/>
              </w:rPr>
              <w:t xml:space="preserve"> provided this information in template 2.5 of Workbook 1 – Regulatory Determination (Attachment 17.046).</w:t>
            </w:r>
          </w:p>
          <w:p w14:paraId="27930885" w14:textId="77777777" w:rsidR="009F2CDD" w:rsidRPr="0025280B" w:rsidRDefault="009F2CDD" w:rsidP="00E169B4">
            <w:pPr>
              <w:pStyle w:val="TableCopy"/>
              <w:rPr>
                <w:rFonts w:eastAsia="Calibri"/>
                <w:lang w:eastAsia="en-US"/>
              </w:rPr>
            </w:pPr>
          </w:p>
        </w:tc>
      </w:tr>
      <w:tr w:rsidR="009F2CDD" w:rsidRPr="002056FA" w14:paraId="55FD5FFC" w14:textId="77777777" w:rsidTr="00E169B4">
        <w:tc>
          <w:tcPr>
            <w:tcW w:w="0" w:type="auto"/>
            <w:tcBorders>
              <w:bottom w:val="single" w:sz="4" w:space="0" w:color="auto"/>
            </w:tcBorders>
            <w:shd w:val="clear" w:color="auto" w:fill="auto"/>
          </w:tcPr>
          <w:p w14:paraId="6B01E05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17.2(d)</w:t>
            </w:r>
          </w:p>
        </w:tc>
        <w:tc>
          <w:tcPr>
            <w:tcW w:w="0" w:type="auto"/>
            <w:tcBorders>
              <w:bottom w:val="single" w:sz="4" w:space="0" w:color="auto"/>
            </w:tcBorders>
            <w:shd w:val="clear" w:color="auto" w:fill="auto"/>
          </w:tcPr>
          <w:p w14:paraId="4207FA6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any supporting information or calculations that illustrate how information extracted from Energex’s forecasting model(s) reconciles to, and explains any differences from, information provided in Workbook 1 – Regulatory determination, regulatory templates 2.5, 3.4 and 5.4.</w:t>
            </w:r>
          </w:p>
        </w:tc>
        <w:tc>
          <w:tcPr>
            <w:tcW w:w="0" w:type="auto"/>
            <w:tcBorders>
              <w:bottom w:val="single" w:sz="4" w:space="0" w:color="auto"/>
            </w:tcBorders>
            <w:shd w:val="clear" w:color="auto" w:fill="auto"/>
          </w:tcPr>
          <w:p w14:paraId="471D9C2E" w14:textId="77777777" w:rsidR="009F2CDD" w:rsidRPr="002056FA" w:rsidRDefault="009F2CDD" w:rsidP="00E169B4">
            <w:pPr>
              <w:pStyle w:val="TableCopy"/>
              <w:rPr>
                <w:rFonts w:eastAsia="Calibri"/>
                <w:color w:val="FF0000"/>
                <w:lang w:eastAsia="en-US"/>
              </w:rPr>
            </w:pPr>
            <w:r w:rsidRPr="002056FA">
              <w:rPr>
                <w:rFonts w:eastAsia="Calibri"/>
                <w:lang w:eastAsia="en-US"/>
              </w:rPr>
              <w:t>Energex has no further supporting documentation.</w:t>
            </w:r>
          </w:p>
        </w:tc>
      </w:tr>
      <w:tr w:rsidR="009F2CDD" w:rsidRPr="002056FA" w14:paraId="73A067DB" w14:textId="77777777" w:rsidTr="00E169B4">
        <w:tc>
          <w:tcPr>
            <w:tcW w:w="0" w:type="auto"/>
            <w:shd w:val="clear" w:color="auto" w:fill="D0CECE" w:themeFill="background2" w:themeFillShade="E6"/>
          </w:tcPr>
          <w:p w14:paraId="7458272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w:t>
            </w:r>
          </w:p>
        </w:tc>
        <w:tc>
          <w:tcPr>
            <w:tcW w:w="0" w:type="auto"/>
            <w:shd w:val="clear" w:color="auto" w:fill="D0CECE" w:themeFill="background2" w:themeFillShade="E6"/>
          </w:tcPr>
          <w:p w14:paraId="74E1FBF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each of the methodologies provided and described in response to paragraph 17.1, and, where relevant, data requested under paragraphs 17.2(b) and 17.2(c), explain or provide (as appropriate):</w:t>
            </w:r>
          </w:p>
        </w:tc>
        <w:tc>
          <w:tcPr>
            <w:tcW w:w="0" w:type="auto"/>
            <w:shd w:val="clear" w:color="auto" w:fill="D0CECE" w:themeFill="background2" w:themeFillShade="E6"/>
          </w:tcPr>
          <w:p w14:paraId="1C8D4BC4" w14:textId="77777777" w:rsidR="009F2CDD" w:rsidRPr="002056FA" w:rsidRDefault="009F2CDD" w:rsidP="00E169B4">
            <w:pPr>
              <w:pStyle w:val="TableCopy"/>
              <w:rPr>
                <w:rFonts w:eastAsia="Calibri"/>
                <w:color w:val="365F91"/>
                <w:lang w:eastAsia="en-US"/>
              </w:rPr>
            </w:pPr>
          </w:p>
        </w:tc>
      </w:tr>
      <w:tr w:rsidR="009F2CDD" w:rsidRPr="002056FA" w14:paraId="65D8E11A" w14:textId="77777777" w:rsidTr="00E169B4">
        <w:tc>
          <w:tcPr>
            <w:tcW w:w="0" w:type="auto"/>
            <w:shd w:val="clear" w:color="auto" w:fill="auto"/>
          </w:tcPr>
          <w:p w14:paraId="6BBD2B9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17.3(a)</w:t>
            </w:r>
          </w:p>
        </w:tc>
        <w:tc>
          <w:tcPr>
            <w:tcW w:w="0" w:type="auto"/>
            <w:shd w:val="clear" w:color="auto" w:fill="auto"/>
          </w:tcPr>
          <w:p w14:paraId="533E944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models used;</w:t>
            </w:r>
          </w:p>
        </w:tc>
        <w:tc>
          <w:tcPr>
            <w:tcW w:w="0" w:type="auto"/>
            <w:shd w:val="clear" w:color="auto" w:fill="auto"/>
          </w:tcPr>
          <w:p w14:paraId="22CB3FD6" w14:textId="77777777" w:rsidR="009F2CDD" w:rsidRPr="009C137A" w:rsidRDefault="009F2CDD" w:rsidP="00E169B4">
            <w:pPr>
              <w:pStyle w:val="TableCopy"/>
              <w:rPr>
                <w:rFonts w:eastAsia="Calibri"/>
                <w:lang w:eastAsia="en-US"/>
              </w:rPr>
            </w:pPr>
            <w:r w:rsidRPr="009C137A">
              <w:rPr>
                <w:rFonts w:eastAsia="Calibri"/>
                <w:lang w:eastAsia="en-US"/>
              </w:rPr>
              <w:t xml:space="preserve">Energex </w:t>
            </w:r>
            <w:r>
              <w:rPr>
                <w:rFonts w:eastAsia="Calibri"/>
                <w:lang w:eastAsia="en-US"/>
              </w:rPr>
              <w:t>has</w:t>
            </w:r>
            <w:r w:rsidRPr="009C137A">
              <w:rPr>
                <w:rFonts w:eastAsia="Calibri"/>
                <w:lang w:eastAsia="en-US"/>
              </w:rPr>
              <w:t xml:space="preserve"> not provided models as most relevant information is embedded on </w:t>
            </w:r>
            <w:r>
              <w:rPr>
                <w:rFonts w:eastAsia="Calibri"/>
                <w:lang w:eastAsia="en-US"/>
              </w:rPr>
              <w:t>our internal servers</w:t>
            </w:r>
            <w:r w:rsidRPr="009C137A">
              <w:rPr>
                <w:rFonts w:eastAsia="Calibri"/>
                <w:lang w:eastAsia="en-US"/>
              </w:rPr>
              <w:t>. For further information refer to:</w:t>
            </w:r>
          </w:p>
          <w:p w14:paraId="6A5CB8A0" w14:textId="77777777" w:rsidR="009F2CDD" w:rsidRDefault="009F2CDD" w:rsidP="00E169B4">
            <w:pPr>
              <w:pStyle w:val="Bullet1"/>
              <w:rPr>
                <w:sz w:val="20"/>
                <w:szCs w:val="20"/>
              </w:rPr>
            </w:pPr>
            <w:r>
              <w:rPr>
                <w:sz w:val="20"/>
                <w:szCs w:val="20"/>
              </w:rPr>
              <w:t>Chapter 5 of our Regulatory Proposal</w:t>
            </w:r>
          </w:p>
          <w:p w14:paraId="0223C1B3" w14:textId="77777777" w:rsidR="009F2CDD" w:rsidRPr="009C137A" w:rsidRDefault="009F2CDD" w:rsidP="00E169B4">
            <w:pPr>
              <w:pStyle w:val="Bullet1"/>
              <w:rPr>
                <w:sz w:val="20"/>
                <w:szCs w:val="20"/>
              </w:rPr>
            </w:pPr>
            <w:r w:rsidRPr="009C137A">
              <w:rPr>
                <w:sz w:val="20"/>
                <w:szCs w:val="20"/>
              </w:rPr>
              <w:t>Load Forecasting Spatial Maximum Demand (Attachment 17.042)</w:t>
            </w:r>
            <w:r>
              <w:rPr>
                <w:sz w:val="20"/>
                <w:szCs w:val="20"/>
              </w:rPr>
              <w:t>, and</w:t>
            </w:r>
          </w:p>
          <w:p w14:paraId="30CA8EE6" w14:textId="77777777" w:rsidR="009F2CDD" w:rsidRPr="009C137A" w:rsidRDefault="009F2CDD" w:rsidP="00E169B4">
            <w:pPr>
              <w:pStyle w:val="Bullet1"/>
            </w:pPr>
            <w:r>
              <w:rPr>
                <w:sz w:val="20"/>
                <w:szCs w:val="20"/>
              </w:rPr>
              <w:t>ACIL ALLEN Demand Review Energy Queensland</w:t>
            </w:r>
            <w:r w:rsidRPr="009C137A">
              <w:rPr>
                <w:sz w:val="20"/>
                <w:szCs w:val="20"/>
              </w:rPr>
              <w:t xml:space="preserve"> (Attachment 5.001)</w:t>
            </w:r>
            <w:r>
              <w:rPr>
                <w:sz w:val="20"/>
                <w:szCs w:val="20"/>
              </w:rPr>
              <w:t>.</w:t>
            </w:r>
          </w:p>
        </w:tc>
      </w:tr>
      <w:tr w:rsidR="009F2CDD" w:rsidRPr="002056FA" w14:paraId="7D4FE069" w14:textId="77777777" w:rsidTr="00E169B4">
        <w:tc>
          <w:tcPr>
            <w:tcW w:w="0" w:type="auto"/>
            <w:shd w:val="clear" w:color="auto" w:fill="auto"/>
          </w:tcPr>
          <w:p w14:paraId="4C40813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17.3(b)</w:t>
            </w:r>
          </w:p>
        </w:tc>
        <w:tc>
          <w:tcPr>
            <w:tcW w:w="0" w:type="auto"/>
            <w:shd w:val="clear" w:color="auto" w:fill="auto"/>
          </w:tcPr>
          <w:p w14:paraId="61AA85A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 global  (top-down) and spatial  (bottom-up) demand forecast;</w:t>
            </w:r>
          </w:p>
        </w:tc>
        <w:tc>
          <w:tcPr>
            <w:tcW w:w="0" w:type="auto"/>
            <w:shd w:val="clear" w:color="auto" w:fill="auto"/>
          </w:tcPr>
          <w:p w14:paraId="65D653F9" w14:textId="77777777" w:rsidR="009F2CDD" w:rsidRPr="009C137A" w:rsidRDefault="009F2CDD" w:rsidP="00E169B4">
            <w:pPr>
              <w:pStyle w:val="TableCopy"/>
              <w:rPr>
                <w:rFonts w:eastAsia="Calibri"/>
                <w:lang w:eastAsia="en-US"/>
              </w:rPr>
            </w:pPr>
            <w:r w:rsidRPr="009C137A">
              <w:rPr>
                <w:rFonts w:eastAsia="Calibri"/>
                <w:lang w:eastAsia="en-US"/>
              </w:rPr>
              <w:t>These demand forecasts are explained in:</w:t>
            </w:r>
          </w:p>
          <w:p w14:paraId="6A605E68" w14:textId="77777777" w:rsidR="009F2CDD" w:rsidRPr="009C137A" w:rsidRDefault="009F2CDD" w:rsidP="00E169B4">
            <w:pPr>
              <w:pStyle w:val="Bullet1"/>
              <w:rPr>
                <w:sz w:val="20"/>
                <w:szCs w:val="20"/>
              </w:rPr>
            </w:pPr>
            <w:r w:rsidRPr="009C137A">
              <w:rPr>
                <w:sz w:val="20"/>
                <w:szCs w:val="20"/>
              </w:rPr>
              <w:t>Load Forecasting Spatial Maximum Demand (Attachment 17.042)</w:t>
            </w:r>
            <w:r>
              <w:rPr>
                <w:sz w:val="20"/>
                <w:szCs w:val="20"/>
              </w:rPr>
              <w:t>, and</w:t>
            </w:r>
          </w:p>
          <w:p w14:paraId="0E12ABA7" w14:textId="77777777" w:rsidR="009F2CDD" w:rsidRPr="009C137A" w:rsidRDefault="009F2CDD" w:rsidP="00E169B4">
            <w:pPr>
              <w:pStyle w:val="Bullet1"/>
            </w:pPr>
            <w:r>
              <w:rPr>
                <w:sz w:val="20"/>
                <w:szCs w:val="20"/>
              </w:rPr>
              <w:t>ACIL ALLEN Demand Review Energy Queensland</w:t>
            </w:r>
            <w:r w:rsidRPr="009C137A">
              <w:rPr>
                <w:sz w:val="20"/>
                <w:szCs w:val="20"/>
              </w:rPr>
              <w:t xml:space="preserve"> (Attachment 5.001)</w:t>
            </w:r>
          </w:p>
        </w:tc>
      </w:tr>
      <w:tr w:rsidR="009F2CDD" w:rsidRPr="002056FA" w14:paraId="4210436A" w14:textId="77777777" w:rsidTr="00E169B4">
        <w:tc>
          <w:tcPr>
            <w:tcW w:w="0" w:type="auto"/>
            <w:shd w:val="clear" w:color="auto" w:fill="auto"/>
          </w:tcPr>
          <w:p w14:paraId="7C61059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17.3(c) </w:t>
            </w:r>
          </w:p>
        </w:tc>
        <w:tc>
          <w:tcPr>
            <w:tcW w:w="0" w:type="auto"/>
            <w:shd w:val="clear" w:color="auto" w:fill="auto"/>
          </w:tcPr>
          <w:p w14:paraId="311F7B6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inputs and assumptions used in the models (including in relation to economic growth, </w:t>
            </w:r>
            <w:r w:rsidRPr="002056FA">
              <w:rPr>
                <w:rFonts w:eastAsia="Calibri"/>
                <w:iCs/>
                <w:color w:val="000000"/>
                <w:lang w:eastAsia="en-US"/>
              </w:rPr>
              <w:t xml:space="preserve">connections </w:t>
            </w:r>
            <w:r w:rsidRPr="002056FA">
              <w:rPr>
                <w:rFonts w:eastAsia="Calibri"/>
                <w:color w:val="000000"/>
                <w:lang w:eastAsia="en-US"/>
              </w:rPr>
              <w:t xml:space="preserve">numbers and policy changes and provide any associated models or data relevant to justifying these inputs and assumptions); </w:t>
            </w:r>
          </w:p>
        </w:tc>
        <w:tc>
          <w:tcPr>
            <w:tcW w:w="0" w:type="auto"/>
            <w:shd w:val="clear" w:color="auto" w:fill="auto"/>
          </w:tcPr>
          <w:p w14:paraId="1FCDA4F0" w14:textId="77777777" w:rsidR="009F2CDD" w:rsidRPr="009C137A" w:rsidRDefault="009F2CDD" w:rsidP="00E169B4">
            <w:pPr>
              <w:pStyle w:val="TableCopy"/>
              <w:rPr>
                <w:rFonts w:eastAsia="Calibri"/>
                <w:lang w:eastAsia="en-US"/>
              </w:rPr>
            </w:pPr>
            <w:r w:rsidRPr="009C137A">
              <w:rPr>
                <w:rFonts w:eastAsia="Calibri"/>
                <w:lang w:eastAsia="en-US"/>
              </w:rPr>
              <w:t>The inputs and assumptions used in the modelling for customer connections, energy forecasts, regional demand forecasts and zone substation maximum demand forecasts are set out in</w:t>
            </w:r>
            <w:r>
              <w:rPr>
                <w:rFonts w:eastAsia="Calibri"/>
                <w:lang w:eastAsia="en-US"/>
              </w:rPr>
              <w:t xml:space="preserve"> chapter 5 of our Regulatory Proposal and</w:t>
            </w:r>
            <w:r w:rsidRPr="009C137A">
              <w:rPr>
                <w:rFonts w:eastAsia="Calibri"/>
                <w:lang w:eastAsia="en-US"/>
              </w:rPr>
              <w:t>:</w:t>
            </w:r>
          </w:p>
          <w:p w14:paraId="2F3D5D76" w14:textId="77777777" w:rsidR="009F2CDD" w:rsidRPr="009C137A" w:rsidRDefault="009F2CDD" w:rsidP="00E169B4">
            <w:pPr>
              <w:pStyle w:val="Bullet1"/>
              <w:rPr>
                <w:sz w:val="20"/>
                <w:szCs w:val="20"/>
              </w:rPr>
            </w:pPr>
            <w:r w:rsidRPr="009C137A">
              <w:rPr>
                <w:sz w:val="20"/>
                <w:szCs w:val="20"/>
              </w:rPr>
              <w:t>Load Forecasting Spatial Maximum Demand (Attachment 17.042)</w:t>
            </w:r>
          </w:p>
          <w:p w14:paraId="60373C46" w14:textId="77777777" w:rsidR="009F2CDD" w:rsidRPr="009C137A" w:rsidRDefault="009F2CDD" w:rsidP="00E169B4">
            <w:pPr>
              <w:pStyle w:val="Bullet1"/>
            </w:pPr>
            <w:r>
              <w:rPr>
                <w:sz w:val="20"/>
                <w:szCs w:val="20"/>
              </w:rPr>
              <w:t>ACIL ALLEN Demand Review Energy Queensland</w:t>
            </w:r>
            <w:r w:rsidRPr="009C137A">
              <w:rPr>
                <w:sz w:val="20"/>
                <w:szCs w:val="20"/>
              </w:rPr>
              <w:t xml:space="preserve"> (Attachment 5.001)</w:t>
            </w:r>
          </w:p>
        </w:tc>
      </w:tr>
      <w:tr w:rsidR="009F2CDD" w:rsidRPr="002056FA" w14:paraId="4CAD8C3F" w14:textId="77777777" w:rsidTr="00E169B4">
        <w:tc>
          <w:tcPr>
            <w:tcW w:w="0" w:type="auto"/>
            <w:shd w:val="clear" w:color="auto" w:fill="auto"/>
          </w:tcPr>
          <w:p w14:paraId="04F7084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17.3(d) </w:t>
            </w:r>
          </w:p>
        </w:tc>
        <w:tc>
          <w:tcPr>
            <w:tcW w:w="0" w:type="auto"/>
            <w:shd w:val="clear" w:color="auto" w:fill="auto"/>
          </w:tcPr>
          <w:p w14:paraId="1404A22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w:t>
            </w:r>
            <w:r w:rsidRPr="002056FA">
              <w:rPr>
                <w:rFonts w:eastAsia="Calibri"/>
                <w:iCs/>
                <w:color w:val="000000"/>
                <w:lang w:eastAsia="en-US"/>
              </w:rPr>
              <w:t xml:space="preserve">weather correction </w:t>
            </w:r>
            <w:r w:rsidRPr="002056FA">
              <w:rPr>
                <w:rFonts w:eastAsia="Calibri"/>
                <w:color w:val="000000"/>
                <w:lang w:eastAsia="en-US"/>
              </w:rPr>
              <w:t xml:space="preserve">methodology, how weather data has been used, and how </w:t>
            </w:r>
            <w:r w:rsidRPr="002056FA">
              <w:rPr>
                <w:rFonts w:eastAsia="Calibri"/>
                <w:iCs/>
                <w:color w:val="000000"/>
                <w:lang w:eastAsia="en-US"/>
              </w:rPr>
              <w:t xml:space="preserve">Energex </w:t>
            </w:r>
            <w:r w:rsidRPr="002056FA">
              <w:rPr>
                <w:rFonts w:eastAsia="Calibri"/>
                <w:color w:val="000000"/>
                <w:lang w:eastAsia="en-US"/>
              </w:rPr>
              <w:t xml:space="preserve">’s approach to </w:t>
            </w:r>
            <w:r w:rsidRPr="002056FA">
              <w:rPr>
                <w:rFonts w:eastAsia="Calibri"/>
                <w:iCs/>
                <w:color w:val="000000"/>
                <w:lang w:eastAsia="en-US"/>
              </w:rPr>
              <w:t xml:space="preserve">weather correction </w:t>
            </w:r>
            <w:r w:rsidRPr="002056FA">
              <w:rPr>
                <w:rFonts w:eastAsia="Calibri"/>
                <w:color w:val="000000"/>
                <w:lang w:eastAsia="en-US"/>
              </w:rPr>
              <w:t xml:space="preserve">has changed over time; </w:t>
            </w:r>
          </w:p>
        </w:tc>
        <w:tc>
          <w:tcPr>
            <w:tcW w:w="0" w:type="auto"/>
            <w:shd w:val="clear" w:color="auto" w:fill="auto"/>
          </w:tcPr>
          <w:p w14:paraId="10CD3AF0" w14:textId="77777777" w:rsidR="009F2CDD" w:rsidRPr="009C137A" w:rsidRDefault="009F2CDD" w:rsidP="00E169B4">
            <w:pPr>
              <w:pStyle w:val="TableCopy"/>
              <w:rPr>
                <w:rFonts w:eastAsia="Calibri"/>
                <w:lang w:eastAsia="en-US"/>
              </w:rPr>
            </w:pPr>
            <w:r w:rsidRPr="009C137A">
              <w:rPr>
                <w:rFonts w:eastAsia="Calibri"/>
                <w:lang w:eastAsia="en-US"/>
              </w:rPr>
              <w:t>The weather correction methodology used for our demand forecasts is outlined in:</w:t>
            </w:r>
          </w:p>
          <w:p w14:paraId="2C5AC655" w14:textId="77777777" w:rsidR="009F2CDD" w:rsidRPr="009C137A" w:rsidRDefault="009F2CDD" w:rsidP="00E169B4">
            <w:pPr>
              <w:pStyle w:val="Bullet1"/>
              <w:rPr>
                <w:sz w:val="20"/>
                <w:szCs w:val="20"/>
              </w:rPr>
            </w:pPr>
            <w:r w:rsidRPr="009C137A">
              <w:rPr>
                <w:sz w:val="20"/>
                <w:szCs w:val="20"/>
              </w:rPr>
              <w:t>Load Forecasting Spatial Maximum Demand (Attachment 17.042)</w:t>
            </w:r>
          </w:p>
          <w:p w14:paraId="317766BF" w14:textId="77777777" w:rsidR="009F2CDD" w:rsidRPr="009C137A" w:rsidRDefault="009F2CDD" w:rsidP="00E169B4">
            <w:pPr>
              <w:pStyle w:val="Bullet1"/>
            </w:pPr>
            <w:r>
              <w:rPr>
                <w:sz w:val="20"/>
                <w:szCs w:val="20"/>
              </w:rPr>
              <w:t>ACIL ALLEN Demand Review Energy Queensland</w:t>
            </w:r>
            <w:r w:rsidRPr="009C137A">
              <w:rPr>
                <w:sz w:val="20"/>
                <w:szCs w:val="20"/>
              </w:rPr>
              <w:t xml:space="preserve"> (Attachment 5.001)</w:t>
            </w:r>
          </w:p>
        </w:tc>
      </w:tr>
      <w:tr w:rsidR="009F2CDD" w:rsidRPr="002056FA" w14:paraId="563A6700" w14:textId="77777777" w:rsidTr="00E169B4">
        <w:tc>
          <w:tcPr>
            <w:tcW w:w="0" w:type="auto"/>
            <w:shd w:val="clear" w:color="auto" w:fill="auto"/>
          </w:tcPr>
          <w:p w14:paraId="38EA251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17.3(e) </w:t>
            </w:r>
          </w:p>
        </w:tc>
        <w:tc>
          <w:tcPr>
            <w:tcW w:w="0" w:type="auto"/>
            <w:shd w:val="clear" w:color="auto" w:fill="auto"/>
          </w:tcPr>
          <w:p w14:paraId="099D421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an outline of the treatment of block loads, transfers and switching within the forecasting process;</w:t>
            </w:r>
          </w:p>
        </w:tc>
        <w:tc>
          <w:tcPr>
            <w:tcW w:w="0" w:type="auto"/>
            <w:shd w:val="clear" w:color="auto" w:fill="auto"/>
          </w:tcPr>
          <w:p w14:paraId="70FD2D51" w14:textId="77777777" w:rsidR="009F2CDD" w:rsidRPr="009C137A" w:rsidRDefault="009F2CDD" w:rsidP="00E169B4">
            <w:pPr>
              <w:pStyle w:val="TableCopy"/>
              <w:rPr>
                <w:rFonts w:eastAsia="Calibri"/>
                <w:lang w:eastAsia="en-US"/>
              </w:rPr>
            </w:pPr>
            <w:r w:rsidRPr="009C137A">
              <w:rPr>
                <w:rFonts w:eastAsia="Calibri"/>
                <w:lang w:eastAsia="en-US"/>
              </w:rPr>
              <w:t>Energex applied block loads, transfers, and switching periods in the forecast if they were categorised as committed. These were applied as post-model adjustments to the zone substation maximum demand forecasts. Typically, these changes were in units of MVA, and were therefore converted to MW using a power factor obtained from historical data. The block loads, transfers, and switching included in the forecasts are summarised in:</w:t>
            </w:r>
          </w:p>
          <w:p w14:paraId="3BC068C6" w14:textId="77777777" w:rsidR="009F2CDD" w:rsidRPr="009C137A" w:rsidRDefault="009F2CDD" w:rsidP="00E169B4">
            <w:pPr>
              <w:pStyle w:val="Bullet1"/>
              <w:rPr>
                <w:sz w:val="20"/>
                <w:szCs w:val="20"/>
              </w:rPr>
            </w:pPr>
            <w:r w:rsidRPr="009C137A">
              <w:rPr>
                <w:sz w:val="20"/>
                <w:szCs w:val="20"/>
              </w:rPr>
              <w:t>Load Forecasting Spatial Maximum Demand (Attachment 17.042)</w:t>
            </w:r>
            <w:r>
              <w:rPr>
                <w:sz w:val="20"/>
                <w:szCs w:val="20"/>
              </w:rPr>
              <w:t>, and</w:t>
            </w:r>
          </w:p>
          <w:p w14:paraId="5F804094" w14:textId="77777777" w:rsidR="009F2CDD" w:rsidRPr="009C137A" w:rsidRDefault="009F2CDD" w:rsidP="00E169B4">
            <w:pPr>
              <w:pStyle w:val="Bullet1"/>
            </w:pPr>
            <w:r>
              <w:rPr>
                <w:sz w:val="20"/>
                <w:szCs w:val="20"/>
              </w:rPr>
              <w:t>ACIL ALLEN Demand Review Energy Queensland</w:t>
            </w:r>
            <w:r w:rsidRPr="009C137A">
              <w:rPr>
                <w:sz w:val="20"/>
                <w:szCs w:val="20"/>
              </w:rPr>
              <w:t xml:space="preserve"> (Attachment 5.001)</w:t>
            </w:r>
            <w:r>
              <w:rPr>
                <w:sz w:val="20"/>
                <w:szCs w:val="20"/>
              </w:rPr>
              <w:t>.</w:t>
            </w:r>
          </w:p>
        </w:tc>
      </w:tr>
      <w:tr w:rsidR="009F2CDD" w:rsidRPr="002056FA" w14:paraId="57A7A138" w14:textId="77777777" w:rsidTr="00E169B4">
        <w:tc>
          <w:tcPr>
            <w:tcW w:w="0" w:type="auto"/>
            <w:shd w:val="clear" w:color="auto" w:fill="auto"/>
          </w:tcPr>
          <w:p w14:paraId="198E40C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17.3(f) </w:t>
            </w:r>
          </w:p>
        </w:tc>
        <w:tc>
          <w:tcPr>
            <w:tcW w:w="0" w:type="auto"/>
            <w:shd w:val="clear" w:color="auto" w:fill="auto"/>
          </w:tcPr>
          <w:p w14:paraId="015884C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each appliance model  used, where used, or assumptions relating to average customer energy usage (by customer type);</w:t>
            </w:r>
          </w:p>
        </w:tc>
        <w:tc>
          <w:tcPr>
            <w:tcW w:w="0" w:type="auto"/>
            <w:shd w:val="clear" w:color="auto" w:fill="auto"/>
          </w:tcPr>
          <w:p w14:paraId="3BE9FE96" w14:textId="77777777" w:rsidR="009F2CDD" w:rsidRPr="009C137A" w:rsidRDefault="009F2CDD" w:rsidP="00E169B4">
            <w:pPr>
              <w:pStyle w:val="TableCopy"/>
              <w:rPr>
                <w:rFonts w:eastAsia="Calibri"/>
                <w:lang w:eastAsia="en-US"/>
              </w:rPr>
            </w:pPr>
            <w:r w:rsidRPr="009C137A">
              <w:rPr>
                <w:rFonts w:eastAsia="Calibri"/>
                <w:lang w:eastAsia="en-US"/>
              </w:rPr>
              <w:t xml:space="preserve">Energex’s energy forecasting process did not apply an appliance model approach. Our approach for deriving energy forecasts is explained in the </w:t>
            </w:r>
            <w:r>
              <w:rPr>
                <w:rFonts w:eastAsia="Calibri"/>
                <w:lang w:eastAsia="en-US"/>
              </w:rPr>
              <w:t xml:space="preserve">chapter 5 of our Regulatory Proposal and in the </w:t>
            </w:r>
            <w:r w:rsidRPr="009C137A">
              <w:rPr>
                <w:rFonts w:eastAsia="Calibri"/>
                <w:lang w:eastAsia="en-US"/>
              </w:rPr>
              <w:t xml:space="preserve">ACIL Allen document referenced below. </w:t>
            </w:r>
          </w:p>
          <w:p w14:paraId="1AD8A0DB" w14:textId="77777777" w:rsidR="009F2CDD" w:rsidRPr="009C137A" w:rsidRDefault="009F2CDD" w:rsidP="00E169B4">
            <w:pPr>
              <w:pStyle w:val="TableCopy"/>
              <w:rPr>
                <w:rFonts w:eastAsia="Calibri"/>
                <w:lang w:eastAsia="en-US"/>
              </w:rPr>
            </w:pPr>
            <w:r w:rsidRPr="009C137A">
              <w:rPr>
                <w:rFonts w:eastAsia="Calibri"/>
                <w:lang w:eastAsia="en-US"/>
              </w:rPr>
              <w:t>In summary we used a weather-based regression model built from daily system consumption data, correlated against weather data from weather stations near demand centres. This model was then used to create a ‘base year’ forecast. The base forecast year assumes median weather data to capture seasonal effects in electricity consumption.</w:t>
            </w:r>
          </w:p>
          <w:p w14:paraId="039FA0C4" w14:textId="77777777" w:rsidR="009F2CDD" w:rsidRPr="009C137A" w:rsidRDefault="009F2CDD" w:rsidP="00E169B4">
            <w:pPr>
              <w:pStyle w:val="TableCopy"/>
              <w:rPr>
                <w:rFonts w:eastAsia="Calibri"/>
                <w:lang w:eastAsia="en-US"/>
              </w:rPr>
            </w:pPr>
            <w:r w:rsidRPr="009C137A">
              <w:rPr>
                <w:rFonts w:eastAsia="Calibri"/>
                <w:lang w:eastAsia="en-US"/>
              </w:rPr>
              <w:t>The forecast was then grown on an annual basis, applying both positive (such as connections growth) and negative demand drivers (such as rooftop PV). Further information is provided in:</w:t>
            </w:r>
          </w:p>
          <w:p w14:paraId="1DE74351" w14:textId="77777777" w:rsidR="009F2CDD" w:rsidRPr="009C137A" w:rsidRDefault="009F2CDD" w:rsidP="00E169B4">
            <w:pPr>
              <w:pStyle w:val="Bullet1"/>
              <w:rPr>
                <w:sz w:val="20"/>
                <w:szCs w:val="20"/>
              </w:rPr>
            </w:pPr>
            <w:r w:rsidRPr="009C137A">
              <w:rPr>
                <w:sz w:val="20"/>
                <w:szCs w:val="20"/>
              </w:rPr>
              <w:t>Load Forecasting Spatial Maximum Demand (Attachment 17.042)</w:t>
            </w:r>
            <w:r>
              <w:rPr>
                <w:sz w:val="20"/>
                <w:szCs w:val="20"/>
              </w:rPr>
              <w:t>, and</w:t>
            </w:r>
          </w:p>
          <w:p w14:paraId="4C0E322C" w14:textId="77777777" w:rsidR="009F2CDD" w:rsidRPr="009C137A" w:rsidRDefault="009F2CDD" w:rsidP="00E169B4">
            <w:pPr>
              <w:pStyle w:val="Bullet1"/>
            </w:pPr>
            <w:r>
              <w:rPr>
                <w:sz w:val="20"/>
                <w:szCs w:val="20"/>
              </w:rPr>
              <w:t>ACIL ALLEN Demand Review Energy Queensland</w:t>
            </w:r>
            <w:r w:rsidRPr="009C137A">
              <w:rPr>
                <w:sz w:val="20"/>
                <w:szCs w:val="20"/>
              </w:rPr>
              <w:t xml:space="preserve"> (Attachment 5.001)</w:t>
            </w:r>
            <w:r>
              <w:rPr>
                <w:sz w:val="20"/>
                <w:szCs w:val="20"/>
              </w:rPr>
              <w:t>.</w:t>
            </w:r>
          </w:p>
        </w:tc>
      </w:tr>
      <w:tr w:rsidR="009F2CDD" w:rsidRPr="002056FA" w14:paraId="2041BAF9" w14:textId="77777777" w:rsidTr="00E169B4">
        <w:tc>
          <w:tcPr>
            <w:tcW w:w="0" w:type="auto"/>
            <w:shd w:val="clear" w:color="auto" w:fill="auto"/>
          </w:tcPr>
          <w:p w14:paraId="54E0B60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17.3(g) </w:t>
            </w:r>
          </w:p>
        </w:tc>
        <w:tc>
          <w:tcPr>
            <w:tcW w:w="0" w:type="auto"/>
            <w:shd w:val="clear" w:color="auto" w:fill="auto"/>
          </w:tcPr>
          <w:p w14:paraId="4BB374A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how the forecasting methodology used is consistent with, and takes into account, historical observations (where appropriate), including any calibration processes undertaken within the model (specifically whether the load forecast is matched against actual historical load on the system and substations);</w:t>
            </w:r>
          </w:p>
        </w:tc>
        <w:tc>
          <w:tcPr>
            <w:tcW w:w="0" w:type="auto"/>
            <w:shd w:val="clear" w:color="auto" w:fill="auto"/>
          </w:tcPr>
          <w:p w14:paraId="3E8FAD52" w14:textId="77777777" w:rsidR="009F2CDD" w:rsidRPr="009C137A" w:rsidRDefault="009F2CDD" w:rsidP="00E169B4">
            <w:pPr>
              <w:pStyle w:val="TableCopy"/>
              <w:rPr>
                <w:rFonts w:eastAsia="Calibri"/>
                <w:lang w:eastAsia="en-US"/>
              </w:rPr>
            </w:pPr>
            <w:r w:rsidRPr="009C137A">
              <w:rPr>
                <w:rFonts w:eastAsia="Calibri"/>
                <w:lang w:eastAsia="en-US"/>
              </w:rPr>
              <w:t xml:space="preserve">The following documents explain how the historical observations of energy, customer connections and maximum demand form the basis of Energex’s modelling approach. </w:t>
            </w:r>
          </w:p>
          <w:p w14:paraId="28F8FD87" w14:textId="77777777" w:rsidR="009F2CDD" w:rsidRPr="009C137A" w:rsidRDefault="009F2CDD" w:rsidP="00E169B4">
            <w:pPr>
              <w:pStyle w:val="Bullet1"/>
              <w:rPr>
                <w:sz w:val="20"/>
                <w:szCs w:val="20"/>
              </w:rPr>
            </w:pPr>
            <w:r w:rsidRPr="009C137A">
              <w:rPr>
                <w:sz w:val="20"/>
                <w:szCs w:val="20"/>
              </w:rPr>
              <w:t>Load Forecasting Spatial Maximum Demand (Attachment 17.042)</w:t>
            </w:r>
            <w:r>
              <w:rPr>
                <w:sz w:val="20"/>
                <w:szCs w:val="20"/>
              </w:rPr>
              <w:t>, and</w:t>
            </w:r>
          </w:p>
          <w:p w14:paraId="7322FC9B" w14:textId="77777777" w:rsidR="009F2CDD" w:rsidRPr="009C137A" w:rsidRDefault="009F2CDD" w:rsidP="00E169B4">
            <w:pPr>
              <w:pStyle w:val="Bullet1"/>
            </w:pPr>
            <w:r>
              <w:rPr>
                <w:sz w:val="20"/>
                <w:szCs w:val="20"/>
              </w:rPr>
              <w:t>ACIL ALLEN Demand Review Energy Queensland</w:t>
            </w:r>
            <w:r w:rsidRPr="009C137A">
              <w:rPr>
                <w:sz w:val="20"/>
                <w:szCs w:val="20"/>
              </w:rPr>
              <w:t xml:space="preserve"> (Attachment 5.001)</w:t>
            </w:r>
            <w:r>
              <w:rPr>
                <w:sz w:val="20"/>
                <w:szCs w:val="20"/>
              </w:rPr>
              <w:t>.</w:t>
            </w:r>
          </w:p>
        </w:tc>
      </w:tr>
      <w:tr w:rsidR="009F2CDD" w:rsidRPr="002056FA" w14:paraId="0783862A" w14:textId="77777777" w:rsidTr="00E169B4">
        <w:tc>
          <w:tcPr>
            <w:tcW w:w="0" w:type="auto"/>
            <w:tcBorders>
              <w:bottom w:val="single" w:sz="4" w:space="0" w:color="auto"/>
            </w:tcBorders>
            <w:shd w:val="clear" w:color="auto" w:fill="auto"/>
          </w:tcPr>
          <w:p w14:paraId="14AEB54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17.3(h) </w:t>
            </w:r>
          </w:p>
        </w:tc>
        <w:tc>
          <w:tcPr>
            <w:tcW w:w="0" w:type="auto"/>
            <w:tcBorders>
              <w:bottom w:val="single" w:sz="4" w:space="0" w:color="auto"/>
            </w:tcBorders>
            <w:shd w:val="clear" w:color="auto" w:fill="auto"/>
          </w:tcPr>
          <w:p w14:paraId="0D6C4D7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how the resulting forecast data is consistent across forecasts provided for each network element identified in Workbook 1 – Regulatory determination, regulatory template 5.4 and system wide forecasts;</w:t>
            </w:r>
          </w:p>
        </w:tc>
        <w:tc>
          <w:tcPr>
            <w:tcW w:w="0" w:type="auto"/>
            <w:tcBorders>
              <w:bottom w:val="single" w:sz="4" w:space="0" w:color="auto"/>
            </w:tcBorders>
            <w:shd w:val="clear" w:color="auto" w:fill="auto"/>
          </w:tcPr>
          <w:p w14:paraId="0EE39ED4" w14:textId="77777777" w:rsidR="009F2CDD" w:rsidRPr="002056FA" w:rsidRDefault="009F2CDD" w:rsidP="00E169B4">
            <w:pPr>
              <w:pStyle w:val="TableCopy"/>
              <w:rPr>
                <w:rFonts w:eastAsia="Calibri"/>
                <w:lang w:eastAsia="en-US"/>
              </w:rPr>
            </w:pPr>
            <w:r w:rsidRPr="002056FA">
              <w:rPr>
                <w:rFonts w:eastAsia="Calibri"/>
                <w:lang w:eastAsia="en-US"/>
              </w:rPr>
              <w:t xml:space="preserve">Energex’s approach has sought to reconcile forecasts between, zone substations, sub-transmission substations and connection points. This is explained in: </w:t>
            </w:r>
          </w:p>
          <w:p w14:paraId="4D50D606" w14:textId="77777777" w:rsidR="009F2CDD" w:rsidRPr="009C137A" w:rsidRDefault="009F2CDD" w:rsidP="00E169B4">
            <w:pPr>
              <w:pStyle w:val="Bullet1"/>
              <w:rPr>
                <w:sz w:val="20"/>
                <w:szCs w:val="20"/>
              </w:rPr>
            </w:pPr>
            <w:r w:rsidRPr="002056FA">
              <w:rPr>
                <w:sz w:val="20"/>
                <w:szCs w:val="20"/>
              </w:rPr>
              <w:t>Load Forecasting Spatial Maximum Demand (</w:t>
            </w:r>
            <w:r w:rsidRPr="009C137A">
              <w:rPr>
                <w:sz w:val="20"/>
                <w:szCs w:val="20"/>
              </w:rPr>
              <w:t>Attachment 17.042)</w:t>
            </w:r>
            <w:r>
              <w:rPr>
                <w:sz w:val="20"/>
                <w:szCs w:val="20"/>
              </w:rPr>
              <w:t>, and</w:t>
            </w:r>
          </w:p>
          <w:p w14:paraId="312F880F" w14:textId="77777777" w:rsidR="009F2CDD" w:rsidRPr="002056FA" w:rsidRDefault="009F2CDD" w:rsidP="00E169B4">
            <w:pPr>
              <w:pStyle w:val="Bullet1"/>
            </w:pPr>
            <w:r>
              <w:rPr>
                <w:sz w:val="20"/>
                <w:szCs w:val="20"/>
              </w:rPr>
              <w:t>ACIL ALLEN Demand Review Energy Queensland</w:t>
            </w:r>
            <w:r w:rsidRPr="002056FA">
              <w:rPr>
                <w:sz w:val="20"/>
                <w:szCs w:val="20"/>
              </w:rPr>
              <w:t xml:space="preserve"> </w:t>
            </w:r>
            <w:r w:rsidRPr="009C137A">
              <w:rPr>
                <w:sz w:val="20"/>
                <w:szCs w:val="20"/>
              </w:rPr>
              <w:t>(Attachment 5.001)</w:t>
            </w:r>
            <w:r>
              <w:rPr>
                <w:sz w:val="20"/>
                <w:szCs w:val="20"/>
              </w:rPr>
              <w:t>.</w:t>
            </w:r>
          </w:p>
        </w:tc>
      </w:tr>
      <w:tr w:rsidR="009F2CDD" w:rsidRPr="002056FA" w14:paraId="18CC5119" w14:textId="77777777" w:rsidTr="00E169B4">
        <w:tc>
          <w:tcPr>
            <w:tcW w:w="0" w:type="auto"/>
            <w:shd w:val="clear" w:color="auto" w:fill="D0CECE" w:themeFill="background2" w:themeFillShade="E6"/>
          </w:tcPr>
          <w:p w14:paraId="5BBE9D2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17.3(i)</w:t>
            </w:r>
          </w:p>
        </w:tc>
        <w:tc>
          <w:tcPr>
            <w:tcW w:w="0" w:type="auto"/>
            <w:shd w:val="clear" w:color="auto" w:fill="D0CECE" w:themeFill="background2" w:themeFillShade="E6"/>
          </w:tcPr>
          <w:p w14:paraId="3A9F94D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how the forecasts resulting from these methods and assumptions have been used in determining the following:</w:t>
            </w:r>
          </w:p>
        </w:tc>
        <w:tc>
          <w:tcPr>
            <w:tcW w:w="0" w:type="auto"/>
            <w:shd w:val="clear" w:color="auto" w:fill="D0CECE" w:themeFill="background2" w:themeFillShade="E6"/>
          </w:tcPr>
          <w:p w14:paraId="171EEF3A" w14:textId="77777777" w:rsidR="009F2CDD" w:rsidRPr="002056FA" w:rsidRDefault="009F2CDD" w:rsidP="00E169B4">
            <w:pPr>
              <w:pStyle w:val="TableCopy"/>
              <w:rPr>
                <w:rFonts w:eastAsia="Calibri"/>
                <w:color w:val="000000"/>
                <w:lang w:eastAsia="en-US"/>
              </w:rPr>
            </w:pPr>
          </w:p>
        </w:tc>
      </w:tr>
      <w:tr w:rsidR="009F2CDD" w:rsidRPr="002056FA" w14:paraId="69DEC9FE" w14:textId="77777777" w:rsidTr="00E169B4">
        <w:tc>
          <w:tcPr>
            <w:tcW w:w="0" w:type="auto"/>
            <w:shd w:val="clear" w:color="auto" w:fill="auto"/>
          </w:tcPr>
          <w:p w14:paraId="714FFB6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17.3(i)(i)</w:t>
            </w:r>
          </w:p>
        </w:tc>
        <w:tc>
          <w:tcPr>
            <w:tcW w:w="0" w:type="auto"/>
            <w:shd w:val="clear" w:color="auto" w:fill="auto"/>
          </w:tcPr>
          <w:p w14:paraId="246D928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capex forecasts; and</w:t>
            </w:r>
          </w:p>
        </w:tc>
        <w:tc>
          <w:tcPr>
            <w:tcW w:w="0" w:type="auto"/>
            <w:shd w:val="clear" w:color="auto" w:fill="auto"/>
          </w:tcPr>
          <w:p w14:paraId="1A9A86A1" w14:textId="77777777" w:rsidR="009F2CDD" w:rsidRPr="002056FA" w:rsidRDefault="009F2CDD" w:rsidP="00E169B4">
            <w:pPr>
              <w:pStyle w:val="TableCopy"/>
              <w:rPr>
                <w:rFonts w:eastAsia="Calibri"/>
                <w:lang w:eastAsia="en-US"/>
              </w:rPr>
            </w:pPr>
            <w:r w:rsidRPr="002056FA">
              <w:rPr>
                <w:rFonts w:eastAsia="Calibri"/>
                <w:lang w:eastAsia="en-US"/>
              </w:rPr>
              <w:t>The maximum demand forecasts have been a key input to developing our capital expenditure programs. Specifically, Energex has used spatial demand forecasts to determine whether there may be a constraint on the network because of forecast peak demand or where retirement of an asset is required. For further information refer to:</w:t>
            </w:r>
          </w:p>
          <w:p w14:paraId="352B9C91" w14:textId="77777777" w:rsidR="009F2CDD" w:rsidRPr="002056FA" w:rsidRDefault="009F2CDD" w:rsidP="00E169B4">
            <w:pPr>
              <w:pStyle w:val="Bullet1"/>
              <w:rPr>
                <w:sz w:val="20"/>
                <w:szCs w:val="20"/>
              </w:rPr>
            </w:pPr>
            <w:r w:rsidRPr="002056FA">
              <w:rPr>
                <w:sz w:val="20"/>
                <w:szCs w:val="20"/>
              </w:rPr>
              <w:t xml:space="preserve">EQL Customer Reliability </w:t>
            </w:r>
            <w:r w:rsidRPr="003710D3">
              <w:rPr>
                <w:sz w:val="20"/>
                <w:szCs w:val="20"/>
              </w:rPr>
              <w:t>Strategy (Attachment 7.048)</w:t>
            </w:r>
            <w:r>
              <w:rPr>
                <w:sz w:val="20"/>
                <w:szCs w:val="20"/>
              </w:rPr>
              <w:t>, and</w:t>
            </w:r>
          </w:p>
          <w:p w14:paraId="6522247D" w14:textId="77777777" w:rsidR="009F2CDD" w:rsidRPr="002056FA" w:rsidRDefault="009F2CDD" w:rsidP="00E169B4">
            <w:pPr>
              <w:pStyle w:val="Bullet1"/>
            </w:pPr>
            <w:r>
              <w:rPr>
                <w:sz w:val="20"/>
                <w:szCs w:val="20"/>
              </w:rPr>
              <w:t xml:space="preserve">the DAPR (Attachment 7.049).  </w:t>
            </w:r>
          </w:p>
        </w:tc>
      </w:tr>
      <w:tr w:rsidR="009F2CDD" w:rsidRPr="002056FA" w14:paraId="44D9DB5F" w14:textId="77777777" w:rsidTr="00E169B4">
        <w:tc>
          <w:tcPr>
            <w:tcW w:w="0" w:type="auto"/>
            <w:shd w:val="clear" w:color="auto" w:fill="auto"/>
          </w:tcPr>
          <w:p w14:paraId="22F7F56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17.3(i)(ii)</w:t>
            </w:r>
          </w:p>
        </w:tc>
        <w:tc>
          <w:tcPr>
            <w:tcW w:w="0" w:type="auto"/>
            <w:shd w:val="clear" w:color="auto" w:fill="auto"/>
          </w:tcPr>
          <w:p w14:paraId="1D8E725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operating and maintenance expenditure forecasts.</w:t>
            </w:r>
          </w:p>
        </w:tc>
        <w:tc>
          <w:tcPr>
            <w:tcW w:w="0" w:type="auto"/>
            <w:shd w:val="clear" w:color="auto" w:fill="auto"/>
          </w:tcPr>
          <w:p w14:paraId="7CC57275" w14:textId="77777777" w:rsidR="009F2CDD" w:rsidRPr="003710D3" w:rsidRDefault="009F2CDD" w:rsidP="00E169B4">
            <w:pPr>
              <w:pStyle w:val="TableCopy"/>
              <w:rPr>
                <w:rFonts w:eastAsia="Calibri"/>
                <w:lang w:eastAsia="en-US"/>
              </w:rPr>
            </w:pPr>
            <w:r w:rsidRPr="003710D3">
              <w:rPr>
                <w:rFonts w:eastAsia="Calibri"/>
                <w:lang w:eastAsia="en-US"/>
              </w:rPr>
              <w:t xml:space="preserve">Energex’s Opex </w:t>
            </w:r>
            <w:r>
              <w:rPr>
                <w:rFonts w:eastAsia="Calibri"/>
                <w:lang w:eastAsia="en-US"/>
              </w:rPr>
              <w:t>BST</w:t>
            </w:r>
            <w:r w:rsidRPr="003710D3">
              <w:rPr>
                <w:rFonts w:eastAsia="Calibri"/>
                <w:lang w:eastAsia="en-US"/>
              </w:rPr>
              <w:t xml:space="preserve"> model applies a “rate of change” forecast to determine Opex in each regulatory year of the forthcoming period. The rate of change calculation uses customer number growth and maximum (ratcheted) demand forecasts. For further information refer to</w:t>
            </w:r>
            <w:r>
              <w:rPr>
                <w:rFonts w:eastAsia="Calibri"/>
                <w:lang w:eastAsia="en-US"/>
              </w:rPr>
              <w:t xml:space="preserve"> chapter 6 of our Regulatory Proposal.</w:t>
            </w:r>
          </w:p>
          <w:p w14:paraId="3DC4E033" w14:textId="77777777" w:rsidR="009F2CDD" w:rsidRPr="003710D3" w:rsidRDefault="009F2CDD" w:rsidP="00E169B4">
            <w:pPr>
              <w:pStyle w:val="Bullet1"/>
            </w:pPr>
          </w:p>
        </w:tc>
      </w:tr>
      <w:tr w:rsidR="009F2CDD" w:rsidRPr="002056FA" w14:paraId="20AA6974" w14:textId="77777777" w:rsidTr="00E169B4">
        <w:tc>
          <w:tcPr>
            <w:tcW w:w="0" w:type="auto"/>
            <w:shd w:val="clear" w:color="auto" w:fill="auto"/>
          </w:tcPr>
          <w:p w14:paraId="74C192F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17.3(j)</w:t>
            </w:r>
          </w:p>
        </w:tc>
        <w:tc>
          <w:tcPr>
            <w:tcW w:w="0" w:type="auto"/>
            <w:shd w:val="clear" w:color="auto" w:fill="auto"/>
          </w:tcPr>
          <w:p w14:paraId="4130FF0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whether Energex used the forecasting model(s) it used in the joint planning process for the purposes of its regulatory proposal;</w:t>
            </w:r>
          </w:p>
        </w:tc>
        <w:tc>
          <w:tcPr>
            <w:tcW w:w="0" w:type="auto"/>
            <w:shd w:val="clear" w:color="auto" w:fill="auto"/>
          </w:tcPr>
          <w:p w14:paraId="0FB57B67" w14:textId="77777777" w:rsidR="009F2CDD" w:rsidRPr="003710D3" w:rsidRDefault="009F2CDD" w:rsidP="00E169B4">
            <w:pPr>
              <w:pStyle w:val="TableCopy"/>
              <w:rPr>
                <w:rFonts w:eastAsia="Calibri"/>
                <w:lang w:eastAsia="en-US"/>
              </w:rPr>
            </w:pPr>
            <w:r w:rsidRPr="003710D3">
              <w:rPr>
                <w:rFonts w:eastAsia="Calibri"/>
                <w:lang w:eastAsia="en-US"/>
              </w:rPr>
              <w:t>For further information refer to:</w:t>
            </w:r>
          </w:p>
          <w:p w14:paraId="404BE48D" w14:textId="77777777" w:rsidR="009F2CDD" w:rsidRPr="003710D3" w:rsidRDefault="009F2CDD" w:rsidP="00E169B4">
            <w:pPr>
              <w:pStyle w:val="Bullet1"/>
              <w:rPr>
                <w:sz w:val="20"/>
                <w:szCs w:val="20"/>
              </w:rPr>
            </w:pPr>
            <w:r w:rsidRPr="003710D3">
              <w:rPr>
                <w:sz w:val="20"/>
                <w:szCs w:val="20"/>
              </w:rPr>
              <w:t>Load Forecasting Spatial Maximum Demand (Attachment 17.042)</w:t>
            </w:r>
            <w:r>
              <w:rPr>
                <w:sz w:val="20"/>
                <w:szCs w:val="20"/>
              </w:rPr>
              <w:t>, and</w:t>
            </w:r>
          </w:p>
          <w:p w14:paraId="3A8BCFA9" w14:textId="77777777" w:rsidR="009F2CDD" w:rsidRPr="003710D3" w:rsidRDefault="009F2CDD" w:rsidP="00E169B4">
            <w:pPr>
              <w:pStyle w:val="Bullet1"/>
            </w:pPr>
            <w:r>
              <w:rPr>
                <w:sz w:val="20"/>
                <w:szCs w:val="20"/>
              </w:rPr>
              <w:t>ACIL ALLEN Demand Review Energy Queensland</w:t>
            </w:r>
            <w:r w:rsidRPr="003710D3">
              <w:rPr>
                <w:sz w:val="20"/>
                <w:szCs w:val="20"/>
              </w:rPr>
              <w:t xml:space="preserve"> (Attachment 5.001)</w:t>
            </w:r>
            <w:r>
              <w:rPr>
                <w:sz w:val="20"/>
                <w:szCs w:val="20"/>
              </w:rPr>
              <w:t>.</w:t>
            </w:r>
          </w:p>
        </w:tc>
      </w:tr>
      <w:tr w:rsidR="009F2CDD" w:rsidRPr="002056FA" w14:paraId="30A23073" w14:textId="77777777" w:rsidTr="00E169B4">
        <w:tc>
          <w:tcPr>
            <w:tcW w:w="0" w:type="auto"/>
            <w:shd w:val="clear" w:color="auto" w:fill="auto"/>
          </w:tcPr>
          <w:p w14:paraId="449C3F9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17.3(k)</w:t>
            </w:r>
          </w:p>
        </w:tc>
        <w:tc>
          <w:tcPr>
            <w:tcW w:w="0" w:type="auto"/>
            <w:shd w:val="clear" w:color="auto" w:fill="auto"/>
          </w:tcPr>
          <w:p w14:paraId="393F488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whether Energex forecasts both coincident and non-coincident maximum demand at the feeder, connection point, sub-transmission substation and zone substation level, and how these forecasts reconcile with the system level forecasts (including how various assumptions that are allowed for at the system level relate to the network level forecasts);   </w:t>
            </w:r>
          </w:p>
        </w:tc>
        <w:tc>
          <w:tcPr>
            <w:tcW w:w="0" w:type="auto"/>
            <w:shd w:val="clear" w:color="auto" w:fill="auto"/>
          </w:tcPr>
          <w:p w14:paraId="4BCE85B6" w14:textId="77777777" w:rsidR="009F2CDD" w:rsidRPr="003710D3" w:rsidRDefault="009F2CDD" w:rsidP="00E169B4">
            <w:pPr>
              <w:pStyle w:val="TableCopy"/>
              <w:rPr>
                <w:rFonts w:eastAsia="Calibri"/>
                <w:lang w:eastAsia="en-US"/>
              </w:rPr>
            </w:pPr>
            <w:r w:rsidRPr="003710D3">
              <w:rPr>
                <w:rFonts w:eastAsia="Calibri"/>
                <w:lang w:eastAsia="en-US"/>
              </w:rPr>
              <w:t xml:space="preserve">Energex only forecasts non-coincident maximum demand at the feeder level. We forecast both non-coincident and coincident maximum demand at the connection point, sub-transmission substation and zone substations levels. </w:t>
            </w:r>
          </w:p>
          <w:p w14:paraId="4CEC7E11" w14:textId="77777777" w:rsidR="009F2CDD" w:rsidRPr="003710D3" w:rsidRDefault="009F2CDD" w:rsidP="00E169B4">
            <w:pPr>
              <w:pStyle w:val="TableCopy"/>
              <w:rPr>
                <w:rFonts w:eastAsia="Calibri"/>
                <w:lang w:eastAsia="en-US"/>
              </w:rPr>
            </w:pPr>
            <w:r w:rsidRPr="003710D3">
              <w:rPr>
                <w:rFonts w:eastAsia="Calibri"/>
                <w:lang w:eastAsia="en-US"/>
              </w:rPr>
              <w:t>Energex has explained the way they have reconciled to system level forecasts in:</w:t>
            </w:r>
          </w:p>
          <w:p w14:paraId="27AD420C" w14:textId="77777777" w:rsidR="009F2CDD" w:rsidRPr="003710D3" w:rsidRDefault="009F2CDD" w:rsidP="00E169B4">
            <w:pPr>
              <w:pStyle w:val="Bullet1"/>
              <w:rPr>
                <w:sz w:val="20"/>
                <w:szCs w:val="20"/>
              </w:rPr>
            </w:pPr>
            <w:r w:rsidRPr="003710D3">
              <w:rPr>
                <w:sz w:val="20"/>
                <w:szCs w:val="20"/>
              </w:rPr>
              <w:t>Load Forecasting Spatial Maximum Demand (Attachment 17.042)</w:t>
            </w:r>
            <w:r>
              <w:rPr>
                <w:sz w:val="20"/>
                <w:szCs w:val="20"/>
              </w:rPr>
              <w:t xml:space="preserve">, </w:t>
            </w:r>
            <w:r w:rsidRPr="003710D3">
              <w:rPr>
                <w:sz w:val="20"/>
                <w:szCs w:val="20"/>
              </w:rPr>
              <w:t>and</w:t>
            </w:r>
          </w:p>
          <w:p w14:paraId="3CCB811B" w14:textId="77777777" w:rsidR="009F2CDD" w:rsidRPr="003710D3" w:rsidRDefault="009F2CDD" w:rsidP="00E169B4">
            <w:pPr>
              <w:pStyle w:val="Bullet1"/>
              <w:rPr>
                <w:sz w:val="20"/>
                <w:szCs w:val="20"/>
              </w:rPr>
            </w:pPr>
            <w:r>
              <w:rPr>
                <w:sz w:val="20"/>
                <w:szCs w:val="20"/>
              </w:rPr>
              <w:t>ACIL ALLEN Demand Review Energy Queensland</w:t>
            </w:r>
            <w:r w:rsidRPr="003710D3">
              <w:rPr>
                <w:sz w:val="20"/>
                <w:szCs w:val="20"/>
              </w:rPr>
              <w:t xml:space="preserve"> (Attachment 5.001)</w:t>
            </w:r>
            <w:r>
              <w:rPr>
                <w:sz w:val="20"/>
                <w:szCs w:val="20"/>
              </w:rPr>
              <w:t>.</w:t>
            </w:r>
          </w:p>
          <w:p w14:paraId="6624ABDE" w14:textId="77777777" w:rsidR="009F2CDD" w:rsidRPr="003710D3" w:rsidRDefault="009F2CDD" w:rsidP="00E169B4">
            <w:pPr>
              <w:pStyle w:val="TableCopy"/>
              <w:rPr>
                <w:rFonts w:eastAsia="Calibri"/>
                <w:lang w:eastAsia="en-US"/>
              </w:rPr>
            </w:pPr>
            <w:r w:rsidRPr="003710D3">
              <w:rPr>
                <w:rFonts w:eastAsia="Calibri"/>
                <w:lang w:eastAsia="en-US"/>
              </w:rPr>
              <w:t>In summary, the non-coincident zone substation forecasts were reconciled to the relevant regional maximum demand forecast for each year in the 10-year forecast period. The reconciliation process also produced coincident zone substation forecasts in MW, starting from an unreconciled estimate of coincident demand. This was based on diversity factors representing the ratio of coincident-to-non-coincident maximum demand at the zone substation.</w:t>
            </w:r>
          </w:p>
          <w:p w14:paraId="27E2534B" w14:textId="77777777" w:rsidR="009F2CDD" w:rsidRPr="003710D3" w:rsidRDefault="009F2CDD" w:rsidP="00E169B4">
            <w:pPr>
              <w:pStyle w:val="Bullet1"/>
            </w:pPr>
          </w:p>
        </w:tc>
      </w:tr>
      <w:tr w:rsidR="009F2CDD" w:rsidRPr="002056FA" w14:paraId="06CA5C49" w14:textId="77777777" w:rsidTr="00E169B4">
        <w:tc>
          <w:tcPr>
            <w:tcW w:w="0" w:type="auto"/>
            <w:shd w:val="clear" w:color="auto" w:fill="auto"/>
          </w:tcPr>
          <w:p w14:paraId="59297B3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17.3(l)</w:t>
            </w:r>
          </w:p>
        </w:tc>
        <w:tc>
          <w:tcPr>
            <w:tcW w:w="0" w:type="auto"/>
            <w:shd w:val="clear" w:color="auto" w:fill="auto"/>
          </w:tcPr>
          <w:p w14:paraId="2768420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whether Energex records historic maximum demand in MW, MVA or both;</w:t>
            </w:r>
          </w:p>
        </w:tc>
        <w:tc>
          <w:tcPr>
            <w:tcW w:w="0" w:type="auto"/>
            <w:shd w:val="clear" w:color="auto" w:fill="auto"/>
          </w:tcPr>
          <w:p w14:paraId="65BA9D20" w14:textId="77777777" w:rsidR="009F2CDD" w:rsidRPr="003710D3" w:rsidRDefault="009F2CDD" w:rsidP="00E169B4">
            <w:pPr>
              <w:pStyle w:val="TableCopy"/>
              <w:rPr>
                <w:rFonts w:eastAsia="Calibri"/>
                <w:lang w:eastAsia="en-US"/>
              </w:rPr>
            </w:pPr>
            <w:r w:rsidRPr="003710D3">
              <w:rPr>
                <w:rFonts w:eastAsia="Calibri"/>
                <w:lang w:eastAsia="en-US"/>
              </w:rPr>
              <w:t xml:space="preserve">Energex records MW and MVA at connection points, sub-transmission, and zone substations. Energex only record amps for high voltage feeders; as we do not record voltage or power factor correction at this level of the network. For high voltage feeders we assume normal voltage to provide and estimated MVA value.  </w:t>
            </w:r>
          </w:p>
          <w:p w14:paraId="432ABB80" w14:textId="77777777" w:rsidR="009F2CDD" w:rsidRPr="003710D3" w:rsidRDefault="009F2CDD" w:rsidP="00E169B4">
            <w:pPr>
              <w:pStyle w:val="Bullet1"/>
              <w:rPr>
                <w:sz w:val="20"/>
                <w:szCs w:val="20"/>
              </w:rPr>
            </w:pPr>
            <w:r w:rsidRPr="003710D3">
              <w:rPr>
                <w:sz w:val="20"/>
                <w:szCs w:val="20"/>
              </w:rPr>
              <w:t>Load Forecasting Spatial Maximum Demand (Attachment 17.042), and</w:t>
            </w:r>
          </w:p>
          <w:p w14:paraId="59680666" w14:textId="77777777" w:rsidR="009F2CDD" w:rsidRPr="003710D3" w:rsidRDefault="009F2CDD" w:rsidP="00E169B4">
            <w:pPr>
              <w:pStyle w:val="Bullet1"/>
            </w:pPr>
            <w:r>
              <w:rPr>
                <w:sz w:val="20"/>
                <w:szCs w:val="20"/>
              </w:rPr>
              <w:t>ACIL ALLEN Demand Review Energy Queensland</w:t>
            </w:r>
            <w:r w:rsidRPr="003710D3">
              <w:rPr>
                <w:sz w:val="20"/>
                <w:szCs w:val="20"/>
              </w:rPr>
              <w:t xml:space="preserve"> (Attachment 5.001).</w:t>
            </w:r>
          </w:p>
        </w:tc>
      </w:tr>
      <w:tr w:rsidR="009F2CDD" w:rsidRPr="002056FA" w14:paraId="576EBEC9" w14:textId="77777777" w:rsidTr="00E169B4">
        <w:tc>
          <w:tcPr>
            <w:tcW w:w="0" w:type="auto"/>
            <w:shd w:val="clear" w:color="auto" w:fill="auto"/>
          </w:tcPr>
          <w:p w14:paraId="1C431F3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17.3(m)</w:t>
            </w:r>
          </w:p>
        </w:tc>
        <w:tc>
          <w:tcPr>
            <w:tcW w:w="0" w:type="auto"/>
            <w:shd w:val="clear" w:color="auto" w:fill="auto"/>
          </w:tcPr>
          <w:p w14:paraId="5611010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the probability of exceedance that Energex uses in network planning;</w:t>
            </w:r>
          </w:p>
        </w:tc>
        <w:tc>
          <w:tcPr>
            <w:tcW w:w="0" w:type="auto"/>
            <w:shd w:val="clear" w:color="auto" w:fill="auto"/>
          </w:tcPr>
          <w:p w14:paraId="656256E4" w14:textId="77777777" w:rsidR="009F2CDD" w:rsidRPr="002056FA" w:rsidRDefault="009F2CDD" w:rsidP="00E169B4">
            <w:pPr>
              <w:pStyle w:val="TableCopy"/>
              <w:rPr>
                <w:rFonts w:eastAsia="Calibri"/>
                <w:lang w:eastAsia="en-US"/>
              </w:rPr>
            </w:pPr>
            <w:r w:rsidRPr="002056FA">
              <w:rPr>
                <w:rFonts w:eastAsia="Calibri"/>
                <w:lang w:eastAsia="en-US"/>
              </w:rPr>
              <w:t xml:space="preserve">Energex uses 50% POE forecast to plan the network to cater for a single contingency. The 10% POE forecast is used to plan the network for system normal configuration. </w:t>
            </w:r>
          </w:p>
          <w:p w14:paraId="08AC5CBF" w14:textId="77777777" w:rsidR="009F2CDD" w:rsidRPr="002056FA" w:rsidRDefault="009F2CDD" w:rsidP="00E169B4">
            <w:pPr>
              <w:pStyle w:val="TableCopy"/>
              <w:rPr>
                <w:rFonts w:eastAsia="Calibri"/>
                <w:highlight w:val="yellow"/>
                <w:lang w:eastAsia="en-US"/>
              </w:rPr>
            </w:pPr>
            <w:r w:rsidRPr="002056FA">
              <w:rPr>
                <w:rFonts w:eastAsia="Calibri"/>
                <w:lang w:eastAsia="en-US"/>
              </w:rPr>
              <w:t xml:space="preserve">For further information refer to </w:t>
            </w:r>
            <w:r>
              <w:rPr>
                <w:rFonts w:eastAsia="Calibri"/>
                <w:lang w:eastAsia="en-US"/>
              </w:rPr>
              <w:t>our DAPR.</w:t>
            </w:r>
            <w:r w:rsidRPr="002056FA">
              <w:rPr>
                <w:rFonts w:eastAsia="Calibri"/>
                <w:lang w:eastAsia="en-US"/>
              </w:rPr>
              <w:t xml:space="preserve"> </w:t>
            </w:r>
            <w:r>
              <w:rPr>
                <w:rFonts w:eastAsia="Calibri"/>
                <w:lang w:eastAsia="en-US"/>
              </w:rPr>
              <w:t>(Attachment 7.049)</w:t>
            </w:r>
            <w:r w:rsidRPr="002056FA">
              <w:rPr>
                <w:rFonts w:eastAsia="Calibri"/>
                <w:lang w:eastAsia="en-US"/>
              </w:rPr>
              <w:t xml:space="preserve"> </w:t>
            </w:r>
          </w:p>
        </w:tc>
      </w:tr>
      <w:tr w:rsidR="009F2CDD" w:rsidRPr="002056FA" w14:paraId="0C0834C2" w14:textId="77777777" w:rsidTr="00E169B4">
        <w:tc>
          <w:tcPr>
            <w:tcW w:w="0" w:type="auto"/>
            <w:shd w:val="clear" w:color="auto" w:fill="auto"/>
          </w:tcPr>
          <w:p w14:paraId="4E9A161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17.3(n)</w:t>
            </w:r>
          </w:p>
        </w:tc>
        <w:tc>
          <w:tcPr>
            <w:tcW w:w="0" w:type="auto"/>
            <w:shd w:val="clear" w:color="auto" w:fill="auto"/>
          </w:tcPr>
          <w:p w14:paraId="084E2782" w14:textId="77777777" w:rsidR="009F2CDD" w:rsidRPr="002056FA" w:rsidRDefault="009F2CDD" w:rsidP="00E169B4">
            <w:pPr>
              <w:pStyle w:val="TableCopy"/>
              <w:rPr>
                <w:rFonts w:eastAsia="Calibri"/>
                <w:color w:val="000000"/>
                <w:highlight w:val="yellow"/>
                <w:lang w:eastAsia="en-US"/>
              </w:rPr>
            </w:pPr>
            <w:r w:rsidRPr="002056FA">
              <w:rPr>
                <w:rFonts w:eastAsia="Calibri"/>
                <w:color w:val="000000"/>
                <w:lang w:eastAsia="en-US"/>
              </w:rPr>
              <w:t>the contingency planning process, in particular the process used to assess high system demand;</w:t>
            </w:r>
          </w:p>
        </w:tc>
        <w:tc>
          <w:tcPr>
            <w:tcW w:w="0" w:type="auto"/>
            <w:shd w:val="clear" w:color="auto" w:fill="auto"/>
          </w:tcPr>
          <w:p w14:paraId="394E4DB7"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in 17.3(m) </w:t>
            </w:r>
          </w:p>
        </w:tc>
      </w:tr>
      <w:tr w:rsidR="009F2CDD" w:rsidRPr="002056FA" w14:paraId="61335FB0" w14:textId="77777777" w:rsidTr="00E169B4">
        <w:tc>
          <w:tcPr>
            <w:tcW w:w="0" w:type="auto"/>
            <w:shd w:val="clear" w:color="auto" w:fill="auto"/>
          </w:tcPr>
          <w:p w14:paraId="31DCB0B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17.3(o)</w:t>
            </w:r>
          </w:p>
        </w:tc>
        <w:tc>
          <w:tcPr>
            <w:tcW w:w="0" w:type="auto"/>
            <w:shd w:val="clear" w:color="auto" w:fill="auto"/>
          </w:tcPr>
          <w:p w14:paraId="7A737BAB" w14:textId="77777777" w:rsidR="009F2CDD" w:rsidRPr="002056FA" w:rsidRDefault="009F2CDD" w:rsidP="00E169B4">
            <w:pPr>
              <w:pStyle w:val="TableCopy"/>
              <w:rPr>
                <w:rFonts w:eastAsia="Calibri"/>
                <w:color w:val="000000"/>
                <w:highlight w:val="yellow"/>
                <w:lang w:eastAsia="en-US"/>
              </w:rPr>
            </w:pPr>
            <w:r w:rsidRPr="002056FA">
              <w:rPr>
                <w:rFonts w:eastAsia="Calibri"/>
                <w:color w:val="000000"/>
                <w:lang w:eastAsia="en-US"/>
              </w:rPr>
              <w:t>how risk is managed across the network, particularly in relation to load sharing across network elements and non-network solutions to peak demand events;</w:t>
            </w:r>
          </w:p>
        </w:tc>
        <w:tc>
          <w:tcPr>
            <w:tcW w:w="0" w:type="auto"/>
            <w:shd w:val="clear" w:color="auto" w:fill="auto"/>
          </w:tcPr>
          <w:p w14:paraId="3B5C5B9D" w14:textId="77777777" w:rsidR="009F2CDD" w:rsidRPr="002056FA" w:rsidRDefault="009F2CDD" w:rsidP="00E169B4">
            <w:pPr>
              <w:pStyle w:val="TableCopy"/>
              <w:rPr>
                <w:rFonts w:eastAsia="Calibri"/>
                <w:highlight w:val="yellow"/>
                <w:lang w:eastAsia="en-US"/>
              </w:rPr>
            </w:pPr>
            <w:r w:rsidRPr="002056FA">
              <w:rPr>
                <w:rFonts w:eastAsia="Calibri"/>
                <w:lang w:eastAsia="en-US"/>
              </w:rPr>
              <w:t xml:space="preserve">Network limitations are identified using the Demand Forecast as one input. Refer to </w:t>
            </w:r>
            <w:r>
              <w:rPr>
                <w:rFonts w:eastAsia="Calibri"/>
                <w:lang w:eastAsia="en-US"/>
              </w:rPr>
              <w:t>our DAPR</w:t>
            </w:r>
            <w:r w:rsidRPr="002056FA">
              <w:rPr>
                <w:rFonts w:eastAsia="Calibri"/>
                <w:lang w:eastAsia="en-US"/>
              </w:rPr>
              <w:t xml:space="preserve"> </w:t>
            </w:r>
            <w:r>
              <w:rPr>
                <w:rFonts w:eastAsia="Calibri"/>
                <w:lang w:eastAsia="en-US"/>
              </w:rPr>
              <w:t>(Attachment 7.049)</w:t>
            </w:r>
            <w:r w:rsidRPr="002056FA">
              <w:rPr>
                <w:rFonts w:eastAsia="Calibri"/>
                <w:lang w:eastAsia="en-US"/>
              </w:rPr>
              <w:t xml:space="preserve"> for further information</w:t>
            </w:r>
            <w:r>
              <w:rPr>
                <w:rFonts w:eastAsia="Calibri"/>
                <w:lang w:eastAsia="en-US"/>
              </w:rPr>
              <w:t>.</w:t>
            </w:r>
          </w:p>
        </w:tc>
      </w:tr>
      <w:tr w:rsidR="009F2CDD" w:rsidRPr="002056FA" w14:paraId="3A9CD3C2" w14:textId="77777777" w:rsidTr="00E169B4">
        <w:tc>
          <w:tcPr>
            <w:tcW w:w="0" w:type="auto"/>
            <w:shd w:val="clear" w:color="auto" w:fill="auto"/>
          </w:tcPr>
          <w:p w14:paraId="0AEAD1F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17.3(p)</w:t>
            </w:r>
          </w:p>
        </w:tc>
        <w:tc>
          <w:tcPr>
            <w:tcW w:w="0" w:type="auto"/>
            <w:shd w:val="clear" w:color="auto" w:fill="auto"/>
          </w:tcPr>
          <w:p w14:paraId="6D866B5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whether and how the maximum demand forecasts underlying the regulatory proposal reconcile with any demand information or related planning statements published by AEMO, as well as forecasts produced by any transmission network service providers connected to Energex’s network;</w:t>
            </w:r>
          </w:p>
        </w:tc>
        <w:tc>
          <w:tcPr>
            <w:tcW w:w="0" w:type="auto"/>
            <w:shd w:val="clear" w:color="auto" w:fill="auto"/>
          </w:tcPr>
          <w:p w14:paraId="58D1BF2D" w14:textId="77777777" w:rsidR="009F2CDD" w:rsidRPr="002056FA" w:rsidRDefault="009F2CDD" w:rsidP="00E169B4">
            <w:pPr>
              <w:pStyle w:val="TableCopy"/>
              <w:rPr>
                <w:rFonts w:eastAsia="Calibri"/>
                <w:lang w:eastAsia="en-US"/>
              </w:rPr>
            </w:pPr>
            <w:r w:rsidRPr="002056FA">
              <w:rPr>
                <w:rFonts w:eastAsia="Calibri"/>
                <w:lang w:eastAsia="en-US"/>
              </w:rPr>
              <w:t>Please also refer to:</w:t>
            </w:r>
          </w:p>
          <w:p w14:paraId="01A00CE0" w14:textId="77777777" w:rsidR="009F2CDD" w:rsidRPr="002056FA" w:rsidRDefault="009F2CDD" w:rsidP="00E169B4">
            <w:pPr>
              <w:pStyle w:val="Bullet1"/>
              <w:rPr>
                <w:sz w:val="20"/>
                <w:szCs w:val="20"/>
              </w:rPr>
            </w:pPr>
            <w:r>
              <w:rPr>
                <w:sz w:val="20"/>
                <w:szCs w:val="20"/>
              </w:rPr>
              <w:t>ACIL ALLEN Demand Review Energy Queensland</w:t>
            </w:r>
            <w:r w:rsidRPr="002056FA">
              <w:rPr>
                <w:sz w:val="20"/>
                <w:szCs w:val="20"/>
              </w:rPr>
              <w:t xml:space="preserve"> (</w:t>
            </w:r>
            <w:r w:rsidRPr="009C137A">
              <w:rPr>
                <w:sz w:val="20"/>
                <w:szCs w:val="20"/>
              </w:rPr>
              <w:t>Attachment 5.001)</w:t>
            </w:r>
            <w:r>
              <w:rPr>
                <w:sz w:val="20"/>
                <w:szCs w:val="20"/>
              </w:rPr>
              <w:t>,</w:t>
            </w:r>
            <w:r w:rsidRPr="009C137A">
              <w:rPr>
                <w:sz w:val="20"/>
                <w:szCs w:val="20"/>
              </w:rPr>
              <w:t xml:space="preserve"> and</w:t>
            </w:r>
          </w:p>
          <w:p w14:paraId="741A9396" w14:textId="77777777" w:rsidR="009F2CDD" w:rsidRPr="002056FA" w:rsidRDefault="009F2CDD" w:rsidP="00E169B4">
            <w:pPr>
              <w:pStyle w:val="Bullet1"/>
            </w:pPr>
            <w:r w:rsidRPr="003710D3">
              <w:rPr>
                <w:sz w:val="20"/>
                <w:szCs w:val="20"/>
              </w:rPr>
              <w:t>Load Forecasting Spatial Maximum Demand (Attachment 17.042).</w:t>
            </w:r>
          </w:p>
        </w:tc>
      </w:tr>
      <w:tr w:rsidR="009F2CDD" w:rsidRPr="002056FA" w14:paraId="586C4842" w14:textId="77777777" w:rsidTr="00E169B4">
        <w:tc>
          <w:tcPr>
            <w:tcW w:w="0" w:type="auto"/>
            <w:tcBorders>
              <w:bottom w:val="single" w:sz="4" w:space="0" w:color="auto"/>
            </w:tcBorders>
            <w:shd w:val="clear" w:color="auto" w:fill="auto"/>
          </w:tcPr>
          <w:p w14:paraId="2D749F0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17.3(q)</w:t>
            </w:r>
          </w:p>
        </w:tc>
        <w:tc>
          <w:tcPr>
            <w:tcW w:w="0" w:type="auto"/>
            <w:tcBorders>
              <w:bottom w:val="single" w:sz="4" w:space="0" w:color="auto"/>
            </w:tcBorders>
            <w:shd w:val="clear" w:color="auto" w:fill="auto"/>
          </w:tcPr>
          <w:p w14:paraId="6E04C7E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how the normal and emergency ratings are used in determining capacity for individual zone substations and sub-transmission lines;</w:t>
            </w:r>
          </w:p>
        </w:tc>
        <w:tc>
          <w:tcPr>
            <w:tcW w:w="0" w:type="auto"/>
            <w:tcBorders>
              <w:bottom w:val="single" w:sz="4" w:space="0" w:color="auto"/>
            </w:tcBorders>
            <w:shd w:val="clear" w:color="auto" w:fill="auto"/>
          </w:tcPr>
          <w:p w14:paraId="48768B6A" w14:textId="77777777" w:rsidR="009F2CDD" w:rsidRPr="002056FA" w:rsidRDefault="009F2CDD" w:rsidP="00E169B4">
            <w:pPr>
              <w:pStyle w:val="TableCopy"/>
              <w:rPr>
                <w:rFonts w:eastAsia="Calibri"/>
                <w:lang w:eastAsia="en-US"/>
              </w:rPr>
            </w:pPr>
            <w:r w:rsidRPr="002056FA">
              <w:rPr>
                <w:rFonts w:eastAsia="Calibri"/>
                <w:lang w:eastAsia="en-US"/>
              </w:rPr>
              <w:t>Energex uses emergency ratings to plan the network to cater for a single contingency. The normal ratings are used to plan the network for system normal configuration. The Plant Rating Manual articulates how these are determined.</w:t>
            </w:r>
          </w:p>
          <w:p w14:paraId="06CF43E4"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For further information refer to </w:t>
            </w:r>
            <w:r>
              <w:rPr>
                <w:rFonts w:eastAsia="Calibri"/>
                <w:color w:val="000000"/>
                <w:lang w:eastAsia="en-US"/>
              </w:rPr>
              <w:t>our DAPR (Attachment 7.049).</w:t>
            </w:r>
            <w:r w:rsidRPr="002056FA">
              <w:rPr>
                <w:rFonts w:eastAsia="Calibri"/>
                <w:color w:val="000000"/>
                <w:lang w:eastAsia="en-US"/>
              </w:rPr>
              <w:t xml:space="preserve"> </w:t>
            </w:r>
          </w:p>
        </w:tc>
      </w:tr>
      <w:tr w:rsidR="009F2CDD" w:rsidRPr="002056FA" w14:paraId="07D30DD0" w14:textId="77777777" w:rsidTr="00E169B4">
        <w:tc>
          <w:tcPr>
            <w:tcW w:w="0" w:type="auto"/>
            <w:shd w:val="clear" w:color="auto" w:fill="D0CECE" w:themeFill="background2" w:themeFillShade="E6"/>
          </w:tcPr>
          <w:p w14:paraId="4D1D024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17.3(r)</w:t>
            </w:r>
          </w:p>
        </w:tc>
        <w:tc>
          <w:tcPr>
            <w:tcW w:w="0" w:type="auto"/>
            <w:shd w:val="clear" w:color="auto" w:fill="D0CECE" w:themeFill="background2" w:themeFillShade="E6"/>
          </w:tcPr>
          <w:p w14:paraId="6CEDA37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where Energex proposes to commence or continue a demand-related capex project or program during the forthcoming regulatory control period on a HV feeder:</w:t>
            </w:r>
          </w:p>
        </w:tc>
        <w:tc>
          <w:tcPr>
            <w:tcW w:w="0" w:type="auto"/>
            <w:shd w:val="clear" w:color="auto" w:fill="D0CECE" w:themeFill="background2" w:themeFillShade="E6"/>
          </w:tcPr>
          <w:p w14:paraId="73A4796C" w14:textId="77777777" w:rsidR="009F2CDD" w:rsidRPr="002056FA" w:rsidRDefault="009F2CDD" w:rsidP="00E169B4">
            <w:pPr>
              <w:pStyle w:val="TableCopy"/>
              <w:rPr>
                <w:rFonts w:eastAsia="Calibri"/>
                <w:color w:val="365F91"/>
                <w:highlight w:val="yellow"/>
                <w:lang w:eastAsia="en-US"/>
              </w:rPr>
            </w:pPr>
          </w:p>
        </w:tc>
      </w:tr>
      <w:tr w:rsidR="009F2CDD" w:rsidRPr="002056FA" w14:paraId="6EEC5CE6" w14:textId="77777777" w:rsidTr="00E169B4">
        <w:tc>
          <w:tcPr>
            <w:tcW w:w="0" w:type="auto"/>
            <w:shd w:val="clear" w:color="auto" w:fill="D0CECE" w:themeFill="background2" w:themeFillShade="E6"/>
          </w:tcPr>
          <w:p w14:paraId="46C5957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17.3(r)(i) </w:t>
            </w:r>
          </w:p>
        </w:tc>
        <w:tc>
          <w:tcPr>
            <w:tcW w:w="0" w:type="auto"/>
            <w:shd w:val="clear" w:color="auto" w:fill="D0CECE" w:themeFill="background2" w:themeFillShade="E6"/>
          </w:tcPr>
          <w:p w14:paraId="2504CDB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for each feeder from the zone </w:t>
            </w:r>
            <w:r w:rsidRPr="002056FA">
              <w:rPr>
                <w:rFonts w:eastAsia="Calibri"/>
                <w:iCs/>
                <w:color w:val="000000"/>
                <w:lang w:eastAsia="en-US"/>
              </w:rPr>
              <w:t xml:space="preserve">substation </w:t>
            </w:r>
            <w:r w:rsidRPr="002056FA">
              <w:rPr>
                <w:rFonts w:eastAsia="Calibri"/>
                <w:color w:val="000000"/>
                <w:lang w:eastAsia="en-US"/>
              </w:rPr>
              <w:t xml:space="preserve">that is the connecting zone </w:t>
            </w:r>
            <w:r w:rsidRPr="002056FA">
              <w:rPr>
                <w:rFonts w:eastAsia="Calibri"/>
                <w:iCs/>
                <w:color w:val="000000"/>
                <w:lang w:eastAsia="en-US"/>
              </w:rPr>
              <w:t xml:space="preserve">substation </w:t>
            </w:r>
            <w:r w:rsidRPr="002056FA">
              <w:rPr>
                <w:rFonts w:eastAsia="Calibri"/>
                <w:color w:val="000000"/>
                <w:lang w:eastAsia="en-US"/>
              </w:rPr>
              <w:t xml:space="preserve">for the relevant </w:t>
            </w:r>
            <w:r w:rsidRPr="002056FA">
              <w:rPr>
                <w:rFonts w:eastAsia="Calibri"/>
                <w:iCs/>
                <w:color w:val="000000"/>
                <w:lang w:eastAsia="en-US"/>
              </w:rPr>
              <w:t>HV feeder</w:t>
            </w:r>
            <w:r w:rsidRPr="002056FA">
              <w:rPr>
                <w:rFonts w:eastAsia="Calibri"/>
                <w:color w:val="000000"/>
                <w:lang w:eastAsia="en-US"/>
              </w:rPr>
              <w:t xml:space="preserve">, and any other feeders that the relevant </w:t>
            </w:r>
            <w:r w:rsidRPr="002056FA">
              <w:rPr>
                <w:rFonts w:eastAsia="Calibri"/>
                <w:iCs/>
                <w:color w:val="000000"/>
                <w:lang w:eastAsia="en-US"/>
              </w:rPr>
              <w:t xml:space="preserve">HV feeder </w:t>
            </w:r>
            <w:r w:rsidRPr="002056FA">
              <w:rPr>
                <w:rFonts w:eastAsia="Calibri"/>
                <w:color w:val="000000"/>
                <w:lang w:eastAsia="en-US"/>
              </w:rPr>
              <w:t xml:space="preserve">can transfer load to or from: </w:t>
            </w:r>
          </w:p>
        </w:tc>
        <w:tc>
          <w:tcPr>
            <w:tcW w:w="0" w:type="auto"/>
            <w:shd w:val="clear" w:color="auto" w:fill="D0CECE" w:themeFill="background2" w:themeFillShade="E6"/>
          </w:tcPr>
          <w:p w14:paraId="44543E71" w14:textId="77777777" w:rsidR="009F2CDD" w:rsidRPr="002056FA" w:rsidRDefault="009F2CDD" w:rsidP="00E169B4">
            <w:pPr>
              <w:pStyle w:val="TableCopy"/>
              <w:rPr>
                <w:rFonts w:eastAsia="Calibri"/>
                <w:lang w:eastAsia="en-US"/>
              </w:rPr>
            </w:pPr>
          </w:p>
        </w:tc>
      </w:tr>
      <w:tr w:rsidR="009F2CDD" w:rsidRPr="002056FA" w14:paraId="6F4E07AE" w14:textId="77777777" w:rsidTr="00E169B4">
        <w:tc>
          <w:tcPr>
            <w:tcW w:w="0" w:type="auto"/>
            <w:shd w:val="clear" w:color="auto" w:fill="auto"/>
          </w:tcPr>
          <w:p w14:paraId="7CB4DA5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17.3(r)(i)(A)</w:t>
            </w:r>
          </w:p>
        </w:tc>
        <w:tc>
          <w:tcPr>
            <w:tcW w:w="0" w:type="auto"/>
            <w:shd w:val="clear" w:color="auto" w:fill="auto"/>
          </w:tcPr>
          <w:p w14:paraId="41282B85" w14:textId="77777777" w:rsidR="009F2CDD" w:rsidRPr="002056FA" w:rsidRDefault="009F2CDD" w:rsidP="00E169B4">
            <w:pPr>
              <w:pStyle w:val="TableCopy"/>
              <w:rPr>
                <w:rFonts w:eastAsia="Calibri"/>
                <w:color w:val="000000"/>
                <w:highlight w:val="yellow"/>
                <w:lang w:eastAsia="en-US"/>
              </w:rPr>
            </w:pPr>
            <w:r w:rsidRPr="002056FA">
              <w:rPr>
                <w:rFonts w:eastAsia="Calibri"/>
                <w:color w:val="000000"/>
                <w:lang w:eastAsia="en-US"/>
              </w:rPr>
              <w:t xml:space="preserve">assumed future load </w:t>
            </w:r>
            <w:r w:rsidRPr="002056FA">
              <w:rPr>
                <w:rFonts w:eastAsia="Calibri"/>
                <w:iCs/>
                <w:color w:val="000000"/>
                <w:lang w:eastAsia="en-US"/>
              </w:rPr>
              <w:t xml:space="preserve">transfers </w:t>
            </w:r>
            <w:r w:rsidRPr="002056FA">
              <w:rPr>
                <w:rFonts w:eastAsia="Calibri"/>
                <w:color w:val="000000"/>
                <w:lang w:eastAsia="en-US"/>
              </w:rPr>
              <w:t xml:space="preserve">between feeders; </w:t>
            </w:r>
          </w:p>
        </w:tc>
        <w:tc>
          <w:tcPr>
            <w:tcW w:w="0" w:type="auto"/>
            <w:shd w:val="clear" w:color="auto" w:fill="auto"/>
          </w:tcPr>
          <w:p w14:paraId="3D1A5BEB" w14:textId="77777777" w:rsidR="009F2CDD" w:rsidRPr="002056FA" w:rsidRDefault="009F2CDD" w:rsidP="00E169B4">
            <w:pPr>
              <w:pStyle w:val="TableCopy"/>
              <w:rPr>
                <w:rFonts w:eastAsia="Calibri"/>
                <w:lang w:eastAsia="en-US"/>
              </w:rPr>
            </w:pPr>
            <w:r w:rsidRPr="002056FA">
              <w:rPr>
                <w:rFonts w:eastAsia="Calibri"/>
                <w:lang w:eastAsia="en-US"/>
              </w:rPr>
              <w:t xml:space="preserve">Planned future load transfers are captured in planning systems and tools and are documented in the Energex </w:t>
            </w:r>
            <w:r>
              <w:rPr>
                <w:rFonts w:eastAsia="Calibri"/>
                <w:lang w:eastAsia="en-US"/>
              </w:rPr>
              <w:t>DAPR</w:t>
            </w:r>
            <w:r w:rsidRPr="002056FA">
              <w:rPr>
                <w:rFonts w:eastAsia="Calibri"/>
                <w:lang w:eastAsia="en-US"/>
              </w:rPr>
              <w:t>. Energex considers load transfers as one of the options to address an identified limitation.</w:t>
            </w:r>
          </w:p>
          <w:p w14:paraId="37450E9A"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For further information refer to </w:t>
            </w:r>
            <w:hyperlink r:id="rId22" w:history="1">
              <w:r>
                <w:rPr>
                  <w:rFonts w:eastAsia="Calibri"/>
                  <w:color w:val="0000FF"/>
                  <w:u w:val="single"/>
                  <w:lang w:eastAsia="en-US"/>
                </w:rPr>
                <w:t>our</w:t>
              </w:r>
            </w:hyperlink>
            <w:r>
              <w:rPr>
                <w:rFonts w:eastAsia="Calibri"/>
                <w:color w:val="000000"/>
                <w:lang w:eastAsia="en-US"/>
              </w:rPr>
              <w:t xml:space="preserve"> DAPR (Attachment 7.049).</w:t>
            </w:r>
            <w:r w:rsidRPr="002056FA">
              <w:rPr>
                <w:rFonts w:eastAsia="Calibri"/>
                <w:color w:val="000000"/>
                <w:lang w:eastAsia="en-US"/>
              </w:rPr>
              <w:t xml:space="preserve"> </w:t>
            </w:r>
          </w:p>
        </w:tc>
      </w:tr>
      <w:tr w:rsidR="009F2CDD" w:rsidRPr="002056FA" w14:paraId="4D63D7EA" w14:textId="77777777" w:rsidTr="00E169B4">
        <w:tc>
          <w:tcPr>
            <w:tcW w:w="0" w:type="auto"/>
            <w:shd w:val="clear" w:color="auto" w:fill="auto"/>
          </w:tcPr>
          <w:p w14:paraId="1F8980F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17.3(r)(i)(B)</w:t>
            </w:r>
          </w:p>
        </w:tc>
        <w:tc>
          <w:tcPr>
            <w:tcW w:w="0" w:type="auto"/>
            <w:shd w:val="clear" w:color="auto" w:fill="auto"/>
          </w:tcPr>
          <w:p w14:paraId="79256D27" w14:textId="77777777" w:rsidR="009F2CDD" w:rsidRPr="002056FA" w:rsidRDefault="009F2CDD" w:rsidP="00E169B4">
            <w:pPr>
              <w:pStyle w:val="TableCopy"/>
              <w:rPr>
                <w:rFonts w:eastAsia="Calibri"/>
                <w:color w:val="000000"/>
                <w:highlight w:val="yellow"/>
                <w:lang w:eastAsia="en-US"/>
              </w:rPr>
            </w:pPr>
            <w:r w:rsidRPr="002056FA">
              <w:rPr>
                <w:rFonts w:eastAsia="Calibri"/>
                <w:color w:val="000000"/>
                <w:lang w:eastAsia="en-US"/>
              </w:rPr>
              <w:t xml:space="preserve">assumed feeder underlying load growth rates (exclusive of </w:t>
            </w:r>
            <w:r w:rsidRPr="002056FA">
              <w:rPr>
                <w:rFonts w:eastAsia="Calibri"/>
                <w:iCs/>
                <w:color w:val="000000"/>
                <w:lang w:eastAsia="en-US"/>
              </w:rPr>
              <w:t xml:space="preserve">transfers </w:t>
            </w:r>
            <w:r w:rsidRPr="002056FA">
              <w:rPr>
                <w:rFonts w:eastAsia="Calibri"/>
                <w:color w:val="000000"/>
                <w:lang w:eastAsia="en-US"/>
              </w:rPr>
              <w:t xml:space="preserve">and specific </w:t>
            </w:r>
            <w:r w:rsidRPr="002056FA">
              <w:rPr>
                <w:rFonts w:eastAsia="Calibri"/>
                <w:iCs/>
                <w:color w:val="000000"/>
                <w:lang w:eastAsia="en-US"/>
              </w:rPr>
              <w:t xml:space="preserve">customer </w:t>
            </w:r>
            <w:r w:rsidRPr="002056FA">
              <w:rPr>
                <w:rFonts w:eastAsia="Calibri"/>
                <w:color w:val="000000"/>
                <w:lang w:eastAsia="en-US"/>
              </w:rPr>
              <w:t xml:space="preserve">developments); and </w:t>
            </w:r>
          </w:p>
        </w:tc>
        <w:tc>
          <w:tcPr>
            <w:tcW w:w="0" w:type="auto"/>
            <w:shd w:val="clear" w:color="auto" w:fill="auto"/>
          </w:tcPr>
          <w:p w14:paraId="2BD960D0" w14:textId="77777777" w:rsidR="009F2CDD" w:rsidRPr="002056FA" w:rsidRDefault="009F2CDD" w:rsidP="00E169B4">
            <w:pPr>
              <w:pStyle w:val="TableCopy"/>
              <w:rPr>
                <w:rFonts w:eastAsia="Calibri"/>
                <w:lang w:eastAsia="en-US"/>
              </w:rPr>
            </w:pPr>
            <w:r w:rsidRPr="002056FA">
              <w:rPr>
                <w:rFonts w:eastAsia="Calibri"/>
                <w:lang w:eastAsia="en-US"/>
              </w:rPr>
              <w:t xml:space="preserve">Our system and tools identify an underlying feeder growth rate exclusive of transfers and customer developments (i.e. block loads). </w:t>
            </w:r>
          </w:p>
        </w:tc>
      </w:tr>
      <w:tr w:rsidR="009F2CDD" w:rsidRPr="002056FA" w14:paraId="1CE6E360" w14:textId="77777777" w:rsidTr="00E169B4">
        <w:tc>
          <w:tcPr>
            <w:tcW w:w="0" w:type="auto"/>
            <w:shd w:val="clear" w:color="auto" w:fill="auto"/>
          </w:tcPr>
          <w:p w14:paraId="0A5F095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17.3(r)(i)(C)</w:t>
            </w:r>
          </w:p>
        </w:tc>
        <w:tc>
          <w:tcPr>
            <w:tcW w:w="0" w:type="auto"/>
            <w:shd w:val="clear" w:color="auto" w:fill="auto"/>
          </w:tcPr>
          <w:p w14:paraId="7AF7416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assumed </w:t>
            </w:r>
            <w:r w:rsidRPr="002056FA">
              <w:rPr>
                <w:rFonts w:eastAsia="Calibri"/>
                <w:iCs/>
                <w:color w:val="000000"/>
                <w:lang w:eastAsia="en-US"/>
              </w:rPr>
              <w:t>block loads</w:t>
            </w:r>
            <w:r w:rsidRPr="002056FA">
              <w:rPr>
                <w:rFonts w:eastAsia="Calibri"/>
                <w:color w:val="000000"/>
                <w:lang w:eastAsia="en-US"/>
              </w:rPr>
              <w:t xml:space="preserve">, and associated demand assumptions; </w:t>
            </w:r>
          </w:p>
        </w:tc>
        <w:tc>
          <w:tcPr>
            <w:tcW w:w="0" w:type="auto"/>
            <w:shd w:val="clear" w:color="auto" w:fill="auto"/>
          </w:tcPr>
          <w:p w14:paraId="7A95CA1C" w14:textId="77777777" w:rsidR="009F2CDD" w:rsidRPr="003710D3" w:rsidRDefault="009F2CDD" w:rsidP="00E169B4">
            <w:pPr>
              <w:pStyle w:val="TableCopy"/>
              <w:rPr>
                <w:rFonts w:eastAsia="Calibri"/>
                <w:lang w:eastAsia="en-US"/>
              </w:rPr>
            </w:pPr>
            <w:r w:rsidRPr="003710D3">
              <w:rPr>
                <w:rFonts w:eastAsia="Calibri"/>
                <w:lang w:eastAsia="en-US"/>
              </w:rPr>
              <w:t>As discussed above, block loads are considered as part of the demand forecast procedure. For further information refer to:</w:t>
            </w:r>
          </w:p>
          <w:p w14:paraId="5F779A5E" w14:textId="77777777" w:rsidR="009F2CDD" w:rsidRPr="003710D3" w:rsidRDefault="009F2CDD" w:rsidP="00E169B4">
            <w:pPr>
              <w:pStyle w:val="Bullet1"/>
              <w:rPr>
                <w:sz w:val="20"/>
                <w:szCs w:val="20"/>
              </w:rPr>
            </w:pPr>
            <w:r w:rsidRPr="003710D3">
              <w:rPr>
                <w:sz w:val="20"/>
                <w:szCs w:val="20"/>
              </w:rPr>
              <w:t>Load Forecasting Spatial Maximum Demand (Attachment 17.042), and</w:t>
            </w:r>
          </w:p>
          <w:p w14:paraId="0A69EE47" w14:textId="77777777" w:rsidR="009F2CDD" w:rsidRPr="003710D3" w:rsidRDefault="009F2CDD" w:rsidP="00E169B4">
            <w:pPr>
              <w:pStyle w:val="Bullet1"/>
            </w:pPr>
            <w:r>
              <w:rPr>
                <w:sz w:val="20"/>
                <w:szCs w:val="20"/>
              </w:rPr>
              <w:t>ACIL ALLEN Demand Review Energy Queensland</w:t>
            </w:r>
            <w:r w:rsidRPr="003710D3">
              <w:rPr>
                <w:sz w:val="20"/>
                <w:szCs w:val="20"/>
              </w:rPr>
              <w:t xml:space="preserve"> (Attachment 5.001).</w:t>
            </w:r>
          </w:p>
        </w:tc>
      </w:tr>
      <w:tr w:rsidR="009F2CDD" w:rsidRPr="002056FA" w14:paraId="6930DB62" w14:textId="77777777" w:rsidTr="00E169B4">
        <w:tc>
          <w:tcPr>
            <w:tcW w:w="0" w:type="auto"/>
            <w:shd w:val="clear" w:color="auto" w:fill="auto"/>
          </w:tcPr>
          <w:p w14:paraId="60AD9B9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17.3(r)(ii) </w:t>
            </w:r>
          </w:p>
        </w:tc>
        <w:tc>
          <w:tcPr>
            <w:tcW w:w="0" w:type="auto"/>
            <w:shd w:val="clear" w:color="auto" w:fill="auto"/>
          </w:tcPr>
          <w:p w14:paraId="7F36AEC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existing </w:t>
            </w:r>
            <w:r w:rsidRPr="002056FA">
              <w:rPr>
                <w:rFonts w:eastAsia="Calibri"/>
                <w:iCs/>
                <w:color w:val="000000"/>
                <w:lang w:eastAsia="en-US"/>
              </w:rPr>
              <w:t xml:space="preserve">embedded generation </w:t>
            </w:r>
            <w:r w:rsidRPr="002056FA">
              <w:rPr>
                <w:rFonts w:eastAsia="Calibri"/>
                <w:color w:val="000000"/>
                <w:lang w:eastAsia="en-US"/>
              </w:rPr>
              <w:t xml:space="preserve">capacity, and associated assumptions on the impact on demand levels; </w:t>
            </w:r>
          </w:p>
        </w:tc>
        <w:tc>
          <w:tcPr>
            <w:tcW w:w="0" w:type="auto"/>
            <w:shd w:val="clear" w:color="auto" w:fill="auto"/>
          </w:tcPr>
          <w:p w14:paraId="6FDC91C3" w14:textId="77777777" w:rsidR="009F2CDD" w:rsidRPr="003710D3" w:rsidRDefault="009F2CDD" w:rsidP="00E169B4">
            <w:pPr>
              <w:pStyle w:val="TableCopy"/>
              <w:rPr>
                <w:rFonts w:eastAsia="Calibri"/>
                <w:lang w:eastAsia="en-US"/>
              </w:rPr>
            </w:pPr>
            <w:r w:rsidRPr="003710D3">
              <w:rPr>
                <w:rFonts w:eastAsia="Calibri"/>
                <w:lang w:eastAsia="en-US"/>
              </w:rPr>
              <w:t>This is captured through actual demand. For further information refer to:</w:t>
            </w:r>
          </w:p>
          <w:p w14:paraId="7BD0D4F5" w14:textId="77777777" w:rsidR="009F2CDD" w:rsidRPr="003710D3" w:rsidRDefault="009F2CDD" w:rsidP="00E169B4">
            <w:pPr>
              <w:pStyle w:val="Bullet1"/>
              <w:rPr>
                <w:sz w:val="20"/>
                <w:szCs w:val="20"/>
              </w:rPr>
            </w:pPr>
            <w:r w:rsidRPr="003710D3">
              <w:rPr>
                <w:sz w:val="20"/>
                <w:szCs w:val="20"/>
              </w:rPr>
              <w:t>Load Forecasting Spatial Maximum Demand (Attachment 17.042), and</w:t>
            </w:r>
          </w:p>
          <w:p w14:paraId="1586A33B" w14:textId="77777777" w:rsidR="009F2CDD" w:rsidRPr="003710D3" w:rsidRDefault="009F2CDD" w:rsidP="00E169B4">
            <w:pPr>
              <w:pStyle w:val="Bullet1"/>
            </w:pPr>
            <w:r>
              <w:rPr>
                <w:sz w:val="20"/>
                <w:szCs w:val="20"/>
              </w:rPr>
              <w:t>ACIL ALLEN Demand Review Energy Queensland</w:t>
            </w:r>
            <w:r w:rsidRPr="003710D3">
              <w:rPr>
                <w:sz w:val="20"/>
                <w:szCs w:val="20"/>
              </w:rPr>
              <w:t xml:space="preserve"> (Attachment 5.001).</w:t>
            </w:r>
          </w:p>
        </w:tc>
      </w:tr>
      <w:tr w:rsidR="009F2CDD" w:rsidRPr="002056FA" w14:paraId="70BF7CA9" w14:textId="77777777" w:rsidTr="00E169B4">
        <w:tc>
          <w:tcPr>
            <w:tcW w:w="0" w:type="auto"/>
            <w:shd w:val="clear" w:color="auto" w:fill="auto"/>
          </w:tcPr>
          <w:p w14:paraId="125D2D5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17.3(r)(iii) </w:t>
            </w:r>
          </w:p>
        </w:tc>
        <w:tc>
          <w:tcPr>
            <w:tcW w:w="0" w:type="auto"/>
            <w:shd w:val="clear" w:color="auto" w:fill="auto"/>
          </w:tcPr>
          <w:p w14:paraId="1BA174A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assumed future </w:t>
            </w:r>
            <w:r w:rsidRPr="002056FA">
              <w:rPr>
                <w:rFonts w:eastAsia="Calibri"/>
                <w:iCs/>
                <w:color w:val="000000"/>
                <w:lang w:eastAsia="en-US"/>
              </w:rPr>
              <w:t xml:space="preserve">embedded generation </w:t>
            </w:r>
            <w:r w:rsidRPr="002056FA">
              <w:rPr>
                <w:rFonts w:eastAsia="Calibri"/>
                <w:color w:val="000000"/>
                <w:lang w:eastAsia="en-US"/>
              </w:rPr>
              <w:t xml:space="preserve">capacity, and associated assumptions on the impact on demand levels; </w:t>
            </w:r>
          </w:p>
        </w:tc>
        <w:tc>
          <w:tcPr>
            <w:tcW w:w="0" w:type="auto"/>
            <w:shd w:val="clear" w:color="auto" w:fill="auto"/>
          </w:tcPr>
          <w:p w14:paraId="1C049218" w14:textId="77777777" w:rsidR="009F2CDD" w:rsidRPr="003710D3" w:rsidRDefault="009F2CDD" w:rsidP="00E169B4">
            <w:pPr>
              <w:pStyle w:val="TableCopy"/>
              <w:rPr>
                <w:rFonts w:eastAsia="Calibri"/>
                <w:lang w:eastAsia="en-US"/>
              </w:rPr>
            </w:pPr>
            <w:r w:rsidRPr="003710D3">
              <w:rPr>
                <w:rFonts w:eastAsia="Calibri"/>
                <w:lang w:eastAsia="en-US"/>
              </w:rPr>
              <w:t>Energex’s demand forecast process incorporates forecasts of household PV generation growth, and considers the likely load injected into our network from potential embedded generation. We use a probabilistic approach to determine the likely capacity.</w:t>
            </w:r>
          </w:p>
          <w:p w14:paraId="76656660" w14:textId="77777777" w:rsidR="009F2CDD" w:rsidRPr="003710D3" w:rsidRDefault="009F2CDD" w:rsidP="00E169B4">
            <w:pPr>
              <w:pStyle w:val="Bullet1"/>
              <w:rPr>
                <w:sz w:val="20"/>
                <w:szCs w:val="20"/>
              </w:rPr>
            </w:pPr>
            <w:r w:rsidRPr="003710D3">
              <w:rPr>
                <w:sz w:val="20"/>
                <w:szCs w:val="20"/>
              </w:rPr>
              <w:t>Load Forecasting Spatial Maximum Demand (Attachment 17.042), and</w:t>
            </w:r>
          </w:p>
          <w:p w14:paraId="2B1571E7" w14:textId="77777777" w:rsidR="009F2CDD" w:rsidRPr="003710D3" w:rsidRDefault="009F2CDD" w:rsidP="00E169B4">
            <w:pPr>
              <w:pStyle w:val="Bullet1"/>
            </w:pPr>
            <w:r>
              <w:rPr>
                <w:sz w:val="20"/>
                <w:szCs w:val="20"/>
              </w:rPr>
              <w:t>ACIL ALLEN Demand Review Energy Queensland</w:t>
            </w:r>
            <w:r w:rsidRPr="003710D3">
              <w:rPr>
                <w:sz w:val="20"/>
                <w:szCs w:val="20"/>
              </w:rPr>
              <w:t xml:space="preserve"> (Attachment 5.001).</w:t>
            </w:r>
          </w:p>
        </w:tc>
      </w:tr>
      <w:tr w:rsidR="009F2CDD" w:rsidRPr="002056FA" w14:paraId="750E96E1" w14:textId="77777777" w:rsidTr="00E169B4">
        <w:tc>
          <w:tcPr>
            <w:tcW w:w="0" w:type="auto"/>
            <w:shd w:val="clear" w:color="auto" w:fill="auto"/>
          </w:tcPr>
          <w:p w14:paraId="7D1E661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17.3(r)(iv) </w:t>
            </w:r>
          </w:p>
        </w:tc>
        <w:tc>
          <w:tcPr>
            <w:tcW w:w="0" w:type="auto"/>
            <w:shd w:val="clear" w:color="auto" w:fill="auto"/>
          </w:tcPr>
          <w:p w14:paraId="1240572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existing non-network solutions, and the associated assumptions on the impact on demand levels; </w:t>
            </w:r>
          </w:p>
        </w:tc>
        <w:tc>
          <w:tcPr>
            <w:tcW w:w="0" w:type="auto"/>
            <w:shd w:val="clear" w:color="auto" w:fill="auto"/>
          </w:tcPr>
          <w:p w14:paraId="495C4D4E" w14:textId="77777777" w:rsidR="009F2CDD" w:rsidRPr="002056FA" w:rsidRDefault="009F2CDD" w:rsidP="00E169B4">
            <w:pPr>
              <w:pStyle w:val="TableCopy"/>
              <w:rPr>
                <w:rFonts w:eastAsia="Calibri"/>
                <w:lang w:eastAsia="en-US"/>
              </w:rPr>
            </w:pPr>
            <w:r w:rsidRPr="002056FA">
              <w:rPr>
                <w:rFonts w:eastAsia="Calibri"/>
                <w:lang w:eastAsia="en-US"/>
              </w:rPr>
              <w:t xml:space="preserve">Demand or generation responses procured for network support are captured in Energex’s planning processes to ensure future network limitations are accurately assessed. Further information on planning philosophy can be found in the Energex </w:t>
            </w:r>
            <w:r>
              <w:rPr>
                <w:rFonts w:eastAsia="Calibri"/>
                <w:lang w:eastAsia="en-US"/>
              </w:rPr>
              <w:t>DAPR (Attachment 7.049).</w:t>
            </w:r>
          </w:p>
        </w:tc>
      </w:tr>
      <w:tr w:rsidR="009F2CDD" w:rsidRPr="002056FA" w14:paraId="79982D5F" w14:textId="77777777" w:rsidTr="00E169B4">
        <w:tc>
          <w:tcPr>
            <w:tcW w:w="0" w:type="auto"/>
            <w:shd w:val="clear" w:color="auto" w:fill="auto"/>
          </w:tcPr>
          <w:p w14:paraId="4BBF250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17.3(r)(v) </w:t>
            </w:r>
          </w:p>
        </w:tc>
        <w:tc>
          <w:tcPr>
            <w:tcW w:w="0" w:type="auto"/>
            <w:shd w:val="clear" w:color="auto" w:fill="auto"/>
          </w:tcPr>
          <w:p w14:paraId="7EFB8D8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assumed future non-network solutions, and associated assumptions on the impact on demand levels; and </w:t>
            </w:r>
          </w:p>
        </w:tc>
        <w:tc>
          <w:tcPr>
            <w:tcW w:w="0" w:type="auto"/>
            <w:shd w:val="clear" w:color="auto" w:fill="auto"/>
          </w:tcPr>
          <w:p w14:paraId="137138AE" w14:textId="77777777" w:rsidR="009F2CDD" w:rsidRPr="002056FA" w:rsidRDefault="009F2CDD" w:rsidP="00E169B4">
            <w:pPr>
              <w:pStyle w:val="TableCopy"/>
              <w:rPr>
                <w:rFonts w:eastAsia="Calibri"/>
                <w:lang w:eastAsia="en-US"/>
              </w:rPr>
            </w:pPr>
            <w:r w:rsidRPr="002056FA">
              <w:rPr>
                <w:rFonts w:eastAsia="Calibri"/>
                <w:lang w:eastAsia="en-US"/>
              </w:rPr>
              <w:t>Demand or generation responses that could be procured for future network support will be identified the planning phase for future network limitations and captured in Energex planning processes. Further information on Energex’s planning philosophy can be found in the Distribution Annual Planning Report.</w:t>
            </w:r>
          </w:p>
        </w:tc>
      </w:tr>
      <w:tr w:rsidR="009F2CDD" w:rsidRPr="002056FA" w14:paraId="378FE47E" w14:textId="77777777" w:rsidTr="00E169B4">
        <w:tc>
          <w:tcPr>
            <w:tcW w:w="0" w:type="auto"/>
            <w:tcBorders>
              <w:bottom w:val="single" w:sz="4" w:space="0" w:color="auto"/>
            </w:tcBorders>
            <w:shd w:val="clear" w:color="auto" w:fill="auto"/>
          </w:tcPr>
          <w:p w14:paraId="5E117E4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17.3(r)(vi) </w:t>
            </w:r>
          </w:p>
        </w:tc>
        <w:tc>
          <w:tcPr>
            <w:tcW w:w="0" w:type="auto"/>
            <w:tcBorders>
              <w:bottom w:val="single" w:sz="4" w:space="0" w:color="auto"/>
            </w:tcBorders>
            <w:shd w:val="clear" w:color="auto" w:fill="auto"/>
          </w:tcPr>
          <w:p w14:paraId="6025A7C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diversity between feeders. </w:t>
            </w:r>
          </w:p>
        </w:tc>
        <w:tc>
          <w:tcPr>
            <w:tcW w:w="0" w:type="auto"/>
            <w:tcBorders>
              <w:bottom w:val="single" w:sz="4" w:space="0" w:color="auto"/>
            </w:tcBorders>
            <w:shd w:val="clear" w:color="auto" w:fill="auto"/>
          </w:tcPr>
          <w:p w14:paraId="1FA27C86" w14:textId="4973A8E5" w:rsidR="009F2CDD" w:rsidRPr="00600D69" w:rsidRDefault="009F2CDD" w:rsidP="00E169B4">
            <w:pPr>
              <w:pStyle w:val="TableCopy"/>
              <w:rPr>
                <w:rFonts w:eastAsia="Calibri"/>
                <w:lang w:eastAsia="en-US"/>
              </w:rPr>
            </w:pPr>
            <w:r w:rsidRPr="00600D69">
              <w:rPr>
                <w:rFonts w:eastAsia="Calibri"/>
                <w:lang w:eastAsia="en-US"/>
              </w:rPr>
              <w:t xml:space="preserve">Sections 5.3.4, 6.4.3, 6.5.3 and 6.11.5 of </w:t>
            </w:r>
            <w:r>
              <w:rPr>
                <w:rFonts w:eastAsia="Calibri"/>
                <w:lang w:eastAsia="en-US"/>
              </w:rPr>
              <w:t>our</w:t>
            </w:r>
            <w:r w:rsidRPr="00600D69">
              <w:rPr>
                <w:rFonts w:eastAsia="Calibri"/>
                <w:lang w:eastAsia="en-US"/>
              </w:rPr>
              <w:t xml:space="preserve"> 2018</w:t>
            </w:r>
            <w:r>
              <w:rPr>
                <w:rFonts w:eastAsia="Calibri"/>
                <w:lang w:eastAsia="en-US"/>
              </w:rPr>
              <w:t xml:space="preserve"> DAPR</w:t>
            </w:r>
            <w:r w:rsidRPr="0064425B">
              <w:t xml:space="preserve"> </w:t>
            </w:r>
            <w:hyperlink r:id="rId23" w:history="1">
              <w:r w:rsidRPr="0004037F">
                <w:rPr>
                  <w:rStyle w:val="Hyperlink"/>
                  <w:rFonts w:cs="Arial"/>
                </w:rPr>
                <w:t>(Attachment</w:t>
              </w:r>
            </w:hyperlink>
            <w:r>
              <w:t xml:space="preserve"> 7.049)</w:t>
            </w:r>
            <w:r w:rsidRPr="00600D69">
              <w:rPr>
                <w:rFonts w:eastAsia="Calibri"/>
                <w:lang w:eastAsia="en-US"/>
              </w:rPr>
              <w:t xml:space="preserve"> and Strategic Proposal Distribution </w:t>
            </w:r>
            <w:r w:rsidRPr="0049146E">
              <w:rPr>
                <w:rFonts w:eastAsia="Calibri"/>
                <w:lang w:eastAsia="en-US"/>
              </w:rPr>
              <w:t xml:space="preserve">Augmentation (Attachment </w:t>
            </w:r>
            <w:r>
              <w:rPr>
                <w:rFonts w:eastAsia="Calibri"/>
                <w:lang w:eastAsia="en-US"/>
              </w:rPr>
              <w:t>7.091</w:t>
            </w:r>
            <w:r w:rsidRPr="0049146E">
              <w:rPr>
                <w:rFonts w:eastAsia="Calibri"/>
                <w:lang w:eastAsia="en-US"/>
              </w:rPr>
              <w:t>) document</w:t>
            </w:r>
            <w:r>
              <w:rPr>
                <w:rFonts w:eastAsia="Calibri"/>
                <w:lang w:eastAsia="en-US"/>
              </w:rPr>
              <w:t xml:space="preserve"> </w:t>
            </w:r>
            <w:r w:rsidRPr="00600D69">
              <w:rPr>
                <w:rFonts w:eastAsia="Calibri"/>
                <w:lang w:eastAsia="en-US"/>
              </w:rPr>
              <w:t>details the assumptions and methodologies used to commence or continue a demand-related capex project or program during the forthcoming regulatory control period on a HV feeder.</w:t>
            </w:r>
          </w:p>
        </w:tc>
      </w:tr>
      <w:tr w:rsidR="009F2CDD" w:rsidRPr="002056FA" w14:paraId="591401CB" w14:textId="77777777" w:rsidTr="00E169B4">
        <w:tc>
          <w:tcPr>
            <w:tcW w:w="0" w:type="auto"/>
            <w:shd w:val="clear" w:color="auto" w:fill="D0CECE" w:themeFill="background2" w:themeFillShade="E6"/>
          </w:tcPr>
          <w:p w14:paraId="263D780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17.3(s) </w:t>
            </w:r>
          </w:p>
        </w:tc>
        <w:tc>
          <w:tcPr>
            <w:tcW w:w="0" w:type="auto"/>
            <w:shd w:val="clear" w:color="auto" w:fill="D0CECE" w:themeFill="background2" w:themeFillShade="E6"/>
          </w:tcPr>
          <w:p w14:paraId="1F31D47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where </w:t>
            </w:r>
            <w:r w:rsidRPr="002056FA">
              <w:rPr>
                <w:rFonts w:eastAsia="Calibri"/>
                <w:iCs/>
                <w:color w:val="000000"/>
                <w:lang w:eastAsia="en-US"/>
              </w:rPr>
              <w:t xml:space="preserve">Energex </w:t>
            </w:r>
            <w:r w:rsidRPr="002056FA">
              <w:rPr>
                <w:rFonts w:eastAsia="Calibri"/>
                <w:color w:val="000000"/>
                <w:lang w:eastAsia="en-US"/>
              </w:rPr>
              <w:t xml:space="preserve">proposes to commence or continue a demand-related </w:t>
            </w:r>
            <w:r w:rsidRPr="002056FA">
              <w:rPr>
                <w:rFonts w:eastAsia="Calibri"/>
                <w:iCs/>
                <w:color w:val="000000"/>
                <w:lang w:eastAsia="en-US"/>
              </w:rPr>
              <w:t xml:space="preserve">capex project </w:t>
            </w:r>
            <w:r w:rsidRPr="002056FA">
              <w:rPr>
                <w:rFonts w:eastAsia="Calibri"/>
                <w:color w:val="000000"/>
                <w:lang w:eastAsia="en-US"/>
              </w:rPr>
              <w:t xml:space="preserve">or </w:t>
            </w:r>
            <w:r w:rsidRPr="002056FA">
              <w:rPr>
                <w:rFonts w:eastAsia="Calibri"/>
                <w:iCs/>
                <w:color w:val="000000"/>
                <w:lang w:eastAsia="en-US"/>
              </w:rPr>
              <w:t xml:space="preserve">program </w:t>
            </w:r>
            <w:r w:rsidRPr="002056FA">
              <w:rPr>
                <w:rFonts w:eastAsia="Calibri"/>
                <w:color w:val="000000"/>
                <w:lang w:eastAsia="en-US"/>
              </w:rPr>
              <w:t xml:space="preserve">during the </w:t>
            </w:r>
            <w:r w:rsidRPr="002056FA">
              <w:rPr>
                <w:rFonts w:eastAsia="Calibri"/>
                <w:iCs/>
                <w:color w:val="000000"/>
                <w:lang w:eastAsia="en-US"/>
              </w:rPr>
              <w:t xml:space="preserve">forthcoming regulatory control period </w:t>
            </w:r>
            <w:r w:rsidRPr="002056FA">
              <w:rPr>
                <w:rFonts w:eastAsia="Calibri"/>
                <w:color w:val="000000"/>
                <w:lang w:eastAsia="en-US"/>
              </w:rPr>
              <w:t xml:space="preserve">on a </w:t>
            </w:r>
            <w:r w:rsidRPr="002056FA">
              <w:rPr>
                <w:rFonts w:eastAsia="Calibri"/>
                <w:iCs/>
                <w:color w:val="000000"/>
                <w:lang w:eastAsia="en-US"/>
              </w:rPr>
              <w:t xml:space="preserve">zone substation </w:t>
            </w:r>
            <w:r w:rsidRPr="002056FA">
              <w:rPr>
                <w:rFonts w:eastAsia="Calibri"/>
                <w:color w:val="000000"/>
                <w:lang w:eastAsia="en-US"/>
              </w:rPr>
              <w:t xml:space="preserve">(or relevant </w:t>
            </w:r>
            <w:r w:rsidRPr="002056FA">
              <w:rPr>
                <w:rFonts w:eastAsia="Calibri"/>
                <w:iCs/>
                <w:color w:val="000000"/>
                <w:lang w:eastAsia="en-US"/>
              </w:rPr>
              <w:t xml:space="preserve">substations </w:t>
            </w:r>
            <w:r w:rsidRPr="002056FA">
              <w:rPr>
                <w:rFonts w:eastAsia="Calibri"/>
                <w:color w:val="000000"/>
                <w:lang w:eastAsia="en-US"/>
              </w:rPr>
              <w:t xml:space="preserve">for a </w:t>
            </w:r>
            <w:r w:rsidRPr="002056FA">
              <w:rPr>
                <w:rFonts w:eastAsia="Calibri"/>
                <w:iCs/>
                <w:color w:val="000000"/>
                <w:lang w:eastAsia="en-US"/>
              </w:rPr>
              <w:t>sub-transmission line</w:t>
            </w:r>
            <w:r w:rsidRPr="002056FA">
              <w:rPr>
                <w:rFonts w:eastAsia="Calibri"/>
                <w:color w:val="000000"/>
                <w:lang w:eastAsia="en-US"/>
              </w:rPr>
              <w:t xml:space="preserve">): </w:t>
            </w:r>
          </w:p>
        </w:tc>
        <w:tc>
          <w:tcPr>
            <w:tcW w:w="0" w:type="auto"/>
            <w:shd w:val="clear" w:color="auto" w:fill="D0CECE" w:themeFill="background2" w:themeFillShade="E6"/>
          </w:tcPr>
          <w:p w14:paraId="55AFEC95" w14:textId="77777777" w:rsidR="009F2CDD" w:rsidRPr="002056FA" w:rsidRDefault="009F2CDD" w:rsidP="00E169B4">
            <w:pPr>
              <w:pStyle w:val="TableCopy"/>
              <w:rPr>
                <w:rFonts w:eastAsia="Calibri"/>
                <w:lang w:eastAsia="en-US"/>
              </w:rPr>
            </w:pPr>
          </w:p>
        </w:tc>
      </w:tr>
      <w:tr w:rsidR="009F2CDD" w:rsidRPr="002056FA" w14:paraId="21C962C9" w14:textId="77777777" w:rsidTr="00E169B4">
        <w:tc>
          <w:tcPr>
            <w:tcW w:w="0" w:type="auto"/>
            <w:shd w:val="clear" w:color="auto" w:fill="auto"/>
          </w:tcPr>
          <w:p w14:paraId="6F95B7A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17.3(s)(i) </w:t>
            </w:r>
          </w:p>
        </w:tc>
        <w:tc>
          <w:tcPr>
            <w:tcW w:w="0" w:type="auto"/>
            <w:shd w:val="clear" w:color="auto" w:fill="auto"/>
          </w:tcPr>
          <w:p w14:paraId="5DB2E1D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assumed future load </w:t>
            </w:r>
            <w:r w:rsidRPr="002056FA">
              <w:rPr>
                <w:rFonts w:eastAsia="Calibri"/>
                <w:iCs/>
                <w:color w:val="000000"/>
                <w:lang w:eastAsia="en-US"/>
              </w:rPr>
              <w:t xml:space="preserve">transfers </w:t>
            </w:r>
            <w:r w:rsidRPr="002056FA">
              <w:rPr>
                <w:rFonts w:eastAsia="Calibri"/>
                <w:color w:val="000000"/>
                <w:lang w:eastAsia="en-US"/>
              </w:rPr>
              <w:t xml:space="preserve">between related </w:t>
            </w:r>
            <w:r w:rsidRPr="002056FA">
              <w:rPr>
                <w:rFonts w:eastAsia="Calibri"/>
                <w:iCs/>
                <w:color w:val="000000"/>
                <w:lang w:eastAsia="en-US"/>
              </w:rPr>
              <w:t>substations</w:t>
            </w:r>
            <w:r w:rsidRPr="002056FA">
              <w:rPr>
                <w:rFonts w:eastAsia="Calibri"/>
                <w:color w:val="000000"/>
                <w:lang w:eastAsia="en-US"/>
              </w:rPr>
              <w:t xml:space="preserve">; </w:t>
            </w:r>
          </w:p>
        </w:tc>
        <w:tc>
          <w:tcPr>
            <w:tcW w:w="0" w:type="auto"/>
            <w:shd w:val="clear" w:color="auto" w:fill="auto"/>
          </w:tcPr>
          <w:p w14:paraId="328E2E00" w14:textId="77777777" w:rsidR="009F2CDD" w:rsidRPr="003710D3" w:rsidRDefault="009F2CDD" w:rsidP="00E169B4">
            <w:pPr>
              <w:pStyle w:val="TableCopy"/>
              <w:rPr>
                <w:rFonts w:eastAsia="Calibri"/>
                <w:lang w:eastAsia="en-US"/>
              </w:rPr>
            </w:pPr>
            <w:r w:rsidRPr="003710D3">
              <w:rPr>
                <w:rFonts w:eastAsia="Calibri"/>
                <w:lang w:eastAsia="en-US"/>
              </w:rPr>
              <w:t>In discussion with Network Planners, Energex determine the constraints on our zone substations, substations, and sub-transmission lines. This includes consideration of future load transfers proposed to treat identified constraints, and these are captured in the load forecast. For further information refer to:</w:t>
            </w:r>
          </w:p>
          <w:p w14:paraId="13878162" w14:textId="77777777" w:rsidR="009F2CDD" w:rsidRPr="003710D3" w:rsidRDefault="009F2CDD" w:rsidP="00E169B4">
            <w:pPr>
              <w:pStyle w:val="Bullet1"/>
              <w:rPr>
                <w:sz w:val="20"/>
                <w:szCs w:val="20"/>
              </w:rPr>
            </w:pPr>
            <w:r w:rsidRPr="003710D3">
              <w:rPr>
                <w:sz w:val="20"/>
                <w:szCs w:val="20"/>
              </w:rPr>
              <w:t>Load Forecasting Spatial Maximum Demand (Attachment 17.042), and</w:t>
            </w:r>
          </w:p>
          <w:p w14:paraId="507B35BD" w14:textId="77777777" w:rsidR="009F2CDD" w:rsidRPr="003710D3" w:rsidRDefault="009F2CDD" w:rsidP="00E169B4">
            <w:pPr>
              <w:pStyle w:val="Bullet1"/>
            </w:pPr>
            <w:r>
              <w:rPr>
                <w:sz w:val="20"/>
                <w:szCs w:val="20"/>
              </w:rPr>
              <w:t>ACIL ALLEN Demand Review Energy Queensland</w:t>
            </w:r>
            <w:r w:rsidRPr="003710D3">
              <w:rPr>
                <w:sz w:val="20"/>
                <w:szCs w:val="20"/>
              </w:rPr>
              <w:t xml:space="preserve"> (Attachment 5.001)</w:t>
            </w:r>
            <w:r>
              <w:rPr>
                <w:sz w:val="20"/>
                <w:szCs w:val="20"/>
              </w:rPr>
              <w:t>.</w:t>
            </w:r>
          </w:p>
        </w:tc>
      </w:tr>
      <w:tr w:rsidR="009F2CDD" w:rsidRPr="002056FA" w14:paraId="445F63BC" w14:textId="77777777" w:rsidTr="00E169B4">
        <w:tc>
          <w:tcPr>
            <w:tcW w:w="0" w:type="auto"/>
            <w:shd w:val="clear" w:color="auto" w:fill="auto"/>
          </w:tcPr>
          <w:p w14:paraId="45DF8BAA"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17.3(s)(ii) </w:t>
            </w:r>
          </w:p>
        </w:tc>
        <w:tc>
          <w:tcPr>
            <w:tcW w:w="0" w:type="auto"/>
            <w:shd w:val="clear" w:color="auto" w:fill="auto"/>
          </w:tcPr>
          <w:p w14:paraId="2BFDE00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assumed underlying load growth rates (exclusive of </w:t>
            </w:r>
            <w:r w:rsidRPr="002056FA">
              <w:rPr>
                <w:rFonts w:eastAsia="Calibri"/>
                <w:iCs/>
                <w:color w:val="000000"/>
                <w:lang w:eastAsia="en-US"/>
              </w:rPr>
              <w:t xml:space="preserve">transfers </w:t>
            </w:r>
            <w:r w:rsidRPr="002056FA">
              <w:rPr>
                <w:rFonts w:eastAsia="Calibri"/>
                <w:color w:val="000000"/>
                <w:lang w:eastAsia="en-US"/>
              </w:rPr>
              <w:t xml:space="preserve">and specific </w:t>
            </w:r>
            <w:r w:rsidRPr="002056FA">
              <w:rPr>
                <w:rFonts w:eastAsia="Calibri"/>
                <w:iCs/>
                <w:color w:val="000000"/>
                <w:lang w:eastAsia="en-US"/>
              </w:rPr>
              <w:t xml:space="preserve">customer </w:t>
            </w:r>
            <w:r w:rsidRPr="002056FA">
              <w:rPr>
                <w:rFonts w:eastAsia="Calibri"/>
                <w:color w:val="000000"/>
                <w:lang w:eastAsia="en-US"/>
              </w:rPr>
              <w:t xml:space="preserve">developments); </w:t>
            </w:r>
          </w:p>
        </w:tc>
        <w:tc>
          <w:tcPr>
            <w:tcW w:w="0" w:type="auto"/>
            <w:shd w:val="clear" w:color="auto" w:fill="auto"/>
          </w:tcPr>
          <w:p w14:paraId="4587921B" w14:textId="77777777" w:rsidR="009F2CDD" w:rsidRPr="003710D3" w:rsidRDefault="009F2CDD" w:rsidP="00E169B4">
            <w:pPr>
              <w:pStyle w:val="TableCopy"/>
              <w:rPr>
                <w:rFonts w:eastAsia="Calibri"/>
                <w:lang w:eastAsia="en-US"/>
              </w:rPr>
            </w:pPr>
            <w:r w:rsidRPr="003710D3">
              <w:rPr>
                <w:rFonts w:eastAsia="Calibri"/>
                <w:lang w:eastAsia="en-US"/>
              </w:rPr>
              <w:t>Underlying growth rates, exclusive of transfers and specific customer developments, are determined in SIFT. Refer to:</w:t>
            </w:r>
          </w:p>
          <w:p w14:paraId="7CFCE66E" w14:textId="77777777" w:rsidR="009F2CDD" w:rsidRPr="003710D3" w:rsidRDefault="009F2CDD" w:rsidP="00E169B4">
            <w:pPr>
              <w:pStyle w:val="Bullet1"/>
              <w:rPr>
                <w:sz w:val="20"/>
                <w:szCs w:val="20"/>
              </w:rPr>
            </w:pPr>
            <w:r w:rsidRPr="003710D3">
              <w:rPr>
                <w:sz w:val="20"/>
                <w:szCs w:val="20"/>
              </w:rPr>
              <w:t>Load Forecasting Spatial Maximum Demand (Attachment 17.042), and</w:t>
            </w:r>
          </w:p>
          <w:p w14:paraId="0D20F4E3" w14:textId="77777777" w:rsidR="009F2CDD" w:rsidRPr="003710D3" w:rsidRDefault="009F2CDD" w:rsidP="00E169B4">
            <w:pPr>
              <w:pStyle w:val="Bullet1"/>
            </w:pPr>
            <w:r>
              <w:rPr>
                <w:sz w:val="20"/>
                <w:szCs w:val="20"/>
              </w:rPr>
              <w:t>ACIL ALLEN Demand Review Energy Queensland</w:t>
            </w:r>
            <w:r w:rsidRPr="003710D3">
              <w:rPr>
                <w:sz w:val="20"/>
                <w:szCs w:val="20"/>
              </w:rPr>
              <w:t xml:space="preserve"> (Attachment 5.001)</w:t>
            </w:r>
            <w:r>
              <w:rPr>
                <w:sz w:val="20"/>
                <w:szCs w:val="20"/>
              </w:rPr>
              <w:t>.</w:t>
            </w:r>
          </w:p>
        </w:tc>
      </w:tr>
      <w:tr w:rsidR="009F2CDD" w:rsidRPr="002056FA" w14:paraId="2479E2D9" w14:textId="77777777" w:rsidTr="00E169B4">
        <w:tc>
          <w:tcPr>
            <w:tcW w:w="0" w:type="auto"/>
            <w:shd w:val="clear" w:color="auto" w:fill="auto"/>
          </w:tcPr>
          <w:p w14:paraId="1A81F0C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17.3(s)(iii) </w:t>
            </w:r>
          </w:p>
        </w:tc>
        <w:tc>
          <w:tcPr>
            <w:tcW w:w="0" w:type="auto"/>
            <w:shd w:val="clear" w:color="auto" w:fill="auto"/>
          </w:tcPr>
          <w:p w14:paraId="05FEAEB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assumed specific </w:t>
            </w:r>
            <w:r w:rsidRPr="002056FA">
              <w:rPr>
                <w:rFonts w:eastAsia="Calibri"/>
                <w:iCs/>
                <w:color w:val="000000"/>
                <w:lang w:eastAsia="en-US"/>
              </w:rPr>
              <w:t xml:space="preserve">customer </w:t>
            </w:r>
            <w:r w:rsidRPr="002056FA">
              <w:rPr>
                <w:rFonts w:eastAsia="Calibri"/>
                <w:color w:val="000000"/>
                <w:lang w:eastAsia="en-US"/>
              </w:rPr>
              <w:t xml:space="preserve">developments, and associated demand assumptions; </w:t>
            </w:r>
          </w:p>
        </w:tc>
        <w:tc>
          <w:tcPr>
            <w:tcW w:w="0" w:type="auto"/>
            <w:shd w:val="clear" w:color="auto" w:fill="auto"/>
          </w:tcPr>
          <w:p w14:paraId="1681E466" w14:textId="77777777" w:rsidR="009F2CDD" w:rsidRPr="003710D3" w:rsidRDefault="009F2CDD" w:rsidP="00E169B4">
            <w:pPr>
              <w:pStyle w:val="TableCopy"/>
              <w:rPr>
                <w:rFonts w:eastAsia="Calibri"/>
                <w:lang w:eastAsia="en-US"/>
              </w:rPr>
            </w:pPr>
            <w:r w:rsidRPr="003710D3">
              <w:rPr>
                <w:rFonts w:eastAsia="Calibri"/>
                <w:lang w:eastAsia="en-US"/>
              </w:rPr>
              <w:t xml:space="preserve">Customer developments and associated demand assumptions are considered in SIFT. Further information can be found in: </w:t>
            </w:r>
          </w:p>
          <w:p w14:paraId="1023D3D5" w14:textId="77777777" w:rsidR="009F2CDD" w:rsidRPr="003710D3" w:rsidRDefault="009F2CDD" w:rsidP="00E169B4">
            <w:pPr>
              <w:pStyle w:val="Bullet1"/>
              <w:rPr>
                <w:sz w:val="20"/>
                <w:szCs w:val="20"/>
              </w:rPr>
            </w:pPr>
            <w:r w:rsidRPr="003710D3">
              <w:rPr>
                <w:sz w:val="20"/>
                <w:szCs w:val="20"/>
              </w:rPr>
              <w:t>Load Forecasting Spatial Maximum Demand (Attachment 17.042), and</w:t>
            </w:r>
          </w:p>
          <w:p w14:paraId="49823D63" w14:textId="77777777" w:rsidR="009F2CDD" w:rsidRPr="003710D3" w:rsidRDefault="009F2CDD" w:rsidP="00E169B4">
            <w:pPr>
              <w:pStyle w:val="Bullet1"/>
            </w:pPr>
            <w:r>
              <w:rPr>
                <w:sz w:val="20"/>
                <w:szCs w:val="20"/>
              </w:rPr>
              <w:t>ACIL ALLEN Demand Review Energy Queensland</w:t>
            </w:r>
            <w:r w:rsidRPr="003710D3">
              <w:rPr>
                <w:sz w:val="20"/>
                <w:szCs w:val="20"/>
              </w:rPr>
              <w:t xml:space="preserve"> (Attachment 5.001)</w:t>
            </w:r>
            <w:r>
              <w:rPr>
                <w:sz w:val="20"/>
                <w:szCs w:val="20"/>
              </w:rPr>
              <w:t>.</w:t>
            </w:r>
          </w:p>
        </w:tc>
      </w:tr>
      <w:tr w:rsidR="009F2CDD" w:rsidRPr="002056FA" w14:paraId="6555E327" w14:textId="77777777" w:rsidTr="00E169B4">
        <w:tc>
          <w:tcPr>
            <w:tcW w:w="0" w:type="auto"/>
            <w:shd w:val="clear" w:color="auto" w:fill="auto"/>
          </w:tcPr>
          <w:p w14:paraId="7300572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17.3(s)(iv) </w:t>
            </w:r>
          </w:p>
        </w:tc>
        <w:tc>
          <w:tcPr>
            <w:tcW w:w="0" w:type="auto"/>
            <w:shd w:val="clear" w:color="auto" w:fill="auto"/>
          </w:tcPr>
          <w:p w14:paraId="6F1D49F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existing </w:t>
            </w:r>
            <w:r w:rsidRPr="002056FA">
              <w:rPr>
                <w:rFonts w:eastAsia="Calibri"/>
                <w:iCs/>
                <w:color w:val="000000"/>
                <w:lang w:eastAsia="en-US"/>
              </w:rPr>
              <w:t xml:space="preserve">embedded generation </w:t>
            </w:r>
            <w:r w:rsidRPr="002056FA">
              <w:rPr>
                <w:rFonts w:eastAsia="Calibri"/>
                <w:color w:val="000000"/>
                <w:lang w:eastAsia="en-US"/>
              </w:rPr>
              <w:t xml:space="preserve">capacity, and associated assumptions on the impact on demand levels; </w:t>
            </w:r>
          </w:p>
        </w:tc>
        <w:tc>
          <w:tcPr>
            <w:tcW w:w="0" w:type="auto"/>
            <w:shd w:val="clear" w:color="auto" w:fill="auto"/>
          </w:tcPr>
          <w:p w14:paraId="51AB62DE" w14:textId="77777777" w:rsidR="009F2CDD" w:rsidRPr="003710D3" w:rsidRDefault="009F2CDD" w:rsidP="00E169B4">
            <w:pPr>
              <w:pStyle w:val="TableCopy"/>
              <w:rPr>
                <w:rFonts w:eastAsia="Calibri"/>
                <w:lang w:eastAsia="en-US"/>
              </w:rPr>
            </w:pPr>
            <w:r w:rsidRPr="003710D3">
              <w:rPr>
                <w:rFonts w:eastAsia="Calibri"/>
                <w:lang w:eastAsia="en-US"/>
              </w:rPr>
              <w:t>Energex’s demand forecasts also incorporate existing embedded generation capacity. Further information can be found in:</w:t>
            </w:r>
          </w:p>
          <w:p w14:paraId="36FCCC45" w14:textId="77777777" w:rsidR="009F2CDD" w:rsidRPr="003710D3" w:rsidRDefault="009F2CDD" w:rsidP="00E169B4">
            <w:pPr>
              <w:pStyle w:val="Bullet1"/>
              <w:rPr>
                <w:sz w:val="20"/>
                <w:szCs w:val="20"/>
              </w:rPr>
            </w:pPr>
            <w:r w:rsidRPr="003710D3">
              <w:rPr>
                <w:sz w:val="20"/>
                <w:szCs w:val="20"/>
              </w:rPr>
              <w:t>Load Forecasting Spatial Maximum Demand (Attachment 17.042), and</w:t>
            </w:r>
          </w:p>
          <w:p w14:paraId="1B3542F1" w14:textId="77777777" w:rsidR="009F2CDD" w:rsidRPr="003710D3" w:rsidRDefault="009F2CDD" w:rsidP="00E169B4">
            <w:pPr>
              <w:pStyle w:val="Bullet1"/>
            </w:pPr>
            <w:r w:rsidRPr="003710D3">
              <w:rPr>
                <w:sz w:val="20"/>
                <w:szCs w:val="20"/>
              </w:rPr>
              <w:t>ACIL Allen</w:t>
            </w:r>
            <w:r>
              <w:rPr>
                <w:sz w:val="20"/>
                <w:szCs w:val="20"/>
              </w:rPr>
              <w:t xml:space="preserve"> Demand Review Energy Queensland</w:t>
            </w:r>
            <w:r w:rsidRPr="003710D3">
              <w:rPr>
                <w:sz w:val="20"/>
                <w:szCs w:val="20"/>
              </w:rPr>
              <w:t xml:space="preserve"> (Attachment 5.001).</w:t>
            </w:r>
          </w:p>
        </w:tc>
      </w:tr>
      <w:tr w:rsidR="009F2CDD" w:rsidRPr="002056FA" w14:paraId="24E63DAB" w14:textId="77777777" w:rsidTr="00E169B4">
        <w:tc>
          <w:tcPr>
            <w:tcW w:w="0" w:type="auto"/>
            <w:shd w:val="clear" w:color="auto" w:fill="auto"/>
          </w:tcPr>
          <w:p w14:paraId="2AF8339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17.3(s)(v) </w:t>
            </w:r>
          </w:p>
        </w:tc>
        <w:tc>
          <w:tcPr>
            <w:tcW w:w="0" w:type="auto"/>
            <w:shd w:val="clear" w:color="auto" w:fill="auto"/>
          </w:tcPr>
          <w:p w14:paraId="0EDF512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assumed future </w:t>
            </w:r>
            <w:r w:rsidRPr="002056FA">
              <w:rPr>
                <w:rFonts w:eastAsia="Calibri"/>
                <w:iCs/>
                <w:color w:val="000000"/>
                <w:lang w:eastAsia="en-US"/>
              </w:rPr>
              <w:t xml:space="preserve">embedded generation </w:t>
            </w:r>
            <w:r w:rsidRPr="002056FA">
              <w:rPr>
                <w:rFonts w:eastAsia="Calibri"/>
                <w:color w:val="000000"/>
                <w:lang w:eastAsia="en-US"/>
              </w:rPr>
              <w:t xml:space="preserve">capacity, and associated assumptions on the impact on demand levels; </w:t>
            </w:r>
          </w:p>
        </w:tc>
        <w:tc>
          <w:tcPr>
            <w:tcW w:w="0" w:type="auto"/>
            <w:shd w:val="clear" w:color="auto" w:fill="auto"/>
          </w:tcPr>
          <w:p w14:paraId="28398C08" w14:textId="77777777" w:rsidR="009F2CDD" w:rsidRPr="003710D3" w:rsidRDefault="009F2CDD" w:rsidP="00E169B4">
            <w:pPr>
              <w:pStyle w:val="TableCopy"/>
              <w:rPr>
                <w:rFonts w:eastAsia="Calibri"/>
                <w:lang w:eastAsia="en-US"/>
              </w:rPr>
            </w:pPr>
            <w:r w:rsidRPr="003710D3">
              <w:rPr>
                <w:rFonts w:eastAsia="Calibri"/>
                <w:lang w:eastAsia="en-US"/>
              </w:rPr>
              <w:t>Energex’s demand forecasts also incorporate specific customer developments. Further information can be found in:</w:t>
            </w:r>
          </w:p>
          <w:p w14:paraId="42BDC53B" w14:textId="77777777" w:rsidR="009F2CDD" w:rsidRPr="003710D3" w:rsidRDefault="009F2CDD" w:rsidP="00E169B4">
            <w:pPr>
              <w:pStyle w:val="Bullet1"/>
              <w:rPr>
                <w:sz w:val="20"/>
                <w:szCs w:val="20"/>
              </w:rPr>
            </w:pPr>
            <w:r w:rsidRPr="003710D3">
              <w:rPr>
                <w:sz w:val="20"/>
                <w:szCs w:val="20"/>
              </w:rPr>
              <w:t>Load Forecasting Spatial Maximum Demand (Attachment 17.042), and</w:t>
            </w:r>
          </w:p>
          <w:p w14:paraId="0544365D" w14:textId="77777777" w:rsidR="009F2CDD" w:rsidRPr="003710D3" w:rsidRDefault="009F2CDD" w:rsidP="00E169B4">
            <w:pPr>
              <w:pStyle w:val="Bullet1"/>
            </w:pPr>
            <w:r>
              <w:rPr>
                <w:sz w:val="20"/>
                <w:szCs w:val="20"/>
              </w:rPr>
              <w:t>ACIL ALLEN Demand Review Energy Queensland</w:t>
            </w:r>
            <w:r w:rsidRPr="003710D3">
              <w:rPr>
                <w:sz w:val="20"/>
                <w:szCs w:val="20"/>
              </w:rPr>
              <w:t xml:space="preserve"> (Attachment 5.001).</w:t>
            </w:r>
          </w:p>
        </w:tc>
      </w:tr>
      <w:tr w:rsidR="009F2CDD" w:rsidRPr="002056FA" w14:paraId="384929B0" w14:textId="77777777" w:rsidTr="00E169B4">
        <w:tc>
          <w:tcPr>
            <w:tcW w:w="0" w:type="auto"/>
            <w:shd w:val="clear" w:color="auto" w:fill="auto"/>
          </w:tcPr>
          <w:p w14:paraId="2FD87F3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17.3(s)(vi) </w:t>
            </w:r>
          </w:p>
        </w:tc>
        <w:tc>
          <w:tcPr>
            <w:tcW w:w="0" w:type="auto"/>
            <w:shd w:val="clear" w:color="auto" w:fill="auto"/>
          </w:tcPr>
          <w:p w14:paraId="1F9566B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existing non-network solutions, and the associated assumptions on the impact on demand levels; </w:t>
            </w:r>
          </w:p>
        </w:tc>
        <w:tc>
          <w:tcPr>
            <w:tcW w:w="0" w:type="auto"/>
            <w:shd w:val="clear" w:color="auto" w:fill="auto"/>
          </w:tcPr>
          <w:p w14:paraId="4192D02D" w14:textId="77777777" w:rsidR="009F2CDD" w:rsidRPr="003710D3" w:rsidRDefault="009F2CDD" w:rsidP="00E169B4">
            <w:pPr>
              <w:pStyle w:val="TableCopy"/>
              <w:rPr>
                <w:rFonts w:eastAsia="Calibri"/>
                <w:color w:val="4BACC6"/>
                <w:lang w:eastAsia="en-US"/>
              </w:rPr>
            </w:pPr>
            <w:r w:rsidRPr="003710D3">
              <w:rPr>
                <w:rFonts w:eastAsia="Calibri"/>
                <w:lang w:eastAsia="en-US"/>
              </w:rPr>
              <w:t>Consistent with Energex’s demand management policy</w:t>
            </w:r>
            <w:r>
              <w:rPr>
                <w:rFonts w:eastAsia="Calibri"/>
                <w:lang w:eastAsia="en-US"/>
              </w:rPr>
              <w:t>,</w:t>
            </w:r>
            <w:r w:rsidRPr="003710D3">
              <w:rPr>
                <w:rFonts w:eastAsia="Calibri"/>
                <w:lang w:eastAsia="en-US"/>
              </w:rPr>
              <w:t xml:space="preserve"> Energex assess</w:t>
            </w:r>
            <w:r>
              <w:rPr>
                <w:rFonts w:eastAsia="Calibri"/>
                <w:lang w:eastAsia="en-US"/>
              </w:rPr>
              <w:t>es</w:t>
            </w:r>
            <w:r w:rsidRPr="003710D3">
              <w:rPr>
                <w:rFonts w:eastAsia="Calibri"/>
                <w:lang w:eastAsia="en-US"/>
              </w:rPr>
              <w:t xml:space="preserve"> whether there are any viable and efficient non-network solutions to address the constraint on the network. Demand or generation responses procured for network support are captured in Energex’s planning processes to ensure future network limitations are accurately assessed.  Further information on Energex’s planning philosophy can be found in the </w:t>
            </w:r>
            <w:r>
              <w:rPr>
                <w:rFonts w:eastAsia="Calibri"/>
                <w:lang w:eastAsia="en-US"/>
              </w:rPr>
              <w:t>DAPR (Attachment 7.049)</w:t>
            </w:r>
            <w:r w:rsidRPr="003710D3">
              <w:rPr>
                <w:rFonts w:eastAsia="Calibri"/>
                <w:lang w:eastAsia="en-US"/>
              </w:rPr>
              <w:t>.</w:t>
            </w:r>
          </w:p>
        </w:tc>
      </w:tr>
      <w:tr w:rsidR="009F2CDD" w:rsidRPr="002056FA" w14:paraId="25CA4144" w14:textId="77777777" w:rsidTr="00E169B4">
        <w:tc>
          <w:tcPr>
            <w:tcW w:w="0" w:type="auto"/>
            <w:shd w:val="clear" w:color="auto" w:fill="auto"/>
          </w:tcPr>
          <w:p w14:paraId="69D1088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17.3(s)(vii) </w:t>
            </w:r>
          </w:p>
        </w:tc>
        <w:tc>
          <w:tcPr>
            <w:tcW w:w="0" w:type="auto"/>
            <w:shd w:val="clear" w:color="auto" w:fill="auto"/>
          </w:tcPr>
          <w:p w14:paraId="1340D061" w14:textId="77777777" w:rsidR="009F2CDD" w:rsidRPr="002056FA" w:rsidRDefault="009F2CDD" w:rsidP="00E169B4">
            <w:pPr>
              <w:pStyle w:val="TableCopy"/>
              <w:rPr>
                <w:rFonts w:eastAsia="Calibri"/>
                <w:color w:val="000000"/>
                <w:highlight w:val="yellow"/>
                <w:lang w:eastAsia="en-US"/>
              </w:rPr>
            </w:pPr>
            <w:r w:rsidRPr="002056FA">
              <w:rPr>
                <w:rFonts w:eastAsia="Calibri"/>
                <w:color w:val="000000"/>
                <w:lang w:eastAsia="en-US"/>
              </w:rPr>
              <w:t xml:space="preserve">assumed future non-network solutions, and associated assumptions on the impact on demand levels; and </w:t>
            </w:r>
          </w:p>
        </w:tc>
        <w:tc>
          <w:tcPr>
            <w:tcW w:w="0" w:type="auto"/>
            <w:shd w:val="clear" w:color="auto" w:fill="auto"/>
          </w:tcPr>
          <w:p w14:paraId="3886C898" w14:textId="77777777" w:rsidR="009F2CDD" w:rsidRPr="003710D3" w:rsidRDefault="009F2CDD" w:rsidP="00E169B4">
            <w:pPr>
              <w:pStyle w:val="TableCopy"/>
              <w:rPr>
                <w:rFonts w:eastAsia="Calibri"/>
                <w:color w:val="4BACC6"/>
                <w:lang w:eastAsia="en-US"/>
              </w:rPr>
            </w:pPr>
            <w:r w:rsidRPr="003710D3">
              <w:rPr>
                <w:rFonts w:eastAsia="Calibri"/>
                <w:lang w:eastAsia="en-US"/>
              </w:rPr>
              <w:t xml:space="preserve">Demand or generation responses that could be procured for future network support will be identified the planning phase for future network limitations and captured in Energex planning processes. Further information on Energex’s planning philosophy can be found in the </w:t>
            </w:r>
            <w:r>
              <w:rPr>
                <w:rFonts w:eastAsia="Calibri"/>
                <w:lang w:eastAsia="en-US"/>
              </w:rPr>
              <w:t>DAPR (Attachment 7.049)</w:t>
            </w:r>
            <w:r w:rsidRPr="003710D3">
              <w:rPr>
                <w:rFonts w:eastAsia="Calibri"/>
                <w:lang w:eastAsia="en-US"/>
              </w:rPr>
              <w:t>.</w:t>
            </w:r>
          </w:p>
        </w:tc>
      </w:tr>
      <w:tr w:rsidR="009F2CDD" w:rsidRPr="002056FA" w14:paraId="204D4AA6" w14:textId="77777777" w:rsidTr="00E169B4">
        <w:tc>
          <w:tcPr>
            <w:tcW w:w="0" w:type="auto"/>
            <w:tcBorders>
              <w:bottom w:val="single" w:sz="4" w:space="0" w:color="auto"/>
            </w:tcBorders>
            <w:shd w:val="clear" w:color="auto" w:fill="auto"/>
          </w:tcPr>
          <w:p w14:paraId="5B36A39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17.3(s)(viii) </w:t>
            </w:r>
          </w:p>
        </w:tc>
        <w:tc>
          <w:tcPr>
            <w:tcW w:w="0" w:type="auto"/>
            <w:tcBorders>
              <w:bottom w:val="single" w:sz="4" w:space="0" w:color="auto"/>
            </w:tcBorders>
            <w:shd w:val="clear" w:color="auto" w:fill="auto"/>
          </w:tcPr>
          <w:p w14:paraId="5A2DF80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diversity with related </w:t>
            </w:r>
            <w:r w:rsidRPr="002056FA">
              <w:rPr>
                <w:rFonts w:eastAsia="Calibri"/>
                <w:iCs/>
                <w:color w:val="000000"/>
                <w:lang w:eastAsia="en-US"/>
              </w:rPr>
              <w:t>substations</w:t>
            </w:r>
            <w:r w:rsidRPr="002056FA">
              <w:rPr>
                <w:rFonts w:eastAsia="Calibri"/>
                <w:color w:val="000000"/>
                <w:lang w:eastAsia="en-US"/>
              </w:rPr>
              <w:t xml:space="preserve">. </w:t>
            </w:r>
          </w:p>
        </w:tc>
        <w:tc>
          <w:tcPr>
            <w:tcW w:w="0" w:type="auto"/>
            <w:tcBorders>
              <w:bottom w:val="single" w:sz="4" w:space="0" w:color="auto"/>
            </w:tcBorders>
            <w:shd w:val="clear" w:color="auto" w:fill="auto"/>
          </w:tcPr>
          <w:p w14:paraId="3090CBCF" w14:textId="77777777" w:rsidR="009F2CDD" w:rsidRPr="003710D3" w:rsidRDefault="009F2CDD" w:rsidP="00E169B4">
            <w:pPr>
              <w:pStyle w:val="TableCopy"/>
              <w:rPr>
                <w:rFonts w:eastAsia="Calibri"/>
                <w:lang w:eastAsia="en-US"/>
              </w:rPr>
            </w:pPr>
            <w:r w:rsidRPr="003710D3">
              <w:rPr>
                <w:rFonts w:eastAsia="Calibri"/>
                <w:lang w:eastAsia="en-US"/>
              </w:rPr>
              <w:t xml:space="preserve">As part of </w:t>
            </w:r>
            <w:r>
              <w:rPr>
                <w:rFonts w:eastAsia="Calibri"/>
                <w:lang w:eastAsia="en-US"/>
              </w:rPr>
              <w:t xml:space="preserve">the </w:t>
            </w:r>
            <w:r w:rsidRPr="003710D3">
              <w:rPr>
                <w:rFonts w:eastAsia="Calibri"/>
                <w:lang w:eastAsia="en-US"/>
              </w:rPr>
              <w:t xml:space="preserve">forecasting process </w:t>
            </w:r>
            <w:r>
              <w:rPr>
                <w:rFonts w:eastAsia="Calibri"/>
                <w:lang w:eastAsia="en-US"/>
              </w:rPr>
              <w:t xml:space="preserve">we </w:t>
            </w:r>
            <w:r w:rsidRPr="003710D3">
              <w:rPr>
                <w:rFonts w:eastAsia="Calibri"/>
                <w:lang w:eastAsia="en-US"/>
              </w:rPr>
              <w:t>record maximum demand on each feeder, and we may be able to see diversity in the commercial and residential feeder. For further information refer to:</w:t>
            </w:r>
          </w:p>
          <w:p w14:paraId="3DE77E92" w14:textId="77777777" w:rsidR="009F2CDD" w:rsidRPr="003710D3" w:rsidRDefault="009F2CDD" w:rsidP="00E169B4">
            <w:pPr>
              <w:pStyle w:val="Bullet1"/>
              <w:rPr>
                <w:sz w:val="20"/>
                <w:szCs w:val="20"/>
              </w:rPr>
            </w:pPr>
            <w:r w:rsidRPr="003710D3">
              <w:rPr>
                <w:sz w:val="20"/>
                <w:szCs w:val="20"/>
              </w:rPr>
              <w:t>Load Forecasting Spatial Maximum Demand (Attachment 17.042), and</w:t>
            </w:r>
          </w:p>
          <w:p w14:paraId="74EF6D9E" w14:textId="77777777" w:rsidR="009F2CDD" w:rsidRPr="003710D3" w:rsidRDefault="009F2CDD" w:rsidP="00E169B4">
            <w:pPr>
              <w:pStyle w:val="Bullet1"/>
            </w:pPr>
            <w:r>
              <w:rPr>
                <w:sz w:val="20"/>
                <w:szCs w:val="20"/>
              </w:rPr>
              <w:t>ACIL ALLEN Demand Review Energy Queensland</w:t>
            </w:r>
            <w:r w:rsidRPr="003710D3">
              <w:rPr>
                <w:sz w:val="20"/>
                <w:szCs w:val="20"/>
              </w:rPr>
              <w:t xml:space="preserve"> (Attachment 5.001).</w:t>
            </w:r>
          </w:p>
        </w:tc>
      </w:tr>
      <w:tr w:rsidR="009F2CDD" w:rsidRPr="002056FA" w14:paraId="104CA68E" w14:textId="77777777" w:rsidTr="00E169B4">
        <w:tc>
          <w:tcPr>
            <w:tcW w:w="0" w:type="auto"/>
            <w:shd w:val="clear" w:color="auto" w:fill="D0CECE" w:themeFill="background2" w:themeFillShade="E6"/>
          </w:tcPr>
          <w:p w14:paraId="50358CB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17.4</w:t>
            </w:r>
          </w:p>
        </w:tc>
        <w:tc>
          <w:tcPr>
            <w:tcW w:w="0" w:type="auto"/>
            <w:shd w:val="clear" w:color="auto" w:fill="D0CECE" w:themeFill="background2" w:themeFillShade="E6"/>
          </w:tcPr>
          <w:p w14:paraId="3163E3C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w:t>
            </w:r>
          </w:p>
        </w:tc>
        <w:tc>
          <w:tcPr>
            <w:tcW w:w="0" w:type="auto"/>
            <w:shd w:val="clear" w:color="auto" w:fill="D0CECE" w:themeFill="background2" w:themeFillShade="E6"/>
          </w:tcPr>
          <w:p w14:paraId="60254172" w14:textId="77777777" w:rsidR="009F2CDD" w:rsidRPr="002056FA" w:rsidRDefault="009F2CDD" w:rsidP="00E169B4">
            <w:pPr>
              <w:pStyle w:val="TableCopy"/>
              <w:rPr>
                <w:rFonts w:eastAsia="Calibri"/>
                <w:color w:val="365F91"/>
                <w:lang w:eastAsia="en-US"/>
              </w:rPr>
            </w:pPr>
          </w:p>
        </w:tc>
      </w:tr>
      <w:tr w:rsidR="009F2CDD" w:rsidRPr="002056FA" w14:paraId="12684149" w14:textId="77777777" w:rsidTr="00E169B4">
        <w:tc>
          <w:tcPr>
            <w:tcW w:w="0" w:type="auto"/>
            <w:shd w:val="clear" w:color="auto" w:fill="auto"/>
          </w:tcPr>
          <w:p w14:paraId="679E5DE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17.4(a)</w:t>
            </w:r>
          </w:p>
        </w:tc>
        <w:tc>
          <w:tcPr>
            <w:tcW w:w="0" w:type="auto"/>
            <w:shd w:val="clear" w:color="auto" w:fill="auto"/>
          </w:tcPr>
          <w:p w14:paraId="4184D88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evidence that any independent verifier engaged by Energex has examined the reasonableness of the method, processes and assumptions in determining the forecasts and has sufficiently capable expertise in undertaking a verification of forecasts; and</w:t>
            </w:r>
          </w:p>
        </w:tc>
        <w:tc>
          <w:tcPr>
            <w:tcW w:w="0" w:type="auto"/>
            <w:shd w:val="clear" w:color="auto" w:fill="auto"/>
          </w:tcPr>
          <w:p w14:paraId="2073B80B" w14:textId="77777777" w:rsidR="009F2CDD" w:rsidRPr="002056FA" w:rsidRDefault="009F2CDD" w:rsidP="00E169B4">
            <w:pPr>
              <w:pStyle w:val="TableCopy"/>
              <w:rPr>
                <w:rFonts w:eastAsia="Calibri"/>
                <w:lang w:eastAsia="en-US"/>
              </w:rPr>
            </w:pPr>
            <w:r w:rsidRPr="002056FA">
              <w:rPr>
                <w:rFonts w:eastAsia="Calibri"/>
                <w:lang w:eastAsia="en-US"/>
              </w:rPr>
              <w:t xml:space="preserve">Independent review of the forecast was undertaken for this submission by ACIL Allen Consulting. This is explained in </w:t>
            </w:r>
            <w:r>
              <w:rPr>
                <w:rFonts w:eastAsia="Calibri"/>
                <w:lang w:eastAsia="en-US"/>
              </w:rPr>
              <w:t>ACIL ALLEN Demand Review Energy Queensland</w:t>
            </w:r>
            <w:r w:rsidRPr="009C137A">
              <w:rPr>
                <w:rFonts w:eastAsia="Calibri"/>
                <w:lang w:eastAsia="en-US"/>
              </w:rPr>
              <w:t xml:space="preserve"> (Attachment 5.001).</w:t>
            </w:r>
          </w:p>
        </w:tc>
      </w:tr>
      <w:tr w:rsidR="009F2CDD" w:rsidRPr="002056FA" w14:paraId="4D7DE457" w14:textId="77777777" w:rsidTr="00E169B4">
        <w:tc>
          <w:tcPr>
            <w:tcW w:w="0" w:type="auto"/>
            <w:tcBorders>
              <w:bottom w:val="single" w:sz="4" w:space="0" w:color="auto"/>
            </w:tcBorders>
            <w:shd w:val="clear" w:color="auto" w:fill="auto"/>
          </w:tcPr>
          <w:p w14:paraId="449D455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17.4(b)</w:t>
            </w:r>
          </w:p>
        </w:tc>
        <w:tc>
          <w:tcPr>
            <w:tcW w:w="0" w:type="auto"/>
            <w:tcBorders>
              <w:bottom w:val="single" w:sz="4" w:space="0" w:color="auto"/>
            </w:tcBorders>
            <w:shd w:val="clear" w:color="auto" w:fill="auto"/>
          </w:tcPr>
          <w:p w14:paraId="607A00C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all documentation, analysis and models evidencing the results of the independent verification.</w:t>
            </w:r>
          </w:p>
        </w:tc>
        <w:tc>
          <w:tcPr>
            <w:tcW w:w="0" w:type="auto"/>
            <w:tcBorders>
              <w:bottom w:val="single" w:sz="4" w:space="0" w:color="auto"/>
            </w:tcBorders>
            <w:shd w:val="clear" w:color="auto" w:fill="auto"/>
          </w:tcPr>
          <w:p w14:paraId="437DD5BF" w14:textId="77777777" w:rsidR="009F2CDD" w:rsidRPr="002056FA" w:rsidRDefault="009F2CDD" w:rsidP="00E169B4">
            <w:pPr>
              <w:pStyle w:val="TableCopy"/>
              <w:rPr>
                <w:rFonts w:eastAsia="Calibri"/>
                <w:lang w:eastAsia="en-US"/>
              </w:rPr>
            </w:pPr>
            <w:r>
              <w:rPr>
                <w:rFonts w:eastAsia="Calibri"/>
                <w:lang w:eastAsia="en-US"/>
              </w:rPr>
              <w:t>Energex has</w:t>
            </w:r>
            <w:r w:rsidRPr="002056FA">
              <w:rPr>
                <w:rFonts w:eastAsia="Calibri"/>
                <w:lang w:eastAsia="en-US"/>
              </w:rPr>
              <w:t xml:space="preserve"> submitted all relevant documents available from ACIL Allen. Refer to response provided in 17.4(a).</w:t>
            </w:r>
          </w:p>
        </w:tc>
      </w:tr>
      <w:tr w:rsidR="009F2CDD" w:rsidRPr="002056FA" w14:paraId="59F260DD" w14:textId="77777777" w:rsidTr="00E169B4">
        <w:tc>
          <w:tcPr>
            <w:tcW w:w="0" w:type="auto"/>
            <w:shd w:val="clear" w:color="auto" w:fill="D0CECE" w:themeFill="background2" w:themeFillShade="E6"/>
          </w:tcPr>
          <w:p w14:paraId="71ADC348"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18</w:t>
            </w:r>
          </w:p>
        </w:tc>
        <w:tc>
          <w:tcPr>
            <w:tcW w:w="0" w:type="auto"/>
            <w:shd w:val="clear" w:color="auto" w:fill="D0CECE" w:themeFill="background2" w:themeFillShade="E6"/>
          </w:tcPr>
          <w:p w14:paraId="32298DA7" w14:textId="77777777" w:rsidR="009F2CDD" w:rsidRPr="002056FA" w:rsidRDefault="009F2CDD" w:rsidP="00E169B4">
            <w:pPr>
              <w:pStyle w:val="TableCopy"/>
              <w:rPr>
                <w:rFonts w:eastAsia="Calibri"/>
                <w:color w:val="000000"/>
                <w:lang w:eastAsia="en-US"/>
              </w:rPr>
            </w:pPr>
            <w:r w:rsidRPr="00531A1B">
              <w:rPr>
                <w:rFonts w:eastAsia="Calibri"/>
                <w:b/>
                <w:color w:val="000000"/>
                <w:lang w:eastAsia="en-US"/>
              </w:rPr>
              <w:t>EFFICIENCY BENEFIT SHARING SCHEME</w:t>
            </w:r>
          </w:p>
        </w:tc>
        <w:tc>
          <w:tcPr>
            <w:tcW w:w="0" w:type="auto"/>
            <w:shd w:val="clear" w:color="auto" w:fill="D0CECE" w:themeFill="background2" w:themeFillShade="E6"/>
          </w:tcPr>
          <w:p w14:paraId="7F2C1A1A" w14:textId="77777777" w:rsidR="009F2CDD" w:rsidRPr="002056FA" w:rsidRDefault="009F2CDD" w:rsidP="00E169B4">
            <w:pPr>
              <w:pStyle w:val="TableCopy"/>
              <w:rPr>
                <w:rFonts w:eastAsia="Calibri"/>
                <w:color w:val="000000"/>
                <w:lang w:eastAsia="en-US"/>
              </w:rPr>
            </w:pPr>
          </w:p>
        </w:tc>
      </w:tr>
      <w:tr w:rsidR="009F2CDD" w:rsidRPr="002056FA" w14:paraId="1E11C217" w14:textId="77777777" w:rsidTr="00E169B4">
        <w:tc>
          <w:tcPr>
            <w:tcW w:w="0" w:type="auto"/>
            <w:shd w:val="clear" w:color="auto" w:fill="D0CECE" w:themeFill="background2" w:themeFillShade="E6"/>
          </w:tcPr>
          <w:p w14:paraId="427ADD3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18.1</w:t>
            </w:r>
          </w:p>
        </w:tc>
        <w:tc>
          <w:tcPr>
            <w:tcW w:w="0" w:type="auto"/>
            <w:shd w:val="clear" w:color="auto" w:fill="D0CECE" w:themeFill="background2" w:themeFillShade="E6"/>
          </w:tcPr>
          <w:p w14:paraId="7E858C8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the purposes of applying the efficiency benefit sharing scheme:</w:t>
            </w:r>
          </w:p>
        </w:tc>
        <w:tc>
          <w:tcPr>
            <w:tcW w:w="0" w:type="auto"/>
            <w:shd w:val="clear" w:color="auto" w:fill="D0CECE" w:themeFill="background2" w:themeFillShade="E6"/>
          </w:tcPr>
          <w:p w14:paraId="646BFE90" w14:textId="77777777" w:rsidR="009F2CDD" w:rsidRPr="002056FA" w:rsidRDefault="009F2CDD" w:rsidP="00E169B4">
            <w:pPr>
              <w:pStyle w:val="TableCopy"/>
              <w:rPr>
                <w:rFonts w:eastAsia="Calibri"/>
                <w:color w:val="000000"/>
                <w:lang w:eastAsia="en-US"/>
              </w:rPr>
            </w:pPr>
          </w:p>
        </w:tc>
      </w:tr>
      <w:tr w:rsidR="009F2CDD" w:rsidRPr="002056FA" w14:paraId="5D808E2B" w14:textId="77777777" w:rsidTr="00E169B4">
        <w:tc>
          <w:tcPr>
            <w:tcW w:w="0" w:type="auto"/>
            <w:shd w:val="clear" w:color="auto" w:fill="auto"/>
          </w:tcPr>
          <w:p w14:paraId="2A4FB5C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18.1(a)</w:t>
            </w:r>
          </w:p>
        </w:tc>
        <w:tc>
          <w:tcPr>
            <w:tcW w:w="0" w:type="auto"/>
            <w:shd w:val="clear" w:color="auto" w:fill="auto"/>
          </w:tcPr>
          <w:p w14:paraId="4EFDBA2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identify all cost categories proposed to be excluded from the operation of the efficiency benefit sharing scheme;</w:t>
            </w:r>
          </w:p>
        </w:tc>
        <w:tc>
          <w:tcPr>
            <w:tcW w:w="0" w:type="auto"/>
            <w:shd w:val="clear" w:color="auto" w:fill="auto"/>
          </w:tcPr>
          <w:p w14:paraId="76DB7E1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document “Application of I</w:t>
            </w:r>
            <w:r>
              <w:rPr>
                <w:rFonts w:eastAsia="Calibri"/>
                <w:color w:val="000000"/>
                <w:lang w:eastAsia="en-US"/>
              </w:rPr>
              <w:t>ncentives Schemes” (Attachment 11.001</w:t>
            </w:r>
            <w:r w:rsidRPr="002056FA">
              <w:rPr>
                <w:rFonts w:eastAsia="Calibri"/>
                <w:color w:val="000000"/>
                <w:lang w:eastAsia="en-US"/>
              </w:rPr>
              <w:t>)</w:t>
            </w:r>
          </w:p>
        </w:tc>
      </w:tr>
      <w:tr w:rsidR="009F2CDD" w:rsidRPr="002056FA" w14:paraId="58883F8D" w14:textId="77777777" w:rsidTr="00E169B4">
        <w:tc>
          <w:tcPr>
            <w:tcW w:w="0" w:type="auto"/>
            <w:tcBorders>
              <w:bottom w:val="single" w:sz="4" w:space="0" w:color="auto"/>
            </w:tcBorders>
            <w:shd w:val="clear" w:color="auto" w:fill="auto"/>
          </w:tcPr>
          <w:p w14:paraId="27DAFDC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18.1(b)</w:t>
            </w:r>
          </w:p>
        </w:tc>
        <w:tc>
          <w:tcPr>
            <w:tcW w:w="0" w:type="auto"/>
            <w:tcBorders>
              <w:bottom w:val="single" w:sz="4" w:space="0" w:color="auto"/>
            </w:tcBorders>
            <w:shd w:val="clear" w:color="auto" w:fill="auto"/>
          </w:tcPr>
          <w:p w14:paraId="1746CCA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explain for each cost category identified in the response to paragraph 18.1(a) the reasons for the proposed exclusion.</w:t>
            </w:r>
          </w:p>
        </w:tc>
        <w:tc>
          <w:tcPr>
            <w:tcW w:w="0" w:type="auto"/>
            <w:tcBorders>
              <w:bottom w:val="single" w:sz="4" w:space="0" w:color="auto"/>
            </w:tcBorders>
            <w:shd w:val="clear" w:color="auto" w:fill="auto"/>
          </w:tcPr>
          <w:p w14:paraId="12260B3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document “Application of Incen</w:t>
            </w:r>
            <w:r>
              <w:rPr>
                <w:rFonts w:eastAsia="Calibri"/>
                <w:color w:val="000000"/>
                <w:lang w:eastAsia="en-US"/>
              </w:rPr>
              <w:t>tives Schemes” (Attachment 11.001</w:t>
            </w:r>
            <w:r w:rsidRPr="002056FA">
              <w:rPr>
                <w:rFonts w:eastAsia="Calibri"/>
                <w:color w:val="000000"/>
                <w:lang w:eastAsia="en-US"/>
              </w:rPr>
              <w:t>)</w:t>
            </w:r>
          </w:p>
        </w:tc>
      </w:tr>
      <w:tr w:rsidR="009F2CDD" w:rsidRPr="002056FA" w14:paraId="209D6B05" w14:textId="77777777" w:rsidTr="00E169B4">
        <w:tc>
          <w:tcPr>
            <w:tcW w:w="0" w:type="auto"/>
            <w:shd w:val="clear" w:color="auto" w:fill="D0CECE" w:themeFill="background2" w:themeFillShade="E6"/>
          </w:tcPr>
          <w:p w14:paraId="7DFADB83"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19</w:t>
            </w:r>
          </w:p>
        </w:tc>
        <w:tc>
          <w:tcPr>
            <w:tcW w:w="0" w:type="auto"/>
            <w:shd w:val="clear" w:color="auto" w:fill="D0CECE" w:themeFill="background2" w:themeFillShade="E6"/>
          </w:tcPr>
          <w:p w14:paraId="1BC421E2"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SERVICE TARGET PERFORMANCE INCENTIVE SCHEME</w:t>
            </w:r>
          </w:p>
        </w:tc>
        <w:tc>
          <w:tcPr>
            <w:tcW w:w="0" w:type="auto"/>
            <w:shd w:val="clear" w:color="auto" w:fill="D0CECE" w:themeFill="background2" w:themeFillShade="E6"/>
          </w:tcPr>
          <w:p w14:paraId="4E54A727" w14:textId="77777777" w:rsidR="009F2CDD" w:rsidRPr="002056FA" w:rsidRDefault="009F2CDD" w:rsidP="00E169B4">
            <w:pPr>
              <w:pStyle w:val="TableCopy"/>
              <w:rPr>
                <w:rFonts w:eastAsia="Calibri"/>
                <w:color w:val="000000"/>
                <w:lang w:eastAsia="en-US"/>
              </w:rPr>
            </w:pPr>
          </w:p>
        </w:tc>
      </w:tr>
      <w:tr w:rsidR="009F2CDD" w:rsidRPr="002056FA" w14:paraId="39F65D55" w14:textId="77777777" w:rsidTr="00E169B4">
        <w:tc>
          <w:tcPr>
            <w:tcW w:w="0" w:type="auto"/>
            <w:shd w:val="clear" w:color="auto" w:fill="D0CECE" w:themeFill="background2" w:themeFillShade="E6"/>
          </w:tcPr>
          <w:p w14:paraId="521F6F37"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19.1</w:t>
            </w:r>
          </w:p>
        </w:tc>
        <w:tc>
          <w:tcPr>
            <w:tcW w:w="0" w:type="auto"/>
            <w:shd w:val="clear" w:color="auto" w:fill="D0CECE" w:themeFill="background2" w:themeFillShade="E6"/>
          </w:tcPr>
          <w:p w14:paraId="1AFA6700"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Provide Energex’s detailed methodology for calculating the following parameters used in the STPIS;</w:t>
            </w:r>
          </w:p>
        </w:tc>
        <w:tc>
          <w:tcPr>
            <w:tcW w:w="0" w:type="auto"/>
            <w:shd w:val="clear" w:color="auto" w:fill="D0CECE" w:themeFill="background2" w:themeFillShade="E6"/>
          </w:tcPr>
          <w:p w14:paraId="134E328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 </w:t>
            </w:r>
          </w:p>
        </w:tc>
      </w:tr>
      <w:tr w:rsidR="009F2CDD" w:rsidRPr="002056FA" w14:paraId="1709CEE1" w14:textId="77777777" w:rsidTr="00E169B4">
        <w:tc>
          <w:tcPr>
            <w:tcW w:w="0" w:type="auto"/>
            <w:shd w:val="clear" w:color="auto" w:fill="auto"/>
          </w:tcPr>
          <w:p w14:paraId="3B67675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19.1(a) </w:t>
            </w:r>
          </w:p>
        </w:tc>
        <w:tc>
          <w:tcPr>
            <w:tcW w:w="0" w:type="auto"/>
            <w:shd w:val="clear" w:color="auto" w:fill="auto"/>
          </w:tcPr>
          <w:p w14:paraId="08F51A5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w:t>
            </w:r>
            <w:r w:rsidRPr="002056FA">
              <w:rPr>
                <w:rFonts w:eastAsia="Calibri"/>
                <w:iCs/>
                <w:color w:val="000000"/>
                <w:lang w:eastAsia="en-US"/>
              </w:rPr>
              <w:t>SAIDI</w:t>
            </w:r>
            <w:r w:rsidRPr="002056FA">
              <w:rPr>
                <w:rFonts w:eastAsia="Calibri"/>
                <w:color w:val="000000"/>
                <w:lang w:eastAsia="en-US"/>
              </w:rPr>
              <w:t>, S</w:t>
            </w:r>
            <w:r w:rsidRPr="002056FA">
              <w:rPr>
                <w:rFonts w:eastAsia="Calibri"/>
                <w:iCs/>
                <w:color w:val="000000"/>
                <w:lang w:eastAsia="en-US"/>
              </w:rPr>
              <w:t xml:space="preserve">AIFI </w:t>
            </w:r>
            <w:r w:rsidRPr="002056FA">
              <w:rPr>
                <w:rFonts w:eastAsia="Calibri"/>
                <w:color w:val="000000"/>
                <w:lang w:eastAsia="en-US"/>
              </w:rPr>
              <w:t xml:space="preserve">and </w:t>
            </w:r>
            <w:r w:rsidRPr="002056FA">
              <w:rPr>
                <w:rFonts w:eastAsia="Calibri"/>
                <w:iCs/>
                <w:color w:val="000000"/>
                <w:lang w:eastAsia="en-US"/>
              </w:rPr>
              <w:t xml:space="preserve">MAIFI </w:t>
            </w:r>
            <w:r w:rsidRPr="002056FA">
              <w:rPr>
                <w:rFonts w:eastAsia="Calibri"/>
                <w:color w:val="000000"/>
                <w:lang w:eastAsia="en-US"/>
              </w:rPr>
              <w:t xml:space="preserve">targets for each supply reliability area; </w:t>
            </w:r>
          </w:p>
        </w:tc>
        <w:tc>
          <w:tcPr>
            <w:tcW w:w="0" w:type="auto"/>
            <w:shd w:val="clear" w:color="auto" w:fill="auto"/>
          </w:tcPr>
          <w:p w14:paraId="3DFFBD3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document</w:t>
            </w:r>
            <w:r>
              <w:rPr>
                <w:rFonts w:eastAsia="Calibri"/>
                <w:color w:val="000000"/>
                <w:lang w:eastAsia="en-US"/>
              </w:rPr>
              <w:t>s</w:t>
            </w:r>
            <w:r w:rsidRPr="002056FA">
              <w:rPr>
                <w:rFonts w:eastAsia="Calibri"/>
                <w:color w:val="000000"/>
                <w:lang w:eastAsia="en-US"/>
              </w:rPr>
              <w:t xml:space="preserve"> “Application of Incentives Schemes” (Attachment </w:t>
            </w:r>
            <w:r>
              <w:rPr>
                <w:rFonts w:eastAsia="Calibri"/>
                <w:color w:val="000000"/>
                <w:lang w:eastAsia="en-US"/>
              </w:rPr>
              <w:t>11.001</w:t>
            </w:r>
            <w:r w:rsidRPr="002056FA">
              <w:rPr>
                <w:rFonts w:eastAsia="Calibri"/>
                <w:color w:val="000000"/>
                <w:lang w:eastAsia="en-US"/>
              </w:rPr>
              <w:t>)</w:t>
            </w:r>
            <w:r>
              <w:rPr>
                <w:rFonts w:eastAsia="Calibri"/>
                <w:color w:val="000000"/>
                <w:lang w:eastAsia="en-US"/>
              </w:rPr>
              <w:t xml:space="preserve"> and STPIS Targets and Incentive rates (Attachment 11.007).</w:t>
            </w:r>
          </w:p>
        </w:tc>
      </w:tr>
      <w:tr w:rsidR="009F2CDD" w:rsidRPr="002056FA" w14:paraId="5C33B5A8" w14:textId="77777777" w:rsidTr="00E169B4">
        <w:tc>
          <w:tcPr>
            <w:tcW w:w="0" w:type="auto"/>
            <w:shd w:val="clear" w:color="auto" w:fill="auto"/>
          </w:tcPr>
          <w:p w14:paraId="6E524B8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19.1(b) </w:t>
            </w:r>
          </w:p>
        </w:tc>
        <w:tc>
          <w:tcPr>
            <w:tcW w:w="0" w:type="auto"/>
            <w:shd w:val="clear" w:color="auto" w:fill="auto"/>
          </w:tcPr>
          <w:p w14:paraId="66295AC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w:t>
            </w:r>
            <w:r w:rsidRPr="002056FA">
              <w:rPr>
                <w:rFonts w:eastAsia="Calibri"/>
                <w:iCs/>
                <w:color w:val="000000"/>
                <w:lang w:eastAsia="en-US"/>
              </w:rPr>
              <w:t xml:space="preserve">customer </w:t>
            </w:r>
            <w:r w:rsidRPr="002056FA">
              <w:rPr>
                <w:rFonts w:eastAsia="Calibri"/>
                <w:color w:val="000000"/>
                <w:lang w:eastAsia="en-US"/>
              </w:rPr>
              <w:t xml:space="preserve">service parameters and targets; </w:t>
            </w:r>
          </w:p>
        </w:tc>
        <w:tc>
          <w:tcPr>
            <w:tcW w:w="0" w:type="auto"/>
            <w:shd w:val="clear" w:color="auto" w:fill="auto"/>
          </w:tcPr>
          <w:p w14:paraId="5B8D70F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document “Application of Incentives Schemes” (Attachment </w:t>
            </w:r>
            <w:r>
              <w:rPr>
                <w:rFonts w:eastAsia="Calibri"/>
                <w:color w:val="000000"/>
                <w:lang w:eastAsia="en-US"/>
              </w:rPr>
              <w:t>11.001</w:t>
            </w:r>
            <w:r w:rsidRPr="002056FA">
              <w:rPr>
                <w:rFonts w:eastAsia="Calibri"/>
                <w:color w:val="000000"/>
                <w:lang w:eastAsia="en-US"/>
              </w:rPr>
              <w:t>)</w:t>
            </w:r>
          </w:p>
        </w:tc>
      </w:tr>
      <w:tr w:rsidR="009F2CDD" w:rsidRPr="002056FA" w14:paraId="29C2B74F" w14:textId="77777777" w:rsidTr="00E169B4">
        <w:tc>
          <w:tcPr>
            <w:tcW w:w="0" w:type="auto"/>
            <w:shd w:val="clear" w:color="auto" w:fill="auto"/>
          </w:tcPr>
          <w:p w14:paraId="46CCC68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19.1(c) </w:t>
            </w:r>
          </w:p>
        </w:tc>
        <w:tc>
          <w:tcPr>
            <w:tcW w:w="0" w:type="auto"/>
            <w:shd w:val="clear" w:color="auto" w:fill="auto"/>
          </w:tcPr>
          <w:p w14:paraId="38E8CA0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daily </w:t>
            </w:r>
            <w:r w:rsidRPr="002056FA">
              <w:rPr>
                <w:rFonts w:eastAsia="Calibri"/>
                <w:iCs/>
                <w:color w:val="000000"/>
                <w:lang w:eastAsia="en-US"/>
              </w:rPr>
              <w:t>SAIDI</w:t>
            </w:r>
            <w:r w:rsidRPr="002056FA">
              <w:rPr>
                <w:rFonts w:eastAsia="Calibri"/>
                <w:color w:val="000000"/>
                <w:lang w:eastAsia="en-US"/>
              </w:rPr>
              <w:t>, S</w:t>
            </w:r>
            <w:r w:rsidRPr="002056FA">
              <w:rPr>
                <w:rFonts w:eastAsia="Calibri"/>
                <w:iCs/>
                <w:color w:val="000000"/>
                <w:lang w:eastAsia="en-US"/>
              </w:rPr>
              <w:t xml:space="preserve">AIFI </w:t>
            </w:r>
            <w:r w:rsidRPr="002056FA">
              <w:rPr>
                <w:rFonts w:eastAsia="Calibri"/>
                <w:color w:val="000000"/>
                <w:lang w:eastAsia="en-US"/>
              </w:rPr>
              <w:t xml:space="preserve">and </w:t>
            </w:r>
            <w:r w:rsidRPr="002056FA">
              <w:rPr>
                <w:rFonts w:eastAsia="Calibri"/>
                <w:iCs/>
                <w:color w:val="000000"/>
                <w:lang w:eastAsia="en-US"/>
              </w:rPr>
              <w:t xml:space="preserve">MAIFI </w:t>
            </w:r>
            <w:r w:rsidRPr="002056FA">
              <w:rPr>
                <w:rFonts w:eastAsia="Calibri"/>
                <w:color w:val="000000"/>
                <w:lang w:eastAsia="en-US"/>
              </w:rPr>
              <w:t xml:space="preserve">and </w:t>
            </w:r>
            <w:r w:rsidRPr="002056FA">
              <w:rPr>
                <w:rFonts w:eastAsia="Calibri"/>
                <w:iCs/>
                <w:color w:val="000000"/>
                <w:lang w:eastAsia="en-US"/>
              </w:rPr>
              <w:t xml:space="preserve">customer </w:t>
            </w:r>
            <w:r w:rsidRPr="002056FA">
              <w:rPr>
                <w:rFonts w:eastAsia="Calibri"/>
                <w:color w:val="000000"/>
                <w:lang w:eastAsia="en-US"/>
              </w:rPr>
              <w:t xml:space="preserve">service performance derived from the individual </w:t>
            </w:r>
            <w:r w:rsidRPr="002056FA">
              <w:rPr>
                <w:rFonts w:eastAsia="Calibri"/>
                <w:iCs/>
                <w:color w:val="000000"/>
                <w:lang w:eastAsia="en-US"/>
              </w:rPr>
              <w:t xml:space="preserve">interruption </w:t>
            </w:r>
            <w:r w:rsidRPr="002056FA">
              <w:rPr>
                <w:rFonts w:eastAsia="Calibri"/>
                <w:color w:val="000000"/>
                <w:lang w:eastAsia="en-US"/>
              </w:rPr>
              <w:t xml:space="preserve">data under paragraph 19.3; </w:t>
            </w:r>
          </w:p>
        </w:tc>
        <w:tc>
          <w:tcPr>
            <w:tcW w:w="0" w:type="auto"/>
            <w:shd w:val="clear" w:color="auto" w:fill="auto"/>
          </w:tcPr>
          <w:p w14:paraId="559AABE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document “Application of Incentives Schemes” (</w:t>
            </w:r>
            <w:r w:rsidRPr="00835BF2">
              <w:rPr>
                <w:rFonts w:eastAsia="Calibri"/>
                <w:color w:val="000000"/>
                <w:lang w:eastAsia="en-US"/>
              </w:rPr>
              <w:t>Attachment 11.001)</w:t>
            </w:r>
          </w:p>
        </w:tc>
      </w:tr>
      <w:tr w:rsidR="009F2CDD" w:rsidRPr="002056FA" w14:paraId="04777750" w14:textId="77777777" w:rsidTr="00E169B4">
        <w:tc>
          <w:tcPr>
            <w:tcW w:w="0" w:type="auto"/>
            <w:shd w:val="clear" w:color="auto" w:fill="auto"/>
          </w:tcPr>
          <w:p w14:paraId="2DFF101E"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19.1(d) </w:t>
            </w:r>
          </w:p>
        </w:tc>
        <w:tc>
          <w:tcPr>
            <w:tcW w:w="0" w:type="auto"/>
            <w:shd w:val="clear" w:color="auto" w:fill="auto"/>
          </w:tcPr>
          <w:p w14:paraId="2D1A0E24"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the </w:t>
            </w:r>
            <w:r w:rsidRPr="002056FA">
              <w:rPr>
                <w:rFonts w:eastAsia="Calibri"/>
                <w:iCs/>
                <w:color w:val="000000"/>
                <w:lang w:eastAsia="en-US"/>
              </w:rPr>
              <w:t xml:space="preserve">MED </w:t>
            </w:r>
            <w:r w:rsidRPr="002056FA">
              <w:rPr>
                <w:rFonts w:eastAsia="Calibri"/>
                <w:color w:val="000000"/>
                <w:lang w:eastAsia="en-US"/>
              </w:rPr>
              <w:t xml:space="preserve">threshold derived from the daily </w:t>
            </w:r>
            <w:r w:rsidRPr="002056FA">
              <w:rPr>
                <w:rFonts w:eastAsia="Calibri"/>
                <w:iCs/>
                <w:color w:val="000000"/>
                <w:lang w:eastAsia="en-US"/>
              </w:rPr>
              <w:t xml:space="preserve">SAIDI </w:t>
            </w:r>
            <w:r w:rsidRPr="002056FA">
              <w:rPr>
                <w:rFonts w:eastAsia="Calibri"/>
                <w:color w:val="000000"/>
                <w:lang w:eastAsia="en-US"/>
              </w:rPr>
              <w:t xml:space="preserve">data; </w:t>
            </w:r>
          </w:p>
        </w:tc>
        <w:tc>
          <w:tcPr>
            <w:tcW w:w="0" w:type="auto"/>
            <w:shd w:val="clear" w:color="auto" w:fill="auto"/>
          </w:tcPr>
          <w:p w14:paraId="5B9D3A3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document “Application of Incentives Schemes” (Attachment </w:t>
            </w:r>
            <w:r>
              <w:rPr>
                <w:rFonts w:eastAsia="Calibri"/>
                <w:color w:val="000000"/>
                <w:lang w:eastAsia="en-US"/>
              </w:rPr>
              <w:t>11.001</w:t>
            </w:r>
            <w:r w:rsidRPr="002056FA">
              <w:rPr>
                <w:rFonts w:eastAsia="Calibri"/>
                <w:color w:val="000000"/>
                <w:lang w:eastAsia="en-US"/>
              </w:rPr>
              <w:t>)</w:t>
            </w:r>
          </w:p>
          <w:p w14:paraId="39D03B15" w14:textId="77777777" w:rsidR="009F2CDD" w:rsidRPr="002056FA" w:rsidRDefault="009F2CDD" w:rsidP="00E169B4">
            <w:pPr>
              <w:pStyle w:val="TableCopy"/>
              <w:rPr>
                <w:rFonts w:eastAsia="Calibri"/>
                <w:color w:val="000000"/>
                <w:lang w:eastAsia="en-US"/>
              </w:rPr>
            </w:pPr>
          </w:p>
        </w:tc>
      </w:tr>
      <w:tr w:rsidR="009F2CDD" w:rsidRPr="002056FA" w14:paraId="2C6DEC15" w14:textId="77777777" w:rsidTr="00E169B4">
        <w:tc>
          <w:tcPr>
            <w:tcW w:w="0" w:type="auto"/>
            <w:tcBorders>
              <w:bottom w:val="single" w:sz="4" w:space="0" w:color="auto"/>
            </w:tcBorders>
            <w:shd w:val="clear" w:color="auto" w:fill="auto"/>
          </w:tcPr>
          <w:p w14:paraId="7628F40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19.1(e) </w:t>
            </w:r>
          </w:p>
        </w:tc>
        <w:tc>
          <w:tcPr>
            <w:tcW w:w="0" w:type="auto"/>
            <w:tcBorders>
              <w:bottom w:val="single" w:sz="4" w:space="0" w:color="auto"/>
            </w:tcBorders>
            <w:shd w:val="clear" w:color="auto" w:fill="auto"/>
          </w:tcPr>
          <w:p w14:paraId="1C25B03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incentive rates to apply to each supply reliability area. </w:t>
            </w:r>
          </w:p>
        </w:tc>
        <w:tc>
          <w:tcPr>
            <w:tcW w:w="0" w:type="auto"/>
            <w:tcBorders>
              <w:bottom w:val="single" w:sz="4" w:space="0" w:color="auto"/>
            </w:tcBorders>
            <w:shd w:val="clear" w:color="auto" w:fill="auto"/>
          </w:tcPr>
          <w:p w14:paraId="6CE51BF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Refer to document “Application of Incentives Schemes” (Attachment </w:t>
            </w:r>
            <w:r>
              <w:rPr>
                <w:rFonts w:eastAsia="Calibri"/>
                <w:color w:val="000000"/>
                <w:lang w:eastAsia="en-US"/>
              </w:rPr>
              <w:t>11.001</w:t>
            </w:r>
            <w:r w:rsidRPr="002056FA">
              <w:rPr>
                <w:rFonts w:eastAsia="Calibri"/>
                <w:color w:val="000000"/>
                <w:lang w:eastAsia="en-US"/>
              </w:rPr>
              <w:t>)</w:t>
            </w:r>
          </w:p>
        </w:tc>
      </w:tr>
      <w:tr w:rsidR="009F2CDD" w:rsidRPr="002056FA" w14:paraId="7BE54D58" w14:textId="77777777" w:rsidTr="00E169B4">
        <w:tc>
          <w:tcPr>
            <w:tcW w:w="0" w:type="auto"/>
            <w:tcBorders>
              <w:bottom w:val="single" w:sz="4" w:space="0" w:color="auto"/>
            </w:tcBorders>
            <w:shd w:val="clear" w:color="auto" w:fill="D0CECE" w:themeFill="background2" w:themeFillShade="E6"/>
          </w:tcPr>
          <w:p w14:paraId="10069B1A" w14:textId="77777777" w:rsidR="009F2CDD" w:rsidRPr="002056FA" w:rsidRDefault="009F2CDD" w:rsidP="00E169B4">
            <w:pPr>
              <w:pStyle w:val="TableCopy"/>
              <w:rPr>
                <w:rFonts w:eastAsia="Calibri"/>
                <w:color w:val="000000"/>
                <w:lang w:eastAsia="en-US"/>
              </w:rPr>
            </w:pPr>
          </w:p>
        </w:tc>
        <w:tc>
          <w:tcPr>
            <w:tcW w:w="0" w:type="auto"/>
            <w:tcBorders>
              <w:bottom w:val="single" w:sz="4" w:space="0" w:color="auto"/>
            </w:tcBorders>
            <w:shd w:val="clear" w:color="auto" w:fill="D0CECE" w:themeFill="background2" w:themeFillShade="E6"/>
          </w:tcPr>
          <w:p w14:paraId="6878F42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Note: All calculations must be made in accordance with the </w:t>
            </w:r>
            <w:r w:rsidRPr="002056FA">
              <w:rPr>
                <w:rFonts w:eastAsia="Calibri"/>
                <w:iCs/>
                <w:color w:val="000000"/>
                <w:lang w:eastAsia="en-US"/>
              </w:rPr>
              <w:t xml:space="preserve">STPIS </w:t>
            </w:r>
            <w:r w:rsidRPr="002056FA">
              <w:rPr>
                <w:rFonts w:eastAsia="Calibri"/>
                <w:color w:val="000000"/>
                <w:lang w:eastAsia="en-US"/>
              </w:rPr>
              <w:t xml:space="preserve">and using data which complies with the </w:t>
            </w:r>
            <w:r w:rsidRPr="002056FA">
              <w:rPr>
                <w:rFonts w:eastAsia="Calibri"/>
                <w:iCs/>
                <w:color w:val="000000"/>
                <w:lang w:eastAsia="en-US"/>
              </w:rPr>
              <w:t xml:space="preserve">STPIS </w:t>
            </w:r>
            <w:r w:rsidRPr="002056FA">
              <w:rPr>
                <w:rFonts w:eastAsia="Calibri"/>
                <w:color w:val="000000"/>
                <w:lang w:eastAsia="en-US"/>
              </w:rPr>
              <w:t>definitions.  Energex</w:t>
            </w:r>
            <w:r w:rsidRPr="002056FA">
              <w:rPr>
                <w:rFonts w:eastAsia="Calibri"/>
                <w:noProof/>
                <w:color w:val="000000"/>
                <w:lang w:eastAsia="en-US"/>
              </w:rPr>
              <w:t xml:space="preserve"> must provide their </w:t>
            </w:r>
            <w:r w:rsidRPr="002056FA">
              <w:rPr>
                <w:rFonts w:eastAsia="Calibri"/>
                <w:color w:val="000000"/>
                <w:lang w:eastAsia="en-US"/>
              </w:rPr>
              <w:t>SAIDI, SAIFI and MAIFI targets for each supply reliability area and not its forecasted SAIDI, SAIFI and MAIFI for each supply reliability area.</w:t>
            </w:r>
          </w:p>
        </w:tc>
        <w:tc>
          <w:tcPr>
            <w:tcW w:w="0" w:type="auto"/>
            <w:tcBorders>
              <w:bottom w:val="single" w:sz="4" w:space="0" w:color="auto"/>
            </w:tcBorders>
            <w:shd w:val="clear" w:color="auto" w:fill="D0CECE" w:themeFill="background2" w:themeFillShade="E6"/>
          </w:tcPr>
          <w:p w14:paraId="033AA555" w14:textId="77777777" w:rsidR="009F2CDD" w:rsidRPr="002056FA" w:rsidRDefault="009F2CDD" w:rsidP="00E169B4">
            <w:pPr>
              <w:pStyle w:val="TableCopy"/>
              <w:rPr>
                <w:rFonts w:eastAsia="Calibri"/>
                <w:color w:val="000000"/>
                <w:lang w:eastAsia="en-US"/>
              </w:rPr>
            </w:pPr>
          </w:p>
        </w:tc>
      </w:tr>
      <w:tr w:rsidR="009F2CDD" w:rsidRPr="002056FA" w14:paraId="4654C3E7" w14:textId="77777777" w:rsidTr="00E169B4">
        <w:tc>
          <w:tcPr>
            <w:tcW w:w="0" w:type="auto"/>
            <w:shd w:val="clear" w:color="auto" w:fill="D0CECE" w:themeFill="background2" w:themeFillShade="E6"/>
          </w:tcPr>
          <w:p w14:paraId="26D5344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19.2</w:t>
            </w:r>
          </w:p>
        </w:tc>
        <w:tc>
          <w:tcPr>
            <w:tcW w:w="0" w:type="auto"/>
            <w:shd w:val="clear" w:color="auto" w:fill="D0CECE" w:themeFill="background2" w:themeFillShade="E6"/>
          </w:tcPr>
          <w:p w14:paraId="5C42D28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If Energex proposes adjustments to the STPIS targets away from those based upon raw historical data Energex must provide, in respect of each adjustment:</w:t>
            </w:r>
          </w:p>
        </w:tc>
        <w:tc>
          <w:tcPr>
            <w:tcW w:w="0" w:type="auto"/>
            <w:shd w:val="clear" w:color="auto" w:fill="D0CECE" w:themeFill="background2" w:themeFillShade="E6"/>
          </w:tcPr>
          <w:p w14:paraId="0A930C8A" w14:textId="77777777" w:rsidR="009F2CDD" w:rsidRPr="002056FA" w:rsidRDefault="009F2CDD" w:rsidP="00E169B4">
            <w:pPr>
              <w:pStyle w:val="TableCopy"/>
              <w:rPr>
                <w:rFonts w:eastAsia="Calibri"/>
                <w:color w:val="000000"/>
                <w:lang w:eastAsia="en-US"/>
              </w:rPr>
            </w:pPr>
          </w:p>
        </w:tc>
      </w:tr>
      <w:tr w:rsidR="009F2CDD" w:rsidRPr="002056FA" w14:paraId="72138A0D" w14:textId="77777777" w:rsidTr="00E169B4">
        <w:tc>
          <w:tcPr>
            <w:tcW w:w="0" w:type="auto"/>
            <w:shd w:val="clear" w:color="auto" w:fill="auto"/>
          </w:tcPr>
          <w:p w14:paraId="3CEC507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19.2(a) </w:t>
            </w:r>
          </w:p>
        </w:tc>
        <w:tc>
          <w:tcPr>
            <w:tcW w:w="0" w:type="auto"/>
            <w:shd w:val="clear" w:color="auto" w:fill="auto"/>
          </w:tcPr>
          <w:p w14:paraId="50D8572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reasons for the adjustment; </w:t>
            </w:r>
          </w:p>
        </w:tc>
        <w:tc>
          <w:tcPr>
            <w:tcW w:w="0" w:type="auto"/>
            <w:shd w:val="clear" w:color="auto" w:fill="auto"/>
          </w:tcPr>
          <w:p w14:paraId="169520A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document “Application of I</w:t>
            </w:r>
            <w:r>
              <w:rPr>
                <w:rFonts w:eastAsia="Calibri"/>
                <w:color w:val="000000"/>
                <w:lang w:eastAsia="en-US"/>
              </w:rPr>
              <w:t>ncentives Schemes” (Attachment 11.001</w:t>
            </w:r>
            <w:r w:rsidRPr="002056FA">
              <w:rPr>
                <w:rFonts w:eastAsia="Calibri"/>
                <w:color w:val="000000"/>
                <w:lang w:eastAsia="en-US"/>
              </w:rPr>
              <w:t>)</w:t>
            </w:r>
          </w:p>
        </w:tc>
      </w:tr>
      <w:tr w:rsidR="009F2CDD" w:rsidRPr="002056FA" w14:paraId="5398BE34" w14:textId="77777777" w:rsidTr="00E169B4">
        <w:tc>
          <w:tcPr>
            <w:tcW w:w="0" w:type="auto"/>
            <w:shd w:val="clear" w:color="auto" w:fill="auto"/>
          </w:tcPr>
          <w:p w14:paraId="72A4029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19.2(b) </w:t>
            </w:r>
          </w:p>
        </w:tc>
        <w:tc>
          <w:tcPr>
            <w:tcW w:w="0" w:type="auto"/>
            <w:shd w:val="clear" w:color="auto" w:fill="auto"/>
          </w:tcPr>
          <w:p w14:paraId="1903599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quantum of the adjustment, and the effect of the adjustment on the targets for each of the supply reliability areas; and </w:t>
            </w:r>
          </w:p>
        </w:tc>
        <w:tc>
          <w:tcPr>
            <w:tcW w:w="0" w:type="auto"/>
            <w:shd w:val="clear" w:color="auto" w:fill="auto"/>
          </w:tcPr>
          <w:p w14:paraId="30915C9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document “Application of I</w:t>
            </w:r>
            <w:r>
              <w:rPr>
                <w:rFonts w:eastAsia="Calibri"/>
                <w:color w:val="000000"/>
                <w:lang w:eastAsia="en-US"/>
              </w:rPr>
              <w:t>ncentives Schemes” (Attachment 11.001</w:t>
            </w:r>
            <w:r w:rsidRPr="002056FA">
              <w:rPr>
                <w:rFonts w:eastAsia="Calibri"/>
                <w:color w:val="000000"/>
                <w:lang w:eastAsia="en-US"/>
              </w:rPr>
              <w:t>)</w:t>
            </w:r>
          </w:p>
        </w:tc>
      </w:tr>
      <w:tr w:rsidR="009F2CDD" w:rsidRPr="002056FA" w14:paraId="37EA4CE7" w14:textId="77777777" w:rsidTr="00E169B4">
        <w:tc>
          <w:tcPr>
            <w:tcW w:w="0" w:type="auto"/>
            <w:shd w:val="clear" w:color="auto" w:fill="auto"/>
          </w:tcPr>
          <w:p w14:paraId="25C5AC1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19.2(c) </w:t>
            </w:r>
          </w:p>
        </w:tc>
        <w:tc>
          <w:tcPr>
            <w:tcW w:w="0" w:type="auto"/>
            <w:shd w:val="clear" w:color="auto" w:fill="auto"/>
          </w:tcPr>
          <w:p w14:paraId="2B67574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method, basis and empirical data used as justification for the adjustment. </w:t>
            </w:r>
          </w:p>
        </w:tc>
        <w:tc>
          <w:tcPr>
            <w:tcW w:w="0" w:type="auto"/>
            <w:shd w:val="clear" w:color="auto" w:fill="auto"/>
          </w:tcPr>
          <w:p w14:paraId="368C1AB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Refer to document “Application of I</w:t>
            </w:r>
            <w:r>
              <w:rPr>
                <w:rFonts w:eastAsia="Calibri"/>
                <w:color w:val="000000"/>
                <w:lang w:eastAsia="en-US"/>
              </w:rPr>
              <w:t>ncentives Schemes” (Attachment 11.001</w:t>
            </w:r>
            <w:r w:rsidRPr="002056FA">
              <w:rPr>
                <w:rFonts w:eastAsia="Calibri"/>
                <w:color w:val="000000"/>
                <w:lang w:eastAsia="en-US"/>
              </w:rPr>
              <w:t>)</w:t>
            </w:r>
          </w:p>
        </w:tc>
      </w:tr>
      <w:tr w:rsidR="009F2CDD" w:rsidRPr="002056FA" w14:paraId="0A710C5D" w14:textId="77777777" w:rsidTr="00E169B4">
        <w:tc>
          <w:tcPr>
            <w:tcW w:w="0" w:type="auto"/>
            <w:tcBorders>
              <w:bottom w:val="single" w:sz="4" w:space="0" w:color="auto"/>
            </w:tcBorders>
            <w:shd w:val="clear" w:color="auto" w:fill="auto"/>
          </w:tcPr>
          <w:p w14:paraId="3295130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19.3</w:t>
            </w:r>
          </w:p>
        </w:tc>
        <w:tc>
          <w:tcPr>
            <w:tcW w:w="0" w:type="auto"/>
            <w:tcBorders>
              <w:bottom w:val="single" w:sz="4" w:space="0" w:color="auto"/>
            </w:tcBorders>
            <w:shd w:val="clear" w:color="auto" w:fill="auto"/>
          </w:tcPr>
          <w:p w14:paraId="1C070C7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the data required in Workbook 1 – Regulatory determination, regulatory templates 6.1 and 6.2.</w:t>
            </w:r>
          </w:p>
        </w:tc>
        <w:tc>
          <w:tcPr>
            <w:tcW w:w="0" w:type="auto"/>
            <w:tcBorders>
              <w:bottom w:val="single" w:sz="4" w:space="0" w:color="auto"/>
            </w:tcBorders>
            <w:shd w:val="clear" w:color="auto" w:fill="auto"/>
          </w:tcPr>
          <w:p w14:paraId="55752749" w14:textId="77777777" w:rsidR="009F2CDD" w:rsidRPr="002056FA" w:rsidRDefault="009F2CDD" w:rsidP="00E169B4">
            <w:pPr>
              <w:pStyle w:val="TableCopy"/>
              <w:rPr>
                <w:rFonts w:eastAsia="Calibri"/>
                <w:lang w:eastAsia="en-US"/>
              </w:rPr>
            </w:pPr>
            <w:r w:rsidRPr="002056FA">
              <w:rPr>
                <w:rFonts w:eastAsia="Calibri"/>
                <w:color w:val="000000"/>
                <w:lang w:eastAsia="en-US"/>
              </w:rPr>
              <w:t xml:space="preserve">The data required by the AER has been have provided in </w:t>
            </w:r>
            <w:r w:rsidRPr="002056FA">
              <w:rPr>
                <w:rFonts w:eastAsia="Calibri"/>
                <w:lang w:eastAsia="en-US"/>
              </w:rPr>
              <w:t xml:space="preserve">“Workbook 1 – Regulatory determination” (Attachment </w:t>
            </w:r>
            <w:r>
              <w:rPr>
                <w:rFonts w:eastAsia="Calibri"/>
                <w:lang w:eastAsia="en-US"/>
              </w:rPr>
              <w:t>17.046</w:t>
            </w:r>
            <w:r w:rsidRPr="002056FA">
              <w:rPr>
                <w:rFonts w:eastAsia="Calibri"/>
                <w:lang w:eastAsia="en-US"/>
              </w:rPr>
              <w:t>).</w:t>
            </w:r>
          </w:p>
        </w:tc>
      </w:tr>
      <w:tr w:rsidR="009F2CDD" w:rsidRPr="002056FA" w14:paraId="05A6E918" w14:textId="77777777" w:rsidTr="00E169B4">
        <w:tc>
          <w:tcPr>
            <w:tcW w:w="0" w:type="auto"/>
            <w:shd w:val="clear" w:color="auto" w:fill="D0CECE" w:themeFill="background2" w:themeFillShade="E6"/>
          </w:tcPr>
          <w:p w14:paraId="2DF41464"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20</w:t>
            </w:r>
          </w:p>
        </w:tc>
        <w:tc>
          <w:tcPr>
            <w:tcW w:w="0" w:type="auto"/>
            <w:shd w:val="clear" w:color="auto" w:fill="D0CECE" w:themeFill="background2" w:themeFillShade="E6"/>
          </w:tcPr>
          <w:p w14:paraId="07BF1A8C"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PROPOSED CONTINGENT PROJECTS</w:t>
            </w:r>
          </w:p>
        </w:tc>
        <w:tc>
          <w:tcPr>
            <w:tcW w:w="0" w:type="auto"/>
            <w:shd w:val="clear" w:color="auto" w:fill="D0CECE" w:themeFill="background2" w:themeFillShade="E6"/>
          </w:tcPr>
          <w:p w14:paraId="496A14A5" w14:textId="77777777" w:rsidR="009F2CDD" w:rsidRPr="002056FA" w:rsidRDefault="009F2CDD" w:rsidP="00E169B4">
            <w:pPr>
              <w:pStyle w:val="TableCopy"/>
              <w:rPr>
                <w:rFonts w:eastAsia="Calibri"/>
                <w:color w:val="000000"/>
                <w:lang w:eastAsia="en-US"/>
              </w:rPr>
            </w:pPr>
          </w:p>
        </w:tc>
      </w:tr>
      <w:tr w:rsidR="009F2CDD" w:rsidRPr="002056FA" w14:paraId="767E4737" w14:textId="77777777" w:rsidTr="00E169B4">
        <w:tc>
          <w:tcPr>
            <w:tcW w:w="0" w:type="auto"/>
            <w:shd w:val="clear" w:color="auto" w:fill="auto"/>
          </w:tcPr>
          <w:p w14:paraId="6F48E77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20.1 </w:t>
            </w:r>
          </w:p>
        </w:tc>
        <w:tc>
          <w:tcPr>
            <w:tcW w:w="0" w:type="auto"/>
            <w:shd w:val="clear" w:color="auto" w:fill="auto"/>
          </w:tcPr>
          <w:p w14:paraId="5AE42DA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For each contingent </w:t>
            </w:r>
            <w:r w:rsidRPr="002056FA">
              <w:rPr>
                <w:rFonts w:eastAsia="Calibri"/>
                <w:iCs/>
                <w:color w:val="000000"/>
                <w:lang w:eastAsia="en-US"/>
              </w:rPr>
              <w:t xml:space="preserve">project </w:t>
            </w:r>
            <w:r w:rsidRPr="002056FA">
              <w:rPr>
                <w:rFonts w:eastAsia="Calibri"/>
                <w:color w:val="000000"/>
                <w:lang w:eastAsia="en-US"/>
              </w:rPr>
              <w:t xml:space="preserve">proposed in the </w:t>
            </w:r>
            <w:r w:rsidRPr="002056FA">
              <w:rPr>
                <w:rFonts w:eastAsia="Calibri"/>
                <w:iCs/>
                <w:color w:val="000000"/>
                <w:lang w:eastAsia="en-US"/>
              </w:rPr>
              <w:t>regulatory proposal</w:t>
            </w:r>
            <w:r w:rsidRPr="002056FA">
              <w:rPr>
                <w:rFonts w:eastAsia="Calibri"/>
                <w:color w:val="000000"/>
                <w:lang w:eastAsia="en-US"/>
              </w:rPr>
              <w:t xml:space="preserve">, provide: </w:t>
            </w:r>
          </w:p>
        </w:tc>
        <w:tc>
          <w:tcPr>
            <w:tcW w:w="0" w:type="auto"/>
            <w:shd w:val="clear" w:color="auto" w:fill="auto"/>
          </w:tcPr>
          <w:p w14:paraId="7EB81158" w14:textId="77777777" w:rsidR="009F2CDD" w:rsidRPr="002056FA" w:rsidRDefault="009F2CDD" w:rsidP="00E169B4">
            <w:pPr>
              <w:pStyle w:val="TableCopy"/>
              <w:rPr>
                <w:rFonts w:eastAsia="Calibri"/>
                <w:lang w:eastAsia="en-US"/>
              </w:rPr>
            </w:pPr>
            <w:r w:rsidRPr="002056FA">
              <w:rPr>
                <w:rFonts w:eastAsia="Calibri"/>
                <w:lang w:eastAsia="en-US"/>
              </w:rPr>
              <w:t xml:space="preserve">Energex has not proposed any contingent projects in our forecast capex. None of Energex’s forecast capex meets the criteria or threshold for a contingent project. </w:t>
            </w:r>
          </w:p>
        </w:tc>
      </w:tr>
      <w:tr w:rsidR="009F2CDD" w:rsidRPr="002056FA" w14:paraId="6F439ECC" w14:textId="77777777" w:rsidTr="00E169B4">
        <w:tc>
          <w:tcPr>
            <w:tcW w:w="0" w:type="auto"/>
            <w:shd w:val="clear" w:color="auto" w:fill="auto"/>
          </w:tcPr>
          <w:p w14:paraId="657EF8B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20.1(a) </w:t>
            </w:r>
          </w:p>
        </w:tc>
        <w:tc>
          <w:tcPr>
            <w:tcW w:w="0" w:type="auto"/>
            <w:shd w:val="clear" w:color="auto" w:fill="auto"/>
          </w:tcPr>
          <w:p w14:paraId="5317BE4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 description of the </w:t>
            </w:r>
            <w:r w:rsidRPr="002056FA">
              <w:rPr>
                <w:rFonts w:eastAsia="Calibri"/>
                <w:iCs/>
                <w:color w:val="000000"/>
                <w:lang w:eastAsia="en-US"/>
              </w:rPr>
              <w:t>proposed contingent project</w:t>
            </w:r>
            <w:r w:rsidRPr="002056FA">
              <w:rPr>
                <w:rFonts w:eastAsia="Calibri"/>
                <w:color w:val="000000"/>
                <w:lang w:eastAsia="en-US"/>
              </w:rPr>
              <w:t xml:space="preserve">, including reasons why </w:t>
            </w:r>
            <w:r w:rsidRPr="002056FA">
              <w:rPr>
                <w:rFonts w:eastAsia="Calibri"/>
                <w:iCs/>
                <w:color w:val="000000"/>
                <w:lang w:eastAsia="en-US"/>
              </w:rPr>
              <w:t xml:space="preserve">Energex </w:t>
            </w:r>
            <w:r w:rsidRPr="002056FA">
              <w:rPr>
                <w:rFonts w:eastAsia="Calibri"/>
                <w:color w:val="000000"/>
                <w:lang w:eastAsia="en-US"/>
              </w:rPr>
              <w:t xml:space="preserve">considers the </w:t>
            </w:r>
            <w:r w:rsidRPr="002056FA">
              <w:rPr>
                <w:rFonts w:eastAsia="Calibri"/>
                <w:iCs/>
                <w:color w:val="000000"/>
                <w:lang w:eastAsia="en-US"/>
              </w:rPr>
              <w:t xml:space="preserve">project </w:t>
            </w:r>
            <w:r w:rsidRPr="002056FA">
              <w:rPr>
                <w:rFonts w:eastAsia="Calibri"/>
                <w:color w:val="000000"/>
                <w:lang w:eastAsia="en-US"/>
              </w:rPr>
              <w:t xml:space="preserve">should be accepted as a </w:t>
            </w:r>
            <w:r w:rsidRPr="002056FA">
              <w:rPr>
                <w:rFonts w:eastAsia="Calibri"/>
                <w:iCs/>
                <w:color w:val="000000"/>
                <w:lang w:eastAsia="en-US"/>
              </w:rPr>
              <w:t xml:space="preserve">contingent project </w:t>
            </w:r>
            <w:r w:rsidRPr="002056FA">
              <w:rPr>
                <w:rFonts w:eastAsia="Calibri"/>
                <w:color w:val="000000"/>
                <w:lang w:eastAsia="en-US"/>
              </w:rPr>
              <w:t xml:space="preserve">for the </w:t>
            </w:r>
            <w:r w:rsidRPr="002056FA">
              <w:rPr>
                <w:rFonts w:eastAsia="Calibri"/>
                <w:iCs/>
                <w:color w:val="000000"/>
                <w:lang w:eastAsia="en-US"/>
              </w:rPr>
              <w:t>forthcoming regulatory control period</w:t>
            </w:r>
            <w:r w:rsidRPr="002056FA">
              <w:rPr>
                <w:rFonts w:eastAsia="Calibri"/>
                <w:color w:val="000000"/>
                <w:lang w:eastAsia="en-US"/>
              </w:rPr>
              <w:t xml:space="preserve">; </w:t>
            </w:r>
          </w:p>
        </w:tc>
        <w:tc>
          <w:tcPr>
            <w:tcW w:w="0" w:type="auto"/>
            <w:shd w:val="clear" w:color="auto" w:fill="auto"/>
          </w:tcPr>
          <w:p w14:paraId="50EB55B3"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794D9454" w14:textId="77777777" w:rsidTr="00E169B4">
        <w:tc>
          <w:tcPr>
            <w:tcW w:w="0" w:type="auto"/>
            <w:shd w:val="clear" w:color="auto" w:fill="auto"/>
          </w:tcPr>
          <w:p w14:paraId="102FF21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20.1(b) </w:t>
            </w:r>
          </w:p>
        </w:tc>
        <w:tc>
          <w:tcPr>
            <w:tcW w:w="0" w:type="auto"/>
            <w:shd w:val="clear" w:color="auto" w:fill="auto"/>
          </w:tcPr>
          <w:p w14:paraId="1A67517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w:t>
            </w:r>
            <w:r w:rsidRPr="002056FA">
              <w:rPr>
                <w:rFonts w:eastAsia="Calibri"/>
                <w:iCs/>
                <w:color w:val="000000"/>
                <w:lang w:eastAsia="en-US"/>
              </w:rPr>
              <w:t xml:space="preserve">proposed contingent capex </w:t>
            </w:r>
            <w:r w:rsidRPr="002056FA">
              <w:rPr>
                <w:rFonts w:eastAsia="Calibri"/>
                <w:color w:val="000000"/>
                <w:lang w:eastAsia="en-US"/>
              </w:rPr>
              <w:t xml:space="preserve">which </w:t>
            </w:r>
            <w:r w:rsidRPr="002056FA">
              <w:rPr>
                <w:rFonts w:eastAsia="Calibri"/>
                <w:iCs/>
                <w:color w:val="000000"/>
                <w:lang w:eastAsia="en-US"/>
              </w:rPr>
              <w:t xml:space="preserve">Energex </w:t>
            </w:r>
            <w:r w:rsidRPr="002056FA">
              <w:rPr>
                <w:rFonts w:eastAsia="Calibri"/>
                <w:color w:val="000000"/>
                <w:lang w:eastAsia="en-US"/>
              </w:rPr>
              <w:t xml:space="preserve">considers is reasonably required for the purpose of undertaking the </w:t>
            </w:r>
            <w:r w:rsidRPr="002056FA">
              <w:rPr>
                <w:rFonts w:eastAsia="Calibri"/>
                <w:iCs/>
                <w:color w:val="000000"/>
                <w:lang w:eastAsia="en-US"/>
              </w:rPr>
              <w:t>proposed contingent project</w:t>
            </w:r>
            <w:r w:rsidRPr="002056FA">
              <w:rPr>
                <w:rFonts w:eastAsia="Calibri"/>
                <w:color w:val="000000"/>
                <w:lang w:eastAsia="en-US"/>
              </w:rPr>
              <w:t xml:space="preserve">; </w:t>
            </w:r>
          </w:p>
        </w:tc>
        <w:tc>
          <w:tcPr>
            <w:tcW w:w="0" w:type="auto"/>
            <w:shd w:val="clear" w:color="auto" w:fill="auto"/>
          </w:tcPr>
          <w:p w14:paraId="08AD3EC4"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1D6B2B5A" w14:textId="77777777" w:rsidTr="00E169B4">
        <w:tc>
          <w:tcPr>
            <w:tcW w:w="0" w:type="auto"/>
            <w:shd w:val="clear" w:color="auto" w:fill="auto"/>
          </w:tcPr>
          <w:p w14:paraId="3040646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20.1(c) </w:t>
            </w:r>
          </w:p>
        </w:tc>
        <w:tc>
          <w:tcPr>
            <w:tcW w:w="0" w:type="auto"/>
            <w:shd w:val="clear" w:color="auto" w:fill="auto"/>
          </w:tcPr>
          <w:p w14:paraId="3157E5D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methodology used for developing that forecast and the key assumptions that underlie it; </w:t>
            </w:r>
          </w:p>
        </w:tc>
        <w:tc>
          <w:tcPr>
            <w:tcW w:w="0" w:type="auto"/>
            <w:shd w:val="clear" w:color="auto" w:fill="auto"/>
          </w:tcPr>
          <w:p w14:paraId="1418FB3E"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521C8994" w14:textId="77777777" w:rsidTr="00E169B4">
        <w:tc>
          <w:tcPr>
            <w:tcW w:w="0" w:type="auto"/>
            <w:shd w:val="clear" w:color="auto" w:fill="auto"/>
          </w:tcPr>
          <w:p w14:paraId="336AED85"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20.1(d) </w:t>
            </w:r>
          </w:p>
        </w:tc>
        <w:tc>
          <w:tcPr>
            <w:tcW w:w="0" w:type="auto"/>
            <w:shd w:val="clear" w:color="auto" w:fill="auto"/>
          </w:tcPr>
          <w:p w14:paraId="2826C848" w14:textId="77777777" w:rsidR="009F2CDD" w:rsidRPr="002056FA" w:rsidRDefault="009F2CDD" w:rsidP="00E169B4">
            <w:pPr>
              <w:pStyle w:val="TableCopy"/>
              <w:rPr>
                <w:rFonts w:eastAsia="Calibri"/>
                <w:b/>
                <w:color w:val="000000"/>
                <w:lang w:eastAsia="en-US"/>
              </w:rPr>
            </w:pPr>
            <w:r w:rsidRPr="002056FA">
              <w:rPr>
                <w:rFonts w:eastAsia="Calibri"/>
                <w:color w:val="000000"/>
                <w:lang w:eastAsia="en-US"/>
              </w:rPr>
              <w:t xml:space="preserve">information that demonstrates that the undertaking of the </w:t>
            </w:r>
            <w:r w:rsidRPr="002056FA">
              <w:rPr>
                <w:rFonts w:eastAsia="Calibri"/>
                <w:iCs/>
                <w:color w:val="000000"/>
                <w:lang w:eastAsia="en-US"/>
              </w:rPr>
              <w:t xml:space="preserve">proposed contingent project </w:t>
            </w:r>
            <w:r w:rsidRPr="002056FA">
              <w:rPr>
                <w:rFonts w:eastAsia="Calibri"/>
                <w:color w:val="000000"/>
                <w:lang w:eastAsia="en-US"/>
              </w:rPr>
              <w:t xml:space="preserve">is reasonably required to meet one or more of the objectives referred to in clause 6.6A.1(b)(1) of the </w:t>
            </w:r>
            <w:r w:rsidRPr="002056FA">
              <w:rPr>
                <w:rFonts w:eastAsia="Calibri"/>
                <w:iCs/>
                <w:color w:val="000000"/>
                <w:lang w:eastAsia="en-US"/>
              </w:rPr>
              <w:t>NER</w:t>
            </w:r>
            <w:r w:rsidRPr="002056FA">
              <w:rPr>
                <w:rFonts w:eastAsia="Calibri"/>
                <w:color w:val="000000"/>
                <w:lang w:eastAsia="en-US"/>
              </w:rPr>
              <w:t xml:space="preserve">; </w:t>
            </w:r>
          </w:p>
        </w:tc>
        <w:tc>
          <w:tcPr>
            <w:tcW w:w="0" w:type="auto"/>
            <w:shd w:val="clear" w:color="auto" w:fill="auto"/>
          </w:tcPr>
          <w:p w14:paraId="72DE3823"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6CBAA226" w14:textId="77777777" w:rsidTr="00E169B4">
        <w:tc>
          <w:tcPr>
            <w:tcW w:w="0" w:type="auto"/>
            <w:shd w:val="clear" w:color="auto" w:fill="auto"/>
          </w:tcPr>
          <w:p w14:paraId="2BD6DE2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20.1(e) </w:t>
            </w:r>
          </w:p>
        </w:tc>
        <w:tc>
          <w:tcPr>
            <w:tcW w:w="0" w:type="auto"/>
            <w:shd w:val="clear" w:color="auto" w:fill="auto"/>
          </w:tcPr>
          <w:p w14:paraId="6D14C9B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a demonstration that the proposed contingent </w:t>
            </w:r>
            <w:r w:rsidRPr="002056FA">
              <w:rPr>
                <w:rFonts w:eastAsia="Calibri"/>
                <w:iCs/>
                <w:color w:val="000000"/>
                <w:lang w:eastAsia="en-US"/>
              </w:rPr>
              <w:t xml:space="preserve">capex </w:t>
            </w:r>
            <w:r w:rsidRPr="002056FA">
              <w:rPr>
                <w:rFonts w:eastAsia="Calibri"/>
                <w:color w:val="000000"/>
                <w:lang w:eastAsia="en-US"/>
              </w:rPr>
              <w:t xml:space="preserve">for each </w:t>
            </w:r>
            <w:r w:rsidRPr="002056FA">
              <w:rPr>
                <w:rFonts w:eastAsia="Calibri"/>
                <w:iCs/>
                <w:color w:val="000000"/>
                <w:lang w:eastAsia="en-US"/>
              </w:rPr>
              <w:t>proposed contingent project</w:t>
            </w:r>
            <w:r w:rsidRPr="002056FA">
              <w:rPr>
                <w:rFonts w:eastAsia="Calibri"/>
                <w:color w:val="000000"/>
                <w:lang w:eastAsia="en-US"/>
              </w:rPr>
              <w:t xml:space="preserve">: </w:t>
            </w:r>
          </w:p>
        </w:tc>
        <w:tc>
          <w:tcPr>
            <w:tcW w:w="0" w:type="auto"/>
            <w:shd w:val="clear" w:color="auto" w:fill="auto"/>
          </w:tcPr>
          <w:p w14:paraId="518B6BFD"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5BB48647" w14:textId="77777777" w:rsidTr="00E169B4">
        <w:tc>
          <w:tcPr>
            <w:tcW w:w="0" w:type="auto"/>
            <w:shd w:val="clear" w:color="auto" w:fill="auto"/>
          </w:tcPr>
          <w:p w14:paraId="4EEB727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20.1(e)(i) </w:t>
            </w:r>
          </w:p>
        </w:tc>
        <w:tc>
          <w:tcPr>
            <w:tcW w:w="0" w:type="auto"/>
            <w:shd w:val="clear" w:color="auto" w:fill="auto"/>
          </w:tcPr>
          <w:p w14:paraId="3992C6A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is not included (either in part of in whole) in </w:t>
            </w:r>
            <w:r w:rsidRPr="002056FA">
              <w:rPr>
                <w:rFonts w:eastAsia="Calibri"/>
                <w:iCs/>
                <w:color w:val="000000"/>
                <w:lang w:eastAsia="en-US"/>
              </w:rPr>
              <w:t xml:space="preserve">Energex ’s </w:t>
            </w:r>
            <w:r w:rsidRPr="002056FA">
              <w:rPr>
                <w:rFonts w:eastAsia="Calibri"/>
                <w:color w:val="000000"/>
                <w:lang w:eastAsia="en-US"/>
              </w:rPr>
              <w:t xml:space="preserve">proposed total </w:t>
            </w:r>
            <w:r w:rsidRPr="002056FA">
              <w:rPr>
                <w:rFonts w:eastAsia="Calibri"/>
                <w:iCs/>
                <w:color w:val="000000"/>
                <w:lang w:eastAsia="en-US"/>
              </w:rPr>
              <w:t xml:space="preserve">forecast capex </w:t>
            </w:r>
            <w:r w:rsidRPr="002056FA">
              <w:rPr>
                <w:rFonts w:eastAsia="Calibri"/>
                <w:color w:val="000000"/>
                <w:lang w:eastAsia="en-US"/>
              </w:rPr>
              <w:t xml:space="preserve">for the </w:t>
            </w:r>
            <w:r w:rsidRPr="002056FA">
              <w:rPr>
                <w:rFonts w:eastAsia="Calibri"/>
                <w:iCs/>
                <w:color w:val="000000"/>
                <w:lang w:eastAsia="en-US"/>
              </w:rPr>
              <w:t>forthcoming regulatory control period</w:t>
            </w:r>
            <w:r w:rsidRPr="002056FA">
              <w:rPr>
                <w:rFonts w:eastAsia="Calibri"/>
                <w:color w:val="000000"/>
                <w:lang w:eastAsia="en-US"/>
              </w:rPr>
              <w:t xml:space="preserve">; </w:t>
            </w:r>
          </w:p>
        </w:tc>
        <w:tc>
          <w:tcPr>
            <w:tcW w:w="0" w:type="auto"/>
            <w:shd w:val="clear" w:color="auto" w:fill="auto"/>
          </w:tcPr>
          <w:p w14:paraId="4EDBA778"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50BF711A" w14:textId="77777777" w:rsidTr="00E169B4">
        <w:tc>
          <w:tcPr>
            <w:tcW w:w="0" w:type="auto"/>
            <w:shd w:val="clear" w:color="auto" w:fill="auto"/>
          </w:tcPr>
          <w:p w14:paraId="379029E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20.1(e)(ii) </w:t>
            </w:r>
          </w:p>
        </w:tc>
        <w:tc>
          <w:tcPr>
            <w:tcW w:w="0" w:type="auto"/>
            <w:shd w:val="clear" w:color="auto" w:fill="auto"/>
          </w:tcPr>
          <w:p w14:paraId="30A49A8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reasonably reflects the </w:t>
            </w:r>
            <w:r w:rsidRPr="002056FA">
              <w:rPr>
                <w:rFonts w:eastAsia="Calibri"/>
                <w:iCs/>
                <w:color w:val="000000"/>
                <w:lang w:eastAsia="en-US"/>
              </w:rPr>
              <w:t xml:space="preserve">capex </w:t>
            </w:r>
            <w:r w:rsidRPr="002056FA">
              <w:rPr>
                <w:rFonts w:eastAsia="Calibri"/>
                <w:color w:val="000000"/>
                <w:lang w:eastAsia="en-US"/>
              </w:rPr>
              <w:t xml:space="preserve">criteria, taking into account the </w:t>
            </w:r>
            <w:r w:rsidRPr="002056FA">
              <w:rPr>
                <w:rFonts w:eastAsia="Calibri"/>
                <w:iCs/>
                <w:color w:val="000000"/>
                <w:lang w:eastAsia="en-US"/>
              </w:rPr>
              <w:t xml:space="preserve">capex </w:t>
            </w:r>
            <w:r w:rsidRPr="002056FA">
              <w:rPr>
                <w:rFonts w:eastAsia="Calibri"/>
                <w:color w:val="000000"/>
                <w:lang w:eastAsia="en-US"/>
              </w:rPr>
              <w:t xml:space="preserve">factors, in the context of the </w:t>
            </w:r>
            <w:r w:rsidRPr="002056FA">
              <w:rPr>
                <w:rFonts w:eastAsia="Calibri"/>
                <w:iCs/>
                <w:color w:val="000000"/>
                <w:lang w:eastAsia="en-US"/>
              </w:rPr>
              <w:t>proposed contingent project</w:t>
            </w:r>
            <w:r w:rsidRPr="002056FA">
              <w:rPr>
                <w:rFonts w:eastAsia="Calibri"/>
                <w:color w:val="000000"/>
                <w:lang w:eastAsia="en-US"/>
              </w:rPr>
              <w:t xml:space="preserve">; and </w:t>
            </w:r>
          </w:p>
        </w:tc>
        <w:tc>
          <w:tcPr>
            <w:tcW w:w="0" w:type="auto"/>
            <w:shd w:val="clear" w:color="auto" w:fill="auto"/>
          </w:tcPr>
          <w:p w14:paraId="35C7E596"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6AD2369C" w14:textId="77777777" w:rsidTr="00E169B4">
        <w:tc>
          <w:tcPr>
            <w:tcW w:w="0" w:type="auto"/>
            <w:shd w:val="clear" w:color="auto" w:fill="auto"/>
          </w:tcPr>
          <w:p w14:paraId="5B62C278"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20.1(e)(iii) </w:t>
            </w:r>
          </w:p>
        </w:tc>
        <w:tc>
          <w:tcPr>
            <w:tcW w:w="0" w:type="auto"/>
            <w:shd w:val="clear" w:color="auto" w:fill="auto"/>
          </w:tcPr>
          <w:p w14:paraId="76CB4F2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exceeds either $30 million ($nominal) or 5 per cent of </w:t>
            </w:r>
            <w:r w:rsidRPr="002056FA">
              <w:rPr>
                <w:rFonts w:eastAsia="Calibri"/>
                <w:iCs/>
                <w:color w:val="000000"/>
                <w:lang w:eastAsia="en-US"/>
              </w:rPr>
              <w:t xml:space="preserve">Energex ’s </w:t>
            </w:r>
            <w:r w:rsidRPr="002056FA">
              <w:rPr>
                <w:rFonts w:eastAsia="Calibri"/>
                <w:color w:val="000000"/>
                <w:lang w:eastAsia="en-US"/>
              </w:rPr>
              <w:t xml:space="preserve">proposed annual revenue requirement for the first year of the </w:t>
            </w:r>
            <w:r w:rsidRPr="002056FA">
              <w:rPr>
                <w:rFonts w:eastAsia="Calibri"/>
                <w:iCs/>
                <w:color w:val="000000"/>
                <w:lang w:eastAsia="en-US"/>
              </w:rPr>
              <w:t>forthcoming regulatory control period</w:t>
            </w:r>
            <w:r w:rsidRPr="002056FA">
              <w:rPr>
                <w:rFonts w:eastAsia="Calibri"/>
                <w:color w:val="000000"/>
                <w:lang w:eastAsia="en-US"/>
              </w:rPr>
              <w:t xml:space="preserve">, whichever is larger amount. </w:t>
            </w:r>
          </w:p>
        </w:tc>
        <w:tc>
          <w:tcPr>
            <w:tcW w:w="0" w:type="auto"/>
            <w:shd w:val="clear" w:color="auto" w:fill="auto"/>
          </w:tcPr>
          <w:p w14:paraId="70A7A783"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4164624D" w14:textId="77777777" w:rsidTr="00E169B4">
        <w:tc>
          <w:tcPr>
            <w:tcW w:w="0" w:type="auto"/>
            <w:shd w:val="clear" w:color="auto" w:fill="auto"/>
          </w:tcPr>
          <w:p w14:paraId="1D85FFC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20.1(f) </w:t>
            </w:r>
          </w:p>
        </w:tc>
        <w:tc>
          <w:tcPr>
            <w:tcW w:w="0" w:type="auto"/>
            <w:shd w:val="clear" w:color="auto" w:fill="auto"/>
          </w:tcPr>
          <w:p w14:paraId="38B22792"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proposed trigger events relating to the </w:t>
            </w:r>
            <w:r w:rsidRPr="002056FA">
              <w:rPr>
                <w:rFonts w:eastAsia="Calibri"/>
                <w:iCs/>
                <w:color w:val="000000"/>
                <w:lang w:eastAsia="en-US"/>
              </w:rPr>
              <w:t>proposed contingent project</w:t>
            </w:r>
            <w:r w:rsidRPr="002056FA">
              <w:rPr>
                <w:rFonts w:eastAsia="Calibri"/>
                <w:color w:val="000000"/>
                <w:lang w:eastAsia="en-US"/>
              </w:rPr>
              <w:t xml:space="preserve">. </w:t>
            </w:r>
          </w:p>
        </w:tc>
        <w:tc>
          <w:tcPr>
            <w:tcW w:w="0" w:type="auto"/>
            <w:shd w:val="clear" w:color="auto" w:fill="auto"/>
          </w:tcPr>
          <w:p w14:paraId="25A4E14F"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6F661103" w14:textId="77777777" w:rsidTr="00E169B4">
        <w:tc>
          <w:tcPr>
            <w:tcW w:w="0" w:type="auto"/>
            <w:shd w:val="clear" w:color="auto" w:fill="auto"/>
          </w:tcPr>
          <w:p w14:paraId="431BEC3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20.2 </w:t>
            </w:r>
          </w:p>
        </w:tc>
        <w:tc>
          <w:tcPr>
            <w:tcW w:w="0" w:type="auto"/>
            <w:shd w:val="clear" w:color="auto" w:fill="auto"/>
          </w:tcPr>
          <w:p w14:paraId="214164A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For each proposed </w:t>
            </w:r>
            <w:r w:rsidRPr="002056FA">
              <w:rPr>
                <w:rFonts w:eastAsia="Calibri"/>
                <w:iCs/>
                <w:color w:val="000000"/>
                <w:lang w:eastAsia="en-US"/>
              </w:rPr>
              <w:t xml:space="preserve">trigger event relating </w:t>
            </w:r>
            <w:r w:rsidRPr="002056FA">
              <w:rPr>
                <w:rFonts w:eastAsia="Calibri"/>
                <w:color w:val="000000"/>
                <w:lang w:eastAsia="en-US"/>
              </w:rPr>
              <w:t xml:space="preserve">to the </w:t>
            </w:r>
            <w:r w:rsidRPr="002056FA">
              <w:rPr>
                <w:rFonts w:eastAsia="Calibri"/>
                <w:iCs/>
                <w:color w:val="000000"/>
                <w:lang w:eastAsia="en-US"/>
              </w:rPr>
              <w:t xml:space="preserve">proposed contingent project </w:t>
            </w:r>
            <w:r w:rsidRPr="002056FA">
              <w:rPr>
                <w:rFonts w:eastAsia="Calibri"/>
                <w:color w:val="000000"/>
                <w:lang w:eastAsia="en-US"/>
              </w:rPr>
              <w:t xml:space="preserve">referred to in paragraph 20.1(f), demonstrate: </w:t>
            </w:r>
          </w:p>
        </w:tc>
        <w:tc>
          <w:tcPr>
            <w:tcW w:w="0" w:type="auto"/>
            <w:shd w:val="clear" w:color="auto" w:fill="auto"/>
          </w:tcPr>
          <w:p w14:paraId="64BE30E1"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4F2B728A" w14:textId="77777777" w:rsidTr="00E169B4">
        <w:tc>
          <w:tcPr>
            <w:tcW w:w="0" w:type="auto"/>
            <w:shd w:val="clear" w:color="auto" w:fill="auto"/>
          </w:tcPr>
          <w:p w14:paraId="39A781C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20.2(a) </w:t>
            </w:r>
          </w:p>
        </w:tc>
        <w:tc>
          <w:tcPr>
            <w:tcW w:w="0" w:type="auto"/>
            <w:shd w:val="clear" w:color="auto" w:fill="auto"/>
          </w:tcPr>
          <w:p w14:paraId="6A2B438D"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proposed </w:t>
            </w:r>
            <w:r w:rsidRPr="002056FA">
              <w:rPr>
                <w:rFonts w:eastAsia="Calibri"/>
                <w:iCs/>
                <w:color w:val="000000"/>
                <w:lang w:eastAsia="en-US"/>
              </w:rPr>
              <w:t xml:space="preserve">trigger event </w:t>
            </w:r>
            <w:r w:rsidRPr="002056FA">
              <w:rPr>
                <w:rFonts w:eastAsia="Calibri"/>
                <w:color w:val="000000"/>
                <w:lang w:eastAsia="en-US"/>
              </w:rPr>
              <w:t xml:space="preserve">is reasonably specific and capable of objective verification; </w:t>
            </w:r>
          </w:p>
        </w:tc>
        <w:tc>
          <w:tcPr>
            <w:tcW w:w="0" w:type="auto"/>
            <w:shd w:val="clear" w:color="auto" w:fill="auto"/>
          </w:tcPr>
          <w:p w14:paraId="18CB6D43"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21BB8CDB" w14:textId="77777777" w:rsidTr="00E169B4">
        <w:tc>
          <w:tcPr>
            <w:tcW w:w="0" w:type="auto"/>
            <w:shd w:val="clear" w:color="auto" w:fill="auto"/>
          </w:tcPr>
          <w:p w14:paraId="50D5F1BF"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20.2(b) </w:t>
            </w:r>
          </w:p>
        </w:tc>
        <w:tc>
          <w:tcPr>
            <w:tcW w:w="0" w:type="auto"/>
            <w:shd w:val="clear" w:color="auto" w:fill="auto"/>
          </w:tcPr>
          <w:p w14:paraId="3AA80F8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occurrence of the proposed </w:t>
            </w:r>
            <w:r w:rsidRPr="002056FA">
              <w:rPr>
                <w:rFonts w:eastAsia="Calibri"/>
                <w:iCs/>
                <w:color w:val="000000"/>
                <w:lang w:eastAsia="en-US"/>
              </w:rPr>
              <w:t xml:space="preserve">trigger event </w:t>
            </w:r>
            <w:r w:rsidRPr="002056FA">
              <w:rPr>
                <w:rFonts w:eastAsia="Calibri"/>
                <w:color w:val="000000"/>
                <w:lang w:eastAsia="en-US"/>
              </w:rPr>
              <w:t xml:space="preserve">makes the undertaking of the </w:t>
            </w:r>
            <w:r w:rsidRPr="002056FA">
              <w:rPr>
                <w:rFonts w:eastAsia="Calibri"/>
                <w:iCs/>
                <w:color w:val="000000"/>
                <w:lang w:eastAsia="en-US"/>
              </w:rPr>
              <w:t xml:space="preserve">proposed contingent project </w:t>
            </w:r>
            <w:r w:rsidRPr="002056FA">
              <w:rPr>
                <w:rFonts w:eastAsia="Calibri"/>
                <w:color w:val="000000"/>
                <w:lang w:eastAsia="en-US"/>
              </w:rPr>
              <w:t xml:space="preserve">reasonably necessary in order to achieve any of the </w:t>
            </w:r>
            <w:r w:rsidRPr="002056FA">
              <w:rPr>
                <w:rFonts w:eastAsia="Calibri"/>
                <w:iCs/>
                <w:color w:val="000000"/>
                <w:lang w:eastAsia="en-US"/>
              </w:rPr>
              <w:t xml:space="preserve">capex </w:t>
            </w:r>
            <w:r w:rsidRPr="002056FA">
              <w:rPr>
                <w:rFonts w:eastAsia="Calibri"/>
                <w:color w:val="000000"/>
                <w:lang w:eastAsia="en-US"/>
              </w:rPr>
              <w:t xml:space="preserve">objectives; </w:t>
            </w:r>
          </w:p>
        </w:tc>
        <w:tc>
          <w:tcPr>
            <w:tcW w:w="0" w:type="auto"/>
            <w:shd w:val="clear" w:color="auto" w:fill="auto"/>
          </w:tcPr>
          <w:p w14:paraId="5C6820B4"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7D79D70F" w14:textId="77777777" w:rsidTr="00E169B4">
        <w:tc>
          <w:tcPr>
            <w:tcW w:w="0" w:type="auto"/>
            <w:shd w:val="clear" w:color="auto" w:fill="auto"/>
          </w:tcPr>
          <w:p w14:paraId="331783E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20.2(c) </w:t>
            </w:r>
          </w:p>
        </w:tc>
        <w:tc>
          <w:tcPr>
            <w:tcW w:w="0" w:type="auto"/>
            <w:shd w:val="clear" w:color="auto" w:fill="auto"/>
          </w:tcPr>
          <w:p w14:paraId="282B0BCE"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proposed </w:t>
            </w:r>
            <w:r w:rsidRPr="002056FA">
              <w:rPr>
                <w:rFonts w:eastAsia="Calibri"/>
                <w:iCs/>
                <w:color w:val="000000"/>
                <w:lang w:eastAsia="en-US"/>
              </w:rPr>
              <w:t xml:space="preserve">trigger event </w:t>
            </w:r>
            <w:r w:rsidRPr="002056FA">
              <w:rPr>
                <w:rFonts w:eastAsia="Calibri"/>
                <w:color w:val="000000"/>
                <w:lang w:eastAsia="en-US"/>
              </w:rPr>
              <w:t xml:space="preserve">generates increased costs or categories of costs that relate to a specific location rather than a condition or event that affects the </w:t>
            </w:r>
            <w:r w:rsidRPr="002056FA">
              <w:rPr>
                <w:rFonts w:eastAsia="Calibri"/>
                <w:iCs/>
                <w:color w:val="000000"/>
                <w:lang w:eastAsia="en-US"/>
              </w:rPr>
              <w:t xml:space="preserve">distribution network </w:t>
            </w:r>
            <w:r w:rsidRPr="002056FA">
              <w:rPr>
                <w:rFonts w:eastAsia="Calibri"/>
                <w:color w:val="000000"/>
                <w:lang w:eastAsia="en-US"/>
              </w:rPr>
              <w:t xml:space="preserve">as a whole; </w:t>
            </w:r>
          </w:p>
        </w:tc>
        <w:tc>
          <w:tcPr>
            <w:tcW w:w="0" w:type="auto"/>
            <w:shd w:val="clear" w:color="auto" w:fill="auto"/>
          </w:tcPr>
          <w:p w14:paraId="1670B91A"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0EC60364" w14:textId="77777777" w:rsidTr="00E169B4">
        <w:tc>
          <w:tcPr>
            <w:tcW w:w="0" w:type="auto"/>
            <w:shd w:val="clear" w:color="auto" w:fill="auto"/>
          </w:tcPr>
          <w:p w14:paraId="463C58A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20.2(d) </w:t>
            </w:r>
          </w:p>
        </w:tc>
        <w:tc>
          <w:tcPr>
            <w:tcW w:w="0" w:type="auto"/>
            <w:shd w:val="clear" w:color="auto" w:fill="auto"/>
          </w:tcPr>
          <w:p w14:paraId="1420EDD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proposed </w:t>
            </w:r>
            <w:r w:rsidRPr="002056FA">
              <w:rPr>
                <w:rFonts w:eastAsia="Calibri"/>
                <w:iCs/>
                <w:color w:val="000000"/>
                <w:lang w:eastAsia="en-US"/>
              </w:rPr>
              <w:t xml:space="preserve">trigger event </w:t>
            </w:r>
            <w:r w:rsidRPr="002056FA">
              <w:rPr>
                <w:rFonts w:eastAsia="Calibri"/>
                <w:color w:val="000000"/>
                <w:lang w:eastAsia="en-US"/>
              </w:rPr>
              <w:t xml:space="preserve">is described in such terms that the occurrence of that event or condition is all that is required for the </w:t>
            </w:r>
            <w:r w:rsidRPr="002056FA">
              <w:rPr>
                <w:rFonts w:eastAsia="Calibri"/>
                <w:iCs/>
                <w:color w:val="000000"/>
                <w:lang w:eastAsia="en-US"/>
              </w:rPr>
              <w:t xml:space="preserve">distribution determination </w:t>
            </w:r>
            <w:r w:rsidRPr="002056FA">
              <w:rPr>
                <w:rFonts w:eastAsia="Calibri"/>
                <w:color w:val="000000"/>
                <w:lang w:eastAsia="en-US"/>
              </w:rPr>
              <w:t xml:space="preserve">to be amended under clause 6.6A.2 of the </w:t>
            </w:r>
            <w:r w:rsidRPr="002056FA">
              <w:rPr>
                <w:rFonts w:eastAsia="Calibri"/>
                <w:iCs/>
                <w:color w:val="000000"/>
                <w:lang w:eastAsia="en-US"/>
              </w:rPr>
              <w:t>NER</w:t>
            </w:r>
            <w:r w:rsidRPr="002056FA">
              <w:rPr>
                <w:rFonts w:eastAsia="Calibri"/>
                <w:color w:val="000000"/>
                <w:lang w:eastAsia="en-US"/>
              </w:rPr>
              <w:t xml:space="preserve">; </w:t>
            </w:r>
          </w:p>
        </w:tc>
        <w:tc>
          <w:tcPr>
            <w:tcW w:w="0" w:type="auto"/>
            <w:shd w:val="clear" w:color="auto" w:fill="auto"/>
          </w:tcPr>
          <w:p w14:paraId="4E50D9F2"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64B5E92E" w14:textId="77777777" w:rsidTr="00E169B4">
        <w:tc>
          <w:tcPr>
            <w:tcW w:w="0" w:type="auto"/>
            <w:shd w:val="clear" w:color="auto" w:fill="auto"/>
          </w:tcPr>
          <w:p w14:paraId="5D7CCB1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20.2(e) </w:t>
            </w:r>
          </w:p>
        </w:tc>
        <w:tc>
          <w:tcPr>
            <w:tcW w:w="0" w:type="auto"/>
            <w:shd w:val="clear" w:color="auto" w:fill="auto"/>
          </w:tcPr>
          <w:p w14:paraId="1787772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proposed </w:t>
            </w:r>
            <w:r w:rsidRPr="002056FA">
              <w:rPr>
                <w:rFonts w:eastAsia="Calibri"/>
                <w:iCs/>
                <w:color w:val="000000"/>
                <w:lang w:eastAsia="en-US"/>
              </w:rPr>
              <w:t xml:space="preserve">trigger event </w:t>
            </w:r>
            <w:r w:rsidRPr="002056FA">
              <w:rPr>
                <w:rFonts w:eastAsia="Calibri"/>
                <w:color w:val="000000"/>
                <w:lang w:eastAsia="en-US"/>
              </w:rPr>
              <w:t xml:space="preserve">is a condition or event, the occurrence of which is probable during the </w:t>
            </w:r>
            <w:r w:rsidRPr="002056FA">
              <w:rPr>
                <w:rFonts w:eastAsia="Calibri"/>
                <w:iCs/>
                <w:color w:val="000000"/>
                <w:lang w:eastAsia="en-US"/>
              </w:rPr>
              <w:t>forthcoming regulatory control period</w:t>
            </w:r>
            <w:r w:rsidRPr="002056FA">
              <w:rPr>
                <w:rFonts w:eastAsia="Calibri"/>
                <w:color w:val="000000"/>
                <w:lang w:eastAsia="en-US"/>
              </w:rPr>
              <w:t xml:space="preserve">, but the inclusion of </w:t>
            </w:r>
            <w:r w:rsidRPr="002056FA">
              <w:rPr>
                <w:rFonts w:eastAsia="Calibri"/>
                <w:iCs/>
                <w:color w:val="000000"/>
                <w:lang w:eastAsia="en-US"/>
              </w:rPr>
              <w:t xml:space="preserve">capex </w:t>
            </w:r>
            <w:r w:rsidRPr="002056FA">
              <w:rPr>
                <w:rFonts w:eastAsia="Calibri"/>
                <w:color w:val="000000"/>
                <w:lang w:eastAsia="en-US"/>
              </w:rPr>
              <w:t xml:space="preserve">in relation to the proposed </w:t>
            </w:r>
            <w:r w:rsidRPr="002056FA">
              <w:rPr>
                <w:rFonts w:eastAsia="Calibri"/>
                <w:iCs/>
                <w:color w:val="000000"/>
                <w:lang w:eastAsia="en-US"/>
              </w:rPr>
              <w:t xml:space="preserve">trigger event </w:t>
            </w:r>
            <w:r w:rsidRPr="002056FA">
              <w:rPr>
                <w:rFonts w:eastAsia="Calibri"/>
                <w:color w:val="000000"/>
                <w:lang w:eastAsia="en-US"/>
              </w:rPr>
              <w:t xml:space="preserve">under clause 6.5.7 of the </w:t>
            </w:r>
            <w:r w:rsidRPr="002056FA">
              <w:rPr>
                <w:rFonts w:eastAsia="Calibri"/>
                <w:iCs/>
                <w:color w:val="000000"/>
                <w:lang w:eastAsia="en-US"/>
              </w:rPr>
              <w:t xml:space="preserve">NER </w:t>
            </w:r>
            <w:r w:rsidRPr="002056FA">
              <w:rPr>
                <w:rFonts w:eastAsia="Calibri"/>
                <w:color w:val="000000"/>
                <w:lang w:eastAsia="en-US"/>
              </w:rPr>
              <w:t xml:space="preserve">is not appropriate because: </w:t>
            </w:r>
          </w:p>
        </w:tc>
        <w:tc>
          <w:tcPr>
            <w:tcW w:w="0" w:type="auto"/>
            <w:shd w:val="clear" w:color="auto" w:fill="auto"/>
          </w:tcPr>
          <w:p w14:paraId="42F24E62"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22038EEC" w14:textId="77777777" w:rsidTr="00E169B4">
        <w:tc>
          <w:tcPr>
            <w:tcW w:w="0" w:type="auto"/>
            <w:shd w:val="clear" w:color="auto" w:fill="auto"/>
          </w:tcPr>
          <w:p w14:paraId="31BF72E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20.2(e)(i) </w:t>
            </w:r>
          </w:p>
        </w:tc>
        <w:tc>
          <w:tcPr>
            <w:tcW w:w="0" w:type="auto"/>
            <w:shd w:val="clear" w:color="auto" w:fill="auto"/>
          </w:tcPr>
          <w:p w14:paraId="18A82F6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it is not sufficiently certain that the event or condition will occur during the </w:t>
            </w:r>
            <w:r w:rsidRPr="002056FA">
              <w:rPr>
                <w:rFonts w:eastAsia="Calibri"/>
                <w:iCs/>
                <w:color w:val="000000"/>
                <w:lang w:eastAsia="en-US"/>
              </w:rPr>
              <w:t xml:space="preserve">forthcoming regulatory control period </w:t>
            </w:r>
            <w:r w:rsidRPr="002056FA">
              <w:rPr>
                <w:rFonts w:eastAsia="Calibri"/>
                <w:color w:val="000000"/>
                <w:lang w:eastAsia="en-US"/>
              </w:rPr>
              <w:t xml:space="preserve">or if it may occur after that </w:t>
            </w:r>
            <w:r w:rsidRPr="002056FA">
              <w:rPr>
                <w:rFonts w:eastAsia="Calibri"/>
                <w:iCs/>
                <w:color w:val="000000"/>
                <w:lang w:eastAsia="en-US"/>
              </w:rPr>
              <w:t xml:space="preserve">regulatory control period </w:t>
            </w:r>
            <w:r w:rsidRPr="002056FA">
              <w:rPr>
                <w:rFonts w:eastAsia="Calibri"/>
                <w:color w:val="000000"/>
                <w:lang w:eastAsia="en-US"/>
              </w:rPr>
              <w:t xml:space="preserve">or not at all; or </w:t>
            </w:r>
          </w:p>
        </w:tc>
        <w:tc>
          <w:tcPr>
            <w:tcW w:w="0" w:type="auto"/>
            <w:shd w:val="clear" w:color="auto" w:fill="auto"/>
          </w:tcPr>
          <w:p w14:paraId="072E9B2C"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756C3413" w14:textId="77777777" w:rsidTr="00E169B4">
        <w:tc>
          <w:tcPr>
            <w:tcW w:w="0" w:type="auto"/>
            <w:shd w:val="clear" w:color="auto" w:fill="auto"/>
          </w:tcPr>
          <w:p w14:paraId="7D8EC674"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20.2(e)(ii) </w:t>
            </w:r>
          </w:p>
        </w:tc>
        <w:tc>
          <w:tcPr>
            <w:tcW w:w="0" w:type="auto"/>
            <w:shd w:val="clear" w:color="auto" w:fill="auto"/>
          </w:tcPr>
          <w:p w14:paraId="69603E5C"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the costs associated with the event or condition are not sufficiently certain. </w:t>
            </w:r>
          </w:p>
        </w:tc>
        <w:tc>
          <w:tcPr>
            <w:tcW w:w="0" w:type="auto"/>
            <w:shd w:val="clear" w:color="auto" w:fill="auto"/>
          </w:tcPr>
          <w:p w14:paraId="2C4530C1"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6872E891" w14:textId="77777777" w:rsidTr="00E169B4">
        <w:tc>
          <w:tcPr>
            <w:tcW w:w="0" w:type="auto"/>
            <w:tcBorders>
              <w:bottom w:val="single" w:sz="4" w:space="0" w:color="auto"/>
            </w:tcBorders>
            <w:shd w:val="clear" w:color="auto" w:fill="auto"/>
          </w:tcPr>
          <w:p w14:paraId="5316C68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20.3</w:t>
            </w:r>
          </w:p>
        </w:tc>
        <w:tc>
          <w:tcPr>
            <w:tcW w:w="0" w:type="auto"/>
            <w:tcBorders>
              <w:bottom w:val="single" w:sz="4" w:space="0" w:color="auto"/>
            </w:tcBorders>
            <w:shd w:val="clear" w:color="auto" w:fill="auto"/>
          </w:tcPr>
          <w:p w14:paraId="2BCBB643"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a summary of Energex’s proposed contingent projects for the forthcoming regulatory control period, including the proposed contingent capex and trigger events for each proposed contingent project in the Workbook 1 – Regulatory determination, regulatory template 7.2.</w:t>
            </w:r>
          </w:p>
        </w:tc>
        <w:tc>
          <w:tcPr>
            <w:tcW w:w="0" w:type="auto"/>
            <w:tcBorders>
              <w:bottom w:val="single" w:sz="4" w:space="0" w:color="auto"/>
            </w:tcBorders>
            <w:shd w:val="clear" w:color="auto" w:fill="auto"/>
          </w:tcPr>
          <w:p w14:paraId="411BF42B" w14:textId="77777777" w:rsidR="009F2CDD" w:rsidRPr="002056FA" w:rsidRDefault="009F2CDD" w:rsidP="00E169B4">
            <w:pPr>
              <w:pStyle w:val="TableCopy"/>
              <w:rPr>
                <w:rFonts w:eastAsia="Calibri"/>
                <w:lang w:eastAsia="en-US"/>
              </w:rPr>
            </w:pPr>
            <w:r w:rsidRPr="002056FA">
              <w:rPr>
                <w:rFonts w:eastAsia="Calibri"/>
                <w:lang w:eastAsia="en-US"/>
              </w:rPr>
              <w:t xml:space="preserve">Refer to response to 20.1. Energex is not proposing any contingent projects. </w:t>
            </w:r>
          </w:p>
        </w:tc>
      </w:tr>
      <w:tr w:rsidR="009F2CDD" w:rsidRPr="002056FA" w14:paraId="7C74E215" w14:textId="77777777" w:rsidTr="00E169B4">
        <w:tc>
          <w:tcPr>
            <w:tcW w:w="0" w:type="auto"/>
            <w:shd w:val="clear" w:color="auto" w:fill="D0CECE" w:themeFill="background2" w:themeFillShade="E6"/>
          </w:tcPr>
          <w:p w14:paraId="1B50DF71"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21</w:t>
            </w:r>
          </w:p>
        </w:tc>
        <w:tc>
          <w:tcPr>
            <w:tcW w:w="0" w:type="auto"/>
            <w:shd w:val="clear" w:color="auto" w:fill="D0CECE" w:themeFill="background2" w:themeFillShade="E6"/>
          </w:tcPr>
          <w:p w14:paraId="0898A096"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REVENUES FOR STANDARD CONTROL SERVICES</w:t>
            </w:r>
          </w:p>
        </w:tc>
        <w:tc>
          <w:tcPr>
            <w:tcW w:w="0" w:type="auto"/>
            <w:shd w:val="clear" w:color="auto" w:fill="D0CECE" w:themeFill="background2" w:themeFillShade="E6"/>
          </w:tcPr>
          <w:p w14:paraId="62554640" w14:textId="77777777" w:rsidR="009F2CDD" w:rsidRPr="002056FA" w:rsidRDefault="009F2CDD" w:rsidP="00E169B4">
            <w:pPr>
              <w:pStyle w:val="TableCopy"/>
              <w:rPr>
                <w:rFonts w:eastAsia="Calibri"/>
                <w:color w:val="000000"/>
                <w:lang w:eastAsia="en-US"/>
              </w:rPr>
            </w:pPr>
          </w:p>
        </w:tc>
      </w:tr>
      <w:tr w:rsidR="009F2CDD" w:rsidRPr="002056FA" w14:paraId="389E35B4" w14:textId="77777777" w:rsidTr="00E169B4">
        <w:tc>
          <w:tcPr>
            <w:tcW w:w="0" w:type="auto"/>
            <w:shd w:val="clear" w:color="auto" w:fill="auto"/>
          </w:tcPr>
          <w:p w14:paraId="2B1241DB"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21.1</w:t>
            </w:r>
          </w:p>
        </w:tc>
        <w:tc>
          <w:tcPr>
            <w:tcW w:w="0" w:type="auto"/>
            <w:shd w:val="clear" w:color="auto" w:fill="auto"/>
          </w:tcPr>
          <w:p w14:paraId="76753CB5"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Energex’s calculation of the unsmoothed and smoothed revenues for each year of the forthcoming regulatory control period using the AER’s post-tax revenue model, which is to be submitted as part of Energex’s regulatory proposal.</w:t>
            </w:r>
          </w:p>
        </w:tc>
        <w:tc>
          <w:tcPr>
            <w:tcW w:w="0" w:type="auto"/>
            <w:shd w:val="clear" w:color="auto" w:fill="auto"/>
          </w:tcPr>
          <w:p w14:paraId="0AA6D6E8" w14:textId="77777777" w:rsidR="009F2CDD" w:rsidRPr="00224244" w:rsidRDefault="009F2CDD" w:rsidP="00E169B4">
            <w:pPr>
              <w:pStyle w:val="TableCopy"/>
              <w:rPr>
                <w:rFonts w:eastAsia="Calibri"/>
                <w:color w:val="000000"/>
                <w:lang w:val="en-GB" w:eastAsia="en-US"/>
              </w:rPr>
            </w:pPr>
            <w:r w:rsidRPr="002056FA">
              <w:rPr>
                <w:rFonts w:eastAsia="Calibri"/>
                <w:color w:val="000000"/>
                <w:lang w:eastAsia="en-US"/>
              </w:rPr>
              <w:t xml:space="preserve">The calculation of forecast unsmoothed and smoothed revenue </w:t>
            </w:r>
            <w:r>
              <w:rPr>
                <w:rFonts w:eastAsia="Calibri"/>
                <w:color w:val="000000"/>
                <w:lang w:eastAsia="en-US"/>
              </w:rPr>
              <w:t>for SCS is provided in</w:t>
            </w:r>
            <w:r w:rsidRPr="005A6324">
              <w:rPr>
                <w:rFonts w:eastAsia="Calibri"/>
                <w:color w:val="000000"/>
                <w:lang w:val="en-GB" w:eastAsia="en-US"/>
              </w:rPr>
              <w:t xml:space="preserve"> </w:t>
            </w:r>
            <w:r>
              <w:rPr>
                <w:rFonts w:eastAsia="Calibri"/>
                <w:color w:val="000000"/>
                <w:lang w:val="en-GB" w:eastAsia="en-US"/>
              </w:rPr>
              <w:t>PTRM</w:t>
            </w:r>
            <w:r w:rsidRPr="00224244">
              <w:rPr>
                <w:rFonts w:eastAsia="Calibri"/>
                <w:color w:val="000000"/>
                <w:lang w:val="en-GB" w:eastAsia="en-US"/>
              </w:rPr>
              <w:t>– SCS</w:t>
            </w:r>
            <w:r>
              <w:rPr>
                <w:rFonts w:eastAsia="Calibri"/>
                <w:color w:val="000000"/>
                <w:lang w:val="en-GB" w:eastAsia="en-US"/>
              </w:rPr>
              <w:t xml:space="preserve"> (Attachment 8.003</w:t>
            </w:r>
            <w:r w:rsidRPr="00224244">
              <w:rPr>
                <w:rFonts w:eastAsia="Calibri"/>
                <w:color w:val="000000"/>
                <w:lang w:val="en-GB" w:eastAsia="en-US"/>
              </w:rPr>
              <w:t>)</w:t>
            </w:r>
            <w:r>
              <w:rPr>
                <w:rFonts w:eastAsia="Calibri"/>
                <w:color w:val="000000"/>
                <w:lang w:val="en-GB" w:eastAsia="en-US"/>
              </w:rPr>
              <w:t>.</w:t>
            </w:r>
          </w:p>
          <w:p w14:paraId="3D8F2C2B" w14:textId="77777777" w:rsidR="009F2CDD" w:rsidRPr="002056FA" w:rsidRDefault="009F2CDD" w:rsidP="00E169B4">
            <w:pPr>
              <w:pStyle w:val="TableCopy"/>
              <w:rPr>
                <w:rFonts w:eastAsia="Calibri"/>
                <w:color w:val="000000"/>
                <w:lang w:eastAsia="en-US"/>
              </w:rPr>
            </w:pPr>
          </w:p>
        </w:tc>
      </w:tr>
      <w:tr w:rsidR="009F2CDD" w:rsidRPr="002056FA" w14:paraId="05E6D493" w14:textId="77777777" w:rsidTr="00E169B4">
        <w:tc>
          <w:tcPr>
            <w:tcW w:w="0" w:type="auto"/>
            <w:tcBorders>
              <w:bottom w:val="single" w:sz="4" w:space="0" w:color="auto"/>
            </w:tcBorders>
            <w:shd w:val="clear" w:color="auto" w:fill="auto"/>
          </w:tcPr>
          <w:p w14:paraId="287F0A31"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21.2</w:t>
            </w:r>
          </w:p>
        </w:tc>
        <w:tc>
          <w:tcPr>
            <w:tcW w:w="0" w:type="auto"/>
            <w:tcBorders>
              <w:bottom w:val="single" w:sz="4" w:space="0" w:color="auto"/>
            </w:tcBorders>
            <w:shd w:val="clear" w:color="auto" w:fill="auto"/>
          </w:tcPr>
          <w:p w14:paraId="2CB6BE70"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Provide details of any departure from the AER’s post-tax revenue model for the calculations referred to in paragraph 21.1 and the reasons for that departure.</w:t>
            </w:r>
          </w:p>
        </w:tc>
        <w:tc>
          <w:tcPr>
            <w:tcW w:w="0" w:type="auto"/>
            <w:tcBorders>
              <w:bottom w:val="single" w:sz="4" w:space="0" w:color="auto"/>
            </w:tcBorders>
            <w:shd w:val="clear" w:color="auto" w:fill="auto"/>
          </w:tcPr>
          <w:p w14:paraId="79B490D9"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Energex has departed from the AER’s post-tax revenue model by using the year-on-year tracking method to forecast depreciation of existing assets.  </w:t>
            </w:r>
          </w:p>
          <w:p w14:paraId="1F25BD9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 xml:space="preserve">This is explained in Chapter </w:t>
            </w:r>
            <w:r>
              <w:rPr>
                <w:rFonts w:eastAsia="Calibri"/>
                <w:color w:val="000000"/>
                <w:lang w:eastAsia="en-US"/>
              </w:rPr>
              <w:t>8</w:t>
            </w:r>
            <w:r w:rsidRPr="002056FA">
              <w:rPr>
                <w:rFonts w:eastAsia="Calibri"/>
                <w:color w:val="000000"/>
                <w:lang w:eastAsia="en-US"/>
              </w:rPr>
              <w:t xml:space="preserve"> of Energex’s </w:t>
            </w:r>
            <w:r>
              <w:rPr>
                <w:rFonts w:eastAsia="Calibri"/>
                <w:color w:val="000000"/>
                <w:lang w:eastAsia="en-US"/>
              </w:rPr>
              <w:t>R</w:t>
            </w:r>
            <w:r w:rsidRPr="002056FA">
              <w:rPr>
                <w:rFonts w:eastAsia="Calibri"/>
                <w:color w:val="000000"/>
                <w:lang w:eastAsia="en-US"/>
              </w:rPr>
              <w:t xml:space="preserve">egulatory </w:t>
            </w:r>
            <w:r>
              <w:rPr>
                <w:rFonts w:eastAsia="Calibri"/>
                <w:color w:val="000000"/>
                <w:lang w:eastAsia="en-US"/>
              </w:rPr>
              <w:t>P</w:t>
            </w:r>
            <w:r w:rsidRPr="002056FA">
              <w:rPr>
                <w:rFonts w:eastAsia="Calibri"/>
                <w:color w:val="000000"/>
                <w:lang w:eastAsia="en-US"/>
              </w:rPr>
              <w:t xml:space="preserve">roposal. </w:t>
            </w:r>
          </w:p>
        </w:tc>
      </w:tr>
      <w:tr w:rsidR="009F2CDD" w:rsidRPr="002056FA" w14:paraId="192CAB5D" w14:textId="77777777" w:rsidTr="00E169B4">
        <w:tc>
          <w:tcPr>
            <w:tcW w:w="0" w:type="auto"/>
            <w:shd w:val="clear" w:color="auto" w:fill="D0CECE" w:themeFill="background2" w:themeFillShade="E6"/>
          </w:tcPr>
          <w:p w14:paraId="0375BDE8"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22</w:t>
            </w:r>
          </w:p>
        </w:tc>
        <w:tc>
          <w:tcPr>
            <w:tcW w:w="0" w:type="auto"/>
            <w:shd w:val="clear" w:color="auto" w:fill="D0CECE" w:themeFill="background2" w:themeFillShade="E6"/>
          </w:tcPr>
          <w:p w14:paraId="57033117" w14:textId="77777777" w:rsidR="009F2CDD" w:rsidRPr="002056FA" w:rsidRDefault="009F2CDD" w:rsidP="00E169B4">
            <w:pPr>
              <w:pStyle w:val="TableCopy"/>
              <w:rPr>
                <w:rFonts w:eastAsia="Calibri"/>
                <w:color w:val="000000"/>
                <w:lang w:eastAsia="en-US"/>
              </w:rPr>
            </w:pPr>
            <w:r w:rsidRPr="002056FA">
              <w:rPr>
                <w:rFonts w:eastAsia="Calibri"/>
                <w:b/>
                <w:color w:val="000000"/>
                <w:lang w:eastAsia="en-US"/>
              </w:rPr>
              <w:t>INDICATIVE IMPACT ON ANNUAL ELECTRICITY BILLS</w:t>
            </w:r>
          </w:p>
        </w:tc>
        <w:tc>
          <w:tcPr>
            <w:tcW w:w="0" w:type="auto"/>
            <w:shd w:val="clear" w:color="auto" w:fill="D0CECE" w:themeFill="background2" w:themeFillShade="E6"/>
          </w:tcPr>
          <w:p w14:paraId="307F27F5" w14:textId="77777777" w:rsidR="009F2CDD" w:rsidRPr="002056FA" w:rsidRDefault="009F2CDD" w:rsidP="00E169B4">
            <w:pPr>
              <w:pStyle w:val="TableCopy"/>
              <w:rPr>
                <w:rFonts w:eastAsia="Calibri"/>
                <w:color w:val="000000"/>
                <w:lang w:eastAsia="en-US"/>
              </w:rPr>
            </w:pPr>
          </w:p>
        </w:tc>
      </w:tr>
      <w:tr w:rsidR="009F2CDD" w:rsidRPr="002056FA" w14:paraId="0708B2F9" w14:textId="77777777" w:rsidTr="00E169B4">
        <w:tc>
          <w:tcPr>
            <w:tcW w:w="0" w:type="auto"/>
            <w:shd w:val="clear" w:color="auto" w:fill="auto"/>
          </w:tcPr>
          <w:p w14:paraId="61B6BB97"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22.1</w:t>
            </w:r>
          </w:p>
        </w:tc>
        <w:tc>
          <w:tcPr>
            <w:tcW w:w="0" w:type="auto"/>
            <w:shd w:val="clear" w:color="auto" w:fill="auto"/>
          </w:tcPr>
          <w:p w14:paraId="3A478186" w14:textId="77777777" w:rsidR="009F2CDD" w:rsidRPr="002056FA" w:rsidRDefault="009F2CDD" w:rsidP="00E169B4">
            <w:pPr>
              <w:pStyle w:val="TableCopy"/>
              <w:rPr>
                <w:rFonts w:eastAsia="Calibri"/>
                <w:color w:val="000000"/>
                <w:lang w:eastAsia="en-US"/>
              </w:rPr>
            </w:pPr>
            <w:r w:rsidRPr="002056FA">
              <w:rPr>
                <w:rFonts w:eastAsia="Calibri"/>
                <w:color w:val="000000"/>
                <w:lang w:eastAsia="en-US"/>
              </w:rPr>
              <w:t>For the purposes of calculating the impact of Energex’s regulatory proposal on the annual electricity bill of typical residential and business customers in Energex, provide the data/information required in Workbook 7 – Indicative Bill Impact, regulatory template 7.6. Provide the data source for each input used for the calculation.</w:t>
            </w:r>
          </w:p>
        </w:tc>
        <w:tc>
          <w:tcPr>
            <w:tcW w:w="0" w:type="auto"/>
            <w:shd w:val="clear" w:color="auto" w:fill="auto"/>
          </w:tcPr>
          <w:p w14:paraId="6440BA35" w14:textId="77777777" w:rsidR="009F2CDD" w:rsidRDefault="009F2CDD" w:rsidP="00E169B4">
            <w:pPr>
              <w:spacing w:before="120" w:after="120"/>
              <w:ind w:left="0"/>
              <w:rPr>
                <w:color w:val="548DD4"/>
              </w:rPr>
            </w:pPr>
            <w:r>
              <w:t>Energex has provided the information required in Template 7.6 in “Workbook 7 – Indicative Bill Impact” (</w:t>
            </w:r>
            <w:r w:rsidRPr="004F40EC">
              <w:t>Attachment 17.052).</w:t>
            </w:r>
            <w:r>
              <w:t xml:space="preserve"> </w:t>
            </w:r>
          </w:p>
          <w:p w14:paraId="22347CDD" w14:textId="77777777" w:rsidR="009F2CDD" w:rsidRPr="004F40EC" w:rsidRDefault="009F2CDD" w:rsidP="00E169B4">
            <w:pPr>
              <w:spacing w:before="120" w:after="120"/>
              <w:ind w:left="0"/>
            </w:pPr>
            <w:r w:rsidRPr="004F40EC">
              <w:t>The data source for the information is provided below:</w:t>
            </w:r>
          </w:p>
          <w:p w14:paraId="52A6FC8E" w14:textId="77777777" w:rsidR="009F2CDD" w:rsidRPr="004F40EC" w:rsidRDefault="009F2CDD" w:rsidP="00D517E4">
            <w:pPr>
              <w:pStyle w:val="ListParagraph"/>
              <w:numPr>
                <w:ilvl w:val="0"/>
                <w:numId w:val="18"/>
              </w:numPr>
              <w:spacing w:before="120" w:after="120" w:line="240" w:lineRule="auto"/>
              <w:rPr>
                <w:rFonts w:ascii="Calibri" w:hAnsi="Calibri" w:cs="Calibri"/>
              </w:rPr>
            </w:pPr>
            <w:r w:rsidRPr="004F40EC">
              <w:t xml:space="preserve">The source data for the annual usage per customer in Table A of 7.6.1.1 for the flat tariff is based on the average residential customer or small business customer in Energex’s region, consistent with the definition use for customer impact analysis in the 2020-25 Tariff Structure Statement (Attachment 14.001)  and in the Regulatory Proposal.   For the TOU tariff, this annual usage per customer has been aligned with the energy usage data for a residential and small business customer on a time of use (TOU) </w:t>
            </w:r>
            <w:r w:rsidRPr="004F40EC">
              <w:rPr>
                <w:u w:val="single"/>
              </w:rPr>
              <w:t>energy</w:t>
            </w:r>
            <w:r w:rsidRPr="004F40EC">
              <w:t xml:space="preserve"> tariff, as provided to the Queensland Competition Authority (QCA) and set out in the QCA’s Final determination - Regulated retail electricity prices for 2018–19 (May 2018).  </w:t>
            </w:r>
          </w:p>
          <w:p w14:paraId="6B33BE5B" w14:textId="77777777" w:rsidR="009F2CDD" w:rsidRPr="004F40EC" w:rsidRDefault="009F2CDD" w:rsidP="00D517E4">
            <w:pPr>
              <w:pStyle w:val="ListParagraph"/>
              <w:numPr>
                <w:ilvl w:val="0"/>
                <w:numId w:val="18"/>
              </w:numPr>
              <w:spacing w:before="120" w:after="120" w:line="240" w:lineRule="auto"/>
            </w:pPr>
            <w:r w:rsidRPr="004F40EC">
              <w:t>Note that Energex’s residential TOU energy tariff T8900 has a peak, shoulder and off-peak charging parameter.   Energex’s small business TOU energy tariff T8900 only has a peak and off-peak charging parameter.   For the small business TOU tariff, it has been assumed that 10.1% of consumption occurs during peak time, with the remainder in off peak (which is consistent with the peak and off-peak consumption split in the QCA’s Final determination - Regulated retail electricity prices for 2018–19 (May 2018) for Tariff 22A).  For the residential TOU tariff, it has been assumed that 11% of consumption occurs during peak time (which is consistent with the QCA’s Final Determination  for Tariff 12A), 60% of consumption occurs during off-peak time with the remainder in off peak.   This is because the QCA’ Final Determination does not provide a split between off peak and shoulder periods for residential tariff 12A</w:t>
            </w:r>
          </w:p>
          <w:p w14:paraId="3B1AA30B" w14:textId="77777777" w:rsidR="009F2CDD" w:rsidRPr="004F40EC" w:rsidRDefault="009F2CDD" w:rsidP="00D517E4">
            <w:pPr>
              <w:pStyle w:val="ListParagraph"/>
              <w:numPr>
                <w:ilvl w:val="0"/>
                <w:numId w:val="18"/>
              </w:numPr>
              <w:spacing w:before="120" w:after="120" w:line="240" w:lineRule="auto"/>
            </w:pPr>
            <w:r w:rsidRPr="004F40EC">
              <w:t>The source data for the annual usage per customer in Table B of 7.6.1.1 is calculated based on the QCA’s notified retail price calculations as per the QCA’s Final determination - Regulated retail electricity prices for 2018–19 (May 2018).   This approach is as per agreement with the AER.   Specifically:</w:t>
            </w:r>
          </w:p>
          <w:p w14:paraId="07EDABC0" w14:textId="77777777" w:rsidR="009F2CDD" w:rsidRPr="004F40EC" w:rsidRDefault="009F2CDD" w:rsidP="00D517E4">
            <w:pPr>
              <w:pStyle w:val="ListParagraph"/>
              <w:numPr>
                <w:ilvl w:val="1"/>
                <w:numId w:val="18"/>
              </w:numPr>
              <w:spacing w:before="120" w:after="120" w:line="240" w:lineRule="auto"/>
            </w:pPr>
            <w:r w:rsidRPr="004F40EC">
              <w:t>The retail bill has been calculated based on an “N+R” approach whereby</w:t>
            </w:r>
          </w:p>
          <w:p w14:paraId="43E2948E" w14:textId="77777777" w:rsidR="009F2CDD" w:rsidRDefault="009F2CDD" w:rsidP="00D517E4">
            <w:pPr>
              <w:pStyle w:val="ListParagraph"/>
              <w:numPr>
                <w:ilvl w:val="1"/>
                <w:numId w:val="18"/>
              </w:numPr>
              <w:spacing w:before="120" w:after="120" w:line="240" w:lineRule="auto"/>
            </w:pPr>
            <w:r w:rsidRPr="004F40EC">
              <w:t>For the flat tariff, the “N” is based on the Energex T8400 network tariff for residential customers, and the Energex T8500 network tariff for small business customers.    For the TOU tariff, the “N” is based on the Energex T8900 network tariff for residential customers, and the Energex T8800 network tariff for small business customers</w:t>
            </w:r>
          </w:p>
          <w:p w14:paraId="7661BB2E" w14:textId="77777777" w:rsidR="00E169B4" w:rsidRDefault="00E169B4" w:rsidP="00E169B4">
            <w:pPr>
              <w:pStyle w:val="ListParagraph"/>
              <w:numPr>
                <w:ilvl w:val="1"/>
                <w:numId w:val="18"/>
              </w:numPr>
              <w:spacing w:before="120" w:after="120" w:line="240" w:lineRule="auto"/>
            </w:pPr>
            <w:r w:rsidRPr="004F40EC">
              <w:t xml:space="preserve">For the flat tariff, the “R” is calculated using the QCA’s approach and the retail, wholesale and other cost components that comprise the “R” consistent with the values and approach set out in the  QCA’s Final determination - Regulated retail electricity prices for 2018–19 (May 2018) for “Tariff 11” (residential) and “Tariff 20” (small business).   Similarly for the TOU tariff, the “R” is calculated using the QCA’s approach and the retail, wholesale and other cost components that comprise the “R” consistent with the values and approach set out in the  QCA’s Final determination - Regulated retail electricity prices for 2018–19 (May 2018) for “Tariff 12A” (residential) and “Tariff 22A” (small business).   </w:t>
            </w:r>
          </w:p>
          <w:p w14:paraId="02B2A9B7" w14:textId="77777777" w:rsidR="00E169B4" w:rsidRPr="004F40EC" w:rsidRDefault="00E169B4" w:rsidP="00E169B4">
            <w:pPr>
              <w:pStyle w:val="ListParagraph"/>
              <w:numPr>
                <w:ilvl w:val="0"/>
                <w:numId w:val="18"/>
              </w:numPr>
              <w:spacing w:before="120" w:after="120" w:line="240" w:lineRule="auto"/>
            </w:pPr>
            <w:r w:rsidRPr="004F40EC">
              <w:t>The source data for the distribution costs as a proportion of a typical customer's electricity in Table C of 7.6.1.1 is calculated based on the following calculation:</w:t>
            </w:r>
          </w:p>
          <w:p w14:paraId="1B2593B8" w14:textId="77777777" w:rsidR="00E169B4" w:rsidRPr="004F40EC" w:rsidRDefault="00E169B4" w:rsidP="00E169B4">
            <w:pPr>
              <w:pStyle w:val="ListParagraph"/>
              <w:numPr>
                <w:ilvl w:val="1"/>
                <w:numId w:val="18"/>
              </w:numPr>
              <w:spacing w:before="120" w:after="120" w:line="240" w:lineRule="auto"/>
            </w:pPr>
            <w:r w:rsidRPr="004F40EC">
              <w:t>The network bill calculated using the Energex “N” (For the flat tariff, the T8400 network tariff for residential customers, and the Energex T8500 network tariff for small business customers, and for the TOU tariff, the T8900 network tariff for residential customers, and the Energex T8800 network tariff for small business customers) is divided by</w:t>
            </w:r>
          </w:p>
          <w:p w14:paraId="0BA0C334" w14:textId="77777777" w:rsidR="00E169B4" w:rsidRPr="004F40EC" w:rsidRDefault="00E169B4" w:rsidP="00E169B4">
            <w:pPr>
              <w:pStyle w:val="ListParagraph"/>
              <w:numPr>
                <w:ilvl w:val="1"/>
                <w:numId w:val="18"/>
              </w:numPr>
              <w:spacing w:before="120" w:after="120" w:line="240" w:lineRule="auto"/>
            </w:pPr>
            <w:r w:rsidRPr="004F40EC">
              <w:t>The total retail bill calculated and set out in  Table B of 7.6.1.1</w:t>
            </w:r>
          </w:p>
          <w:p w14:paraId="316D65B4" w14:textId="77777777" w:rsidR="00E169B4" w:rsidRPr="004F40EC" w:rsidRDefault="00E169B4" w:rsidP="00E169B4">
            <w:pPr>
              <w:pStyle w:val="ListParagraph"/>
              <w:numPr>
                <w:ilvl w:val="0"/>
                <w:numId w:val="18"/>
              </w:numPr>
              <w:spacing w:before="120" w:after="120" w:line="240" w:lineRule="auto"/>
            </w:pPr>
            <w:r w:rsidRPr="004F40EC">
              <w:t>The source data for the smoothed nominal and real revenues in table 7.6.1.2 was obtained from the Energex PTRM (Attachment 8.003) submitted as part of the Regulatory Proposal</w:t>
            </w:r>
          </w:p>
          <w:p w14:paraId="4CE36CA0" w14:textId="77777777" w:rsidR="00E169B4" w:rsidRPr="004F40EC" w:rsidRDefault="00E169B4" w:rsidP="00E169B4">
            <w:pPr>
              <w:pStyle w:val="ListParagraph"/>
              <w:numPr>
                <w:ilvl w:val="0"/>
                <w:numId w:val="18"/>
              </w:numPr>
              <w:spacing w:before="120" w:after="120" w:line="240" w:lineRule="auto"/>
            </w:pPr>
            <w:r w:rsidRPr="004F40EC">
              <w:t>The source data for the energy delivered forecast in table 7.6.1.2 is aligned with the energy delivered data set out in the 2020-25 Reset RIN Template 3.4.1 DOPED01</w:t>
            </w:r>
          </w:p>
          <w:p w14:paraId="70F4B21B" w14:textId="4BCB25D8" w:rsidR="00E169B4" w:rsidRPr="004F40EC" w:rsidRDefault="00E169B4" w:rsidP="00E169B4">
            <w:pPr>
              <w:pStyle w:val="ListParagraph"/>
              <w:numPr>
                <w:ilvl w:val="0"/>
                <w:numId w:val="18"/>
              </w:numPr>
              <w:spacing w:before="120" w:after="120" w:line="240" w:lineRule="auto"/>
            </w:pPr>
            <w:r w:rsidRPr="004F40EC">
              <w:t>Energex notes an error in rows 61, 62, 70 and 71 whereby the real regulated tariff and real annual change calculations are incorrectly referring to the nominal regulated tariff values.   These errors have been corrected in the template for Workbook 7 submitted to the AER</w:t>
            </w:r>
          </w:p>
          <w:p w14:paraId="3EBA2ACC" w14:textId="77777777" w:rsidR="009F2CDD" w:rsidRPr="002056FA" w:rsidRDefault="009F2CDD" w:rsidP="00E169B4">
            <w:pPr>
              <w:pStyle w:val="TableCopy"/>
              <w:rPr>
                <w:rFonts w:eastAsia="Calibri"/>
                <w:color w:val="000000"/>
                <w:lang w:eastAsia="en-US"/>
              </w:rPr>
            </w:pPr>
          </w:p>
        </w:tc>
      </w:tr>
      <w:tr w:rsidR="00E169B4" w:rsidRPr="002056FA" w14:paraId="522D5D1B" w14:textId="77777777" w:rsidTr="00E169B4">
        <w:tc>
          <w:tcPr>
            <w:tcW w:w="0" w:type="auto"/>
            <w:tcBorders>
              <w:bottom w:val="single" w:sz="4" w:space="0" w:color="auto"/>
            </w:tcBorders>
            <w:shd w:val="clear" w:color="auto" w:fill="auto"/>
          </w:tcPr>
          <w:p w14:paraId="665E6018" w14:textId="1772F6C1" w:rsidR="00E169B4" w:rsidRPr="002056FA" w:rsidRDefault="00E169B4" w:rsidP="00E169B4">
            <w:pPr>
              <w:pStyle w:val="TableCopy"/>
              <w:rPr>
                <w:rFonts w:eastAsia="Calibri"/>
                <w:color w:val="000000"/>
                <w:lang w:eastAsia="en-US"/>
              </w:rPr>
            </w:pPr>
            <w:r w:rsidRPr="002056FA">
              <w:rPr>
                <w:rFonts w:eastAsia="Calibri"/>
                <w:color w:val="000000"/>
                <w:lang w:eastAsia="en-US"/>
              </w:rPr>
              <w:t>22.2</w:t>
            </w:r>
          </w:p>
        </w:tc>
        <w:tc>
          <w:tcPr>
            <w:tcW w:w="0" w:type="auto"/>
            <w:tcBorders>
              <w:bottom w:val="single" w:sz="4" w:space="0" w:color="auto"/>
            </w:tcBorders>
            <w:shd w:val="clear" w:color="auto" w:fill="auto"/>
          </w:tcPr>
          <w:p w14:paraId="4D99716D" w14:textId="3070FBA4" w:rsidR="00E169B4" w:rsidRPr="002056FA" w:rsidRDefault="00E169B4" w:rsidP="00E169B4">
            <w:pPr>
              <w:pStyle w:val="TableCopy"/>
              <w:rPr>
                <w:rFonts w:eastAsia="Calibri"/>
                <w:color w:val="000000"/>
                <w:lang w:eastAsia="en-US"/>
              </w:rPr>
            </w:pPr>
            <w:r w:rsidRPr="002056FA">
              <w:rPr>
                <w:rFonts w:eastAsia="Calibri"/>
                <w:color w:val="000000"/>
                <w:lang w:eastAsia="en-US"/>
              </w:rPr>
              <w:t>The data/information required in Workbook 7 – Indicative Bill Impact, regulatory template 7.6 is to be provided for the distribution costs of Energex and does not include any data/information in relation to any applicable transmission or jurisdictional scheme pass through costs.</w:t>
            </w:r>
          </w:p>
        </w:tc>
        <w:tc>
          <w:tcPr>
            <w:tcW w:w="0" w:type="auto"/>
            <w:tcBorders>
              <w:bottom w:val="single" w:sz="4" w:space="0" w:color="auto"/>
            </w:tcBorders>
            <w:shd w:val="clear" w:color="auto" w:fill="auto"/>
          </w:tcPr>
          <w:p w14:paraId="12A15458" w14:textId="79729EE3" w:rsidR="00E169B4" w:rsidRDefault="00E169B4" w:rsidP="00E169B4">
            <w:pPr>
              <w:spacing w:before="120" w:after="120"/>
              <w:ind w:left="0"/>
            </w:pPr>
            <w:r w:rsidRPr="002056FA">
              <w:rPr>
                <w:rFonts w:eastAsia="Calibri"/>
                <w:lang w:eastAsia="en-US"/>
              </w:rPr>
              <w:t xml:space="preserve">Energex confirms that the data provided in </w:t>
            </w:r>
            <w:r w:rsidRPr="002056FA">
              <w:rPr>
                <w:rFonts w:eastAsia="Calibri"/>
                <w:iCs/>
                <w:lang w:eastAsia="en-US"/>
              </w:rPr>
              <w:t>Workbook 7 – Indicative Bill Impact</w:t>
            </w:r>
            <w:r w:rsidRPr="002056FA">
              <w:rPr>
                <w:rFonts w:eastAsia="Calibri"/>
                <w:lang w:eastAsia="en-US"/>
              </w:rPr>
              <w:t>, regulatory template 7.6 is provided for the distribution costs of Energex and does not include any data/information in relation to any applicable transmission or jurisdictional scheme pass through costs.</w:t>
            </w:r>
          </w:p>
        </w:tc>
      </w:tr>
      <w:tr w:rsidR="00E169B4" w:rsidRPr="002056FA" w14:paraId="1F22A05F" w14:textId="77777777" w:rsidTr="00E169B4">
        <w:tc>
          <w:tcPr>
            <w:tcW w:w="0" w:type="auto"/>
            <w:shd w:val="clear" w:color="auto" w:fill="D0CECE" w:themeFill="background2" w:themeFillShade="E6"/>
          </w:tcPr>
          <w:p w14:paraId="409087D9" w14:textId="3D466247" w:rsidR="00E169B4" w:rsidRPr="002056FA" w:rsidRDefault="00E169B4" w:rsidP="00E169B4">
            <w:pPr>
              <w:pStyle w:val="TableCopy"/>
              <w:rPr>
                <w:rFonts w:eastAsia="Calibri"/>
                <w:color w:val="000000"/>
                <w:lang w:eastAsia="en-US"/>
              </w:rPr>
            </w:pPr>
            <w:r w:rsidRPr="002056FA">
              <w:rPr>
                <w:rFonts w:eastAsia="Calibri"/>
                <w:b/>
                <w:color w:val="000000"/>
                <w:lang w:eastAsia="en-US"/>
              </w:rPr>
              <w:t>23</w:t>
            </w:r>
          </w:p>
        </w:tc>
        <w:tc>
          <w:tcPr>
            <w:tcW w:w="0" w:type="auto"/>
            <w:shd w:val="clear" w:color="auto" w:fill="D0CECE" w:themeFill="background2" w:themeFillShade="E6"/>
          </w:tcPr>
          <w:p w14:paraId="03B86075" w14:textId="5035025A" w:rsidR="00E169B4" w:rsidRPr="002056FA" w:rsidRDefault="00E169B4" w:rsidP="00E169B4">
            <w:pPr>
              <w:pStyle w:val="TableCopy"/>
              <w:rPr>
                <w:rFonts w:eastAsia="Calibri"/>
                <w:color w:val="000000"/>
                <w:lang w:eastAsia="en-US"/>
              </w:rPr>
            </w:pPr>
            <w:r w:rsidRPr="002056FA">
              <w:rPr>
                <w:rFonts w:eastAsia="Calibri"/>
                <w:b/>
                <w:color w:val="000000"/>
                <w:lang w:eastAsia="en-US"/>
              </w:rPr>
              <w:t xml:space="preserve">PROPOSED TARIFF STRUCTURE STATEMENT </w:t>
            </w:r>
          </w:p>
        </w:tc>
        <w:tc>
          <w:tcPr>
            <w:tcW w:w="0" w:type="auto"/>
            <w:shd w:val="clear" w:color="auto" w:fill="D0CECE" w:themeFill="background2" w:themeFillShade="E6"/>
          </w:tcPr>
          <w:p w14:paraId="53592D10" w14:textId="77777777" w:rsidR="00E169B4" w:rsidRDefault="00E169B4" w:rsidP="00E169B4">
            <w:pPr>
              <w:spacing w:before="120" w:after="120"/>
              <w:ind w:left="0"/>
            </w:pPr>
          </w:p>
        </w:tc>
      </w:tr>
      <w:tr w:rsidR="00E169B4" w:rsidRPr="002056FA" w14:paraId="4E32459C" w14:textId="77777777" w:rsidTr="00E169B4">
        <w:tc>
          <w:tcPr>
            <w:tcW w:w="0" w:type="auto"/>
            <w:shd w:val="clear" w:color="auto" w:fill="auto"/>
          </w:tcPr>
          <w:p w14:paraId="12FFDB2A" w14:textId="79A542AB" w:rsidR="00E169B4" w:rsidRPr="002056FA" w:rsidRDefault="00E169B4" w:rsidP="00E169B4">
            <w:pPr>
              <w:pStyle w:val="TableCopy"/>
              <w:rPr>
                <w:rFonts w:eastAsia="Calibri"/>
                <w:b/>
                <w:color w:val="000000"/>
                <w:lang w:eastAsia="en-US"/>
              </w:rPr>
            </w:pPr>
            <w:r w:rsidRPr="002056FA">
              <w:rPr>
                <w:rFonts w:eastAsia="Calibri"/>
                <w:color w:val="000000"/>
                <w:lang w:eastAsia="en-US"/>
              </w:rPr>
              <w:t>23.1</w:t>
            </w:r>
          </w:p>
        </w:tc>
        <w:tc>
          <w:tcPr>
            <w:tcW w:w="0" w:type="auto"/>
            <w:shd w:val="clear" w:color="auto" w:fill="auto"/>
          </w:tcPr>
          <w:p w14:paraId="7C87948C" w14:textId="53FB8185" w:rsidR="00E169B4" w:rsidRPr="002056FA" w:rsidRDefault="00E169B4" w:rsidP="00E169B4">
            <w:pPr>
              <w:pStyle w:val="TableCopy"/>
              <w:rPr>
                <w:rFonts w:eastAsia="Calibri"/>
                <w:b/>
                <w:color w:val="000000"/>
                <w:lang w:eastAsia="en-US"/>
              </w:rPr>
            </w:pPr>
            <w:r w:rsidRPr="002056FA">
              <w:rPr>
                <w:rFonts w:eastAsia="Calibri"/>
                <w:color w:val="000000"/>
                <w:lang w:eastAsia="en-US"/>
              </w:rPr>
              <w:t>Provide the model(s) used to calculate the long run marginal cost estimates in Energex’s proposed tariff structure statement provided in accordance with the requirements of clauses 6.18.1A(a)(5) and 6.18.5(f) of the NER.</w:t>
            </w:r>
          </w:p>
        </w:tc>
        <w:tc>
          <w:tcPr>
            <w:tcW w:w="0" w:type="auto"/>
            <w:shd w:val="clear" w:color="auto" w:fill="auto"/>
          </w:tcPr>
          <w:p w14:paraId="785ACB32" w14:textId="72A4BEA1" w:rsidR="00E169B4" w:rsidRDefault="00E169B4" w:rsidP="00E169B4">
            <w:pPr>
              <w:spacing w:before="120" w:after="120"/>
              <w:ind w:left="0"/>
            </w:pPr>
            <w:r w:rsidRPr="002D1806">
              <w:rPr>
                <w:rFonts w:eastAsia="Calibri"/>
                <w:lang w:eastAsia="en-US"/>
              </w:rPr>
              <w:t xml:space="preserve">Refer to the </w:t>
            </w:r>
            <w:r>
              <w:rPr>
                <w:rFonts w:eastAsia="Calibri"/>
                <w:lang w:eastAsia="en-US"/>
              </w:rPr>
              <w:t>2020-25 LRMC Model</w:t>
            </w:r>
            <w:r w:rsidRPr="002D1806">
              <w:rPr>
                <w:rFonts w:eastAsia="Calibri"/>
                <w:lang w:eastAsia="en-US"/>
              </w:rPr>
              <w:t xml:space="preserve"> (Attachment 14.008).</w:t>
            </w:r>
          </w:p>
        </w:tc>
      </w:tr>
      <w:tr w:rsidR="00E169B4" w:rsidRPr="002056FA" w14:paraId="3D3ABB9E" w14:textId="77777777" w:rsidTr="00E169B4">
        <w:tc>
          <w:tcPr>
            <w:tcW w:w="0" w:type="auto"/>
            <w:shd w:val="clear" w:color="auto" w:fill="auto"/>
          </w:tcPr>
          <w:p w14:paraId="3DD045D0" w14:textId="113C75B7" w:rsidR="00E169B4" w:rsidRPr="002056FA" w:rsidRDefault="00E169B4" w:rsidP="00E169B4">
            <w:pPr>
              <w:pStyle w:val="TableCopy"/>
              <w:rPr>
                <w:rFonts w:eastAsia="Calibri"/>
                <w:color w:val="000000"/>
                <w:lang w:eastAsia="en-US"/>
              </w:rPr>
            </w:pPr>
            <w:r w:rsidRPr="002056FA">
              <w:rPr>
                <w:rFonts w:eastAsia="Calibri"/>
                <w:color w:val="000000"/>
                <w:lang w:eastAsia="en-US"/>
              </w:rPr>
              <w:t>23.2</w:t>
            </w:r>
          </w:p>
        </w:tc>
        <w:tc>
          <w:tcPr>
            <w:tcW w:w="0" w:type="auto"/>
            <w:shd w:val="clear" w:color="auto" w:fill="auto"/>
          </w:tcPr>
          <w:p w14:paraId="7A131739" w14:textId="577CB4BC" w:rsidR="00E169B4" w:rsidRPr="002056FA" w:rsidRDefault="00E169B4" w:rsidP="00E169B4">
            <w:pPr>
              <w:pStyle w:val="TableCopy"/>
              <w:rPr>
                <w:rFonts w:eastAsia="Calibri"/>
                <w:color w:val="000000"/>
                <w:lang w:eastAsia="en-US"/>
              </w:rPr>
            </w:pPr>
            <w:r w:rsidRPr="002056FA">
              <w:rPr>
                <w:rFonts w:eastAsia="Calibri"/>
                <w:color w:val="000000"/>
                <w:lang w:eastAsia="en-US"/>
              </w:rPr>
              <w:t>Provide and describe the methodology and assumptions used to prepare the long run marginal cost estimates in paragraph 23.1.</w:t>
            </w:r>
          </w:p>
        </w:tc>
        <w:tc>
          <w:tcPr>
            <w:tcW w:w="0" w:type="auto"/>
            <w:shd w:val="clear" w:color="auto" w:fill="auto"/>
          </w:tcPr>
          <w:p w14:paraId="496EDDAB" w14:textId="662E8688" w:rsidR="00E169B4" w:rsidRPr="002D1806" w:rsidRDefault="00E169B4" w:rsidP="00E169B4">
            <w:pPr>
              <w:spacing w:before="120" w:after="120"/>
              <w:ind w:left="0"/>
              <w:rPr>
                <w:rFonts w:eastAsia="Calibri"/>
                <w:lang w:eastAsia="en-US"/>
              </w:rPr>
            </w:pPr>
            <w:r w:rsidRPr="002056FA">
              <w:rPr>
                <w:rFonts w:eastAsia="Calibri"/>
                <w:color w:val="000000"/>
                <w:lang w:eastAsia="en-US"/>
              </w:rPr>
              <w:t xml:space="preserve">Refer to section 6.2 of </w:t>
            </w:r>
            <w:r w:rsidRPr="002056FA">
              <w:rPr>
                <w:rFonts w:eastAsia="Calibri"/>
                <w:iCs/>
                <w:color w:val="000000"/>
                <w:lang w:eastAsia="en-US"/>
              </w:rPr>
              <w:t>Energex</w:t>
            </w:r>
            <w:r w:rsidRPr="002056FA">
              <w:rPr>
                <w:rFonts w:eastAsia="Calibri"/>
                <w:color w:val="000000"/>
                <w:lang w:eastAsia="en-US"/>
              </w:rPr>
              <w:t xml:space="preserve">’s </w:t>
            </w:r>
            <w:r>
              <w:rPr>
                <w:rFonts w:eastAsia="Calibri"/>
                <w:color w:val="000000"/>
                <w:lang w:eastAsia="en-US"/>
              </w:rPr>
              <w:t xml:space="preserve">TSS </w:t>
            </w:r>
            <w:r w:rsidRPr="002056FA">
              <w:rPr>
                <w:rFonts w:eastAsia="Calibri"/>
                <w:color w:val="000000"/>
                <w:lang w:eastAsia="en-US"/>
              </w:rPr>
              <w:t xml:space="preserve">Explanatory Notes </w:t>
            </w:r>
            <w:r>
              <w:rPr>
                <w:rFonts w:eastAsia="Calibri"/>
                <w:color w:val="000000"/>
                <w:lang w:eastAsia="en-US"/>
              </w:rPr>
              <w:t>(Attachment 14.003)</w:t>
            </w:r>
            <w:r w:rsidRPr="002056FA">
              <w:rPr>
                <w:rFonts w:eastAsia="Calibri"/>
                <w:color w:val="000000"/>
                <w:lang w:eastAsia="en-US"/>
              </w:rPr>
              <w:t>.</w:t>
            </w:r>
          </w:p>
        </w:tc>
      </w:tr>
      <w:tr w:rsidR="00E169B4" w:rsidRPr="002056FA" w14:paraId="5E810156" w14:textId="77777777" w:rsidTr="00E169B4">
        <w:tc>
          <w:tcPr>
            <w:tcW w:w="0" w:type="auto"/>
            <w:tcBorders>
              <w:bottom w:val="single" w:sz="4" w:space="0" w:color="auto"/>
            </w:tcBorders>
            <w:shd w:val="clear" w:color="auto" w:fill="auto"/>
          </w:tcPr>
          <w:p w14:paraId="26EBE333" w14:textId="161D192F" w:rsidR="00E169B4" w:rsidRPr="002056FA" w:rsidRDefault="00E169B4" w:rsidP="00E169B4">
            <w:pPr>
              <w:pStyle w:val="TableCopy"/>
              <w:rPr>
                <w:rFonts w:eastAsia="Calibri"/>
                <w:color w:val="000000"/>
                <w:lang w:eastAsia="en-US"/>
              </w:rPr>
            </w:pPr>
            <w:r w:rsidRPr="002056FA">
              <w:rPr>
                <w:rFonts w:eastAsia="Calibri"/>
                <w:color w:val="000000"/>
                <w:lang w:eastAsia="en-US"/>
              </w:rPr>
              <w:t>23.3</w:t>
            </w:r>
          </w:p>
        </w:tc>
        <w:tc>
          <w:tcPr>
            <w:tcW w:w="0" w:type="auto"/>
            <w:tcBorders>
              <w:bottom w:val="single" w:sz="4" w:space="0" w:color="auto"/>
            </w:tcBorders>
            <w:shd w:val="clear" w:color="auto" w:fill="auto"/>
          </w:tcPr>
          <w:p w14:paraId="4277D8D2" w14:textId="755BEADA" w:rsidR="00E169B4" w:rsidRPr="002056FA" w:rsidRDefault="00E169B4" w:rsidP="00E169B4">
            <w:pPr>
              <w:pStyle w:val="TableCopy"/>
              <w:rPr>
                <w:rFonts w:eastAsia="Calibri"/>
                <w:color w:val="000000"/>
                <w:lang w:eastAsia="en-US"/>
              </w:rPr>
            </w:pPr>
            <w:r w:rsidRPr="002056FA">
              <w:rPr>
                <w:rFonts w:eastAsia="Calibri"/>
                <w:color w:val="000000"/>
                <w:lang w:eastAsia="en-US"/>
              </w:rPr>
              <w:t>Describe the relationship between the expenditure, demand and other inputs (as appropriate) used in the model provided under paragraph 23.1 and the expenditure, demand and other forecasts (as appropriate) provided as part of the building block proposal for the forthcoming regulatory control period.</w:t>
            </w:r>
          </w:p>
        </w:tc>
        <w:tc>
          <w:tcPr>
            <w:tcW w:w="0" w:type="auto"/>
            <w:tcBorders>
              <w:bottom w:val="single" w:sz="4" w:space="0" w:color="auto"/>
            </w:tcBorders>
            <w:shd w:val="clear" w:color="auto" w:fill="auto"/>
          </w:tcPr>
          <w:p w14:paraId="624D91AC" w14:textId="77777777" w:rsidR="00E169B4" w:rsidRPr="002056FA" w:rsidRDefault="00E169B4" w:rsidP="00E169B4">
            <w:pPr>
              <w:pStyle w:val="TableCopy"/>
              <w:rPr>
                <w:rFonts w:eastAsia="Calibri"/>
                <w:color w:val="000000"/>
                <w:lang w:eastAsia="en-US"/>
              </w:rPr>
            </w:pPr>
            <w:r w:rsidRPr="002056FA">
              <w:rPr>
                <w:rFonts w:eastAsia="Calibri"/>
                <w:iCs/>
                <w:color w:val="000000"/>
                <w:lang w:eastAsia="en-US"/>
              </w:rPr>
              <w:t>Energex’s</w:t>
            </w:r>
            <w:r w:rsidRPr="002056FA">
              <w:rPr>
                <w:rFonts w:eastAsia="Calibri"/>
                <w:color w:val="000000"/>
                <w:lang w:eastAsia="en-US"/>
              </w:rPr>
              <w:t xml:space="preserve"> approach to calculating </w:t>
            </w:r>
            <w:r>
              <w:rPr>
                <w:rFonts w:eastAsia="Calibri"/>
                <w:color w:val="000000"/>
                <w:lang w:eastAsia="en-US"/>
              </w:rPr>
              <w:t>long run marginal cost (LRMC)</w:t>
            </w:r>
            <w:r w:rsidRPr="002056FA">
              <w:rPr>
                <w:rFonts w:eastAsia="Calibri"/>
                <w:color w:val="000000"/>
                <w:lang w:eastAsia="en-US"/>
              </w:rPr>
              <w:t xml:space="preserve"> does not involve the inclusion of forecast expenditure or demand values that are used in developing the building block proposal.   </w:t>
            </w:r>
          </w:p>
          <w:p w14:paraId="0AC5BA19" w14:textId="54DA63A7" w:rsidR="00E169B4" w:rsidRPr="002056FA" w:rsidRDefault="00E169B4" w:rsidP="00E169B4">
            <w:pPr>
              <w:spacing w:before="120" w:after="120"/>
              <w:ind w:left="0"/>
              <w:rPr>
                <w:rFonts w:eastAsia="Calibri"/>
                <w:color w:val="000000"/>
                <w:lang w:eastAsia="en-US"/>
              </w:rPr>
            </w:pPr>
            <w:r w:rsidRPr="002056FA">
              <w:rPr>
                <w:rFonts w:eastAsia="Calibri"/>
                <w:color w:val="000000"/>
                <w:lang w:eastAsia="en-US"/>
              </w:rPr>
              <w:t xml:space="preserve">For details on how the cost estimates used in the LRMC calculation approach are aligned with those used in the building block proposed, refer to section 6.2 of </w:t>
            </w:r>
            <w:r w:rsidRPr="002056FA">
              <w:rPr>
                <w:rFonts w:eastAsia="Calibri"/>
                <w:iCs/>
                <w:color w:val="000000"/>
                <w:lang w:eastAsia="en-US"/>
              </w:rPr>
              <w:t>Energex</w:t>
            </w:r>
            <w:r w:rsidRPr="002056FA">
              <w:rPr>
                <w:rFonts w:eastAsia="Calibri"/>
                <w:color w:val="000000"/>
                <w:lang w:eastAsia="en-US"/>
              </w:rPr>
              <w:t xml:space="preserve">’s </w:t>
            </w:r>
            <w:r>
              <w:rPr>
                <w:rFonts w:eastAsia="Calibri"/>
                <w:color w:val="000000"/>
                <w:lang w:eastAsia="en-US"/>
              </w:rPr>
              <w:t xml:space="preserve">TSS </w:t>
            </w:r>
            <w:r w:rsidRPr="002056FA">
              <w:rPr>
                <w:rFonts w:eastAsia="Calibri"/>
                <w:color w:val="000000"/>
                <w:lang w:eastAsia="en-US"/>
              </w:rPr>
              <w:t xml:space="preserve">Explanatory Notes </w:t>
            </w:r>
            <w:r>
              <w:rPr>
                <w:rFonts w:eastAsia="Calibri"/>
                <w:color w:val="000000"/>
                <w:lang w:eastAsia="en-US"/>
              </w:rPr>
              <w:t>(Attachment 14.003)</w:t>
            </w:r>
            <w:r w:rsidRPr="002056FA">
              <w:rPr>
                <w:rFonts w:eastAsia="Calibri"/>
                <w:color w:val="000000"/>
                <w:lang w:eastAsia="en-US"/>
              </w:rPr>
              <w:t>.</w:t>
            </w:r>
          </w:p>
        </w:tc>
      </w:tr>
      <w:tr w:rsidR="00E169B4" w:rsidRPr="002056FA" w14:paraId="042DA974" w14:textId="77777777" w:rsidTr="00E169B4">
        <w:tc>
          <w:tcPr>
            <w:tcW w:w="0" w:type="auto"/>
            <w:tcBorders>
              <w:bottom w:val="single" w:sz="4" w:space="0" w:color="auto"/>
            </w:tcBorders>
            <w:shd w:val="clear" w:color="auto" w:fill="D0CECE" w:themeFill="background2" w:themeFillShade="E6"/>
          </w:tcPr>
          <w:p w14:paraId="0EC4886C" w14:textId="66CA6BA1" w:rsidR="00E169B4" w:rsidRPr="002056FA" w:rsidRDefault="00E169B4" w:rsidP="00E169B4">
            <w:pPr>
              <w:pStyle w:val="TableCopy"/>
              <w:rPr>
                <w:rFonts w:eastAsia="Calibri"/>
                <w:color w:val="000000"/>
                <w:lang w:eastAsia="en-US"/>
              </w:rPr>
            </w:pPr>
            <w:r w:rsidRPr="002056FA">
              <w:rPr>
                <w:rFonts w:eastAsia="Calibri"/>
                <w:color w:val="000000"/>
                <w:lang w:eastAsia="en-US"/>
              </w:rPr>
              <w:t>24.</w:t>
            </w:r>
          </w:p>
        </w:tc>
        <w:tc>
          <w:tcPr>
            <w:tcW w:w="0" w:type="auto"/>
            <w:tcBorders>
              <w:bottom w:val="single" w:sz="4" w:space="0" w:color="auto"/>
            </w:tcBorders>
            <w:shd w:val="clear" w:color="auto" w:fill="D0CECE" w:themeFill="background2" w:themeFillShade="E6"/>
          </w:tcPr>
          <w:p w14:paraId="24B260F8" w14:textId="7E8FEAEF" w:rsidR="00E169B4" w:rsidRPr="002056FA" w:rsidRDefault="00E169B4" w:rsidP="00E169B4">
            <w:pPr>
              <w:pStyle w:val="TableCopy"/>
              <w:rPr>
                <w:rFonts w:eastAsia="Calibri"/>
                <w:color w:val="000000"/>
                <w:lang w:eastAsia="en-US"/>
              </w:rPr>
            </w:pPr>
            <w:r w:rsidRPr="002056FA">
              <w:rPr>
                <w:rFonts w:eastAsia="Calibri"/>
                <w:b/>
                <w:color w:val="000000"/>
                <w:lang w:eastAsia="en-US"/>
              </w:rPr>
              <w:t>RATE OF RETURN FOR THE PROJECTED CAPITAL BASE</w:t>
            </w:r>
          </w:p>
        </w:tc>
        <w:tc>
          <w:tcPr>
            <w:tcW w:w="0" w:type="auto"/>
            <w:tcBorders>
              <w:bottom w:val="single" w:sz="4" w:space="0" w:color="auto"/>
            </w:tcBorders>
            <w:shd w:val="clear" w:color="auto" w:fill="D0CECE" w:themeFill="background2" w:themeFillShade="E6"/>
          </w:tcPr>
          <w:p w14:paraId="6A3EBEE1" w14:textId="77777777" w:rsidR="00E169B4" w:rsidRPr="002056FA" w:rsidRDefault="00E169B4" w:rsidP="00E169B4">
            <w:pPr>
              <w:pStyle w:val="TableCopy"/>
              <w:rPr>
                <w:rFonts w:eastAsia="Calibri"/>
                <w:iCs/>
                <w:color w:val="000000"/>
                <w:lang w:eastAsia="en-US"/>
              </w:rPr>
            </w:pPr>
          </w:p>
        </w:tc>
      </w:tr>
      <w:tr w:rsidR="00E169B4" w:rsidRPr="002056FA" w14:paraId="778514B3" w14:textId="77777777" w:rsidTr="00E169B4">
        <w:tc>
          <w:tcPr>
            <w:tcW w:w="0" w:type="auto"/>
            <w:shd w:val="clear" w:color="auto" w:fill="D0CECE" w:themeFill="background2" w:themeFillShade="E6"/>
          </w:tcPr>
          <w:p w14:paraId="0CA485D4" w14:textId="47781F2C" w:rsidR="00E169B4" w:rsidRPr="002056FA" w:rsidRDefault="00E169B4" w:rsidP="00E169B4">
            <w:pPr>
              <w:pStyle w:val="TableCopy"/>
              <w:rPr>
                <w:rFonts w:eastAsia="Calibri"/>
                <w:color w:val="000000"/>
                <w:lang w:eastAsia="en-US"/>
              </w:rPr>
            </w:pPr>
            <w:r w:rsidRPr="002056FA">
              <w:rPr>
                <w:rFonts w:eastAsia="Calibri"/>
                <w:color w:val="000000"/>
                <w:lang w:eastAsia="en-US"/>
              </w:rPr>
              <w:t>24.1</w:t>
            </w:r>
          </w:p>
        </w:tc>
        <w:tc>
          <w:tcPr>
            <w:tcW w:w="0" w:type="auto"/>
            <w:shd w:val="clear" w:color="auto" w:fill="D0CECE" w:themeFill="background2" w:themeFillShade="E6"/>
          </w:tcPr>
          <w:p w14:paraId="1EAEDCC0" w14:textId="6650B678" w:rsidR="00E169B4" w:rsidRPr="002056FA" w:rsidRDefault="00E169B4" w:rsidP="00E169B4">
            <w:pPr>
              <w:pStyle w:val="TableCopy"/>
              <w:rPr>
                <w:rFonts w:eastAsia="Calibri"/>
                <w:b/>
                <w:color w:val="000000"/>
                <w:lang w:eastAsia="en-US"/>
              </w:rPr>
            </w:pPr>
            <w:r w:rsidRPr="002056FA">
              <w:rPr>
                <w:rFonts w:eastAsia="Calibri"/>
                <w:color w:val="000000"/>
                <w:lang w:eastAsia="en-US"/>
              </w:rPr>
              <w:t>The Rate of Return Guideline sets out:</w:t>
            </w:r>
          </w:p>
        </w:tc>
        <w:tc>
          <w:tcPr>
            <w:tcW w:w="0" w:type="auto"/>
            <w:shd w:val="clear" w:color="auto" w:fill="D0CECE" w:themeFill="background2" w:themeFillShade="E6"/>
          </w:tcPr>
          <w:p w14:paraId="35577736" w14:textId="77777777" w:rsidR="00E169B4" w:rsidRPr="002056FA" w:rsidRDefault="00E169B4" w:rsidP="00E169B4">
            <w:pPr>
              <w:pStyle w:val="TableCopy"/>
              <w:rPr>
                <w:rFonts w:eastAsia="Calibri"/>
                <w:iCs/>
                <w:color w:val="000000"/>
                <w:lang w:eastAsia="en-US"/>
              </w:rPr>
            </w:pPr>
          </w:p>
        </w:tc>
      </w:tr>
      <w:tr w:rsidR="00E169B4" w:rsidRPr="002056FA" w14:paraId="4E34FC06" w14:textId="77777777" w:rsidTr="00E169B4">
        <w:tc>
          <w:tcPr>
            <w:tcW w:w="0" w:type="auto"/>
            <w:shd w:val="clear" w:color="auto" w:fill="D0CECE" w:themeFill="background2" w:themeFillShade="E6"/>
          </w:tcPr>
          <w:p w14:paraId="7EAB5613" w14:textId="61B544AD" w:rsidR="00E169B4" w:rsidRPr="002056FA" w:rsidRDefault="00E169B4" w:rsidP="00E169B4">
            <w:pPr>
              <w:pStyle w:val="TableCopy"/>
              <w:rPr>
                <w:rFonts w:eastAsia="Calibri"/>
                <w:color w:val="000000"/>
                <w:lang w:eastAsia="en-US"/>
              </w:rPr>
            </w:pPr>
            <w:r w:rsidRPr="002056FA">
              <w:rPr>
                <w:rFonts w:eastAsia="Calibri"/>
                <w:color w:val="000000"/>
                <w:lang w:eastAsia="en-US"/>
              </w:rPr>
              <w:t>24.1(a)</w:t>
            </w:r>
          </w:p>
        </w:tc>
        <w:tc>
          <w:tcPr>
            <w:tcW w:w="0" w:type="auto"/>
            <w:shd w:val="clear" w:color="auto" w:fill="D0CECE" w:themeFill="background2" w:themeFillShade="E6"/>
          </w:tcPr>
          <w:p w14:paraId="0E12104A" w14:textId="02187A2B" w:rsidR="00E169B4" w:rsidRPr="002056FA" w:rsidRDefault="00E169B4" w:rsidP="00E169B4">
            <w:pPr>
              <w:pStyle w:val="TableCopy"/>
              <w:rPr>
                <w:rFonts w:eastAsia="Calibri"/>
                <w:color w:val="000000"/>
                <w:lang w:eastAsia="en-US"/>
              </w:rPr>
            </w:pPr>
            <w:r w:rsidRPr="002056FA">
              <w:rPr>
                <w:rFonts w:eastAsia="Calibri"/>
                <w:color w:val="000000"/>
                <w:lang w:eastAsia="en-US"/>
              </w:rPr>
              <w:t>the AER’s proposed positions on the elements for assessing the rate of return including the return on equity and return on debt;</w:t>
            </w:r>
          </w:p>
        </w:tc>
        <w:tc>
          <w:tcPr>
            <w:tcW w:w="0" w:type="auto"/>
            <w:shd w:val="clear" w:color="auto" w:fill="D0CECE" w:themeFill="background2" w:themeFillShade="E6"/>
          </w:tcPr>
          <w:p w14:paraId="6607A43F" w14:textId="77777777" w:rsidR="00E169B4" w:rsidRPr="002056FA" w:rsidRDefault="00E169B4" w:rsidP="00E169B4">
            <w:pPr>
              <w:pStyle w:val="TableCopy"/>
              <w:rPr>
                <w:rFonts w:eastAsia="Calibri"/>
                <w:iCs/>
                <w:color w:val="000000"/>
                <w:lang w:eastAsia="en-US"/>
              </w:rPr>
            </w:pPr>
          </w:p>
        </w:tc>
      </w:tr>
      <w:tr w:rsidR="00E169B4" w:rsidRPr="002056FA" w14:paraId="44EB8369" w14:textId="77777777" w:rsidTr="00E169B4">
        <w:tc>
          <w:tcPr>
            <w:tcW w:w="0" w:type="auto"/>
            <w:shd w:val="clear" w:color="auto" w:fill="D0CECE" w:themeFill="background2" w:themeFillShade="E6"/>
          </w:tcPr>
          <w:p w14:paraId="32B9A5C5" w14:textId="1A1D1CF4" w:rsidR="00E169B4" w:rsidRPr="002056FA" w:rsidRDefault="00E169B4" w:rsidP="00E169B4">
            <w:pPr>
              <w:pStyle w:val="TableCopy"/>
              <w:rPr>
                <w:rFonts w:eastAsia="Calibri"/>
                <w:color w:val="000000"/>
                <w:lang w:eastAsia="en-US"/>
              </w:rPr>
            </w:pPr>
            <w:r w:rsidRPr="002056FA">
              <w:rPr>
                <w:rFonts w:eastAsia="Calibri"/>
                <w:color w:val="000000"/>
                <w:lang w:eastAsia="en-US"/>
              </w:rPr>
              <w:t>24.1(b)</w:t>
            </w:r>
          </w:p>
        </w:tc>
        <w:tc>
          <w:tcPr>
            <w:tcW w:w="0" w:type="auto"/>
            <w:shd w:val="clear" w:color="auto" w:fill="D0CECE" w:themeFill="background2" w:themeFillShade="E6"/>
          </w:tcPr>
          <w:p w14:paraId="17193882" w14:textId="69EC6CE4" w:rsidR="00E169B4" w:rsidRPr="002056FA" w:rsidRDefault="00E169B4" w:rsidP="00E169B4">
            <w:pPr>
              <w:pStyle w:val="TableCopy"/>
              <w:rPr>
                <w:rFonts w:eastAsia="Calibri"/>
                <w:color w:val="000000"/>
                <w:lang w:eastAsia="en-US"/>
              </w:rPr>
            </w:pPr>
            <w:r w:rsidRPr="002056FA">
              <w:rPr>
                <w:rFonts w:eastAsia="Calibri"/>
                <w:color w:val="000000"/>
                <w:lang w:eastAsia="en-US"/>
              </w:rPr>
              <w:t>the estimation methods, financial models, market data and other evidence that the AER proposes to take into account when estimating the allowed rate of return;</w:t>
            </w:r>
          </w:p>
        </w:tc>
        <w:tc>
          <w:tcPr>
            <w:tcW w:w="0" w:type="auto"/>
            <w:shd w:val="clear" w:color="auto" w:fill="D0CECE" w:themeFill="background2" w:themeFillShade="E6"/>
          </w:tcPr>
          <w:p w14:paraId="3D9980B5" w14:textId="77777777" w:rsidR="00E169B4" w:rsidRPr="002056FA" w:rsidRDefault="00E169B4" w:rsidP="00E169B4">
            <w:pPr>
              <w:pStyle w:val="TableCopy"/>
              <w:rPr>
                <w:rFonts w:eastAsia="Calibri"/>
                <w:iCs/>
                <w:color w:val="000000"/>
                <w:lang w:eastAsia="en-US"/>
              </w:rPr>
            </w:pPr>
          </w:p>
        </w:tc>
      </w:tr>
      <w:tr w:rsidR="00E169B4" w:rsidRPr="002056FA" w14:paraId="424CA1A3" w14:textId="77777777" w:rsidTr="00E169B4">
        <w:tc>
          <w:tcPr>
            <w:tcW w:w="0" w:type="auto"/>
            <w:shd w:val="clear" w:color="auto" w:fill="D0CECE" w:themeFill="background2" w:themeFillShade="E6"/>
          </w:tcPr>
          <w:p w14:paraId="0133BC54" w14:textId="10E1CA34" w:rsidR="00E169B4" w:rsidRPr="002056FA" w:rsidRDefault="00E169B4" w:rsidP="00E169B4">
            <w:pPr>
              <w:pStyle w:val="TableCopy"/>
              <w:rPr>
                <w:rFonts w:eastAsia="Calibri"/>
                <w:color w:val="000000"/>
                <w:lang w:eastAsia="en-US"/>
              </w:rPr>
            </w:pPr>
            <w:r w:rsidRPr="002056FA">
              <w:rPr>
                <w:rFonts w:eastAsia="Calibri"/>
                <w:color w:val="000000"/>
                <w:lang w:eastAsia="en-US"/>
              </w:rPr>
              <w:t>24.1(c)</w:t>
            </w:r>
          </w:p>
        </w:tc>
        <w:tc>
          <w:tcPr>
            <w:tcW w:w="0" w:type="auto"/>
            <w:shd w:val="clear" w:color="auto" w:fill="D0CECE" w:themeFill="background2" w:themeFillShade="E6"/>
          </w:tcPr>
          <w:p w14:paraId="38CC8BCD" w14:textId="4116D427" w:rsidR="00E169B4" w:rsidRPr="002056FA" w:rsidRDefault="00E169B4" w:rsidP="00E169B4">
            <w:pPr>
              <w:pStyle w:val="TableCopy"/>
              <w:rPr>
                <w:rFonts w:eastAsia="Calibri"/>
                <w:color w:val="000000"/>
                <w:lang w:eastAsia="en-US"/>
              </w:rPr>
            </w:pPr>
            <w:r w:rsidRPr="002056FA">
              <w:rPr>
                <w:rFonts w:eastAsia="Calibri"/>
                <w:color w:val="000000"/>
                <w:lang w:eastAsia="en-US"/>
              </w:rPr>
              <w:t>the way in which the AER proposes to take into account the estimation methods, financial models, market data or other evidence.</w:t>
            </w:r>
          </w:p>
        </w:tc>
        <w:tc>
          <w:tcPr>
            <w:tcW w:w="0" w:type="auto"/>
            <w:shd w:val="clear" w:color="auto" w:fill="D0CECE" w:themeFill="background2" w:themeFillShade="E6"/>
          </w:tcPr>
          <w:p w14:paraId="1A1C148A" w14:textId="77777777" w:rsidR="00E169B4" w:rsidRPr="002056FA" w:rsidRDefault="00E169B4" w:rsidP="00E169B4">
            <w:pPr>
              <w:pStyle w:val="TableCopy"/>
              <w:rPr>
                <w:rFonts w:eastAsia="Calibri"/>
                <w:iCs/>
                <w:color w:val="000000"/>
                <w:lang w:eastAsia="en-US"/>
              </w:rPr>
            </w:pPr>
          </w:p>
        </w:tc>
      </w:tr>
      <w:tr w:rsidR="00E169B4" w:rsidRPr="002056FA" w14:paraId="32127CA7" w14:textId="77777777" w:rsidTr="00E169B4">
        <w:tc>
          <w:tcPr>
            <w:tcW w:w="0" w:type="auto"/>
            <w:shd w:val="clear" w:color="auto" w:fill="auto"/>
          </w:tcPr>
          <w:p w14:paraId="4A9E2C4B" w14:textId="0A44DE80" w:rsidR="00E169B4" w:rsidRPr="002056FA" w:rsidRDefault="00E169B4" w:rsidP="00E169B4">
            <w:pPr>
              <w:pStyle w:val="TableCopy"/>
              <w:rPr>
                <w:rFonts w:eastAsia="Calibri"/>
                <w:color w:val="000000"/>
                <w:lang w:eastAsia="en-US"/>
              </w:rPr>
            </w:pPr>
            <w:r w:rsidRPr="002056FA">
              <w:rPr>
                <w:rFonts w:eastAsia="Calibri"/>
                <w:color w:val="000000"/>
                <w:lang w:eastAsia="en-US"/>
              </w:rPr>
              <w:t>24.2</w:t>
            </w:r>
          </w:p>
        </w:tc>
        <w:tc>
          <w:tcPr>
            <w:tcW w:w="0" w:type="auto"/>
            <w:shd w:val="clear" w:color="auto" w:fill="auto"/>
          </w:tcPr>
          <w:p w14:paraId="31161A48" w14:textId="0F188116" w:rsidR="00E169B4" w:rsidRPr="002056FA" w:rsidRDefault="00E169B4" w:rsidP="00E169B4">
            <w:pPr>
              <w:pStyle w:val="TableCopy"/>
              <w:rPr>
                <w:rFonts w:eastAsia="Calibri"/>
                <w:color w:val="000000"/>
                <w:lang w:eastAsia="en-US"/>
              </w:rPr>
            </w:pPr>
            <w:r w:rsidRPr="002056FA">
              <w:rPr>
                <w:rFonts w:eastAsia="Calibri"/>
                <w:color w:val="000000"/>
                <w:lang w:eastAsia="en-US"/>
              </w:rPr>
              <w:t>If Energex proposes any departures from the methods, etc. referenced in subsections 24.1(a) or (b), provide the reasons for this departure, and also provide;</w:t>
            </w:r>
          </w:p>
        </w:tc>
        <w:tc>
          <w:tcPr>
            <w:tcW w:w="0" w:type="auto"/>
            <w:shd w:val="clear" w:color="auto" w:fill="auto"/>
          </w:tcPr>
          <w:p w14:paraId="37FAF840" w14:textId="3A1CDF64" w:rsidR="00E169B4" w:rsidRPr="002056FA" w:rsidRDefault="00E169B4" w:rsidP="00E169B4">
            <w:pPr>
              <w:pStyle w:val="TableCopy"/>
              <w:rPr>
                <w:rFonts w:eastAsia="Calibri"/>
                <w:iCs/>
                <w:color w:val="000000"/>
                <w:lang w:eastAsia="en-US"/>
              </w:rPr>
            </w:pPr>
            <w:r w:rsidRPr="002056FA">
              <w:rPr>
                <w:rFonts w:eastAsia="Calibri"/>
                <w:color w:val="000000"/>
                <w:lang w:eastAsia="en-US"/>
              </w:rPr>
              <w:t xml:space="preserve">Energex is not proposing any departures from the methods set out in the AER’s Rate of Return Guideline. </w:t>
            </w:r>
          </w:p>
        </w:tc>
      </w:tr>
      <w:tr w:rsidR="00E169B4" w:rsidRPr="002056FA" w14:paraId="62569246" w14:textId="77777777" w:rsidTr="00E169B4">
        <w:tc>
          <w:tcPr>
            <w:tcW w:w="0" w:type="auto"/>
            <w:tcBorders>
              <w:bottom w:val="single" w:sz="4" w:space="0" w:color="auto"/>
            </w:tcBorders>
            <w:shd w:val="clear" w:color="auto" w:fill="auto"/>
          </w:tcPr>
          <w:p w14:paraId="3C196F86" w14:textId="2E366577" w:rsidR="00E169B4" w:rsidRPr="002056FA" w:rsidRDefault="00E169B4" w:rsidP="00E169B4">
            <w:pPr>
              <w:pStyle w:val="TableCopy"/>
              <w:rPr>
                <w:rFonts w:eastAsia="Calibri"/>
                <w:color w:val="000000"/>
                <w:lang w:eastAsia="en-US"/>
              </w:rPr>
            </w:pPr>
            <w:r w:rsidRPr="002056FA">
              <w:rPr>
                <w:rFonts w:eastAsia="Calibri"/>
                <w:color w:val="000000"/>
                <w:lang w:eastAsia="en-US"/>
              </w:rPr>
              <w:t>24.2(c), (d)</w:t>
            </w:r>
          </w:p>
        </w:tc>
        <w:tc>
          <w:tcPr>
            <w:tcW w:w="0" w:type="auto"/>
            <w:tcBorders>
              <w:bottom w:val="single" w:sz="4" w:space="0" w:color="auto"/>
            </w:tcBorders>
            <w:shd w:val="clear" w:color="auto" w:fill="auto"/>
          </w:tcPr>
          <w:p w14:paraId="36D82DAA" w14:textId="77DF5E7E" w:rsidR="00E169B4" w:rsidRPr="002056FA" w:rsidRDefault="00E169B4" w:rsidP="00E169B4">
            <w:pPr>
              <w:pStyle w:val="TableCopy"/>
              <w:rPr>
                <w:rFonts w:eastAsia="Calibri"/>
                <w:color w:val="000000"/>
                <w:lang w:eastAsia="en-US"/>
              </w:rPr>
            </w:pPr>
            <w:r w:rsidRPr="002056FA">
              <w:rPr>
                <w:rFonts w:eastAsia="Calibri"/>
                <w:color w:val="000000"/>
                <w:lang w:eastAsia="en-US"/>
              </w:rPr>
              <w:t>a description of Energex’s actual debt and equity raising costs; and an explanation of the methodology which Energex is proposing for the expenditure required to compensate for debt and equity raising costs.</w:t>
            </w:r>
          </w:p>
        </w:tc>
        <w:tc>
          <w:tcPr>
            <w:tcW w:w="0" w:type="auto"/>
            <w:tcBorders>
              <w:bottom w:val="single" w:sz="4" w:space="0" w:color="auto"/>
            </w:tcBorders>
            <w:shd w:val="clear" w:color="auto" w:fill="auto"/>
          </w:tcPr>
          <w:p w14:paraId="1E5C9F43" w14:textId="4F3906ED" w:rsidR="00E169B4" w:rsidRPr="002056FA" w:rsidRDefault="00E169B4" w:rsidP="00E169B4">
            <w:pPr>
              <w:pStyle w:val="TableCopy"/>
              <w:rPr>
                <w:rFonts w:eastAsia="Calibri"/>
                <w:color w:val="000000"/>
                <w:lang w:eastAsia="en-US"/>
              </w:rPr>
            </w:pPr>
            <w:r>
              <w:rPr>
                <w:rFonts w:eastAsia="Calibri"/>
                <w:color w:val="000000"/>
                <w:lang w:eastAsia="en-US"/>
              </w:rPr>
              <w:t>Refer to Chapter 9 of Energex’s</w:t>
            </w:r>
            <w:r w:rsidRPr="002056FA">
              <w:rPr>
                <w:rFonts w:eastAsia="Calibri"/>
                <w:color w:val="000000"/>
                <w:lang w:eastAsia="en-US"/>
              </w:rPr>
              <w:t xml:space="preserve"> Regulatory Proposal.</w:t>
            </w:r>
          </w:p>
        </w:tc>
      </w:tr>
      <w:tr w:rsidR="00E169B4" w:rsidRPr="002056FA" w14:paraId="4BE0003D" w14:textId="77777777" w:rsidTr="00E169B4">
        <w:tc>
          <w:tcPr>
            <w:tcW w:w="0" w:type="auto"/>
            <w:tcBorders>
              <w:bottom w:val="single" w:sz="4" w:space="0" w:color="auto"/>
            </w:tcBorders>
            <w:shd w:val="clear" w:color="auto" w:fill="D0CECE" w:themeFill="background2" w:themeFillShade="E6"/>
          </w:tcPr>
          <w:p w14:paraId="52D9F0E9" w14:textId="77777777" w:rsidR="00E169B4" w:rsidRPr="002056FA" w:rsidRDefault="00E169B4" w:rsidP="00E169B4">
            <w:pPr>
              <w:pStyle w:val="TableCopy"/>
              <w:rPr>
                <w:rFonts w:eastAsia="Calibri"/>
                <w:color w:val="000000"/>
                <w:lang w:eastAsia="en-US"/>
              </w:rPr>
            </w:pPr>
          </w:p>
        </w:tc>
        <w:tc>
          <w:tcPr>
            <w:tcW w:w="0" w:type="auto"/>
            <w:tcBorders>
              <w:bottom w:val="single" w:sz="4" w:space="0" w:color="auto"/>
            </w:tcBorders>
            <w:shd w:val="clear" w:color="auto" w:fill="D0CECE" w:themeFill="background2" w:themeFillShade="E6"/>
          </w:tcPr>
          <w:p w14:paraId="6B75FBF9" w14:textId="77777777" w:rsidR="00E169B4" w:rsidRPr="002056FA" w:rsidRDefault="00E169B4" w:rsidP="00E169B4">
            <w:pPr>
              <w:pStyle w:val="TableCopy"/>
              <w:rPr>
                <w:rFonts w:eastAsia="Calibri"/>
                <w:color w:val="000000"/>
                <w:lang w:eastAsia="en-US"/>
              </w:rPr>
            </w:pPr>
            <w:r w:rsidRPr="002056FA">
              <w:rPr>
                <w:rFonts w:eastAsia="Calibri"/>
                <w:color w:val="000000"/>
                <w:lang w:eastAsia="en-US"/>
              </w:rPr>
              <w:t>Note: If the binding rate of return legislation is passed prior to the final RIN being completed and returned to the AER by Energex, the above sections (24.1 and 24.2) should be deleted and replaced by the following drafting (and followed):</w:t>
            </w:r>
          </w:p>
          <w:p w14:paraId="0DFBFE14" w14:textId="28507B2A" w:rsidR="00E169B4" w:rsidRPr="002056FA" w:rsidRDefault="00E169B4" w:rsidP="00E169B4">
            <w:pPr>
              <w:pStyle w:val="TableCopy"/>
              <w:rPr>
                <w:rFonts w:eastAsia="Calibri"/>
                <w:color w:val="000000"/>
                <w:lang w:eastAsia="en-US"/>
              </w:rPr>
            </w:pPr>
            <w:r w:rsidRPr="002056FA">
              <w:rPr>
                <w:rFonts w:eastAsia="Calibri"/>
                <w:color w:val="000000"/>
                <w:lang w:eastAsia="en-US"/>
              </w:rPr>
              <w:t>24.1 The Rate of Return Guideline sets out how the rate of return will be calculated.</w:t>
            </w:r>
          </w:p>
        </w:tc>
        <w:tc>
          <w:tcPr>
            <w:tcW w:w="0" w:type="auto"/>
            <w:tcBorders>
              <w:bottom w:val="single" w:sz="4" w:space="0" w:color="auto"/>
            </w:tcBorders>
            <w:shd w:val="clear" w:color="auto" w:fill="D0CECE" w:themeFill="background2" w:themeFillShade="E6"/>
          </w:tcPr>
          <w:p w14:paraId="174EFA2B" w14:textId="77777777" w:rsidR="00E169B4" w:rsidRDefault="00E169B4" w:rsidP="00E169B4">
            <w:pPr>
              <w:pStyle w:val="TableCopy"/>
              <w:rPr>
                <w:rFonts w:eastAsia="Calibri"/>
                <w:color w:val="000000"/>
                <w:lang w:eastAsia="en-US"/>
              </w:rPr>
            </w:pPr>
          </w:p>
        </w:tc>
      </w:tr>
      <w:tr w:rsidR="00E169B4" w:rsidRPr="002056FA" w14:paraId="48D8060A" w14:textId="77777777" w:rsidTr="00E169B4">
        <w:tc>
          <w:tcPr>
            <w:tcW w:w="0" w:type="auto"/>
            <w:shd w:val="clear" w:color="auto" w:fill="D0CECE" w:themeFill="background2" w:themeFillShade="E6"/>
          </w:tcPr>
          <w:p w14:paraId="04A35CBD" w14:textId="226C76D7" w:rsidR="00E169B4" w:rsidRPr="002056FA" w:rsidRDefault="00E169B4" w:rsidP="00E169B4">
            <w:pPr>
              <w:pStyle w:val="TableCopy"/>
              <w:rPr>
                <w:rFonts w:eastAsia="Calibri"/>
                <w:color w:val="000000"/>
                <w:lang w:eastAsia="en-US"/>
              </w:rPr>
            </w:pPr>
            <w:r w:rsidRPr="002056FA">
              <w:rPr>
                <w:rFonts w:eastAsia="Calibri"/>
                <w:b/>
                <w:color w:val="000000"/>
                <w:lang w:eastAsia="en-US"/>
              </w:rPr>
              <w:t>25</w:t>
            </w:r>
          </w:p>
        </w:tc>
        <w:tc>
          <w:tcPr>
            <w:tcW w:w="0" w:type="auto"/>
            <w:shd w:val="clear" w:color="auto" w:fill="D0CECE" w:themeFill="background2" w:themeFillShade="E6"/>
          </w:tcPr>
          <w:p w14:paraId="0A296973" w14:textId="3617DB57" w:rsidR="00E169B4" w:rsidRPr="002056FA" w:rsidRDefault="00E169B4" w:rsidP="00E169B4">
            <w:pPr>
              <w:pStyle w:val="TableCopy"/>
              <w:rPr>
                <w:rFonts w:eastAsia="Calibri"/>
                <w:color w:val="000000"/>
                <w:lang w:eastAsia="en-US"/>
              </w:rPr>
            </w:pPr>
            <w:r w:rsidRPr="002056FA">
              <w:rPr>
                <w:rFonts w:eastAsia="Calibri"/>
                <w:b/>
                <w:color w:val="000000"/>
                <w:lang w:eastAsia="en-US"/>
              </w:rPr>
              <w:t>REGULATORY ASSET BASE</w:t>
            </w:r>
          </w:p>
        </w:tc>
        <w:tc>
          <w:tcPr>
            <w:tcW w:w="0" w:type="auto"/>
            <w:shd w:val="clear" w:color="auto" w:fill="D0CECE" w:themeFill="background2" w:themeFillShade="E6"/>
          </w:tcPr>
          <w:p w14:paraId="71BF0963" w14:textId="77777777" w:rsidR="00E169B4" w:rsidRDefault="00E169B4" w:rsidP="00E169B4">
            <w:pPr>
              <w:pStyle w:val="TableCopy"/>
              <w:rPr>
                <w:rFonts w:eastAsia="Calibri"/>
                <w:color w:val="000000"/>
                <w:lang w:eastAsia="en-US"/>
              </w:rPr>
            </w:pPr>
          </w:p>
        </w:tc>
      </w:tr>
      <w:tr w:rsidR="00E169B4" w:rsidRPr="002056FA" w14:paraId="461EA846" w14:textId="77777777" w:rsidTr="00E169B4">
        <w:tc>
          <w:tcPr>
            <w:tcW w:w="0" w:type="auto"/>
            <w:shd w:val="clear" w:color="auto" w:fill="auto"/>
          </w:tcPr>
          <w:p w14:paraId="73E236CB" w14:textId="212A6B1C" w:rsidR="00E169B4" w:rsidRPr="002056FA" w:rsidRDefault="00E169B4" w:rsidP="00E169B4">
            <w:pPr>
              <w:pStyle w:val="TableCopy"/>
              <w:rPr>
                <w:rFonts w:eastAsia="Calibri"/>
                <w:b/>
                <w:color w:val="000000"/>
                <w:lang w:eastAsia="en-US"/>
              </w:rPr>
            </w:pPr>
            <w:r w:rsidRPr="002056FA">
              <w:rPr>
                <w:rFonts w:eastAsia="Calibri"/>
                <w:color w:val="000000"/>
                <w:lang w:eastAsia="en-US"/>
              </w:rPr>
              <w:t xml:space="preserve">25.1 </w:t>
            </w:r>
          </w:p>
        </w:tc>
        <w:tc>
          <w:tcPr>
            <w:tcW w:w="0" w:type="auto"/>
            <w:shd w:val="clear" w:color="auto" w:fill="auto"/>
          </w:tcPr>
          <w:p w14:paraId="485CF0C6" w14:textId="735BD74D" w:rsidR="00E169B4" w:rsidRPr="002056FA" w:rsidRDefault="00E169B4" w:rsidP="00E169B4">
            <w:pPr>
              <w:pStyle w:val="TableCopy"/>
              <w:rPr>
                <w:rFonts w:eastAsia="Calibri"/>
                <w:b/>
                <w:color w:val="000000"/>
                <w:lang w:eastAsia="en-US"/>
              </w:rPr>
            </w:pPr>
            <w:r w:rsidRPr="002056FA">
              <w:rPr>
                <w:rFonts w:eastAsia="Calibri"/>
                <w:color w:val="000000"/>
                <w:lang w:eastAsia="en-US"/>
              </w:rPr>
              <w:t xml:space="preserve">Provide </w:t>
            </w:r>
            <w:r w:rsidRPr="002056FA">
              <w:rPr>
                <w:rFonts w:eastAsia="Calibri"/>
                <w:iCs/>
                <w:color w:val="000000"/>
                <w:lang w:eastAsia="en-US"/>
              </w:rPr>
              <w:t xml:space="preserve">Energex ’s </w:t>
            </w:r>
            <w:r w:rsidRPr="002056FA">
              <w:rPr>
                <w:rFonts w:eastAsia="Calibri"/>
                <w:color w:val="000000"/>
                <w:lang w:eastAsia="en-US"/>
              </w:rPr>
              <w:t xml:space="preserve">calculation of the regulatory </w:t>
            </w:r>
            <w:r w:rsidRPr="002056FA">
              <w:rPr>
                <w:rFonts w:eastAsia="Calibri"/>
                <w:iCs/>
                <w:color w:val="000000"/>
                <w:lang w:eastAsia="en-US"/>
              </w:rPr>
              <w:t xml:space="preserve">asset </w:t>
            </w:r>
            <w:r w:rsidRPr="002056FA">
              <w:rPr>
                <w:rFonts w:eastAsia="Calibri"/>
                <w:color w:val="000000"/>
                <w:lang w:eastAsia="en-US"/>
              </w:rPr>
              <w:t xml:space="preserve">base for the relevant </w:t>
            </w:r>
            <w:r w:rsidRPr="002056FA">
              <w:rPr>
                <w:rFonts w:eastAsia="Calibri"/>
                <w:iCs/>
                <w:color w:val="000000"/>
                <w:lang w:eastAsia="en-US"/>
              </w:rPr>
              <w:t xml:space="preserve">distribution system </w:t>
            </w:r>
            <w:r w:rsidRPr="002056FA">
              <w:rPr>
                <w:rFonts w:eastAsia="Calibri"/>
                <w:color w:val="000000"/>
                <w:lang w:eastAsia="en-US"/>
              </w:rPr>
              <w:t xml:space="preserve">in respect of </w:t>
            </w:r>
            <w:r w:rsidRPr="002056FA">
              <w:rPr>
                <w:rFonts w:eastAsia="Calibri"/>
                <w:iCs/>
                <w:color w:val="000000"/>
                <w:lang w:eastAsia="en-US"/>
              </w:rPr>
              <w:t xml:space="preserve">standard control services </w:t>
            </w:r>
            <w:r w:rsidRPr="002056FA">
              <w:rPr>
                <w:rFonts w:eastAsia="Calibri"/>
                <w:color w:val="000000"/>
                <w:lang w:eastAsia="en-US"/>
              </w:rPr>
              <w:t xml:space="preserve">for each </w:t>
            </w:r>
            <w:r w:rsidRPr="002056FA">
              <w:rPr>
                <w:rFonts w:eastAsia="Calibri"/>
                <w:iCs/>
                <w:color w:val="000000"/>
                <w:lang w:eastAsia="en-US"/>
              </w:rPr>
              <w:t xml:space="preserve">regulatory year </w:t>
            </w:r>
            <w:r w:rsidRPr="002056FA">
              <w:rPr>
                <w:rFonts w:eastAsia="Calibri"/>
                <w:color w:val="000000"/>
                <w:lang w:eastAsia="en-US"/>
              </w:rPr>
              <w:t xml:space="preserve">of </w:t>
            </w:r>
            <w:r w:rsidRPr="002056FA">
              <w:rPr>
                <w:rFonts w:eastAsia="Calibri"/>
                <w:iCs/>
                <w:color w:val="000000"/>
                <w:lang w:eastAsia="en-US"/>
              </w:rPr>
              <w:t xml:space="preserve">current regulatory control period </w:t>
            </w:r>
            <w:r w:rsidRPr="002056FA">
              <w:rPr>
                <w:rFonts w:eastAsia="Calibri"/>
                <w:color w:val="000000"/>
                <w:lang w:eastAsia="en-US"/>
              </w:rPr>
              <w:t xml:space="preserve">using the </w:t>
            </w:r>
            <w:r w:rsidRPr="002056FA">
              <w:rPr>
                <w:rFonts w:eastAsia="Calibri"/>
                <w:iCs/>
                <w:color w:val="000000"/>
                <w:lang w:eastAsia="en-US"/>
              </w:rPr>
              <w:t>AER’s roll forward model</w:t>
            </w:r>
            <w:r w:rsidRPr="002056FA">
              <w:rPr>
                <w:rFonts w:eastAsia="Calibri"/>
                <w:color w:val="000000"/>
                <w:lang w:eastAsia="en-US"/>
              </w:rPr>
              <w:t xml:space="preserve">, which is to be submitted as part of the </w:t>
            </w:r>
            <w:r w:rsidRPr="002056FA">
              <w:rPr>
                <w:rFonts w:eastAsia="Calibri"/>
                <w:iCs/>
                <w:color w:val="000000"/>
                <w:lang w:eastAsia="en-US"/>
              </w:rPr>
              <w:t xml:space="preserve">regulatory proposal. </w:t>
            </w:r>
          </w:p>
        </w:tc>
        <w:tc>
          <w:tcPr>
            <w:tcW w:w="0" w:type="auto"/>
            <w:shd w:val="clear" w:color="auto" w:fill="auto"/>
          </w:tcPr>
          <w:p w14:paraId="255FA5C7" w14:textId="77777777"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Energex has provided the calculation of the </w:t>
            </w:r>
            <w:r>
              <w:rPr>
                <w:rFonts w:eastAsia="Calibri"/>
                <w:color w:val="000000"/>
                <w:lang w:eastAsia="en-US"/>
              </w:rPr>
              <w:t>RAB</w:t>
            </w:r>
            <w:r w:rsidRPr="002056FA">
              <w:rPr>
                <w:rFonts w:eastAsia="Calibri"/>
                <w:color w:val="000000"/>
                <w:lang w:eastAsia="en-US"/>
              </w:rPr>
              <w:t xml:space="preserve"> for SCS in each year of the regulatory </w:t>
            </w:r>
            <w:r>
              <w:rPr>
                <w:rFonts w:eastAsia="Calibri"/>
                <w:color w:val="000000"/>
                <w:lang w:eastAsia="en-US"/>
              </w:rPr>
              <w:t xml:space="preserve">control </w:t>
            </w:r>
            <w:r w:rsidRPr="002056FA">
              <w:rPr>
                <w:rFonts w:eastAsia="Calibri"/>
                <w:color w:val="000000"/>
                <w:lang w:eastAsia="en-US"/>
              </w:rPr>
              <w:t>period in</w:t>
            </w:r>
            <w:r>
              <w:rPr>
                <w:rFonts w:eastAsia="Calibri"/>
                <w:color w:val="000000"/>
                <w:lang w:eastAsia="en-US"/>
              </w:rPr>
              <w:t xml:space="preserve"> RFM – SCS (Attachment 8.007). Energex has also used the AER’s roll forward model (RFM) to calculate the RAB for ACS metering and public lighting. These calculations are set out in</w:t>
            </w:r>
            <w:r w:rsidRPr="002056FA">
              <w:rPr>
                <w:rFonts w:eastAsia="Calibri"/>
                <w:color w:val="000000"/>
                <w:lang w:eastAsia="en-US"/>
              </w:rPr>
              <w:t>:</w:t>
            </w:r>
          </w:p>
          <w:p w14:paraId="6167800F" w14:textId="77777777" w:rsidR="00E169B4" w:rsidRPr="00A271FC" w:rsidRDefault="00E169B4" w:rsidP="00E169B4">
            <w:pPr>
              <w:pStyle w:val="Bullet1"/>
              <w:rPr>
                <w:sz w:val="20"/>
                <w:szCs w:val="20"/>
              </w:rPr>
            </w:pPr>
            <w:r>
              <w:rPr>
                <w:sz w:val="20"/>
                <w:szCs w:val="20"/>
              </w:rPr>
              <w:t>RFM</w:t>
            </w:r>
            <w:r w:rsidRPr="00A271FC">
              <w:rPr>
                <w:sz w:val="20"/>
                <w:szCs w:val="20"/>
              </w:rPr>
              <w:t xml:space="preserve"> – ACS </w:t>
            </w:r>
            <w:r>
              <w:rPr>
                <w:sz w:val="20"/>
                <w:szCs w:val="20"/>
              </w:rPr>
              <w:t>m</w:t>
            </w:r>
            <w:r w:rsidRPr="00A271FC">
              <w:rPr>
                <w:sz w:val="20"/>
                <w:szCs w:val="20"/>
              </w:rPr>
              <w:t>etering (Attachment 15.022)</w:t>
            </w:r>
          </w:p>
          <w:p w14:paraId="51729B36" w14:textId="77777777" w:rsidR="00E169B4" w:rsidRPr="00E169B4" w:rsidRDefault="00E169B4" w:rsidP="00E169B4">
            <w:pPr>
              <w:pStyle w:val="Bullet1"/>
            </w:pPr>
            <w:r>
              <w:rPr>
                <w:sz w:val="20"/>
                <w:szCs w:val="20"/>
              </w:rPr>
              <w:t>RFM</w:t>
            </w:r>
            <w:r w:rsidRPr="00A271FC">
              <w:rPr>
                <w:sz w:val="20"/>
                <w:szCs w:val="20"/>
              </w:rPr>
              <w:t xml:space="preserve"> – ACS </w:t>
            </w:r>
            <w:r>
              <w:rPr>
                <w:sz w:val="20"/>
                <w:szCs w:val="20"/>
              </w:rPr>
              <w:t>p</w:t>
            </w:r>
            <w:r w:rsidRPr="00A271FC">
              <w:rPr>
                <w:sz w:val="20"/>
                <w:szCs w:val="20"/>
              </w:rPr>
              <w:t xml:space="preserve">ublic </w:t>
            </w:r>
            <w:r>
              <w:rPr>
                <w:sz w:val="20"/>
                <w:szCs w:val="20"/>
              </w:rPr>
              <w:t>l</w:t>
            </w:r>
            <w:r w:rsidRPr="00A271FC">
              <w:rPr>
                <w:sz w:val="20"/>
                <w:szCs w:val="20"/>
              </w:rPr>
              <w:t xml:space="preserve">ighting </w:t>
            </w:r>
            <w:r>
              <w:rPr>
                <w:sz w:val="20"/>
                <w:szCs w:val="20"/>
              </w:rPr>
              <w:t xml:space="preserve">conventional </w:t>
            </w:r>
            <w:r w:rsidRPr="00A271FC">
              <w:rPr>
                <w:sz w:val="20"/>
                <w:szCs w:val="20"/>
              </w:rPr>
              <w:t>(Attachment 15.024)</w:t>
            </w:r>
            <w:r>
              <w:rPr>
                <w:sz w:val="20"/>
                <w:szCs w:val="20"/>
              </w:rPr>
              <w:t>, and</w:t>
            </w:r>
          </w:p>
          <w:p w14:paraId="308DAC7B" w14:textId="34B94BEC" w:rsidR="00E169B4" w:rsidRPr="00E169B4" w:rsidRDefault="00E169B4" w:rsidP="00E169B4">
            <w:pPr>
              <w:pStyle w:val="Bullet1"/>
            </w:pPr>
            <w:r>
              <w:rPr>
                <w:sz w:val="20"/>
                <w:szCs w:val="20"/>
              </w:rPr>
              <w:t>RFM - public lighting LED (Attachment 15.026).</w:t>
            </w:r>
          </w:p>
        </w:tc>
      </w:tr>
      <w:tr w:rsidR="00E169B4" w:rsidRPr="002056FA" w14:paraId="15D655D2" w14:textId="77777777" w:rsidTr="00E169B4">
        <w:tc>
          <w:tcPr>
            <w:tcW w:w="0" w:type="auto"/>
            <w:shd w:val="clear" w:color="auto" w:fill="auto"/>
          </w:tcPr>
          <w:p w14:paraId="0DD3C4A4" w14:textId="5AA71D66"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25.2 </w:t>
            </w:r>
          </w:p>
        </w:tc>
        <w:tc>
          <w:tcPr>
            <w:tcW w:w="0" w:type="auto"/>
            <w:shd w:val="clear" w:color="auto" w:fill="auto"/>
          </w:tcPr>
          <w:p w14:paraId="102B7909" w14:textId="581FB02A"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Provide details of each departure from the underlying methods in the </w:t>
            </w:r>
            <w:r w:rsidRPr="002056FA">
              <w:rPr>
                <w:rFonts w:eastAsia="Calibri"/>
                <w:iCs/>
                <w:color w:val="000000"/>
                <w:lang w:eastAsia="en-US"/>
              </w:rPr>
              <w:t xml:space="preserve">AER’s roll forward model </w:t>
            </w:r>
            <w:r w:rsidRPr="002056FA">
              <w:rPr>
                <w:rFonts w:eastAsia="Calibri"/>
                <w:color w:val="000000"/>
                <w:lang w:eastAsia="en-US"/>
              </w:rPr>
              <w:t xml:space="preserve">for the calculation referred to in paragraph 25.1 and the reasons for that departure. </w:t>
            </w:r>
          </w:p>
        </w:tc>
        <w:tc>
          <w:tcPr>
            <w:tcW w:w="0" w:type="auto"/>
            <w:shd w:val="clear" w:color="auto" w:fill="auto"/>
          </w:tcPr>
          <w:p w14:paraId="52B61A7E" w14:textId="77777777"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Energex is not proposing departures from the underlying methods in the AER’s </w:t>
            </w:r>
            <w:r>
              <w:rPr>
                <w:rFonts w:eastAsia="Calibri"/>
                <w:color w:val="000000"/>
                <w:lang w:eastAsia="en-US"/>
              </w:rPr>
              <w:t>RFM</w:t>
            </w:r>
            <w:r w:rsidRPr="002056FA">
              <w:rPr>
                <w:rFonts w:eastAsia="Calibri"/>
                <w:color w:val="000000"/>
                <w:lang w:eastAsia="en-US"/>
              </w:rPr>
              <w:t xml:space="preserve">.  </w:t>
            </w:r>
          </w:p>
          <w:p w14:paraId="6ECEFD3F" w14:textId="77777777" w:rsidR="00E169B4" w:rsidRPr="002056FA" w:rsidRDefault="00E169B4" w:rsidP="00E169B4">
            <w:pPr>
              <w:pStyle w:val="TableCopy"/>
              <w:rPr>
                <w:rFonts w:eastAsia="Calibri"/>
                <w:color w:val="000000"/>
                <w:lang w:eastAsia="en-US"/>
              </w:rPr>
            </w:pPr>
          </w:p>
        </w:tc>
      </w:tr>
      <w:tr w:rsidR="00E169B4" w:rsidRPr="002056FA" w14:paraId="7D4B41EB" w14:textId="77777777" w:rsidTr="00E169B4">
        <w:tc>
          <w:tcPr>
            <w:tcW w:w="0" w:type="auto"/>
            <w:shd w:val="clear" w:color="auto" w:fill="auto"/>
          </w:tcPr>
          <w:p w14:paraId="4E5529AD" w14:textId="4B2CC297"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25.3 </w:t>
            </w:r>
          </w:p>
        </w:tc>
        <w:tc>
          <w:tcPr>
            <w:tcW w:w="0" w:type="auto"/>
            <w:shd w:val="clear" w:color="auto" w:fill="auto"/>
          </w:tcPr>
          <w:p w14:paraId="342CAA6A" w14:textId="0F31FC31"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If the value of the regulatory </w:t>
            </w:r>
            <w:r w:rsidRPr="002056FA">
              <w:rPr>
                <w:rFonts w:eastAsia="Calibri"/>
                <w:iCs/>
                <w:color w:val="000000"/>
                <w:lang w:eastAsia="en-US"/>
              </w:rPr>
              <w:t xml:space="preserve">asset </w:t>
            </w:r>
            <w:r w:rsidRPr="002056FA">
              <w:rPr>
                <w:rFonts w:eastAsia="Calibri"/>
                <w:color w:val="000000"/>
                <w:lang w:eastAsia="en-US"/>
              </w:rPr>
              <w:t xml:space="preserve">base as at the start of the </w:t>
            </w:r>
            <w:r w:rsidRPr="002056FA">
              <w:rPr>
                <w:rFonts w:eastAsia="Calibri"/>
                <w:iCs/>
                <w:color w:val="000000"/>
                <w:lang w:eastAsia="en-US"/>
              </w:rPr>
              <w:t xml:space="preserve">forthcoming regulatory control period </w:t>
            </w:r>
            <w:r w:rsidRPr="002056FA">
              <w:rPr>
                <w:rFonts w:eastAsia="Calibri"/>
                <w:color w:val="000000"/>
                <w:lang w:eastAsia="en-US"/>
              </w:rPr>
              <w:t xml:space="preserve">is proposed to be adjusted because of changes to </w:t>
            </w:r>
            <w:r w:rsidRPr="002056FA">
              <w:rPr>
                <w:rFonts w:eastAsia="Calibri"/>
                <w:iCs/>
                <w:color w:val="000000"/>
                <w:lang w:eastAsia="en-US"/>
              </w:rPr>
              <w:t xml:space="preserve">asset </w:t>
            </w:r>
            <w:r w:rsidRPr="002056FA">
              <w:rPr>
                <w:rFonts w:eastAsia="Calibri"/>
                <w:color w:val="000000"/>
                <w:lang w:eastAsia="en-US"/>
              </w:rPr>
              <w:t xml:space="preserve">service classification, provide details including relevant supporting information used to calculate that adjustment value. </w:t>
            </w:r>
          </w:p>
        </w:tc>
        <w:tc>
          <w:tcPr>
            <w:tcW w:w="0" w:type="auto"/>
            <w:shd w:val="clear" w:color="auto" w:fill="auto"/>
          </w:tcPr>
          <w:p w14:paraId="0BA49568" w14:textId="483ED302"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An explanation of how the roll-forward of the </w:t>
            </w:r>
            <w:r>
              <w:rPr>
                <w:rFonts w:eastAsia="Calibri"/>
                <w:color w:val="000000"/>
                <w:lang w:eastAsia="en-US"/>
              </w:rPr>
              <w:t>RAB</w:t>
            </w:r>
            <w:r w:rsidRPr="002056FA">
              <w:rPr>
                <w:rFonts w:eastAsia="Calibri"/>
                <w:color w:val="000000"/>
                <w:lang w:eastAsia="en-US"/>
              </w:rPr>
              <w:t xml:space="preserve"> is calculated is provided in Chapter </w:t>
            </w:r>
            <w:r>
              <w:rPr>
                <w:rFonts w:eastAsia="Calibri"/>
                <w:color w:val="000000"/>
                <w:lang w:eastAsia="en-US"/>
              </w:rPr>
              <w:t>8</w:t>
            </w:r>
            <w:r w:rsidRPr="002056FA">
              <w:rPr>
                <w:rFonts w:eastAsia="Calibri"/>
                <w:color w:val="000000"/>
                <w:lang w:eastAsia="en-US"/>
              </w:rPr>
              <w:t xml:space="preserve"> of the Regulatory Proposal (Attachment </w:t>
            </w:r>
            <w:r>
              <w:rPr>
                <w:rFonts w:eastAsia="Calibri"/>
                <w:color w:val="000000"/>
                <w:lang w:eastAsia="en-US"/>
              </w:rPr>
              <w:t>1.003</w:t>
            </w:r>
            <w:r w:rsidRPr="002056FA">
              <w:rPr>
                <w:rFonts w:eastAsia="Calibri"/>
                <w:color w:val="000000"/>
                <w:lang w:eastAsia="en-US"/>
              </w:rPr>
              <w:t>).  The actual values are shown in</w:t>
            </w:r>
            <w:r>
              <w:rPr>
                <w:rFonts w:eastAsia="Calibri"/>
                <w:color w:val="000000"/>
                <w:lang w:eastAsia="en-US"/>
              </w:rPr>
              <w:t xml:space="preserve"> RFM – SCS (Attachment 8.007).</w:t>
            </w:r>
          </w:p>
          <w:p w14:paraId="309272CF" w14:textId="77777777" w:rsidR="00E169B4" w:rsidRPr="002056FA" w:rsidRDefault="00E169B4" w:rsidP="00E169B4">
            <w:pPr>
              <w:pStyle w:val="TableCopy"/>
              <w:rPr>
                <w:rFonts w:eastAsia="Calibri"/>
                <w:color w:val="000000"/>
                <w:lang w:eastAsia="en-US"/>
              </w:rPr>
            </w:pPr>
          </w:p>
        </w:tc>
      </w:tr>
      <w:tr w:rsidR="00E169B4" w:rsidRPr="002056FA" w14:paraId="4A63EC5B" w14:textId="77777777" w:rsidTr="00E169B4">
        <w:tc>
          <w:tcPr>
            <w:tcW w:w="0" w:type="auto"/>
            <w:tcBorders>
              <w:bottom w:val="single" w:sz="4" w:space="0" w:color="auto"/>
            </w:tcBorders>
            <w:shd w:val="clear" w:color="auto" w:fill="auto"/>
          </w:tcPr>
          <w:p w14:paraId="693C5883" w14:textId="766F367F"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25.4 </w:t>
            </w:r>
          </w:p>
        </w:tc>
        <w:tc>
          <w:tcPr>
            <w:tcW w:w="0" w:type="auto"/>
            <w:tcBorders>
              <w:bottom w:val="single" w:sz="4" w:space="0" w:color="auto"/>
            </w:tcBorders>
            <w:shd w:val="clear" w:color="auto" w:fill="auto"/>
          </w:tcPr>
          <w:p w14:paraId="4B1C7CF2" w14:textId="238AA55E" w:rsidR="00E169B4" w:rsidRPr="002056FA" w:rsidRDefault="00E169B4" w:rsidP="00E169B4">
            <w:pPr>
              <w:pStyle w:val="TableCopy"/>
              <w:rPr>
                <w:rFonts w:eastAsia="Calibri"/>
                <w:color w:val="000000"/>
                <w:lang w:eastAsia="en-US"/>
              </w:rPr>
            </w:pPr>
            <w:r w:rsidRPr="002056FA">
              <w:rPr>
                <w:rFonts w:eastAsia="Calibri"/>
                <w:color w:val="000000"/>
                <w:lang w:eastAsia="en-US"/>
              </w:rPr>
              <w:t>Provide details of any departure in the allocation of actual capex, asset disposal and customer contribution values across asset classes in the roll forward model from those reported in the Annual Reporting RIN for the relevant regulatory years and the reasons for that departure.</w:t>
            </w:r>
          </w:p>
        </w:tc>
        <w:tc>
          <w:tcPr>
            <w:tcW w:w="0" w:type="auto"/>
            <w:tcBorders>
              <w:bottom w:val="single" w:sz="4" w:space="0" w:color="auto"/>
            </w:tcBorders>
            <w:shd w:val="clear" w:color="auto" w:fill="auto"/>
          </w:tcPr>
          <w:p w14:paraId="1EF22436" w14:textId="18F6CAF6" w:rsidR="00E169B4" w:rsidRPr="002056FA" w:rsidRDefault="00E169B4" w:rsidP="00E169B4">
            <w:pPr>
              <w:pStyle w:val="TableCopy"/>
              <w:rPr>
                <w:rFonts w:eastAsia="Calibri"/>
                <w:color w:val="000000"/>
                <w:lang w:eastAsia="en-US"/>
              </w:rPr>
            </w:pPr>
            <w:r w:rsidRPr="002056FA">
              <w:rPr>
                <w:rFonts w:eastAsia="Calibri"/>
                <w:lang w:eastAsia="en-US"/>
              </w:rPr>
              <w:t xml:space="preserve">Energex is not proposing any departures in the allocation of values across asset classes in the </w:t>
            </w:r>
            <w:r>
              <w:rPr>
                <w:rFonts w:eastAsia="Calibri"/>
                <w:lang w:eastAsia="en-US"/>
              </w:rPr>
              <w:t>RFM</w:t>
            </w:r>
            <w:r w:rsidRPr="002056FA">
              <w:rPr>
                <w:rFonts w:eastAsia="Calibri"/>
                <w:lang w:eastAsia="en-US"/>
              </w:rPr>
              <w:t xml:space="preserve"> from those reported in the Annual Reporting RIN.</w:t>
            </w:r>
          </w:p>
        </w:tc>
      </w:tr>
      <w:tr w:rsidR="00E169B4" w:rsidRPr="002056FA" w14:paraId="09BB430C" w14:textId="77777777" w:rsidTr="00E169B4">
        <w:tc>
          <w:tcPr>
            <w:tcW w:w="0" w:type="auto"/>
            <w:tcBorders>
              <w:bottom w:val="single" w:sz="4" w:space="0" w:color="auto"/>
            </w:tcBorders>
            <w:shd w:val="clear" w:color="auto" w:fill="D0CECE" w:themeFill="background2" w:themeFillShade="E6"/>
          </w:tcPr>
          <w:p w14:paraId="1E793B61" w14:textId="6805B4A9" w:rsidR="00E169B4" w:rsidRPr="002056FA" w:rsidRDefault="00E169B4" w:rsidP="00E169B4">
            <w:pPr>
              <w:pStyle w:val="TableCopy"/>
              <w:rPr>
                <w:rFonts w:eastAsia="Calibri"/>
                <w:color w:val="000000"/>
                <w:lang w:eastAsia="en-US"/>
              </w:rPr>
            </w:pPr>
            <w:r w:rsidRPr="002056FA">
              <w:rPr>
                <w:rFonts w:eastAsia="Calibri"/>
                <w:b/>
                <w:color w:val="000000"/>
                <w:lang w:eastAsia="en-US"/>
              </w:rPr>
              <w:t>26</w:t>
            </w:r>
          </w:p>
        </w:tc>
        <w:tc>
          <w:tcPr>
            <w:tcW w:w="0" w:type="auto"/>
            <w:tcBorders>
              <w:bottom w:val="single" w:sz="4" w:space="0" w:color="auto"/>
            </w:tcBorders>
            <w:shd w:val="clear" w:color="auto" w:fill="D0CECE" w:themeFill="background2" w:themeFillShade="E6"/>
          </w:tcPr>
          <w:p w14:paraId="2BE7CB1D" w14:textId="3DF0AA8F" w:rsidR="00E169B4" w:rsidRPr="002056FA" w:rsidRDefault="00E169B4" w:rsidP="00E169B4">
            <w:pPr>
              <w:pStyle w:val="TableCopy"/>
              <w:rPr>
                <w:rFonts w:eastAsia="Calibri"/>
                <w:color w:val="000000"/>
                <w:lang w:eastAsia="en-US"/>
              </w:rPr>
            </w:pPr>
            <w:r w:rsidRPr="002056FA">
              <w:rPr>
                <w:rFonts w:eastAsia="Calibri"/>
                <w:b/>
                <w:color w:val="000000"/>
                <w:lang w:eastAsia="en-US"/>
              </w:rPr>
              <w:t>DEPRECIATION SCHEDULES</w:t>
            </w:r>
          </w:p>
        </w:tc>
        <w:tc>
          <w:tcPr>
            <w:tcW w:w="0" w:type="auto"/>
            <w:tcBorders>
              <w:bottom w:val="single" w:sz="4" w:space="0" w:color="auto"/>
            </w:tcBorders>
            <w:shd w:val="clear" w:color="auto" w:fill="D0CECE" w:themeFill="background2" w:themeFillShade="E6"/>
          </w:tcPr>
          <w:p w14:paraId="7667DDF7" w14:textId="77777777" w:rsidR="00E169B4" w:rsidRPr="002056FA" w:rsidRDefault="00E169B4" w:rsidP="00E169B4">
            <w:pPr>
              <w:pStyle w:val="TableCopy"/>
              <w:rPr>
                <w:rFonts w:eastAsia="Calibri"/>
                <w:lang w:eastAsia="en-US"/>
              </w:rPr>
            </w:pPr>
          </w:p>
        </w:tc>
      </w:tr>
      <w:tr w:rsidR="00E169B4" w:rsidRPr="002056FA" w14:paraId="7BD72484" w14:textId="77777777" w:rsidTr="00E169B4">
        <w:tc>
          <w:tcPr>
            <w:tcW w:w="0" w:type="auto"/>
            <w:shd w:val="clear" w:color="auto" w:fill="D0CECE" w:themeFill="background2" w:themeFillShade="E6"/>
          </w:tcPr>
          <w:p w14:paraId="03EF8A65" w14:textId="54CC10C1" w:rsidR="00E169B4" w:rsidRPr="002056FA" w:rsidRDefault="00E169B4" w:rsidP="00E169B4">
            <w:pPr>
              <w:pStyle w:val="TableCopy"/>
              <w:rPr>
                <w:rFonts w:eastAsia="Calibri"/>
                <w:color w:val="000000"/>
                <w:lang w:eastAsia="en-US"/>
              </w:rPr>
            </w:pPr>
            <w:r w:rsidRPr="002056FA">
              <w:rPr>
                <w:rFonts w:eastAsia="Calibri"/>
                <w:color w:val="000000"/>
                <w:lang w:eastAsia="en-US"/>
              </w:rPr>
              <w:t>26.1</w:t>
            </w:r>
          </w:p>
        </w:tc>
        <w:tc>
          <w:tcPr>
            <w:tcW w:w="0" w:type="auto"/>
            <w:shd w:val="clear" w:color="auto" w:fill="D0CECE" w:themeFill="background2" w:themeFillShade="E6"/>
          </w:tcPr>
          <w:p w14:paraId="179CE9DC" w14:textId="33ABB007" w:rsidR="00E169B4" w:rsidRPr="002056FA" w:rsidRDefault="00E169B4" w:rsidP="00E169B4">
            <w:pPr>
              <w:pStyle w:val="TableCopy"/>
              <w:rPr>
                <w:rFonts w:eastAsia="Calibri"/>
                <w:color w:val="000000"/>
                <w:lang w:eastAsia="en-US"/>
              </w:rPr>
            </w:pPr>
            <w:r w:rsidRPr="002056FA">
              <w:rPr>
                <w:rFonts w:eastAsia="Calibri"/>
                <w:color w:val="000000"/>
                <w:lang w:eastAsia="en-US"/>
              </w:rPr>
              <w:t>Provide Energex’s calculation of the depreciation amounts for the relevant distribution system in respect of standard control services for each regulatory year of:</w:t>
            </w:r>
          </w:p>
        </w:tc>
        <w:tc>
          <w:tcPr>
            <w:tcW w:w="0" w:type="auto"/>
            <w:shd w:val="clear" w:color="auto" w:fill="D0CECE" w:themeFill="background2" w:themeFillShade="E6"/>
          </w:tcPr>
          <w:p w14:paraId="79C453FE" w14:textId="77777777" w:rsidR="00E169B4" w:rsidRPr="002056FA" w:rsidRDefault="00E169B4" w:rsidP="00E169B4">
            <w:pPr>
              <w:pStyle w:val="TableCopy"/>
              <w:rPr>
                <w:rFonts w:eastAsia="Calibri"/>
                <w:lang w:eastAsia="en-US"/>
              </w:rPr>
            </w:pPr>
          </w:p>
        </w:tc>
      </w:tr>
      <w:tr w:rsidR="00E169B4" w:rsidRPr="002056FA" w14:paraId="4D9EBDC6" w14:textId="77777777" w:rsidTr="00E169B4">
        <w:tc>
          <w:tcPr>
            <w:tcW w:w="0" w:type="auto"/>
            <w:shd w:val="clear" w:color="auto" w:fill="auto"/>
          </w:tcPr>
          <w:p w14:paraId="4FEC40D5" w14:textId="5C8CD64E" w:rsidR="00E169B4" w:rsidRPr="002056FA" w:rsidRDefault="00E169B4" w:rsidP="00E169B4">
            <w:pPr>
              <w:pStyle w:val="TableCopy"/>
              <w:rPr>
                <w:rFonts w:eastAsia="Calibri"/>
                <w:color w:val="000000"/>
                <w:lang w:eastAsia="en-US"/>
              </w:rPr>
            </w:pPr>
            <w:r w:rsidRPr="002056FA">
              <w:rPr>
                <w:rFonts w:eastAsia="Calibri"/>
                <w:color w:val="000000"/>
                <w:lang w:eastAsia="en-US"/>
              </w:rPr>
              <w:t>26.1(a)</w:t>
            </w:r>
          </w:p>
        </w:tc>
        <w:tc>
          <w:tcPr>
            <w:tcW w:w="0" w:type="auto"/>
            <w:shd w:val="clear" w:color="auto" w:fill="auto"/>
          </w:tcPr>
          <w:p w14:paraId="358019D3" w14:textId="22065F68" w:rsidR="00E169B4" w:rsidRPr="002056FA" w:rsidRDefault="00E169B4" w:rsidP="00E169B4">
            <w:pPr>
              <w:pStyle w:val="TableCopy"/>
              <w:rPr>
                <w:rFonts w:eastAsia="Calibri"/>
                <w:color w:val="000000"/>
                <w:lang w:eastAsia="en-US"/>
              </w:rPr>
            </w:pPr>
            <w:r w:rsidRPr="002056FA">
              <w:rPr>
                <w:rFonts w:eastAsia="Calibri"/>
                <w:color w:val="000000"/>
                <w:lang w:eastAsia="en-US"/>
              </w:rPr>
              <w:t>the current regulatory control period using the AER’s roll forward model, which is to be submitted as part of the regulatory proposal</w:t>
            </w:r>
          </w:p>
        </w:tc>
        <w:tc>
          <w:tcPr>
            <w:tcW w:w="0" w:type="auto"/>
            <w:shd w:val="clear" w:color="auto" w:fill="auto"/>
          </w:tcPr>
          <w:p w14:paraId="6986CFED" w14:textId="77777777" w:rsidR="00E169B4" w:rsidRPr="002056FA" w:rsidRDefault="00E169B4" w:rsidP="00E169B4">
            <w:pPr>
              <w:pStyle w:val="TableCopy"/>
              <w:rPr>
                <w:rFonts w:eastAsia="Calibri"/>
                <w:color w:val="000000"/>
                <w:lang w:eastAsia="en-US"/>
              </w:rPr>
            </w:pPr>
            <w:r w:rsidRPr="002056FA">
              <w:rPr>
                <w:rFonts w:eastAsia="Calibri"/>
                <w:color w:val="000000"/>
                <w:lang w:eastAsia="en-US"/>
              </w:rPr>
              <w:t>The calculation of depreciation amounts for the current regulatory period is provided in</w:t>
            </w:r>
            <w:r>
              <w:rPr>
                <w:rFonts w:eastAsia="Calibri"/>
                <w:color w:val="000000"/>
                <w:lang w:eastAsia="en-US"/>
              </w:rPr>
              <w:t xml:space="preserve"> the following models</w:t>
            </w:r>
            <w:r w:rsidRPr="002056FA">
              <w:rPr>
                <w:rFonts w:eastAsia="Calibri"/>
                <w:color w:val="000000"/>
                <w:lang w:eastAsia="en-US"/>
              </w:rPr>
              <w:t>:</w:t>
            </w:r>
          </w:p>
          <w:p w14:paraId="73E3AB4F" w14:textId="77777777" w:rsidR="00E169B4" w:rsidRPr="00A271FC" w:rsidRDefault="00E169B4" w:rsidP="00E169B4">
            <w:pPr>
              <w:pStyle w:val="Bullet1"/>
              <w:rPr>
                <w:sz w:val="20"/>
                <w:szCs w:val="20"/>
              </w:rPr>
            </w:pPr>
            <w:r>
              <w:rPr>
                <w:sz w:val="20"/>
                <w:szCs w:val="20"/>
              </w:rPr>
              <w:t>RFM – SCS</w:t>
            </w:r>
            <w:r w:rsidRPr="002056FA">
              <w:rPr>
                <w:sz w:val="20"/>
                <w:szCs w:val="20"/>
              </w:rPr>
              <w:t xml:space="preserve"> (Attachment </w:t>
            </w:r>
            <w:r w:rsidRPr="00A271FC">
              <w:rPr>
                <w:sz w:val="20"/>
                <w:szCs w:val="20"/>
              </w:rPr>
              <w:t>8.00</w:t>
            </w:r>
            <w:r>
              <w:rPr>
                <w:sz w:val="20"/>
                <w:szCs w:val="20"/>
              </w:rPr>
              <w:t>7</w:t>
            </w:r>
            <w:r w:rsidRPr="00A271FC">
              <w:rPr>
                <w:sz w:val="20"/>
                <w:szCs w:val="20"/>
              </w:rPr>
              <w:t>)</w:t>
            </w:r>
          </w:p>
          <w:p w14:paraId="002FEB57" w14:textId="77777777" w:rsidR="00E169B4" w:rsidRPr="00A271FC" w:rsidRDefault="00E169B4" w:rsidP="00E169B4">
            <w:pPr>
              <w:pStyle w:val="Bullet1"/>
              <w:rPr>
                <w:sz w:val="20"/>
                <w:szCs w:val="20"/>
              </w:rPr>
            </w:pPr>
            <w:r>
              <w:rPr>
                <w:sz w:val="20"/>
                <w:szCs w:val="20"/>
              </w:rPr>
              <w:t>RFM</w:t>
            </w:r>
            <w:r w:rsidRPr="00A271FC">
              <w:rPr>
                <w:sz w:val="20"/>
                <w:szCs w:val="20"/>
              </w:rPr>
              <w:t xml:space="preserve"> – ACS </w:t>
            </w:r>
            <w:r>
              <w:rPr>
                <w:sz w:val="20"/>
                <w:szCs w:val="20"/>
              </w:rPr>
              <w:t>m</w:t>
            </w:r>
            <w:r w:rsidRPr="00A271FC">
              <w:rPr>
                <w:sz w:val="20"/>
                <w:szCs w:val="20"/>
              </w:rPr>
              <w:t>etering (Attachment 15.022)</w:t>
            </w:r>
          </w:p>
          <w:p w14:paraId="496422D3" w14:textId="77777777" w:rsidR="00E169B4" w:rsidRPr="004F40EC" w:rsidRDefault="00E169B4" w:rsidP="00E169B4">
            <w:pPr>
              <w:pStyle w:val="Bullet1"/>
            </w:pPr>
            <w:r>
              <w:rPr>
                <w:sz w:val="20"/>
                <w:szCs w:val="20"/>
              </w:rPr>
              <w:t>RFM</w:t>
            </w:r>
            <w:r w:rsidRPr="00A271FC">
              <w:rPr>
                <w:sz w:val="20"/>
                <w:szCs w:val="20"/>
              </w:rPr>
              <w:t xml:space="preserve"> – ACS </w:t>
            </w:r>
            <w:r>
              <w:rPr>
                <w:sz w:val="20"/>
                <w:szCs w:val="20"/>
              </w:rPr>
              <w:t>p</w:t>
            </w:r>
            <w:r w:rsidRPr="00A271FC">
              <w:rPr>
                <w:sz w:val="20"/>
                <w:szCs w:val="20"/>
              </w:rPr>
              <w:t xml:space="preserve">ublic </w:t>
            </w:r>
            <w:r>
              <w:rPr>
                <w:sz w:val="20"/>
                <w:szCs w:val="20"/>
              </w:rPr>
              <w:t>l</w:t>
            </w:r>
            <w:r w:rsidRPr="00A271FC">
              <w:rPr>
                <w:sz w:val="20"/>
                <w:szCs w:val="20"/>
              </w:rPr>
              <w:t xml:space="preserve">ighting </w:t>
            </w:r>
            <w:r>
              <w:rPr>
                <w:sz w:val="20"/>
                <w:szCs w:val="20"/>
              </w:rPr>
              <w:t xml:space="preserve">conventional </w:t>
            </w:r>
            <w:r w:rsidRPr="00A271FC">
              <w:rPr>
                <w:sz w:val="20"/>
                <w:szCs w:val="20"/>
              </w:rPr>
              <w:t>(Attachment 15.024)</w:t>
            </w:r>
            <w:r>
              <w:rPr>
                <w:sz w:val="20"/>
                <w:szCs w:val="20"/>
              </w:rPr>
              <w:t>, and</w:t>
            </w:r>
          </w:p>
          <w:p w14:paraId="0E6B8374" w14:textId="2198D7AA" w:rsidR="00E169B4" w:rsidRPr="002056FA" w:rsidRDefault="00E169B4" w:rsidP="00E169B4">
            <w:pPr>
              <w:pStyle w:val="TableCopy"/>
              <w:rPr>
                <w:rFonts w:eastAsia="Calibri"/>
                <w:lang w:eastAsia="en-US"/>
              </w:rPr>
            </w:pPr>
            <w:r w:rsidRPr="00A271FC">
              <w:t>.</w:t>
            </w:r>
            <w:r>
              <w:t>RFM – ACS public lighting LED (Attachment 15.026).</w:t>
            </w:r>
          </w:p>
        </w:tc>
      </w:tr>
      <w:tr w:rsidR="00E169B4" w:rsidRPr="002056FA" w14:paraId="62D461CB" w14:textId="77777777" w:rsidTr="00E169B4">
        <w:tc>
          <w:tcPr>
            <w:tcW w:w="0" w:type="auto"/>
            <w:shd w:val="clear" w:color="auto" w:fill="auto"/>
          </w:tcPr>
          <w:p w14:paraId="76F37543" w14:textId="7F9662E8" w:rsidR="00E169B4" w:rsidRPr="002056FA" w:rsidRDefault="00E169B4" w:rsidP="00E169B4">
            <w:pPr>
              <w:pStyle w:val="TableCopy"/>
              <w:rPr>
                <w:rFonts w:eastAsia="Calibri"/>
                <w:color w:val="000000"/>
                <w:lang w:eastAsia="en-US"/>
              </w:rPr>
            </w:pPr>
            <w:r w:rsidRPr="002056FA">
              <w:rPr>
                <w:rFonts w:eastAsia="Calibri"/>
                <w:color w:val="000000"/>
                <w:lang w:eastAsia="en-US"/>
              </w:rPr>
              <w:t>26.1(b)</w:t>
            </w:r>
          </w:p>
        </w:tc>
        <w:tc>
          <w:tcPr>
            <w:tcW w:w="0" w:type="auto"/>
            <w:shd w:val="clear" w:color="auto" w:fill="auto"/>
          </w:tcPr>
          <w:p w14:paraId="74E684CC" w14:textId="475D496E" w:rsidR="00E169B4" w:rsidRPr="002056FA" w:rsidRDefault="00E169B4" w:rsidP="00E169B4">
            <w:pPr>
              <w:pStyle w:val="TableCopy"/>
              <w:rPr>
                <w:rFonts w:eastAsia="Calibri"/>
                <w:color w:val="000000"/>
                <w:lang w:eastAsia="en-US"/>
              </w:rPr>
            </w:pPr>
            <w:r w:rsidRPr="002056FA">
              <w:rPr>
                <w:rFonts w:eastAsia="Calibri"/>
                <w:color w:val="000000"/>
                <w:lang w:eastAsia="en-US"/>
              </w:rPr>
              <w:t>the forthcoming regulatory control period using the AER’s post-tax revenue model, which is to be submitted as part of the regulatory proposal.</w:t>
            </w:r>
          </w:p>
        </w:tc>
        <w:tc>
          <w:tcPr>
            <w:tcW w:w="0" w:type="auto"/>
            <w:shd w:val="clear" w:color="auto" w:fill="auto"/>
          </w:tcPr>
          <w:p w14:paraId="60D6D10F" w14:textId="77777777" w:rsidR="00E169B4" w:rsidRPr="007D68E5" w:rsidRDefault="00E169B4" w:rsidP="00E169B4">
            <w:pPr>
              <w:pStyle w:val="TableCopy"/>
              <w:rPr>
                <w:rFonts w:eastAsia="Calibri"/>
                <w:color w:val="000000"/>
                <w:lang w:eastAsia="en-US"/>
              </w:rPr>
            </w:pPr>
            <w:r w:rsidRPr="002056FA">
              <w:rPr>
                <w:rFonts w:eastAsia="Calibri"/>
                <w:color w:val="000000"/>
                <w:lang w:eastAsia="en-US"/>
              </w:rPr>
              <w:t>The calculation of depreciation amounts for the forthcoming regulatory period is provided in</w:t>
            </w:r>
            <w:r>
              <w:rPr>
                <w:rFonts w:eastAsia="Calibri"/>
                <w:color w:val="000000"/>
                <w:lang w:eastAsia="en-US"/>
              </w:rPr>
              <w:t xml:space="preserve"> the following models:</w:t>
            </w:r>
          </w:p>
          <w:p w14:paraId="2C1F0CF5" w14:textId="77777777" w:rsidR="00E169B4" w:rsidRPr="007D68E5" w:rsidRDefault="00E169B4" w:rsidP="00E169B4">
            <w:pPr>
              <w:pStyle w:val="Bullet1"/>
              <w:rPr>
                <w:sz w:val="20"/>
                <w:szCs w:val="20"/>
              </w:rPr>
            </w:pPr>
            <w:r>
              <w:rPr>
                <w:sz w:val="20"/>
                <w:szCs w:val="20"/>
              </w:rPr>
              <w:t>PTRM – SCS (Attachment 8.003</w:t>
            </w:r>
            <w:r w:rsidRPr="007D68E5">
              <w:rPr>
                <w:sz w:val="20"/>
                <w:szCs w:val="20"/>
              </w:rPr>
              <w:t>)</w:t>
            </w:r>
          </w:p>
          <w:p w14:paraId="3E40EB0C" w14:textId="77777777" w:rsidR="00E169B4" w:rsidRPr="007D68E5" w:rsidRDefault="00E169B4" w:rsidP="00E169B4">
            <w:pPr>
              <w:pStyle w:val="Bullet1"/>
              <w:rPr>
                <w:sz w:val="20"/>
                <w:szCs w:val="20"/>
              </w:rPr>
            </w:pPr>
            <w:r>
              <w:rPr>
                <w:sz w:val="20"/>
                <w:szCs w:val="20"/>
              </w:rPr>
              <w:t>PTRM</w:t>
            </w:r>
            <w:r w:rsidRPr="007D68E5">
              <w:rPr>
                <w:sz w:val="20"/>
                <w:szCs w:val="20"/>
              </w:rPr>
              <w:t xml:space="preserve"> –</w:t>
            </w:r>
            <w:r>
              <w:rPr>
                <w:sz w:val="20"/>
                <w:szCs w:val="20"/>
              </w:rPr>
              <w:t xml:space="preserve"> ACS metering (Attachment 15.016</w:t>
            </w:r>
            <w:r w:rsidRPr="007D68E5">
              <w:rPr>
                <w:sz w:val="20"/>
                <w:szCs w:val="20"/>
              </w:rPr>
              <w:t>), and</w:t>
            </w:r>
          </w:p>
          <w:p w14:paraId="5B85EF3E" w14:textId="77777777" w:rsidR="00E169B4" w:rsidRDefault="00E169B4" w:rsidP="00E169B4">
            <w:pPr>
              <w:pStyle w:val="Bullet1"/>
              <w:rPr>
                <w:sz w:val="20"/>
                <w:szCs w:val="20"/>
              </w:rPr>
            </w:pPr>
            <w:r>
              <w:rPr>
                <w:sz w:val="20"/>
                <w:szCs w:val="20"/>
              </w:rPr>
              <w:t>PTRM</w:t>
            </w:r>
            <w:r w:rsidRPr="007D68E5">
              <w:rPr>
                <w:sz w:val="20"/>
                <w:szCs w:val="20"/>
              </w:rPr>
              <w:t xml:space="preserve"> – ACS </w:t>
            </w:r>
            <w:r>
              <w:rPr>
                <w:sz w:val="20"/>
                <w:szCs w:val="20"/>
              </w:rPr>
              <w:t>p</w:t>
            </w:r>
            <w:r w:rsidRPr="007D68E5">
              <w:rPr>
                <w:sz w:val="20"/>
                <w:szCs w:val="20"/>
              </w:rPr>
              <w:t>ublic</w:t>
            </w:r>
            <w:r>
              <w:rPr>
                <w:sz w:val="20"/>
                <w:szCs w:val="20"/>
              </w:rPr>
              <w:t xml:space="preserve"> lighting conventional (Attachment 15.018), and</w:t>
            </w:r>
          </w:p>
          <w:p w14:paraId="4A8170E2" w14:textId="3C380D18" w:rsidR="00E169B4" w:rsidRPr="002056FA" w:rsidRDefault="00E169B4" w:rsidP="00E169B4">
            <w:pPr>
              <w:pStyle w:val="TableCopy"/>
              <w:rPr>
                <w:rFonts w:eastAsia="Calibri"/>
                <w:lang w:eastAsia="en-US"/>
              </w:rPr>
            </w:pPr>
            <w:r>
              <w:t xml:space="preserve">PTRM – ACS public lighting LED (Attachment 15.020). </w:t>
            </w:r>
          </w:p>
        </w:tc>
      </w:tr>
      <w:tr w:rsidR="00E169B4" w:rsidRPr="002056FA" w14:paraId="2B1F0ED0" w14:textId="77777777" w:rsidTr="00E169B4">
        <w:tc>
          <w:tcPr>
            <w:tcW w:w="0" w:type="auto"/>
            <w:shd w:val="clear" w:color="auto" w:fill="auto"/>
          </w:tcPr>
          <w:p w14:paraId="22DFA5A2" w14:textId="6187FF27" w:rsidR="00E169B4" w:rsidRPr="002056FA" w:rsidRDefault="00E169B4" w:rsidP="00E169B4">
            <w:pPr>
              <w:pStyle w:val="TableCopy"/>
              <w:rPr>
                <w:rFonts w:eastAsia="Calibri"/>
                <w:color w:val="000000"/>
                <w:lang w:eastAsia="en-US"/>
              </w:rPr>
            </w:pPr>
            <w:r w:rsidRPr="002056FA">
              <w:rPr>
                <w:rFonts w:eastAsia="Calibri"/>
                <w:color w:val="000000"/>
                <w:lang w:eastAsia="en-US"/>
              </w:rPr>
              <w:t>26.2</w:t>
            </w:r>
          </w:p>
        </w:tc>
        <w:tc>
          <w:tcPr>
            <w:tcW w:w="0" w:type="auto"/>
            <w:shd w:val="clear" w:color="auto" w:fill="auto"/>
          </w:tcPr>
          <w:p w14:paraId="78E20CF8" w14:textId="395460D9" w:rsidR="00E169B4" w:rsidRPr="002056FA" w:rsidRDefault="00E169B4" w:rsidP="00E169B4">
            <w:pPr>
              <w:pStyle w:val="TableCopy"/>
              <w:rPr>
                <w:rFonts w:eastAsia="Calibri"/>
                <w:color w:val="000000"/>
                <w:lang w:eastAsia="en-US"/>
              </w:rPr>
            </w:pPr>
            <w:r w:rsidRPr="002056FA">
              <w:rPr>
                <w:rFonts w:eastAsia="Calibri"/>
                <w:color w:val="000000"/>
                <w:lang w:eastAsia="en-US"/>
              </w:rPr>
              <w:t>Provide details of any departure from the underlying methods in the AER’s roll forward model and post-tax revenue model for the calculations referred to in paragraph 26.1 and the reasons for that departure.</w:t>
            </w:r>
          </w:p>
        </w:tc>
        <w:tc>
          <w:tcPr>
            <w:tcW w:w="0" w:type="auto"/>
            <w:shd w:val="clear" w:color="auto" w:fill="auto"/>
          </w:tcPr>
          <w:p w14:paraId="75142AF6" w14:textId="77777777"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As noted in response to 25.2, Energex is not proposing any departure to the underlying methods in the </w:t>
            </w:r>
            <w:r>
              <w:rPr>
                <w:rFonts w:eastAsia="Calibri"/>
                <w:color w:val="000000"/>
                <w:lang w:eastAsia="en-US"/>
              </w:rPr>
              <w:t>RFM</w:t>
            </w:r>
            <w:r w:rsidRPr="002056FA">
              <w:rPr>
                <w:rFonts w:eastAsia="Calibri"/>
                <w:color w:val="000000"/>
                <w:lang w:eastAsia="en-US"/>
              </w:rPr>
              <w:t xml:space="preserve"> to the extent that they apply to the roll-forward of the </w:t>
            </w:r>
            <w:r>
              <w:rPr>
                <w:rFonts w:eastAsia="Calibri"/>
                <w:color w:val="000000"/>
                <w:lang w:eastAsia="en-US"/>
              </w:rPr>
              <w:t>RAB</w:t>
            </w:r>
            <w:r w:rsidRPr="002056FA">
              <w:rPr>
                <w:rFonts w:eastAsia="Calibri"/>
                <w:color w:val="000000"/>
                <w:lang w:eastAsia="en-US"/>
              </w:rPr>
              <w:t>.</w:t>
            </w:r>
          </w:p>
          <w:p w14:paraId="13186D20" w14:textId="21C1202C"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As noted in response to 21.2, Energex has departed from the AER’s </w:t>
            </w:r>
            <w:r>
              <w:rPr>
                <w:rFonts w:eastAsia="Calibri"/>
                <w:color w:val="000000"/>
                <w:lang w:eastAsia="en-US"/>
              </w:rPr>
              <w:t>PTRM</w:t>
            </w:r>
            <w:r w:rsidRPr="002056FA">
              <w:rPr>
                <w:rFonts w:eastAsia="Calibri"/>
                <w:color w:val="000000"/>
                <w:lang w:eastAsia="en-US"/>
              </w:rPr>
              <w:t xml:space="preserve"> by using the year-on-year tracking method to forecast depreciation of existing assets. This is explained this further in Chapter </w:t>
            </w:r>
            <w:r>
              <w:rPr>
                <w:rFonts w:eastAsia="Calibri"/>
                <w:color w:val="000000"/>
                <w:lang w:eastAsia="en-US"/>
              </w:rPr>
              <w:t>8</w:t>
            </w:r>
            <w:r w:rsidRPr="002056FA">
              <w:rPr>
                <w:rFonts w:eastAsia="Calibri"/>
                <w:color w:val="000000"/>
                <w:lang w:eastAsia="en-US"/>
              </w:rPr>
              <w:t xml:space="preserve"> of the Regulatory Proposal. </w:t>
            </w:r>
          </w:p>
        </w:tc>
      </w:tr>
      <w:tr w:rsidR="00E169B4" w:rsidRPr="002056FA" w14:paraId="3617F9EC" w14:textId="77777777" w:rsidTr="00E169B4">
        <w:tc>
          <w:tcPr>
            <w:tcW w:w="0" w:type="auto"/>
            <w:shd w:val="clear" w:color="auto" w:fill="auto"/>
          </w:tcPr>
          <w:p w14:paraId="0645DE0D" w14:textId="50DBAA8D"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26.3 </w:t>
            </w:r>
          </w:p>
        </w:tc>
        <w:tc>
          <w:tcPr>
            <w:tcW w:w="0" w:type="auto"/>
            <w:shd w:val="clear" w:color="auto" w:fill="auto"/>
          </w:tcPr>
          <w:p w14:paraId="416455CA" w14:textId="162AB892"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Identify any changes to standard </w:t>
            </w:r>
            <w:r w:rsidRPr="002056FA">
              <w:rPr>
                <w:rFonts w:eastAsia="Calibri"/>
                <w:iCs/>
                <w:color w:val="000000"/>
                <w:lang w:eastAsia="en-US"/>
              </w:rPr>
              <w:t xml:space="preserve">asset </w:t>
            </w:r>
            <w:r w:rsidRPr="002056FA">
              <w:rPr>
                <w:rFonts w:eastAsia="Calibri"/>
                <w:color w:val="000000"/>
                <w:lang w:eastAsia="en-US"/>
              </w:rPr>
              <w:t xml:space="preserve">lives for existing </w:t>
            </w:r>
            <w:r w:rsidRPr="002056FA">
              <w:rPr>
                <w:rFonts w:eastAsia="Calibri"/>
                <w:iCs/>
                <w:color w:val="000000"/>
                <w:lang w:eastAsia="en-US"/>
              </w:rPr>
              <w:t xml:space="preserve">asset </w:t>
            </w:r>
            <w:r w:rsidRPr="002056FA">
              <w:rPr>
                <w:rFonts w:eastAsia="Calibri"/>
                <w:color w:val="000000"/>
                <w:lang w:eastAsia="en-US"/>
              </w:rPr>
              <w:t xml:space="preserve">classes from the previous </w:t>
            </w:r>
            <w:r w:rsidRPr="002056FA">
              <w:rPr>
                <w:rFonts w:eastAsia="Calibri"/>
                <w:iCs/>
                <w:color w:val="000000"/>
                <w:lang w:eastAsia="en-US"/>
              </w:rPr>
              <w:t>determination</w:t>
            </w:r>
            <w:r w:rsidRPr="002056FA">
              <w:rPr>
                <w:rFonts w:eastAsia="Calibri"/>
                <w:color w:val="000000"/>
                <w:lang w:eastAsia="en-US"/>
              </w:rPr>
              <w:t xml:space="preserve">. Explain the reason(s) for each change and provide relevant supporting information. </w:t>
            </w:r>
          </w:p>
        </w:tc>
        <w:tc>
          <w:tcPr>
            <w:tcW w:w="0" w:type="auto"/>
            <w:shd w:val="clear" w:color="auto" w:fill="auto"/>
          </w:tcPr>
          <w:p w14:paraId="413C01A5" w14:textId="7FF7683E"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Chapter </w:t>
            </w:r>
            <w:r>
              <w:rPr>
                <w:rFonts w:eastAsia="Calibri"/>
                <w:color w:val="000000"/>
                <w:lang w:eastAsia="en-US"/>
              </w:rPr>
              <w:t>8</w:t>
            </w:r>
            <w:r w:rsidRPr="002056FA">
              <w:rPr>
                <w:rFonts w:eastAsia="Calibri"/>
                <w:color w:val="000000"/>
                <w:lang w:eastAsia="en-US"/>
              </w:rPr>
              <w:t xml:space="preserve"> of the Regulatory Proposal provides Energex’s standard asset lives. These are consistent with the previous determination.</w:t>
            </w:r>
            <w:r w:rsidRPr="002056FA">
              <w:rPr>
                <w:rFonts w:eastAsia="Calibri"/>
                <w:color w:val="0070C0"/>
                <w:lang w:eastAsia="en-US"/>
              </w:rPr>
              <w:t xml:space="preserve"> </w:t>
            </w:r>
          </w:p>
        </w:tc>
      </w:tr>
      <w:tr w:rsidR="00E169B4" w:rsidRPr="002056FA" w14:paraId="2BA19286" w14:textId="77777777" w:rsidTr="00E169B4">
        <w:tc>
          <w:tcPr>
            <w:tcW w:w="0" w:type="auto"/>
            <w:shd w:val="clear" w:color="auto" w:fill="auto"/>
          </w:tcPr>
          <w:p w14:paraId="4CF37852" w14:textId="707EF91E"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26.4 </w:t>
            </w:r>
          </w:p>
        </w:tc>
        <w:tc>
          <w:tcPr>
            <w:tcW w:w="0" w:type="auto"/>
            <w:shd w:val="clear" w:color="auto" w:fill="auto"/>
          </w:tcPr>
          <w:p w14:paraId="335BC5BF" w14:textId="5227D6F4"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Identify any changes to new </w:t>
            </w:r>
            <w:r w:rsidRPr="002056FA">
              <w:rPr>
                <w:rFonts w:eastAsia="Calibri"/>
                <w:iCs/>
                <w:color w:val="000000"/>
                <w:lang w:eastAsia="en-US"/>
              </w:rPr>
              <w:t xml:space="preserve">asset </w:t>
            </w:r>
            <w:r w:rsidRPr="002056FA">
              <w:rPr>
                <w:rFonts w:eastAsia="Calibri"/>
                <w:color w:val="000000"/>
                <w:lang w:eastAsia="en-US"/>
              </w:rPr>
              <w:t xml:space="preserve">classes from the previous </w:t>
            </w:r>
            <w:r w:rsidRPr="002056FA">
              <w:rPr>
                <w:rFonts w:eastAsia="Calibri"/>
                <w:iCs/>
                <w:color w:val="000000"/>
                <w:lang w:eastAsia="en-US"/>
              </w:rPr>
              <w:t>determination</w:t>
            </w:r>
            <w:r w:rsidRPr="002056FA">
              <w:rPr>
                <w:rFonts w:eastAsia="Calibri"/>
                <w:color w:val="000000"/>
                <w:lang w:eastAsia="en-US"/>
              </w:rPr>
              <w:t xml:space="preserve">. Explain the reason(s) for using these new </w:t>
            </w:r>
            <w:r w:rsidRPr="002056FA">
              <w:rPr>
                <w:rFonts w:eastAsia="Calibri"/>
                <w:iCs/>
                <w:color w:val="000000"/>
                <w:lang w:eastAsia="en-US"/>
              </w:rPr>
              <w:t xml:space="preserve">asset </w:t>
            </w:r>
            <w:r w:rsidRPr="002056FA">
              <w:rPr>
                <w:rFonts w:eastAsia="Calibri"/>
                <w:color w:val="000000"/>
                <w:lang w:eastAsia="en-US"/>
              </w:rPr>
              <w:t xml:space="preserve">classes and provide relevant supporting information on their proposed standard </w:t>
            </w:r>
            <w:r w:rsidRPr="002056FA">
              <w:rPr>
                <w:rFonts w:eastAsia="Calibri"/>
                <w:iCs/>
                <w:color w:val="000000"/>
                <w:lang w:eastAsia="en-US"/>
              </w:rPr>
              <w:t xml:space="preserve">asset </w:t>
            </w:r>
            <w:r w:rsidRPr="002056FA">
              <w:rPr>
                <w:rFonts w:eastAsia="Calibri"/>
                <w:color w:val="000000"/>
                <w:lang w:eastAsia="en-US"/>
              </w:rPr>
              <w:t xml:space="preserve">lives. </w:t>
            </w:r>
          </w:p>
        </w:tc>
        <w:tc>
          <w:tcPr>
            <w:tcW w:w="0" w:type="auto"/>
            <w:shd w:val="clear" w:color="auto" w:fill="auto"/>
          </w:tcPr>
          <w:p w14:paraId="62BDEFB3" w14:textId="5D6E2D6C"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Energex is proposing an additional asset class for legacy ICT assets as set out in Chapter </w:t>
            </w:r>
            <w:r>
              <w:rPr>
                <w:rFonts w:eastAsia="Calibri"/>
                <w:color w:val="000000"/>
                <w:lang w:eastAsia="en-US"/>
              </w:rPr>
              <w:t>8</w:t>
            </w:r>
            <w:r w:rsidRPr="002056FA">
              <w:rPr>
                <w:rFonts w:eastAsia="Calibri"/>
                <w:color w:val="000000"/>
                <w:lang w:eastAsia="en-US"/>
              </w:rPr>
              <w:t xml:space="preserve"> of the</w:t>
            </w:r>
            <w:r w:rsidRPr="002056FA">
              <w:rPr>
                <w:rFonts w:eastAsia="Calibri"/>
                <w:lang w:eastAsia="en-US"/>
              </w:rPr>
              <w:t xml:space="preserve"> </w:t>
            </w:r>
            <w:r w:rsidRPr="002056FA">
              <w:rPr>
                <w:rFonts w:eastAsia="Calibri"/>
                <w:color w:val="000000"/>
                <w:lang w:eastAsia="en-US"/>
              </w:rPr>
              <w:t>Regulatory Proposal.</w:t>
            </w:r>
          </w:p>
        </w:tc>
      </w:tr>
      <w:tr w:rsidR="00E169B4" w:rsidRPr="002056FA" w14:paraId="4D02096C" w14:textId="77777777" w:rsidTr="00E169B4">
        <w:tc>
          <w:tcPr>
            <w:tcW w:w="0" w:type="auto"/>
            <w:shd w:val="clear" w:color="auto" w:fill="auto"/>
          </w:tcPr>
          <w:p w14:paraId="43E45E78" w14:textId="6230406F"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26.5 </w:t>
            </w:r>
          </w:p>
        </w:tc>
        <w:tc>
          <w:tcPr>
            <w:tcW w:w="0" w:type="auto"/>
            <w:shd w:val="clear" w:color="auto" w:fill="auto"/>
          </w:tcPr>
          <w:p w14:paraId="2B0902B4" w14:textId="7024D81C"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If any existing </w:t>
            </w:r>
            <w:r w:rsidRPr="002056FA">
              <w:rPr>
                <w:rFonts w:eastAsia="Calibri"/>
                <w:iCs/>
                <w:color w:val="000000"/>
                <w:lang w:eastAsia="en-US"/>
              </w:rPr>
              <w:t xml:space="preserve">asset </w:t>
            </w:r>
            <w:r w:rsidRPr="002056FA">
              <w:rPr>
                <w:rFonts w:eastAsia="Calibri"/>
                <w:color w:val="000000"/>
                <w:lang w:eastAsia="en-US"/>
              </w:rPr>
              <w:t xml:space="preserve">classes from the previous </w:t>
            </w:r>
            <w:r w:rsidRPr="002056FA">
              <w:rPr>
                <w:rFonts w:eastAsia="Calibri"/>
                <w:iCs/>
                <w:color w:val="000000"/>
                <w:lang w:eastAsia="en-US"/>
              </w:rPr>
              <w:t xml:space="preserve">determination </w:t>
            </w:r>
            <w:r w:rsidRPr="002056FA">
              <w:rPr>
                <w:rFonts w:eastAsia="Calibri"/>
                <w:color w:val="000000"/>
                <w:lang w:eastAsia="en-US"/>
              </w:rPr>
              <w:t xml:space="preserve">are proposed to be removed and their residual values to be reallocated to other </w:t>
            </w:r>
            <w:r w:rsidRPr="002056FA">
              <w:rPr>
                <w:rFonts w:eastAsia="Calibri"/>
                <w:iCs/>
                <w:color w:val="000000"/>
                <w:lang w:eastAsia="en-US"/>
              </w:rPr>
              <w:t xml:space="preserve">asset </w:t>
            </w:r>
            <w:r w:rsidRPr="002056FA">
              <w:rPr>
                <w:rFonts w:eastAsia="Calibri"/>
                <w:color w:val="000000"/>
                <w:lang w:eastAsia="en-US"/>
              </w:rPr>
              <w:t>classes, explain the reason(s) for the change and provide relevant supporting information. This should include a demonstration of the materiality of the change on the forecast depreciation allowance.</w:t>
            </w:r>
          </w:p>
        </w:tc>
        <w:tc>
          <w:tcPr>
            <w:tcW w:w="0" w:type="auto"/>
            <w:shd w:val="clear" w:color="auto" w:fill="auto"/>
          </w:tcPr>
          <w:p w14:paraId="13B97674" w14:textId="508398B1" w:rsidR="00E169B4" w:rsidRPr="002056FA" w:rsidRDefault="00E169B4" w:rsidP="00E169B4">
            <w:pPr>
              <w:pStyle w:val="TableCopy"/>
              <w:rPr>
                <w:rFonts w:eastAsia="Calibri"/>
                <w:color w:val="000000"/>
                <w:lang w:eastAsia="en-US"/>
              </w:rPr>
            </w:pPr>
            <w:r w:rsidRPr="002056FA">
              <w:rPr>
                <w:rFonts w:eastAsia="Calibri"/>
                <w:color w:val="000000"/>
                <w:lang w:eastAsia="en-US"/>
              </w:rPr>
              <w:t>Energex is not proposing to remove any asset class.</w:t>
            </w:r>
          </w:p>
        </w:tc>
      </w:tr>
      <w:tr w:rsidR="00E169B4" w:rsidRPr="002056FA" w14:paraId="6EF21D95" w14:textId="77777777" w:rsidTr="00E169B4">
        <w:tc>
          <w:tcPr>
            <w:tcW w:w="0" w:type="auto"/>
            <w:tcBorders>
              <w:bottom w:val="single" w:sz="4" w:space="0" w:color="auto"/>
            </w:tcBorders>
            <w:shd w:val="clear" w:color="auto" w:fill="auto"/>
          </w:tcPr>
          <w:p w14:paraId="3864CC32" w14:textId="5965BF6F"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26.6 </w:t>
            </w:r>
          </w:p>
        </w:tc>
        <w:tc>
          <w:tcPr>
            <w:tcW w:w="0" w:type="auto"/>
            <w:tcBorders>
              <w:bottom w:val="single" w:sz="4" w:space="0" w:color="auto"/>
            </w:tcBorders>
            <w:shd w:val="clear" w:color="auto" w:fill="auto"/>
          </w:tcPr>
          <w:p w14:paraId="0DFA5955" w14:textId="2F6DEB27"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Describe the method used to depreciate existing </w:t>
            </w:r>
            <w:r w:rsidRPr="002056FA">
              <w:rPr>
                <w:rFonts w:eastAsia="Calibri"/>
                <w:iCs/>
                <w:color w:val="000000"/>
                <w:lang w:eastAsia="en-US"/>
              </w:rPr>
              <w:t xml:space="preserve">asset </w:t>
            </w:r>
            <w:r w:rsidRPr="002056FA">
              <w:rPr>
                <w:rFonts w:eastAsia="Calibri"/>
                <w:color w:val="000000"/>
                <w:lang w:eastAsia="en-US"/>
              </w:rPr>
              <w:t xml:space="preserve">classes as at 1 July 2020 (the start of the </w:t>
            </w:r>
            <w:r w:rsidRPr="002056FA">
              <w:rPr>
                <w:rFonts w:eastAsia="Calibri"/>
                <w:iCs/>
                <w:color w:val="000000"/>
                <w:lang w:eastAsia="en-US"/>
              </w:rPr>
              <w:t>forthcoming regulatory control period</w:t>
            </w:r>
            <w:r w:rsidRPr="002056FA">
              <w:rPr>
                <w:rFonts w:eastAsia="Calibri"/>
                <w:color w:val="000000"/>
                <w:lang w:eastAsia="en-US"/>
              </w:rPr>
              <w:t xml:space="preserve">) and provide supporting calculations, if the approach differs from that in the </w:t>
            </w:r>
            <w:r w:rsidRPr="002056FA">
              <w:rPr>
                <w:rFonts w:eastAsia="Calibri"/>
                <w:iCs/>
                <w:color w:val="000000"/>
                <w:lang w:eastAsia="en-US"/>
              </w:rPr>
              <w:t>roll forward model</w:t>
            </w:r>
            <w:r w:rsidRPr="002056FA">
              <w:rPr>
                <w:rFonts w:eastAsia="Calibri"/>
                <w:color w:val="000000"/>
                <w:lang w:eastAsia="en-US"/>
              </w:rPr>
              <w:t xml:space="preserve">. </w:t>
            </w:r>
          </w:p>
        </w:tc>
        <w:tc>
          <w:tcPr>
            <w:tcW w:w="0" w:type="auto"/>
            <w:tcBorders>
              <w:bottom w:val="single" w:sz="4" w:space="0" w:color="auto"/>
            </w:tcBorders>
            <w:shd w:val="clear" w:color="auto" w:fill="auto"/>
          </w:tcPr>
          <w:p w14:paraId="5841CA13" w14:textId="26E30B3D"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As noted in response to 21.2 and 26.2, Energex is proposing to adopt the year on year tracking method to depreciate existing assets as at 1 July 2020. </w:t>
            </w:r>
          </w:p>
        </w:tc>
      </w:tr>
      <w:tr w:rsidR="00E169B4" w:rsidRPr="002056FA" w14:paraId="5C192D7D" w14:textId="77777777" w:rsidTr="00E169B4">
        <w:tc>
          <w:tcPr>
            <w:tcW w:w="0" w:type="auto"/>
            <w:shd w:val="clear" w:color="auto" w:fill="D0CECE" w:themeFill="background2" w:themeFillShade="E6"/>
          </w:tcPr>
          <w:p w14:paraId="0E6C37EC" w14:textId="4CF30840" w:rsidR="00E169B4" w:rsidRPr="002056FA" w:rsidRDefault="00E169B4" w:rsidP="00E169B4">
            <w:pPr>
              <w:pStyle w:val="TableCopy"/>
              <w:rPr>
                <w:rFonts w:eastAsia="Calibri"/>
                <w:color w:val="000000"/>
                <w:lang w:eastAsia="en-US"/>
              </w:rPr>
            </w:pPr>
            <w:r w:rsidRPr="002056FA">
              <w:rPr>
                <w:rFonts w:eastAsia="Calibri"/>
                <w:b/>
                <w:color w:val="000000"/>
                <w:lang w:eastAsia="en-US"/>
              </w:rPr>
              <w:t>27</w:t>
            </w:r>
          </w:p>
        </w:tc>
        <w:tc>
          <w:tcPr>
            <w:tcW w:w="0" w:type="auto"/>
            <w:shd w:val="clear" w:color="auto" w:fill="D0CECE" w:themeFill="background2" w:themeFillShade="E6"/>
          </w:tcPr>
          <w:p w14:paraId="68AA0C0F" w14:textId="2290520C" w:rsidR="00E169B4" w:rsidRPr="002056FA" w:rsidRDefault="00E169B4" w:rsidP="00E169B4">
            <w:pPr>
              <w:pStyle w:val="TableCopy"/>
              <w:rPr>
                <w:rFonts w:eastAsia="Calibri"/>
                <w:color w:val="000000"/>
                <w:lang w:eastAsia="en-US"/>
              </w:rPr>
            </w:pPr>
            <w:r w:rsidRPr="002056FA">
              <w:rPr>
                <w:rFonts w:eastAsia="Calibri"/>
                <w:b/>
                <w:color w:val="000000"/>
                <w:lang w:eastAsia="en-US"/>
              </w:rPr>
              <w:t xml:space="preserve">CORPORATE TAX ALLOWANCE </w:t>
            </w:r>
          </w:p>
        </w:tc>
        <w:tc>
          <w:tcPr>
            <w:tcW w:w="0" w:type="auto"/>
            <w:shd w:val="clear" w:color="auto" w:fill="D0CECE" w:themeFill="background2" w:themeFillShade="E6"/>
          </w:tcPr>
          <w:p w14:paraId="5E9D858C" w14:textId="77777777" w:rsidR="00E169B4" w:rsidRPr="002056FA" w:rsidRDefault="00E169B4" w:rsidP="00E169B4">
            <w:pPr>
              <w:pStyle w:val="TableCopy"/>
              <w:rPr>
                <w:rFonts w:eastAsia="Calibri"/>
                <w:color w:val="000000"/>
                <w:lang w:eastAsia="en-US"/>
              </w:rPr>
            </w:pPr>
          </w:p>
        </w:tc>
      </w:tr>
      <w:tr w:rsidR="00E169B4" w:rsidRPr="002056FA" w14:paraId="66041685" w14:textId="77777777" w:rsidTr="00E169B4">
        <w:tc>
          <w:tcPr>
            <w:tcW w:w="0" w:type="auto"/>
            <w:shd w:val="clear" w:color="auto" w:fill="auto"/>
          </w:tcPr>
          <w:p w14:paraId="535636CA" w14:textId="45E0D2E5" w:rsidR="00E169B4" w:rsidRPr="002056FA" w:rsidRDefault="00E169B4" w:rsidP="00E169B4">
            <w:pPr>
              <w:pStyle w:val="TableCopy"/>
              <w:rPr>
                <w:rFonts w:eastAsia="Calibri"/>
                <w:b/>
                <w:color w:val="000000"/>
                <w:lang w:eastAsia="en-US"/>
              </w:rPr>
            </w:pPr>
            <w:r w:rsidRPr="002056FA">
              <w:rPr>
                <w:rFonts w:eastAsia="Calibri"/>
                <w:color w:val="000000"/>
                <w:lang w:eastAsia="en-US"/>
              </w:rPr>
              <w:t xml:space="preserve">27.1 </w:t>
            </w:r>
          </w:p>
        </w:tc>
        <w:tc>
          <w:tcPr>
            <w:tcW w:w="0" w:type="auto"/>
            <w:shd w:val="clear" w:color="auto" w:fill="auto"/>
          </w:tcPr>
          <w:p w14:paraId="2D80C218" w14:textId="5D076837" w:rsidR="00E169B4" w:rsidRPr="002056FA" w:rsidRDefault="00E169B4" w:rsidP="00E169B4">
            <w:pPr>
              <w:pStyle w:val="TableCopy"/>
              <w:rPr>
                <w:rFonts w:eastAsia="Calibri"/>
                <w:b/>
                <w:color w:val="000000"/>
                <w:lang w:eastAsia="en-US"/>
              </w:rPr>
            </w:pPr>
            <w:r w:rsidRPr="002056FA">
              <w:rPr>
                <w:rFonts w:eastAsia="Calibri"/>
                <w:color w:val="000000"/>
                <w:lang w:eastAsia="en-US"/>
              </w:rPr>
              <w:t xml:space="preserve">Provide </w:t>
            </w:r>
            <w:r w:rsidRPr="002056FA">
              <w:rPr>
                <w:rFonts w:eastAsia="Calibri"/>
                <w:iCs/>
                <w:color w:val="000000"/>
                <w:lang w:eastAsia="en-US"/>
              </w:rPr>
              <w:t xml:space="preserve">Energex ’s </w:t>
            </w:r>
            <w:r w:rsidRPr="002056FA">
              <w:rPr>
                <w:rFonts w:eastAsia="Calibri"/>
                <w:color w:val="000000"/>
                <w:lang w:eastAsia="en-US"/>
              </w:rPr>
              <w:t xml:space="preserve">calculation of the estimated cost of corporate income tax for the </w:t>
            </w:r>
            <w:r w:rsidRPr="002056FA">
              <w:rPr>
                <w:rFonts w:eastAsia="Calibri"/>
                <w:iCs/>
                <w:color w:val="000000"/>
                <w:lang w:eastAsia="en-US"/>
              </w:rPr>
              <w:t xml:space="preserve">forthcoming regulatory control period </w:t>
            </w:r>
            <w:r w:rsidRPr="002056FA">
              <w:rPr>
                <w:rFonts w:eastAsia="Calibri"/>
                <w:color w:val="000000"/>
                <w:lang w:eastAsia="en-US"/>
              </w:rPr>
              <w:t xml:space="preserve">using the </w:t>
            </w:r>
            <w:r w:rsidRPr="002056FA">
              <w:rPr>
                <w:rFonts w:eastAsia="Calibri"/>
                <w:iCs/>
                <w:color w:val="000000"/>
                <w:lang w:eastAsia="en-US"/>
              </w:rPr>
              <w:t>AER’s post-tax revenue model</w:t>
            </w:r>
            <w:r w:rsidRPr="002056FA">
              <w:rPr>
                <w:rFonts w:eastAsia="Calibri"/>
                <w:color w:val="000000"/>
                <w:lang w:eastAsia="en-US"/>
              </w:rPr>
              <w:t xml:space="preserve">, which is to be submitted as part of the </w:t>
            </w:r>
            <w:r w:rsidRPr="002056FA">
              <w:rPr>
                <w:rFonts w:eastAsia="Calibri"/>
                <w:iCs/>
                <w:color w:val="000000"/>
                <w:lang w:eastAsia="en-US"/>
              </w:rPr>
              <w:t>regulatory proposal</w:t>
            </w:r>
            <w:r w:rsidRPr="002056FA">
              <w:rPr>
                <w:rFonts w:eastAsia="Calibri"/>
                <w:color w:val="000000"/>
                <w:lang w:eastAsia="en-US"/>
              </w:rPr>
              <w:t xml:space="preserve">. </w:t>
            </w:r>
          </w:p>
        </w:tc>
        <w:tc>
          <w:tcPr>
            <w:tcW w:w="0" w:type="auto"/>
            <w:shd w:val="clear" w:color="auto" w:fill="auto"/>
          </w:tcPr>
          <w:p w14:paraId="0035FBB2" w14:textId="77777777" w:rsidR="00E169B4" w:rsidRPr="002056FA" w:rsidRDefault="00E169B4" w:rsidP="00E169B4">
            <w:pPr>
              <w:pStyle w:val="TableCopy"/>
              <w:rPr>
                <w:rFonts w:eastAsia="Calibri"/>
                <w:color w:val="000000"/>
                <w:lang w:eastAsia="en-US"/>
              </w:rPr>
            </w:pPr>
            <w:r w:rsidRPr="002056FA">
              <w:rPr>
                <w:rFonts w:eastAsia="Calibri"/>
                <w:color w:val="000000"/>
                <w:lang w:eastAsia="en-US"/>
              </w:rPr>
              <w:t>Energex’s corporate income tax forecast is provided in:</w:t>
            </w:r>
          </w:p>
          <w:p w14:paraId="32059CDA" w14:textId="77777777" w:rsidR="00E169B4" w:rsidRPr="007D68E5" w:rsidRDefault="00E169B4" w:rsidP="00E169B4">
            <w:pPr>
              <w:pStyle w:val="Bullet1"/>
              <w:rPr>
                <w:sz w:val="20"/>
                <w:szCs w:val="20"/>
              </w:rPr>
            </w:pPr>
            <w:r>
              <w:rPr>
                <w:sz w:val="20"/>
                <w:szCs w:val="20"/>
              </w:rPr>
              <w:t>PTRM – SCS (Attachment 8.003</w:t>
            </w:r>
            <w:r w:rsidRPr="007D68E5">
              <w:rPr>
                <w:sz w:val="20"/>
                <w:szCs w:val="20"/>
              </w:rPr>
              <w:t>)</w:t>
            </w:r>
          </w:p>
          <w:p w14:paraId="1C5F3216" w14:textId="77777777" w:rsidR="00E169B4" w:rsidRPr="007D68E5" w:rsidRDefault="00E169B4" w:rsidP="00E169B4">
            <w:pPr>
              <w:pStyle w:val="Bullet1"/>
              <w:rPr>
                <w:sz w:val="20"/>
                <w:szCs w:val="20"/>
              </w:rPr>
            </w:pPr>
            <w:r>
              <w:rPr>
                <w:sz w:val="20"/>
                <w:szCs w:val="20"/>
              </w:rPr>
              <w:t>PTRM</w:t>
            </w:r>
            <w:r w:rsidRPr="007D68E5">
              <w:rPr>
                <w:sz w:val="20"/>
                <w:szCs w:val="20"/>
              </w:rPr>
              <w:t xml:space="preserve"> –</w:t>
            </w:r>
            <w:r>
              <w:rPr>
                <w:sz w:val="20"/>
                <w:szCs w:val="20"/>
              </w:rPr>
              <w:t xml:space="preserve"> ACS metering (Attachment 15.016</w:t>
            </w:r>
            <w:r w:rsidRPr="007D68E5">
              <w:rPr>
                <w:sz w:val="20"/>
                <w:szCs w:val="20"/>
              </w:rPr>
              <w:t>)</w:t>
            </w:r>
          </w:p>
          <w:p w14:paraId="0B114485" w14:textId="77777777" w:rsidR="00E169B4" w:rsidRDefault="00E169B4" w:rsidP="00E169B4">
            <w:pPr>
              <w:pStyle w:val="Bullet1"/>
              <w:rPr>
                <w:sz w:val="20"/>
                <w:szCs w:val="20"/>
              </w:rPr>
            </w:pPr>
            <w:r>
              <w:rPr>
                <w:sz w:val="20"/>
                <w:szCs w:val="20"/>
              </w:rPr>
              <w:t>PTRM</w:t>
            </w:r>
            <w:r w:rsidRPr="007D68E5">
              <w:rPr>
                <w:sz w:val="20"/>
                <w:szCs w:val="20"/>
              </w:rPr>
              <w:t xml:space="preserve"> – ACS </w:t>
            </w:r>
            <w:r>
              <w:rPr>
                <w:sz w:val="20"/>
                <w:szCs w:val="20"/>
              </w:rPr>
              <w:t>p</w:t>
            </w:r>
            <w:r w:rsidRPr="007D68E5">
              <w:rPr>
                <w:sz w:val="20"/>
                <w:szCs w:val="20"/>
              </w:rPr>
              <w:t>ublic</w:t>
            </w:r>
            <w:r>
              <w:rPr>
                <w:sz w:val="20"/>
                <w:szCs w:val="20"/>
              </w:rPr>
              <w:t xml:space="preserve"> lighting conventional (Attachment 15.018), and</w:t>
            </w:r>
          </w:p>
          <w:p w14:paraId="307E6395" w14:textId="77777777" w:rsidR="00E169B4" w:rsidRPr="007D68E5" w:rsidRDefault="00E169B4" w:rsidP="00E169B4">
            <w:pPr>
              <w:pStyle w:val="Bullet1"/>
              <w:rPr>
                <w:sz w:val="20"/>
                <w:szCs w:val="20"/>
              </w:rPr>
            </w:pPr>
            <w:r>
              <w:rPr>
                <w:sz w:val="20"/>
                <w:szCs w:val="20"/>
              </w:rPr>
              <w:t xml:space="preserve">PTRM – ACS public lighting LED (Attachment 15.020). </w:t>
            </w:r>
          </w:p>
          <w:p w14:paraId="3FA2DCF9" w14:textId="7BBF069E"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Relevant calculations are explained in Chapter </w:t>
            </w:r>
            <w:r>
              <w:rPr>
                <w:rFonts w:eastAsia="Calibri"/>
                <w:color w:val="000000"/>
                <w:lang w:eastAsia="en-US"/>
              </w:rPr>
              <w:t>10</w:t>
            </w:r>
            <w:r w:rsidRPr="002056FA">
              <w:rPr>
                <w:rFonts w:eastAsia="Calibri"/>
                <w:color w:val="000000"/>
                <w:lang w:eastAsia="en-US"/>
              </w:rPr>
              <w:t xml:space="preserve"> of Energex’s Regulatory Proposal.</w:t>
            </w:r>
          </w:p>
        </w:tc>
      </w:tr>
      <w:tr w:rsidR="00E169B4" w:rsidRPr="002056FA" w14:paraId="27E6D8B1" w14:textId="77777777" w:rsidTr="00E169B4">
        <w:tc>
          <w:tcPr>
            <w:tcW w:w="0" w:type="auto"/>
            <w:shd w:val="clear" w:color="auto" w:fill="auto"/>
          </w:tcPr>
          <w:p w14:paraId="5C12F69D" w14:textId="5E13C8A1" w:rsidR="00E169B4" w:rsidRPr="002056FA" w:rsidRDefault="00E169B4" w:rsidP="00E169B4">
            <w:pPr>
              <w:pStyle w:val="TableCopy"/>
              <w:rPr>
                <w:rFonts w:eastAsia="Calibri"/>
                <w:color w:val="000000"/>
                <w:lang w:eastAsia="en-US"/>
              </w:rPr>
            </w:pPr>
            <w:r w:rsidRPr="002056FA">
              <w:rPr>
                <w:rFonts w:eastAsia="Calibri"/>
                <w:color w:val="000000"/>
                <w:lang w:eastAsia="en-US"/>
              </w:rPr>
              <w:t>27.2</w:t>
            </w:r>
          </w:p>
        </w:tc>
        <w:tc>
          <w:tcPr>
            <w:tcW w:w="0" w:type="auto"/>
            <w:shd w:val="clear" w:color="auto" w:fill="auto"/>
          </w:tcPr>
          <w:p w14:paraId="5E8BC5C4" w14:textId="3804A985" w:rsidR="00E169B4" w:rsidRPr="002056FA" w:rsidRDefault="00E169B4" w:rsidP="00E169B4">
            <w:pPr>
              <w:pStyle w:val="TableCopy"/>
              <w:rPr>
                <w:rFonts w:eastAsia="Calibri"/>
                <w:color w:val="000000"/>
                <w:lang w:eastAsia="en-US"/>
              </w:rPr>
            </w:pPr>
            <w:r w:rsidRPr="002056FA">
              <w:rPr>
                <w:rFonts w:eastAsia="Calibri"/>
                <w:color w:val="000000"/>
                <w:lang w:eastAsia="en-US"/>
              </w:rPr>
              <w:t>Provide details of each departure from the AER’s post-tax revenue model for the calculations referred to in paragraph 27.1 and the reasons for that departure.</w:t>
            </w:r>
          </w:p>
        </w:tc>
        <w:tc>
          <w:tcPr>
            <w:tcW w:w="0" w:type="auto"/>
            <w:shd w:val="clear" w:color="auto" w:fill="auto"/>
          </w:tcPr>
          <w:p w14:paraId="332EDD26" w14:textId="25E835C6"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Energex is proposing no departures to how the cost of corporate income tax is calculated in the AER’s </w:t>
            </w:r>
            <w:r>
              <w:rPr>
                <w:rFonts w:eastAsia="Calibri"/>
                <w:color w:val="000000"/>
                <w:lang w:eastAsia="en-US"/>
              </w:rPr>
              <w:t>PTRM (Attachment 8.003)</w:t>
            </w:r>
            <w:r w:rsidRPr="002056FA">
              <w:rPr>
                <w:rFonts w:eastAsia="Calibri"/>
                <w:color w:val="000000"/>
                <w:lang w:eastAsia="en-US"/>
              </w:rPr>
              <w:t>.</w:t>
            </w:r>
          </w:p>
        </w:tc>
      </w:tr>
      <w:tr w:rsidR="00E169B4" w:rsidRPr="002056FA" w14:paraId="4FF8C7B7" w14:textId="77777777" w:rsidTr="00E169B4">
        <w:tc>
          <w:tcPr>
            <w:tcW w:w="0" w:type="auto"/>
            <w:shd w:val="clear" w:color="auto" w:fill="auto"/>
          </w:tcPr>
          <w:p w14:paraId="704D03C9" w14:textId="16128F39" w:rsidR="00E169B4" w:rsidRPr="002056FA" w:rsidRDefault="00E169B4" w:rsidP="00E169B4">
            <w:pPr>
              <w:pStyle w:val="TableCopy"/>
              <w:rPr>
                <w:rFonts w:eastAsia="Calibri"/>
                <w:color w:val="000000"/>
                <w:lang w:eastAsia="en-US"/>
              </w:rPr>
            </w:pPr>
            <w:r w:rsidRPr="002056FA">
              <w:rPr>
                <w:rFonts w:eastAsia="Calibri"/>
                <w:color w:val="000000"/>
                <w:lang w:eastAsia="en-US"/>
              </w:rPr>
              <w:t>27.3</w:t>
            </w:r>
          </w:p>
        </w:tc>
        <w:tc>
          <w:tcPr>
            <w:tcW w:w="0" w:type="auto"/>
            <w:shd w:val="clear" w:color="auto" w:fill="auto"/>
          </w:tcPr>
          <w:p w14:paraId="55973147" w14:textId="610D4C15" w:rsidR="00E169B4" w:rsidRPr="002056FA" w:rsidRDefault="00E169B4" w:rsidP="00E169B4">
            <w:pPr>
              <w:pStyle w:val="TableCopy"/>
              <w:rPr>
                <w:rFonts w:eastAsia="Calibri"/>
                <w:color w:val="000000"/>
                <w:lang w:eastAsia="en-US"/>
              </w:rPr>
            </w:pPr>
            <w:r w:rsidRPr="002056FA">
              <w:rPr>
                <w:rFonts w:eastAsia="Calibri"/>
                <w:color w:val="000000"/>
                <w:lang w:eastAsia="en-US"/>
              </w:rPr>
              <w:t>Identify each change to standard tax asset lives for existing asset classes from the previous determination. Explain the reason(s) for the change and provide relevant supporting information, including Commonwealth  tax laws governing depreciation for tax purposes.</w:t>
            </w:r>
          </w:p>
        </w:tc>
        <w:tc>
          <w:tcPr>
            <w:tcW w:w="0" w:type="auto"/>
            <w:shd w:val="clear" w:color="auto" w:fill="auto"/>
          </w:tcPr>
          <w:p w14:paraId="244A42FE" w14:textId="562C9B51"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Chapter </w:t>
            </w:r>
            <w:r>
              <w:rPr>
                <w:rFonts w:eastAsia="Calibri"/>
                <w:color w:val="000000"/>
                <w:lang w:eastAsia="en-US"/>
              </w:rPr>
              <w:t>10</w:t>
            </w:r>
            <w:r w:rsidRPr="002056FA">
              <w:rPr>
                <w:rFonts w:eastAsia="Calibri"/>
                <w:color w:val="000000"/>
                <w:lang w:eastAsia="en-US"/>
              </w:rPr>
              <w:t xml:space="preserve"> of the Regulatory Proposal provides Energex’s standard tax asset lives and explains any changes from previous determination</w:t>
            </w:r>
          </w:p>
        </w:tc>
      </w:tr>
      <w:tr w:rsidR="00E169B4" w:rsidRPr="002056FA" w14:paraId="0D739C7B" w14:textId="77777777" w:rsidTr="00E169B4">
        <w:tc>
          <w:tcPr>
            <w:tcW w:w="0" w:type="auto"/>
            <w:shd w:val="clear" w:color="auto" w:fill="auto"/>
          </w:tcPr>
          <w:p w14:paraId="4B0AD4EE" w14:textId="2746DF2B" w:rsidR="00E169B4" w:rsidRPr="002056FA" w:rsidRDefault="00E169B4" w:rsidP="00E169B4">
            <w:pPr>
              <w:pStyle w:val="TableCopy"/>
              <w:rPr>
                <w:rFonts w:eastAsia="Calibri"/>
                <w:color w:val="000000"/>
                <w:lang w:eastAsia="en-US"/>
              </w:rPr>
            </w:pPr>
            <w:r w:rsidRPr="002056FA">
              <w:rPr>
                <w:rFonts w:eastAsia="Calibri"/>
                <w:color w:val="000000"/>
                <w:lang w:eastAsia="en-US"/>
              </w:rPr>
              <w:t>27.4</w:t>
            </w:r>
          </w:p>
        </w:tc>
        <w:tc>
          <w:tcPr>
            <w:tcW w:w="0" w:type="auto"/>
            <w:shd w:val="clear" w:color="auto" w:fill="auto"/>
          </w:tcPr>
          <w:p w14:paraId="79977D48" w14:textId="64EC4F35" w:rsidR="00E169B4" w:rsidRPr="002056FA" w:rsidRDefault="00E169B4" w:rsidP="00E169B4">
            <w:pPr>
              <w:pStyle w:val="TableCopy"/>
              <w:rPr>
                <w:rFonts w:eastAsia="Calibri"/>
                <w:color w:val="000000"/>
                <w:lang w:eastAsia="en-US"/>
              </w:rPr>
            </w:pPr>
            <w:r w:rsidRPr="002056FA">
              <w:rPr>
                <w:rFonts w:eastAsia="Calibri"/>
                <w:color w:val="000000"/>
                <w:lang w:eastAsia="en-US"/>
              </w:rPr>
              <w:t>Describe the method used to depreciate existing asset classes as at 1 July 2020 (the start of the forthcoming regulatory control period) for tax purposes and provide supporting calculations, if the approach differs from that in the roll forward model.</w:t>
            </w:r>
          </w:p>
        </w:tc>
        <w:tc>
          <w:tcPr>
            <w:tcW w:w="0" w:type="auto"/>
            <w:shd w:val="clear" w:color="auto" w:fill="auto"/>
          </w:tcPr>
          <w:p w14:paraId="43AE36A8" w14:textId="58A7953F"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These are identified and explained Chapter </w:t>
            </w:r>
            <w:r>
              <w:rPr>
                <w:rFonts w:eastAsia="Calibri"/>
                <w:color w:val="000000"/>
                <w:lang w:eastAsia="en-US"/>
              </w:rPr>
              <w:t>8</w:t>
            </w:r>
            <w:r w:rsidRPr="002056FA">
              <w:rPr>
                <w:rFonts w:eastAsia="Calibri"/>
                <w:color w:val="000000"/>
                <w:lang w:eastAsia="en-US"/>
              </w:rPr>
              <w:t xml:space="preserve"> of Energex’s Regulatory Proposal</w:t>
            </w:r>
            <w:r w:rsidRPr="002056FA">
              <w:rPr>
                <w:rFonts w:eastAsia="Calibri"/>
                <w:color w:val="0070C0"/>
                <w:lang w:eastAsia="en-US"/>
              </w:rPr>
              <w:t>.</w:t>
            </w:r>
          </w:p>
        </w:tc>
      </w:tr>
      <w:tr w:rsidR="00E169B4" w:rsidRPr="002056FA" w14:paraId="4D85867C" w14:textId="77777777" w:rsidTr="00E169B4">
        <w:tc>
          <w:tcPr>
            <w:tcW w:w="0" w:type="auto"/>
            <w:shd w:val="clear" w:color="auto" w:fill="auto"/>
          </w:tcPr>
          <w:p w14:paraId="73F1DD4F" w14:textId="16851AF1" w:rsidR="00E169B4" w:rsidRPr="002056FA" w:rsidRDefault="00E169B4" w:rsidP="00E169B4">
            <w:pPr>
              <w:pStyle w:val="TableCopy"/>
              <w:rPr>
                <w:rFonts w:eastAsia="Calibri"/>
                <w:color w:val="000000"/>
                <w:lang w:eastAsia="en-US"/>
              </w:rPr>
            </w:pPr>
            <w:r w:rsidRPr="002056FA">
              <w:rPr>
                <w:rFonts w:eastAsia="Calibri"/>
                <w:color w:val="000000"/>
                <w:lang w:eastAsia="en-US"/>
              </w:rPr>
              <w:t>27.5</w:t>
            </w:r>
          </w:p>
        </w:tc>
        <w:tc>
          <w:tcPr>
            <w:tcW w:w="0" w:type="auto"/>
            <w:shd w:val="clear" w:color="auto" w:fill="auto"/>
          </w:tcPr>
          <w:p w14:paraId="20C41351" w14:textId="0B674581" w:rsidR="00E169B4" w:rsidRPr="002056FA" w:rsidRDefault="00E169B4" w:rsidP="00E169B4">
            <w:pPr>
              <w:pStyle w:val="TableCopy"/>
              <w:rPr>
                <w:rFonts w:eastAsia="Calibri"/>
                <w:color w:val="000000"/>
                <w:lang w:eastAsia="en-US"/>
              </w:rPr>
            </w:pPr>
            <w:r w:rsidRPr="002056FA">
              <w:rPr>
                <w:rFonts w:eastAsia="Calibri"/>
                <w:color w:val="000000"/>
                <w:lang w:eastAsia="en-US"/>
              </w:rPr>
              <w:t>Provide Energex’s calculation of the tax asset base for the relevant system in respect of standard control services for each regulatory year of the current regulatory control period using the AER’s roll forward model, which is to be submitted as part of the regulatory proposal.</w:t>
            </w:r>
          </w:p>
        </w:tc>
        <w:tc>
          <w:tcPr>
            <w:tcW w:w="0" w:type="auto"/>
            <w:shd w:val="clear" w:color="auto" w:fill="auto"/>
          </w:tcPr>
          <w:p w14:paraId="1D25C865" w14:textId="13E210F3"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Energex has provided the calculation in the AER’s </w:t>
            </w:r>
            <w:r>
              <w:rPr>
                <w:rFonts w:eastAsia="Calibri"/>
                <w:color w:val="000000"/>
                <w:lang w:eastAsia="en-US"/>
              </w:rPr>
              <w:t>RFM</w:t>
            </w:r>
            <w:r w:rsidRPr="002056FA">
              <w:rPr>
                <w:rFonts w:eastAsia="Calibri"/>
                <w:color w:val="000000"/>
                <w:lang w:eastAsia="en-US"/>
              </w:rPr>
              <w:t xml:space="preserve"> (</w:t>
            </w:r>
            <w:r w:rsidRPr="007D68E5">
              <w:rPr>
                <w:rFonts w:eastAsia="Calibri"/>
                <w:color w:val="000000"/>
                <w:lang w:eastAsia="en-US"/>
              </w:rPr>
              <w:t>Attachment 8.00</w:t>
            </w:r>
            <w:r>
              <w:rPr>
                <w:rFonts w:eastAsia="Calibri"/>
                <w:color w:val="000000"/>
                <w:lang w:eastAsia="en-US"/>
              </w:rPr>
              <w:t>7)</w:t>
            </w:r>
            <w:r w:rsidRPr="007D68E5">
              <w:rPr>
                <w:rFonts w:eastAsia="Calibri"/>
                <w:color w:val="000000"/>
                <w:lang w:eastAsia="en-US"/>
              </w:rPr>
              <w:t>).</w:t>
            </w:r>
          </w:p>
        </w:tc>
      </w:tr>
      <w:tr w:rsidR="00E169B4" w:rsidRPr="002056FA" w14:paraId="04F2733C" w14:textId="77777777" w:rsidTr="00E169B4">
        <w:tc>
          <w:tcPr>
            <w:tcW w:w="0" w:type="auto"/>
            <w:shd w:val="clear" w:color="auto" w:fill="auto"/>
          </w:tcPr>
          <w:p w14:paraId="6C1EC665" w14:textId="643B72BA" w:rsidR="00E169B4" w:rsidRPr="002056FA" w:rsidRDefault="00E169B4" w:rsidP="00E169B4">
            <w:pPr>
              <w:pStyle w:val="TableCopy"/>
              <w:rPr>
                <w:rFonts w:eastAsia="Calibri"/>
                <w:color w:val="000000"/>
                <w:lang w:eastAsia="en-US"/>
              </w:rPr>
            </w:pPr>
            <w:r w:rsidRPr="002056FA">
              <w:rPr>
                <w:rFonts w:eastAsia="Calibri"/>
                <w:color w:val="000000"/>
                <w:lang w:eastAsia="en-US"/>
              </w:rPr>
              <w:t>27.6</w:t>
            </w:r>
          </w:p>
        </w:tc>
        <w:tc>
          <w:tcPr>
            <w:tcW w:w="0" w:type="auto"/>
            <w:shd w:val="clear" w:color="auto" w:fill="auto"/>
          </w:tcPr>
          <w:p w14:paraId="73AE0906" w14:textId="57AD30AC" w:rsidR="00E169B4" w:rsidRPr="002056FA" w:rsidRDefault="00E169B4" w:rsidP="00E169B4">
            <w:pPr>
              <w:pStyle w:val="TableCopy"/>
              <w:rPr>
                <w:rFonts w:eastAsia="Calibri"/>
                <w:color w:val="000000"/>
                <w:lang w:eastAsia="en-US"/>
              </w:rPr>
            </w:pPr>
            <w:r w:rsidRPr="002056FA">
              <w:rPr>
                <w:rFonts w:eastAsia="Calibri"/>
                <w:color w:val="000000"/>
                <w:lang w:eastAsia="en-US"/>
              </w:rPr>
              <w:t>Provide details of each departure from the underlying methods in the AER’s roll forward model for the calculation referred to in paragraph 27.5 and the reasons for that departure.</w:t>
            </w:r>
          </w:p>
        </w:tc>
        <w:tc>
          <w:tcPr>
            <w:tcW w:w="0" w:type="auto"/>
            <w:shd w:val="clear" w:color="auto" w:fill="auto"/>
          </w:tcPr>
          <w:p w14:paraId="2A310DED" w14:textId="77777777"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Energex </w:t>
            </w:r>
            <w:r>
              <w:rPr>
                <w:rFonts w:eastAsia="Calibri"/>
                <w:color w:val="000000"/>
                <w:lang w:eastAsia="en-US"/>
              </w:rPr>
              <w:t>is</w:t>
            </w:r>
            <w:r w:rsidRPr="002056FA">
              <w:rPr>
                <w:rFonts w:eastAsia="Calibri"/>
                <w:color w:val="000000"/>
                <w:lang w:eastAsia="en-US"/>
              </w:rPr>
              <w:t xml:space="preserve"> proposing no departures to how the cost of corporate income tax is calculated in the AER’s </w:t>
            </w:r>
            <w:r>
              <w:rPr>
                <w:rFonts w:eastAsia="Calibri"/>
                <w:color w:val="000000"/>
                <w:lang w:eastAsia="en-US"/>
              </w:rPr>
              <w:t>PTRM</w:t>
            </w:r>
            <w:r w:rsidRPr="002056FA">
              <w:rPr>
                <w:rFonts w:eastAsia="Calibri"/>
                <w:color w:val="000000"/>
                <w:lang w:eastAsia="en-US"/>
              </w:rPr>
              <w:t>.</w:t>
            </w:r>
          </w:p>
          <w:p w14:paraId="769D2071" w14:textId="77777777" w:rsidR="00E169B4" w:rsidRPr="002056FA" w:rsidRDefault="00E169B4" w:rsidP="00E169B4">
            <w:pPr>
              <w:pStyle w:val="TableCopy"/>
              <w:rPr>
                <w:rFonts w:eastAsia="Calibri"/>
                <w:color w:val="000000"/>
                <w:lang w:eastAsia="en-US"/>
              </w:rPr>
            </w:pPr>
          </w:p>
        </w:tc>
      </w:tr>
      <w:tr w:rsidR="00E169B4" w:rsidRPr="002056FA" w14:paraId="74D3CD6F" w14:textId="77777777" w:rsidTr="00E169B4">
        <w:tc>
          <w:tcPr>
            <w:tcW w:w="0" w:type="auto"/>
            <w:tcBorders>
              <w:bottom w:val="single" w:sz="4" w:space="0" w:color="auto"/>
            </w:tcBorders>
            <w:shd w:val="clear" w:color="auto" w:fill="auto"/>
          </w:tcPr>
          <w:p w14:paraId="77B91BA6" w14:textId="7C7D112F" w:rsidR="00E169B4" w:rsidRPr="002056FA" w:rsidRDefault="00E169B4" w:rsidP="00E169B4">
            <w:pPr>
              <w:pStyle w:val="TableCopy"/>
              <w:rPr>
                <w:rFonts w:eastAsia="Calibri"/>
                <w:color w:val="000000"/>
                <w:lang w:eastAsia="en-US"/>
              </w:rPr>
            </w:pPr>
            <w:r w:rsidRPr="002056FA">
              <w:rPr>
                <w:rFonts w:eastAsia="Calibri"/>
                <w:color w:val="000000"/>
                <w:lang w:eastAsia="en-US"/>
              </w:rPr>
              <w:t>27.7</w:t>
            </w:r>
          </w:p>
        </w:tc>
        <w:tc>
          <w:tcPr>
            <w:tcW w:w="0" w:type="auto"/>
            <w:tcBorders>
              <w:bottom w:val="single" w:sz="4" w:space="0" w:color="auto"/>
            </w:tcBorders>
            <w:shd w:val="clear" w:color="auto" w:fill="auto"/>
          </w:tcPr>
          <w:p w14:paraId="1366A8EB" w14:textId="65092DA3" w:rsidR="00E169B4" w:rsidRPr="002056FA" w:rsidRDefault="00E169B4" w:rsidP="00E169B4">
            <w:pPr>
              <w:pStyle w:val="TableCopy"/>
              <w:rPr>
                <w:rFonts w:eastAsia="Calibri"/>
                <w:color w:val="000000"/>
                <w:lang w:eastAsia="en-US"/>
              </w:rPr>
            </w:pPr>
            <w:r w:rsidRPr="002056FA">
              <w:rPr>
                <w:rFonts w:eastAsia="Calibri"/>
                <w:color w:val="000000"/>
                <w:lang w:eastAsia="en-US"/>
              </w:rPr>
              <w:t>Identify each difference in the capitalisation of expenditure for regulatory accounting purposes and tax accounting purposes. Provide reasons and supporting calculations to reconcile any differences between the two forms of accounts.</w:t>
            </w:r>
          </w:p>
        </w:tc>
        <w:tc>
          <w:tcPr>
            <w:tcW w:w="0" w:type="auto"/>
            <w:tcBorders>
              <w:bottom w:val="single" w:sz="4" w:space="0" w:color="auto"/>
            </w:tcBorders>
            <w:shd w:val="clear" w:color="auto" w:fill="auto"/>
          </w:tcPr>
          <w:p w14:paraId="2C289FE8" w14:textId="77777777"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Energex has interpreted this question as asking for any differences between how we have treated expenditure in our proposed </w:t>
            </w:r>
            <w:r>
              <w:rPr>
                <w:rFonts w:eastAsia="Calibri"/>
                <w:color w:val="000000"/>
                <w:lang w:eastAsia="en-US"/>
              </w:rPr>
              <w:t>RAB</w:t>
            </w:r>
            <w:r w:rsidRPr="002056FA">
              <w:rPr>
                <w:rFonts w:eastAsia="Calibri"/>
                <w:color w:val="000000"/>
                <w:lang w:eastAsia="en-US"/>
              </w:rPr>
              <w:t xml:space="preserve"> and tax asset base.</w:t>
            </w:r>
          </w:p>
          <w:p w14:paraId="646AEB5A" w14:textId="2D8B4B05"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Adopting this interpretation, the only difference is in the treatment of capital contributions – which are removed from the </w:t>
            </w:r>
            <w:r>
              <w:rPr>
                <w:rFonts w:eastAsia="Calibri"/>
                <w:color w:val="000000"/>
                <w:lang w:eastAsia="en-US"/>
              </w:rPr>
              <w:t>RAB</w:t>
            </w:r>
            <w:r w:rsidRPr="002056FA">
              <w:rPr>
                <w:rFonts w:eastAsia="Calibri"/>
                <w:color w:val="000000"/>
                <w:lang w:eastAsia="en-US"/>
              </w:rPr>
              <w:t xml:space="preserve">, but not the tax asset base.  This difference in treatment is reflected in the AER’s </w:t>
            </w:r>
            <w:r>
              <w:rPr>
                <w:rFonts w:eastAsia="Calibri"/>
                <w:color w:val="000000"/>
                <w:lang w:eastAsia="en-US"/>
              </w:rPr>
              <w:t>PTRM</w:t>
            </w:r>
            <w:r w:rsidRPr="002056FA">
              <w:rPr>
                <w:rFonts w:eastAsia="Calibri"/>
                <w:color w:val="000000"/>
                <w:lang w:eastAsia="en-US"/>
              </w:rPr>
              <w:t xml:space="preserve"> and the AER’s </w:t>
            </w:r>
            <w:r>
              <w:rPr>
                <w:rFonts w:eastAsia="Calibri"/>
                <w:color w:val="000000"/>
                <w:lang w:eastAsia="en-US"/>
              </w:rPr>
              <w:t>RFM</w:t>
            </w:r>
            <w:r w:rsidRPr="002056FA">
              <w:rPr>
                <w:rFonts w:eastAsia="Calibri"/>
                <w:color w:val="000000"/>
                <w:lang w:eastAsia="en-US"/>
              </w:rPr>
              <w:t>.</w:t>
            </w:r>
          </w:p>
        </w:tc>
      </w:tr>
      <w:tr w:rsidR="00E169B4" w:rsidRPr="002056FA" w14:paraId="2413C1D7" w14:textId="77777777" w:rsidTr="00E169B4">
        <w:tc>
          <w:tcPr>
            <w:tcW w:w="0" w:type="auto"/>
            <w:shd w:val="clear" w:color="auto" w:fill="D0CECE" w:themeFill="background2" w:themeFillShade="E6"/>
          </w:tcPr>
          <w:p w14:paraId="5B39E43A" w14:textId="250009EF" w:rsidR="00E169B4" w:rsidRPr="002056FA" w:rsidRDefault="00E169B4" w:rsidP="00E169B4">
            <w:pPr>
              <w:pStyle w:val="TableCopy"/>
              <w:rPr>
                <w:rFonts w:eastAsia="Calibri"/>
                <w:color w:val="000000"/>
                <w:lang w:eastAsia="en-US"/>
              </w:rPr>
            </w:pPr>
            <w:r w:rsidRPr="002056FA">
              <w:rPr>
                <w:rFonts w:eastAsia="Calibri"/>
                <w:b/>
                <w:color w:val="000000"/>
                <w:lang w:eastAsia="en-US"/>
              </w:rPr>
              <w:t>28</w:t>
            </w:r>
          </w:p>
        </w:tc>
        <w:tc>
          <w:tcPr>
            <w:tcW w:w="0" w:type="auto"/>
            <w:shd w:val="clear" w:color="auto" w:fill="D0CECE" w:themeFill="background2" w:themeFillShade="E6"/>
          </w:tcPr>
          <w:p w14:paraId="56F5692C" w14:textId="0D89CB7A" w:rsidR="00E169B4" w:rsidRPr="002056FA" w:rsidRDefault="00E169B4" w:rsidP="00E169B4">
            <w:pPr>
              <w:pStyle w:val="TableCopy"/>
              <w:rPr>
                <w:rFonts w:eastAsia="Calibri"/>
                <w:color w:val="000000"/>
                <w:lang w:eastAsia="en-US"/>
              </w:rPr>
            </w:pPr>
            <w:r w:rsidRPr="002056FA">
              <w:rPr>
                <w:rFonts w:eastAsia="Calibri"/>
                <w:b/>
                <w:color w:val="000000"/>
                <w:lang w:eastAsia="en-US"/>
              </w:rPr>
              <w:t xml:space="preserve">RELATED PARTY TRANSACTIONS </w:t>
            </w:r>
          </w:p>
        </w:tc>
        <w:tc>
          <w:tcPr>
            <w:tcW w:w="0" w:type="auto"/>
            <w:shd w:val="clear" w:color="auto" w:fill="D0CECE" w:themeFill="background2" w:themeFillShade="E6"/>
          </w:tcPr>
          <w:p w14:paraId="1FD0B09A" w14:textId="77777777" w:rsidR="00E169B4" w:rsidRPr="002056FA" w:rsidRDefault="00E169B4" w:rsidP="00E169B4">
            <w:pPr>
              <w:pStyle w:val="TableCopy"/>
              <w:rPr>
                <w:rFonts w:eastAsia="Calibri"/>
                <w:color w:val="000000"/>
                <w:lang w:eastAsia="en-US"/>
              </w:rPr>
            </w:pPr>
          </w:p>
        </w:tc>
      </w:tr>
      <w:tr w:rsidR="00E169B4" w:rsidRPr="002056FA" w14:paraId="77A30A7D" w14:textId="77777777" w:rsidTr="00E169B4">
        <w:tc>
          <w:tcPr>
            <w:tcW w:w="0" w:type="auto"/>
            <w:shd w:val="clear" w:color="auto" w:fill="D0CECE" w:themeFill="background2" w:themeFillShade="E6"/>
          </w:tcPr>
          <w:p w14:paraId="66280743" w14:textId="44D65DFD" w:rsidR="00E169B4" w:rsidRPr="002056FA" w:rsidRDefault="00E169B4" w:rsidP="00E169B4">
            <w:pPr>
              <w:pStyle w:val="TableCopy"/>
              <w:rPr>
                <w:rFonts w:eastAsia="Calibri"/>
                <w:b/>
                <w:color w:val="000000"/>
                <w:lang w:eastAsia="en-US"/>
              </w:rPr>
            </w:pPr>
            <w:r w:rsidRPr="002056FA">
              <w:rPr>
                <w:rFonts w:eastAsia="Calibri"/>
                <w:color w:val="000000"/>
                <w:lang w:eastAsia="en-US"/>
              </w:rPr>
              <w:t>28.1</w:t>
            </w:r>
          </w:p>
        </w:tc>
        <w:tc>
          <w:tcPr>
            <w:tcW w:w="0" w:type="auto"/>
            <w:shd w:val="clear" w:color="auto" w:fill="D0CECE" w:themeFill="background2" w:themeFillShade="E6"/>
          </w:tcPr>
          <w:p w14:paraId="28AB7194" w14:textId="6EE0810F" w:rsidR="00E169B4" w:rsidRPr="002056FA" w:rsidRDefault="00E169B4" w:rsidP="00E169B4">
            <w:pPr>
              <w:pStyle w:val="TableCopy"/>
              <w:rPr>
                <w:rFonts w:eastAsia="Calibri"/>
                <w:b/>
                <w:color w:val="000000"/>
                <w:lang w:eastAsia="en-US"/>
              </w:rPr>
            </w:pPr>
            <w:r w:rsidRPr="002056FA">
              <w:rPr>
                <w:rFonts w:eastAsia="Calibri"/>
                <w:color w:val="000000"/>
                <w:lang w:eastAsia="en-US"/>
              </w:rPr>
              <w:t>Identify and describe all entities which:</w:t>
            </w:r>
          </w:p>
        </w:tc>
        <w:tc>
          <w:tcPr>
            <w:tcW w:w="0" w:type="auto"/>
            <w:shd w:val="clear" w:color="auto" w:fill="D0CECE" w:themeFill="background2" w:themeFillShade="E6"/>
          </w:tcPr>
          <w:p w14:paraId="5431053E" w14:textId="77777777" w:rsidR="00E169B4" w:rsidRPr="002056FA" w:rsidRDefault="00E169B4" w:rsidP="00E169B4">
            <w:pPr>
              <w:pStyle w:val="TableCopy"/>
              <w:rPr>
                <w:rFonts w:eastAsia="Calibri"/>
                <w:color w:val="000000"/>
                <w:lang w:eastAsia="en-US"/>
              </w:rPr>
            </w:pPr>
          </w:p>
        </w:tc>
      </w:tr>
      <w:tr w:rsidR="00E169B4" w:rsidRPr="002056FA" w14:paraId="0E86E2EB" w14:textId="77777777" w:rsidTr="00E169B4">
        <w:tc>
          <w:tcPr>
            <w:tcW w:w="0" w:type="auto"/>
            <w:shd w:val="clear" w:color="auto" w:fill="auto"/>
          </w:tcPr>
          <w:p w14:paraId="6C4539E2" w14:textId="67BBFACE" w:rsidR="00E169B4" w:rsidRPr="002056FA" w:rsidRDefault="00E169B4" w:rsidP="00E169B4">
            <w:pPr>
              <w:pStyle w:val="TableCopy"/>
              <w:rPr>
                <w:rFonts w:eastAsia="Calibri"/>
                <w:color w:val="000000"/>
                <w:lang w:eastAsia="en-US"/>
              </w:rPr>
            </w:pPr>
            <w:r w:rsidRPr="002056FA">
              <w:rPr>
                <w:rFonts w:eastAsia="Calibri"/>
                <w:color w:val="000000"/>
                <w:lang w:eastAsia="en-US"/>
              </w:rPr>
              <w:t>28.1(a)</w:t>
            </w:r>
          </w:p>
        </w:tc>
        <w:tc>
          <w:tcPr>
            <w:tcW w:w="0" w:type="auto"/>
            <w:shd w:val="clear" w:color="auto" w:fill="auto"/>
          </w:tcPr>
          <w:p w14:paraId="36CA7D6D" w14:textId="31919BD6" w:rsidR="00E169B4" w:rsidRPr="002056FA" w:rsidRDefault="00E169B4" w:rsidP="00E169B4">
            <w:pPr>
              <w:pStyle w:val="TableCopy"/>
              <w:rPr>
                <w:rFonts w:eastAsia="Calibri"/>
                <w:color w:val="000000"/>
                <w:lang w:eastAsia="en-US"/>
              </w:rPr>
            </w:pPr>
            <w:r w:rsidRPr="002056FA">
              <w:rPr>
                <w:rFonts w:eastAsia="Calibri"/>
                <w:color w:val="000000"/>
                <w:lang w:eastAsia="en-US"/>
              </w:rPr>
              <w:t>are a related party to Energex and contribute to the provision of distribution services by Energex; or</w:t>
            </w:r>
          </w:p>
        </w:tc>
        <w:tc>
          <w:tcPr>
            <w:tcW w:w="0" w:type="auto"/>
            <w:shd w:val="clear" w:color="auto" w:fill="auto"/>
          </w:tcPr>
          <w:p w14:paraId="3A1422E8" w14:textId="77777777" w:rsidR="00E169B4" w:rsidRPr="002056FA" w:rsidRDefault="00E169B4" w:rsidP="00E169B4">
            <w:pPr>
              <w:pStyle w:val="TableCopy"/>
              <w:rPr>
                <w:rFonts w:eastAsia="Calibri"/>
                <w:lang w:eastAsia="en-US"/>
              </w:rPr>
            </w:pPr>
            <w:r w:rsidRPr="002056FA">
              <w:rPr>
                <w:rFonts w:eastAsia="Calibri"/>
                <w:lang w:eastAsia="en-US"/>
              </w:rPr>
              <w:t>All related parties to Energex are ident</w:t>
            </w:r>
            <w:r>
              <w:rPr>
                <w:rFonts w:eastAsia="Calibri"/>
                <w:lang w:eastAsia="en-US"/>
              </w:rPr>
              <w:t>ified in EQL Corporate</w:t>
            </w:r>
            <w:r w:rsidRPr="002056FA">
              <w:rPr>
                <w:rFonts w:eastAsia="Calibri"/>
                <w:lang w:eastAsia="en-US"/>
              </w:rPr>
              <w:t xml:space="preserve"> Structure </w:t>
            </w:r>
            <w:r>
              <w:rPr>
                <w:rFonts w:eastAsia="Calibri"/>
                <w:lang w:eastAsia="en-US"/>
              </w:rPr>
              <w:t xml:space="preserve">document </w:t>
            </w:r>
            <w:r w:rsidRPr="002056FA">
              <w:rPr>
                <w:rFonts w:eastAsia="Calibri"/>
                <w:lang w:eastAsia="en-US"/>
              </w:rPr>
              <w:t>(</w:t>
            </w:r>
            <w:r w:rsidRPr="00024472">
              <w:rPr>
                <w:rFonts w:eastAsia="Calibri"/>
                <w:lang w:eastAsia="en-US"/>
              </w:rPr>
              <w:t>Attachment 17.02</w:t>
            </w:r>
            <w:r>
              <w:rPr>
                <w:rFonts w:eastAsia="Calibri"/>
                <w:lang w:eastAsia="en-US"/>
              </w:rPr>
              <w:t>0</w:t>
            </w:r>
            <w:r w:rsidRPr="00024472">
              <w:rPr>
                <w:rFonts w:eastAsia="Calibri"/>
                <w:lang w:eastAsia="en-US"/>
              </w:rPr>
              <w:t>).</w:t>
            </w:r>
          </w:p>
          <w:p w14:paraId="113A8ED9" w14:textId="318BE0AB" w:rsidR="00E169B4" w:rsidRPr="002056FA" w:rsidRDefault="00E169B4" w:rsidP="00E169B4">
            <w:pPr>
              <w:pStyle w:val="TableCopy"/>
              <w:rPr>
                <w:rFonts w:eastAsia="Calibri"/>
                <w:color w:val="000000"/>
                <w:lang w:eastAsia="en-US"/>
              </w:rPr>
            </w:pPr>
            <w:r w:rsidRPr="002056FA">
              <w:rPr>
                <w:rFonts w:eastAsia="Calibri"/>
                <w:lang w:eastAsia="en-US"/>
              </w:rPr>
              <w:t>Energy Queensland Limited (Energex’s parent entity) provides corporate support services supporting the provision of distribution services.</w:t>
            </w:r>
          </w:p>
        </w:tc>
      </w:tr>
      <w:tr w:rsidR="00E169B4" w:rsidRPr="002056FA" w14:paraId="5F9EFC38" w14:textId="77777777" w:rsidTr="00E169B4">
        <w:tc>
          <w:tcPr>
            <w:tcW w:w="0" w:type="auto"/>
            <w:shd w:val="clear" w:color="auto" w:fill="auto"/>
          </w:tcPr>
          <w:p w14:paraId="45270696" w14:textId="713ED891" w:rsidR="00E169B4" w:rsidRPr="002056FA" w:rsidRDefault="00E169B4" w:rsidP="00E169B4">
            <w:pPr>
              <w:pStyle w:val="TableCopy"/>
              <w:rPr>
                <w:rFonts w:eastAsia="Calibri"/>
                <w:color w:val="000000"/>
                <w:lang w:eastAsia="en-US"/>
              </w:rPr>
            </w:pPr>
            <w:r w:rsidRPr="002056FA">
              <w:rPr>
                <w:rFonts w:eastAsia="Calibri"/>
                <w:color w:val="000000"/>
                <w:lang w:eastAsia="en-US"/>
              </w:rPr>
              <w:t>28.1(b)</w:t>
            </w:r>
          </w:p>
        </w:tc>
        <w:tc>
          <w:tcPr>
            <w:tcW w:w="0" w:type="auto"/>
            <w:shd w:val="clear" w:color="auto" w:fill="auto"/>
          </w:tcPr>
          <w:p w14:paraId="05347FDD" w14:textId="130725EB" w:rsidR="00E169B4" w:rsidRPr="002056FA" w:rsidRDefault="00E169B4" w:rsidP="00E169B4">
            <w:pPr>
              <w:pStyle w:val="TableCopy"/>
              <w:rPr>
                <w:rFonts w:eastAsia="Calibri"/>
                <w:color w:val="000000"/>
                <w:lang w:eastAsia="en-US"/>
              </w:rPr>
            </w:pPr>
            <w:r w:rsidRPr="002056FA">
              <w:rPr>
                <w:rFonts w:eastAsia="Calibri"/>
                <w:color w:val="000000"/>
                <w:lang w:eastAsia="en-US"/>
              </w:rPr>
              <w:t>have the capacity to determine the outcome of decisions about Energex’s financial and operating policies.</w:t>
            </w:r>
          </w:p>
        </w:tc>
        <w:tc>
          <w:tcPr>
            <w:tcW w:w="0" w:type="auto"/>
            <w:shd w:val="clear" w:color="auto" w:fill="auto"/>
          </w:tcPr>
          <w:p w14:paraId="144669C9" w14:textId="77777777" w:rsidR="00E169B4" w:rsidRDefault="00E169B4" w:rsidP="00E169B4">
            <w:pPr>
              <w:pStyle w:val="TableCopy"/>
              <w:rPr>
                <w:rFonts w:eastAsia="Calibri"/>
                <w:lang w:eastAsia="en-US"/>
              </w:rPr>
            </w:pPr>
            <w:r w:rsidRPr="002056FA">
              <w:rPr>
                <w:rFonts w:eastAsia="Calibri"/>
                <w:lang w:eastAsia="en-US"/>
              </w:rPr>
              <w:t>Energy Queensland Limited provides the strategic oversight of Energex. For further information refer to</w:t>
            </w:r>
            <w:r>
              <w:rPr>
                <w:rFonts w:eastAsia="Calibri"/>
                <w:lang w:eastAsia="en-US"/>
              </w:rPr>
              <w:t xml:space="preserve"> the following documents:</w:t>
            </w:r>
          </w:p>
          <w:p w14:paraId="6C550D72" w14:textId="77777777" w:rsidR="00E169B4" w:rsidRPr="00024472" w:rsidRDefault="00E169B4" w:rsidP="00E169B4">
            <w:pPr>
              <w:pStyle w:val="Bullet1"/>
              <w:rPr>
                <w:sz w:val="20"/>
                <w:szCs w:val="20"/>
              </w:rPr>
            </w:pPr>
            <w:r w:rsidRPr="00024472">
              <w:rPr>
                <w:sz w:val="20"/>
                <w:szCs w:val="20"/>
              </w:rPr>
              <w:t xml:space="preserve"> ‘EQL Corporate Structure - Governance and Delegations’ document, (Attachment 17.021)</w:t>
            </w:r>
            <w:r>
              <w:rPr>
                <w:sz w:val="20"/>
                <w:szCs w:val="20"/>
              </w:rPr>
              <w:t>,</w:t>
            </w:r>
            <w:r w:rsidRPr="00024472">
              <w:rPr>
                <w:sz w:val="20"/>
                <w:szCs w:val="20"/>
              </w:rPr>
              <w:t xml:space="preserve"> and </w:t>
            </w:r>
          </w:p>
          <w:p w14:paraId="4A19ECD1" w14:textId="15F1CEEB" w:rsidR="00E169B4" w:rsidRPr="002056FA" w:rsidRDefault="00E169B4" w:rsidP="00E169B4">
            <w:pPr>
              <w:pStyle w:val="TableCopy"/>
              <w:rPr>
                <w:rFonts w:eastAsia="Calibri"/>
                <w:lang w:eastAsia="en-US"/>
              </w:rPr>
            </w:pPr>
            <w:r w:rsidRPr="00024472">
              <w:t>‘EQL Corporate Structure -Subsidiary Board reporting and approvals’ (Attachment 17.022).</w:t>
            </w:r>
          </w:p>
        </w:tc>
      </w:tr>
      <w:tr w:rsidR="00E169B4" w:rsidRPr="002056FA" w14:paraId="09DC5638" w14:textId="77777777" w:rsidTr="00E169B4">
        <w:tc>
          <w:tcPr>
            <w:tcW w:w="0" w:type="auto"/>
            <w:tcBorders>
              <w:bottom w:val="single" w:sz="4" w:space="0" w:color="auto"/>
            </w:tcBorders>
            <w:shd w:val="clear" w:color="auto" w:fill="auto"/>
          </w:tcPr>
          <w:p w14:paraId="656F3D5E" w14:textId="64E449E7" w:rsidR="00E169B4" w:rsidRPr="002056FA" w:rsidRDefault="00E169B4" w:rsidP="00E169B4">
            <w:pPr>
              <w:pStyle w:val="TableCopy"/>
              <w:rPr>
                <w:rFonts w:eastAsia="Calibri"/>
                <w:color w:val="000000"/>
                <w:lang w:eastAsia="en-US"/>
              </w:rPr>
            </w:pPr>
            <w:r w:rsidRPr="002056FA">
              <w:rPr>
                <w:rFonts w:eastAsia="Calibri"/>
                <w:color w:val="000000"/>
                <w:lang w:eastAsia="en-US"/>
              </w:rPr>
              <w:t>28.2</w:t>
            </w:r>
          </w:p>
        </w:tc>
        <w:tc>
          <w:tcPr>
            <w:tcW w:w="0" w:type="auto"/>
            <w:tcBorders>
              <w:bottom w:val="single" w:sz="4" w:space="0" w:color="auto"/>
            </w:tcBorders>
            <w:shd w:val="clear" w:color="auto" w:fill="auto"/>
          </w:tcPr>
          <w:p w14:paraId="77922845" w14:textId="24F41F87" w:rsidR="00E169B4" w:rsidRPr="002056FA" w:rsidRDefault="00E169B4" w:rsidP="00E169B4">
            <w:pPr>
              <w:pStyle w:val="TableCopy"/>
              <w:rPr>
                <w:rFonts w:eastAsia="Calibri"/>
                <w:color w:val="000000"/>
                <w:lang w:eastAsia="en-US"/>
              </w:rPr>
            </w:pPr>
            <w:r w:rsidRPr="002056FA">
              <w:rPr>
                <w:rFonts w:eastAsia="Calibri"/>
                <w:color w:val="000000"/>
                <w:lang w:eastAsia="en-US"/>
              </w:rPr>
              <w:t>Provide a diagram of the organisational structure depicting the relationships between all the entities identified in the response to paragraph 28.1.</w:t>
            </w:r>
          </w:p>
        </w:tc>
        <w:tc>
          <w:tcPr>
            <w:tcW w:w="0" w:type="auto"/>
            <w:tcBorders>
              <w:bottom w:val="single" w:sz="4" w:space="0" w:color="auto"/>
            </w:tcBorders>
            <w:shd w:val="clear" w:color="auto" w:fill="auto"/>
          </w:tcPr>
          <w:p w14:paraId="446A3424" w14:textId="77777777" w:rsidR="00E169B4" w:rsidRPr="002056FA" w:rsidRDefault="00E169B4" w:rsidP="00E169B4">
            <w:pPr>
              <w:pStyle w:val="TableCopy"/>
              <w:rPr>
                <w:rFonts w:eastAsia="Calibri"/>
                <w:lang w:eastAsia="en-US"/>
              </w:rPr>
            </w:pPr>
            <w:r w:rsidRPr="002056FA">
              <w:rPr>
                <w:rFonts w:eastAsia="Calibri"/>
                <w:lang w:eastAsia="en-US"/>
              </w:rPr>
              <w:t>This is pro</w:t>
            </w:r>
            <w:r>
              <w:rPr>
                <w:rFonts w:eastAsia="Calibri"/>
                <w:lang w:eastAsia="en-US"/>
              </w:rPr>
              <w:t>vided in ‘EQL Corporate</w:t>
            </w:r>
            <w:r w:rsidRPr="002056FA">
              <w:rPr>
                <w:rFonts w:eastAsia="Calibri"/>
                <w:lang w:eastAsia="en-US"/>
              </w:rPr>
              <w:t xml:space="preserve"> Structure</w:t>
            </w:r>
            <w:r>
              <w:rPr>
                <w:rFonts w:eastAsia="Calibri"/>
                <w:lang w:eastAsia="en-US"/>
              </w:rPr>
              <w:t xml:space="preserve"> </w:t>
            </w:r>
            <w:r w:rsidRPr="00024472">
              <w:rPr>
                <w:rFonts w:eastAsia="Calibri"/>
                <w:lang w:eastAsia="en-US"/>
              </w:rPr>
              <w:t>document’ (Attachment 17.02</w:t>
            </w:r>
            <w:r>
              <w:rPr>
                <w:rFonts w:eastAsia="Calibri"/>
                <w:lang w:eastAsia="en-US"/>
              </w:rPr>
              <w:t>0</w:t>
            </w:r>
            <w:r w:rsidRPr="00024472">
              <w:rPr>
                <w:rFonts w:eastAsia="Calibri"/>
                <w:lang w:eastAsia="en-US"/>
              </w:rPr>
              <w:t>).</w:t>
            </w:r>
          </w:p>
          <w:p w14:paraId="3D1FD933" w14:textId="77777777" w:rsidR="00E169B4" w:rsidRPr="002056FA" w:rsidRDefault="00E169B4" w:rsidP="00E169B4">
            <w:pPr>
              <w:pStyle w:val="TableCopy"/>
              <w:rPr>
                <w:rFonts w:eastAsia="Calibri"/>
                <w:lang w:eastAsia="en-US"/>
              </w:rPr>
            </w:pPr>
          </w:p>
        </w:tc>
      </w:tr>
      <w:tr w:rsidR="00E169B4" w:rsidRPr="002056FA" w14:paraId="0E92ECA1" w14:textId="77777777" w:rsidTr="00E169B4">
        <w:tc>
          <w:tcPr>
            <w:tcW w:w="0" w:type="auto"/>
            <w:shd w:val="clear" w:color="auto" w:fill="D0CECE" w:themeFill="background2" w:themeFillShade="E6"/>
          </w:tcPr>
          <w:p w14:paraId="0810B133" w14:textId="358C8BFE" w:rsidR="00E169B4" w:rsidRPr="002056FA" w:rsidRDefault="00E169B4" w:rsidP="00E169B4">
            <w:pPr>
              <w:pStyle w:val="TableCopy"/>
              <w:rPr>
                <w:rFonts w:eastAsia="Calibri"/>
                <w:color w:val="000000"/>
                <w:lang w:eastAsia="en-US"/>
              </w:rPr>
            </w:pPr>
            <w:r w:rsidRPr="002056FA">
              <w:rPr>
                <w:rFonts w:eastAsia="Calibri"/>
                <w:color w:val="000000"/>
                <w:lang w:eastAsia="en-US"/>
              </w:rPr>
              <w:t>28.3</w:t>
            </w:r>
          </w:p>
        </w:tc>
        <w:tc>
          <w:tcPr>
            <w:tcW w:w="0" w:type="auto"/>
            <w:shd w:val="clear" w:color="auto" w:fill="D0CECE" w:themeFill="background2" w:themeFillShade="E6"/>
          </w:tcPr>
          <w:p w14:paraId="036A9EDD" w14:textId="6BE36F41" w:rsidR="00E169B4" w:rsidRPr="002056FA" w:rsidRDefault="00E169B4" w:rsidP="00E169B4">
            <w:pPr>
              <w:pStyle w:val="TableCopy"/>
              <w:rPr>
                <w:rFonts w:eastAsia="Calibri"/>
                <w:color w:val="000000"/>
                <w:lang w:eastAsia="en-US"/>
              </w:rPr>
            </w:pPr>
            <w:r w:rsidRPr="002056FA">
              <w:rPr>
                <w:rFonts w:eastAsia="Calibri"/>
                <w:color w:val="000000"/>
                <w:lang w:eastAsia="en-US"/>
              </w:rPr>
              <w:t>Identify:</w:t>
            </w:r>
          </w:p>
        </w:tc>
        <w:tc>
          <w:tcPr>
            <w:tcW w:w="0" w:type="auto"/>
            <w:shd w:val="clear" w:color="auto" w:fill="D0CECE" w:themeFill="background2" w:themeFillShade="E6"/>
          </w:tcPr>
          <w:p w14:paraId="2C5D33A4" w14:textId="77777777" w:rsidR="00E169B4" w:rsidRPr="002056FA" w:rsidRDefault="00E169B4" w:rsidP="00E169B4">
            <w:pPr>
              <w:pStyle w:val="TableCopy"/>
              <w:rPr>
                <w:rFonts w:eastAsia="Calibri"/>
                <w:lang w:eastAsia="en-US"/>
              </w:rPr>
            </w:pPr>
          </w:p>
        </w:tc>
      </w:tr>
      <w:tr w:rsidR="00E169B4" w:rsidRPr="002056FA" w14:paraId="1F8D237B" w14:textId="77777777" w:rsidTr="00E169B4">
        <w:tc>
          <w:tcPr>
            <w:tcW w:w="0" w:type="auto"/>
            <w:shd w:val="clear" w:color="auto" w:fill="auto"/>
          </w:tcPr>
          <w:p w14:paraId="3DECC6A2" w14:textId="0496F317" w:rsidR="00E169B4" w:rsidRPr="002056FA" w:rsidRDefault="00E169B4" w:rsidP="00E169B4">
            <w:pPr>
              <w:pStyle w:val="TableCopy"/>
              <w:rPr>
                <w:rFonts w:eastAsia="Calibri"/>
                <w:color w:val="000000"/>
                <w:lang w:eastAsia="en-US"/>
              </w:rPr>
            </w:pPr>
            <w:r w:rsidRPr="002056FA">
              <w:rPr>
                <w:rFonts w:eastAsia="Calibri"/>
                <w:color w:val="000000"/>
                <w:lang w:eastAsia="en-US"/>
              </w:rPr>
              <w:t>28.3(a)</w:t>
            </w:r>
          </w:p>
        </w:tc>
        <w:tc>
          <w:tcPr>
            <w:tcW w:w="0" w:type="auto"/>
            <w:shd w:val="clear" w:color="auto" w:fill="auto"/>
          </w:tcPr>
          <w:p w14:paraId="3F8CFF2E" w14:textId="2DF85ED2" w:rsidR="00E169B4" w:rsidRPr="002056FA" w:rsidRDefault="00E169B4" w:rsidP="00E169B4">
            <w:pPr>
              <w:pStyle w:val="TableCopy"/>
              <w:rPr>
                <w:rFonts w:eastAsia="Calibri"/>
                <w:color w:val="000000"/>
                <w:lang w:eastAsia="en-US"/>
              </w:rPr>
            </w:pPr>
            <w:r w:rsidRPr="002056FA">
              <w:rPr>
                <w:rFonts w:eastAsia="Calibri"/>
                <w:color w:val="000000"/>
                <w:lang w:eastAsia="en-US"/>
              </w:rPr>
              <w:t>all arrangements or contracts between Energex and any of the other entities identified in the response to paragraph 28.1 currently in place or expected to be in place during the period 2018-19 to 2024-25 which relate directly or indirectly to the provision of distribution services; and</w:t>
            </w:r>
          </w:p>
        </w:tc>
        <w:tc>
          <w:tcPr>
            <w:tcW w:w="0" w:type="auto"/>
            <w:shd w:val="clear" w:color="auto" w:fill="auto"/>
          </w:tcPr>
          <w:p w14:paraId="2C5A713C" w14:textId="77777777" w:rsidR="00E169B4" w:rsidRPr="002056FA" w:rsidRDefault="00E169B4" w:rsidP="00E169B4">
            <w:pPr>
              <w:pStyle w:val="TableCopy"/>
              <w:rPr>
                <w:rFonts w:eastAsia="Calibri"/>
                <w:color w:val="000000"/>
                <w:lang w:eastAsia="en-US"/>
              </w:rPr>
            </w:pPr>
            <w:r>
              <w:rPr>
                <w:rFonts w:eastAsia="Calibri"/>
                <w:color w:val="000000"/>
                <w:lang w:eastAsia="en-US"/>
              </w:rPr>
              <w:t>Energy Queensland Limited</w:t>
            </w:r>
            <w:r w:rsidRPr="002056FA">
              <w:rPr>
                <w:rFonts w:eastAsia="Calibri"/>
                <w:color w:val="000000"/>
                <w:lang w:eastAsia="en-US"/>
              </w:rPr>
              <w:t xml:space="preserve"> has entered into the following agre</w:t>
            </w:r>
            <w:r>
              <w:rPr>
                <w:rFonts w:eastAsia="Calibri"/>
                <w:color w:val="000000"/>
                <w:lang w:eastAsia="en-US"/>
              </w:rPr>
              <w:t>ements with Energex</w:t>
            </w:r>
            <w:r w:rsidRPr="002056FA">
              <w:rPr>
                <w:rFonts w:eastAsia="Calibri"/>
                <w:color w:val="000000"/>
                <w:lang w:eastAsia="en-US"/>
              </w:rPr>
              <w:t>:</w:t>
            </w:r>
          </w:p>
          <w:p w14:paraId="24B6E78F" w14:textId="77777777" w:rsidR="00E169B4" w:rsidRPr="00024472" w:rsidRDefault="00E169B4" w:rsidP="00E169B4">
            <w:pPr>
              <w:pStyle w:val="Bullet1"/>
              <w:rPr>
                <w:sz w:val="20"/>
                <w:szCs w:val="20"/>
              </w:rPr>
            </w:pPr>
            <w:r>
              <w:rPr>
                <w:bCs/>
                <w:sz w:val="20"/>
                <w:szCs w:val="20"/>
              </w:rPr>
              <w:t xml:space="preserve">EQL </w:t>
            </w:r>
            <w:r w:rsidRPr="002056FA">
              <w:rPr>
                <w:bCs/>
                <w:sz w:val="20"/>
                <w:szCs w:val="20"/>
              </w:rPr>
              <w:t xml:space="preserve">Treasury Management </w:t>
            </w:r>
            <w:r w:rsidRPr="00024472">
              <w:rPr>
                <w:bCs/>
                <w:sz w:val="20"/>
                <w:szCs w:val="20"/>
              </w:rPr>
              <w:t>Agreement</w:t>
            </w:r>
            <w:r w:rsidRPr="00024472">
              <w:rPr>
                <w:sz w:val="20"/>
                <w:szCs w:val="20"/>
              </w:rPr>
              <w:t xml:space="preserve"> (</w:t>
            </w:r>
            <w:r w:rsidRPr="00024472">
              <w:rPr>
                <w:bCs/>
                <w:sz w:val="20"/>
                <w:szCs w:val="20"/>
              </w:rPr>
              <w:t>Attachment 17.031</w:t>
            </w:r>
            <w:r w:rsidRPr="00024472">
              <w:rPr>
                <w:sz w:val="20"/>
                <w:szCs w:val="20"/>
              </w:rPr>
              <w:t xml:space="preserve">), under which Energy Queensland provides central treasury management services for the Energy Queensland Limited Corporate Group (including Ergon </w:t>
            </w:r>
            <w:r>
              <w:rPr>
                <w:sz w:val="20"/>
                <w:szCs w:val="20"/>
              </w:rPr>
              <w:t xml:space="preserve">Energy </w:t>
            </w:r>
            <w:r w:rsidRPr="00024472">
              <w:rPr>
                <w:sz w:val="20"/>
                <w:szCs w:val="20"/>
              </w:rPr>
              <w:t>and Energex), in order to operate its treasury operations prudently and effectively.</w:t>
            </w:r>
          </w:p>
          <w:p w14:paraId="17DE2DD9" w14:textId="77777777" w:rsidR="00E169B4" w:rsidRPr="00024472" w:rsidRDefault="00E169B4" w:rsidP="00E169B4">
            <w:pPr>
              <w:pStyle w:val="Bullet1"/>
              <w:rPr>
                <w:sz w:val="20"/>
                <w:szCs w:val="20"/>
              </w:rPr>
            </w:pPr>
            <w:r w:rsidRPr="00024472">
              <w:rPr>
                <w:bCs/>
                <w:sz w:val="20"/>
                <w:szCs w:val="20"/>
              </w:rPr>
              <w:t>EQL Framework Agreement for Services</w:t>
            </w:r>
            <w:r w:rsidRPr="00024472">
              <w:rPr>
                <w:sz w:val="20"/>
                <w:szCs w:val="20"/>
              </w:rPr>
              <w:t xml:space="preserve"> (</w:t>
            </w:r>
            <w:r w:rsidRPr="00024472">
              <w:rPr>
                <w:bCs/>
                <w:sz w:val="20"/>
                <w:szCs w:val="20"/>
              </w:rPr>
              <w:t>Attachment 17.027</w:t>
            </w:r>
            <w:r w:rsidRPr="00024472">
              <w:rPr>
                <w:sz w:val="20"/>
                <w:szCs w:val="20"/>
              </w:rPr>
              <w:t xml:space="preserve">), which establishes a framework for the provision of resources and services between entities in the Energy Queensland Limited Corporate Group. Energy Queensland Limited and its subsidiaries (including Ergon </w:t>
            </w:r>
            <w:r>
              <w:rPr>
                <w:sz w:val="20"/>
                <w:szCs w:val="20"/>
              </w:rPr>
              <w:t xml:space="preserve">Energy </w:t>
            </w:r>
            <w:r w:rsidRPr="00024472">
              <w:rPr>
                <w:sz w:val="20"/>
                <w:szCs w:val="20"/>
              </w:rPr>
              <w:t>and Energex) entered into a service schedule on 3 October 2018 that documents the provision of employees by EQL (Attachment 17.003).</w:t>
            </w:r>
          </w:p>
          <w:p w14:paraId="41918997" w14:textId="77777777" w:rsidR="00E169B4" w:rsidRPr="002056FA" w:rsidRDefault="00E169B4" w:rsidP="00E169B4">
            <w:pPr>
              <w:pStyle w:val="TableCopy"/>
              <w:rPr>
                <w:rFonts w:eastAsia="Calibri"/>
                <w:lang w:eastAsia="en-US"/>
              </w:rPr>
            </w:pPr>
            <w:r w:rsidRPr="00024472">
              <w:rPr>
                <w:rFonts w:eastAsia="Calibri"/>
                <w:lang w:eastAsia="en-US"/>
              </w:rPr>
              <w:t>[Note: These attachments are subject to a claim of confidentiality</w:t>
            </w:r>
            <w:r w:rsidRPr="002056FA">
              <w:rPr>
                <w:rFonts w:eastAsia="Calibri"/>
                <w:lang w:eastAsia="en-US"/>
              </w:rPr>
              <w:t>]</w:t>
            </w:r>
          </w:p>
          <w:p w14:paraId="075842B2" w14:textId="77777777" w:rsidR="00E169B4" w:rsidRPr="002056FA" w:rsidRDefault="00E169B4" w:rsidP="00E169B4">
            <w:pPr>
              <w:pStyle w:val="TableCopy"/>
              <w:rPr>
                <w:rFonts w:eastAsia="Calibri"/>
                <w:lang w:eastAsia="en-US"/>
              </w:rPr>
            </w:pPr>
            <w:r w:rsidRPr="002056FA">
              <w:rPr>
                <w:rFonts w:eastAsia="Calibri"/>
                <w:lang w:eastAsia="en-US"/>
              </w:rPr>
              <w:t xml:space="preserve">We anticipate that further schedules to the Framework Agreement will continue to be developed.   </w:t>
            </w:r>
          </w:p>
          <w:p w14:paraId="1F2668BF" w14:textId="60035C29" w:rsidR="00E169B4" w:rsidRPr="002056FA" w:rsidRDefault="00E169B4" w:rsidP="00E169B4">
            <w:pPr>
              <w:pStyle w:val="TableCopy"/>
              <w:rPr>
                <w:rFonts w:eastAsia="Calibri"/>
                <w:lang w:eastAsia="en-US"/>
              </w:rPr>
            </w:pPr>
            <w:r w:rsidRPr="002056FA">
              <w:rPr>
                <w:rFonts w:eastAsia="Calibri"/>
                <w:bCs/>
                <w:color w:val="000000"/>
                <w:lang w:eastAsia="en-US"/>
              </w:rPr>
              <w:t>No new contracts or arrangements are expected to be in place during the period 2018-19 to 2024-25 which relate directly or indirectly to the provision of distribution services.</w:t>
            </w:r>
          </w:p>
        </w:tc>
      </w:tr>
      <w:tr w:rsidR="00E169B4" w:rsidRPr="002056FA" w14:paraId="03AEEB49" w14:textId="77777777" w:rsidTr="00E169B4">
        <w:tc>
          <w:tcPr>
            <w:tcW w:w="0" w:type="auto"/>
            <w:tcBorders>
              <w:bottom w:val="single" w:sz="4" w:space="0" w:color="auto"/>
            </w:tcBorders>
            <w:shd w:val="clear" w:color="auto" w:fill="auto"/>
          </w:tcPr>
          <w:p w14:paraId="45CC190D" w14:textId="6885119B" w:rsidR="00E169B4" w:rsidRPr="002056FA" w:rsidRDefault="00E169B4" w:rsidP="00E169B4">
            <w:pPr>
              <w:pStyle w:val="TableCopy"/>
              <w:rPr>
                <w:rFonts w:eastAsia="Calibri"/>
                <w:color w:val="000000"/>
                <w:lang w:eastAsia="en-US"/>
              </w:rPr>
            </w:pPr>
            <w:r w:rsidRPr="002056FA">
              <w:rPr>
                <w:rFonts w:eastAsia="Calibri"/>
                <w:color w:val="000000"/>
                <w:lang w:eastAsia="en-US"/>
              </w:rPr>
              <w:t>28.3(b)</w:t>
            </w:r>
          </w:p>
        </w:tc>
        <w:tc>
          <w:tcPr>
            <w:tcW w:w="0" w:type="auto"/>
            <w:tcBorders>
              <w:bottom w:val="single" w:sz="4" w:space="0" w:color="auto"/>
            </w:tcBorders>
            <w:shd w:val="clear" w:color="auto" w:fill="auto"/>
          </w:tcPr>
          <w:p w14:paraId="41E9E6CF" w14:textId="54014917" w:rsidR="00E169B4" w:rsidRPr="002056FA" w:rsidRDefault="00E169B4" w:rsidP="00E169B4">
            <w:pPr>
              <w:pStyle w:val="TableCopy"/>
              <w:rPr>
                <w:rFonts w:eastAsia="Calibri"/>
                <w:color w:val="000000"/>
                <w:lang w:eastAsia="en-US"/>
              </w:rPr>
            </w:pPr>
            <w:r w:rsidRPr="002056FA">
              <w:rPr>
                <w:rFonts w:eastAsia="Calibri"/>
                <w:color w:val="000000"/>
                <w:lang w:eastAsia="en-US"/>
              </w:rPr>
              <w:t>the service or services that are the subject of each arrangement or contract.</w:t>
            </w:r>
          </w:p>
        </w:tc>
        <w:tc>
          <w:tcPr>
            <w:tcW w:w="0" w:type="auto"/>
            <w:tcBorders>
              <w:bottom w:val="single" w:sz="4" w:space="0" w:color="auto"/>
            </w:tcBorders>
            <w:shd w:val="clear" w:color="auto" w:fill="auto"/>
          </w:tcPr>
          <w:p w14:paraId="454859EE" w14:textId="505DD2C4" w:rsidR="00E169B4" w:rsidRDefault="00E169B4" w:rsidP="00E169B4">
            <w:pPr>
              <w:pStyle w:val="TableCopy"/>
              <w:rPr>
                <w:rFonts w:eastAsia="Calibri"/>
                <w:color w:val="000000"/>
                <w:lang w:eastAsia="en-US"/>
              </w:rPr>
            </w:pPr>
            <w:r w:rsidRPr="002056FA">
              <w:rPr>
                <w:rFonts w:eastAsia="Calibri"/>
                <w:lang w:eastAsia="en-US"/>
              </w:rPr>
              <w:t xml:space="preserve">Refer to response 28.3(a). </w:t>
            </w:r>
          </w:p>
        </w:tc>
      </w:tr>
      <w:tr w:rsidR="00E169B4" w:rsidRPr="002056FA" w14:paraId="287CD3D7" w14:textId="77777777" w:rsidTr="00E169B4">
        <w:tc>
          <w:tcPr>
            <w:tcW w:w="0" w:type="auto"/>
            <w:shd w:val="clear" w:color="auto" w:fill="D0CECE" w:themeFill="background2" w:themeFillShade="E6"/>
          </w:tcPr>
          <w:p w14:paraId="7688E144" w14:textId="57D7A862" w:rsidR="00E169B4" w:rsidRPr="002056FA" w:rsidRDefault="00E169B4" w:rsidP="00E169B4">
            <w:pPr>
              <w:pStyle w:val="TableCopy"/>
              <w:rPr>
                <w:rFonts w:eastAsia="Calibri"/>
                <w:color w:val="000000"/>
                <w:lang w:eastAsia="en-US"/>
              </w:rPr>
            </w:pPr>
            <w:r w:rsidRPr="002056FA">
              <w:rPr>
                <w:rFonts w:eastAsia="Calibri"/>
                <w:color w:val="000000"/>
                <w:lang w:eastAsia="en-US"/>
              </w:rPr>
              <w:t>28.4</w:t>
            </w:r>
          </w:p>
        </w:tc>
        <w:tc>
          <w:tcPr>
            <w:tcW w:w="0" w:type="auto"/>
            <w:shd w:val="clear" w:color="auto" w:fill="D0CECE" w:themeFill="background2" w:themeFillShade="E6"/>
          </w:tcPr>
          <w:p w14:paraId="7C36D553" w14:textId="0763AA2C" w:rsidR="00E169B4" w:rsidRPr="002056FA" w:rsidRDefault="00E169B4" w:rsidP="00E169B4">
            <w:pPr>
              <w:pStyle w:val="TableCopy"/>
              <w:rPr>
                <w:rFonts w:eastAsia="Calibri"/>
                <w:color w:val="000000"/>
                <w:lang w:eastAsia="en-US"/>
              </w:rPr>
            </w:pPr>
            <w:r w:rsidRPr="002056FA">
              <w:rPr>
                <w:rFonts w:eastAsia="Calibri"/>
                <w:color w:val="000000"/>
                <w:lang w:eastAsia="en-US"/>
              </w:rPr>
              <w:t>For each service identified in the response to paragraph 28.3(b):</w:t>
            </w:r>
          </w:p>
        </w:tc>
        <w:tc>
          <w:tcPr>
            <w:tcW w:w="0" w:type="auto"/>
            <w:shd w:val="clear" w:color="auto" w:fill="D0CECE" w:themeFill="background2" w:themeFillShade="E6"/>
          </w:tcPr>
          <w:p w14:paraId="5EA2D972" w14:textId="77777777" w:rsidR="00E169B4" w:rsidRPr="002056FA" w:rsidRDefault="00E169B4" w:rsidP="00E169B4">
            <w:pPr>
              <w:pStyle w:val="TableCopy"/>
              <w:rPr>
                <w:rFonts w:eastAsia="Calibri"/>
                <w:lang w:eastAsia="en-US"/>
              </w:rPr>
            </w:pPr>
          </w:p>
        </w:tc>
      </w:tr>
      <w:tr w:rsidR="00E169B4" w:rsidRPr="002056FA" w14:paraId="42B1E34D" w14:textId="77777777" w:rsidTr="00E169B4">
        <w:tc>
          <w:tcPr>
            <w:tcW w:w="0" w:type="auto"/>
            <w:shd w:val="clear" w:color="auto" w:fill="D0CECE" w:themeFill="background2" w:themeFillShade="E6"/>
          </w:tcPr>
          <w:p w14:paraId="421822B8" w14:textId="3D69CDC6" w:rsidR="00E169B4" w:rsidRPr="002056FA" w:rsidRDefault="00E169B4" w:rsidP="00E169B4">
            <w:pPr>
              <w:pStyle w:val="TableCopy"/>
              <w:rPr>
                <w:rFonts w:eastAsia="Calibri"/>
                <w:color w:val="000000"/>
                <w:lang w:eastAsia="en-US"/>
              </w:rPr>
            </w:pPr>
            <w:r w:rsidRPr="002056FA">
              <w:rPr>
                <w:rFonts w:eastAsia="Calibri"/>
                <w:color w:val="000000"/>
                <w:lang w:eastAsia="en-US"/>
              </w:rPr>
              <w:t>28.4(a)</w:t>
            </w:r>
          </w:p>
        </w:tc>
        <w:tc>
          <w:tcPr>
            <w:tcW w:w="0" w:type="auto"/>
            <w:shd w:val="clear" w:color="auto" w:fill="D0CECE" w:themeFill="background2" w:themeFillShade="E6"/>
          </w:tcPr>
          <w:p w14:paraId="32F8D5BF" w14:textId="1F0805BD" w:rsidR="00E169B4" w:rsidRPr="002056FA" w:rsidRDefault="00E169B4" w:rsidP="00E169B4">
            <w:pPr>
              <w:pStyle w:val="TableCopy"/>
              <w:rPr>
                <w:rFonts w:eastAsia="Calibri"/>
                <w:color w:val="000000"/>
                <w:lang w:eastAsia="en-US"/>
              </w:rPr>
            </w:pPr>
            <w:r w:rsidRPr="002056FA">
              <w:rPr>
                <w:rFonts w:eastAsia="Calibri"/>
                <w:color w:val="000000"/>
                <w:lang w:eastAsia="en-US"/>
              </w:rPr>
              <w:t>provide:</w:t>
            </w:r>
          </w:p>
        </w:tc>
        <w:tc>
          <w:tcPr>
            <w:tcW w:w="0" w:type="auto"/>
            <w:shd w:val="clear" w:color="auto" w:fill="D0CECE" w:themeFill="background2" w:themeFillShade="E6"/>
          </w:tcPr>
          <w:p w14:paraId="0F2CBF41" w14:textId="77777777" w:rsidR="00E169B4" w:rsidRPr="002056FA" w:rsidRDefault="00E169B4" w:rsidP="00E169B4">
            <w:pPr>
              <w:pStyle w:val="TableCopy"/>
              <w:rPr>
                <w:rFonts w:eastAsia="Calibri"/>
                <w:lang w:eastAsia="en-US"/>
              </w:rPr>
            </w:pPr>
          </w:p>
        </w:tc>
      </w:tr>
      <w:tr w:rsidR="00E169B4" w:rsidRPr="002056FA" w14:paraId="1168B06B" w14:textId="77777777" w:rsidTr="00E169B4">
        <w:tc>
          <w:tcPr>
            <w:tcW w:w="0" w:type="auto"/>
            <w:shd w:val="clear" w:color="auto" w:fill="auto"/>
          </w:tcPr>
          <w:p w14:paraId="48EACDD9" w14:textId="7844B184" w:rsidR="00E169B4" w:rsidRPr="002056FA" w:rsidRDefault="00E169B4" w:rsidP="00E169B4">
            <w:pPr>
              <w:pStyle w:val="TableCopy"/>
              <w:rPr>
                <w:rFonts w:eastAsia="Calibri"/>
                <w:color w:val="000000"/>
                <w:lang w:eastAsia="en-US"/>
              </w:rPr>
            </w:pPr>
            <w:r w:rsidRPr="002056FA">
              <w:rPr>
                <w:rFonts w:eastAsia="Calibri"/>
                <w:color w:val="000000"/>
                <w:lang w:eastAsia="en-US"/>
              </w:rPr>
              <w:t>28.4(a)(i)</w:t>
            </w:r>
          </w:p>
        </w:tc>
        <w:tc>
          <w:tcPr>
            <w:tcW w:w="0" w:type="auto"/>
            <w:shd w:val="clear" w:color="auto" w:fill="auto"/>
          </w:tcPr>
          <w:p w14:paraId="72E7CBAE" w14:textId="7E5AFB14" w:rsidR="00E169B4" w:rsidRPr="002056FA" w:rsidRDefault="00E169B4" w:rsidP="00E169B4">
            <w:pPr>
              <w:pStyle w:val="TableCopy"/>
              <w:rPr>
                <w:rFonts w:eastAsia="Calibri"/>
                <w:color w:val="000000"/>
                <w:lang w:eastAsia="en-US"/>
              </w:rPr>
            </w:pPr>
            <w:r w:rsidRPr="002056FA">
              <w:rPr>
                <w:rFonts w:eastAsia="Calibri"/>
                <w:color w:val="000000"/>
                <w:lang w:eastAsia="en-US"/>
              </w:rPr>
              <w:t>a description of the process used to procure the service; and</w:t>
            </w:r>
          </w:p>
        </w:tc>
        <w:tc>
          <w:tcPr>
            <w:tcW w:w="0" w:type="auto"/>
            <w:shd w:val="clear" w:color="auto" w:fill="auto"/>
          </w:tcPr>
          <w:p w14:paraId="417DC7D9" w14:textId="035F1E4A" w:rsidR="00E169B4" w:rsidRPr="002056FA" w:rsidRDefault="00E169B4" w:rsidP="00E169B4">
            <w:pPr>
              <w:pStyle w:val="TableCopy"/>
              <w:rPr>
                <w:rFonts w:eastAsia="Calibri"/>
                <w:lang w:eastAsia="en-US"/>
              </w:rPr>
            </w:pPr>
            <w:r w:rsidRPr="002056FA">
              <w:rPr>
                <w:rFonts w:eastAsia="Calibri"/>
                <w:bCs/>
                <w:lang w:eastAsia="en-US"/>
              </w:rPr>
              <w:t xml:space="preserve">The services </w:t>
            </w:r>
            <w:r>
              <w:rPr>
                <w:rFonts w:eastAsia="Calibri"/>
                <w:bCs/>
                <w:lang w:eastAsia="en-US"/>
              </w:rPr>
              <w:t xml:space="preserve">that </w:t>
            </w:r>
            <w:r w:rsidRPr="002056FA">
              <w:rPr>
                <w:rFonts w:eastAsia="Calibri"/>
                <w:bCs/>
                <w:lang w:eastAsia="en-US"/>
              </w:rPr>
              <w:t>are the subject of the</w:t>
            </w:r>
            <w:r>
              <w:rPr>
                <w:rFonts w:eastAsia="Calibri"/>
                <w:bCs/>
                <w:lang w:eastAsia="en-US"/>
              </w:rPr>
              <w:t xml:space="preserve"> EQL</w:t>
            </w:r>
            <w:r w:rsidRPr="002056FA">
              <w:rPr>
                <w:rFonts w:eastAsia="Calibri"/>
                <w:bCs/>
                <w:lang w:eastAsia="en-US"/>
              </w:rPr>
              <w:t xml:space="preserve"> Treasury Management Agreement and </w:t>
            </w:r>
            <w:r>
              <w:rPr>
                <w:rFonts w:eastAsia="Calibri"/>
                <w:bCs/>
                <w:lang w:eastAsia="en-US"/>
              </w:rPr>
              <w:t xml:space="preserve">EQL </w:t>
            </w:r>
            <w:r w:rsidRPr="002056FA">
              <w:rPr>
                <w:rFonts w:eastAsia="Calibri"/>
                <w:bCs/>
                <w:lang w:eastAsia="en-US"/>
              </w:rPr>
              <w:t xml:space="preserve">Framework Agreement for </w:t>
            </w:r>
            <w:r>
              <w:rPr>
                <w:rFonts w:eastAsia="Calibri"/>
                <w:bCs/>
                <w:lang w:eastAsia="en-US"/>
              </w:rPr>
              <w:t xml:space="preserve"> </w:t>
            </w:r>
            <w:r w:rsidRPr="002056FA">
              <w:rPr>
                <w:rFonts w:eastAsia="Calibri"/>
                <w:bCs/>
                <w:lang w:eastAsia="en-US"/>
              </w:rPr>
              <w:t xml:space="preserve">Services </w:t>
            </w:r>
            <w:r w:rsidRPr="002056FA">
              <w:rPr>
                <w:rFonts w:eastAsia="Calibri"/>
                <w:lang w:eastAsia="en-US"/>
              </w:rPr>
              <w:t>relate to overall management functions performed by Energy Queensland Limited as the parent entity of the Energy Queensland Limited corporate group,</w:t>
            </w:r>
            <w:r>
              <w:rPr>
                <w:rFonts w:eastAsia="Calibri"/>
                <w:lang w:eastAsia="en-US"/>
              </w:rPr>
              <w:t>. They are provided</w:t>
            </w:r>
            <w:r w:rsidRPr="002056FA">
              <w:rPr>
                <w:rFonts w:eastAsia="Calibri"/>
                <w:lang w:eastAsia="en-US"/>
              </w:rPr>
              <w:t xml:space="preserve"> in support of the efficient operation of the Energy Queensland Limited group of companies in response to the Queensland Government’s merger of the Energex and Ergon Energy businesses in 2016.  They do not relate to the procurement of services generally offered by external providers.</w:t>
            </w:r>
          </w:p>
        </w:tc>
      </w:tr>
      <w:tr w:rsidR="00E169B4" w:rsidRPr="002056FA" w14:paraId="19F0DE04" w14:textId="77777777" w:rsidTr="00E169B4">
        <w:tc>
          <w:tcPr>
            <w:tcW w:w="0" w:type="auto"/>
            <w:tcBorders>
              <w:bottom w:val="single" w:sz="4" w:space="0" w:color="auto"/>
            </w:tcBorders>
            <w:shd w:val="clear" w:color="auto" w:fill="auto"/>
          </w:tcPr>
          <w:p w14:paraId="63521F2A" w14:textId="4882067C" w:rsidR="00E169B4" w:rsidRPr="002056FA" w:rsidRDefault="00E169B4" w:rsidP="00E169B4">
            <w:pPr>
              <w:pStyle w:val="TableCopy"/>
              <w:rPr>
                <w:rFonts w:eastAsia="Calibri"/>
                <w:color w:val="000000"/>
                <w:lang w:eastAsia="en-US"/>
              </w:rPr>
            </w:pPr>
            <w:r w:rsidRPr="002056FA">
              <w:rPr>
                <w:rFonts w:eastAsia="Calibri"/>
                <w:color w:val="000000"/>
                <w:lang w:eastAsia="en-US"/>
              </w:rPr>
              <w:t>28.4(a)(ii)</w:t>
            </w:r>
          </w:p>
        </w:tc>
        <w:tc>
          <w:tcPr>
            <w:tcW w:w="0" w:type="auto"/>
            <w:tcBorders>
              <w:bottom w:val="single" w:sz="4" w:space="0" w:color="auto"/>
            </w:tcBorders>
            <w:shd w:val="clear" w:color="auto" w:fill="auto"/>
          </w:tcPr>
          <w:p w14:paraId="60827DAD" w14:textId="3F3FA461" w:rsidR="00E169B4" w:rsidRPr="002056FA" w:rsidRDefault="00E169B4" w:rsidP="00E169B4">
            <w:pPr>
              <w:pStyle w:val="TableCopy"/>
              <w:rPr>
                <w:rFonts w:eastAsia="Calibri"/>
                <w:color w:val="000000"/>
                <w:lang w:eastAsia="en-US"/>
              </w:rPr>
            </w:pPr>
            <w:r w:rsidRPr="002056FA">
              <w:rPr>
                <w:rFonts w:eastAsia="Calibri"/>
                <w:color w:val="000000"/>
                <w:lang w:eastAsia="en-US"/>
              </w:rPr>
              <w:t>supporting documentation including, but not limited to, requests for tender, tender submissions, internal committee papers evaluating the tenders, contracts between Energex and the relevant provider.</w:t>
            </w:r>
          </w:p>
        </w:tc>
        <w:tc>
          <w:tcPr>
            <w:tcW w:w="0" w:type="auto"/>
            <w:tcBorders>
              <w:bottom w:val="single" w:sz="4" w:space="0" w:color="auto"/>
            </w:tcBorders>
            <w:shd w:val="clear" w:color="auto" w:fill="auto"/>
          </w:tcPr>
          <w:p w14:paraId="091C3383" w14:textId="0791F535" w:rsidR="00E169B4" w:rsidRPr="002056FA" w:rsidRDefault="00E169B4" w:rsidP="00E169B4">
            <w:pPr>
              <w:pStyle w:val="TableCopy"/>
              <w:rPr>
                <w:rFonts w:eastAsia="Calibri"/>
                <w:bCs/>
                <w:lang w:eastAsia="en-US"/>
              </w:rPr>
            </w:pPr>
            <w:r w:rsidRPr="002056FA">
              <w:rPr>
                <w:rFonts w:eastAsia="Calibri"/>
                <w:lang w:eastAsia="en-US"/>
              </w:rPr>
              <w:t xml:space="preserve">These contracts are provided in </w:t>
            </w:r>
            <w:r>
              <w:rPr>
                <w:rFonts w:eastAsia="Calibri"/>
                <w:bCs/>
                <w:lang w:eastAsia="en-US"/>
              </w:rPr>
              <w:t>EQL</w:t>
            </w:r>
            <w:r w:rsidRPr="00CE7D1B">
              <w:rPr>
                <w:rFonts w:eastAsia="Calibri"/>
                <w:bCs/>
                <w:lang w:eastAsia="en-US"/>
              </w:rPr>
              <w:t xml:space="preserve"> T</w:t>
            </w:r>
            <w:r w:rsidRPr="002056FA">
              <w:rPr>
                <w:rFonts w:eastAsia="Calibri"/>
                <w:bCs/>
                <w:lang w:eastAsia="en-US"/>
              </w:rPr>
              <w:t>reasury Mana</w:t>
            </w:r>
            <w:r>
              <w:rPr>
                <w:rFonts w:eastAsia="Calibri"/>
                <w:bCs/>
                <w:lang w:eastAsia="en-US"/>
              </w:rPr>
              <w:t>gement</w:t>
            </w:r>
            <w:r w:rsidRPr="002056FA">
              <w:rPr>
                <w:rFonts w:eastAsia="Calibri"/>
                <w:bCs/>
                <w:lang w:eastAsia="en-US"/>
              </w:rPr>
              <w:t xml:space="preserve"> Agreement</w:t>
            </w:r>
            <w:r w:rsidRPr="002056FA">
              <w:rPr>
                <w:rFonts w:eastAsia="Calibri"/>
                <w:lang w:eastAsia="en-US"/>
              </w:rPr>
              <w:t xml:space="preserve"> and </w:t>
            </w:r>
            <w:r>
              <w:rPr>
                <w:rFonts w:eastAsia="Calibri"/>
                <w:bCs/>
                <w:lang w:eastAsia="en-US"/>
              </w:rPr>
              <w:t xml:space="preserve">EQL </w:t>
            </w:r>
            <w:r w:rsidRPr="002056FA">
              <w:rPr>
                <w:rFonts w:eastAsia="Calibri"/>
                <w:bCs/>
                <w:lang w:eastAsia="en-US"/>
              </w:rPr>
              <w:t>F</w:t>
            </w:r>
            <w:r>
              <w:rPr>
                <w:rFonts w:eastAsia="Calibri"/>
                <w:bCs/>
                <w:lang w:eastAsia="en-US"/>
              </w:rPr>
              <w:t>ramework Agreement for Services</w:t>
            </w:r>
            <w:r w:rsidRPr="002056FA">
              <w:rPr>
                <w:rFonts w:eastAsia="Calibri"/>
                <w:bCs/>
                <w:lang w:eastAsia="en-US"/>
              </w:rPr>
              <w:t>.</w:t>
            </w:r>
          </w:p>
        </w:tc>
      </w:tr>
      <w:tr w:rsidR="00E169B4" w:rsidRPr="002056FA" w14:paraId="2C11B768" w14:textId="77777777" w:rsidTr="00E169B4">
        <w:tc>
          <w:tcPr>
            <w:tcW w:w="0" w:type="auto"/>
            <w:shd w:val="clear" w:color="auto" w:fill="D0CECE" w:themeFill="background2" w:themeFillShade="E6"/>
          </w:tcPr>
          <w:p w14:paraId="2FB309CE" w14:textId="3EB5DC4F" w:rsidR="00E169B4" w:rsidRPr="002056FA" w:rsidRDefault="00E169B4" w:rsidP="00E169B4">
            <w:pPr>
              <w:pStyle w:val="TableCopy"/>
              <w:rPr>
                <w:rFonts w:eastAsia="Calibri"/>
                <w:color w:val="000000"/>
                <w:lang w:eastAsia="en-US"/>
              </w:rPr>
            </w:pPr>
            <w:r w:rsidRPr="002056FA">
              <w:rPr>
                <w:rFonts w:eastAsia="Calibri"/>
                <w:color w:val="000000"/>
                <w:lang w:eastAsia="en-US"/>
              </w:rPr>
              <w:t>28.4(b)</w:t>
            </w:r>
          </w:p>
        </w:tc>
        <w:tc>
          <w:tcPr>
            <w:tcW w:w="0" w:type="auto"/>
            <w:shd w:val="clear" w:color="auto" w:fill="D0CECE" w:themeFill="background2" w:themeFillShade="E6"/>
          </w:tcPr>
          <w:p w14:paraId="028BF0DE" w14:textId="61D1A022" w:rsidR="00E169B4" w:rsidRPr="002056FA" w:rsidRDefault="00E169B4" w:rsidP="00E169B4">
            <w:pPr>
              <w:pStyle w:val="TableCopy"/>
              <w:rPr>
                <w:rFonts w:eastAsia="Calibri"/>
                <w:color w:val="000000"/>
                <w:lang w:eastAsia="en-US"/>
              </w:rPr>
            </w:pPr>
            <w:r w:rsidRPr="002056FA">
              <w:rPr>
                <w:rFonts w:eastAsia="Calibri"/>
                <w:color w:val="000000"/>
                <w:lang w:eastAsia="en-US"/>
              </w:rPr>
              <w:t>explain:</w:t>
            </w:r>
          </w:p>
        </w:tc>
        <w:tc>
          <w:tcPr>
            <w:tcW w:w="0" w:type="auto"/>
            <w:shd w:val="clear" w:color="auto" w:fill="D0CECE" w:themeFill="background2" w:themeFillShade="E6"/>
          </w:tcPr>
          <w:p w14:paraId="4DA41DA2" w14:textId="77777777" w:rsidR="00E169B4" w:rsidRPr="002056FA" w:rsidRDefault="00E169B4" w:rsidP="00E169B4">
            <w:pPr>
              <w:pStyle w:val="TableCopy"/>
              <w:rPr>
                <w:rFonts w:eastAsia="Calibri"/>
                <w:lang w:eastAsia="en-US"/>
              </w:rPr>
            </w:pPr>
          </w:p>
        </w:tc>
      </w:tr>
      <w:tr w:rsidR="00E169B4" w:rsidRPr="002056FA" w14:paraId="0161070A" w14:textId="77777777" w:rsidTr="00E169B4">
        <w:tc>
          <w:tcPr>
            <w:tcW w:w="0" w:type="auto"/>
            <w:shd w:val="clear" w:color="auto" w:fill="auto"/>
          </w:tcPr>
          <w:p w14:paraId="56D90313" w14:textId="0257BD83" w:rsidR="00E169B4" w:rsidRPr="002056FA" w:rsidRDefault="00E169B4" w:rsidP="00E169B4">
            <w:pPr>
              <w:pStyle w:val="TableCopy"/>
              <w:rPr>
                <w:rFonts w:eastAsia="Calibri"/>
                <w:color w:val="000000"/>
                <w:lang w:eastAsia="en-US"/>
              </w:rPr>
            </w:pPr>
            <w:r w:rsidRPr="002056FA">
              <w:rPr>
                <w:rFonts w:eastAsia="Calibri"/>
                <w:color w:val="000000"/>
                <w:lang w:eastAsia="en-US"/>
              </w:rPr>
              <w:t>28.4(b)(i)</w:t>
            </w:r>
          </w:p>
        </w:tc>
        <w:tc>
          <w:tcPr>
            <w:tcW w:w="0" w:type="auto"/>
            <w:shd w:val="clear" w:color="auto" w:fill="auto"/>
          </w:tcPr>
          <w:p w14:paraId="5E57C445" w14:textId="7B0E0AE0" w:rsidR="00E169B4" w:rsidRPr="002056FA" w:rsidRDefault="00E169B4" w:rsidP="00E169B4">
            <w:pPr>
              <w:pStyle w:val="TableCopy"/>
              <w:rPr>
                <w:rFonts w:eastAsia="Calibri"/>
                <w:color w:val="000000"/>
                <w:lang w:eastAsia="en-US"/>
              </w:rPr>
            </w:pPr>
            <w:r w:rsidRPr="002056FA">
              <w:rPr>
                <w:rFonts w:eastAsia="Calibri"/>
                <w:color w:val="000000"/>
                <w:lang w:eastAsia="en-US"/>
              </w:rPr>
              <w:t>why that service is the subject of an arrangement or contract (i.e. why it is outsourced) instead of being undertaken by Energex itself;</w:t>
            </w:r>
          </w:p>
        </w:tc>
        <w:tc>
          <w:tcPr>
            <w:tcW w:w="0" w:type="auto"/>
            <w:shd w:val="clear" w:color="auto" w:fill="auto"/>
          </w:tcPr>
          <w:p w14:paraId="64C4393B" w14:textId="77777777" w:rsidR="00E169B4" w:rsidRPr="002056FA" w:rsidRDefault="00E169B4" w:rsidP="00E169B4">
            <w:pPr>
              <w:pStyle w:val="TableCopy"/>
              <w:rPr>
                <w:rFonts w:eastAsia="Calibri"/>
                <w:lang w:eastAsia="en-US"/>
              </w:rPr>
            </w:pPr>
            <w:r w:rsidRPr="002056FA">
              <w:rPr>
                <w:rFonts w:eastAsia="Calibri"/>
                <w:bCs/>
                <w:lang w:eastAsia="en-US"/>
              </w:rPr>
              <w:t xml:space="preserve">The services </w:t>
            </w:r>
            <w:r>
              <w:rPr>
                <w:rFonts w:eastAsia="Calibri"/>
                <w:bCs/>
                <w:lang w:eastAsia="en-US"/>
              </w:rPr>
              <w:t xml:space="preserve">that </w:t>
            </w:r>
            <w:r w:rsidRPr="002056FA">
              <w:rPr>
                <w:rFonts w:eastAsia="Calibri"/>
                <w:bCs/>
                <w:lang w:eastAsia="en-US"/>
              </w:rPr>
              <w:t>are the subject of the</w:t>
            </w:r>
            <w:r>
              <w:rPr>
                <w:rFonts w:eastAsia="Calibri"/>
                <w:bCs/>
                <w:lang w:eastAsia="en-US"/>
              </w:rPr>
              <w:t xml:space="preserve"> EQL</w:t>
            </w:r>
            <w:r w:rsidRPr="002056FA">
              <w:rPr>
                <w:rFonts w:eastAsia="Calibri"/>
                <w:bCs/>
                <w:lang w:eastAsia="en-US"/>
              </w:rPr>
              <w:t xml:space="preserve"> Treasury Management Agreement and </w:t>
            </w:r>
            <w:r>
              <w:rPr>
                <w:rFonts w:eastAsia="Calibri"/>
                <w:bCs/>
                <w:lang w:eastAsia="en-US"/>
              </w:rPr>
              <w:t xml:space="preserve">EQL </w:t>
            </w:r>
            <w:r w:rsidRPr="002056FA">
              <w:rPr>
                <w:rFonts w:eastAsia="Calibri"/>
                <w:bCs/>
                <w:lang w:eastAsia="en-US"/>
              </w:rPr>
              <w:t xml:space="preserve">Framework Agreement for Services </w:t>
            </w:r>
            <w:r w:rsidRPr="002056FA">
              <w:rPr>
                <w:rFonts w:eastAsia="Calibri"/>
                <w:lang w:eastAsia="en-US"/>
              </w:rPr>
              <w:t>relate to overall management functions performed by Energy Queensland Limited as the parent entity of the Energy Queensland Limited corporate group</w:t>
            </w:r>
            <w:r>
              <w:rPr>
                <w:rFonts w:eastAsia="Calibri"/>
                <w:lang w:eastAsia="en-US"/>
              </w:rPr>
              <w:t>. They are provided</w:t>
            </w:r>
            <w:r w:rsidRPr="002056FA">
              <w:rPr>
                <w:rFonts w:eastAsia="Calibri"/>
                <w:lang w:eastAsia="en-US"/>
              </w:rPr>
              <w:t xml:space="preserve"> in support of the efficient operation of the Energy Queensland Limited group of companies in response to the Queensland Government’s merger of the Energex and Ergon Energy businesses in 2016.  </w:t>
            </w:r>
          </w:p>
          <w:p w14:paraId="68117922" w14:textId="56D475B5" w:rsidR="00E169B4" w:rsidRPr="002056FA" w:rsidRDefault="00E169B4" w:rsidP="00E169B4">
            <w:pPr>
              <w:pStyle w:val="TableCopy"/>
              <w:rPr>
                <w:rFonts w:eastAsia="Calibri"/>
                <w:lang w:eastAsia="en-US"/>
              </w:rPr>
            </w:pPr>
            <w:r w:rsidRPr="002056FA">
              <w:rPr>
                <w:rFonts w:eastAsia="Calibri"/>
                <w:lang w:eastAsia="en-US"/>
              </w:rPr>
              <w:t xml:space="preserve">They do not relate to the procurement of services generally offered by external providers. The Treasury Management Agreement and Framework Agreement for Services are based on a cost recovery; therefore Energy Queensland Limited does not make a profit from these agreements. </w:t>
            </w:r>
          </w:p>
        </w:tc>
      </w:tr>
      <w:tr w:rsidR="00E169B4" w:rsidRPr="002056FA" w14:paraId="4489514F" w14:textId="77777777" w:rsidTr="00E169B4">
        <w:tc>
          <w:tcPr>
            <w:tcW w:w="0" w:type="auto"/>
            <w:shd w:val="clear" w:color="auto" w:fill="auto"/>
          </w:tcPr>
          <w:p w14:paraId="4A0F45DC" w14:textId="630110CC" w:rsidR="00E169B4" w:rsidRPr="002056FA" w:rsidRDefault="00E169B4" w:rsidP="00E169B4">
            <w:pPr>
              <w:pStyle w:val="TableCopy"/>
              <w:rPr>
                <w:rFonts w:eastAsia="Calibri"/>
                <w:color w:val="000000"/>
                <w:lang w:eastAsia="en-US"/>
              </w:rPr>
            </w:pPr>
            <w:r w:rsidRPr="002056FA">
              <w:rPr>
                <w:rFonts w:eastAsia="Calibri"/>
                <w:color w:val="000000"/>
                <w:lang w:eastAsia="en-US"/>
              </w:rPr>
              <w:t>28.4(b)(ii)</w:t>
            </w:r>
          </w:p>
        </w:tc>
        <w:tc>
          <w:tcPr>
            <w:tcW w:w="0" w:type="auto"/>
            <w:shd w:val="clear" w:color="auto" w:fill="auto"/>
          </w:tcPr>
          <w:p w14:paraId="46F7E289" w14:textId="3AEE5ECA" w:rsidR="00E169B4" w:rsidRPr="002056FA" w:rsidRDefault="00E169B4" w:rsidP="00E169B4">
            <w:pPr>
              <w:pStyle w:val="TableCopy"/>
              <w:rPr>
                <w:rFonts w:eastAsia="Calibri"/>
                <w:color w:val="000000"/>
                <w:lang w:eastAsia="en-US"/>
              </w:rPr>
            </w:pPr>
            <w:r w:rsidRPr="002056FA">
              <w:rPr>
                <w:rFonts w:eastAsia="Calibri"/>
                <w:color w:val="000000"/>
                <w:lang w:eastAsia="en-US"/>
              </w:rPr>
              <w:t>whether the services procured were provided under a standalone contract or provided as part of a broader operational agreement (or similar);</w:t>
            </w:r>
          </w:p>
        </w:tc>
        <w:tc>
          <w:tcPr>
            <w:tcW w:w="0" w:type="auto"/>
            <w:shd w:val="clear" w:color="auto" w:fill="auto"/>
          </w:tcPr>
          <w:p w14:paraId="2EBA84E7" w14:textId="65B74ED0" w:rsidR="00E169B4" w:rsidRPr="002056FA" w:rsidRDefault="00E169B4" w:rsidP="00E169B4">
            <w:pPr>
              <w:pStyle w:val="TableCopy"/>
              <w:rPr>
                <w:rFonts w:eastAsia="Calibri"/>
                <w:bCs/>
                <w:lang w:eastAsia="en-US"/>
              </w:rPr>
            </w:pPr>
            <w:r w:rsidRPr="002056FA">
              <w:rPr>
                <w:rFonts w:eastAsia="Calibri"/>
                <w:lang w:eastAsia="en-US"/>
              </w:rPr>
              <w:t>Refer to response 28.4(b)(i).</w:t>
            </w:r>
          </w:p>
        </w:tc>
      </w:tr>
      <w:tr w:rsidR="00E169B4" w:rsidRPr="002056FA" w14:paraId="05ABE83E" w14:textId="77777777" w:rsidTr="00E169B4">
        <w:tc>
          <w:tcPr>
            <w:tcW w:w="0" w:type="auto"/>
            <w:shd w:val="clear" w:color="auto" w:fill="auto"/>
          </w:tcPr>
          <w:p w14:paraId="53D97077" w14:textId="2EF94B65" w:rsidR="00E169B4" w:rsidRPr="002056FA" w:rsidRDefault="00E169B4" w:rsidP="00E169B4">
            <w:pPr>
              <w:pStyle w:val="TableCopy"/>
              <w:rPr>
                <w:rFonts w:eastAsia="Calibri"/>
                <w:color w:val="000000"/>
                <w:lang w:eastAsia="en-US"/>
              </w:rPr>
            </w:pPr>
            <w:r w:rsidRPr="002056FA">
              <w:rPr>
                <w:rFonts w:eastAsia="Calibri"/>
                <w:color w:val="000000"/>
                <w:lang w:eastAsia="en-US"/>
              </w:rPr>
              <w:t>28.4(b)(iii)</w:t>
            </w:r>
          </w:p>
        </w:tc>
        <w:tc>
          <w:tcPr>
            <w:tcW w:w="0" w:type="auto"/>
            <w:shd w:val="clear" w:color="auto" w:fill="auto"/>
          </w:tcPr>
          <w:p w14:paraId="57BC5ACC" w14:textId="2CCE365D" w:rsidR="00E169B4" w:rsidRPr="002056FA" w:rsidRDefault="00E169B4" w:rsidP="00E169B4">
            <w:pPr>
              <w:pStyle w:val="TableCopy"/>
              <w:rPr>
                <w:rFonts w:eastAsia="Calibri"/>
                <w:color w:val="000000"/>
                <w:lang w:eastAsia="en-US"/>
              </w:rPr>
            </w:pPr>
            <w:r w:rsidRPr="002056FA">
              <w:rPr>
                <w:rFonts w:eastAsia="Calibri"/>
                <w:color w:val="000000"/>
                <w:lang w:eastAsia="en-US"/>
              </w:rPr>
              <w:t>whether the services were procured on a genuinely competitive basis and if not, why; and</w:t>
            </w:r>
          </w:p>
        </w:tc>
        <w:tc>
          <w:tcPr>
            <w:tcW w:w="0" w:type="auto"/>
            <w:shd w:val="clear" w:color="auto" w:fill="auto"/>
          </w:tcPr>
          <w:p w14:paraId="6FF42E94" w14:textId="7E084B00" w:rsidR="00E169B4" w:rsidRPr="002056FA" w:rsidRDefault="00E169B4" w:rsidP="00E169B4">
            <w:pPr>
              <w:pStyle w:val="TableCopy"/>
              <w:rPr>
                <w:rFonts w:eastAsia="Calibri"/>
                <w:lang w:eastAsia="en-US"/>
              </w:rPr>
            </w:pPr>
            <w:r w:rsidRPr="002056FA">
              <w:rPr>
                <w:rFonts w:eastAsia="Calibri"/>
                <w:lang w:eastAsia="en-US"/>
              </w:rPr>
              <w:t>Refer to response 28.4(b)(i).</w:t>
            </w:r>
          </w:p>
        </w:tc>
      </w:tr>
      <w:tr w:rsidR="00E169B4" w:rsidRPr="002056FA" w14:paraId="373704E8" w14:textId="77777777" w:rsidTr="00E169B4">
        <w:tc>
          <w:tcPr>
            <w:tcW w:w="0" w:type="auto"/>
            <w:tcBorders>
              <w:bottom w:val="single" w:sz="4" w:space="0" w:color="auto"/>
            </w:tcBorders>
            <w:shd w:val="clear" w:color="auto" w:fill="auto"/>
          </w:tcPr>
          <w:p w14:paraId="46E0E95E" w14:textId="54C40947" w:rsidR="00E169B4" w:rsidRPr="002056FA" w:rsidRDefault="00E169B4" w:rsidP="00E169B4">
            <w:pPr>
              <w:pStyle w:val="TableCopy"/>
              <w:rPr>
                <w:rFonts w:eastAsia="Calibri"/>
                <w:color w:val="000000"/>
                <w:lang w:eastAsia="en-US"/>
              </w:rPr>
            </w:pPr>
            <w:r w:rsidRPr="002056FA">
              <w:rPr>
                <w:rFonts w:eastAsia="Calibri"/>
                <w:color w:val="000000"/>
                <w:lang w:eastAsia="en-US"/>
              </w:rPr>
              <w:t>28.4(b)(iv)</w:t>
            </w:r>
          </w:p>
        </w:tc>
        <w:tc>
          <w:tcPr>
            <w:tcW w:w="0" w:type="auto"/>
            <w:tcBorders>
              <w:bottom w:val="single" w:sz="4" w:space="0" w:color="auto"/>
            </w:tcBorders>
            <w:shd w:val="clear" w:color="auto" w:fill="auto"/>
          </w:tcPr>
          <w:p w14:paraId="3D658DDF" w14:textId="7FA4D031" w:rsidR="00E169B4" w:rsidRPr="002056FA" w:rsidRDefault="00E169B4" w:rsidP="00E169B4">
            <w:pPr>
              <w:pStyle w:val="TableCopy"/>
              <w:rPr>
                <w:rFonts w:eastAsia="Calibri"/>
                <w:color w:val="000000"/>
                <w:lang w:eastAsia="en-US"/>
              </w:rPr>
            </w:pPr>
            <w:r w:rsidRPr="002056FA">
              <w:rPr>
                <w:rFonts w:eastAsia="Calibri"/>
                <w:color w:val="000000"/>
                <w:lang w:eastAsia="en-US"/>
              </w:rPr>
              <w:t>whether the service (or any component thereof) was further outsourced to another provider.</w:t>
            </w:r>
          </w:p>
        </w:tc>
        <w:tc>
          <w:tcPr>
            <w:tcW w:w="0" w:type="auto"/>
            <w:tcBorders>
              <w:bottom w:val="single" w:sz="4" w:space="0" w:color="auto"/>
            </w:tcBorders>
            <w:shd w:val="clear" w:color="auto" w:fill="auto"/>
          </w:tcPr>
          <w:p w14:paraId="7C006BDD" w14:textId="70D3DB1D" w:rsidR="00E169B4" w:rsidRPr="002056FA" w:rsidRDefault="00E169B4" w:rsidP="00E169B4">
            <w:pPr>
              <w:pStyle w:val="TableCopy"/>
              <w:rPr>
                <w:rFonts w:eastAsia="Calibri"/>
                <w:lang w:eastAsia="en-US"/>
              </w:rPr>
            </w:pPr>
            <w:r w:rsidRPr="002056FA">
              <w:rPr>
                <w:rFonts w:eastAsia="Calibri"/>
                <w:lang w:eastAsia="en-US"/>
              </w:rPr>
              <w:t>Refer to response 28.4(b)(i).</w:t>
            </w:r>
          </w:p>
        </w:tc>
      </w:tr>
      <w:tr w:rsidR="00E169B4" w:rsidRPr="002056FA" w14:paraId="7E5D58C6" w14:textId="77777777" w:rsidTr="00E169B4">
        <w:tc>
          <w:tcPr>
            <w:tcW w:w="0" w:type="auto"/>
            <w:shd w:val="clear" w:color="auto" w:fill="D0CECE" w:themeFill="background2" w:themeFillShade="E6"/>
          </w:tcPr>
          <w:p w14:paraId="15CF2525" w14:textId="5E238CE7" w:rsidR="00E169B4" w:rsidRPr="002056FA" w:rsidRDefault="00E169B4" w:rsidP="00E169B4">
            <w:pPr>
              <w:pStyle w:val="TableCopy"/>
              <w:rPr>
                <w:rFonts w:eastAsia="Calibri"/>
                <w:color w:val="000000"/>
                <w:lang w:eastAsia="en-US"/>
              </w:rPr>
            </w:pPr>
            <w:r w:rsidRPr="002056FA">
              <w:rPr>
                <w:rFonts w:eastAsia="Calibri"/>
                <w:b/>
                <w:color w:val="000000"/>
                <w:lang w:eastAsia="en-US"/>
              </w:rPr>
              <w:t>29</w:t>
            </w:r>
          </w:p>
        </w:tc>
        <w:tc>
          <w:tcPr>
            <w:tcW w:w="0" w:type="auto"/>
            <w:shd w:val="clear" w:color="auto" w:fill="D0CECE" w:themeFill="background2" w:themeFillShade="E6"/>
          </w:tcPr>
          <w:p w14:paraId="46D0AD98" w14:textId="14E16631" w:rsidR="00E169B4" w:rsidRPr="002056FA" w:rsidRDefault="00E169B4" w:rsidP="00E169B4">
            <w:pPr>
              <w:pStyle w:val="TableCopy"/>
              <w:rPr>
                <w:rFonts w:eastAsia="Calibri"/>
                <w:color w:val="000000"/>
                <w:lang w:eastAsia="en-US"/>
              </w:rPr>
            </w:pPr>
            <w:r w:rsidRPr="002056FA">
              <w:rPr>
                <w:rFonts w:eastAsia="Calibri"/>
                <w:b/>
                <w:color w:val="000000"/>
                <w:lang w:eastAsia="en-US"/>
              </w:rPr>
              <w:t xml:space="preserve">VEGETATION MANAGEMENT COMPLIANCE </w:t>
            </w:r>
          </w:p>
        </w:tc>
        <w:tc>
          <w:tcPr>
            <w:tcW w:w="0" w:type="auto"/>
            <w:shd w:val="clear" w:color="auto" w:fill="D0CECE" w:themeFill="background2" w:themeFillShade="E6"/>
          </w:tcPr>
          <w:p w14:paraId="4EA0800D" w14:textId="77777777" w:rsidR="00E169B4" w:rsidRPr="002056FA" w:rsidRDefault="00E169B4" w:rsidP="00E169B4">
            <w:pPr>
              <w:pStyle w:val="TableCopy"/>
              <w:rPr>
                <w:rFonts w:eastAsia="Calibri"/>
                <w:lang w:eastAsia="en-US"/>
              </w:rPr>
            </w:pPr>
          </w:p>
        </w:tc>
      </w:tr>
      <w:tr w:rsidR="00E169B4" w:rsidRPr="002056FA" w14:paraId="2D55157B" w14:textId="77777777" w:rsidTr="00E169B4">
        <w:tc>
          <w:tcPr>
            <w:tcW w:w="0" w:type="auto"/>
            <w:tcBorders>
              <w:bottom w:val="single" w:sz="4" w:space="0" w:color="auto"/>
            </w:tcBorders>
            <w:shd w:val="clear" w:color="auto" w:fill="auto"/>
          </w:tcPr>
          <w:p w14:paraId="3CCBB2DB" w14:textId="3425D392" w:rsidR="00E169B4" w:rsidRPr="002056FA" w:rsidRDefault="00E169B4" w:rsidP="00E169B4">
            <w:pPr>
              <w:pStyle w:val="TableCopy"/>
              <w:rPr>
                <w:rFonts w:eastAsia="Calibri"/>
                <w:b/>
                <w:color w:val="000000"/>
                <w:lang w:eastAsia="en-US"/>
              </w:rPr>
            </w:pPr>
            <w:r w:rsidRPr="002056FA">
              <w:rPr>
                <w:rFonts w:eastAsia="Calibri"/>
                <w:color w:val="000000"/>
                <w:lang w:eastAsia="en-US"/>
              </w:rPr>
              <w:t>29.1</w:t>
            </w:r>
          </w:p>
        </w:tc>
        <w:tc>
          <w:tcPr>
            <w:tcW w:w="0" w:type="auto"/>
            <w:tcBorders>
              <w:bottom w:val="single" w:sz="4" w:space="0" w:color="auto"/>
            </w:tcBorders>
            <w:shd w:val="clear" w:color="auto" w:fill="auto"/>
          </w:tcPr>
          <w:p w14:paraId="6D994297" w14:textId="2A32513F" w:rsidR="00E169B4" w:rsidRPr="002056FA" w:rsidRDefault="00E169B4" w:rsidP="00E169B4">
            <w:pPr>
              <w:pStyle w:val="TableCopy"/>
              <w:rPr>
                <w:rFonts w:eastAsia="Calibri"/>
                <w:b/>
                <w:color w:val="000000"/>
                <w:lang w:eastAsia="en-US"/>
              </w:rPr>
            </w:pPr>
            <w:r w:rsidRPr="002056FA">
              <w:rPr>
                <w:rFonts w:eastAsia="Calibri"/>
                <w:color w:val="000000"/>
                <w:lang w:eastAsia="en-US"/>
              </w:rPr>
              <w:t>Provide compliance audits of vegetation management work conducted by Energex during the current regulatory control period.</w:t>
            </w:r>
          </w:p>
        </w:tc>
        <w:tc>
          <w:tcPr>
            <w:tcW w:w="0" w:type="auto"/>
            <w:tcBorders>
              <w:bottom w:val="single" w:sz="4" w:space="0" w:color="auto"/>
            </w:tcBorders>
            <w:shd w:val="clear" w:color="auto" w:fill="auto"/>
          </w:tcPr>
          <w:p w14:paraId="2B9C7C30" w14:textId="6763A31E" w:rsidR="00E169B4" w:rsidRPr="002056FA" w:rsidRDefault="00E169B4" w:rsidP="00E169B4">
            <w:pPr>
              <w:pStyle w:val="TableCopy"/>
              <w:rPr>
                <w:rFonts w:eastAsia="Calibri"/>
                <w:lang w:eastAsia="en-US"/>
              </w:rPr>
            </w:pPr>
            <w:r>
              <w:rPr>
                <w:rFonts w:eastAsia="Calibri"/>
                <w:color w:val="000000"/>
                <w:lang w:eastAsia="en-US"/>
              </w:rPr>
              <w:t>Refer to the ‘</w:t>
            </w:r>
            <w:r w:rsidRPr="002056FA">
              <w:rPr>
                <w:rFonts w:eastAsia="Calibri"/>
                <w:color w:val="000000"/>
                <w:lang w:eastAsia="en-US"/>
              </w:rPr>
              <w:t>Vegetati</w:t>
            </w:r>
            <w:r>
              <w:rPr>
                <w:rFonts w:eastAsia="Calibri"/>
                <w:color w:val="000000"/>
                <w:lang w:eastAsia="en-US"/>
              </w:rPr>
              <w:t xml:space="preserve">on Audit Summary’ document </w:t>
            </w:r>
            <w:r w:rsidRPr="00532928">
              <w:rPr>
                <w:rFonts w:eastAsia="Calibri"/>
                <w:color w:val="000000"/>
                <w:lang w:eastAsia="en-US"/>
              </w:rPr>
              <w:t>(Attachment 17.064).</w:t>
            </w:r>
            <w:r w:rsidRPr="002056FA">
              <w:rPr>
                <w:rFonts w:eastAsia="Calibri"/>
                <w:color w:val="000000"/>
                <w:lang w:eastAsia="en-US"/>
              </w:rPr>
              <w:t xml:space="preserve"> </w:t>
            </w:r>
          </w:p>
        </w:tc>
      </w:tr>
      <w:tr w:rsidR="00E169B4" w:rsidRPr="002056FA" w14:paraId="1FF9E3D0" w14:textId="77777777" w:rsidTr="00E169B4">
        <w:tc>
          <w:tcPr>
            <w:tcW w:w="0" w:type="auto"/>
            <w:tcBorders>
              <w:bottom w:val="single" w:sz="4" w:space="0" w:color="auto"/>
            </w:tcBorders>
            <w:shd w:val="clear" w:color="auto" w:fill="D0CECE" w:themeFill="background2" w:themeFillShade="E6"/>
          </w:tcPr>
          <w:p w14:paraId="4D21C913" w14:textId="50A565FF" w:rsidR="00E169B4" w:rsidRPr="002056FA" w:rsidRDefault="00E169B4" w:rsidP="00E169B4">
            <w:pPr>
              <w:pStyle w:val="TableCopy"/>
              <w:rPr>
                <w:rFonts w:eastAsia="Calibri"/>
                <w:color w:val="000000"/>
                <w:lang w:eastAsia="en-US"/>
              </w:rPr>
            </w:pPr>
            <w:r w:rsidRPr="002056FA">
              <w:rPr>
                <w:rFonts w:eastAsia="Calibri"/>
                <w:b/>
                <w:color w:val="000000"/>
                <w:lang w:eastAsia="en-US"/>
              </w:rPr>
              <w:t>30</w:t>
            </w:r>
          </w:p>
        </w:tc>
        <w:tc>
          <w:tcPr>
            <w:tcW w:w="0" w:type="auto"/>
            <w:tcBorders>
              <w:bottom w:val="single" w:sz="4" w:space="0" w:color="auto"/>
            </w:tcBorders>
            <w:shd w:val="clear" w:color="auto" w:fill="D0CECE" w:themeFill="background2" w:themeFillShade="E6"/>
          </w:tcPr>
          <w:p w14:paraId="242BC4EE" w14:textId="7446D3C1" w:rsidR="00E169B4" w:rsidRPr="002056FA" w:rsidRDefault="00E169B4" w:rsidP="00E169B4">
            <w:pPr>
              <w:pStyle w:val="TableCopy"/>
              <w:rPr>
                <w:rFonts w:eastAsia="Calibri"/>
                <w:color w:val="000000"/>
                <w:lang w:eastAsia="en-US"/>
              </w:rPr>
            </w:pPr>
            <w:r w:rsidRPr="002056FA">
              <w:rPr>
                <w:rFonts w:eastAsia="Calibri"/>
                <w:b/>
                <w:color w:val="000000"/>
                <w:lang w:eastAsia="en-US"/>
              </w:rPr>
              <w:t xml:space="preserve">CORPORATE STRUCTURE </w:t>
            </w:r>
          </w:p>
        </w:tc>
        <w:tc>
          <w:tcPr>
            <w:tcW w:w="0" w:type="auto"/>
            <w:tcBorders>
              <w:bottom w:val="single" w:sz="4" w:space="0" w:color="auto"/>
            </w:tcBorders>
            <w:shd w:val="clear" w:color="auto" w:fill="D0CECE" w:themeFill="background2" w:themeFillShade="E6"/>
          </w:tcPr>
          <w:p w14:paraId="3E2EAEEF" w14:textId="77777777" w:rsidR="00E169B4" w:rsidRDefault="00E169B4" w:rsidP="00E169B4">
            <w:pPr>
              <w:pStyle w:val="TableCopy"/>
              <w:rPr>
                <w:rFonts w:eastAsia="Calibri"/>
                <w:color w:val="000000"/>
                <w:lang w:eastAsia="en-US"/>
              </w:rPr>
            </w:pPr>
          </w:p>
        </w:tc>
      </w:tr>
      <w:tr w:rsidR="00E169B4" w:rsidRPr="002056FA" w14:paraId="0B6383BB" w14:textId="77777777" w:rsidTr="00E169B4">
        <w:tc>
          <w:tcPr>
            <w:tcW w:w="0" w:type="auto"/>
            <w:shd w:val="clear" w:color="auto" w:fill="D0CECE" w:themeFill="background2" w:themeFillShade="E6"/>
          </w:tcPr>
          <w:p w14:paraId="337D9F56" w14:textId="03C148B2" w:rsidR="00E169B4" w:rsidRPr="002056FA" w:rsidRDefault="00E169B4" w:rsidP="00E169B4">
            <w:pPr>
              <w:pStyle w:val="TableCopy"/>
              <w:rPr>
                <w:rFonts w:eastAsia="Calibri"/>
                <w:b/>
                <w:color w:val="000000"/>
                <w:lang w:eastAsia="en-US"/>
              </w:rPr>
            </w:pPr>
            <w:r w:rsidRPr="002056FA">
              <w:rPr>
                <w:rFonts w:eastAsia="Calibri"/>
                <w:color w:val="000000"/>
                <w:lang w:eastAsia="en-US"/>
              </w:rPr>
              <w:t>30.1</w:t>
            </w:r>
          </w:p>
        </w:tc>
        <w:tc>
          <w:tcPr>
            <w:tcW w:w="0" w:type="auto"/>
            <w:shd w:val="clear" w:color="auto" w:fill="D0CECE" w:themeFill="background2" w:themeFillShade="E6"/>
          </w:tcPr>
          <w:p w14:paraId="7556701E" w14:textId="290E8B23" w:rsidR="00E169B4" w:rsidRPr="002056FA" w:rsidRDefault="00E169B4" w:rsidP="00E169B4">
            <w:pPr>
              <w:pStyle w:val="TableCopy"/>
              <w:rPr>
                <w:rFonts w:eastAsia="Calibri"/>
                <w:b/>
                <w:color w:val="000000"/>
                <w:lang w:eastAsia="en-US"/>
              </w:rPr>
            </w:pPr>
            <w:r w:rsidRPr="002056FA">
              <w:rPr>
                <w:rFonts w:eastAsia="Calibri"/>
                <w:color w:val="000000"/>
                <w:lang w:eastAsia="en-US"/>
              </w:rPr>
              <w:t>Provide charts that set out:</w:t>
            </w:r>
          </w:p>
        </w:tc>
        <w:tc>
          <w:tcPr>
            <w:tcW w:w="0" w:type="auto"/>
            <w:shd w:val="clear" w:color="auto" w:fill="D0CECE" w:themeFill="background2" w:themeFillShade="E6"/>
          </w:tcPr>
          <w:p w14:paraId="101832DA" w14:textId="77777777" w:rsidR="00E169B4" w:rsidRDefault="00E169B4" w:rsidP="00E169B4">
            <w:pPr>
              <w:pStyle w:val="TableCopy"/>
              <w:rPr>
                <w:rFonts w:eastAsia="Calibri"/>
                <w:color w:val="000000"/>
                <w:lang w:eastAsia="en-US"/>
              </w:rPr>
            </w:pPr>
          </w:p>
        </w:tc>
      </w:tr>
      <w:tr w:rsidR="00E169B4" w:rsidRPr="002056FA" w14:paraId="44977948" w14:textId="77777777" w:rsidTr="00E169B4">
        <w:tc>
          <w:tcPr>
            <w:tcW w:w="0" w:type="auto"/>
            <w:shd w:val="clear" w:color="auto" w:fill="auto"/>
          </w:tcPr>
          <w:p w14:paraId="7D9996D8" w14:textId="0214AAFB" w:rsidR="00E169B4" w:rsidRPr="002056FA" w:rsidRDefault="00E169B4" w:rsidP="00E169B4">
            <w:pPr>
              <w:pStyle w:val="TableCopy"/>
              <w:rPr>
                <w:rFonts w:eastAsia="Calibri"/>
                <w:color w:val="000000"/>
                <w:lang w:eastAsia="en-US"/>
              </w:rPr>
            </w:pPr>
            <w:r w:rsidRPr="002056FA">
              <w:rPr>
                <w:rFonts w:eastAsia="Calibri"/>
                <w:color w:val="000000"/>
                <w:lang w:eastAsia="en-US"/>
              </w:rPr>
              <w:t>30.1(a)</w:t>
            </w:r>
          </w:p>
        </w:tc>
        <w:tc>
          <w:tcPr>
            <w:tcW w:w="0" w:type="auto"/>
            <w:shd w:val="clear" w:color="auto" w:fill="auto"/>
          </w:tcPr>
          <w:p w14:paraId="083CE298" w14:textId="6DF02145" w:rsidR="00E169B4" w:rsidRPr="002056FA" w:rsidRDefault="00E169B4" w:rsidP="00E169B4">
            <w:pPr>
              <w:pStyle w:val="TableCopy"/>
              <w:rPr>
                <w:rFonts w:eastAsia="Calibri"/>
                <w:color w:val="000000"/>
                <w:lang w:eastAsia="en-US"/>
              </w:rPr>
            </w:pPr>
            <w:r w:rsidRPr="002056FA">
              <w:rPr>
                <w:rFonts w:eastAsia="Calibri"/>
                <w:color w:val="000000"/>
                <w:lang w:eastAsia="en-US"/>
              </w:rPr>
              <w:t>the group corporate structure of which Energex is a part; and</w:t>
            </w:r>
          </w:p>
        </w:tc>
        <w:tc>
          <w:tcPr>
            <w:tcW w:w="0" w:type="auto"/>
            <w:shd w:val="clear" w:color="auto" w:fill="auto"/>
          </w:tcPr>
          <w:p w14:paraId="22CD99F1" w14:textId="51956D7D" w:rsidR="00E169B4" w:rsidRDefault="00E169B4" w:rsidP="00E169B4">
            <w:pPr>
              <w:pStyle w:val="TableCopy"/>
              <w:rPr>
                <w:rFonts w:eastAsia="Calibri"/>
                <w:color w:val="000000"/>
                <w:lang w:eastAsia="en-US"/>
              </w:rPr>
            </w:pPr>
            <w:r w:rsidRPr="002056FA">
              <w:rPr>
                <w:rFonts w:eastAsia="Calibri"/>
                <w:color w:val="000000"/>
                <w:lang w:eastAsia="en-US"/>
              </w:rPr>
              <w:t xml:space="preserve">Refer to section 6 of </w:t>
            </w:r>
            <w:r>
              <w:rPr>
                <w:rFonts w:eastAsia="Calibri"/>
                <w:color w:val="000000"/>
                <w:lang w:eastAsia="en-US"/>
              </w:rPr>
              <w:t>CAM (Attachment 6.004).</w:t>
            </w:r>
            <w:hyperlink r:id="rId24" w:history="1">
              <w:r w:rsidRPr="0004037F">
                <w:rPr>
                  <w:rStyle w:val="Hyperlink"/>
                  <w:rFonts w:eastAsia="Calibri" w:cs="Arial"/>
                  <w:lang w:eastAsia="en-US"/>
                </w:rPr>
                <w:t>Energex</w:t>
              </w:r>
            </w:hyperlink>
            <w:r>
              <w:rPr>
                <w:rFonts w:eastAsia="Calibri"/>
                <w:color w:val="000000"/>
                <w:lang w:eastAsia="en-US"/>
              </w:rPr>
              <w:t xml:space="preserve">’ </w:t>
            </w:r>
          </w:p>
        </w:tc>
      </w:tr>
      <w:tr w:rsidR="00E169B4" w:rsidRPr="002056FA" w14:paraId="3E2B92B4" w14:textId="77777777" w:rsidTr="00220868">
        <w:tc>
          <w:tcPr>
            <w:tcW w:w="0" w:type="auto"/>
            <w:tcBorders>
              <w:bottom w:val="single" w:sz="4" w:space="0" w:color="auto"/>
            </w:tcBorders>
            <w:shd w:val="clear" w:color="auto" w:fill="auto"/>
          </w:tcPr>
          <w:p w14:paraId="24987C78" w14:textId="28A7E94B" w:rsidR="00E169B4" w:rsidRPr="002056FA" w:rsidRDefault="00E169B4" w:rsidP="00E169B4">
            <w:pPr>
              <w:pStyle w:val="TableCopy"/>
              <w:rPr>
                <w:rFonts w:eastAsia="Calibri"/>
                <w:color w:val="000000"/>
                <w:lang w:eastAsia="en-US"/>
              </w:rPr>
            </w:pPr>
            <w:r w:rsidRPr="002056FA">
              <w:rPr>
                <w:rFonts w:eastAsia="Calibri"/>
                <w:color w:val="000000"/>
                <w:lang w:eastAsia="en-US"/>
              </w:rPr>
              <w:t>30.1(b)</w:t>
            </w:r>
          </w:p>
        </w:tc>
        <w:tc>
          <w:tcPr>
            <w:tcW w:w="0" w:type="auto"/>
            <w:tcBorders>
              <w:bottom w:val="single" w:sz="4" w:space="0" w:color="auto"/>
            </w:tcBorders>
            <w:shd w:val="clear" w:color="auto" w:fill="auto"/>
          </w:tcPr>
          <w:p w14:paraId="08EBCF27" w14:textId="4CADBD49" w:rsidR="00E169B4" w:rsidRPr="002056FA" w:rsidRDefault="00E169B4" w:rsidP="00E169B4">
            <w:pPr>
              <w:pStyle w:val="TableCopy"/>
              <w:rPr>
                <w:rFonts w:eastAsia="Calibri"/>
                <w:color w:val="000000"/>
                <w:lang w:eastAsia="en-US"/>
              </w:rPr>
            </w:pPr>
            <w:r w:rsidRPr="002056FA">
              <w:rPr>
                <w:rFonts w:eastAsia="Calibri"/>
                <w:color w:val="000000"/>
                <w:lang w:eastAsia="en-US"/>
              </w:rPr>
              <w:t>the organisational structure of Energex.</w:t>
            </w:r>
          </w:p>
        </w:tc>
        <w:tc>
          <w:tcPr>
            <w:tcW w:w="0" w:type="auto"/>
            <w:tcBorders>
              <w:bottom w:val="single" w:sz="4" w:space="0" w:color="auto"/>
            </w:tcBorders>
            <w:shd w:val="clear" w:color="auto" w:fill="auto"/>
          </w:tcPr>
          <w:p w14:paraId="5976D08D" w14:textId="40436798" w:rsidR="00E169B4" w:rsidRPr="002056FA" w:rsidRDefault="00E169B4" w:rsidP="00E169B4">
            <w:pPr>
              <w:pStyle w:val="TableCopy"/>
              <w:rPr>
                <w:rFonts w:eastAsia="Calibri"/>
                <w:color w:val="000000"/>
                <w:lang w:eastAsia="en-US"/>
              </w:rPr>
            </w:pPr>
            <w:r w:rsidRPr="002056FA">
              <w:rPr>
                <w:rFonts w:eastAsia="Calibri"/>
                <w:color w:val="000000"/>
                <w:lang w:eastAsia="en-US"/>
              </w:rPr>
              <w:t>Refer to section 7 of Energex</w:t>
            </w:r>
            <w:r>
              <w:rPr>
                <w:rFonts w:eastAsia="Calibri"/>
                <w:color w:val="000000"/>
                <w:lang w:eastAsia="en-US"/>
              </w:rPr>
              <w:t xml:space="preserve">’s CAM (Attachment 6.004). </w:t>
            </w:r>
          </w:p>
        </w:tc>
      </w:tr>
      <w:tr w:rsidR="00E169B4" w:rsidRPr="002056FA" w14:paraId="5174FB06" w14:textId="77777777" w:rsidTr="00220868">
        <w:tc>
          <w:tcPr>
            <w:tcW w:w="0" w:type="auto"/>
            <w:shd w:val="clear" w:color="auto" w:fill="D0CECE" w:themeFill="background2" w:themeFillShade="E6"/>
          </w:tcPr>
          <w:p w14:paraId="63AB6BDF" w14:textId="0FCF0308" w:rsidR="00E169B4" w:rsidRPr="002056FA" w:rsidRDefault="00E169B4" w:rsidP="00E169B4">
            <w:pPr>
              <w:pStyle w:val="TableCopy"/>
              <w:rPr>
                <w:rFonts w:eastAsia="Calibri"/>
                <w:color w:val="000000"/>
                <w:lang w:eastAsia="en-US"/>
              </w:rPr>
            </w:pPr>
            <w:r w:rsidRPr="002056FA">
              <w:rPr>
                <w:rFonts w:eastAsia="Calibri"/>
                <w:b/>
                <w:color w:val="000000"/>
                <w:lang w:eastAsia="en-US"/>
              </w:rPr>
              <w:t>31</w:t>
            </w:r>
          </w:p>
        </w:tc>
        <w:tc>
          <w:tcPr>
            <w:tcW w:w="0" w:type="auto"/>
            <w:shd w:val="clear" w:color="auto" w:fill="D0CECE" w:themeFill="background2" w:themeFillShade="E6"/>
          </w:tcPr>
          <w:p w14:paraId="425648DE" w14:textId="13B3F8F7" w:rsidR="00E169B4" w:rsidRPr="002056FA" w:rsidRDefault="00E169B4" w:rsidP="00E169B4">
            <w:pPr>
              <w:pStyle w:val="TableCopy"/>
              <w:rPr>
                <w:rFonts w:eastAsia="Calibri"/>
                <w:color w:val="000000"/>
                <w:lang w:eastAsia="en-US"/>
              </w:rPr>
            </w:pPr>
            <w:r w:rsidRPr="002056FA">
              <w:rPr>
                <w:rFonts w:eastAsia="Calibri"/>
                <w:b/>
                <w:color w:val="000000"/>
                <w:lang w:eastAsia="en-US"/>
              </w:rPr>
              <w:t xml:space="preserve">FORECAST MAP OF DISTRIBUTION SYSTEM </w:t>
            </w:r>
          </w:p>
        </w:tc>
        <w:tc>
          <w:tcPr>
            <w:tcW w:w="0" w:type="auto"/>
            <w:shd w:val="clear" w:color="auto" w:fill="D0CECE" w:themeFill="background2" w:themeFillShade="E6"/>
          </w:tcPr>
          <w:p w14:paraId="033633FC" w14:textId="77777777" w:rsidR="00E169B4" w:rsidRPr="002056FA" w:rsidRDefault="00E169B4" w:rsidP="00E169B4">
            <w:pPr>
              <w:pStyle w:val="TableCopy"/>
              <w:rPr>
                <w:rFonts w:eastAsia="Calibri"/>
                <w:color w:val="000000"/>
                <w:lang w:eastAsia="en-US"/>
              </w:rPr>
            </w:pPr>
          </w:p>
        </w:tc>
      </w:tr>
      <w:tr w:rsidR="00E169B4" w:rsidRPr="002056FA" w14:paraId="194859FC" w14:textId="77777777" w:rsidTr="00220868">
        <w:tc>
          <w:tcPr>
            <w:tcW w:w="0" w:type="auto"/>
            <w:tcBorders>
              <w:bottom w:val="single" w:sz="4" w:space="0" w:color="auto"/>
            </w:tcBorders>
            <w:shd w:val="clear" w:color="auto" w:fill="auto"/>
          </w:tcPr>
          <w:p w14:paraId="2766F6F0" w14:textId="07B0D8FD" w:rsidR="00E169B4" w:rsidRPr="002056FA" w:rsidRDefault="00E169B4" w:rsidP="00E169B4">
            <w:pPr>
              <w:pStyle w:val="TableCopy"/>
              <w:rPr>
                <w:rFonts w:eastAsia="Calibri"/>
                <w:b/>
                <w:color w:val="000000"/>
                <w:lang w:eastAsia="en-US"/>
              </w:rPr>
            </w:pPr>
            <w:r w:rsidRPr="002056FA">
              <w:rPr>
                <w:rFonts w:eastAsia="Calibri"/>
                <w:color w:val="000000"/>
                <w:lang w:eastAsia="en-US"/>
              </w:rPr>
              <w:t>31.1</w:t>
            </w:r>
          </w:p>
        </w:tc>
        <w:tc>
          <w:tcPr>
            <w:tcW w:w="0" w:type="auto"/>
            <w:tcBorders>
              <w:bottom w:val="single" w:sz="4" w:space="0" w:color="auto"/>
            </w:tcBorders>
            <w:shd w:val="clear" w:color="auto" w:fill="auto"/>
          </w:tcPr>
          <w:p w14:paraId="341C1541" w14:textId="26811D7B" w:rsidR="00E169B4" w:rsidRPr="002056FA" w:rsidRDefault="00E169B4" w:rsidP="00E169B4">
            <w:pPr>
              <w:pStyle w:val="TableCopy"/>
              <w:rPr>
                <w:rFonts w:eastAsia="Calibri"/>
                <w:b/>
                <w:color w:val="000000"/>
                <w:lang w:eastAsia="en-US"/>
              </w:rPr>
            </w:pPr>
            <w:r w:rsidRPr="002056FA">
              <w:rPr>
                <w:rFonts w:eastAsia="Calibri"/>
                <w:color w:val="000000"/>
                <w:lang w:eastAsia="en-US"/>
              </w:rPr>
              <w:t>Provide a forecast map of Energex’s distribution system for the forthcoming regulatory control period. This map, together with any appropriate accompanying notes, should also indicate the location of new major network assets proposed to be constructed over the forthcoming regulatory control period.</w:t>
            </w:r>
          </w:p>
        </w:tc>
        <w:tc>
          <w:tcPr>
            <w:tcW w:w="0" w:type="auto"/>
            <w:tcBorders>
              <w:bottom w:val="single" w:sz="4" w:space="0" w:color="auto"/>
            </w:tcBorders>
            <w:shd w:val="clear" w:color="auto" w:fill="auto"/>
          </w:tcPr>
          <w:p w14:paraId="34681DB4" w14:textId="4254BAAB" w:rsidR="00E169B4" w:rsidRPr="002056FA" w:rsidRDefault="00E169B4" w:rsidP="00E169B4">
            <w:pPr>
              <w:pStyle w:val="TableCopy"/>
              <w:rPr>
                <w:rFonts w:eastAsia="Calibri"/>
                <w:color w:val="000000"/>
                <w:lang w:eastAsia="en-US"/>
              </w:rPr>
            </w:pPr>
            <w:r>
              <w:rPr>
                <w:rFonts w:eastAsia="Calibri"/>
                <w:color w:val="000000"/>
                <w:lang w:eastAsia="en-US"/>
              </w:rPr>
              <w:t>Refer to the ‘</w:t>
            </w:r>
            <w:r w:rsidRPr="002056FA">
              <w:t xml:space="preserve">Forecast Map </w:t>
            </w:r>
            <w:r>
              <w:t>of distribution system’</w:t>
            </w:r>
            <w:r w:rsidRPr="005B0500">
              <w:t xml:space="preserve"> (Attachment </w:t>
            </w:r>
            <w:r>
              <w:t>17.038</w:t>
            </w:r>
            <w:r w:rsidRPr="002056FA">
              <w:t>)</w:t>
            </w:r>
            <w:r>
              <w:t>.</w:t>
            </w:r>
          </w:p>
        </w:tc>
      </w:tr>
      <w:tr w:rsidR="00E169B4" w:rsidRPr="002056FA" w14:paraId="42E0B1DA" w14:textId="77777777" w:rsidTr="00220868">
        <w:tc>
          <w:tcPr>
            <w:tcW w:w="0" w:type="auto"/>
            <w:tcBorders>
              <w:bottom w:val="single" w:sz="4" w:space="0" w:color="auto"/>
            </w:tcBorders>
            <w:shd w:val="clear" w:color="auto" w:fill="D0CECE" w:themeFill="background2" w:themeFillShade="E6"/>
          </w:tcPr>
          <w:p w14:paraId="05FFAF8E" w14:textId="4113D15C" w:rsidR="00E169B4" w:rsidRPr="002056FA" w:rsidRDefault="00E169B4" w:rsidP="00E169B4">
            <w:pPr>
              <w:pStyle w:val="TableCopy"/>
              <w:rPr>
                <w:rFonts w:eastAsia="Calibri"/>
                <w:color w:val="000000"/>
                <w:lang w:eastAsia="en-US"/>
              </w:rPr>
            </w:pPr>
            <w:r w:rsidRPr="002056FA">
              <w:rPr>
                <w:rFonts w:eastAsia="Calibri"/>
                <w:b/>
                <w:color w:val="000000"/>
                <w:lang w:eastAsia="en-US"/>
              </w:rPr>
              <w:t>32</w:t>
            </w:r>
          </w:p>
        </w:tc>
        <w:tc>
          <w:tcPr>
            <w:tcW w:w="0" w:type="auto"/>
            <w:tcBorders>
              <w:bottom w:val="single" w:sz="4" w:space="0" w:color="auto"/>
            </w:tcBorders>
            <w:shd w:val="clear" w:color="auto" w:fill="D0CECE" w:themeFill="background2" w:themeFillShade="E6"/>
          </w:tcPr>
          <w:p w14:paraId="3CFE9F98" w14:textId="3053961B" w:rsidR="00E169B4" w:rsidRPr="002056FA" w:rsidRDefault="00E169B4" w:rsidP="00E169B4">
            <w:pPr>
              <w:pStyle w:val="TableCopy"/>
              <w:rPr>
                <w:rFonts w:eastAsia="Calibri"/>
                <w:color w:val="000000"/>
                <w:lang w:eastAsia="en-US"/>
              </w:rPr>
            </w:pPr>
            <w:r w:rsidRPr="002056FA">
              <w:rPr>
                <w:rFonts w:eastAsia="Calibri"/>
                <w:b/>
                <w:color w:val="000000"/>
                <w:lang w:eastAsia="en-US"/>
              </w:rPr>
              <w:t>TRANSITIONAL ISSUES</w:t>
            </w:r>
          </w:p>
        </w:tc>
        <w:tc>
          <w:tcPr>
            <w:tcW w:w="0" w:type="auto"/>
            <w:tcBorders>
              <w:bottom w:val="single" w:sz="4" w:space="0" w:color="auto"/>
            </w:tcBorders>
            <w:shd w:val="clear" w:color="auto" w:fill="D0CECE" w:themeFill="background2" w:themeFillShade="E6"/>
          </w:tcPr>
          <w:p w14:paraId="0F3D6F3A" w14:textId="77777777" w:rsidR="00E169B4" w:rsidRDefault="00E169B4" w:rsidP="00E169B4">
            <w:pPr>
              <w:pStyle w:val="TableCopy"/>
              <w:rPr>
                <w:rFonts w:eastAsia="Calibri"/>
                <w:color w:val="000000"/>
                <w:lang w:eastAsia="en-US"/>
              </w:rPr>
            </w:pPr>
          </w:p>
        </w:tc>
      </w:tr>
      <w:tr w:rsidR="00E169B4" w:rsidRPr="002056FA" w14:paraId="55965FE7" w14:textId="77777777" w:rsidTr="00220868">
        <w:tc>
          <w:tcPr>
            <w:tcW w:w="0" w:type="auto"/>
            <w:shd w:val="clear" w:color="auto" w:fill="D0CECE" w:themeFill="background2" w:themeFillShade="E6"/>
          </w:tcPr>
          <w:p w14:paraId="2A79A92E" w14:textId="04EA0ACC" w:rsidR="00E169B4" w:rsidRPr="002056FA" w:rsidRDefault="00E169B4" w:rsidP="00E169B4">
            <w:pPr>
              <w:pStyle w:val="TableCopy"/>
              <w:rPr>
                <w:rFonts w:eastAsia="Calibri"/>
                <w:b/>
                <w:color w:val="000000"/>
                <w:lang w:eastAsia="en-US"/>
              </w:rPr>
            </w:pPr>
            <w:r w:rsidRPr="002056FA">
              <w:rPr>
                <w:rFonts w:eastAsia="Calibri"/>
                <w:color w:val="000000"/>
                <w:lang w:eastAsia="en-US"/>
              </w:rPr>
              <w:t>32.1</w:t>
            </w:r>
          </w:p>
        </w:tc>
        <w:tc>
          <w:tcPr>
            <w:tcW w:w="0" w:type="auto"/>
            <w:shd w:val="clear" w:color="auto" w:fill="D0CECE" w:themeFill="background2" w:themeFillShade="E6"/>
          </w:tcPr>
          <w:p w14:paraId="185C19BD" w14:textId="21ACDA7A" w:rsidR="00E169B4" w:rsidRPr="002056FA" w:rsidRDefault="00E169B4" w:rsidP="00E169B4">
            <w:pPr>
              <w:pStyle w:val="TableCopy"/>
              <w:rPr>
                <w:rFonts w:eastAsia="Calibri"/>
                <w:b/>
                <w:color w:val="000000"/>
                <w:lang w:eastAsia="en-US"/>
              </w:rPr>
            </w:pPr>
            <w:r w:rsidRPr="002056FA">
              <w:rPr>
                <w:rFonts w:eastAsia="Calibri"/>
                <w:color w:val="000000"/>
                <w:lang w:eastAsia="en-US"/>
              </w:rPr>
              <w:t>Provide information on transitional issues (expressly identified in the NER or otherwise) which Energex expects will have a material impact on it and should be considered by the AER in making its distribution determination. For each issue, set out the following information:</w:t>
            </w:r>
          </w:p>
        </w:tc>
        <w:tc>
          <w:tcPr>
            <w:tcW w:w="0" w:type="auto"/>
            <w:shd w:val="clear" w:color="auto" w:fill="D0CECE" w:themeFill="background2" w:themeFillShade="E6"/>
          </w:tcPr>
          <w:p w14:paraId="20541AD7" w14:textId="77777777" w:rsidR="00E169B4" w:rsidRDefault="00E169B4" w:rsidP="00E169B4">
            <w:pPr>
              <w:pStyle w:val="TableCopy"/>
              <w:rPr>
                <w:rFonts w:eastAsia="Calibri"/>
                <w:color w:val="000000"/>
                <w:lang w:eastAsia="en-US"/>
              </w:rPr>
            </w:pPr>
          </w:p>
        </w:tc>
      </w:tr>
      <w:tr w:rsidR="00E169B4" w:rsidRPr="002056FA" w14:paraId="79E22109" w14:textId="77777777" w:rsidTr="00E169B4">
        <w:tc>
          <w:tcPr>
            <w:tcW w:w="0" w:type="auto"/>
            <w:shd w:val="clear" w:color="auto" w:fill="auto"/>
          </w:tcPr>
          <w:p w14:paraId="75778095" w14:textId="731A4D07"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32.1(a) </w:t>
            </w:r>
          </w:p>
        </w:tc>
        <w:tc>
          <w:tcPr>
            <w:tcW w:w="0" w:type="auto"/>
            <w:shd w:val="clear" w:color="auto" w:fill="auto"/>
          </w:tcPr>
          <w:p w14:paraId="048CC640" w14:textId="530A01FF"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the transitional issue; </w:t>
            </w:r>
          </w:p>
        </w:tc>
        <w:tc>
          <w:tcPr>
            <w:tcW w:w="0" w:type="auto"/>
            <w:shd w:val="clear" w:color="auto" w:fill="auto"/>
          </w:tcPr>
          <w:p w14:paraId="279E2AF1" w14:textId="41FB889A" w:rsidR="00E169B4" w:rsidRDefault="00E169B4" w:rsidP="00E169B4">
            <w:pPr>
              <w:pStyle w:val="TableCopy"/>
              <w:rPr>
                <w:rFonts w:eastAsia="Calibri"/>
                <w:color w:val="000000"/>
                <w:lang w:eastAsia="en-US"/>
              </w:rPr>
            </w:pPr>
            <w:r w:rsidRPr="002056FA">
              <w:rPr>
                <w:rFonts w:eastAsia="Calibri"/>
                <w:lang w:eastAsia="en-US"/>
              </w:rPr>
              <w:t>Energex has not identified any transitional issues.</w:t>
            </w:r>
          </w:p>
        </w:tc>
      </w:tr>
      <w:tr w:rsidR="00E169B4" w:rsidRPr="002056FA" w14:paraId="45835494" w14:textId="77777777" w:rsidTr="00E169B4">
        <w:tc>
          <w:tcPr>
            <w:tcW w:w="0" w:type="auto"/>
            <w:shd w:val="clear" w:color="auto" w:fill="auto"/>
          </w:tcPr>
          <w:p w14:paraId="635550E0" w14:textId="5A5080F7"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32.1(b) </w:t>
            </w:r>
          </w:p>
        </w:tc>
        <w:tc>
          <w:tcPr>
            <w:tcW w:w="0" w:type="auto"/>
            <w:shd w:val="clear" w:color="auto" w:fill="auto"/>
          </w:tcPr>
          <w:p w14:paraId="5B0C8315" w14:textId="5D705D58"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what has caused the transitional issue; </w:t>
            </w:r>
          </w:p>
        </w:tc>
        <w:tc>
          <w:tcPr>
            <w:tcW w:w="0" w:type="auto"/>
            <w:shd w:val="clear" w:color="auto" w:fill="auto"/>
          </w:tcPr>
          <w:p w14:paraId="0A0D9114" w14:textId="3AB9DC19" w:rsidR="00E169B4" w:rsidRPr="002056FA" w:rsidRDefault="00E169B4" w:rsidP="00E169B4">
            <w:pPr>
              <w:pStyle w:val="TableCopy"/>
              <w:rPr>
                <w:rFonts w:eastAsia="Calibri"/>
                <w:lang w:eastAsia="en-US"/>
              </w:rPr>
            </w:pPr>
            <w:r w:rsidRPr="002056FA">
              <w:rPr>
                <w:rFonts w:eastAsia="Calibri"/>
                <w:color w:val="000000"/>
                <w:lang w:eastAsia="en-US"/>
              </w:rPr>
              <w:t>Refer to response 32.1(a) noting Energex has not identified any transitional issues.</w:t>
            </w:r>
          </w:p>
        </w:tc>
      </w:tr>
      <w:tr w:rsidR="00E169B4" w:rsidRPr="002056FA" w14:paraId="6D541BD9" w14:textId="77777777" w:rsidTr="00E169B4">
        <w:tc>
          <w:tcPr>
            <w:tcW w:w="0" w:type="auto"/>
            <w:shd w:val="clear" w:color="auto" w:fill="auto"/>
          </w:tcPr>
          <w:p w14:paraId="35230473" w14:textId="4EBD4F8A"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32.1(c) </w:t>
            </w:r>
          </w:p>
        </w:tc>
        <w:tc>
          <w:tcPr>
            <w:tcW w:w="0" w:type="auto"/>
            <w:shd w:val="clear" w:color="auto" w:fill="auto"/>
          </w:tcPr>
          <w:p w14:paraId="1B6E8B0B" w14:textId="4FA136C6"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how the transitional issue impacts on </w:t>
            </w:r>
            <w:r w:rsidRPr="002056FA">
              <w:rPr>
                <w:rFonts w:eastAsia="Calibri"/>
                <w:iCs/>
                <w:color w:val="000000"/>
                <w:lang w:eastAsia="en-US"/>
              </w:rPr>
              <w:t>Energex</w:t>
            </w:r>
            <w:r w:rsidRPr="002056FA">
              <w:rPr>
                <w:rFonts w:eastAsia="Calibri"/>
                <w:color w:val="000000"/>
                <w:lang w:eastAsia="en-US"/>
              </w:rPr>
              <w:t xml:space="preserve">; and </w:t>
            </w:r>
          </w:p>
        </w:tc>
        <w:tc>
          <w:tcPr>
            <w:tcW w:w="0" w:type="auto"/>
            <w:shd w:val="clear" w:color="auto" w:fill="auto"/>
          </w:tcPr>
          <w:p w14:paraId="7AD8E19C" w14:textId="76BF3B5E" w:rsidR="00E169B4" w:rsidRPr="002056FA" w:rsidRDefault="00E169B4" w:rsidP="00E169B4">
            <w:pPr>
              <w:pStyle w:val="TableCopy"/>
              <w:rPr>
                <w:rFonts w:eastAsia="Calibri"/>
                <w:color w:val="000000"/>
                <w:lang w:eastAsia="en-US"/>
              </w:rPr>
            </w:pPr>
            <w:r w:rsidRPr="002056FA">
              <w:rPr>
                <w:rFonts w:eastAsia="Calibri"/>
                <w:color w:val="000000"/>
                <w:lang w:eastAsia="en-US"/>
              </w:rPr>
              <w:t>Refer to response 32.1(a) noting Energex has not identified any transitional issues.</w:t>
            </w:r>
          </w:p>
        </w:tc>
      </w:tr>
      <w:tr w:rsidR="00E169B4" w:rsidRPr="002056FA" w14:paraId="27D7F140" w14:textId="77777777" w:rsidTr="00220868">
        <w:tc>
          <w:tcPr>
            <w:tcW w:w="0" w:type="auto"/>
            <w:tcBorders>
              <w:bottom w:val="single" w:sz="4" w:space="0" w:color="auto"/>
            </w:tcBorders>
            <w:shd w:val="clear" w:color="auto" w:fill="auto"/>
          </w:tcPr>
          <w:p w14:paraId="631430A7" w14:textId="224EFDCB"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32.1(d) </w:t>
            </w:r>
          </w:p>
        </w:tc>
        <w:tc>
          <w:tcPr>
            <w:tcW w:w="0" w:type="auto"/>
            <w:tcBorders>
              <w:bottom w:val="single" w:sz="4" w:space="0" w:color="auto"/>
            </w:tcBorders>
            <w:shd w:val="clear" w:color="auto" w:fill="auto"/>
          </w:tcPr>
          <w:p w14:paraId="189B621E" w14:textId="4B6B0A8B"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how </w:t>
            </w:r>
            <w:r w:rsidRPr="002056FA">
              <w:rPr>
                <w:rFonts w:eastAsia="Calibri"/>
                <w:iCs/>
                <w:color w:val="000000"/>
                <w:lang w:eastAsia="en-US"/>
              </w:rPr>
              <w:t xml:space="preserve">Energex </w:t>
            </w:r>
            <w:r w:rsidRPr="002056FA">
              <w:rPr>
                <w:rFonts w:eastAsia="Calibri"/>
                <w:color w:val="000000"/>
                <w:lang w:eastAsia="en-US"/>
              </w:rPr>
              <w:t xml:space="preserve">considers the transitional issue could be addressed. </w:t>
            </w:r>
          </w:p>
        </w:tc>
        <w:tc>
          <w:tcPr>
            <w:tcW w:w="0" w:type="auto"/>
            <w:tcBorders>
              <w:bottom w:val="single" w:sz="4" w:space="0" w:color="auto"/>
            </w:tcBorders>
            <w:shd w:val="clear" w:color="auto" w:fill="auto"/>
          </w:tcPr>
          <w:p w14:paraId="1C0FDE82" w14:textId="6480605E" w:rsidR="00E169B4" w:rsidRPr="002056FA" w:rsidRDefault="00E169B4" w:rsidP="00E169B4">
            <w:pPr>
              <w:pStyle w:val="TableCopy"/>
              <w:rPr>
                <w:rFonts w:eastAsia="Calibri"/>
                <w:color w:val="000000"/>
                <w:lang w:eastAsia="en-US"/>
              </w:rPr>
            </w:pPr>
            <w:r w:rsidRPr="002056FA">
              <w:rPr>
                <w:rFonts w:eastAsia="Calibri"/>
                <w:color w:val="000000"/>
                <w:lang w:eastAsia="en-US"/>
              </w:rPr>
              <w:t>Refer to response 32.1(a) noting Energex has not identified any transitional issues.</w:t>
            </w:r>
          </w:p>
        </w:tc>
      </w:tr>
      <w:tr w:rsidR="00E169B4" w:rsidRPr="002056FA" w14:paraId="615BDC01" w14:textId="77777777" w:rsidTr="00220868">
        <w:tc>
          <w:tcPr>
            <w:tcW w:w="0" w:type="auto"/>
            <w:shd w:val="clear" w:color="auto" w:fill="D0CECE" w:themeFill="background2" w:themeFillShade="E6"/>
          </w:tcPr>
          <w:p w14:paraId="1D9C87E0" w14:textId="1C13F340" w:rsidR="00E169B4" w:rsidRPr="002056FA" w:rsidRDefault="00E169B4" w:rsidP="00E169B4">
            <w:pPr>
              <w:pStyle w:val="TableCopy"/>
              <w:rPr>
                <w:rFonts w:eastAsia="Calibri"/>
                <w:color w:val="000000"/>
                <w:lang w:eastAsia="en-US"/>
              </w:rPr>
            </w:pPr>
            <w:r w:rsidRPr="002056FA">
              <w:rPr>
                <w:rFonts w:eastAsia="Calibri"/>
                <w:b/>
                <w:color w:val="000000"/>
                <w:lang w:eastAsia="en-US"/>
              </w:rPr>
              <w:t>33</w:t>
            </w:r>
          </w:p>
        </w:tc>
        <w:tc>
          <w:tcPr>
            <w:tcW w:w="0" w:type="auto"/>
            <w:shd w:val="clear" w:color="auto" w:fill="D0CECE" w:themeFill="background2" w:themeFillShade="E6"/>
          </w:tcPr>
          <w:p w14:paraId="19156A9A" w14:textId="44678C68" w:rsidR="00E169B4" w:rsidRPr="002056FA" w:rsidRDefault="00E169B4" w:rsidP="00E169B4">
            <w:pPr>
              <w:pStyle w:val="TableCopy"/>
              <w:rPr>
                <w:rFonts w:eastAsia="Calibri"/>
                <w:color w:val="000000"/>
                <w:lang w:eastAsia="en-US"/>
              </w:rPr>
            </w:pPr>
            <w:r w:rsidRPr="002056FA">
              <w:rPr>
                <w:rFonts w:eastAsia="Calibri"/>
                <w:b/>
                <w:color w:val="000000"/>
                <w:lang w:eastAsia="en-US"/>
              </w:rPr>
              <w:t>AUDIT OPINION REPORTS AND REVIEW CONCLUSION STATEMENTS</w:t>
            </w:r>
          </w:p>
        </w:tc>
        <w:tc>
          <w:tcPr>
            <w:tcW w:w="0" w:type="auto"/>
            <w:shd w:val="clear" w:color="auto" w:fill="D0CECE" w:themeFill="background2" w:themeFillShade="E6"/>
          </w:tcPr>
          <w:p w14:paraId="65A761B2" w14:textId="77777777" w:rsidR="00E169B4" w:rsidRPr="002056FA" w:rsidRDefault="00E169B4" w:rsidP="00E169B4">
            <w:pPr>
              <w:pStyle w:val="TableCopy"/>
              <w:rPr>
                <w:rFonts w:eastAsia="Calibri"/>
                <w:color w:val="000000"/>
                <w:lang w:eastAsia="en-US"/>
              </w:rPr>
            </w:pPr>
          </w:p>
        </w:tc>
      </w:tr>
      <w:tr w:rsidR="00E169B4" w:rsidRPr="002056FA" w14:paraId="4436794B" w14:textId="77777777" w:rsidTr="00E169B4">
        <w:tc>
          <w:tcPr>
            <w:tcW w:w="0" w:type="auto"/>
            <w:shd w:val="clear" w:color="auto" w:fill="auto"/>
          </w:tcPr>
          <w:p w14:paraId="5228625A" w14:textId="78D809C2" w:rsidR="00E169B4" w:rsidRPr="002056FA" w:rsidRDefault="00E169B4" w:rsidP="00E169B4">
            <w:pPr>
              <w:pStyle w:val="TableCopy"/>
              <w:rPr>
                <w:rFonts w:eastAsia="Calibri"/>
                <w:b/>
                <w:color w:val="000000"/>
                <w:lang w:eastAsia="en-US"/>
              </w:rPr>
            </w:pPr>
            <w:r w:rsidRPr="002056FA">
              <w:rPr>
                <w:rFonts w:eastAsia="Calibri"/>
                <w:color w:val="000000"/>
                <w:lang w:eastAsia="en-US"/>
              </w:rPr>
              <w:t>33.1</w:t>
            </w:r>
          </w:p>
        </w:tc>
        <w:tc>
          <w:tcPr>
            <w:tcW w:w="0" w:type="auto"/>
            <w:shd w:val="clear" w:color="auto" w:fill="auto"/>
          </w:tcPr>
          <w:p w14:paraId="7251E7D7" w14:textId="12FB5DAD" w:rsidR="00E169B4" w:rsidRPr="002056FA" w:rsidRDefault="00E169B4" w:rsidP="00E169B4">
            <w:pPr>
              <w:pStyle w:val="TableCopy"/>
              <w:rPr>
                <w:rFonts w:eastAsia="Calibri"/>
                <w:b/>
                <w:color w:val="000000"/>
                <w:lang w:eastAsia="en-US"/>
              </w:rPr>
            </w:pPr>
            <w:r w:rsidRPr="002056FA">
              <w:rPr>
                <w:rFonts w:eastAsia="Calibri"/>
                <w:color w:val="000000"/>
                <w:lang w:eastAsia="en-US"/>
              </w:rPr>
              <w:t>Provide the audit opinion report and review conclusion statements as applicable, prepared in accordance with the requirements set out in Appendix C.</w:t>
            </w:r>
          </w:p>
        </w:tc>
        <w:tc>
          <w:tcPr>
            <w:tcW w:w="0" w:type="auto"/>
            <w:shd w:val="clear" w:color="auto" w:fill="auto"/>
          </w:tcPr>
          <w:p w14:paraId="4B3826D4" w14:textId="5045759C" w:rsidR="00E169B4" w:rsidRPr="002056FA" w:rsidRDefault="00E169B4" w:rsidP="00E169B4">
            <w:pPr>
              <w:pStyle w:val="TableCopy"/>
              <w:rPr>
                <w:rFonts w:eastAsia="Calibri"/>
                <w:color w:val="000000"/>
                <w:lang w:eastAsia="en-US"/>
              </w:rPr>
            </w:pPr>
            <w:r w:rsidRPr="00532928">
              <w:rPr>
                <w:rFonts w:eastAsia="Calibri"/>
                <w:color w:val="000000"/>
                <w:lang w:eastAsia="en-US"/>
              </w:rPr>
              <w:t>Energex has provided the audit report and review reports as required in Attachment 17.003)</w:t>
            </w:r>
          </w:p>
        </w:tc>
      </w:tr>
      <w:tr w:rsidR="00E169B4" w:rsidRPr="002056FA" w14:paraId="53F67F5D" w14:textId="77777777" w:rsidTr="00220868">
        <w:tc>
          <w:tcPr>
            <w:tcW w:w="0" w:type="auto"/>
            <w:tcBorders>
              <w:bottom w:val="single" w:sz="4" w:space="0" w:color="auto"/>
            </w:tcBorders>
            <w:shd w:val="clear" w:color="auto" w:fill="auto"/>
          </w:tcPr>
          <w:p w14:paraId="7149A8F9" w14:textId="3280FA90" w:rsidR="00E169B4" w:rsidRPr="002056FA" w:rsidRDefault="00E169B4" w:rsidP="00E169B4">
            <w:pPr>
              <w:pStyle w:val="TableCopy"/>
              <w:rPr>
                <w:rFonts w:eastAsia="Calibri"/>
                <w:color w:val="000000"/>
                <w:lang w:eastAsia="en-US"/>
              </w:rPr>
            </w:pPr>
            <w:r w:rsidRPr="002056FA">
              <w:rPr>
                <w:rFonts w:eastAsia="Calibri"/>
                <w:color w:val="000000"/>
                <w:lang w:eastAsia="en-US"/>
              </w:rPr>
              <w:t>33.2</w:t>
            </w:r>
          </w:p>
        </w:tc>
        <w:tc>
          <w:tcPr>
            <w:tcW w:w="0" w:type="auto"/>
            <w:tcBorders>
              <w:bottom w:val="single" w:sz="4" w:space="0" w:color="auto"/>
            </w:tcBorders>
            <w:shd w:val="clear" w:color="auto" w:fill="auto"/>
          </w:tcPr>
          <w:p w14:paraId="31E44794" w14:textId="19192FBF" w:rsidR="00E169B4" w:rsidRPr="002056FA" w:rsidRDefault="00E169B4" w:rsidP="00E169B4">
            <w:pPr>
              <w:pStyle w:val="TableCopy"/>
              <w:rPr>
                <w:rFonts w:eastAsia="Calibri"/>
                <w:color w:val="000000"/>
                <w:lang w:eastAsia="en-US"/>
              </w:rPr>
            </w:pPr>
            <w:r w:rsidRPr="002056FA">
              <w:rPr>
                <w:rFonts w:eastAsia="Calibri"/>
                <w:color w:val="000000"/>
                <w:lang w:eastAsia="en-US"/>
              </w:rPr>
              <w:t>Provide all reports from the auditor to Energex’s management regarding the review conclusion statements and/or auditors’ opinions report or assessment.</w:t>
            </w:r>
          </w:p>
        </w:tc>
        <w:tc>
          <w:tcPr>
            <w:tcW w:w="0" w:type="auto"/>
            <w:tcBorders>
              <w:bottom w:val="single" w:sz="4" w:space="0" w:color="auto"/>
            </w:tcBorders>
            <w:shd w:val="clear" w:color="auto" w:fill="auto"/>
          </w:tcPr>
          <w:p w14:paraId="1D9ABAA1" w14:textId="76496629" w:rsidR="00E169B4" w:rsidRPr="00532928" w:rsidRDefault="00E169B4" w:rsidP="00E169B4">
            <w:pPr>
              <w:pStyle w:val="TableCopy"/>
              <w:rPr>
                <w:rFonts w:eastAsia="Calibri"/>
                <w:color w:val="000000"/>
                <w:lang w:eastAsia="en-US"/>
              </w:rPr>
            </w:pPr>
            <w:r w:rsidRPr="00532928">
              <w:rPr>
                <w:rFonts w:eastAsia="Calibri"/>
                <w:color w:val="000000"/>
                <w:lang w:eastAsia="en-US"/>
              </w:rPr>
              <w:t>Energex has provided the audit report and review reports as required in Attachment 17.003)</w:t>
            </w:r>
          </w:p>
        </w:tc>
      </w:tr>
      <w:tr w:rsidR="00E169B4" w:rsidRPr="002056FA" w14:paraId="3E1096CD" w14:textId="77777777" w:rsidTr="00220868">
        <w:tc>
          <w:tcPr>
            <w:tcW w:w="0" w:type="auto"/>
            <w:shd w:val="clear" w:color="auto" w:fill="D0CECE" w:themeFill="background2" w:themeFillShade="E6"/>
          </w:tcPr>
          <w:p w14:paraId="36E2A08C" w14:textId="1D75FDE2" w:rsidR="00E169B4" w:rsidRPr="002056FA" w:rsidRDefault="00E169B4" w:rsidP="00E169B4">
            <w:pPr>
              <w:pStyle w:val="TableCopy"/>
              <w:rPr>
                <w:rFonts w:eastAsia="Calibri"/>
                <w:color w:val="000000"/>
                <w:lang w:eastAsia="en-US"/>
              </w:rPr>
            </w:pPr>
            <w:r w:rsidRPr="002056FA">
              <w:rPr>
                <w:rFonts w:eastAsia="Calibri"/>
                <w:b/>
                <w:color w:val="000000"/>
                <w:lang w:eastAsia="en-US"/>
              </w:rPr>
              <w:t>34</w:t>
            </w:r>
          </w:p>
        </w:tc>
        <w:tc>
          <w:tcPr>
            <w:tcW w:w="0" w:type="auto"/>
            <w:shd w:val="clear" w:color="auto" w:fill="D0CECE" w:themeFill="background2" w:themeFillShade="E6"/>
          </w:tcPr>
          <w:p w14:paraId="2F35E3FE" w14:textId="52997E8C" w:rsidR="00E169B4" w:rsidRPr="002056FA" w:rsidRDefault="00E169B4" w:rsidP="00E169B4">
            <w:pPr>
              <w:pStyle w:val="TableCopy"/>
              <w:rPr>
                <w:rFonts w:eastAsia="Calibri"/>
                <w:color w:val="000000"/>
                <w:lang w:eastAsia="en-US"/>
              </w:rPr>
            </w:pPr>
            <w:r w:rsidRPr="002056FA">
              <w:rPr>
                <w:rFonts w:eastAsia="Calibri"/>
                <w:b/>
                <w:color w:val="000000"/>
                <w:lang w:eastAsia="en-US"/>
              </w:rPr>
              <w:t xml:space="preserve">CONFIDENTIAL INFORMATION </w:t>
            </w:r>
          </w:p>
        </w:tc>
        <w:tc>
          <w:tcPr>
            <w:tcW w:w="0" w:type="auto"/>
            <w:shd w:val="clear" w:color="auto" w:fill="D0CECE" w:themeFill="background2" w:themeFillShade="E6"/>
          </w:tcPr>
          <w:p w14:paraId="4178458A" w14:textId="77777777" w:rsidR="00E169B4" w:rsidRPr="00532928" w:rsidRDefault="00E169B4" w:rsidP="00E169B4">
            <w:pPr>
              <w:pStyle w:val="TableCopy"/>
              <w:rPr>
                <w:rFonts w:eastAsia="Calibri"/>
                <w:color w:val="000000"/>
                <w:lang w:eastAsia="en-US"/>
              </w:rPr>
            </w:pPr>
          </w:p>
        </w:tc>
      </w:tr>
      <w:tr w:rsidR="00E169B4" w:rsidRPr="002056FA" w14:paraId="090C2CD9" w14:textId="77777777" w:rsidTr="00220868">
        <w:tc>
          <w:tcPr>
            <w:tcW w:w="0" w:type="auto"/>
            <w:shd w:val="clear" w:color="auto" w:fill="D0CECE" w:themeFill="background2" w:themeFillShade="E6"/>
          </w:tcPr>
          <w:p w14:paraId="2BBF8416" w14:textId="33212B18" w:rsidR="00E169B4" w:rsidRPr="002056FA" w:rsidRDefault="00E169B4" w:rsidP="00E169B4">
            <w:pPr>
              <w:pStyle w:val="TableCopy"/>
              <w:rPr>
                <w:rFonts w:eastAsia="Calibri"/>
                <w:b/>
                <w:color w:val="000000"/>
                <w:lang w:eastAsia="en-US"/>
              </w:rPr>
            </w:pPr>
            <w:r w:rsidRPr="002056FA">
              <w:rPr>
                <w:rFonts w:eastAsia="Calibri"/>
                <w:color w:val="000000"/>
                <w:lang w:eastAsia="en-US"/>
              </w:rPr>
              <w:t>34.1</w:t>
            </w:r>
          </w:p>
        </w:tc>
        <w:tc>
          <w:tcPr>
            <w:tcW w:w="0" w:type="auto"/>
            <w:shd w:val="clear" w:color="auto" w:fill="D0CECE" w:themeFill="background2" w:themeFillShade="E6"/>
          </w:tcPr>
          <w:p w14:paraId="6D3AFA10" w14:textId="1A7EFC48" w:rsidR="00E169B4" w:rsidRPr="002056FA" w:rsidRDefault="00E169B4" w:rsidP="00E169B4">
            <w:pPr>
              <w:pStyle w:val="TableCopy"/>
              <w:rPr>
                <w:rFonts w:eastAsia="Calibri"/>
                <w:b/>
                <w:color w:val="000000"/>
                <w:lang w:eastAsia="en-US"/>
              </w:rPr>
            </w:pPr>
            <w:r w:rsidRPr="002056FA">
              <w:rPr>
                <w:rFonts w:eastAsia="Calibri"/>
                <w:color w:val="000000"/>
                <w:lang w:eastAsia="en-US"/>
              </w:rPr>
              <w:t>This clause applies to any information Energex provides:</w:t>
            </w:r>
          </w:p>
        </w:tc>
        <w:tc>
          <w:tcPr>
            <w:tcW w:w="0" w:type="auto"/>
            <w:shd w:val="clear" w:color="auto" w:fill="D0CECE" w:themeFill="background2" w:themeFillShade="E6"/>
          </w:tcPr>
          <w:p w14:paraId="0A981FE4" w14:textId="77777777" w:rsidR="00E169B4" w:rsidRPr="00532928" w:rsidRDefault="00E169B4" w:rsidP="00E169B4">
            <w:pPr>
              <w:pStyle w:val="TableCopy"/>
              <w:rPr>
                <w:rFonts w:eastAsia="Calibri"/>
                <w:color w:val="000000"/>
                <w:lang w:eastAsia="en-US"/>
              </w:rPr>
            </w:pPr>
          </w:p>
        </w:tc>
      </w:tr>
      <w:tr w:rsidR="00E169B4" w:rsidRPr="002056FA" w14:paraId="6454E568" w14:textId="77777777" w:rsidTr="00220868">
        <w:tc>
          <w:tcPr>
            <w:tcW w:w="0" w:type="auto"/>
            <w:shd w:val="clear" w:color="auto" w:fill="D0CECE" w:themeFill="background2" w:themeFillShade="E6"/>
          </w:tcPr>
          <w:p w14:paraId="691340A6" w14:textId="27F1B707" w:rsidR="00E169B4" w:rsidRPr="002056FA" w:rsidRDefault="00E169B4" w:rsidP="00E169B4">
            <w:pPr>
              <w:pStyle w:val="TableCopy"/>
              <w:rPr>
                <w:rFonts w:eastAsia="Calibri"/>
                <w:color w:val="000000"/>
                <w:lang w:eastAsia="en-US"/>
              </w:rPr>
            </w:pPr>
            <w:r w:rsidRPr="002056FA">
              <w:rPr>
                <w:rFonts w:eastAsia="Calibri"/>
                <w:color w:val="000000"/>
                <w:lang w:eastAsia="en-US"/>
              </w:rPr>
              <w:t>34.1(a)</w:t>
            </w:r>
          </w:p>
        </w:tc>
        <w:tc>
          <w:tcPr>
            <w:tcW w:w="0" w:type="auto"/>
            <w:shd w:val="clear" w:color="auto" w:fill="D0CECE" w:themeFill="background2" w:themeFillShade="E6"/>
          </w:tcPr>
          <w:p w14:paraId="22A417F8" w14:textId="7F073EC3" w:rsidR="00E169B4" w:rsidRPr="002056FA" w:rsidRDefault="00E169B4" w:rsidP="00E169B4">
            <w:pPr>
              <w:pStyle w:val="TableCopy"/>
              <w:rPr>
                <w:rFonts w:eastAsia="Calibri"/>
                <w:color w:val="000000"/>
                <w:lang w:eastAsia="en-US"/>
              </w:rPr>
            </w:pPr>
            <w:r w:rsidRPr="002056FA">
              <w:rPr>
                <w:rFonts w:eastAsia="Calibri"/>
                <w:color w:val="000000"/>
                <w:lang w:eastAsia="en-US"/>
              </w:rPr>
              <w:t>in response to Schedule 1;</w:t>
            </w:r>
          </w:p>
        </w:tc>
        <w:tc>
          <w:tcPr>
            <w:tcW w:w="0" w:type="auto"/>
            <w:shd w:val="clear" w:color="auto" w:fill="D0CECE" w:themeFill="background2" w:themeFillShade="E6"/>
          </w:tcPr>
          <w:p w14:paraId="0C383BA5" w14:textId="77777777" w:rsidR="00E169B4" w:rsidRPr="00532928" w:rsidRDefault="00E169B4" w:rsidP="00E169B4">
            <w:pPr>
              <w:pStyle w:val="TableCopy"/>
              <w:rPr>
                <w:rFonts w:eastAsia="Calibri"/>
                <w:color w:val="000000"/>
                <w:lang w:eastAsia="en-US"/>
              </w:rPr>
            </w:pPr>
          </w:p>
        </w:tc>
      </w:tr>
      <w:tr w:rsidR="00E169B4" w:rsidRPr="002056FA" w14:paraId="6794BFDC" w14:textId="77777777" w:rsidTr="00220868">
        <w:tc>
          <w:tcPr>
            <w:tcW w:w="0" w:type="auto"/>
            <w:shd w:val="clear" w:color="auto" w:fill="D0CECE" w:themeFill="background2" w:themeFillShade="E6"/>
          </w:tcPr>
          <w:p w14:paraId="6484913A" w14:textId="50914CAA" w:rsidR="00E169B4" w:rsidRPr="002056FA" w:rsidRDefault="00E169B4" w:rsidP="00E169B4">
            <w:pPr>
              <w:pStyle w:val="TableCopy"/>
              <w:rPr>
                <w:rFonts w:eastAsia="Calibri"/>
                <w:color w:val="000000"/>
                <w:lang w:eastAsia="en-US"/>
              </w:rPr>
            </w:pPr>
            <w:r w:rsidRPr="002056FA">
              <w:rPr>
                <w:rFonts w:eastAsia="Calibri"/>
                <w:color w:val="000000"/>
                <w:lang w:eastAsia="en-US"/>
              </w:rPr>
              <w:t>34.1(b)</w:t>
            </w:r>
          </w:p>
        </w:tc>
        <w:tc>
          <w:tcPr>
            <w:tcW w:w="0" w:type="auto"/>
            <w:shd w:val="clear" w:color="auto" w:fill="D0CECE" w:themeFill="background2" w:themeFillShade="E6"/>
          </w:tcPr>
          <w:p w14:paraId="4CC45608" w14:textId="7136E541" w:rsidR="00E169B4" w:rsidRPr="002056FA" w:rsidRDefault="00E169B4" w:rsidP="00E169B4">
            <w:pPr>
              <w:pStyle w:val="TableCopy"/>
              <w:rPr>
                <w:rFonts w:eastAsia="Calibri"/>
                <w:color w:val="000000"/>
                <w:lang w:eastAsia="en-US"/>
              </w:rPr>
            </w:pPr>
            <w:r w:rsidRPr="002056FA">
              <w:rPr>
                <w:rFonts w:eastAsia="Calibri"/>
                <w:color w:val="000000"/>
                <w:lang w:eastAsia="en-US"/>
              </w:rPr>
              <w:t>in a regulatory proposal for the forthcoming regulatory control period (a Proposal)</w:t>
            </w:r>
          </w:p>
        </w:tc>
        <w:tc>
          <w:tcPr>
            <w:tcW w:w="0" w:type="auto"/>
            <w:shd w:val="clear" w:color="auto" w:fill="D0CECE" w:themeFill="background2" w:themeFillShade="E6"/>
          </w:tcPr>
          <w:p w14:paraId="23254354" w14:textId="77777777" w:rsidR="00E169B4" w:rsidRPr="00532928" w:rsidRDefault="00E169B4" w:rsidP="00E169B4">
            <w:pPr>
              <w:pStyle w:val="TableCopy"/>
              <w:rPr>
                <w:rFonts w:eastAsia="Calibri"/>
                <w:color w:val="000000"/>
                <w:lang w:eastAsia="en-US"/>
              </w:rPr>
            </w:pPr>
          </w:p>
        </w:tc>
      </w:tr>
      <w:tr w:rsidR="00E169B4" w:rsidRPr="002056FA" w14:paraId="6E6ED491" w14:textId="77777777" w:rsidTr="00220868">
        <w:tc>
          <w:tcPr>
            <w:tcW w:w="0" w:type="auto"/>
            <w:shd w:val="clear" w:color="auto" w:fill="D0CECE" w:themeFill="background2" w:themeFillShade="E6"/>
          </w:tcPr>
          <w:p w14:paraId="2D8060B0" w14:textId="2CDDAB8C" w:rsidR="00E169B4" w:rsidRPr="002056FA" w:rsidRDefault="00E169B4" w:rsidP="00E169B4">
            <w:pPr>
              <w:pStyle w:val="TableCopy"/>
              <w:rPr>
                <w:rFonts w:eastAsia="Calibri"/>
                <w:color w:val="000000"/>
                <w:lang w:eastAsia="en-US"/>
              </w:rPr>
            </w:pPr>
            <w:r w:rsidRPr="002056FA">
              <w:rPr>
                <w:rFonts w:eastAsia="Calibri"/>
                <w:color w:val="000000"/>
                <w:lang w:eastAsia="en-US"/>
              </w:rPr>
              <w:t>34.1(c)</w:t>
            </w:r>
          </w:p>
        </w:tc>
        <w:tc>
          <w:tcPr>
            <w:tcW w:w="0" w:type="auto"/>
            <w:shd w:val="clear" w:color="auto" w:fill="D0CECE" w:themeFill="background2" w:themeFillShade="E6"/>
          </w:tcPr>
          <w:p w14:paraId="310A1090" w14:textId="4F0AF0DA" w:rsidR="00E169B4" w:rsidRPr="002056FA" w:rsidRDefault="00E169B4" w:rsidP="00E169B4">
            <w:pPr>
              <w:pStyle w:val="TableCopy"/>
              <w:rPr>
                <w:rFonts w:eastAsia="Calibri"/>
                <w:color w:val="000000"/>
                <w:lang w:eastAsia="en-US"/>
              </w:rPr>
            </w:pPr>
            <w:r w:rsidRPr="002056FA">
              <w:rPr>
                <w:rFonts w:eastAsia="Calibri"/>
                <w:color w:val="000000"/>
                <w:lang w:eastAsia="en-US"/>
              </w:rPr>
              <w:t>in a revision or amendment to a Proposal; and</w:t>
            </w:r>
          </w:p>
        </w:tc>
        <w:tc>
          <w:tcPr>
            <w:tcW w:w="0" w:type="auto"/>
            <w:shd w:val="clear" w:color="auto" w:fill="D0CECE" w:themeFill="background2" w:themeFillShade="E6"/>
          </w:tcPr>
          <w:p w14:paraId="6A2A28DF" w14:textId="77777777" w:rsidR="00E169B4" w:rsidRPr="00532928" w:rsidRDefault="00E169B4" w:rsidP="00E169B4">
            <w:pPr>
              <w:pStyle w:val="TableCopy"/>
              <w:rPr>
                <w:rFonts w:eastAsia="Calibri"/>
                <w:color w:val="000000"/>
                <w:lang w:eastAsia="en-US"/>
              </w:rPr>
            </w:pPr>
          </w:p>
        </w:tc>
      </w:tr>
      <w:tr w:rsidR="00E169B4" w:rsidRPr="002056FA" w14:paraId="2123E496" w14:textId="77777777" w:rsidTr="00220868">
        <w:tc>
          <w:tcPr>
            <w:tcW w:w="0" w:type="auto"/>
            <w:shd w:val="clear" w:color="auto" w:fill="D0CECE" w:themeFill="background2" w:themeFillShade="E6"/>
          </w:tcPr>
          <w:p w14:paraId="2C5530C3" w14:textId="79050DF4" w:rsidR="00E169B4" w:rsidRPr="002056FA" w:rsidRDefault="00E169B4" w:rsidP="00E169B4">
            <w:pPr>
              <w:pStyle w:val="TableCopy"/>
              <w:rPr>
                <w:rFonts w:eastAsia="Calibri"/>
                <w:color w:val="000000"/>
                <w:lang w:eastAsia="en-US"/>
              </w:rPr>
            </w:pPr>
            <w:r w:rsidRPr="002056FA">
              <w:rPr>
                <w:rFonts w:eastAsia="Calibri"/>
                <w:color w:val="000000"/>
                <w:lang w:eastAsia="en-US"/>
              </w:rPr>
              <w:t>34.1(d)</w:t>
            </w:r>
          </w:p>
        </w:tc>
        <w:tc>
          <w:tcPr>
            <w:tcW w:w="0" w:type="auto"/>
            <w:shd w:val="clear" w:color="auto" w:fill="D0CECE" w:themeFill="background2" w:themeFillShade="E6"/>
          </w:tcPr>
          <w:p w14:paraId="5B3C6109" w14:textId="51F54413" w:rsidR="00E169B4" w:rsidRPr="002056FA" w:rsidRDefault="00E169B4" w:rsidP="00E169B4">
            <w:pPr>
              <w:pStyle w:val="TableCopy"/>
              <w:rPr>
                <w:rFonts w:eastAsia="Calibri"/>
                <w:color w:val="000000"/>
                <w:lang w:eastAsia="en-US"/>
              </w:rPr>
            </w:pPr>
            <w:r w:rsidRPr="002056FA">
              <w:rPr>
                <w:rFonts w:eastAsia="Calibri"/>
                <w:color w:val="000000"/>
                <w:lang w:eastAsia="en-US"/>
              </w:rPr>
              <w:t>in a submission Energex makes regarding a Proposal or a revised or amended Proposal; (together, Energex’s Information).</w:t>
            </w:r>
          </w:p>
        </w:tc>
        <w:tc>
          <w:tcPr>
            <w:tcW w:w="0" w:type="auto"/>
            <w:shd w:val="clear" w:color="auto" w:fill="D0CECE" w:themeFill="background2" w:themeFillShade="E6"/>
          </w:tcPr>
          <w:p w14:paraId="366378F3" w14:textId="77777777" w:rsidR="00E169B4" w:rsidRPr="00532928" w:rsidRDefault="00E169B4" w:rsidP="00E169B4">
            <w:pPr>
              <w:pStyle w:val="TableCopy"/>
              <w:rPr>
                <w:rFonts w:eastAsia="Calibri"/>
                <w:color w:val="000000"/>
                <w:lang w:eastAsia="en-US"/>
              </w:rPr>
            </w:pPr>
          </w:p>
        </w:tc>
      </w:tr>
      <w:tr w:rsidR="00E169B4" w:rsidRPr="002056FA" w14:paraId="386E3140" w14:textId="77777777" w:rsidTr="00E169B4">
        <w:tc>
          <w:tcPr>
            <w:tcW w:w="0" w:type="auto"/>
            <w:shd w:val="clear" w:color="auto" w:fill="auto"/>
          </w:tcPr>
          <w:p w14:paraId="22EAB8B5" w14:textId="76642E34" w:rsidR="00E169B4" w:rsidRPr="002056FA" w:rsidRDefault="00E169B4" w:rsidP="00E169B4">
            <w:pPr>
              <w:pStyle w:val="TableCopy"/>
              <w:rPr>
                <w:rFonts w:eastAsia="Calibri"/>
                <w:color w:val="000000"/>
                <w:lang w:eastAsia="en-US"/>
              </w:rPr>
            </w:pPr>
            <w:r w:rsidRPr="002056FA">
              <w:rPr>
                <w:rFonts w:eastAsia="Calibri"/>
                <w:color w:val="000000"/>
                <w:lang w:eastAsia="en-US"/>
              </w:rPr>
              <w:t>34.2</w:t>
            </w:r>
          </w:p>
        </w:tc>
        <w:tc>
          <w:tcPr>
            <w:tcW w:w="0" w:type="auto"/>
            <w:shd w:val="clear" w:color="auto" w:fill="auto"/>
          </w:tcPr>
          <w:p w14:paraId="21BCB20D" w14:textId="7C4D6571" w:rsidR="00E169B4" w:rsidRPr="002056FA" w:rsidRDefault="00E169B4" w:rsidP="00E169B4">
            <w:pPr>
              <w:pStyle w:val="TableCopy"/>
              <w:rPr>
                <w:rFonts w:eastAsia="Calibri"/>
                <w:color w:val="000000"/>
                <w:lang w:eastAsia="en-US"/>
              </w:rPr>
            </w:pPr>
            <w:r w:rsidRPr="002056FA">
              <w:rPr>
                <w:rFonts w:eastAsia="Calibri"/>
                <w:color w:val="000000"/>
                <w:lang w:eastAsia="en-US"/>
              </w:rPr>
              <w:t>If Energex wishes to make a claim for confidentiality over any of Energex’s Information, provide the details of that claim in accordance with the requirements of the AER’s Confidentiality Guideline, as if it extended and applied to that claim for confidentiality.</w:t>
            </w:r>
          </w:p>
        </w:tc>
        <w:tc>
          <w:tcPr>
            <w:tcW w:w="0" w:type="auto"/>
            <w:shd w:val="clear" w:color="auto" w:fill="auto"/>
          </w:tcPr>
          <w:p w14:paraId="5F075C56" w14:textId="4039971D" w:rsidR="00E169B4" w:rsidRPr="00532928" w:rsidRDefault="00E169B4" w:rsidP="00E169B4">
            <w:pPr>
              <w:pStyle w:val="TableCopy"/>
              <w:rPr>
                <w:rFonts w:eastAsia="Calibri"/>
                <w:color w:val="000000"/>
                <w:lang w:eastAsia="en-US"/>
              </w:rPr>
            </w:pPr>
            <w:r>
              <w:rPr>
                <w:rFonts w:eastAsia="Calibri"/>
                <w:color w:val="000000"/>
                <w:lang w:eastAsia="en-US"/>
              </w:rPr>
              <w:t>Refer to Energex’s ‘Confidentiality template’</w:t>
            </w:r>
            <w:r w:rsidRPr="001501AF">
              <w:rPr>
                <w:rFonts w:eastAsia="Calibri"/>
                <w:color w:val="000000"/>
                <w:lang w:eastAsia="en-US"/>
              </w:rPr>
              <w:t xml:space="preserve"> (Attachment 16.001)</w:t>
            </w:r>
          </w:p>
        </w:tc>
      </w:tr>
      <w:tr w:rsidR="00E169B4" w:rsidRPr="002056FA" w14:paraId="263AB947" w14:textId="77777777" w:rsidTr="00220868">
        <w:tc>
          <w:tcPr>
            <w:tcW w:w="0" w:type="auto"/>
            <w:tcBorders>
              <w:bottom w:val="single" w:sz="4" w:space="0" w:color="auto"/>
            </w:tcBorders>
            <w:shd w:val="clear" w:color="auto" w:fill="auto"/>
          </w:tcPr>
          <w:p w14:paraId="5A1FF7F3" w14:textId="35E28EF8" w:rsidR="00E169B4" w:rsidRPr="002056FA" w:rsidRDefault="00E169B4" w:rsidP="00E169B4">
            <w:pPr>
              <w:pStyle w:val="TableCopy"/>
              <w:rPr>
                <w:rFonts w:eastAsia="Calibri"/>
                <w:color w:val="000000"/>
                <w:lang w:eastAsia="en-US"/>
              </w:rPr>
            </w:pPr>
            <w:r w:rsidRPr="002056FA">
              <w:rPr>
                <w:rFonts w:eastAsia="Calibri"/>
                <w:color w:val="000000"/>
                <w:lang w:eastAsia="en-US"/>
              </w:rPr>
              <w:t>34.3</w:t>
            </w:r>
          </w:p>
        </w:tc>
        <w:tc>
          <w:tcPr>
            <w:tcW w:w="0" w:type="auto"/>
            <w:tcBorders>
              <w:bottom w:val="single" w:sz="4" w:space="0" w:color="auto"/>
            </w:tcBorders>
            <w:shd w:val="clear" w:color="auto" w:fill="auto"/>
          </w:tcPr>
          <w:p w14:paraId="177801F7" w14:textId="4F938015" w:rsidR="00E169B4" w:rsidRPr="002056FA" w:rsidRDefault="00E169B4" w:rsidP="00E169B4">
            <w:pPr>
              <w:pStyle w:val="TableCopy"/>
              <w:rPr>
                <w:rFonts w:eastAsia="Calibri"/>
                <w:color w:val="000000"/>
                <w:lang w:eastAsia="en-US"/>
              </w:rPr>
            </w:pPr>
            <w:r w:rsidRPr="002056FA">
              <w:rPr>
                <w:rFonts w:eastAsia="Calibri"/>
                <w:color w:val="000000"/>
                <w:lang w:eastAsia="en-US"/>
              </w:rPr>
              <w:t>Provide any details of a claim for confidentiality in response to paragraph 34.2 at the same time as making the claim for confidentiality.</w:t>
            </w:r>
          </w:p>
        </w:tc>
        <w:tc>
          <w:tcPr>
            <w:tcW w:w="0" w:type="auto"/>
            <w:tcBorders>
              <w:bottom w:val="single" w:sz="4" w:space="0" w:color="auto"/>
            </w:tcBorders>
            <w:shd w:val="clear" w:color="auto" w:fill="auto"/>
          </w:tcPr>
          <w:p w14:paraId="71F02EA7" w14:textId="68A5841C" w:rsidR="00E169B4" w:rsidRDefault="00E169B4" w:rsidP="00E169B4">
            <w:pPr>
              <w:pStyle w:val="TableCopy"/>
              <w:rPr>
                <w:rFonts w:eastAsia="Calibri"/>
                <w:color w:val="000000"/>
                <w:lang w:eastAsia="en-US"/>
              </w:rPr>
            </w:pPr>
            <w:r>
              <w:rPr>
                <w:rFonts w:eastAsia="Calibri"/>
                <w:color w:val="000000"/>
                <w:lang w:eastAsia="en-US"/>
              </w:rPr>
              <w:t>Refer to Energex’s ‘</w:t>
            </w:r>
            <w:r w:rsidRPr="001501AF">
              <w:rPr>
                <w:rFonts w:eastAsia="Calibri"/>
                <w:color w:val="000000"/>
                <w:lang w:eastAsia="en-US"/>
              </w:rPr>
              <w:t>Confidentiality t</w:t>
            </w:r>
            <w:r>
              <w:rPr>
                <w:rFonts w:eastAsia="Calibri"/>
                <w:color w:val="000000"/>
                <w:lang w:eastAsia="en-US"/>
              </w:rPr>
              <w:t>emplate’</w:t>
            </w:r>
            <w:r w:rsidRPr="001501AF">
              <w:rPr>
                <w:rFonts w:eastAsia="Calibri"/>
                <w:color w:val="000000"/>
                <w:lang w:eastAsia="en-US"/>
              </w:rPr>
              <w:t xml:space="preserve"> (Attachment 16.001).</w:t>
            </w:r>
          </w:p>
        </w:tc>
      </w:tr>
      <w:tr w:rsidR="00E169B4" w:rsidRPr="002056FA" w14:paraId="23A58B8F" w14:textId="77777777" w:rsidTr="00220868">
        <w:tc>
          <w:tcPr>
            <w:tcW w:w="0" w:type="auto"/>
            <w:shd w:val="clear" w:color="auto" w:fill="D0CECE" w:themeFill="background2" w:themeFillShade="E6"/>
          </w:tcPr>
          <w:p w14:paraId="2BAED08C" w14:textId="20E7B63B" w:rsidR="00E169B4" w:rsidRPr="002056FA" w:rsidRDefault="00E169B4" w:rsidP="00E169B4">
            <w:pPr>
              <w:pStyle w:val="TableCopy"/>
              <w:rPr>
                <w:rFonts w:eastAsia="Calibri"/>
                <w:color w:val="000000"/>
                <w:lang w:eastAsia="en-US"/>
              </w:rPr>
            </w:pPr>
            <w:r w:rsidRPr="002056FA">
              <w:rPr>
                <w:rFonts w:eastAsia="Calibri"/>
                <w:b/>
                <w:color w:val="000000"/>
                <w:lang w:eastAsia="en-US"/>
              </w:rPr>
              <w:t>35</w:t>
            </w:r>
          </w:p>
        </w:tc>
        <w:tc>
          <w:tcPr>
            <w:tcW w:w="0" w:type="auto"/>
            <w:shd w:val="clear" w:color="auto" w:fill="D0CECE" w:themeFill="background2" w:themeFillShade="E6"/>
          </w:tcPr>
          <w:p w14:paraId="6C834B4C" w14:textId="7446C1A2" w:rsidR="00E169B4" w:rsidRPr="002056FA" w:rsidRDefault="00E169B4" w:rsidP="00E169B4">
            <w:pPr>
              <w:pStyle w:val="TableCopy"/>
              <w:rPr>
                <w:rFonts w:eastAsia="Calibri"/>
                <w:color w:val="000000"/>
                <w:lang w:eastAsia="en-US"/>
              </w:rPr>
            </w:pPr>
            <w:r w:rsidRPr="002056FA">
              <w:rPr>
                <w:rFonts w:eastAsia="Calibri"/>
                <w:b/>
                <w:color w:val="000000"/>
                <w:lang w:eastAsia="en-US"/>
              </w:rPr>
              <w:t>COMPLIANCE WITH SECTION 71YA OF THE NEL</w:t>
            </w:r>
          </w:p>
        </w:tc>
        <w:tc>
          <w:tcPr>
            <w:tcW w:w="0" w:type="auto"/>
            <w:shd w:val="clear" w:color="auto" w:fill="D0CECE" w:themeFill="background2" w:themeFillShade="E6"/>
          </w:tcPr>
          <w:p w14:paraId="03EC848B" w14:textId="77777777" w:rsidR="00E169B4" w:rsidRDefault="00E169B4" w:rsidP="00E169B4">
            <w:pPr>
              <w:pStyle w:val="TableCopy"/>
              <w:rPr>
                <w:rFonts w:eastAsia="Calibri"/>
                <w:color w:val="000000"/>
                <w:lang w:eastAsia="en-US"/>
              </w:rPr>
            </w:pPr>
          </w:p>
        </w:tc>
      </w:tr>
      <w:tr w:rsidR="00E169B4" w:rsidRPr="002056FA" w14:paraId="3990D825" w14:textId="77777777" w:rsidTr="00E169B4">
        <w:tc>
          <w:tcPr>
            <w:tcW w:w="0" w:type="auto"/>
            <w:shd w:val="clear" w:color="auto" w:fill="auto"/>
          </w:tcPr>
          <w:p w14:paraId="70EF93B0" w14:textId="04C0D03F" w:rsidR="00E169B4" w:rsidRPr="002056FA" w:rsidRDefault="00E169B4" w:rsidP="00E169B4">
            <w:pPr>
              <w:pStyle w:val="TableCopy"/>
              <w:rPr>
                <w:rFonts w:eastAsia="Calibri"/>
                <w:b/>
                <w:color w:val="000000"/>
                <w:lang w:eastAsia="en-US"/>
              </w:rPr>
            </w:pPr>
            <w:r w:rsidRPr="002056FA">
              <w:rPr>
                <w:rFonts w:eastAsia="Calibri"/>
                <w:color w:val="000000"/>
                <w:lang w:eastAsia="en-US"/>
              </w:rPr>
              <w:t>35.1</w:t>
            </w:r>
          </w:p>
        </w:tc>
        <w:tc>
          <w:tcPr>
            <w:tcW w:w="0" w:type="auto"/>
            <w:shd w:val="clear" w:color="auto" w:fill="auto"/>
          </w:tcPr>
          <w:p w14:paraId="3201AFD7" w14:textId="7401BB54" w:rsidR="00E169B4" w:rsidRPr="002056FA" w:rsidRDefault="00E169B4" w:rsidP="00E169B4">
            <w:pPr>
              <w:pStyle w:val="TableCopy"/>
              <w:rPr>
                <w:rFonts w:eastAsia="Calibri"/>
                <w:b/>
                <w:color w:val="000000"/>
                <w:lang w:eastAsia="en-US"/>
              </w:rPr>
            </w:pPr>
            <w:r w:rsidRPr="002056FA">
              <w:rPr>
                <w:rFonts w:eastAsia="Calibri"/>
                <w:color w:val="000000"/>
                <w:lang w:eastAsia="en-US"/>
              </w:rPr>
              <w:t>Provide a statement attesting that:</w:t>
            </w:r>
          </w:p>
        </w:tc>
        <w:tc>
          <w:tcPr>
            <w:tcW w:w="0" w:type="auto"/>
            <w:shd w:val="clear" w:color="auto" w:fill="auto"/>
          </w:tcPr>
          <w:p w14:paraId="05C389F9" w14:textId="77777777" w:rsidR="00E169B4" w:rsidRDefault="00E169B4" w:rsidP="00E169B4">
            <w:pPr>
              <w:pStyle w:val="TableCopy"/>
              <w:rPr>
                <w:rFonts w:eastAsia="Calibri"/>
                <w:color w:val="000000"/>
                <w:lang w:eastAsia="en-US"/>
              </w:rPr>
            </w:pPr>
          </w:p>
        </w:tc>
      </w:tr>
      <w:tr w:rsidR="00E169B4" w:rsidRPr="002056FA" w14:paraId="3F9847DA" w14:textId="77777777" w:rsidTr="00E169B4">
        <w:tc>
          <w:tcPr>
            <w:tcW w:w="0" w:type="auto"/>
            <w:shd w:val="clear" w:color="auto" w:fill="auto"/>
          </w:tcPr>
          <w:p w14:paraId="4E1EAC55" w14:textId="50093E5A"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35.1(a) </w:t>
            </w:r>
          </w:p>
        </w:tc>
        <w:tc>
          <w:tcPr>
            <w:tcW w:w="0" w:type="auto"/>
            <w:shd w:val="clear" w:color="auto" w:fill="auto"/>
          </w:tcPr>
          <w:p w14:paraId="09C615C2" w14:textId="0DA9D977"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Where any expenditure or cost is has been incurred or is forecast to be incurred by </w:t>
            </w:r>
            <w:r w:rsidRPr="002056FA">
              <w:rPr>
                <w:rFonts w:eastAsia="Calibri"/>
                <w:iCs/>
                <w:color w:val="000000"/>
                <w:lang w:eastAsia="en-US"/>
              </w:rPr>
              <w:t xml:space="preserve">Energex, </w:t>
            </w:r>
            <w:r w:rsidRPr="002056FA">
              <w:rPr>
                <w:rFonts w:eastAsia="Calibri"/>
                <w:color w:val="000000"/>
                <w:lang w:eastAsia="en-US"/>
              </w:rPr>
              <w:t xml:space="preserve">as a result of or incidental to a review under Division 3A – </w:t>
            </w:r>
            <w:r w:rsidRPr="002056FA">
              <w:rPr>
                <w:rFonts w:eastAsia="Calibri"/>
                <w:iCs/>
                <w:color w:val="000000"/>
                <w:lang w:eastAsia="en-US"/>
              </w:rPr>
              <w:t xml:space="preserve">Merits review and other non-judicial review </w:t>
            </w:r>
            <w:r w:rsidRPr="002056FA">
              <w:rPr>
                <w:rFonts w:eastAsia="Calibri"/>
                <w:color w:val="000000"/>
                <w:lang w:eastAsia="en-US"/>
              </w:rPr>
              <w:t xml:space="preserve">– of the </w:t>
            </w:r>
            <w:r w:rsidRPr="002056FA">
              <w:rPr>
                <w:rFonts w:eastAsia="Calibri"/>
                <w:iCs/>
                <w:color w:val="000000"/>
                <w:lang w:eastAsia="en-US"/>
              </w:rPr>
              <w:t>NEL</w:t>
            </w:r>
            <w:r w:rsidRPr="002056FA">
              <w:rPr>
                <w:rFonts w:eastAsia="Calibri"/>
                <w:color w:val="000000"/>
                <w:lang w:eastAsia="en-US"/>
              </w:rPr>
              <w:t xml:space="preserve">: </w:t>
            </w:r>
          </w:p>
        </w:tc>
        <w:tc>
          <w:tcPr>
            <w:tcW w:w="0" w:type="auto"/>
            <w:shd w:val="clear" w:color="auto" w:fill="auto"/>
          </w:tcPr>
          <w:p w14:paraId="0F3D5952" w14:textId="48086ABE" w:rsidR="00E169B4" w:rsidRDefault="00E169B4" w:rsidP="00E169B4">
            <w:pPr>
              <w:pStyle w:val="TableCopy"/>
              <w:rPr>
                <w:rFonts w:eastAsia="Calibri"/>
                <w:color w:val="000000"/>
                <w:lang w:eastAsia="en-US"/>
              </w:rPr>
            </w:pPr>
            <w:r w:rsidRPr="002056FA">
              <w:rPr>
                <w:rFonts w:eastAsia="Calibri"/>
                <w:color w:val="000000"/>
                <w:lang w:eastAsia="en-US"/>
              </w:rPr>
              <w:t>Energex has not applied for a review under Division 3A - Merits review and other non-judicial review – of the NEL and accordingly there are no expenditures or costs that have been incurred nor forecast as a result.</w:t>
            </w:r>
          </w:p>
        </w:tc>
      </w:tr>
      <w:tr w:rsidR="00E169B4" w:rsidRPr="002056FA" w14:paraId="33B240E0" w14:textId="77777777" w:rsidTr="00E169B4">
        <w:tc>
          <w:tcPr>
            <w:tcW w:w="0" w:type="auto"/>
            <w:shd w:val="clear" w:color="auto" w:fill="auto"/>
          </w:tcPr>
          <w:p w14:paraId="574F04AC" w14:textId="586F9C14"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35.1(a)(i) </w:t>
            </w:r>
          </w:p>
        </w:tc>
        <w:tc>
          <w:tcPr>
            <w:tcW w:w="0" w:type="auto"/>
            <w:shd w:val="clear" w:color="auto" w:fill="auto"/>
          </w:tcPr>
          <w:p w14:paraId="0D731B4C" w14:textId="4CC388C7" w:rsidR="00E169B4" w:rsidRPr="002056FA" w:rsidRDefault="00E169B4" w:rsidP="00E169B4">
            <w:pPr>
              <w:pStyle w:val="TableCopy"/>
              <w:rPr>
                <w:rFonts w:eastAsia="Calibri"/>
                <w:color w:val="000000"/>
                <w:lang w:eastAsia="en-US"/>
              </w:rPr>
            </w:pPr>
            <w:r w:rsidRPr="002056FA">
              <w:rPr>
                <w:rFonts w:eastAsia="Calibri"/>
                <w:iCs/>
                <w:color w:val="000000"/>
                <w:lang w:eastAsia="en-US"/>
              </w:rPr>
              <w:t xml:space="preserve">Energex </w:t>
            </w:r>
            <w:r w:rsidRPr="002056FA">
              <w:rPr>
                <w:rFonts w:eastAsia="Calibri"/>
                <w:color w:val="000000"/>
                <w:lang w:eastAsia="en-US"/>
              </w:rPr>
              <w:t xml:space="preserve">has not included any of that expenditure or cost, or any part of that expenditure or cost, in its forecast capital or operating expenditures for a network revenue or pricing determination; and </w:t>
            </w:r>
          </w:p>
        </w:tc>
        <w:tc>
          <w:tcPr>
            <w:tcW w:w="0" w:type="auto"/>
            <w:shd w:val="clear" w:color="auto" w:fill="auto"/>
          </w:tcPr>
          <w:p w14:paraId="13EAD9CD" w14:textId="04630826" w:rsidR="00E169B4" w:rsidRPr="002056FA" w:rsidRDefault="00E169B4" w:rsidP="00E169B4">
            <w:pPr>
              <w:pStyle w:val="TableCopy"/>
              <w:rPr>
                <w:rFonts w:eastAsia="Calibri"/>
                <w:color w:val="000000"/>
                <w:lang w:eastAsia="en-US"/>
              </w:rPr>
            </w:pPr>
            <w:r w:rsidRPr="002056FA">
              <w:rPr>
                <w:rFonts w:eastAsia="Calibri"/>
                <w:color w:val="000000"/>
                <w:lang w:eastAsia="en-US"/>
              </w:rPr>
              <w:t>Refer to response 35.1(a) - Energex has not applied for a review under Division 3A - Merits review and other non-judicial review – of the NEL.</w:t>
            </w:r>
          </w:p>
        </w:tc>
      </w:tr>
      <w:tr w:rsidR="00E169B4" w:rsidRPr="002056FA" w14:paraId="50C1A863" w14:textId="77777777" w:rsidTr="00E169B4">
        <w:tc>
          <w:tcPr>
            <w:tcW w:w="0" w:type="auto"/>
            <w:shd w:val="clear" w:color="auto" w:fill="auto"/>
          </w:tcPr>
          <w:p w14:paraId="330AD16B" w14:textId="3065CE5C"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35.1(a)(ii) </w:t>
            </w:r>
          </w:p>
        </w:tc>
        <w:tc>
          <w:tcPr>
            <w:tcW w:w="0" w:type="auto"/>
            <w:shd w:val="clear" w:color="auto" w:fill="auto"/>
          </w:tcPr>
          <w:p w14:paraId="4110BF87" w14:textId="4CAA6495" w:rsidR="00E169B4" w:rsidRPr="002056FA" w:rsidRDefault="00E169B4" w:rsidP="00E169B4">
            <w:pPr>
              <w:pStyle w:val="TableCopy"/>
              <w:rPr>
                <w:rFonts w:eastAsia="Calibri"/>
                <w:iCs/>
                <w:color w:val="000000"/>
                <w:lang w:eastAsia="en-US"/>
              </w:rPr>
            </w:pPr>
            <w:r w:rsidRPr="002056FA">
              <w:rPr>
                <w:rFonts w:eastAsia="Calibri"/>
                <w:color w:val="000000"/>
                <w:lang w:eastAsia="en-US"/>
              </w:rPr>
              <w:t xml:space="preserve">Energex has not recovered any of that expenditure or cost, or any part of that expenditure or cost, from end users; and </w:t>
            </w:r>
          </w:p>
        </w:tc>
        <w:tc>
          <w:tcPr>
            <w:tcW w:w="0" w:type="auto"/>
            <w:shd w:val="clear" w:color="auto" w:fill="auto"/>
          </w:tcPr>
          <w:p w14:paraId="3A9066B9" w14:textId="3FE174B5" w:rsidR="00E169B4" w:rsidRPr="002056FA" w:rsidRDefault="00E169B4" w:rsidP="00E169B4">
            <w:pPr>
              <w:pStyle w:val="TableCopy"/>
              <w:rPr>
                <w:rFonts w:eastAsia="Calibri"/>
                <w:color w:val="000000"/>
                <w:lang w:eastAsia="en-US"/>
              </w:rPr>
            </w:pPr>
            <w:r w:rsidRPr="002056FA">
              <w:rPr>
                <w:rFonts w:eastAsia="Calibri"/>
                <w:color w:val="000000"/>
                <w:lang w:eastAsia="en-US"/>
              </w:rPr>
              <w:t>Refer to response 35.1(a) - Energex has not applied for a review under Division 3A - Merits review and other non-judicial review – of the NEL.</w:t>
            </w:r>
          </w:p>
        </w:tc>
      </w:tr>
      <w:tr w:rsidR="00E169B4" w:rsidRPr="002056FA" w14:paraId="7CB4CF5B" w14:textId="77777777" w:rsidTr="00E169B4">
        <w:tc>
          <w:tcPr>
            <w:tcW w:w="0" w:type="auto"/>
            <w:shd w:val="clear" w:color="auto" w:fill="auto"/>
          </w:tcPr>
          <w:p w14:paraId="688549DA" w14:textId="3F83DF2D"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35.1(a)(iii) </w:t>
            </w:r>
          </w:p>
        </w:tc>
        <w:tc>
          <w:tcPr>
            <w:tcW w:w="0" w:type="auto"/>
            <w:shd w:val="clear" w:color="auto" w:fill="auto"/>
          </w:tcPr>
          <w:p w14:paraId="5C6F2528" w14:textId="4115AA9F" w:rsidR="00E169B4" w:rsidRPr="002056FA" w:rsidRDefault="00E169B4" w:rsidP="00E169B4">
            <w:pPr>
              <w:pStyle w:val="TableCopy"/>
              <w:rPr>
                <w:rFonts w:eastAsia="Calibri"/>
                <w:color w:val="000000"/>
                <w:lang w:eastAsia="en-US"/>
              </w:rPr>
            </w:pPr>
            <w:r w:rsidRPr="002056FA">
              <w:rPr>
                <w:rFonts w:eastAsia="Calibri"/>
                <w:iCs/>
                <w:color w:val="000000"/>
                <w:lang w:eastAsia="en-US"/>
              </w:rPr>
              <w:t xml:space="preserve">Energex </w:t>
            </w:r>
            <w:r w:rsidRPr="002056FA">
              <w:rPr>
                <w:rFonts w:eastAsia="Calibri"/>
                <w:color w:val="000000"/>
                <w:lang w:eastAsia="en-US"/>
              </w:rPr>
              <w:t xml:space="preserve">has not sought to pass through any of that expenditure or cost, or any part of that expenditure or cost, to end users; or </w:t>
            </w:r>
          </w:p>
        </w:tc>
        <w:tc>
          <w:tcPr>
            <w:tcW w:w="0" w:type="auto"/>
            <w:shd w:val="clear" w:color="auto" w:fill="auto"/>
          </w:tcPr>
          <w:p w14:paraId="2EF15E20" w14:textId="773F7777" w:rsidR="00E169B4" w:rsidRPr="002056FA" w:rsidRDefault="00E169B4" w:rsidP="00E169B4">
            <w:pPr>
              <w:pStyle w:val="TableCopy"/>
              <w:rPr>
                <w:rFonts w:eastAsia="Calibri"/>
                <w:color w:val="000000"/>
                <w:lang w:eastAsia="en-US"/>
              </w:rPr>
            </w:pPr>
            <w:r w:rsidRPr="002056FA">
              <w:rPr>
                <w:rFonts w:eastAsia="Calibri"/>
                <w:color w:val="000000"/>
                <w:lang w:eastAsia="en-US"/>
              </w:rPr>
              <w:t>Refer to response 35.1(a) - Energex has not applied for a review under Division 3A - Merits review and other non-judicial review – of the NEL.</w:t>
            </w:r>
          </w:p>
        </w:tc>
      </w:tr>
      <w:tr w:rsidR="00E169B4" w:rsidRPr="002056FA" w14:paraId="3E690AE0" w14:textId="77777777" w:rsidTr="00E169B4">
        <w:tc>
          <w:tcPr>
            <w:tcW w:w="0" w:type="auto"/>
            <w:shd w:val="clear" w:color="auto" w:fill="auto"/>
          </w:tcPr>
          <w:p w14:paraId="5784210F" w14:textId="5ED2FC34"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35.1(b) </w:t>
            </w:r>
          </w:p>
        </w:tc>
        <w:tc>
          <w:tcPr>
            <w:tcW w:w="0" w:type="auto"/>
            <w:shd w:val="clear" w:color="auto" w:fill="auto"/>
          </w:tcPr>
          <w:p w14:paraId="02F51FF5" w14:textId="5F224602" w:rsidR="00E169B4" w:rsidRPr="002056FA" w:rsidRDefault="00E169B4" w:rsidP="00E169B4">
            <w:pPr>
              <w:pStyle w:val="TableCopy"/>
              <w:rPr>
                <w:rFonts w:eastAsia="Calibri"/>
                <w:iCs/>
                <w:color w:val="000000"/>
                <w:lang w:eastAsia="en-US"/>
              </w:rPr>
            </w:pPr>
            <w:r w:rsidRPr="002056FA">
              <w:rPr>
                <w:rFonts w:eastAsia="Calibri"/>
                <w:color w:val="000000"/>
                <w:lang w:eastAsia="en-US"/>
              </w:rPr>
              <w:t xml:space="preserve">Where no expenditure or cost has been incurred or is forecast to be incurred by </w:t>
            </w:r>
            <w:r w:rsidRPr="002056FA">
              <w:rPr>
                <w:rFonts w:eastAsia="Calibri"/>
                <w:iCs/>
                <w:color w:val="000000"/>
                <w:lang w:eastAsia="en-US"/>
              </w:rPr>
              <w:t xml:space="preserve">Energex, </w:t>
            </w:r>
            <w:r w:rsidRPr="002056FA">
              <w:rPr>
                <w:rFonts w:eastAsia="Calibri"/>
                <w:color w:val="000000"/>
                <w:lang w:eastAsia="en-US"/>
              </w:rPr>
              <w:t xml:space="preserve">as a result of or incidental to a review under Division 3A – </w:t>
            </w:r>
            <w:r w:rsidRPr="002056FA">
              <w:rPr>
                <w:rFonts w:eastAsia="Calibri"/>
                <w:iCs/>
                <w:color w:val="000000"/>
                <w:lang w:eastAsia="en-US"/>
              </w:rPr>
              <w:t xml:space="preserve">Merits review and other non-judicial review </w:t>
            </w:r>
            <w:r w:rsidRPr="002056FA">
              <w:rPr>
                <w:rFonts w:eastAsia="Calibri"/>
                <w:color w:val="000000"/>
                <w:lang w:eastAsia="en-US"/>
              </w:rPr>
              <w:t xml:space="preserve">– of the </w:t>
            </w:r>
            <w:r w:rsidRPr="002056FA">
              <w:rPr>
                <w:rFonts w:eastAsia="Calibri"/>
                <w:iCs/>
                <w:color w:val="000000"/>
                <w:lang w:eastAsia="en-US"/>
              </w:rPr>
              <w:t>NEL</w:t>
            </w:r>
            <w:r w:rsidRPr="002056FA">
              <w:rPr>
                <w:rFonts w:eastAsia="Calibri"/>
                <w:color w:val="000000"/>
                <w:lang w:eastAsia="en-US"/>
              </w:rPr>
              <w:t xml:space="preserve">: </w:t>
            </w:r>
          </w:p>
        </w:tc>
        <w:tc>
          <w:tcPr>
            <w:tcW w:w="0" w:type="auto"/>
            <w:shd w:val="clear" w:color="auto" w:fill="auto"/>
          </w:tcPr>
          <w:p w14:paraId="10D7B5E0" w14:textId="40E4A2E1" w:rsidR="00E169B4" w:rsidRPr="002056FA" w:rsidRDefault="00E169B4" w:rsidP="00E169B4">
            <w:pPr>
              <w:pStyle w:val="TableCopy"/>
              <w:rPr>
                <w:rFonts w:eastAsia="Calibri"/>
                <w:color w:val="000000"/>
                <w:lang w:eastAsia="en-US"/>
              </w:rPr>
            </w:pPr>
            <w:r w:rsidRPr="002056FA">
              <w:rPr>
                <w:rFonts w:eastAsia="Calibri"/>
                <w:color w:val="000000"/>
                <w:lang w:eastAsia="en-US"/>
              </w:rPr>
              <w:t>Refer response to 35.1(a) - Energex has not applied for a review under Division 3A - Merits review and other non-judicial review – of the NEL.</w:t>
            </w:r>
          </w:p>
        </w:tc>
      </w:tr>
      <w:tr w:rsidR="00E169B4" w:rsidRPr="002056FA" w14:paraId="3C0770D1" w14:textId="77777777" w:rsidTr="00220868">
        <w:tc>
          <w:tcPr>
            <w:tcW w:w="0" w:type="auto"/>
            <w:tcBorders>
              <w:bottom w:val="single" w:sz="4" w:space="0" w:color="auto"/>
            </w:tcBorders>
            <w:shd w:val="clear" w:color="auto" w:fill="auto"/>
          </w:tcPr>
          <w:p w14:paraId="77589FA0" w14:textId="047FD660"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35.1(b)(i) </w:t>
            </w:r>
          </w:p>
        </w:tc>
        <w:tc>
          <w:tcPr>
            <w:tcW w:w="0" w:type="auto"/>
            <w:tcBorders>
              <w:bottom w:val="single" w:sz="4" w:space="0" w:color="auto"/>
            </w:tcBorders>
            <w:shd w:val="clear" w:color="auto" w:fill="auto"/>
          </w:tcPr>
          <w:p w14:paraId="1DF0C63F" w14:textId="374FC930" w:rsidR="00E169B4" w:rsidRPr="002056FA" w:rsidRDefault="00E169B4" w:rsidP="00E169B4">
            <w:pPr>
              <w:pStyle w:val="TableCopy"/>
              <w:rPr>
                <w:rFonts w:eastAsia="Calibri"/>
                <w:color w:val="000000"/>
                <w:lang w:eastAsia="en-US"/>
              </w:rPr>
            </w:pPr>
            <w:r w:rsidRPr="002056FA">
              <w:rPr>
                <w:rFonts w:eastAsia="Calibri"/>
                <w:color w:val="000000"/>
                <w:lang w:eastAsia="en-US"/>
              </w:rPr>
              <w:t xml:space="preserve">No such expenditure or cost has been incurred or is forecast to be incurred. </w:t>
            </w:r>
          </w:p>
        </w:tc>
        <w:tc>
          <w:tcPr>
            <w:tcW w:w="0" w:type="auto"/>
            <w:tcBorders>
              <w:bottom w:val="single" w:sz="4" w:space="0" w:color="auto"/>
            </w:tcBorders>
            <w:shd w:val="clear" w:color="auto" w:fill="auto"/>
          </w:tcPr>
          <w:p w14:paraId="38F221CC" w14:textId="0AE605A4" w:rsidR="00E169B4" w:rsidRPr="002056FA" w:rsidRDefault="00E169B4" w:rsidP="00E169B4">
            <w:pPr>
              <w:pStyle w:val="TableCopy"/>
              <w:rPr>
                <w:rFonts w:eastAsia="Calibri"/>
                <w:color w:val="000000"/>
                <w:lang w:eastAsia="en-US"/>
              </w:rPr>
            </w:pPr>
            <w:r w:rsidRPr="002056FA">
              <w:rPr>
                <w:rFonts w:eastAsia="Calibri"/>
                <w:color w:val="000000"/>
                <w:lang w:eastAsia="en-US"/>
              </w:rPr>
              <w:t>Refer to response 35.1(a) - Energex has not applied for a review under Division 3A - Merits review and other non-judicial review – of the NEL.</w:t>
            </w:r>
          </w:p>
        </w:tc>
      </w:tr>
      <w:tr w:rsidR="00E169B4" w:rsidRPr="002056FA" w14:paraId="1DA38127" w14:textId="77777777" w:rsidTr="00220868">
        <w:tc>
          <w:tcPr>
            <w:tcW w:w="0" w:type="auto"/>
            <w:shd w:val="clear" w:color="auto" w:fill="D0CECE" w:themeFill="background2" w:themeFillShade="E6"/>
          </w:tcPr>
          <w:p w14:paraId="3DDCB344" w14:textId="249E71C9" w:rsidR="00E169B4" w:rsidRPr="002056FA" w:rsidRDefault="00E169B4" w:rsidP="00E169B4">
            <w:pPr>
              <w:pStyle w:val="TableCopy"/>
              <w:rPr>
                <w:rFonts w:eastAsia="Calibri"/>
                <w:color w:val="000000"/>
                <w:lang w:eastAsia="en-US"/>
              </w:rPr>
            </w:pPr>
            <w:r w:rsidRPr="002056FA">
              <w:rPr>
                <w:rFonts w:eastAsia="Calibri"/>
                <w:b/>
                <w:color w:val="000000"/>
                <w:lang w:eastAsia="en-US"/>
              </w:rPr>
              <w:t>36</w:t>
            </w:r>
          </w:p>
        </w:tc>
        <w:tc>
          <w:tcPr>
            <w:tcW w:w="0" w:type="auto"/>
            <w:shd w:val="clear" w:color="auto" w:fill="D0CECE" w:themeFill="background2" w:themeFillShade="E6"/>
          </w:tcPr>
          <w:p w14:paraId="56D60E05" w14:textId="6D8003D5" w:rsidR="00E169B4" w:rsidRPr="002056FA" w:rsidRDefault="00E169B4" w:rsidP="00E169B4">
            <w:pPr>
              <w:pStyle w:val="TableCopy"/>
              <w:rPr>
                <w:rFonts w:eastAsia="Calibri"/>
                <w:color w:val="000000"/>
                <w:lang w:eastAsia="en-US"/>
              </w:rPr>
            </w:pPr>
            <w:r w:rsidRPr="002056FA">
              <w:rPr>
                <w:rFonts w:eastAsia="Calibri"/>
                <w:b/>
                <w:color w:val="000000"/>
                <w:lang w:eastAsia="en-US"/>
              </w:rPr>
              <w:t>IDENFITICATION OF CERTAIN COSTS IN ACTUAL CAPITAL AND OPERATING EXPENDITURE</w:t>
            </w:r>
          </w:p>
        </w:tc>
        <w:tc>
          <w:tcPr>
            <w:tcW w:w="0" w:type="auto"/>
            <w:shd w:val="clear" w:color="auto" w:fill="D0CECE" w:themeFill="background2" w:themeFillShade="E6"/>
          </w:tcPr>
          <w:p w14:paraId="6CE4B93E" w14:textId="77777777" w:rsidR="00E169B4" w:rsidRPr="002056FA" w:rsidRDefault="00E169B4" w:rsidP="00E169B4">
            <w:pPr>
              <w:pStyle w:val="TableCopy"/>
              <w:rPr>
                <w:rFonts w:eastAsia="Calibri"/>
                <w:color w:val="000000"/>
                <w:lang w:eastAsia="en-US"/>
              </w:rPr>
            </w:pPr>
          </w:p>
        </w:tc>
      </w:tr>
      <w:tr w:rsidR="00E169B4" w:rsidRPr="002056FA" w14:paraId="5EFE9282" w14:textId="77777777" w:rsidTr="00E169B4">
        <w:tc>
          <w:tcPr>
            <w:tcW w:w="0" w:type="auto"/>
            <w:shd w:val="clear" w:color="auto" w:fill="auto"/>
          </w:tcPr>
          <w:p w14:paraId="0D044E3D" w14:textId="67477744" w:rsidR="00E169B4" w:rsidRPr="002056FA" w:rsidRDefault="00E169B4" w:rsidP="00E169B4">
            <w:pPr>
              <w:pStyle w:val="TableCopy"/>
              <w:rPr>
                <w:rFonts w:eastAsia="Calibri"/>
                <w:b/>
                <w:color w:val="000000"/>
                <w:lang w:eastAsia="en-US"/>
              </w:rPr>
            </w:pPr>
            <w:r w:rsidRPr="002056FA">
              <w:rPr>
                <w:rFonts w:eastAsia="Calibri"/>
                <w:color w:val="000000"/>
                <w:lang w:eastAsia="en-US"/>
              </w:rPr>
              <w:t>36.1</w:t>
            </w:r>
          </w:p>
        </w:tc>
        <w:tc>
          <w:tcPr>
            <w:tcW w:w="0" w:type="auto"/>
            <w:shd w:val="clear" w:color="auto" w:fill="auto"/>
          </w:tcPr>
          <w:p w14:paraId="793A3367" w14:textId="3BB75713" w:rsidR="00E169B4" w:rsidRPr="002056FA" w:rsidRDefault="00E169B4" w:rsidP="00E169B4">
            <w:pPr>
              <w:pStyle w:val="TableCopy"/>
              <w:rPr>
                <w:rFonts w:eastAsia="Calibri"/>
                <w:b/>
                <w:color w:val="000000"/>
                <w:lang w:eastAsia="en-US"/>
              </w:rPr>
            </w:pPr>
            <w:r w:rsidRPr="002056FA">
              <w:rPr>
                <w:rFonts w:eastAsia="Calibri"/>
                <w:color w:val="000000"/>
                <w:lang w:eastAsia="en-US"/>
              </w:rPr>
              <w:t>For any actual capex or opex reported in response to this notice, identify any part of that expenditure which can be attributed to any expenditure or cost that Energex has incurred as a result of, or incidental to, a review under Division 3A – Merits review and other non-judicial review – of the NEL.</w:t>
            </w:r>
          </w:p>
        </w:tc>
        <w:tc>
          <w:tcPr>
            <w:tcW w:w="0" w:type="auto"/>
            <w:shd w:val="clear" w:color="auto" w:fill="auto"/>
          </w:tcPr>
          <w:p w14:paraId="48D2EDEE" w14:textId="039458E9" w:rsidR="00E169B4" w:rsidRPr="002056FA" w:rsidRDefault="00E169B4" w:rsidP="00E169B4">
            <w:pPr>
              <w:pStyle w:val="TableCopy"/>
              <w:rPr>
                <w:rFonts w:eastAsia="Calibri"/>
                <w:color w:val="000000"/>
                <w:lang w:eastAsia="en-US"/>
              </w:rPr>
            </w:pPr>
            <w:r w:rsidRPr="002056FA">
              <w:rPr>
                <w:rFonts w:eastAsia="Calibri"/>
                <w:color w:val="000000"/>
                <w:lang w:eastAsia="en-US"/>
              </w:rPr>
              <w:t>Refer to response 35.1(a) - Energex has not applied for a review under Division 3A - Merits review and other non-judicial review – of the NEL and accordingly there is no associated capex or opex reported in response to this notice to be identified.</w:t>
            </w:r>
          </w:p>
        </w:tc>
      </w:tr>
    </w:tbl>
    <w:p w14:paraId="30BBB89A" w14:textId="77777777" w:rsidR="006A3B29" w:rsidRPr="004A21E8" w:rsidRDefault="006A3B29" w:rsidP="003F1A8C">
      <w:pPr>
        <w:pStyle w:val="Heading2"/>
        <w:numPr>
          <w:ilvl w:val="0"/>
          <w:numId w:val="0"/>
        </w:numPr>
        <w:ind w:left="851" w:hanging="851"/>
        <w:rPr>
          <w:rFonts w:eastAsia="Calibri"/>
        </w:rPr>
      </w:pPr>
      <w:r w:rsidRPr="004A21E8">
        <w:rPr>
          <w:rFonts w:eastAsia="Calibri"/>
        </w:rPr>
        <w:br w:type="page"/>
      </w:r>
      <w:r w:rsidR="000E0F78" w:rsidRPr="004A21E8">
        <w:rPr>
          <w:rFonts w:eastAsia="Calibri"/>
        </w:rPr>
        <w:t>Response to Section 16, Clause 16.2</w:t>
      </w:r>
      <w:r w:rsidRPr="004A21E8">
        <w:rPr>
          <w:rFonts w:eastAsia="Calibri"/>
        </w:rPr>
        <w:t xml:space="preserve"> </w:t>
      </w:r>
    </w:p>
    <w:p w14:paraId="2CA5B0CE" w14:textId="77777777" w:rsidR="000E0F78" w:rsidRPr="006A3B29" w:rsidRDefault="003F1A8C" w:rsidP="003F1A8C">
      <w:pPr>
        <w:pStyle w:val="ListLetter"/>
        <w:numPr>
          <w:ilvl w:val="0"/>
          <w:numId w:val="0"/>
        </w:numPr>
        <w:rPr>
          <w:b/>
          <w:sz w:val="24"/>
          <w:szCs w:val="24"/>
        </w:rPr>
      </w:pPr>
      <w:r>
        <w:rPr>
          <w:b/>
          <w:sz w:val="24"/>
          <w:szCs w:val="24"/>
        </w:rPr>
        <w:t xml:space="preserve">Table 2: </w:t>
      </w:r>
      <w:r w:rsidR="006A3B29" w:rsidRPr="006A3B29">
        <w:rPr>
          <w:b/>
          <w:sz w:val="24"/>
          <w:szCs w:val="24"/>
        </w:rPr>
        <w:t>Public lighting ACS - Unit costs for current regulatory period and forecast regulatory peri</w:t>
      </w:r>
      <w:r>
        <w:rPr>
          <w:b/>
          <w:sz w:val="24"/>
          <w:szCs w:val="24"/>
        </w:rPr>
        <w:t xml:space="preserve">od </w:t>
      </w:r>
      <w:r w:rsidR="00D325B8">
        <w:rPr>
          <w:b/>
          <w:sz w:val="24"/>
          <w:szCs w:val="24"/>
        </w:rPr>
        <w:t>($2018</w:t>
      </w:r>
      <w:r w:rsidR="00543B14">
        <w:rPr>
          <w:b/>
          <w:sz w:val="24"/>
          <w:szCs w:val="24"/>
        </w:rPr>
        <w:t>-</w:t>
      </w:r>
      <w:r w:rsidR="00D325B8">
        <w:rPr>
          <w:b/>
          <w:sz w:val="24"/>
          <w:szCs w:val="24"/>
        </w:rPr>
        <w:t>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2"/>
        <w:gridCol w:w="1060"/>
        <w:gridCol w:w="1060"/>
        <w:gridCol w:w="1060"/>
        <w:gridCol w:w="1060"/>
        <w:gridCol w:w="1060"/>
        <w:gridCol w:w="1060"/>
        <w:gridCol w:w="1060"/>
        <w:gridCol w:w="1060"/>
        <w:gridCol w:w="1060"/>
        <w:gridCol w:w="1060"/>
      </w:tblGrid>
      <w:tr w:rsidR="006A3B29" w:rsidRPr="004A21E8" w14:paraId="67ADC73E" w14:textId="77777777" w:rsidTr="004A21E8">
        <w:trPr>
          <w:trHeight w:val="300"/>
        </w:trPr>
        <w:tc>
          <w:tcPr>
            <w:tcW w:w="4142" w:type="dxa"/>
            <w:shd w:val="clear" w:color="auto" w:fill="auto"/>
            <w:noWrap/>
            <w:hideMark/>
          </w:tcPr>
          <w:p w14:paraId="6B7CA5E6" w14:textId="77777777" w:rsidR="006A3B29" w:rsidRPr="004A21E8" w:rsidRDefault="006A3B29" w:rsidP="004A21E8">
            <w:pPr>
              <w:pStyle w:val="BodyText"/>
              <w:rPr>
                <w:rFonts w:eastAsia="Calibri"/>
                <w:sz w:val="18"/>
                <w:szCs w:val="18"/>
              </w:rPr>
            </w:pPr>
          </w:p>
        </w:tc>
        <w:tc>
          <w:tcPr>
            <w:tcW w:w="1060" w:type="dxa"/>
            <w:shd w:val="clear" w:color="auto" w:fill="auto"/>
            <w:noWrap/>
            <w:hideMark/>
          </w:tcPr>
          <w:p w14:paraId="27F56B4E" w14:textId="77777777" w:rsidR="006A3B29" w:rsidRPr="004A21E8" w:rsidRDefault="006A3B29" w:rsidP="00543B14">
            <w:pPr>
              <w:pStyle w:val="BodyText"/>
              <w:rPr>
                <w:rFonts w:eastAsia="Calibri"/>
                <w:b/>
                <w:bCs/>
                <w:sz w:val="18"/>
                <w:szCs w:val="18"/>
              </w:rPr>
            </w:pPr>
            <w:r w:rsidRPr="004A21E8">
              <w:rPr>
                <w:rFonts w:eastAsia="Calibri"/>
                <w:b/>
                <w:bCs/>
                <w:sz w:val="18"/>
                <w:szCs w:val="18"/>
              </w:rPr>
              <w:t>2015</w:t>
            </w:r>
            <w:r w:rsidR="00543B14">
              <w:rPr>
                <w:rFonts w:eastAsia="Calibri"/>
                <w:b/>
                <w:bCs/>
                <w:sz w:val="18"/>
                <w:szCs w:val="18"/>
              </w:rPr>
              <w:t>-</w:t>
            </w:r>
            <w:r w:rsidRPr="004A21E8">
              <w:rPr>
                <w:rFonts w:eastAsia="Calibri"/>
                <w:b/>
                <w:bCs/>
                <w:sz w:val="18"/>
                <w:szCs w:val="18"/>
              </w:rPr>
              <w:t>16</w:t>
            </w:r>
          </w:p>
        </w:tc>
        <w:tc>
          <w:tcPr>
            <w:tcW w:w="1060" w:type="dxa"/>
            <w:shd w:val="clear" w:color="auto" w:fill="auto"/>
            <w:noWrap/>
            <w:hideMark/>
          </w:tcPr>
          <w:p w14:paraId="0D2267D4" w14:textId="77777777" w:rsidR="006A3B29" w:rsidRPr="004A21E8" w:rsidRDefault="006A3B29" w:rsidP="00543B14">
            <w:pPr>
              <w:pStyle w:val="BodyText"/>
              <w:rPr>
                <w:rFonts w:eastAsia="Calibri"/>
                <w:b/>
                <w:bCs/>
                <w:sz w:val="18"/>
                <w:szCs w:val="18"/>
              </w:rPr>
            </w:pPr>
            <w:r w:rsidRPr="004A21E8">
              <w:rPr>
                <w:rFonts w:eastAsia="Calibri"/>
                <w:b/>
                <w:bCs/>
                <w:sz w:val="18"/>
                <w:szCs w:val="18"/>
              </w:rPr>
              <w:t>2016</w:t>
            </w:r>
            <w:r w:rsidR="00543B14">
              <w:rPr>
                <w:rFonts w:eastAsia="Calibri"/>
                <w:b/>
                <w:bCs/>
                <w:sz w:val="18"/>
                <w:szCs w:val="18"/>
              </w:rPr>
              <w:t>-</w:t>
            </w:r>
            <w:r w:rsidRPr="004A21E8">
              <w:rPr>
                <w:rFonts w:eastAsia="Calibri"/>
                <w:b/>
                <w:bCs/>
                <w:sz w:val="18"/>
                <w:szCs w:val="18"/>
              </w:rPr>
              <w:t>17</w:t>
            </w:r>
          </w:p>
        </w:tc>
        <w:tc>
          <w:tcPr>
            <w:tcW w:w="1060" w:type="dxa"/>
            <w:shd w:val="clear" w:color="auto" w:fill="auto"/>
            <w:noWrap/>
            <w:hideMark/>
          </w:tcPr>
          <w:p w14:paraId="7BF5F758" w14:textId="77777777" w:rsidR="006A3B29" w:rsidRPr="004A21E8" w:rsidRDefault="006A3B29" w:rsidP="00543B14">
            <w:pPr>
              <w:pStyle w:val="BodyText"/>
              <w:rPr>
                <w:rFonts w:eastAsia="Calibri"/>
                <w:b/>
                <w:bCs/>
                <w:sz w:val="18"/>
                <w:szCs w:val="18"/>
              </w:rPr>
            </w:pPr>
            <w:r w:rsidRPr="004A21E8">
              <w:rPr>
                <w:rFonts w:eastAsia="Calibri"/>
                <w:b/>
                <w:bCs/>
                <w:sz w:val="18"/>
                <w:szCs w:val="18"/>
              </w:rPr>
              <w:t>2017</w:t>
            </w:r>
            <w:r w:rsidR="00543B14">
              <w:rPr>
                <w:rFonts w:eastAsia="Calibri"/>
                <w:b/>
                <w:bCs/>
                <w:sz w:val="18"/>
                <w:szCs w:val="18"/>
              </w:rPr>
              <w:t>-</w:t>
            </w:r>
            <w:r w:rsidRPr="004A21E8">
              <w:rPr>
                <w:rFonts w:eastAsia="Calibri"/>
                <w:b/>
                <w:bCs/>
                <w:sz w:val="18"/>
                <w:szCs w:val="18"/>
              </w:rPr>
              <w:t>18</w:t>
            </w:r>
          </w:p>
        </w:tc>
        <w:tc>
          <w:tcPr>
            <w:tcW w:w="1060" w:type="dxa"/>
            <w:shd w:val="clear" w:color="auto" w:fill="auto"/>
            <w:noWrap/>
            <w:hideMark/>
          </w:tcPr>
          <w:p w14:paraId="261EE82D" w14:textId="77777777" w:rsidR="006A3B29" w:rsidRPr="004A21E8" w:rsidRDefault="006A3B29" w:rsidP="00543B14">
            <w:pPr>
              <w:pStyle w:val="BodyText"/>
              <w:rPr>
                <w:rFonts w:eastAsia="Calibri"/>
                <w:b/>
                <w:bCs/>
                <w:sz w:val="18"/>
                <w:szCs w:val="18"/>
              </w:rPr>
            </w:pPr>
            <w:r w:rsidRPr="004A21E8">
              <w:rPr>
                <w:rFonts w:eastAsia="Calibri"/>
                <w:b/>
                <w:bCs/>
                <w:sz w:val="18"/>
                <w:szCs w:val="18"/>
              </w:rPr>
              <w:t>2018</w:t>
            </w:r>
            <w:r w:rsidR="00543B14">
              <w:rPr>
                <w:rFonts w:eastAsia="Calibri"/>
                <w:b/>
                <w:bCs/>
                <w:sz w:val="18"/>
                <w:szCs w:val="18"/>
              </w:rPr>
              <w:t>-</w:t>
            </w:r>
            <w:r w:rsidRPr="004A21E8">
              <w:rPr>
                <w:rFonts w:eastAsia="Calibri"/>
                <w:b/>
                <w:bCs/>
                <w:sz w:val="18"/>
                <w:szCs w:val="18"/>
              </w:rPr>
              <w:t>19</w:t>
            </w:r>
          </w:p>
        </w:tc>
        <w:tc>
          <w:tcPr>
            <w:tcW w:w="1060" w:type="dxa"/>
            <w:shd w:val="clear" w:color="auto" w:fill="auto"/>
            <w:noWrap/>
            <w:hideMark/>
          </w:tcPr>
          <w:p w14:paraId="0ABDCDE8" w14:textId="77777777" w:rsidR="006A3B29" w:rsidRPr="004A21E8" w:rsidRDefault="006A3B29" w:rsidP="00543B14">
            <w:pPr>
              <w:pStyle w:val="BodyText"/>
              <w:rPr>
                <w:rFonts w:eastAsia="Calibri"/>
                <w:b/>
                <w:bCs/>
                <w:sz w:val="18"/>
                <w:szCs w:val="18"/>
              </w:rPr>
            </w:pPr>
            <w:r w:rsidRPr="004A21E8">
              <w:rPr>
                <w:rFonts w:eastAsia="Calibri"/>
                <w:b/>
                <w:bCs/>
                <w:sz w:val="18"/>
                <w:szCs w:val="18"/>
              </w:rPr>
              <w:t>2019</w:t>
            </w:r>
            <w:r w:rsidR="00543B14">
              <w:rPr>
                <w:rFonts w:eastAsia="Calibri"/>
                <w:b/>
                <w:bCs/>
                <w:sz w:val="18"/>
                <w:szCs w:val="18"/>
              </w:rPr>
              <w:t>-</w:t>
            </w:r>
            <w:r w:rsidRPr="004A21E8">
              <w:rPr>
                <w:rFonts w:eastAsia="Calibri"/>
                <w:b/>
                <w:bCs/>
                <w:sz w:val="18"/>
                <w:szCs w:val="18"/>
              </w:rPr>
              <w:t>20</w:t>
            </w:r>
          </w:p>
        </w:tc>
        <w:tc>
          <w:tcPr>
            <w:tcW w:w="1060" w:type="dxa"/>
            <w:shd w:val="clear" w:color="auto" w:fill="auto"/>
            <w:noWrap/>
            <w:hideMark/>
          </w:tcPr>
          <w:p w14:paraId="2E9102AB" w14:textId="77777777" w:rsidR="006A3B29" w:rsidRPr="004A21E8" w:rsidRDefault="006A3B29" w:rsidP="00543B14">
            <w:pPr>
              <w:pStyle w:val="BodyText"/>
              <w:rPr>
                <w:rFonts w:eastAsia="Calibri"/>
                <w:b/>
                <w:bCs/>
                <w:sz w:val="18"/>
                <w:szCs w:val="18"/>
              </w:rPr>
            </w:pPr>
            <w:r w:rsidRPr="004A21E8">
              <w:rPr>
                <w:rFonts w:eastAsia="Calibri"/>
                <w:b/>
                <w:bCs/>
                <w:sz w:val="18"/>
                <w:szCs w:val="18"/>
              </w:rPr>
              <w:t>2020</w:t>
            </w:r>
            <w:r w:rsidR="00543B14">
              <w:rPr>
                <w:rFonts w:eastAsia="Calibri"/>
                <w:b/>
                <w:bCs/>
                <w:sz w:val="18"/>
                <w:szCs w:val="18"/>
              </w:rPr>
              <w:t>-</w:t>
            </w:r>
            <w:r w:rsidRPr="004A21E8">
              <w:rPr>
                <w:rFonts w:eastAsia="Calibri"/>
                <w:b/>
                <w:bCs/>
                <w:sz w:val="18"/>
                <w:szCs w:val="18"/>
              </w:rPr>
              <w:t>21</w:t>
            </w:r>
          </w:p>
        </w:tc>
        <w:tc>
          <w:tcPr>
            <w:tcW w:w="1060" w:type="dxa"/>
            <w:shd w:val="clear" w:color="auto" w:fill="auto"/>
            <w:noWrap/>
            <w:hideMark/>
          </w:tcPr>
          <w:p w14:paraId="0C20153E" w14:textId="77777777" w:rsidR="006A3B29" w:rsidRPr="004A21E8" w:rsidRDefault="006A3B29" w:rsidP="00543B14">
            <w:pPr>
              <w:pStyle w:val="BodyText"/>
              <w:rPr>
                <w:rFonts w:eastAsia="Calibri"/>
                <w:b/>
                <w:bCs/>
                <w:sz w:val="18"/>
                <w:szCs w:val="18"/>
              </w:rPr>
            </w:pPr>
            <w:r w:rsidRPr="004A21E8">
              <w:rPr>
                <w:rFonts w:eastAsia="Calibri"/>
                <w:b/>
                <w:bCs/>
                <w:sz w:val="18"/>
                <w:szCs w:val="18"/>
              </w:rPr>
              <w:t>2021</w:t>
            </w:r>
            <w:r w:rsidR="00543B14">
              <w:rPr>
                <w:rFonts w:eastAsia="Calibri"/>
                <w:b/>
                <w:bCs/>
                <w:sz w:val="18"/>
                <w:szCs w:val="18"/>
              </w:rPr>
              <w:t>-</w:t>
            </w:r>
            <w:r w:rsidRPr="004A21E8">
              <w:rPr>
                <w:rFonts w:eastAsia="Calibri"/>
                <w:b/>
                <w:bCs/>
                <w:sz w:val="18"/>
                <w:szCs w:val="18"/>
              </w:rPr>
              <w:t>22</w:t>
            </w:r>
          </w:p>
        </w:tc>
        <w:tc>
          <w:tcPr>
            <w:tcW w:w="1060" w:type="dxa"/>
            <w:shd w:val="clear" w:color="auto" w:fill="auto"/>
            <w:noWrap/>
            <w:hideMark/>
          </w:tcPr>
          <w:p w14:paraId="45DBAB10" w14:textId="77777777" w:rsidR="006A3B29" w:rsidRPr="004A21E8" w:rsidRDefault="006A3B29" w:rsidP="00543B14">
            <w:pPr>
              <w:pStyle w:val="BodyText"/>
              <w:rPr>
                <w:rFonts w:eastAsia="Calibri"/>
                <w:b/>
                <w:bCs/>
                <w:sz w:val="18"/>
                <w:szCs w:val="18"/>
              </w:rPr>
            </w:pPr>
            <w:r w:rsidRPr="004A21E8">
              <w:rPr>
                <w:rFonts w:eastAsia="Calibri"/>
                <w:b/>
                <w:bCs/>
                <w:sz w:val="18"/>
                <w:szCs w:val="18"/>
              </w:rPr>
              <w:t>2022</w:t>
            </w:r>
            <w:r w:rsidR="00543B14">
              <w:rPr>
                <w:rFonts w:eastAsia="Calibri"/>
                <w:b/>
                <w:bCs/>
                <w:sz w:val="18"/>
                <w:szCs w:val="18"/>
              </w:rPr>
              <w:t>-</w:t>
            </w:r>
            <w:r w:rsidRPr="004A21E8">
              <w:rPr>
                <w:rFonts w:eastAsia="Calibri"/>
                <w:b/>
                <w:bCs/>
                <w:sz w:val="18"/>
                <w:szCs w:val="18"/>
              </w:rPr>
              <w:t>23</w:t>
            </w:r>
          </w:p>
        </w:tc>
        <w:tc>
          <w:tcPr>
            <w:tcW w:w="1060" w:type="dxa"/>
            <w:shd w:val="clear" w:color="auto" w:fill="auto"/>
            <w:noWrap/>
            <w:hideMark/>
          </w:tcPr>
          <w:p w14:paraId="173E5FDA" w14:textId="77777777" w:rsidR="006A3B29" w:rsidRPr="004A21E8" w:rsidRDefault="006A3B29" w:rsidP="00543B14">
            <w:pPr>
              <w:pStyle w:val="BodyText"/>
              <w:rPr>
                <w:rFonts w:eastAsia="Calibri"/>
                <w:b/>
                <w:bCs/>
                <w:sz w:val="18"/>
                <w:szCs w:val="18"/>
              </w:rPr>
            </w:pPr>
            <w:r w:rsidRPr="004A21E8">
              <w:rPr>
                <w:rFonts w:eastAsia="Calibri"/>
                <w:b/>
                <w:bCs/>
                <w:sz w:val="18"/>
                <w:szCs w:val="18"/>
              </w:rPr>
              <w:t>2023</w:t>
            </w:r>
            <w:r w:rsidR="00543B14">
              <w:rPr>
                <w:rFonts w:eastAsia="Calibri"/>
                <w:b/>
                <w:bCs/>
                <w:sz w:val="18"/>
                <w:szCs w:val="18"/>
              </w:rPr>
              <w:t>-</w:t>
            </w:r>
            <w:r w:rsidRPr="004A21E8">
              <w:rPr>
                <w:rFonts w:eastAsia="Calibri"/>
                <w:b/>
                <w:bCs/>
                <w:sz w:val="18"/>
                <w:szCs w:val="18"/>
              </w:rPr>
              <w:t>24</w:t>
            </w:r>
          </w:p>
        </w:tc>
        <w:tc>
          <w:tcPr>
            <w:tcW w:w="1060" w:type="dxa"/>
            <w:shd w:val="clear" w:color="auto" w:fill="auto"/>
            <w:noWrap/>
            <w:hideMark/>
          </w:tcPr>
          <w:p w14:paraId="4EEFFC45" w14:textId="77777777" w:rsidR="006A3B29" w:rsidRPr="004A21E8" w:rsidRDefault="006A3B29" w:rsidP="00543B14">
            <w:pPr>
              <w:pStyle w:val="BodyText"/>
              <w:rPr>
                <w:rFonts w:eastAsia="Calibri"/>
                <w:b/>
                <w:bCs/>
                <w:sz w:val="18"/>
                <w:szCs w:val="18"/>
              </w:rPr>
            </w:pPr>
            <w:r w:rsidRPr="004A21E8">
              <w:rPr>
                <w:rFonts w:eastAsia="Calibri"/>
                <w:b/>
                <w:bCs/>
                <w:sz w:val="18"/>
                <w:szCs w:val="18"/>
              </w:rPr>
              <w:t>2024</w:t>
            </w:r>
            <w:r w:rsidR="00543B14">
              <w:rPr>
                <w:rFonts w:eastAsia="Calibri"/>
                <w:b/>
                <w:bCs/>
                <w:sz w:val="18"/>
                <w:szCs w:val="18"/>
              </w:rPr>
              <w:t>-</w:t>
            </w:r>
            <w:r w:rsidRPr="004A21E8">
              <w:rPr>
                <w:rFonts w:eastAsia="Calibri"/>
                <w:b/>
                <w:bCs/>
                <w:sz w:val="18"/>
                <w:szCs w:val="18"/>
              </w:rPr>
              <w:t>25</w:t>
            </w:r>
          </w:p>
        </w:tc>
      </w:tr>
      <w:tr w:rsidR="006A3B29" w:rsidRPr="004A21E8" w14:paraId="2E6A8AF5" w14:textId="77777777" w:rsidTr="004A21E8">
        <w:trPr>
          <w:trHeight w:val="300"/>
        </w:trPr>
        <w:tc>
          <w:tcPr>
            <w:tcW w:w="4142" w:type="dxa"/>
            <w:shd w:val="clear" w:color="auto" w:fill="auto"/>
            <w:noWrap/>
            <w:hideMark/>
          </w:tcPr>
          <w:p w14:paraId="10C1901C" w14:textId="77777777" w:rsidR="006A3B29" w:rsidRPr="004A21E8" w:rsidRDefault="006A3B29" w:rsidP="004A21E8">
            <w:pPr>
              <w:pStyle w:val="BodyText"/>
              <w:rPr>
                <w:rFonts w:eastAsia="Calibri"/>
                <w:b/>
                <w:bCs/>
                <w:sz w:val="18"/>
                <w:szCs w:val="18"/>
              </w:rPr>
            </w:pPr>
            <w:r w:rsidRPr="004A21E8">
              <w:rPr>
                <w:rFonts w:eastAsia="Calibri"/>
                <w:b/>
                <w:bCs/>
                <w:sz w:val="18"/>
                <w:szCs w:val="18"/>
              </w:rPr>
              <w:t>Public Lighting Brackets;Major Road</w:t>
            </w:r>
          </w:p>
        </w:tc>
        <w:tc>
          <w:tcPr>
            <w:tcW w:w="1060" w:type="dxa"/>
            <w:shd w:val="clear" w:color="auto" w:fill="auto"/>
            <w:noWrap/>
            <w:hideMark/>
          </w:tcPr>
          <w:p w14:paraId="6CC23BF0" w14:textId="77777777" w:rsidR="006A3B29" w:rsidRPr="004A21E8" w:rsidRDefault="006A3B29" w:rsidP="004A21E8">
            <w:pPr>
              <w:pStyle w:val="BodyText"/>
              <w:rPr>
                <w:rFonts w:eastAsia="Calibri"/>
                <w:sz w:val="18"/>
                <w:szCs w:val="18"/>
              </w:rPr>
            </w:pPr>
            <w:r w:rsidRPr="004A21E8">
              <w:rPr>
                <w:rFonts w:eastAsia="Calibri"/>
                <w:sz w:val="18"/>
                <w:szCs w:val="18"/>
              </w:rPr>
              <w:t>$261.59</w:t>
            </w:r>
          </w:p>
        </w:tc>
        <w:tc>
          <w:tcPr>
            <w:tcW w:w="1060" w:type="dxa"/>
            <w:shd w:val="clear" w:color="auto" w:fill="auto"/>
            <w:noWrap/>
            <w:hideMark/>
          </w:tcPr>
          <w:p w14:paraId="7282681C" w14:textId="77777777" w:rsidR="006A3B29" w:rsidRPr="004A21E8" w:rsidRDefault="006A3B29" w:rsidP="004A21E8">
            <w:pPr>
              <w:pStyle w:val="BodyText"/>
              <w:rPr>
                <w:rFonts w:eastAsia="Calibri"/>
                <w:sz w:val="18"/>
                <w:szCs w:val="18"/>
              </w:rPr>
            </w:pPr>
            <w:r w:rsidRPr="004A21E8">
              <w:rPr>
                <w:rFonts w:eastAsia="Calibri"/>
                <w:sz w:val="18"/>
                <w:szCs w:val="18"/>
              </w:rPr>
              <w:t>$265.45</w:t>
            </w:r>
          </w:p>
        </w:tc>
        <w:tc>
          <w:tcPr>
            <w:tcW w:w="1060" w:type="dxa"/>
            <w:shd w:val="clear" w:color="auto" w:fill="auto"/>
            <w:noWrap/>
            <w:hideMark/>
          </w:tcPr>
          <w:p w14:paraId="0FE0F92E" w14:textId="77777777" w:rsidR="006A3B29" w:rsidRPr="004A21E8" w:rsidRDefault="006A3B29" w:rsidP="004A21E8">
            <w:pPr>
              <w:pStyle w:val="BodyText"/>
              <w:rPr>
                <w:rFonts w:eastAsia="Calibri"/>
                <w:sz w:val="18"/>
                <w:szCs w:val="18"/>
              </w:rPr>
            </w:pPr>
            <w:r w:rsidRPr="004A21E8">
              <w:rPr>
                <w:rFonts w:eastAsia="Calibri"/>
                <w:sz w:val="18"/>
                <w:szCs w:val="18"/>
              </w:rPr>
              <w:t>$270.52</w:t>
            </w:r>
          </w:p>
        </w:tc>
        <w:tc>
          <w:tcPr>
            <w:tcW w:w="1060" w:type="dxa"/>
            <w:shd w:val="clear" w:color="auto" w:fill="auto"/>
            <w:noWrap/>
            <w:hideMark/>
          </w:tcPr>
          <w:p w14:paraId="44C408B1" w14:textId="77777777" w:rsidR="006A3B29" w:rsidRPr="004A21E8" w:rsidRDefault="006A3B29" w:rsidP="004A21E8">
            <w:pPr>
              <w:pStyle w:val="BodyText"/>
              <w:rPr>
                <w:rFonts w:eastAsia="Calibri"/>
                <w:sz w:val="18"/>
                <w:szCs w:val="18"/>
              </w:rPr>
            </w:pPr>
            <w:r w:rsidRPr="004A21E8">
              <w:rPr>
                <w:rFonts w:eastAsia="Calibri"/>
                <w:sz w:val="18"/>
                <w:szCs w:val="18"/>
              </w:rPr>
              <w:t>$275.25</w:t>
            </w:r>
          </w:p>
        </w:tc>
        <w:tc>
          <w:tcPr>
            <w:tcW w:w="1060" w:type="dxa"/>
            <w:shd w:val="clear" w:color="auto" w:fill="auto"/>
            <w:noWrap/>
            <w:hideMark/>
          </w:tcPr>
          <w:p w14:paraId="2F8E43DF" w14:textId="77777777" w:rsidR="006A3B29" w:rsidRPr="004A21E8" w:rsidRDefault="006A3B29" w:rsidP="004A21E8">
            <w:pPr>
              <w:pStyle w:val="BodyText"/>
              <w:rPr>
                <w:rFonts w:eastAsia="Calibri"/>
                <w:sz w:val="18"/>
                <w:szCs w:val="18"/>
              </w:rPr>
            </w:pPr>
            <w:r w:rsidRPr="004A21E8">
              <w:rPr>
                <w:rFonts w:eastAsia="Calibri"/>
                <w:sz w:val="18"/>
                <w:szCs w:val="18"/>
              </w:rPr>
              <w:t>$281.44</w:t>
            </w:r>
          </w:p>
        </w:tc>
        <w:tc>
          <w:tcPr>
            <w:tcW w:w="1060" w:type="dxa"/>
            <w:shd w:val="clear" w:color="auto" w:fill="auto"/>
            <w:noWrap/>
            <w:hideMark/>
          </w:tcPr>
          <w:p w14:paraId="7FCE861E" w14:textId="77777777" w:rsidR="006A3B29" w:rsidRPr="004A21E8" w:rsidRDefault="006A3B29" w:rsidP="004A21E8">
            <w:pPr>
              <w:pStyle w:val="BodyText"/>
              <w:rPr>
                <w:rFonts w:eastAsia="Calibri"/>
                <w:sz w:val="18"/>
                <w:szCs w:val="18"/>
              </w:rPr>
            </w:pPr>
            <w:r w:rsidRPr="004A21E8">
              <w:rPr>
                <w:rFonts w:eastAsia="Calibri"/>
                <w:sz w:val="18"/>
                <w:szCs w:val="18"/>
              </w:rPr>
              <w:t>$287.78</w:t>
            </w:r>
          </w:p>
        </w:tc>
        <w:tc>
          <w:tcPr>
            <w:tcW w:w="1060" w:type="dxa"/>
            <w:shd w:val="clear" w:color="auto" w:fill="auto"/>
            <w:noWrap/>
            <w:hideMark/>
          </w:tcPr>
          <w:p w14:paraId="30FC315F" w14:textId="77777777" w:rsidR="006A3B29" w:rsidRPr="004A21E8" w:rsidRDefault="006A3B29" w:rsidP="004A21E8">
            <w:pPr>
              <w:pStyle w:val="BodyText"/>
              <w:rPr>
                <w:rFonts w:eastAsia="Calibri"/>
                <w:sz w:val="18"/>
                <w:szCs w:val="18"/>
              </w:rPr>
            </w:pPr>
            <w:r w:rsidRPr="004A21E8">
              <w:rPr>
                <w:rFonts w:eastAsia="Calibri"/>
                <w:sz w:val="18"/>
                <w:szCs w:val="18"/>
              </w:rPr>
              <w:t>$287.78</w:t>
            </w:r>
          </w:p>
        </w:tc>
        <w:tc>
          <w:tcPr>
            <w:tcW w:w="1060" w:type="dxa"/>
            <w:shd w:val="clear" w:color="auto" w:fill="auto"/>
            <w:noWrap/>
            <w:hideMark/>
          </w:tcPr>
          <w:p w14:paraId="55FEE8BF" w14:textId="77777777" w:rsidR="006A3B29" w:rsidRPr="004A21E8" w:rsidRDefault="006A3B29" w:rsidP="004A21E8">
            <w:pPr>
              <w:pStyle w:val="BodyText"/>
              <w:rPr>
                <w:rFonts w:eastAsia="Calibri"/>
                <w:sz w:val="18"/>
                <w:szCs w:val="18"/>
              </w:rPr>
            </w:pPr>
            <w:r w:rsidRPr="004A21E8">
              <w:rPr>
                <w:rFonts w:eastAsia="Calibri"/>
                <w:sz w:val="18"/>
                <w:szCs w:val="18"/>
              </w:rPr>
              <w:t>$294.74</w:t>
            </w:r>
          </w:p>
        </w:tc>
        <w:tc>
          <w:tcPr>
            <w:tcW w:w="1060" w:type="dxa"/>
            <w:shd w:val="clear" w:color="auto" w:fill="auto"/>
            <w:noWrap/>
            <w:hideMark/>
          </w:tcPr>
          <w:p w14:paraId="2F33BC0F" w14:textId="77777777" w:rsidR="006A3B29" w:rsidRPr="004A21E8" w:rsidRDefault="006A3B29" w:rsidP="004A21E8">
            <w:pPr>
              <w:pStyle w:val="BodyText"/>
              <w:rPr>
                <w:rFonts w:eastAsia="Calibri"/>
                <w:sz w:val="18"/>
                <w:szCs w:val="18"/>
              </w:rPr>
            </w:pPr>
            <w:r w:rsidRPr="004A21E8">
              <w:rPr>
                <w:rFonts w:eastAsia="Calibri"/>
                <w:sz w:val="18"/>
                <w:szCs w:val="18"/>
              </w:rPr>
              <w:t>$301.87</w:t>
            </w:r>
          </w:p>
        </w:tc>
        <w:tc>
          <w:tcPr>
            <w:tcW w:w="1060" w:type="dxa"/>
            <w:shd w:val="clear" w:color="auto" w:fill="auto"/>
            <w:noWrap/>
            <w:hideMark/>
          </w:tcPr>
          <w:p w14:paraId="6EC248AA" w14:textId="77777777" w:rsidR="006A3B29" w:rsidRPr="004A21E8" w:rsidRDefault="006A3B29" w:rsidP="004A21E8">
            <w:pPr>
              <w:pStyle w:val="BodyText"/>
              <w:rPr>
                <w:rFonts w:eastAsia="Calibri"/>
                <w:sz w:val="18"/>
                <w:szCs w:val="18"/>
              </w:rPr>
            </w:pPr>
            <w:r w:rsidRPr="004A21E8">
              <w:rPr>
                <w:rFonts w:eastAsia="Calibri"/>
                <w:sz w:val="18"/>
                <w:szCs w:val="18"/>
              </w:rPr>
              <w:t>$309.18</w:t>
            </w:r>
          </w:p>
        </w:tc>
      </w:tr>
      <w:tr w:rsidR="006A3B29" w:rsidRPr="004A21E8" w14:paraId="4D8B6E44" w14:textId="77777777" w:rsidTr="004A21E8">
        <w:trPr>
          <w:trHeight w:val="300"/>
        </w:trPr>
        <w:tc>
          <w:tcPr>
            <w:tcW w:w="4142" w:type="dxa"/>
            <w:shd w:val="clear" w:color="auto" w:fill="auto"/>
            <w:noWrap/>
            <w:hideMark/>
          </w:tcPr>
          <w:p w14:paraId="4861B3BE" w14:textId="77777777" w:rsidR="006A3B29" w:rsidRPr="004A21E8" w:rsidRDefault="006A3B29" w:rsidP="004A21E8">
            <w:pPr>
              <w:pStyle w:val="BodyText"/>
              <w:rPr>
                <w:rFonts w:eastAsia="Calibri"/>
                <w:b/>
                <w:bCs/>
                <w:sz w:val="18"/>
                <w:szCs w:val="18"/>
              </w:rPr>
            </w:pPr>
            <w:r w:rsidRPr="004A21E8">
              <w:rPr>
                <w:rFonts w:eastAsia="Calibri"/>
                <w:b/>
                <w:bCs/>
                <w:sz w:val="18"/>
                <w:szCs w:val="18"/>
              </w:rPr>
              <w:t>Public Lighting Brackets;Minor Road</w:t>
            </w:r>
          </w:p>
        </w:tc>
        <w:tc>
          <w:tcPr>
            <w:tcW w:w="1060" w:type="dxa"/>
            <w:shd w:val="clear" w:color="auto" w:fill="auto"/>
            <w:noWrap/>
            <w:hideMark/>
          </w:tcPr>
          <w:p w14:paraId="67395896" w14:textId="77777777" w:rsidR="006A3B29" w:rsidRPr="004A21E8" w:rsidRDefault="006A3B29" w:rsidP="004A21E8">
            <w:pPr>
              <w:pStyle w:val="BodyText"/>
              <w:rPr>
                <w:rFonts w:eastAsia="Calibri"/>
                <w:sz w:val="18"/>
                <w:szCs w:val="18"/>
              </w:rPr>
            </w:pPr>
            <w:r w:rsidRPr="004A21E8">
              <w:rPr>
                <w:rFonts w:eastAsia="Calibri"/>
                <w:sz w:val="18"/>
                <w:szCs w:val="18"/>
              </w:rPr>
              <w:t>$239.46</w:t>
            </w:r>
          </w:p>
        </w:tc>
        <w:tc>
          <w:tcPr>
            <w:tcW w:w="1060" w:type="dxa"/>
            <w:shd w:val="clear" w:color="auto" w:fill="auto"/>
            <w:noWrap/>
            <w:hideMark/>
          </w:tcPr>
          <w:p w14:paraId="1E086728" w14:textId="77777777" w:rsidR="006A3B29" w:rsidRPr="004A21E8" w:rsidRDefault="006A3B29" w:rsidP="004A21E8">
            <w:pPr>
              <w:pStyle w:val="BodyText"/>
              <w:rPr>
                <w:rFonts w:eastAsia="Calibri"/>
                <w:sz w:val="18"/>
                <w:szCs w:val="18"/>
              </w:rPr>
            </w:pPr>
            <w:r w:rsidRPr="004A21E8">
              <w:rPr>
                <w:rFonts w:eastAsia="Calibri"/>
                <w:sz w:val="18"/>
                <w:szCs w:val="18"/>
              </w:rPr>
              <w:t>$243.00</w:t>
            </w:r>
          </w:p>
        </w:tc>
        <w:tc>
          <w:tcPr>
            <w:tcW w:w="1060" w:type="dxa"/>
            <w:shd w:val="clear" w:color="auto" w:fill="auto"/>
            <w:noWrap/>
            <w:hideMark/>
          </w:tcPr>
          <w:p w14:paraId="436A3C41" w14:textId="77777777" w:rsidR="006A3B29" w:rsidRPr="004A21E8" w:rsidRDefault="006A3B29" w:rsidP="004A21E8">
            <w:pPr>
              <w:pStyle w:val="BodyText"/>
              <w:rPr>
                <w:rFonts w:eastAsia="Calibri"/>
                <w:sz w:val="18"/>
                <w:szCs w:val="18"/>
              </w:rPr>
            </w:pPr>
            <w:r w:rsidRPr="004A21E8">
              <w:rPr>
                <w:rFonts w:eastAsia="Calibri"/>
                <w:sz w:val="18"/>
                <w:szCs w:val="18"/>
              </w:rPr>
              <w:t>$247.64</w:t>
            </w:r>
          </w:p>
        </w:tc>
        <w:tc>
          <w:tcPr>
            <w:tcW w:w="1060" w:type="dxa"/>
            <w:shd w:val="clear" w:color="auto" w:fill="auto"/>
            <w:noWrap/>
            <w:hideMark/>
          </w:tcPr>
          <w:p w14:paraId="5D965178" w14:textId="77777777" w:rsidR="006A3B29" w:rsidRPr="004A21E8" w:rsidRDefault="006A3B29" w:rsidP="004A21E8">
            <w:pPr>
              <w:pStyle w:val="BodyText"/>
              <w:rPr>
                <w:rFonts w:eastAsia="Calibri"/>
                <w:sz w:val="18"/>
                <w:szCs w:val="18"/>
              </w:rPr>
            </w:pPr>
            <w:r w:rsidRPr="004A21E8">
              <w:rPr>
                <w:rFonts w:eastAsia="Calibri"/>
                <w:sz w:val="18"/>
                <w:szCs w:val="18"/>
              </w:rPr>
              <w:t>$251.97</w:t>
            </w:r>
          </w:p>
        </w:tc>
        <w:tc>
          <w:tcPr>
            <w:tcW w:w="1060" w:type="dxa"/>
            <w:shd w:val="clear" w:color="auto" w:fill="auto"/>
            <w:noWrap/>
            <w:hideMark/>
          </w:tcPr>
          <w:p w14:paraId="6AC049D9" w14:textId="77777777" w:rsidR="006A3B29" w:rsidRPr="004A21E8" w:rsidRDefault="006A3B29" w:rsidP="004A21E8">
            <w:pPr>
              <w:pStyle w:val="BodyText"/>
              <w:rPr>
                <w:rFonts w:eastAsia="Calibri"/>
                <w:sz w:val="18"/>
                <w:szCs w:val="18"/>
              </w:rPr>
            </w:pPr>
            <w:r w:rsidRPr="004A21E8">
              <w:rPr>
                <w:rFonts w:eastAsia="Calibri"/>
                <w:sz w:val="18"/>
                <w:szCs w:val="18"/>
              </w:rPr>
              <w:t>$257.64</w:t>
            </w:r>
          </w:p>
        </w:tc>
        <w:tc>
          <w:tcPr>
            <w:tcW w:w="1060" w:type="dxa"/>
            <w:shd w:val="clear" w:color="auto" w:fill="auto"/>
            <w:noWrap/>
            <w:hideMark/>
          </w:tcPr>
          <w:p w14:paraId="6DDE0131" w14:textId="77777777" w:rsidR="006A3B29" w:rsidRPr="004A21E8" w:rsidRDefault="006A3B29" w:rsidP="004A21E8">
            <w:pPr>
              <w:pStyle w:val="BodyText"/>
              <w:rPr>
                <w:rFonts w:eastAsia="Calibri"/>
                <w:sz w:val="18"/>
                <w:szCs w:val="18"/>
              </w:rPr>
            </w:pPr>
            <w:r w:rsidRPr="004A21E8">
              <w:rPr>
                <w:rFonts w:eastAsia="Calibri"/>
                <w:sz w:val="18"/>
                <w:szCs w:val="18"/>
              </w:rPr>
              <w:t>$263.44</w:t>
            </w:r>
          </w:p>
        </w:tc>
        <w:tc>
          <w:tcPr>
            <w:tcW w:w="1060" w:type="dxa"/>
            <w:shd w:val="clear" w:color="auto" w:fill="auto"/>
            <w:noWrap/>
            <w:hideMark/>
          </w:tcPr>
          <w:p w14:paraId="78E09C33" w14:textId="77777777" w:rsidR="006A3B29" w:rsidRPr="004A21E8" w:rsidRDefault="006A3B29" w:rsidP="004A21E8">
            <w:pPr>
              <w:pStyle w:val="BodyText"/>
              <w:rPr>
                <w:rFonts w:eastAsia="Calibri"/>
                <w:sz w:val="18"/>
                <w:szCs w:val="18"/>
              </w:rPr>
            </w:pPr>
            <w:r w:rsidRPr="004A21E8">
              <w:rPr>
                <w:rFonts w:eastAsia="Calibri"/>
                <w:sz w:val="18"/>
                <w:szCs w:val="18"/>
              </w:rPr>
              <w:t>$263.44</w:t>
            </w:r>
          </w:p>
        </w:tc>
        <w:tc>
          <w:tcPr>
            <w:tcW w:w="1060" w:type="dxa"/>
            <w:shd w:val="clear" w:color="auto" w:fill="auto"/>
            <w:noWrap/>
            <w:hideMark/>
          </w:tcPr>
          <w:p w14:paraId="5BD543D7" w14:textId="77777777" w:rsidR="006A3B29" w:rsidRPr="004A21E8" w:rsidRDefault="006A3B29" w:rsidP="004A21E8">
            <w:pPr>
              <w:pStyle w:val="BodyText"/>
              <w:rPr>
                <w:rFonts w:eastAsia="Calibri"/>
                <w:sz w:val="18"/>
                <w:szCs w:val="18"/>
              </w:rPr>
            </w:pPr>
            <w:r w:rsidRPr="004A21E8">
              <w:rPr>
                <w:rFonts w:eastAsia="Calibri"/>
                <w:sz w:val="18"/>
                <w:szCs w:val="18"/>
              </w:rPr>
              <w:t>$269.81</w:t>
            </w:r>
          </w:p>
        </w:tc>
        <w:tc>
          <w:tcPr>
            <w:tcW w:w="1060" w:type="dxa"/>
            <w:shd w:val="clear" w:color="auto" w:fill="auto"/>
            <w:noWrap/>
            <w:hideMark/>
          </w:tcPr>
          <w:p w14:paraId="1F987DED" w14:textId="77777777" w:rsidR="006A3B29" w:rsidRPr="004A21E8" w:rsidRDefault="006A3B29" w:rsidP="004A21E8">
            <w:pPr>
              <w:pStyle w:val="BodyText"/>
              <w:rPr>
                <w:rFonts w:eastAsia="Calibri"/>
                <w:sz w:val="18"/>
                <w:szCs w:val="18"/>
              </w:rPr>
            </w:pPr>
            <w:r w:rsidRPr="004A21E8">
              <w:rPr>
                <w:rFonts w:eastAsia="Calibri"/>
                <w:sz w:val="18"/>
                <w:szCs w:val="18"/>
              </w:rPr>
              <w:t>$276.34</w:t>
            </w:r>
          </w:p>
        </w:tc>
        <w:tc>
          <w:tcPr>
            <w:tcW w:w="1060" w:type="dxa"/>
            <w:shd w:val="clear" w:color="auto" w:fill="auto"/>
            <w:noWrap/>
            <w:hideMark/>
          </w:tcPr>
          <w:p w14:paraId="3823B960" w14:textId="77777777" w:rsidR="006A3B29" w:rsidRPr="004A21E8" w:rsidRDefault="006A3B29" w:rsidP="004A21E8">
            <w:pPr>
              <w:pStyle w:val="BodyText"/>
              <w:rPr>
                <w:rFonts w:eastAsia="Calibri"/>
                <w:sz w:val="18"/>
                <w:szCs w:val="18"/>
              </w:rPr>
            </w:pPr>
            <w:r w:rsidRPr="004A21E8">
              <w:rPr>
                <w:rFonts w:eastAsia="Calibri"/>
                <w:sz w:val="18"/>
                <w:szCs w:val="18"/>
              </w:rPr>
              <w:t>$283.03</w:t>
            </w:r>
          </w:p>
        </w:tc>
      </w:tr>
      <w:tr w:rsidR="006A3B29" w:rsidRPr="004A21E8" w14:paraId="72E92E7D" w14:textId="77777777" w:rsidTr="004A21E8">
        <w:trPr>
          <w:trHeight w:val="300"/>
        </w:trPr>
        <w:tc>
          <w:tcPr>
            <w:tcW w:w="4142" w:type="dxa"/>
            <w:shd w:val="clear" w:color="auto" w:fill="auto"/>
            <w:noWrap/>
            <w:hideMark/>
          </w:tcPr>
          <w:p w14:paraId="79121119" w14:textId="77777777" w:rsidR="006A3B29" w:rsidRPr="004A21E8" w:rsidRDefault="006A3B29" w:rsidP="004A21E8">
            <w:pPr>
              <w:pStyle w:val="BodyText"/>
              <w:rPr>
                <w:rFonts w:eastAsia="Calibri"/>
                <w:b/>
                <w:bCs/>
                <w:sz w:val="18"/>
                <w:szCs w:val="18"/>
              </w:rPr>
            </w:pPr>
            <w:r w:rsidRPr="004A21E8">
              <w:rPr>
                <w:rFonts w:eastAsia="Calibri"/>
                <w:b/>
                <w:bCs/>
                <w:sz w:val="18"/>
                <w:szCs w:val="18"/>
              </w:rPr>
              <w:t>Public Lighting Lamps;Major Road</w:t>
            </w:r>
          </w:p>
        </w:tc>
        <w:tc>
          <w:tcPr>
            <w:tcW w:w="1060" w:type="dxa"/>
            <w:shd w:val="clear" w:color="auto" w:fill="auto"/>
            <w:noWrap/>
            <w:hideMark/>
          </w:tcPr>
          <w:p w14:paraId="4526E996" w14:textId="77777777" w:rsidR="006A3B29" w:rsidRPr="004A21E8" w:rsidRDefault="006A3B29" w:rsidP="004A21E8">
            <w:pPr>
              <w:pStyle w:val="BodyText"/>
              <w:rPr>
                <w:rFonts w:eastAsia="Calibri"/>
                <w:sz w:val="18"/>
                <w:szCs w:val="18"/>
              </w:rPr>
            </w:pPr>
            <w:r w:rsidRPr="004A21E8">
              <w:rPr>
                <w:rFonts w:eastAsia="Calibri"/>
                <w:sz w:val="18"/>
                <w:szCs w:val="18"/>
              </w:rPr>
              <w:t>$148.90</w:t>
            </w:r>
          </w:p>
        </w:tc>
        <w:tc>
          <w:tcPr>
            <w:tcW w:w="1060" w:type="dxa"/>
            <w:shd w:val="clear" w:color="auto" w:fill="auto"/>
            <w:noWrap/>
            <w:hideMark/>
          </w:tcPr>
          <w:p w14:paraId="00DC02ED" w14:textId="77777777" w:rsidR="006A3B29" w:rsidRPr="004A21E8" w:rsidRDefault="006A3B29" w:rsidP="004A21E8">
            <w:pPr>
              <w:pStyle w:val="BodyText"/>
              <w:rPr>
                <w:rFonts w:eastAsia="Calibri"/>
                <w:sz w:val="18"/>
                <w:szCs w:val="18"/>
              </w:rPr>
            </w:pPr>
            <w:r w:rsidRPr="004A21E8">
              <w:rPr>
                <w:rFonts w:eastAsia="Calibri"/>
                <w:sz w:val="18"/>
                <w:szCs w:val="18"/>
              </w:rPr>
              <w:t>$151.10</w:t>
            </w:r>
          </w:p>
        </w:tc>
        <w:tc>
          <w:tcPr>
            <w:tcW w:w="1060" w:type="dxa"/>
            <w:shd w:val="clear" w:color="auto" w:fill="auto"/>
            <w:noWrap/>
            <w:hideMark/>
          </w:tcPr>
          <w:p w14:paraId="1368F300" w14:textId="77777777" w:rsidR="006A3B29" w:rsidRPr="004A21E8" w:rsidRDefault="006A3B29" w:rsidP="004A21E8">
            <w:pPr>
              <w:pStyle w:val="BodyText"/>
              <w:rPr>
                <w:rFonts w:eastAsia="Calibri"/>
                <w:sz w:val="18"/>
                <w:szCs w:val="18"/>
              </w:rPr>
            </w:pPr>
            <w:r w:rsidRPr="004A21E8">
              <w:rPr>
                <w:rFonts w:eastAsia="Calibri"/>
                <w:sz w:val="18"/>
                <w:szCs w:val="18"/>
              </w:rPr>
              <w:t>$153.99</w:t>
            </w:r>
          </w:p>
        </w:tc>
        <w:tc>
          <w:tcPr>
            <w:tcW w:w="1060" w:type="dxa"/>
            <w:shd w:val="clear" w:color="auto" w:fill="auto"/>
            <w:noWrap/>
            <w:hideMark/>
          </w:tcPr>
          <w:p w14:paraId="3C3F039E" w14:textId="77777777" w:rsidR="006A3B29" w:rsidRPr="004A21E8" w:rsidRDefault="006A3B29" w:rsidP="004A21E8">
            <w:pPr>
              <w:pStyle w:val="BodyText"/>
              <w:rPr>
                <w:rFonts w:eastAsia="Calibri"/>
                <w:sz w:val="18"/>
                <w:szCs w:val="18"/>
              </w:rPr>
            </w:pPr>
            <w:r w:rsidRPr="004A21E8">
              <w:rPr>
                <w:rFonts w:eastAsia="Calibri"/>
                <w:sz w:val="18"/>
                <w:szCs w:val="18"/>
              </w:rPr>
              <w:t>$156.68</w:t>
            </w:r>
          </w:p>
        </w:tc>
        <w:tc>
          <w:tcPr>
            <w:tcW w:w="1060" w:type="dxa"/>
            <w:shd w:val="clear" w:color="auto" w:fill="auto"/>
            <w:noWrap/>
            <w:hideMark/>
          </w:tcPr>
          <w:p w14:paraId="587AA7B7" w14:textId="77777777" w:rsidR="006A3B29" w:rsidRPr="004A21E8" w:rsidRDefault="006A3B29" w:rsidP="004A21E8">
            <w:pPr>
              <w:pStyle w:val="BodyText"/>
              <w:rPr>
                <w:rFonts w:eastAsia="Calibri"/>
                <w:sz w:val="18"/>
                <w:szCs w:val="18"/>
              </w:rPr>
            </w:pPr>
            <w:r w:rsidRPr="004A21E8">
              <w:rPr>
                <w:rFonts w:eastAsia="Calibri"/>
                <w:sz w:val="18"/>
                <w:szCs w:val="18"/>
              </w:rPr>
              <w:t>$160.21</w:t>
            </w:r>
          </w:p>
        </w:tc>
        <w:tc>
          <w:tcPr>
            <w:tcW w:w="1060" w:type="dxa"/>
            <w:shd w:val="clear" w:color="auto" w:fill="auto"/>
            <w:noWrap/>
            <w:hideMark/>
          </w:tcPr>
          <w:p w14:paraId="7480FB6F" w14:textId="77777777" w:rsidR="006A3B29" w:rsidRPr="004A21E8" w:rsidRDefault="006A3B29" w:rsidP="004A21E8">
            <w:pPr>
              <w:pStyle w:val="BodyText"/>
              <w:rPr>
                <w:rFonts w:eastAsia="Calibri"/>
                <w:sz w:val="18"/>
                <w:szCs w:val="18"/>
              </w:rPr>
            </w:pPr>
            <w:r w:rsidRPr="004A21E8">
              <w:rPr>
                <w:rFonts w:eastAsia="Calibri"/>
                <w:sz w:val="18"/>
                <w:szCs w:val="18"/>
              </w:rPr>
              <w:t>$163.81</w:t>
            </w:r>
          </w:p>
        </w:tc>
        <w:tc>
          <w:tcPr>
            <w:tcW w:w="1060" w:type="dxa"/>
            <w:shd w:val="clear" w:color="auto" w:fill="auto"/>
            <w:noWrap/>
            <w:hideMark/>
          </w:tcPr>
          <w:p w14:paraId="133AB701" w14:textId="77777777" w:rsidR="006A3B29" w:rsidRPr="004A21E8" w:rsidRDefault="006A3B29" w:rsidP="004A21E8">
            <w:pPr>
              <w:pStyle w:val="BodyText"/>
              <w:rPr>
                <w:rFonts w:eastAsia="Calibri"/>
                <w:sz w:val="18"/>
                <w:szCs w:val="18"/>
              </w:rPr>
            </w:pPr>
            <w:r w:rsidRPr="004A21E8">
              <w:rPr>
                <w:rFonts w:eastAsia="Calibri"/>
                <w:sz w:val="18"/>
                <w:szCs w:val="18"/>
              </w:rPr>
              <w:t>$163.81</w:t>
            </w:r>
          </w:p>
        </w:tc>
        <w:tc>
          <w:tcPr>
            <w:tcW w:w="1060" w:type="dxa"/>
            <w:shd w:val="clear" w:color="auto" w:fill="auto"/>
            <w:noWrap/>
            <w:hideMark/>
          </w:tcPr>
          <w:p w14:paraId="4E8B6792" w14:textId="77777777" w:rsidR="006A3B29" w:rsidRPr="004A21E8" w:rsidRDefault="006A3B29" w:rsidP="004A21E8">
            <w:pPr>
              <w:pStyle w:val="BodyText"/>
              <w:rPr>
                <w:rFonts w:eastAsia="Calibri"/>
                <w:sz w:val="18"/>
                <w:szCs w:val="18"/>
              </w:rPr>
            </w:pPr>
            <w:r w:rsidRPr="004A21E8">
              <w:rPr>
                <w:rFonts w:eastAsia="Calibri"/>
                <w:sz w:val="18"/>
                <w:szCs w:val="18"/>
              </w:rPr>
              <w:t>$167.77</w:t>
            </w:r>
          </w:p>
        </w:tc>
        <w:tc>
          <w:tcPr>
            <w:tcW w:w="1060" w:type="dxa"/>
            <w:shd w:val="clear" w:color="auto" w:fill="auto"/>
            <w:noWrap/>
            <w:hideMark/>
          </w:tcPr>
          <w:p w14:paraId="55112D72" w14:textId="77777777" w:rsidR="006A3B29" w:rsidRPr="004A21E8" w:rsidRDefault="006A3B29" w:rsidP="004A21E8">
            <w:pPr>
              <w:pStyle w:val="BodyText"/>
              <w:rPr>
                <w:rFonts w:eastAsia="Calibri"/>
                <w:sz w:val="18"/>
                <w:szCs w:val="18"/>
              </w:rPr>
            </w:pPr>
            <w:r w:rsidRPr="004A21E8">
              <w:rPr>
                <w:rFonts w:eastAsia="Calibri"/>
                <w:sz w:val="18"/>
                <w:szCs w:val="18"/>
              </w:rPr>
              <w:t>$171.83</w:t>
            </w:r>
          </w:p>
        </w:tc>
        <w:tc>
          <w:tcPr>
            <w:tcW w:w="1060" w:type="dxa"/>
            <w:shd w:val="clear" w:color="auto" w:fill="auto"/>
            <w:noWrap/>
            <w:hideMark/>
          </w:tcPr>
          <w:p w14:paraId="0F094D5A" w14:textId="77777777" w:rsidR="006A3B29" w:rsidRPr="004A21E8" w:rsidRDefault="006A3B29" w:rsidP="004A21E8">
            <w:pPr>
              <w:pStyle w:val="BodyText"/>
              <w:rPr>
                <w:rFonts w:eastAsia="Calibri"/>
                <w:sz w:val="18"/>
                <w:szCs w:val="18"/>
              </w:rPr>
            </w:pPr>
            <w:r w:rsidRPr="004A21E8">
              <w:rPr>
                <w:rFonts w:eastAsia="Calibri"/>
                <w:sz w:val="18"/>
                <w:szCs w:val="18"/>
              </w:rPr>
              <w:t>$175.99</w:t>
            </w:r>
          </w:p>
        </w:tc>
      </w:tr>
      <w:tr w:rsidR="006A3B29" w:rsidRPr="004A21E8" w14:paraId="403D6DB3" w14:textId="77777777" w:rsidTr="004A21E8">
        <w:trPr>
          <w:trHeight w:val="300"/>
        </w:trPr>
        <w:tc>
          <w:tcPr>
            <w:tcW w:w="4142" w:type="dxa"/>
            <w:shd w:val="clear" w:color="auto" w:fill="auto"/>
            <w:noWrap/>
            <w:hideMark/>
          </w:tcPr>
          <w:p w14:paraId="76A96579" w14:textId="77777777" w:rsidR="006A3B29" w:rsidRPr="004A21E8" w:rsidRDefault="006A3B29" w:rsidP="004A21E8">
            <w:pPr>
              <w:pStyle w:val="BodyText"/>
              <w:rPr>
                <w:rFonts w:eastAsia="Calibri"/>
                <w:b/>
                <w:bCs/>
                <w:sz w:val="18"/>
                <w:szCs w:val="18"/>
              </w:rPr>
            </w:pPr>
            <w:r w:rsidRPr="004A21E8">
              <w:rPr>
                <w:rFonts w:eastAsia="Calibri"/>
                <w:b/>
                <w:bCs/>
                <w:sz w:val="18"/>
                <w:szCs w:val="18"/>
              </w:rPr>
              <w:t>Public Lighting Lamps;Minor Road</w:t>
            </w:r>
          </w:p>
        </w:tc>
        <w:tc>
          <w:tcPr>
            <w:tcW w:w="1060" w:type="dxa"/>
            <w:shd w:val="clear" w:color="auto" w:fill="auto"/>
            <w:noWrap/>
            <w:hideMark/>
          </w:tcPr>
          <w:p w14:paraId="5BA6BABB" w14:textId="77777777" w:rsidR="006A3B29" w:rsidRPr="004A21E8" w:rsidRDefault="006A3B29" w:rsidP="004A21E8">
            <w:pPr>
              <w:pStyle w:val="BodyText"/>
              <w:rPr>
                <w:rFonts w:eastAsia="Calibri"/>
                <w:sz w:val="18"/>
                <w:szCs w:val="18"/>
              </w:rPr>
            </w:pPr>
            <w:r w:rsidRPr="004A21E8">
              <w:rPr>
                <w:rFonts w:eastAsia="Calibri"/>
                <w:sz w:val="18"/>
                <w:szCs w:val="18"/>
              </w:rPr>
              <w:t>$395.69</w:t>
            </w:r>
          </w:p>
        </w:tc>
        <w:tc>
          <w:tcPr>
            <w:tcW w:w="1060" w:type="dxa"/>
            <w:shd w:val="clear" w:color="auto" w:fill="auto"/>
            <w:noWrap/>
            <w:hideMark/>
          </w:tcPr>
          <w:p w14:paraId="265687CE" w14:textId="77777777" w:rsidR="006A3B29" w:rsidRPr="004A21E8" w:rsidRDefault="006A3B29" w:rsidP="004A21E8">
            <w:pPr>
              <w:pStyle w:val="BodyText"/>
              <w:rPr>
                <w:rFonts w:eastAsia="Calibri"/>
                <w:sz w:val="18"/>
                <w:szCs w:val="18"/>
              </w:rPr>
            </w:pPr>
            <w:r w:rsidRPr="004A21E8">
              <w:rPr>
                <w:rFonts w:eastAsia="Calibri"/>
                <w:sz w:val="18"/>
                <w:szCs w:val="18"/>
              </w:rPr>
              <w:t>$401.53</w:t>
            </w:r>
          </w:p>
        </w:tc>
        <w:tc>
          <w:tcPr>
            <w:tcW w:w="1060" w:type="dxa"/>
            <w:shd w:val="clear" w:color="auto" w:fill="auto"/>
            <w:noWrap/>
            <w:hideMark/>
          </w:tcPr>
          <w:p w14:paraId="60A4A494" w14:textId="77777777" w:rsidR="006A3B29" w:rsidRPr="004A21E8" w:rsidRDefault="006A3B29" w:rsidP="004A21E8">
            <w:pPr>
              <w:pStyle w:val="BodyText"/>
              <w:rPr>
                <w:rFonts w:eastAsia="Calibri"/>
                <w:sz w:val="18"/>
                <w:szCs w:val="18"/>
              </w:rPr>
            </w:pPr>
            <w:r w:rsidRPr="004A21E8">
              <w:rPr>
                <w:rFonts w:eastAsia="Calibri"/>
                <w:sz w:val="18"/>
                <w:szCs w:val="18"/>
              </w:rPr>
              <w:t>$409.20</w:t>
            </w:r>
          </w:p>
        </w:tc>
        <w:tc>
          <w:tcPr>
            <w:tcW w:w="1060" w:type="dxa"/>
            <w:shd w:val="clear" w:color="auto" w:fill="auto"/>
            <w:noWrap/>
            <w:hideMark/>
          </w:tcPr>
          <w:p w14:paraId="274AAB31" w14:textId="77777777" w:rsidR="006A3B29" w:rsidRPr="004A21E8" w:rsidRDefault="006A3B29" w:rsidP="004A21E8">
            <w:pPr>
              <w:pStyle w:val="BodyText"/>
              <w:rPr>
                <w:rFonts w:eastAsia="Calibri"/>
                <w:sz w:val="18"/>
                <w:szCs w:val="18"/>
              </w:rPr>
            </w:pPr>
            <w:r w:rsidRPr="004A21E8">
              <w:rPr>
                <w:rFonts w:eastAsia="Calibri"/>
                <w:sz w:val="18"/>
                <w:szCs w:val="18"/>
              </w:rPr>
              <w:t>$416.36</w:t>
            </w:r>
          </w:p>
        </w:tc>
        <w:tc>
          <w:tcPr>
            <w:tcW w:w="1060" w:type="dxa"/>
            <w:shd w:val="clear" w:color="auto" w:fill="auto"/>
            <w:noWrap/>
            <w:hideMark/>
          </w:tcPr>
          <w:p w14:paraId="76964014" w14:textId="77777777" w:rsidR="006A3B29" w:rsidRPr="004A21E8" w:rsidRDefault="006A3B29" w:rsidP="004A21E8">
            <w:pPr>
              <w:pStyle w:val="BodyText"/>
              <w:rPr>
                <w:rFonts w:eastAsia="Calibri"/>
                <w:sz w:val="18"/>
                <w:szCs w:val="18"/>
              </w:rPr>
            </w:pPr>
            <w:r w:rsidRPr="004A21E8">
              <w:rPr>
                <w:rFonts w:eastAsia="Calibri"/>
                <w:sz w:val="18"/>
                <w:szCs w:val="18"/>
              </w:rPr>
              <w:t>$425.73</w:t>
            </w:r>
          </w:p>
        </w:tc>
        <w:tc>
          <w:tcPr>
            <w:tcW w:w="1060" w:type="dxa"/>
            <w:shd w:val="clear" w:color="auto" w:fill="auto"/>
            <w:noWrap/>
            <w:hideMark/>
          </w:tcPr>
          <w:p w14:paraId="7D2531D4" w14:textId="77777777" w:rsidR="006A3B29" w:rsidRPr="004A21E8" w:rsidRDefault="006A3B29" w:rsidP="004A21E8">
            <w:pPr>
              <w:pStyle w:val="BodyText"/>
              <w:rPr>
                <w:rFonts w:eastAsia="Calibri"/>
                <w:sz w:val="18"/>
                <w:szCs w:val="18"/>
              </w:rPr>
            </w:pPr>
            <w:r w:rsidRPr="004A21E8">
              <w:rPr>
                <w:rFonts w:eastAsia="Calibri"/>
                <w:sz w:val="18"/>
                <w:szCs w:val="18"/>
              </w:rPr>
              <w:t>$435.31</w:t>
            </w:r>
          </w:p>
        </w:tc>
        <w:tc>
          <w:tcPr>
            <w:tcW w:w="1060" w:type="dxa"/>
            <w:shd w:val="clear" w:color="auto" w:fill="auto"/>
            <w:noWrap/>
            <w:hideMark/>
          </w:tcPr>
          <w:p w14:paraId="16F587E1" w14:textId="77777777" w:rsidR="006A3B29" w:rsidRPr="004A21E8" w:rsidRDefault="006A3B29" w:rsidP="004A21E8">
            <w:pPr>
              <w:pStyle w:val="BodyText"/>
              <w:rPr>
                <w:rFonts w:eastAsia="Calibri"/>
                <w:sz w:val="18"/>
                <w:szCs w:val="18"/>
              </w:rPr>
            </w:pPr>
            <w:r w:rsidRPr="004A21E8">
              <w:rPr>
                <w:rFonts w:eastAsia="Calibri"/>
                <w:sz w:val="18"/>
                <w:szCs w:val="18"/>
              </w:rPr>
              <w:t>$435.31</w:t>
            </w:r>
          </w:p>
        </w:tc>
        <w:tc>
          <w:tcPr>
            <w:tcW w:w="1060" w:type="dxa"/>
            <w:shd w:val="clear" w:color="auto" w:fill="auto"/>
            <w:noWrap/>
            <w:hideMark/>
          </w:tcPr>
          <w:p w14:paraId="646A91F0" w14:textId="77777777" w:rsidR="006A3B29" w:rsidRPr="004A21E8" w:rsidRDefault="006A3B29" w:rsidP="004A21E8">
            <w:pPr>
              <w:pStyle w:val="BodyText"/>
              <w:rPr>
                <w:rFonts w:eastAsia="Calibri"/>
                <w:sz w:val="18"/>
                <w:szCs w:val="18"/>
              </w:rPr>
            </w:pPr>
            <w:r w:rsidRPr="004A21E8">
              <w:rPr>
                <w:rFonts w:eastAsia="Calibri"/>
                <w:sz w:val="18"/>
                <w:szCs w:val="18"/>
              </w:rPr>
              <w:t>$445.84</w:t>
            </w:r>
          </w:p>
        </w:tc>
        <w:tc>
          <w:tcPr>
            <w:tcW w:w="1060" w:type="dxa"/>
            <w:shd w:val="clear" w:color="auto" w:fill="auto"/>
            <w:noWrap/>
            <w:hideMark/>
          </w:tcPr>
          <w:p w14:paraId="676D7DCD" w14:textId="77777777" w:rsidR="006A3B29" w:rsidRPr="004A21E8" w:rsidRDefault="006A3B29" w:rsidP="004A21E8">
            <w:pPr>
              <w:pStyle w:val="BodyText"/>
              <w:rPr>
                <w:rFonts w:eastAsia="Calibri"/>
                <w:sz w:val="18"/>
                <w:szCs w:val="18"/>
              </w:rPr>
            </w:pPr>
            <w:r w:rsidRPr="004A21E8">
              <w:rPr>
                <w:rFonts w:eastAsia="Calibri"/>
                <w:sz w:val="18"/>
                <w:szCs w:val="18"/>
              </w:rPr>
              <w:t>$456.63</w:t>
            </w:r>
          </w:p>
        </w:tc>
        <w:tc>
          <w:tcPr>
            <w:tcW w:w="1060" w:type="dxa"/>
            <w:shd w:val="clear" w:color="auto" w:fill="auto"/>
            <w:noWrap/>
            <w:hideMark/>
          </w:tcPr>
          <w:p w14:paraId="6E80049A" w14:textId="77777777" w:rsidR="006A3B29" w:rsidRPr="004A21E8" w:rsidRDefault="006A3B29" w:rsidP="004A21E8">
            <w:pPr>
              <w:pStyle w:val="BodyText"/>
              <w:rPr>
                <w:rFonts w:eastAsia="Calibri"/>
                <w:sz w:val="18"/>
                <w:szCs w:val="18"/>
              </w:rPr>
            </w:pPr>
            <w:r w:rsidRPr="004A21E8">
              <w:rPr>
                <w:rFonts w:eastAsia="Calibri"/>
                <w:sz w:val="18"/>
                <w:szCs w:val="18"/>
              </w:rPr>
              <w:t>$467.68</w:t>
            </w:r>
          </w:p>
        </w:tc>
      </w:tr>
      <w:tr w:rsidR="006A3B29" w:rsidRPr="004A21E8" w14:paraId="2FB5BBDC" w14:textId="77777777" w:rsidTr="004A21E8">
        <w:trPr>
          <w:trHeight w:val="300"/>
        </w:trPr>
        <w:tc>
          <w:tcPr>
            <w:tcW w:w="4142" w:type="dxa"/>
            <w:shd w:val="clear" w:color="auto" w:fill="auto"/>
            <w:noWrap/>
            <w:hideMark/>
          </w:tcPr>
          <w:p w14:paraId="0FA63948" w14:textId="77777777" w:rsidR="006A3B29" w:rsidRPr="004A21E8" w:rsidRDefault="006A3B29" w:rsidP="004A21E8">
            <w:pPr>
              <w:pStyle w:val="BodyText"/>
              <w:rPr>
                <w:rFonts w:eastAsia="Calibri"/>
                <w:b/>
                <w:bCs/>
                <w:sz w:val="18"/>
                <w:szCs w:val="18"/>
              </w:rPr>
            </w:pPr>
            <w:r w:rsidRPr="004A21E8">
              <w:rPr>
                <w:rFonts w:eastAsia="Calibri"/>
                <w:b/>
                <w:bCs/>
                <w:sz w:val="18"/>
                <w:szCs w:val="18"/>
              </w:rPr>
              <w:t>Public Lighting Luminaires;Major Road</w:t>
            </w:r>
          </w:p>
        </w:tc>
        <w:tc>
          <w:tcPr>
            <w:tcW w:w="1060" w:type="dxa"/>
            <w:shd w:val="clear" w:color="auto" w:fill="auto"/>
            <w:noWrap/>
            <w:hideMark/>
          </w:tcPr>
          <w:p w14:paraId="76F03D0B" w14:textId="77777777" w:rsidR="006A3B29" w:rsidRPr="004A21E8" w:rsidRDefault="006A3B29" w:rsidP="004A21E8">
            <w:pPr>
              <w:pStyle w:val="BodyText"/>
              <w:rPr>
                <w:rFonts w:eastAsia="Calibri"/>
                <w:sz w:val="18"/>
                <w:szCs w:val="18"/>
              </w:rPr>
            </w:pPr>
            <w:r w:rsidRPr="004A21E8">
              <w:rPr>
                <w:rFonts w:eastAsia="Calibri"/>
                <w:sz w:val="18"/>
                <w:szCs w:val="18"/>
              </w:rPr>
              <w:t>$337.05</w:t>
            </w:r>
          </w:p>
        </w:tc>
        <w:tc>
          <w:tcPr>
            <w:tcW w:w="1060" w:type="dxa"/>
            <w:shd w:val="clear" w:color="auto" w:fill="auto"/>
            <w:noWrap/>
            <w:hideMark/>
          </w:tcPr>
          <w:p w14:paraId="7962D08B" w14:textId="77777777" w:rsidR="006A3B29" w:rsidRPr="004A21E8" w:rsidRDefault="006A3B29" w:rsidP="004A21E8">
            <w:pPr>
              <w:pStyle w:val="BodyText"/>
              <w:rPr>
                <w:rFonts w:eastAsia="Calibri"/>
                <w:sz w:val="18"/>
                <w:szCs w:val="18"/>
              </w:rPr>
            </w:pPr>
            <w:r w:rsidRPr="004A21E8">
              <w:rPr>
                <w:rFonts w:eastAsia="Calibri"/>
                <w:sz w:val="18"/>
                <w:szCs w:val="18"/>
              </w:rPr>
              <w:t>$342.02</w:t>
            </w:r>
          </w:p>
        </w:tc>
        <w:tc>
          <w:tcPr>
            <w:tcW w:w="1060" w:type="dxa"/>
            <w:shd w:val="clear" w:color="auto" w:fill="auto"/>
            <w:noWrap/>
            <w:hideMark/>
          </w:tcPr>
          <w:p w14:paraId="5EE766F2" w14:textId="77777777" w:rsidR="006A3B29" w:rsidRPr="004A21E8" w:rsidRDefault="006A3B29" w:rsidP="004A21E8">
            <w:pPr>
              <w:pStyle w:val="BodyText"/>
              <w:rPr>
                <w:rFonts w:eastAsia="Calibri"/>
                <w:sz w:val="18"/>
                <w:szCs w:val="18"/>
              </w:rPr>
            </w:pPr>
            <w:r w:rsidRPr="004A21E8">
              <w:rPr>
                <w:rFonts w:eastAsia="Calibri"/>
                <w:sz w:val="18"/>
                <w:szCs w:val="18"/>
              </w:rPr>
              <w:t>$348.55</w:t>
            </w:r>
          </w:p>
        </w:tc>
        <w:tc>
          <w:tcPr>
            <w:tcW w:w="1060" w:type="dxa"/>
            <w:shd w:val="clear" w:color="auto" w:fill="auto"/>
            <w:noWrap/>
            <w:hideMark/>
          </w:tcPr>
          <w:p w14:paraId="6E6534E4" w14:textId="77777777" w:rsidR="006A3B29" w:rsidRPr="004A21E8" w:rsidRDefault="006A3B29" w:rsidP="004A21E8">
            <w:pPr>
              <w:pStyle w:val="BodyText"/>
              <w:rPr>
                <w:rFonts w:eastAsia="Calibri"/>
                <w:sz w:val="18"/>
                <w:szCs w:val="18"/>
              </w:rPr>
            </w:pPr>
            <w:r w:rsidRPr="004A21E8">
              <w:rPr>
                <w:rFonts w:eastAsia="Calibri"/>
                <w:sz w:val="18"/>
                <w:szCs w:val="18"/>
              </w:rPr>
              <w:t>$354.65</w:t>
            </w:r>
          </w:p>
        </w:tc>
        <w:tc>
          <w:tcPr>
            <w:tcW w:w="1060" w:type="dxa"/>
            <w:shd w:val="clear" w:color="auto" w:fill="auto"/>
            <w:noWrap/>
            <w:hideMark/>
          </w:tcPr>
          <w:p w14:paraId="3BAB0D02" w14:textId="77777777" w:rsidR="006A3B29" w:rsidRPr="004A21E8" w:rsidRDefault="006A3B29" w:rsidP="004A21E8">
            <w:pPr>
              <w:pStyle w:val="BodyText"/>
              <w:rPr>
                <w:rFonts w:eastAsia="Calibri"/>
                <w:sz w:val="18"/>
                <w:szCs w:val="18"/>
              </w:rPr>
            </w:pPr>
            <w:r w:rsidRPr="004A21E8">
              <w:rPr>
                <w:rFonts w:eastAsia="Calibri"/>
                <w:sz w:val="18"/>
                <w:szCs w:val="18"/>
              </w:rPr>
              <w:t>$362.63</w:t>
            </w:r>
          </w:p>
        </w:tc>
        <w:tc>
          <w:tcPr>
            <w:tcW w:w="1060" w:type="dxa"/>
            <w:shd w:val="clear" w:color="auto" w:fill="auto"/>
            <w:noWrap/>
            <w:hideMark/>
          </w:tcPr>
          <w:p w14:paraId="2C1EDB12" w14:textId="77777777" w:rsidR="006A3B29" w:rsidRPr="004A21E8" w:rsidRDefault="006A3B29" w:rsidP="004A21E8">
            <w:pPr>
              <w:pStyle w:val="BodyText"/>
              <w:rPr>
                <w:rFonts w:eastAsia="Calibri"/>
                <w:sz w:val="18"/>
                <w:szCs w:val="18"/>
              </w:rPr>
            </w:pPr>
            <w:r w:rsidRPr="004A21E8">
              <w:rPr>
                <w:rFonts w:eastAsia="Calibri"/>
                <w:sz w:val="18"/>
                <w:szCs w:val="18"/>
              </w:rPr>
              <w:t>$370.79</w:t>
            </w:r>
          </w:p>
        </w:tc>
        <w:tc>
          <w:tcPr>
            <w:tcW w:w="1060" w:type="dxa"/>
            <w:shd w:val="clear" w:color="auto" w:fill="auto"/>
            <w:noWrap/>
            <w:hideMark/>
          </w:tcPr>
          <w:p w14:paraId="36C7171C" w14:textId="77777777" w:rsidR="006A3B29" w:rsidRPr="004A21E8" w:rsidRDefault="006A3B29" w:rsidP="004A21E8">
            <w:pPr>
              <w:pStyle w:val="BodyText"/>
              <w:rPr>
                <w:rFonts w:eastAsia="Calibri"/>
                <w:sz w:val="18"/>
                <w:szCs w:val="18"/>
              </w:rPr>
            </w:pPr>
            <w:r w:rsidRPr="004A21E8">
              <w:rPr>
                <w:rFonts w:eastAsia="Calibri"/>
                <w:sz w:val="18"/>
                <w:szCs w:val="18"/>
              </w:rPr>
              <w:t>$370.79</w:t>
            </w:r>
          </w:p>
        </w:tc>
        <w:tc>
          <w:tcPr>
            <w:tcW w:w="1060" w:type="dxa"/>
            <w:shd w:val="clear" w:color="auto" w:fill="auto"/>
            <w:noWrap/>
            <w:hideMark/>
          </w:tcPr>
          <w:p w14:paraId="0ECE5149" w14:textId="77777777" w:rsidR="006A3B29" w:rsidRPr="004A21E8" w:rsidRDefault="006A3B29" w:rsidP="004A21E8">
            <w:pPr>
              <w:pStyle w:val="BodyText"/>
              <w:rPr>
                <w:rFonts w:eastAsia="Calibri"/>
                <w:sz w:val="18"/>
                <w:szCs w:val="18"/>
              </w:rPr>
            </w:pPr>
            <w:r w:rsidRPr="004A21E8">
              <w:rPr>
                <w:rFonts w:eastAsia="Calibri"/>
                <w:sz w:val="18"/>
                <w:szCs w:val="18"/>
              </w:rPr>
              <w:t>$379.76</w:t>
            </w:r>
          </w:p>
        </w:tc>
        <w:tc>
          <w:tcPr>
            <w:tcW w:w="1060" w:type="dxa"/>
            <w:shd w:val="clear" w:color="auto" w:fill="auto"/>
            <w:noWrap/>
            <w:hideMark/>
          </w:tcPr>
          <w:p w14:paraId="1C111545" w14:textId="77777777" w:rsidR="006A3B29" w:rsidRPr="004A21E8" w:rsidRDefault="006A3B29" w:rsidP="004A21E8">
            <w:pPr>
              <w:pStyle w:val="BodyText"/>
              <w:rPr>
                <w:rFonts w:eastAsia="Calibri"/>
                <w:sz w:val="18"/>
                <w:szCs w:val="18"/>
              </w:rPr>
            </w:pPr>
            <w:r w:rsidRPr="004A21E8">
              <w:rPr>
                <w:rFonts w:eastAsia="Calibri"/>
                <w:sz w:val="18"/>
                <w:szCs w:val="18"/>
              </w:rPr>
              <w:t>$388.95</w:t>
            </w:r>
          </w:p>
        </w:tc>
        <w:tc>
          <w:tcPr>
            <w:tcW w:w="1060" w:type="dxa"/>
            <w:shd w:val="clear" w:color="auto" w:fill="auto"/>
            <w:noWrap/>
            <w:hideMark/>
          </w:tcPr>
          <w:p w14:paraId="5669B0F0" w14:textId="77777777" w:rsidR="006A3B29" w:rsidRPr="004A21E8" w:rsidRDefault="006A3B29" w:rsidP="004A21E8">
            <w:pPr>
              <w:pStyle w:val="BodyText"/>
              <w:rPr>
                <w:rFonts w:eastAsia="Calibri"/>
                <w:sz w:val="18"/>
                <w:szCs w:val="18"/>
              </w:rPr>
            </w:pPr>
            <w:r w:rsidRPr="004A21E8">
              <w:rPr>
                <w:rFonts w:eastAsia="Calibri"/>
                <w:sz w:val="18"/>
                <w:szCs w:val="18"/>
              </w:rPr>
              <w:t>$398.36</w:t>
            </w:r>
          </w:p>
        </w:tc>
      </w:tr>
      <w:tr w:rsidR="006A3B29" w:rsidRPr="004A21E8" w14:paraId="55142157" w14:textId="77777777" w:rsidTr="004A21E8">
        <w:trPr>
          <w:trHeight w:val="300"/>
        </w:trPr>
        <w:tc>
          <w:tcPr>
            <w:tcW w:w="4142" w:type="dxa"/>
            <w:shd w:val="clear" w:color="auto" w:fill="auto"/>
            <w:noWrap/>
            <w:hideMark/>
          </w:tcPr>
          <w:p w14:paraId="69F4A423" w14:textId="77777777" w:rsidR="006A3B29" w:rsidRPr="004A21E8" w:rsidRDefault="006A3B29" w:rsidP="004A21E8">
            <w:pPr>
              <w:pStyle w:val="BodyText"/>
              <w:rPr>
                <w:rFonts w:eastAsia="Calibri"/>
                <w:b/>
                <w:bCs/>
                <w:sz w:val="18"/>
                <w:szCs w:val="18"/>
              </w:rPr>
            </w:pPr>
            <w:r w:rsidRPr="004A21E8">
              <w:rPr>
                <w:rFonts w:eastAsia="Calibri"/>
                <w:b/>
                <w:bCs/>
                <w:sz w:val="18"/>
                <w:szCs w:val="18"/>
              </w:rPr>
              <w:t>Public Lighting Luminaires;Minor Road</w:t>
            </w:r>
          </w:p>
        </w:tc>
        <w:tc>
          <w:tcPr>
            <w:tcW w:w="1060" w:type="dxa"/>
            <w:shd w:val="clear" w:color="auto" w:fill="auto"/>
            <w:noWrap/>
            <w:hideMark/>
          </w:tcPr>
          <w:p w14:paraId="6949BBE9" w14:textId="77777777" w:rsidR="006A3B29" w:rsidRPr="004A21E8" w:rsidRDefault="006A3B29" w:rsidP="004A21E8">
            <w:pPr>
              <w:pStyle w:val="BodyText"/>
              <w:rPr>
                <w:rFonts w:eastAsia="Calibri"/>
                <w:sz w:val="18"/>
                <w:szCs w:val="18"/>
              </w:rPr>
            </w:pPr>
            <w:r w:rsidRPr="004A21E8">
              <w:rPr>
                <w:rFonts w:eastAsia="Calibri"/>
                <w:sz w:val="18"/>
                <w:szCs w:val="18"/>
              </w:rPr>
              <w:t>$561.16</w:t>
            </w:r>
          </w:p>
        </w:tc>
        <w:tc>
          <w:tcPr>
            <w:tcW w:w="1060" w:type="dxa"/>
            <w:shd w:val="clear" w:color="auto" w:fill="auto"/>
            <w:noWrap/>
            <w:hideMark/>
          </w:tcPr>
          <w:p w14:paraId="4CBADABF" w14:textId="77777777" w:rsidR="006A3B29" w:rsidRPr="004A21E8" w:rsidRDefault="006A3B29" w:rsidP="004A21E8">
            <w:pPr>
              <w:pStyle w:val="BodyText"/>
              <w:rPr>
                <w:rFonts w:eastAsia="Calibri"/>
                <w:sz w:val="18"/>
                <w:szCs w:val="18"/>
              </w:rPr>
            </w:pPr>
            <w:r w:rsidRPr="004A21E8">
              <w:rPr>
                <w:rFonts w:eastAsia="Calibri"/>
                <w:sz w:val="18"/>
                <w:szCs w:val="18"/>
              </w:rPr>
              <w:t>$569.44</w:t>
            </w:r>
          </w:p>
        </w:tc>
        <w:tc>
          <w:tcPr>
            <w:tcW w:w="1060" w:type="dxa"/>
            <w:shd w:val="clear" w:color="auto" w:fill="auto"/>
            <w:noWrap/>
            <w:hideMark/>
          </w:tcPr>
          <w:p w14:paraId="3766A9F4" w14:textId="77777777" w:rsidR="006A3B29" w:rsidRPr="004A21E8" w:rsidRDefault="006A3B29" w:rsidP="004A21E8">
            <w:pPr>
              <w:pStyle w:val="BodyText"/>
              <w:rPr>
                <w:rFonts w:eastAsia="Calibri"/>
                <w:sz w:val="18"/>
                <w:szCs w:val="18"/>
              </w:rPr>
            </w:pPr>
            <w:r w:rsidRPr="004A21E8">
              <w:rPr>
                <w:rFonts w:eastAsia="Calibri"/>
                <w:sz w:val="18"/>
                <w:szCs w:val="18"/>
              </w:rPr>
              <w:t>$580.31</w:t>
            </w:r>
          </w:p>
        </w:tc>
        <w:tc>
          <w:tcPr>
            <w:tcW w:w="1060" w:type="dxa"/>
            <w:shd w:val="clear" w:color="auto" w:fill="auto"/>
            <w:noWrap/>
            <w:hideMark/>
          </w:tcPr>
          <w:p w14:paraId="7892C3F0" w14:textId="77777777" w:rsidR="006A3B29" w:rsidRPr="004A21E8" w:rsidRDefault="006A3B29" w:rsidP="004A21E8">
            <w:pPr>
              <w:pStyle w:val="BodyText"/>
              <w:rPr>
                <w:rFonts w:eastAsia="Calibri"/>
                <w:sz w:val="18"/>
                <w:szCs w:val="18"/>
              </w:rPr>
            </w:pPr>
            <w:r w:rsidRPr="004A21E8">
              <w:rPr>
                <w:rFonts w:eastAsia="Calibri"/>
                <w:sz w:val="18"/>
                <w:szCs w:val="18"/>
              </w:rPr>
              <w:t>$590.47</w:t>
            </w:r>
          </w:p>
        </w:tc>
        <w:tc>
          <w:tcPr>
            <w:tcW w:w="1060" w:type="dxa"/>
            <w:shd w:val="clear" w:color="auto" w:fill="auto"/>
            <w:noWrap/>
            <w:hideMark/>
          </w:tcPr>
          <w:p w14:paraId="3173C746" w14:textId="77777777" w:rsidR="006A3B29" w:rsidRPr="004A21E8" w:rsidRDefault="006A3B29" w:rsidP="004A21E8">
            <w:pPr>
              <w:pStyle w:val="BodyText"/>
              <w:rPr>
                <w:rFonts w:eastAsia="Calibri"/>
                <w:sz w:val="18"/>
                <w:szCs w:val="18"/>
              </w:rPr>
            </w:pPr>
            <w:r w:rsidRPr="004A21E8">
              <w:rPr>
                <w:rFonts w:eastAsia="Calibri"/>
                <w:sz w:val="18"/>
                <w:szCs w:val="18"/>
              </w:rPr>
              <w:t>$603.76</w:t>
            </w:r>
          </w:p>
        </w:tc>
        <w:tc>
          <w:tcPr>
            <w:tcW w:w="1060" w:type="dxa"/>
            <w:shd w:val="clear" w:color="auto" w:fill="auto"/>
            <w:noWrap/>
            <w:hideMark/>
          </w:tcPr>
          <w:p w14:paraId="41B09049" w14:textId="77777777" w:rsidR="006A3B29" w:rsidRPr="004A21E8" w:rsidRDefault="006A3B29" w:rsidP="004A21E8">
            <w:pPr>
              <w:pStyle w:val="BodyText"/>
              <w:rPr>
                <w:rFonts w:eastAsia="Calibri"/>
                <w:sz w:val="18"/>
                <w:szCs w:val="18"/>
              </w:rPr>
            </w:pPr>
            <w:r w:rsidRPr="004A21E8">
              <w:rPr>
                <w:rFonts w:eastAsia="Calibri"/>
                <w:sz w:val="18"/>
                <w:szCs w:val="18"/>
              </w:rPr>
              <w:t>$617.34</w:t>
            </w:r>
          </w:p>
        </w:tc>
        <w:tc>
          <w:tcPr>
            <w:tcW w:w="1060" w:type="dxa"/>
            <w:shd w:val="clear" w:color="auto" w:fill="auto"/>
            <w:noWrap/>
            <w:hideMark/>
          </w:tcPr>
          <w:p w14:paraId="2D9C21C7" w14:textId="77777777" w:rsidR="006A3B29" w:rsidRPr="004A21E8" w:rsidRDefault="006A3B29" w:rsidP="004A21E8">
            <w:pPr>
              <w:pStyle w:val="BodyText"/>
              <w:rPr>
                <w:rFonts w:eastAsia="Calibri"/>
                <w:sz w:val="18"/>
                <w:szCs w:val="18"/>
              </w:rPr>
            </w:pPr>
            <w:r w:rsidRPr="004A21E8">
              <w:rPr>
                <w:rFonts w:eastAsia="Calibri"/>
                <w:sz w:val="18"/>
                <w:szCs w:val="18"/>
              </w:rPr>
              <w:t>$617.34</w:t>
            </w:r>
          </w:p>
        </w:tc>
        <w:tc>
          <w:tcPr>
            <w:tcW w:w="1060" w:type="dxa"/>
            <w:shd w:val="clear" w:color="auto" w:fill="auto"/>
            <w:noWrap/>
            <w:hideMark/>
          </w:tcPr>
          <w:p w14:paraId="59C8A04A" w14:textId="77777777" w:rsidR="006A3B29" w:rsidRPr="004A21E8" w:rsidRDefault="006A3B29" w:rsidP="004A21E8">
            <w:pPr>
              <w:pStyle w:val="BodyText"/>
              <w:rPr>
                <w:rFonts w:eastAsia="Calibri"/>
                <w:sz w:val="18"/>
                <w:szCs w:val="18"/>
              </w:rPr>
            </w:pPr>
            <w:r w:rsidRPr="004A21E8">
              <w:rPr>
                <w:rFonts w:eastAsia="Calibri"/>
                <w:sz w:val="18"/>
                <w:szCs w:val="18"/>
              </w:rPr>
              <w:t>$632.28</w:t>
            </w:r>
          </w:p>
        </w:tc>
        <w:tc>
          <w:tcPr>
            <w:tcW w:w="1060" w:type="dxa"/>
            <w:shd w:val="clear" w:color="auto" w:fill="auto"/>
            <w:noWrap/>
            <w:hideMark/>
          </w:tcPr>
          <w:p w14:paraId="00BA1E4A" w14:textId="77777777" w:rsidR="006A3B29" w:rsidRPr="004A21E8" w:rsidRDefault="006A3B29" w:rsidP="004A21E8">
            <w:pPr>
              <w:pStyle w:val="BodyText"/>
              <w:rPr>
                <w:rFonts w:eastAsia="Calibri"/>
                <w:sz w:val="18"/>
                <w:szCs w:val="18"/>
              </w:rPr>
            </w:pPr>
            <w:r w:rsidRPr="004A21E8">
              <w:rPr>
                <w:rFonts w:eastAsia="Calibri"/>
                <w:sz w:val="18"/>
                <w:szCs w:val="18"/>
              </w:rPr>
              <w:t>$647.58</w:t>
            </w:r>
          </w:p>
        </w:tc>
        <w:tc>
          <w:tcPr>
            <w:tcW w:w="1060" w:type="dxa"/>
            <w:shd w:val="clear" w:color="auto" w:fill="auto"/>
            <w:noWrap/>
            <w:hideMark/>
          </w:tcPr>
          <w:p w14:paraId="7F28A378" w14:textId="77777777" w:rsidR="006A3B29" w:rsidRPr="004A21E8" w:rsidRDefault="006A3B29" w:rsidP="004A21E8">
            <w:pPr>
              <w:pStyle w:val="BodyText"/>
              <w:rPr>
                <w:rFonts w:eastAsia="Calibri"/>
                <w:sz w:val="18"/>
                <w:szCs w:val="18"/>
              </w:rPr>
            </w:pPr>
            <w:r w:rsidRPr="004A21E8">
              <w:rPr>
                <w:rFonts w:eastAsia="Calibri"/>
                <w:sz w:val="18"/>
                <w:szCs w:val="18"/>
              </w:rPr>
              <w:t>$663.25</w:t>
            </w:r>
          </w:p>
        </w:tc>
      </w:tr>
      <w:tr w:rsidR="006A3B29" w:rsidRPr="004A21E8" w14:paraId="3FBE2C37" w14:textId="77777777" w:rsidTr="004A21E8">
        <w:trPr>
          <w:trHeight w:val="300"/>
        </w:trPr>
        <w:tc>
          <w:tcPr>
            <w:tcW w:w="4142" w:type="dxa"/>
            <w:shd w:val="clear" w:color="auto" w:fill="auto"/>
            <w:noWrap/>
            <w:hideMark/>
          </w:tcPr>
          <w:p w14:paraId="004FD775" w14:textId="77777777" w:rsidR="006A3B29" w:rsidRPr="004A21E8" w:rsidRDefault="006A3B29" w:rsidP="004A21E8">
            <w:pPr>
              <w:pStyle w:val="BodyText"/>
              <w:rPr>
                <w:rFonts w:eastAsia="Calibri"/>
                <w:b/>
                <w:bCs/>
                <w:sz w:val="18"/>
                <w:szCs w:val="18"/>
              </w:rPr>
            </w:pPr>
            <w:r w:rsidRPr="004A21E8">
              <w:rPr>
                <w:rFonts w:eastAsia="Calibri"/>
                <w:b/>
                <w:bCs/>
                <w:sz w:val="18"/>
                <w:szCs w:val="18"/>
              </w:rPr>
              <w:t>Public Lighting Poles/Columns;Major Road</w:t>
            </w:r>
          </w:p>
        </w:tc>
        <w:tc>
          <w:tcPr>
            <w:tcW w:w="1060" w:type="dxa"/>
            <w:shd w:val="clear" w:color="auto" w:fill="auto"/>
            <w:noWrap/>
            <w:hideMark/>
          </w:tcPr>
          <w:p w14:paraId="1209569C" w14:textId="77777777" w:rsidR="006A3B29" w:rsidRPr="004A21E8" w:rsidRDefault="006A3B29" w:rsidP="004A21E8">
            <w:pPr>
              <w:pStyle w:val="BodyText"/>
              <w:rPr>
                <w:rFonts w:eastAsia="Calibri"/>
                <w:sz w:val="18"/>
                <w:szCs w:val="18"/>
              </w:rPr>
            </w:pPr>
            <w:r w:rsidRPr="004A21E8">
              <w:rPr>
                <w:rFonts w:eastAsia="Calibri"/>
                <w:sz w:val="18"/>
                <w:szCs w:val="18"/>
              </w:rPr>
              <w:t>$1,193.48</w:t>
            </w:r>
          </w:p>
        </w:tc>
        <w:tc>
          <w:tcPr>
            <w:tcW w:w="1060" w:type="dxa"/>
            <w:shd w:val="clear" w:color="auto" w:fill="auto"/>
            <w:noWrap/>
            <w:hideMark/>
          </w:tcPr>
          <w:p w14:paraId="0B4C4D82" w14:textId="77777777" w:rsidR="006A3B29" w:rsidRPr="004A21E8" w:rsidRDefault="006A3B29" w:rsidP="004A21E8">
            <w:pPr>
              <w:pStyle w:val="BodyText"/>
              <w:rPr>
                <w:rFonts w:eastAsia="Calibri"/>
                <w:sz w:val="18"/>
                <w:szCs w:val="18"/>
              </w:rPr>
            </w:pPr>
            <w:r w:rsidRPr="004A21E8">
              <w:rPr>
                <w:rFonts w:eastAsia="Calibri"/>
                <w:sz w:val="18"/>
                <w:szCs w:val="18"/>
              </w:rPr>
              <w:t>$1,211.10</w:t>
            </w:r>
          </w:p>
        </w:tc>
        <w:tc>
          <w:tcPr>
            <w:tcW w:w="1060" w:type="dxa"/>
            <w:shd w:val="clear" w:color="auto" w:fill="auto"/>
            <w:noWrap/>
            <w:hideMark/>
          </w:tcPr>
          <w:p w14:paraId="094623DE" w14:textId="77777777" w:rsidR="006A3B29" w:rsidRPr="004A21E8" w:rsidRDefault="006A3B29" w:rsidP="004A21E8">
            <w:pPr>
              <w:pStyle w:val="BodyText"/>
              <w:rPr>
                <w:rFonts w:eastAsia="Calibri"/>
                <w:sz w:val="18"/>
                <w:szCs w:val="18"/>
              </w:rPr>
            </w:pPr>
            <w:r w:rsidRPr="004A21E8">
              <w:rPr>
                <w:rFonts w:eastAsia="Calibri"/>
                <w:sz w:val="18"/>
                <w:szCs w:val="18"/>
              </w:rPr>
              <w:t>$1,234.22</w:t>
            </w:r>
          </w:p>
        </w:tc>
        <w:tc>
          <w:tcPr>
            <w:tcW w:w="1060" w:type="dxa"/>
            <w:shd w:val="clear" w:color="auto" w:fill="auto"/>
            <w:noWrap/>
            <w:hideMark/>
          </w:tcPr>
          <w:p w14:paraId="62DAA4B0" w14:textId="77777777" w:rsidR="006A3B29" w:rsidRPr="004A21E8" w:rsidRDefault="006A3B29" w:rsidP="004A21E8">
            <w:pPr>
              <w:pStyle w:val="BodyText"/>
              <w:rPr>
                <w:rFonts w:eastAsia="Calibri"/>
                <w:sz w:val="18"/>
                <w:szCs w:val="18"/>
              </w:rPr>
            </w:pPr>
            <w:r w:rsidRPr="004A21E8">
              <w:rPr>
                <w:rFonts w:eastAsia="Calibri"/>
                <w:sz w:val="18"/>
                <w:szCs w:val="18"/>
              </w:rPr>
              <w:t>$1,255.82</w:t>
            </w:r>
          </w:p>
        </w:tc>
        <w:tc>
          <w:tcPr>
            <w:tcW w:w="1060" w:type="dxa"/>
            <w:shd w:val="clear" w:color="auto" w:fill="auto"/>
            <w:noWrap/>
            <w:hideMark/>
          </w:tcPr>
          <w:p w14:paraId="78ECEA4D" w14:textId="77777777" w:rsidR="006A3B29" w:rsidRPr="004A21E8" w:rsidRDefault="006A3B29" w:rsidP="004A21E8">
            <w:pPr>
              <w:pStyle w:val="BodyText"/>
              <w:rPr>
                <w:rFonts w:eastAsia="Calibri"/>
                <w:sz w:val="18"/>
                <w:szCs w:val="18"/>
              </w:rPr>
            </w:pPr>
            <w:r w:rsidRPr="004A21E8">
              <w:rPr>
                <w:rFonts w:eastAsia="Calibri"/>
                <w:sz w:val="18"/>
                <w:szCs w:val="18"/>
              </w:rPr>
              <w:t>$1,284.08</w:t>
            </w:r>
          </w:p>
        </w:tc>
        <w:tc>
          <w:tcPr>
            <w:tcW w:w="1060" w:type="dxa"/>
            <w:shd w:val="clear" w:color="auto" w:fill="auto"/>
            <w:noWrap/>
            <w:hideMark/>
          </w:tcPr>
          <w:p w14:paraId="33E593BE" w14:textId="77777777" w:rsidR="006A3B29" w:rsidRPr="004A21E8" w:rsidRDefault="006A3B29" w:rsidP="004A21E8">
            <w:pPr>
              <w:pStyle w:val="BodyText"/>
              <w:rPr>
                <w:rFonts w:eastAsia="Calibri"/>
                <w:sz w:val="18"/>
                <w:szCs w:val="18"/>
              </w:rPr>
            </w:pPr>
            <w:r w:rsidRPr="004A21E8">
              <w:rPr>
                <w:rFonts w:eastAsia="Calibri"/>
                <w:sz w:val="18"/>
                <w:szCs w:val="18"/>
              </w:rPr>
              <w:t>$1,312.97</w:t>
            </w:r>
          </w:p>
        </w:tc>
        <w:tc>
          <w:tcPr>
            <w:tcW w:w="1060" w:type="dxa"/>
            <w:shd w:val="clear" w:color="auto" w:fill="auto"/>
            <w:noWrap/>
            <w:hideMark/>
          </w:tcPr>
          <w:p w14:paraId="0961BEF6" w14:textId="77777777" w:rsidR="006A3B29" w:rsidRPr="004A21E8" w:rsidRDefault="006A3B29" w:rsidP="004A21E8">
            <w:pPr>
              <w:pStyle w:val="BodyText"/>
              <w:rPr>
                <w:rFonts w:eastAsia="Calibri"/>
                <w:sz w:val="18"/>
                <w:szCs w:val="18"/>
              </w:rPr>
            </w:pPr>
            <w:r w:rsidRPr="004A21E8">
              <w:rPr>
                <w:rFonts w:eastAsia="Calibri"/>
                <w:sz w:val="18"/>
                <w:szCs w:val="18"/>
              </w:rPr>
              <w:t>$1,312.97</w:t>
            </w:r>
          </w:p>
        </w:tc>
        <w:tc>
          <w:tcPr>
            <w:tcW w:w="1060" w:type="dxa"/>
            <w:shd w:val="clear" w:color="auto" w:fill="auto"/>
            <w:noWrap/>
            <w:hideMark/>
          </w:tcPr>
          <w:p w14:paraId="05E79C2B" w14:textId="77777777" w:rsidR="006A3B29" w:rsidRPr="004A21E8" w:rsidRDefault="006A3B29" w:rsidP="004A21E8">
            <w:pPr>
              <w:pStyle w:val="BodyText"/>
              <w:rPr>
                <w:rFonts w:eastAsia="Calibri"/>
                <w:sz w:val="18"/>
                <w:szCs w:val="18"/>
              </w:rPr>
            </w:pPr>
            <w:r w:rsidRPr="004A21E8">
              <w:rPr>
                <w:rFonts w:eastAsia="Calibri"/>
                <w:sz w:val="18"/>
                <w:szCs w:val="18"/>
              </w:rPr>
              <w:t>$1,344.74</w:t>
            </w:r>
          </w:p>
        </w:tc>
        <w:tc>
          <w:tcPr>
            <w:tcW w:w="1060" w:type="dxa"/>
            <w:shd w:val="clear" w:color="auto" w:fill="auto"/>
            <w:noWrap/>
            <w:hideMark/>
          </w:tcPr>
          <w:p w14:paraId="215EC4F6" w14:textId="77777777" w:rsidR="006A3B29" w:rsidRPr="004A21E8" w:rsidRDefault="006A3B29" w:rsidP="004A21E8">
            <w:pPr>
              <w:pStyle w:val="BodyText"/>
              <w:rPr>
                <w:rFonts w:eastAsia="Calibri"/>
                <w:sz w:val="18"/>
                <w:szCs w:val="18"/>
              </w:rPr>
            </w:pPr>
            <w:r w:rsidRPr="004A21E8">
              <w:rPr>
                <w:rFonts w:eastAsia="Calibri"/>
                <w:sz w:val="18"/>
                <w:szCs w:val="18"/>
              </w:rPr>
              <w:t>$1,377.28</w:t>
            </w:r>
          </w:p>
        </w:tc>
        <w:tc>
          <w:tcPr>
            <w:tcW w:w="1060" w:type="dxa"/>
            <w:shd w:val="clear" w:color="auto" w:fill="auto"/>
            <w:noWrap/>
            <w:hideMark/>
          </w:tcPr>
          <w:p w14:paraId="4BB6D2B4" w14:textId="77777777" w:rsidR="006A3B29" w:rsidRPr="004A21E8" w:rsidRDefault="006A3B29" w:rsidP="004A21E8">
            <w:pPr>
              <w:pStyle w:val="BodyText"/>
              <w:rPr>
                <w:rFonts w:eastAsia="Calibri"/>
                <w:sz w:val="18"/>
                <w:szCs w:val="18"/>
              </w:rPr>
            </w:pPr>
            <w:r w:rsidRPr="004A21E8">
              <w:rPr>
                <w:rFonts w:eastAsia="Calibri"/>
                <w:sz w:val="18"/>
                <w:szCs w:val="18"/>
              </w:rPr>
              <w:t>$1,410.61</w:t>
            </w:r>
          </w:p>
        </w:tc>
      </w:tr>
      <w:tr w:rsidR="006A3B29" w:rsidRPr="004A21E8" w14:paraId="428E30A3" w14:textId="77777777" w:rsidTr="004A21E8">
        <w:trPr>
          <w:trHeight w:val="300"/>
        </w:trPr>
        <w:tc>
          <w:tcPr>
            <w:tcW w:w="4142" w:type="dxa"/>
            <w:shd w:val="clear" w:color="auto" w:fill="auto"/>
            <w:noWrap/>
            <w:hideMark/>
          </w:tcPr>
          <w:p w14:paraId="7DB3183D" w14:textId="77777777" w:rsidR="006A3B29" w:rsidRPr="004A21E8" w:rsidRDefault="006A3B29" w:rsidP="004A21E8">
            <w:pPr>
              <w:pStyle w:val="BodyText"/>
              <w:rPr>
                <w:rFonts w:eastAsia="Calibri"/>
                <w:b/>
                <w:bCs/>
                <w:sz w:val="18"/>
                <w:szCs w:val="18"/>
              </w:rPr>
            </w:pPr>
            <w:r w:rsidRPr="004A21E8">
              <w:rPr>
                <w:rFonts w:eastAsia="Calibri"/>
                <w:b/>
                <w:bCs/>
                <w:sz w:val="18"/>
                <w:szCs w:val="18"/>
              </w:rPr>
              <w:t>Public Lighting Poles/Columns;Minor Road</w:t>
            </w:r>
          </w:p>
        </w:tc>
        <w:tc>
          <w:tcPr>
            <w:tcW w:w="1060" w:type="dxa"/>
            <w:shd w:val="clear" w:color="auto" w:fill="auto"/>
            <w:noWrap/>
            <w:hideMark/>
          </w:tcPr>
          <w:p w14:paraId="5AB5C954" w14:textId="77777777" w:rsidR="006A3B29" w:rsidRPr="004A21E8" w:rsidRDefault="006A3B29" w:rsidP="004A21E8">
            <w:pPr>
              <w:pStyle w:val="BodyText"/>
              <w:rPr>
                <w:rFonts w:eastAsia="Calibri"/>
                <w:sz w:val="18"/>
                <w:szCs w:val="18"/>
              </w:rPr>
            </w:pPr>
            <w:r w:rsidRPr="004A21E8">
              <w:rPr>
                <w:rFonts w:eastAsia="Calibri"/>
                <w:sz w:val="18"/>
                <w:szCs w:val="18"/>
              </w:rPr>
              <w:t>$364.98</w:t>
            </w:r>
          </w:p>
        </w:tc>
        <w:tc>
          <w:tcPr>
            <w:tcW w:w="1060" w:type="dxa"/>
            <w:shd w:val="clear" w:color="auto" w:fill="auto"/>
            <w:noWrap/>
            <w:hideMark/>
          </w:tcPr>
          <w:p w14:paraId="0AF98E62" w14:textId="77777777" w:rsidR="006A3B29" w:rsidRPr="004A21E8" w:rsidRDefault="006A3B29" w:rsidP="004A21E8">
            <w:pPr>
              <w:pStyle w:val="BodyText"/>
              <w:rPr>
                <w:rFonts w:eastAsia="Calibri"/>
                <w:sz w:val="18"/>
                <w:szCs w:val="18"/>
              </w:rPr>
            </w:pPr>
            <w:r w:rsidRPr="004A21E8">
              <w:rPr>
                <w:rFonts w:eastAsia="Calibri"/>
                <w:sz w:val="18"/>
                <w:szCs w:val="18"/>
              </w:rPr>
              <w:t>$370.36</w:t>
            </w:r>
          </w:p>
        </w:tc>
        <w:tc>
          <w:tcPr>
            <w:tcW w:w="1060" w:type="dxa"/>
            <w:shd w:val="clear" w:color="auto" w:fill="auto"/>
            <w:noWrap/>
            <w:hideMark/>
          </w:tcPr>
          <w:p w14:paraId="22D80A8A" w14:textId="77777777" w:rsidR="006A3B29" w:rsidRPr="004A21E8" w:rsidRDefault="006A3B29" w:rsidP="004A21E8">
            <w:pPr>
              <w:pStyle w:val="BodyText"/>
              <w:rPr>
                <w:rFonts w:eastAsia="Calibri"/>
                <w:sz w:val="18"/>
                <w:szCs w:val="18"/>
              </w:rPr>
            </w:pPr>
            <w:r w:rsidRPr="004A21E8">
              <w:rPr>
                <w:rFonts w:eastAsia="Calibri"/>
                <w:sz w:val="18"/>
                <w:szCs w:val="18"/>
              </w:rPr>
              <w:t>$377.43</w:t>
            </w:r>
          </w:p>
        </w:tc>
        <w:tc>
          <w:tcPr>
            <w:tcW w:w="1060" w:type="dxa"/>
            <w:shd w:val="clear" w:color="auto" w:fill="auto"/>
            <w:noWrap/>
            <w:hideMark/>
          </w:tcPr>
          <w:p w14:paraId="551907CE" w14:textId="77777777" w:rsidR="006A3B29" w:rsidRPr="004A21E8" w:rsidRDefault="006A3B29" w:rsidP="004A21E8">
            <w:pPr>
              <w:pStyle w:val="BodyText"/>
              <w:rPr>
                <w:rFonts w:eastAsia="Calibri"/>
                <w:sz w:val="18"/>
                <w:szCs w:val="18"/>
              </w:rPr>
            </w:pPr>
            <w:r w:rsidRPr="004A21E8">
              <w:rPr>
                <w:rFonts w:eastAsia="Calibri"/>
                <w:sz w:val="18"/>
                <w:szCs w:val="18"/>
              </w:rPr>
              <w:t>$384.04</w:t>
            </w:r>
          </w:p>
        </w:tc>
        <w:tc>
          <w:tcPr>
            <w:tcW w:w="1060" w:type="dxa"/>
            <w:shd w:val="clear" w:color="auto" w:fill="auto"/>
            <w:noWrap/>
            <w:hideMark/>
          </w:tcPr>
          <w:p w14:paraId="3C4D421A" w14:textId="77777777" w:rsidR="006A3B29" w:rsidRPr="004A21E8" w:rsidRDefault="006A3B29" w:rsidP="004A21E8">
            <w:pPr>
              <w:pStyle w:val="BodyText"/>
              <w:rPr>
                <w:rFonts w:eastAsia="Calibri"/>
                <w:sz w:val="18"/>
                <w:szCs w:val="18"/>
              </w:rPr>
            </w:pPr>
            <w:r w:rsidRPr="004A21E8">
              <w:rPr>
                <w:rFonts w:eastAsia="Calibri"/>
                <w:sz w:val="18"/>
                <w:szCs w:val="18"/>
              </w:rPr>
              <w:t>$392.68</w:t>
            </w:r>
          </w:p>
        </w:tc>
        <w:tc>
          <w:tcPr>
            <w:tcW w:w="1060" w:type="dxa"/>
            <w:shd w:val="clear" w:color="auto" w:fill="auto"/>
            <w:noWrap/>
            <w:hideMark/>
          </w:tcPr>
          <w:p w14:paraId="7AEDB83B" w14:textId="77777777" w:rsidR="006A3B29" w:rsidRPr="004A21E8" w:rsidRDefault="006A3B29" w:rsidP="004A21E8">
            <w:pPr>
              <w:pStyle w:val="BodyText"/>
              <w:rPr>
                <w:rFonts w:eastAsia="Calibri"/>
                <w:sz w:val="18"/>
                <w:szCs w:val="18"/>
              </w:rPr>
            </w:pPr>
            <w:r w:rsidRPr="004A21E8">
              <w:rPr>
                <w:rFonts w:eastAsia="Calibri"/>
                <w:sz w:val="18"/>
                <w:szCs w:val="18"/>
              </w:rPr>
              <w:t>$401.52</w:t>
            </w:r>
          </w:p>
        </w:tc>
        <w:tc>
          <w:tcPr>
            <w:tcW w:w="1060" w:type="dxa"/>
            <w:shd w:val="clear" w:color="auto" w:fill="auto"/>
            <w:noWrap/>
            <w:hideMark/>
          </w:tcPr>
          <w:p w14:paraId="0CC1B901" w14:textId="77777777" w:rsidR="006A3B29" w:rsidRPr="004A21E8" w:rsidRDefault="006A3B29" w:rsidP="004A21E8">
            <w:pPr>
              <w:pStyle w:val="BodyText"/>
              <w:rPr>
                <w:rFonts w:eastAsia="Calibri"/>
                <w:sz w:val="18"/>
                <w:szCs w:val="18"/>
              </w:rPr>
            </w:pPr>
            <w:r w:rsidRPr="004A21E8">
              <w:rPr>
                <w:rFonts w:eastAsia="Calibri"/>
                <w:sz w:val="18"/>
                <w:szCs w:val="18"/>
              </w:rPr>
              <w:t>$401.52</w:t>
            </w:r>
          </w:p>
        </w:tc>
        <w:tc>
          <w:tcPr>
            <w:tcW w:w="1060" w:type="dxa"/>
            <w:shd w:val="clear" w:color="auto" w:fill="auto"/>
            <w:noWrap/>
            <w:hideMark/>
          </w:tcPr>
          <w:p w14:paraId="7EE321B8" w14:textId="77777777" w:rsidR="006A3B29" w:rsidRPr="004A21E8" w:rsidRDefault="006A3B29" w:rsidP="004A21E8">
            <w:pPr>
              <w:pStyle w:val="BodyText"/>
              <w:rPr>
                <w:rFonts w:eastAsia="Calibri"/>
                <w:sz w:val="18"/>
                <w:szCs w:val="18"/>
              </w:rPr>
            </w:pPr>
            <w:r w:rsidRPr="004A21E8">
              <w:rPr>
                <w:rFonts w:eastAsia="Calibri"/>
                <w:sz w:val="18"/>
                <w:szCs w:val="18"/>
              </w:rPr>
              <w:t>$411.23</w:t>
            </w:r>
          </w:p>
        </w:tc>
        <w:tc>
          <w:tcPr>
            <w:tcW w:w="1060" w:type="dxa"/>
            <w:shd w:val="clear" w:color="auto" w:fill="auto"/>
            <w:noWrap/>
            <w:hideMark/>
          </w:tcPr>
          <w:p w14:paraId="6A917F2F" w14:textId="77777777" w:rsidR="006A3B29" w:rsidRPr="004A21E8" w:rsidRDefault="006A3B29" w:rsidP="004A21E8">
            <w:pPr>
              <w:pStyle w:val="BodyText"/>
              <w:rPr>
                <w:rFonts w:eastAsia="Calibri"/>
                <w:sz w:val="18"/>
                <w:szCs w:val="18"/>
              </w:rPr>
            </w:pPr>
            <w:r w:rsidRPr="004A21E8">
              <w:rPr>
                <w:rFonts w:eastAsia="Calibri"/>
                <w:sz w:val="18"/>
                <w:szCs w:val="18"/>
              </w:rPr>
              <w:t>$421.18</w:t>
            </w:r>
          </w:p>
        </w:tc>
        <w:tc>
          <w:tcPr>
            <w:tcW w:w="1060" w:type="dxa"/>
            <w:shd w:val="clear" w:color="auto" w:fill="auto"/>
            <w:noWrap/>
            <w:hideMark/>
          </w:tcPr>
          <w:p w14:paraId="6AC92B47" w14:textId="77777777" w:rsidR="006A3B29" w:rsidRPr="004A21E8" w:rsidRDefault="006A3B29" w:rsidP="004A21E8">
            <w:pPr>
              <w:pStyle w:val="BodyText"/>
              <w:rPr>
                <w:rFonts w:eastAsia="Calibri"/>
                <w:sz w:val="18"/>
                <w:szCs w:val="18"/>
              </w:rPr>
            </w:pPr>
            <w:r w:rsidRPr="004A21E8">
              <w:rPr>
                <w:rFonts w:eastAsia="Calibri"/>
                <w:sz w:val="18"/>
                <w:szCs w:val="18"/>
              </w:rPr>
              <w:t>$431.38</w:t>
            </w:r>
          </w:p>
        </w:tc>
      </w:tr>
      <w:tr w:rsidR="006A3B29" w:rsidRPr="004A21E8" w14:paraId="5376FB24" w14:textId="77777777" w:rsidTr="004A21E8">
        <w:trPr>
          <w:trHeight w:val="300"/>
        </w:trPr>
        <w:tc>
          <w:tcPr>
            <w:tcW w:w="4142" w:type="dxa"/>
            <w:shd w:val="clear" w:color="auto" w:fill="auto"/>
            <w:noWrap/>
            <w:hideMark/>
          </w:tcPr>
          <w:p w14:paraId="63ECC224" w14:textId="77777777" w:rsidR="006A3B29" w:rsidRPr="004A21E8" w:rsidRDefault="006A3B29" w:rsidP="004A21E8">
            <w:pPr>
              <w:pStyle w:val="BodyText"/>
              <w:rPr>
                <w:rFonts w:eastAsia="Calibri"/>
                <w:b/>
                <w:bCs/>
                <w:sz w:val="18"/>
                <w:szCs w:val="18"/>
              </w:rPr>
            </w:pPr>
            <w:r w:rsidRPr="004A21E8">
              <w:rPr>
                <w:rFonts w:eastAsia="Calibri"/>
                <w:b/>
                <w:bCs/>
                <w:sz w:val="18"/>
                <w:szCs w:val="18"/>
              </w:rPr>
              <w:t>Photoelectric Cell</w:t>
            </w:r>
          </w:p>
        </w:tc>
        <w:tc>
          <w:tcPr>
            <w:tcW w:w="1060" w:type="dxa"/>
            <w:shd w:val="clear" w:color="auto" w:fill="auto"/>
            <w:noWrap/>
            <w:hideMark/>
          </w:tcPr>
          <w:p w14:paraId="0CE0D29F" w14:textId="77777777" w:rsidR="006A3B29" w:rsidRPr="004A21E8" w:rsidRDefault="006A3B29" w:rsidP="004A21E8">
            <w:pPr>
              <w:pStyle w:val="BodyText"/>
              <w:rPr>
                <w:rFonts w:eastAsia="Calibri"/>
                <w:sz w:val="18"/>
                <w:szCs w:val="18"/>
              </w:rPr>
            </w:pPr>
            <w:r w:rsidRPr="004A21E8">
              <w:rPr>
                <w:rFonts w:eastAsia="Calibri"/>
                <w:sz w:val="18"/>
                <w:szCs w:val="18"/>
              </w:rPr>
              <w:t>$8.29</w:t>
            </w:r>
          </w:p>
        </w:tc>
        <w:tc>
          <w:tcPr>
            <w:tcW w:w="1060" w:type="dxa"/>
            <w:shd w:val="clear" w:color="auto" w:fill="auto"/>
            <w:noWrap/>
            <w:hideMark/>
          </w:tcPr>
          <w:p w14:paraId="27FCD4B0" w14:textId="77777777" w:rsidR="006A3B29" w:rsidRPr="004A21E8" w:rsidRDefault="006A3B29" w:rsidP="004A21E8">
            <w:pPr>
              <w:pStyle w:val="BodyText"/>
              <w:rPr>
                <w:rFonts w:eastAsia="Calibri"/>
                <w:sz w:val="18"/>
                <w:szCs w:val="18"/>
              </w:rPr>
            </w:pPr>
            <w:r w:rsidRPr="004A21E8">
              <w:rPr>
                <w:rFonts w:eastAsia="Calibri"/>
                <w:sz w:val="18"/>
                <w:szCs w:val="18"/>
              </w:rPr>
              <w:t>$8.41</w:t>
            </w:r>
          </w:p>
        </w:tc>
        <w:tc>
          <w:tcPr>
            <w:tcW w:w="1060" w:type="dxa"/>
            <w:shd w:val="clear" w:color="auto" w:fill="auto"/>
            <w:noWrap/>
            <w:hideMark/>
          </w:tcPr>
          <w:p w14:paraId="29781CE2" w14:textId="77777777" w:rsidR="006A3B29" w:rsidRPr="004A21E8" w:rsidRDefault="006A3B29" w:rsidP="004A21E8">
            <w:pPr>
              <w:pStyle w:val="BodyText"/>
              <w:rPr>
                <w:rFonts w:eastAsia="Calibri"/>
                <w:sz w:val="18"/>
                <w:szCs w:val="18"/>
              </w:rPr>
            </w:pPr>
            <w:r w:rsidRPr="004A21E8">
              <w:rPr>
                <w:rFonts w:eastAsia="Calibri"/>
                <w:sz w:val="18"/>
                <w:szCs w:val="18"/>
              </w:rPr>
              <w:t>$8.57</w:t>
            </w:r>
          </w:p>
        </w:tc>
        <w:tc>
          <w:tcPr>
            <w:tcW w:w="1060" w:type="dxa"/>
            <w:shd w:val="clear" w:color="auto" w:fill="auto"/>
            <w:noWrap/>
            <w:hideMark/>
          </w:tcPr>
          <w:p w14:paraId="7FF8E5BC" w14:textId="77777777" w:rsidR="006A3B29" w:rsidRPr="004A21E8" w:rsidRDefault="006A3B29" w:rsidP="004A21E8">
            <w:pPr>
              <w:pStyle w:val="BodyText"/>
              <w:rPr>
                <w:rFonts w:eastAsia="Calibri"/>
                <w:sz w:val="18"/>
                <w:szCs w:val="18"/>
              </w:rPr>
            </w:pPr>
            <w:r w:rsidRPr="004A21E8">
              <w:rPr>
                <w:rFonts w:eastAsia="Calibri"/>
                <w:sz w:val="18"/>
                <w:szCs w:val="18"/>
              </w:rPr>
              <w:t>$8.72</w:t>
            </w:r>
          </w:p>
        </w:tc>
        <w:tc>
          <w:tcPr>
            <w:tcW w:w="1060" w:type="dxa"/>
            <w:shd w:val="clear" w:color="auto" w:fill="auto"/>
            <w:noWrap/>
            <w:hideMark/>
          </w:tcPr>
          <w:p w14:paraId="0A92631F" w14:textId="77777777" w:rsidR="006A3B29" w:rsidRPr="004A21E8" w:rsidRDefault="006A3B29" w:rsidP="004A21E8">
            <w:pPr>
              <w:pStyle w:val="BodyText"/>
              <w:rPr>
                <w:rFonts w:eastAsia="Calibri"/>
                <w:sz w:val="18"/>
                <w:szCs w:val="18"/>
              </w:rPr>
            </w:pPr>
            <w:r w:rsidRPr="004A21E8">
              <w:rPr>
                <w:rFonts w:eastAsia="Calibri"/>
                <w:sz w:val="18"/>
                <w:szCs w:val="18"/>
              </w:rPr>
              <w:t>$8.92</w:t>
            </w:r>
          </w:p>
        </w:tc>
        <w:tc>
          <w:tcPr>
            <w:tcW w:w="1060" w:type="dxa"/>
            <w:shd w:val="clear" w:color="auto" w:fill="auto"/>
            <w:noWrap/>
            <w:hideMark/>
          </w:tcPr>
          <w:p w14:paraId="2CF15FA0" w14:textId="77777777" w:rsidR="006A3B29" w:rsidRPr="004A21E8" w:rsidRDefault="006A3B29" w:rsidP="004A21E8">
            <w:pPr>
              <w:pStyle w:val="BodyText"/>
              <w:rPr>
                <w:rFonts w:eastAsia="Calibri"/>
                <w:sz w:val="18"/>
                <w:szCs w:val="18"/>
              </w:rPr>
            </w:pPr>
            <w:r w:rsidRPr="004A21E8">
              <w:rPr>
                <w:rFonts w:eastAsia="Calibri"/>
                <w:sz w:val="18"/>
                <w:szCs w:val="18"/>
              </w:rPr>
              <w:t>$9.12</w:t>
            </w:r>
          </w:p>
        </w:tc>
        <w:tc>
          <w:tcPr>
            <w:tcW w:w="1060" w:type="dxa"/>
            <w:shd w:val="clear" w:color="auto" w:fill="auto"/>
            <w:noWrap/>
            <w:hideMark/>
          </w:tcPr>
          <w:p w14:paraId="42EE3BEA" w14:textId="77777777" w:rsidR="006A3B29" w:rsidRPr="004A21E8" w:rsidRDefault="006A3B29" w:rsidP="004A21E8">
            <w:pPr>
              <w:pStyle w:val="BodyText"/>
              <w:rPr>
                <w:rFonts w:eastAsia="Calibri"/>
                <w:sz w:val="18"/>
                <w:szCs w:val="18"/>
              </w:rPr>
            </w:pPr>
            <w:r w:rsidRPr="004A21E8">
              <w:rPr>
                <w:rFonts w:eastAsia="Calibri"/>
                <w:sz w:val="18"/>
                <w:szCs w:val="18"/>
              </w:rPr>
              <w:t>$9.12</w:t>
            </w:r>
          </w:p>
        </w:tc>
        <w:tc>
          <w:tcPr>
            <w:tcW w:w="1060" w:type="dxa"/>
            <w:shd w:val="clear" w:color="auto" w:fill="auto"/>
            <w:noWrap/>
            <w:hideMark/>
          </w:tcPr>
          <w:p w14:paraId="487D6217" w14:textId="77777777" w:rsidR="006A3B29" w:rsidRPr="004A21E8" w:rsidRDefault="006A3B29" w:rsidP="004A21E8">
            <w:pPr>
              <w:pStyle w:val="BodyText"/>
              <w:rPr>
                <w:rFonts w:eastAsia="Calibri"/>
                <w:sz w:val="18"/>
                <w:szCs w:val="18"/>
              </w:rPr>
            </w:pPr>
            <w:r w:rsidRPr="004A21E8">
              <w:rPr>
                <w:rFonts w:eastAsia="Calibri"/>
                <w:sz w:val="18"/>
                <w:szCs w:val="18"/>
              </w:rPr>
              <w:t>$9.34</w:t>
            </w:r>
          </w:p>
        </w:tc>
        <w:tc>
          <w:tcPr>
            <w:tcW w:w="1060" w:type="dxa"/>
            <w:shd w:val="clear" w:color="auto" w:fill="auto"/>
            <w:noWrap/>
            <w:hideMark/>
          </w:tcPr>
          <w:p w14:paraId="0D28DD48" w14:textId="77777777" w:rsidR="006A3B29" w:rsidRPr="004A21E8" w:rsidRDefault="006A3B29" w:rsidP="004A21E8">
            <w:pPr>
              <w:pStyle w:val="BodyText"/>
              <w:rPr>
                <w:rFonts w:eastAsia="Calibri"/>
                <w:sz w:val="18"/>
                <w:szCs w:val="18"/>
              </w:rPr>
            </w:pPr>
            <w:r w:rsidRPr="004A21E8">
              <w:rPr>
                <w:rFonts w:eastAsia="Calibri"/>
                <w:sz w:val="18"/>
                <w:szCs w:val="18"/>
              </w:rPr>
              <w:t>$9.56</w:t>
            </w:r>
          </w:p>
        </w:tc>
        <w:tc>
          <w:tcPr>
            <w:tcW w:w="1060" w:type="dxa"/>
            <w:shd w:val="clear" w:color="auto" w:fill="auto"/>
            <w:noWrap/>
            <w:hideMark/>
          </w:tcPr>
          <w:p w14:paraId="73BDCD39" w14:textId="77777777" w:rsidR="006A3B29" w:rsidRPr="004A21E8" w:rsidRDefault="006A3B29" w:rsidP="004A21E8">
            <w:pPr>
              <w:pStyle w:val="BodyText"/>
              <w:rPr>
                <w:rFonts w:eastAsia="Calibri"/>
                <w:sz w:val="18"/>
                <w:szCs w:val="18"/>
              </w:rPr>
            </w:pPr>
            <w:r w:rsidRPr="004A21E8">
              <w:rPr>
                <w:rFonts w:eastAsia="Calibri"/>
                <w:sz w:val="18"/>
                <w:szCs w:val="18"/>
              </w:rPr>
              <w:t>$9.79</w:t>
            </w:r>
          </w:p>
        </w:tc>
      </w:tr>
    </w:tbl>
    <w:p w14:paraId="168D829A" w14:textId="77777777" w:rsidR="0098732F" w:rsidRDefault="0098732F" w:rsidP="00A65B49">
      <w:pPr>
        <w:pStyle w:val="BodyText"/>
      </w:pPr>
    </w:p>
    <w:p w14:paraId="4DD7FE59" w14:textId="77777777" w:rsidR="0098732F" w:rsidRDefault="0098732F" w:rsidP="00A65B49">
      <w:pPr>
        <w:pStyle w:val="BodyText"/>
      </w:pPr>
    </w:p>
    <w:p w14:paraId="72458335" w14:textId="77777777" w:rsidR="0098732F" w:rsidRDefault="0098732F" w:rsidP="00A65B49">
      <w:pPr>
        <w:pStyle w:val="BodyText"/>
      </w:pPr>
    </w:p>
    <w:p w14:paraId="6FC77127" w14:textId="77777777" w:rsidR="0098732F" w:rsidRDefault="0098732F" w:rsidP="00A65B49">
      <w:pPr>
        <w:pStyle w:val="BodyText"/>
      </w:pPr>
    </w:p>
    <w:p w14:paraId="514CCA65" w14:textId="77777777" w:rsidR="0098732F" w:rsidRDefault="0098732F" w:rsidP="00A65B49">
      <w:pPr>
        <w:pStyle w:val="BodyText"/>
      </w:pPr>
    </w:p>
    <w:p w14:paraId="09FD6DD2" w14:textId="77777777" w:rsidR="0098732F" w:rsidRPr="00A65B49" w:rsidRDefault="0098732F" w:rsidP="00A65B49">
      <w:pPr>
        <w:pStyle w:val="BodyText"/>
        <w:sectPr w:rsidR="0098732F" w:rsidRPr="00A65B49" w:rsidSect="00E169B4">
          <w:headerReference w:type="even" r:id="rId25"/>
          <w:footerReference w:type="first" r:id="rId26"/>
          <w:pgSz w:w="16838" w:h="11906" w:orient="landscape" w:code="9"/>
          <w:pgMar w:top="1418" w:right="1418" w:bottom="1418" w:left="851" w:header="709" w:footer="567" w:gutter="0"/>
          <w:pgBorders w:offsetFrom="page">
            <w:top w:val="single" w:sz="26" w:space="9" w:color="000000" w:shadow="1" w:frame="1"/>
            <w:left w:val="none" w:sz="0" w:space="20" w:color="DA0600" w:shadow="1"/>
            <w:bottom w:val="none" w:sz="0" w:space="6" w:color="183200" w:shadow="1"/>
            <w:right w:val="none" w:sz="22" w:space="21" w:color="000004" w:shadow="1"/>
          </w:pgBorders>
          <w:cols w:space="708"/>
          <w:docGrid w:linePitch="360"/>
        </w:sectPr>
      </w:pPr>
    </w:p>
    <w:p w14:paraId="5A6ABEB2" w14:textId="77777777" w:rsidR="00EA6E63" w:rsidRDefault="002950A3" w:rsidP="002950A3">
      <w:pPr>
        <w:pStyle w:val="Heading1"/>
      </w:pPr>
      <w:bookmarkStart w:id="6" w:name="_Toc534635074"/>
      <w:r>
        <w:t>Material Assumptions</w:t>
      </w:r>
      <w:bookmarkEnd w:id="6"/>
    </w:p>
    <w:p w14:paraId="4C228F5A" w14:textId="77777777" w:rsidR="00E377F0" w:rsidRPr="00E377F0" w:rsidRDefault="00E377F0" w:rsidP="00E377F0">
      <w:pPr>
        <w:pStyle w:val="BodyCopy"/>
      </w:pPr>
      <w:r w:rsidRPr="00E377F0">
        <w:t xml:space="preserve">All material assumptions relied upon by Energex </w:t>
      </w:r>
      <w:r w:rsidR="00721E4D">
        <w:t xml:space="preserve">for </w:t>
      </w:r>
      <w:r w:rsidRPr="00E377F0">
        <w:t xml:space="preserve">the purposes of preparing the </w:t>
      </w:r>
      <w:r w:rsidR="00721E4D">
        <w:t>R</w:t>
      </w:r>
      <w:r w:rsidR="00721E4D" w:rsidRPr="00E377F0">
        <w:t xml:space="preserve">egulatory </w:t>
      </w:r>
      <w:r w:rsidR="00721E4D">
        <w:t>P</w:t>
      </w:r>
      <w:r w:rsidR="00721E4D" w:rsidRPr="00E377F0">
        <w:t xml:space="preserve">roposal </w:t>
      </w:r>
      <w:r w:rsidRPr="00E377F0">
        <w:t xml:space="preserve">have been disclosed in Table </w:t>
      </w:r>
      <w:r w:rsidR="00721E4D">
        <w:t>3</w:t>
      </w:r>
      <w:r w:rsidR="00721E4D" w:rsidRPr="00E377F0">
        <w:t xml:space="preserve"> </w:t>
      </w:r>
      <w:r w:rsidRPr="00E377F0">
        <w:t xml:space="preserve">below. </w:t>
      </w:r>
    </w:p>
    <w:p w14:paraId="64E23D9E" w14:textId="77777777" w:rsidR="00E377F0" w:rsidRPr="00E377F0" w:rsidRDefault="00E377F0" w:rsidP="00E377F0">
      <w:pPr>
        <w:pStyle w:val="BodyCopy"/>
      </w:pPr>
    </w:p>
    <w:p w14:paraId="5662D301" w14:textId="77777777" w:rsidR="00E377F0" w:rsidRPr="00E377F0" w:rsidRDefault="00E377F0" w:rsidP="00E377F0">
      <w:pPr>
        <w:pStyle w:val="BodyCopy"/>
      </w:pPr>
      <w:r w:rsidRPr="00E377F0">
        <w:t xml:space="preserve">Table </w:t>
      </w:r>
      <w:r w:rsidR="00721E4D">
        <w:t>3</w:t>
      </w:r>
      <w:r w:rsidR="00721E4D" w:rsidRPr="00E377F0">
        <w:t xml:space="preserve"> </w:t>
      </w:r>
      <w:r w:rsidRPr="00E377F0">
        <w:t xml:space="preserve">provides responses to the following Schedule 1 requirement in the Reset RIN: </w:t>
      </w:r>
    </w:p>
    <w:p w14:paraId="2845A9D4" w14:textId="77777777" w:rsidR="00E377F0" w:rsidRPr="00E377F0" w:rsidRDefault="00E377F0" w:rsidP="00E377F0">
      <w:pPr>
        <w:pStyle w:val="ListBullet"/>
        <w:ind w:left="709" w:hanging="283"/>
      </w:pPr>
      <w:r w:rsidRPr="00E377F0">
        <w:t>1.4(b) Provide all material assumptions</w:t>
      </w:r>
    </w:p>
    <w:p w14:paraId="1390E30A" w14:textId="77777777" w:rsidR="00E377F0" w:rsidRPr="00E377F0" w:rsidRDefault="00E377F0" w:rsidP="00E377F0">
      <w:pPr>
        <w:pStyle w:val="ListBullet"/>
        <w:ind w:left="709" w:hanging="283"/>
      </w:pPr>
      <w:r w:rsidRPr="00E377F0">
        <w:t xml:space="preserve">1.5(a) Provide the source or basis of each material assumption </w:t>
      </w:r>
    </w:p>
    <w:p w14:paraId="3862B2E0" w14:textId="77777777" w:rsidR="00E377F0" w:rsidRPr="00E377F0" w:rsidRDefault="00E377F0" w:rsidP="00E377F0">
      <w:pPr>
        <w:pStyle w:val="ListBullet"/>
        <w:ind w:left="709" w:hanging="283"/>
      </w:pPr>
      <w:r w:rsidRPr="00E377F0">
        <w:t xml:space="preserve">1.5(b) If applicable, provide the assumption’s quantum </w:t>
      </w:r>
    </w:p>
    <w:p w14:paraId="3D7516B7" w14:textId="77777777" w:rsidR="00E377F0" w:rsidRPr="00E377F0" w:rsidRDefault="00E377F0" w:rsidP="00E377F0">
      <w:pPr>
        <w:pStyle w:val="ListBullet"/>
        <w:ind w:left="709" w:hanging="283"/>
      </w:pPr>
      <w:r w:rsidRPr="00E377F0">
        <w:t>1.5(c) Whether and how the assumption has been applied and was taken into account</w:t>
      </w:r>
      <w:r w:rsidR="00721E4D">
        <w:t>, and</w:t>
      </w:r>
    </w:p>
    <w:p w14:paraId="4FF52E11" w14:textId="77777777" w:rsidR="00E377F0" w:rsidRPr="00E377F0" w:rsidRDefault="00E377F0" w:rsidP="00E377F0">
      <w:pPr>
        <w:pStyle w:val="ListBullet"/>
        <w:ind w:left="709" w:hanging="283"/>
      </w:pPr>
      <w:r w:rsidRPr="00E377F0">
        <w:t xml:space="preserve">1.5(d) The effect or impact of the assumption on the capital and operating expenditure forecasts in the forthcoming regulatory control period taking into account: </w:t>
      </w:r>
    </w:p>
    <w:p w14:paraId="0BF515E0" w14:textId="77777777" w:rsidR="00E377F0" w:rsidRPr="00E377F0" w:rsidRDefault="00E377F0" w:rsidP="00E377F0">
      <w:pPr>
        <w:pStyle w:val="ListLetter"/>
        <w:numPr>
          <w:ilvl w:val="0"/>
          <w:numId w:val="0"/>
        </w:numPr>
        <w:ind w:left="993"/>
      </w:pPr>
      <w:r w:rsidRPr="00E377F0">
        <w:t>(i)  The actual expenditure incurred during the current regulatory control period</w:t>
      </w:r>
      <w:r w:rsidR="00721E4D">
        <w:t>, and</w:t>
      </w:r>
    </w:p>
    <w:p w14:paraId="5454E1BB" w14:textId="77777777" w:rsidR="00E377F0" w:rsidRDefault="00E377F0" w:rsidP="00E377F0">
      <w:pPr>
        <w:pStyle w:val="ListLetter"/>
        <w:numPr>
          <w:ilvl w:val="0"/>
          <w:numId w:val="0"/>
        </w:numPr>
        <w:ind w:left="993"/>
      </w:pPr>
      <w:r w:rsidRPr="00E377F0">
        <w:t>(ii) The sensitivity of the forecast expenditure to the assumption.</w:t>
      </w:r>
      <w:r>
        <w:t xml:space="preserve"> </w:t>
      </w:r>
    </w:p>
    <w:p w14:paraId="576494FB" w14:textId="77777777" w:rsidR="00E377F0" w:rsidRDefault="00E377F0" w:rsidP="00E377F0">
      <w:pPr>
        <w:pStyle w:val="ListLetter"/>
        <w:numPr>
          <w:ilvl w:val="0"/>
          <w:numId w:val="0"/>
        </w:numPr>
        <w:ind w:left="993"/>
      </w:pPr>
    </w:p>
    <w:p w14:paraId="48B4370D" w14:textId="77777777" w:rsidR="00E377F0" w:rsidRDefault="00E377F0" w:rsidP="00E377F0">
      <w:pPr>
        <w:pStyle w:val="ListLetter"/>
        <w:numPr>
          <w:ilvl w:val="0"/>
          <w:numId w:val="0"/>
        </w:numPr>
        <w:ind w:left="993"/>
        <w:sectPr w:rsidR="00E377F0" w:rsidSect="00E169B4">
          <w:pgSz w:w="11906" w:h="16838" w:code="9"/>
          <w:pgMar w:top="1418" w:right="1418" w:bottom="567" w:left="1418" w:header="709" w:footer="567" w:gutter="0"/>
          <w:pgBorders w:offsetFrom="page">
            <w:top w:val="single" w:sz="26" w:space="9" w:color="000000" w:shadow="1" w:frame="1"/>
            <w:left w:val="none" w:sz="0" w:space="20" w:color="DA0600" w:shadow="1"/>
            <w:bottom w:val="none" w:sz="0" w:space="6" w:color="183200" w:shadow="1"/>
            <w:right w:val="none" w:sz="22" w:space="21" w:color="000004" w:shadow="1"/>
          </w:pgBorders>
          <w:cols w:space="708"/>
          <w:docGrid w:linePitch="360"/>
        </w:sectPr>
      </w:pPr>
    </w:p>
    <w:p w14:paraId="44B0CDB5" w14:textId="77777777" w:rsidR="00E377F0" w:rsidRDefault="006A3B29" w:rsidP="00E377F0">
      <w:pPr>
        <w:pStyle w:val="ListLetter"/>
        <w:numPr>
          <w:ilvl w:val="0"/>
          <w:numId w:val="0"/>
        </w:numPr>
        <w:ind w:left="993"/>
        <w:rPr>
          <w:b/>
          <w:sz w:val="24"/>
          <w:szCs w:val="24"/>
        </w:rPr>
      </w:pPr>
      <w:r>
        <w:rPr>
          <w:b/>
          <w:sz w:val="24"/>
          <w:szCs w:val="24"/>
        </w:rPr>
        <w:t>Table 3</w:t>
      </w:r>
      <w:r w:rsidR="00E377F0" w:rsidRPr="00E377F0">
        <w:rPr>
          <w:b/>
          <w:sz w:val="24"/>
          <w:szCs w:val="24"/>
        </w:rPr>
        <w:t>: Material Assumptions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2C5697"/>
        <w:tblLook w:val="04A0" w:firstRow="1" w:lastRow="0" w:firstColumn="1" w:lastColumn="0" w:noHBand="0" w:noVBand="1"/>
      </w:tblPr>
      <w:tblGrid>
        <w:gridCol w:w="1495"/>
        <w:gridCol w:w="2284"/>
        <w:gridCol w:w="2285"/>
        <w:gridCol w:w="2285"/>
        <w:gridCol w:w="2285"/>
        <w:gridCol w:w="1722"/>
        <w:gridCol w:w="1305"/>
        <w:gridCol w:w="1408"/>
      </w:tblGrid>
      <w:tr w:rsidR="00E377F0" w:rsidRPr="00945ED2" w14:paraId="7A84C50B" w14:textId="77777777" w:rsidTr="00945ED2">
        <w:trPr>
          <w:cantSplit/>
          <w:tblHeader/>
        </w:trPr>
        <w:tc>
          <w:tcPr>
            <w:tcW w:w="487" w:type="pct"/>
            <w:tcBorders>
              <w:top w:val="single" w:sz="4" w:space="0" w:color="FFFFFF"/>
              <w:left w:val="single" w:sz="4" w:space="0" w:color="FFFFFF"/>
              <w:right w:val="nil"/>
            </w:tcBorders>
            <w:shd w:val="clear" w:color="auto" w:fill="0070C0"/>
          </w:tcPr>
          <w:p w14:paraId="4DD06661" w14:textId="77777777" w:rsidR="00E377F0" w:rsidRPr="00945ED2" w:rsidRDefault="00E377F0" w:rsidP="00945ED2">
            <w:pPr>
              <w:pStyle w:val="BodyCopy"/>
              <w:spacing w:after="0" w:line="288" w:lineRule="exact"/>
              <w:jc w:val="center"/>
              <w:rPr>
                <w:b/>
                <w:bCs/>
                <w:color w:val="FFFFFF"/>
                <w:szCs w:val="20"/>
              </w:rPr>
            </w:pPr>
            <w:r w:rsidRPr="00945ED2">
              <w:rPr>
                <w:b/>
                <w:bCs/>
                <w:color w:val="FFFFFF"/>
                <w:szCs w:val="20"/>
              </w:rPr>
              <w:t>Issue</w:t>
            </w:r>
          </w:p>
        </w:tc>
        <w:tc>
          <w:tcPr>
            <w:tcW w:w="763" w:type="pct"/>
            <w:tcBorders>
              <w:top w:val="single" w:sz="4" w:space="0" w:color="FFFFFF"/>
              <w:left w:val="nil"/>
              <w:right w:val="nil"/>
            </w:tcBorders>
            <w:shd w:val="clear" w:color="auto" w:fill="0070C0"/>
          </w:tcPr>
          <w:p w14:paraId="4EF477F8" w14:textId="77777777" w:rsidR="00E377F0" w:rsidRPr="00945ED2" w:rsidRDefault="00E377F0" w:rsidP="00945ED2">
            <w:pPr>
              <w:pStyle w:val="BodyCopy"/>
              <w:spacing w:after="0" w:line="288" w:lineRule="exact"/>
              <w:jc w:val="center"/>
              <w:rPr>
                <w:b/>
                <w:bCs/>
                <w:color w:val="FFFFFF"/>
                <w:szCs w:val="20"/>
              </w:rPr>
            </w:pPr>
            <w:r w:rsidRPr="00945ED2">
              <w:rPr>
                <w:b/>
                <w:bCs/>
                <w:color w:val="FFFFFF"/>
                <w:szCs w:val="20"/>
              </w:rPr>
              <w:t>Assumption</w:t>
            </w:r>
          </w:p>
        </w:tc>
        <w:tc>
          <w:tcPr>
            <w:tcW w:w="763" w:type="pct"/>
            <w:tcBorders>
              <w:top w:val="single" w:sz="4" w:space="0" w:color="FFFFFF"/>
              <w:left w:val="nil"/>
              <w:right w:val="nil"/>
            </w:tcBorders>
            <w:shd w:val="clear" w:color="auto" w:fill="0070C0"/>
          </w:tcPr>
          <w:p w14:paraId="13AB520B" w14:textId="77777777" w:rsidR="00E377F0" w:rsidRPr="00945ED2" w:rsidRDefault="00E377F0" w:rsidP="00945ED2">
            <w:pPr>
              <w:pStyle w:val="BodyCopy"/>
              <w:spacing w:after="0" w:line="288" w:lineRule="exact"/>
              <w:jc w:val="center"/>
              <w:rPr>
                <w:b/>
                <w:bCs/>
                <w:color w:val="FFFFFF"/>
                <w:szCs w:val="20"/>
              </w:rPr>
            </w:pPr>
            <w:r w:rsidRPr="00945ED2">
              <w:rPr>
                <w:b/>
                <w:bCs/>
                <w:color w:val="FFFFFF"/>
                <w:szCs w:val="20"/>
              </w:rPr>
              <w:t>Rationale for “reasonableness”</w:t>
            </w:r>
          </w:p>
        </w:tc>
        <w:tc>
          <w:tcPr>
            <w:tcW w:w="763" w:type="pct"/>
            <w:tcBorders>
              <w:top w:val="single" w:sz="4" w:space="0" w:color="FFFFFF"/>
              <w:left w:val="nil"/>
              <w:right w:val="nil"/>
            </w:tcBorders>
            <w:shd w:val="clear" w:color="auto" w:fill="0070C0"/>
          </w:tcPr>
          <w:p w14:paraId="2E772785" w14:textId="77777777" w:rsidR="00E377F0" w:rsidRPr="00945ED2" w:rsidRDefault="00E377F0" w:rsidP="00945ED2">
            <w:pPr>
              <w:pStyle w:val="BodyCopy"/>
              <w:spacing w:after="0" w:line="288" w:lineRule="exact"/>
              <w:jc w:val="center"/>
              <w:rPr>
                <w:b/>
                <w:bCs/>
                <w:color w:val="FFFFFF"/>
                <w:szCs w:val="20"/>
              </w:rPr>
            </w:pPr>
            <w:r w:rsidRPr="00945ED2">
              <w:rPr>
                <w:b/>
                <w:bCs/>
                <w:color w:val="FFFFFF"/>
                <w:szCs w:val="20"/>
              </w:rPr>
              <w:t>Source/Basis</w:t>
            </w:r>
          </w:p>
        </w:tc>
        <w:tc>
          <w:tcPr>
            <w:tcW w:w="763" w:type="pct"/>
            <w:tcBorders>
              <w:top w:val="single" w:sz="4" w:space="0" w:color="FFFFFF"/>
              <w:left w:val="nil"/>
              <w:right w:val="nil"/>
            </w:tcBorders>
            <w:shd w:val="clear" w:color="auto" w:fill="0070C0"/>
          </w:tcPr>
          <w:p w14:paraId="2C33E3A6" w14:textId="77777777" w:rsidR="00E377F0" w:rsidRPr="00945ED2" w:rsidRDefault="00E377F0" w:rsidP="00945ED2">
            <w:pPr>
              <w:pStyle w:val="BodyCopy"/>
              <w:spacing w:after="0" w:line="288" w:lineRule="exact"/>
              <w:jc w:val="center"/>
              <w:rPr>
                <w:b/>
                <w:bCs/>
                <w:color w:val="FFFFFF"/>
                <w:szCs w:val="20"/>
              </w:rPr>
            </w:pPr>
            <w:r w:rsidRPr="00945ED2">
              <w:rPr>
                <w:b/>
                <w:bCs/>
                <w:color w:val="FFFFFF"/>
                <w:szCs w:val="20"/>
              </w:rPr>
              <w:t xml:space="preserve">Assurance Review </w:t>
            </w:r>
          </w:p>
        </w:tc>
        <w:tc>
          <w:tcPr>
            <w:tcW w:w="561" w:type="pct"/>
            <w:tcBorders>
              <w:top w:val="single" w:sz="4" w:space="0" w:color="FFFFFF"/>
              <w:left w:val="nil"/>
              <w:right w:val="nil"/>
            </w:tcBorders>
            <w:shd w:val="clear" w:color="auto" w:fill="0070C0"/>
          </w:tcPr>
          <w:p w14:paraId="5DB111F9" w14:textId="77777777" w:rsidR="00E377F0" w:rsidRPr="00945ED2" w:rsidRDefault="00E377F0" w:rsidP="00945ED2">
            <w:pPr>
              <w:pStyle w:val="BodyCopy"/>
              <w:spacing w:after="0" w:line="288" w:lineRule="exact"/>
              <w:jc w:val="center"/>
              <w:rPr>
                <w:b/>
                <w:bCs/>
                <w:color w:val="FFFFFF"/>
                <w:szCs w:val="20"/>
              </w:rPr>
            </w:pPr>
            <w:r w:rsidRPr="00945ED2">
              <w:rPr>
                <w:b/>
                <w:bCs/>
                <w:color w:val="FFFFFF"/>
                <w:szCs w:val="20"/>
              </w:rPr>
              <w:t>Quantum</w:t>
            </w:r>
          </w:p>
        </w:tc>
        <w:tc>
          <w:tcPr>
            <w:tcW w:w="426" w:type="pct"/>
            <w:tcBorders>
              <w:top w:val="single" w:sz="4" w:space="0" w:color="FFFFFF"/>
              <w:left w:val="nil"/>
              <w:right w:val="nil"/>
            </w:tcBorders>
            <w:shd w:val="clear" w:color="auto" w:fill="0070C0"/>
          </w:tcPr>
          <w:p w14:paraId="6D0B5FE9" w14:textId="77777777" w:rsidR="00E377F0" w:rsidRPr="00945ED2" w:rsidRDefault="00E377F0" w:rsidP="00945ED2">
            <w:pPr>
              <w:pStyle w:val="BodyCopy"/>
              <w:spacing w:after="0" w:line="288" w:lineRule="exact"/>
              <w:jc w:val="center"/>
              <w:rPr>
                <w:b/>
                <w:bCs/>
                <w:color w:val="FFFFFF"/>
                <w:szCs w:val="20"/>
              </w:rPr>
            </w:pPr>
            <w:r w:rsidRPr="00945ED2">
              <w:rPr>
                <w:b/>
                <w:bCs/>
                <w:color w:val="FFFFFF"/>
                <w:szCs w:val="20"/>
              </w:rPr>
              <w:t>Application</w:t>
            </w:r>
          </w:p>
        </w:tc>
        <w:tc>
          <w:tcPr>
            <w:tcW w:w="472" w:type="pct"/>
            <w:tcBorders>
              <w:top w:val="single" w:sz="4" w:space="0" w:color="FFFFFF"/>
              <w:left w:val="nil"/>
              <w:right w:val="single" w:sz="4" w:space="0" w:color="FFFFFF"/>
            </w:tcBorders>
            <w:shd w:val="clear" w:color="auto" w:fill="0070C0"/>
          </w:tcPr>
          <w:p w14:paraId="686B6168" w14:textId="77777777" w:rsidR="00E377F0" w:rsidRPr="00945ED2" w:rsidRDefault="00E377F0" w:rsidP="00945ED2">
            <w:pPr>
              <w:pStyle w:val="BodyCopy"/>
              <w:spacing w:after="0" w:line="288" w:lineRule="exact"/>
              <w:jc w:val="center"/>
              <w:rPr>
                <w:b/>
                <w:bCs/>
                <w:color w:val="FFFFFF"/>
                <w:szCs w:val="20"/>
              </w:rPr>
            </w:pPr>
            <w:r w:rsidRPr="00945ED2">
              <w:rPr>
                <w:b/>
                <w:bCs/>
                <w:color w:val="FFFFFF"/>
                <w:szCs w:val="20"/>
              </w:rPr>
              <w:t>Impact sensitivity</w:t>
            </w:r>
          </w:p>
        </w:tc>
      </w:tr>
      <w:tr w:rsidR="00E377F0" w:rsidRPr="00945ED2" w14:paraId="6562B0C2" w14:textId="77777777" w:rsidTr="00945ED2">
        <w:trPr>
          <w:cantSplit/>
        </w:trPr>
        <w:tc>
          <w:tcPr>
            <w:tcW w:w="487" w:type="pct"/>
            <w:tcBorders>
              <w:left w:val="single" w:sz="4" w:space="0" w:color="FFFFFF"/>
            </w:tcBorders>
            <w:shd w:val="clear" w:color="auto" w:fill="0070C0"/>
          </w:tcPr>
          <w:p w14:paraId="52883746" w14:textId="77777777" w:rsidR="00E377F0" w:rsidRPr="00945ED2" w:rsidRDefault="00E377F0" w:rsidP="00945ED2">
            <w:pPr>
              <w:pStyle w:val="BodyCopy"/>
              <w:spacing w:after="0" w:line="288" w:lineRule="exact"/>
              <w:rPr>
                <w:b/>
                <w:bCs/>
                <w:color w:val="FFFFFF"/>
                <w:szCs w:val="20"/>
              </w:rPr>
            </w:pPr>
            <w:r w:rsidRPr="00945ED2">
              <w:rPr>
                <w:bCs/>
                <w:color w:val="FFFFFF"/>
                <w:szCs w:val="20"/>
              </w:rPr>
              <w:t xml:space="preserve">Structure and ownership </w:t>
            </w:r>
          </w:p>
        </w:tc>
        <w:tc>
          <w:tcPr>
            <w:tcW w:w="763" w:type="pct"/>
            <w:shd w:val="clear" w:color="auto" w:fill="auto"/>
          </w:tcPr>
          <w:p w14:paraId="4EBD5112" w14:textId="77777777" w:rsidR="00E377F0" w:rsidRPr="00945ED2" w:rsidRDefault="00E377F0" w:rsidP="00945ED2">
            <w:pPr>
              <w:pStyle w:val="BodyCopy"/>
              <w:spacing w:after="0" w:line="288" w:lineRule="exact"/>
              <w:rPr>
                <w:szCs w:val="20"/>
              </w:rPr>
            </w:pPr>
            <w:r w:rsidRPr="00945ED2">
              <w:rPr>
                <w:szCs w:val="20"/>
              </w:rPr>
              <w:t>Our forecasts are based on our current company structure and ownership arrangements.</w:t>
            </w:r>
          </w:p>
        </w:tc>
        <w:tc>
          <w:tcPr>
            <w:tcW w:w="763" w:type="pct"/>
            <w:shd w:val="clear" w:color="auto" w:fill="FFFFFF"/>
          </w:tcPr>
          <w:p w14:paraId="4FDBF4CF" w14:textId="77777777" w:rsidR="00E377F0" w:rsidRPr="00945ED2" w:rsidRDefault="00E377F0" w:rsidP="00360373">
            <w:pPr>
              <w:pStyle w:val="BodyCopy"/>
              <w:spacing w:after="0" w:line="288" w:lineRule="exact"/>
              <w:rPr>
                <w:szCs w:val="20"/>
              </w:rPr>
            </w:pPr>
            <w:r w:rsidRPr="00945ED2">
              <w:rPr>
                <w:szCs w:val="20"/>
              </w:rPr>
              <w:t xml:space="preserve">Our forecasts reflect merger savings arising from our recent restructuring. A further restructuring or change of ownership could mean these savings are not achieved and may require changes to the </w:t>
            </w:r>
            <w:r w:rsidR="00360373">
              <w:rPr>
                <w:szCs w:val="20"/>
              </w:rPr>
              <w:t>CAM</w:t>
            </w:r>
            <w:r w:rsidRPr="00945ED2">
              <w:rPr>
                <w:szCs w:val="20"/>
              </w:rPr>
              <w:t>, and therefore the attribution or alloc</w:t>
            </w:r>
            <w:r w:rsidR="009F2CDD" w:rsidRPr="00945ED2">
              <w:rPr>
                <w:noProof/>
                <w:szCs w:val="20"/>
              </w:rPr>
              <mc:AlternateContent>
                <mc:Choice Requires="wps">
                  <w:drawing>
                    <wp:anchor distT="0" distB="0" distL="114300" distR="114300" simplePos="0" relativeHeight="251659776" behindDoc="0" locked="0" layoutInCell="1" allowOverlap="1" wp14:anchorId="3691CEB5" wp14:editId="12B3B96B">
                      <wp:simplePos x="0" y="0"/>
                      <wp:positionH relativeFrom="column">
                        <wp:posOffset>9415780</wp:posOffset>
                      </wp:positionH>
                      <wp:positionV relativeFrom="paragraph">
                        <wp:posOffset>-1452245</wp:posOffset>
                      </wp:positionV>
                      <wp:extent cx="1717675" cy="432435"/>
                      <wp:effectExtent l="0" t="0" r="0" b="0"/>
                      <wp:wrapNone/>
                      <wp:docPr id="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7675" cy="432435"/>
                              </a:xfrm>
                              <a:prstGeom prst="rect">
                                <a:avLst/>
                              </a:prstGeom>
                            </wps:spPr>
                            <wps:txbx>
                              <w:txbxContent>
                                <w:p w14:paraId="1A3A6479" w14:textId="77777777" w:rsidR="00E169B4" w:rsidRDefault="00E169B4" w:rsidP="00E377F0">
                                  <w:pPr>
                                    <w:pStyle w:val="NormalWeb"/>
                                    <w:jc w:val="right"/>
                                  </w:pPr>
                                  <w:r w:rsidRPr="00E377F0">
                                    <w:rPr>
                                      <w:rFonts w:ascii="Calibri" w:hAnsi="Calibri" w:cs="Times New Roman"/>
                                      <w:b/>
                                      <w:bCs/>
                                      <w:color w:val="000000"/>
                                      <w:kern w:val="24"/>
                                    </w:rPr>
                                    <w:t>1807-xx</w:t>
                                  </w:r>
                                </w:p>
                                <w:p w14:paraId="4D2D3246" w14:textId="77777777" w:rsidR="00E169B4" w:rsidRDefault="00E169B4" w:rsidP="00E377F0">
                                  <w:pPr>
                                    <w:pStyle w:val="NormalWeb"/>
                                    <w:jc w:val="right"/>
                                  </w:pPr>
                                  <w:r w:rsidRPr="00E377F0">
                                    <w:rPr>
                                      <w:rFonts w:ascii="Calibri" w:hAnsi="Calibri" w:cs="Times New Roman"/>
                                      <w:b/>
                                      <w:bCs/>
                                      <w:color w:val="000000"/>
                                      <w:kern w:val="24"/>
                                    </w:rPr>
                                    <w:t>Attachment 1</w:t>
                                  </w:r>
                                </w:p>
                              </w:txbxContent>
                            </wps:txbx>
                            <wps:bodyPr wrap="square">
                              <a:spAutoFit/>
                            </wps:bodyPr>
                          </wps:wsp>
                        </a:graphicData>
                      </a:graphic>
                      <wp14:sizeRelH relativeFrom="margin">
                        <wp14:pctWidth>0</wp14:pctWidth>
                      </wp14:sizeRelH>
                      <wp14:sizeRelV relativeFrom="margin">
                        <wp14:pctHeight>0</wp14:pctHeight>
                      </wp14:sizeRelV>
                    </wp:anchor>
                  </w:drawing>
                </mc:Choice>
                <mc:Fallback>
                  <w:pict>
                    <v:rect id="Rectangle 1" o:spid="_x0000_s1029" style="position:absolute;margin-left:741.4pt;margin-top:-114.35pt;width:135.25pt;height:34.0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" filled="f" stroked="f">
                      <v:path arrowok="t"/>
                      <v:textbox style="mso-fit-shape-to-text:t">
                        <w:txbxContent>
                          <w:p w14:paraId="1A3A6479" w14:textId="77777777" w:rsidR="00E169B4" w:rsidRDefault="00E169B4" w:rsidP="00E377F0">
                            <w:pPr>
                              <w:pStyle w:val="NormalWeb"/>
                              <w:jc w:val="right"/>
                            </w:pPr>
                            <w:r w:rsidRPr="00E377F0">
                              <w:rPr>
                                <w:rFonts w:ascii="Calibri" w:hAnsi="Calibri" w:cs="Times New Roman"/>
                                <w:b/>
                                <w:bCs/>
                                <w:color w:val="000000"/>
                                <w:kern w:val="24"/>
                              </w:rPr>
                              <w:t>1807-xx</w:t>
                            </w:r>
                          </w:p>
                          <w:p w14:paraId="4D2D3246" w14:textId="77777777" w:rsidR="00E169B4" w:rsidRDefault="00E169B4" w:rsidP="00E377F0">
                            <w:pPr>
                              <w:pStyle w:val="NormalWeb"/>
                              <w:jc w:val="right"/>
                            </w:pPr>
                            <w:r w:rsidRPr="00E377F0">
                              <w:rPr>
                                <w:rFonts w:ascii="Calibri" w:hAnsi="Calibri" w:cs="Times New Roman"/>
                                <w:b/>
                                <w:bCs/>
                                <w:color w:val="000000"/>
                                <w:kern w:val="24"/>
                              </w:rPr>
                              <w:t>Attachment 1</w:t>
                            </w:r>
                          </w:p>
                        </w:txbxContent>
                      </v:textbox>
                    </v:rect>
                  </w:pict>
                </mc:Fallback>
              </mc:AlternateContent>
            </w:r>
            <w:r w:rsidRPr="00945ED2">
              <w:rPr>
                <w:szCs w:val="20"/>
              </w:rPr>
              <w:t xml:space="preserve">ation of costs in our forecasts.  </w:t>
            </w:r>
          </w:p>
        </w:tc>
        <w:tc>
          <w:tcPr>
            <w:tcW w:w="763" w:type="pct"/>
            <w:shd w:val="clear" w:color="auto" w:fill="FFFFFF"/>
          </w:tcPr>
          <w:p w14:paraId="444B77CD" w14:textId="77777777" w:rsidR="00E377F0" w:rsidRPr="00945ED2" w:rsidRDefault="00E377F0" w:rsidP="00360373">
            <w:pPr>
              <w:pStyle w:val="BodyCopy"/>
              <w:spacing w:after="0" w:line="288" w:lineRule="exact"/>
              <w:rPr>
                <w:szCs w:val="20"/>
              </w:rPr>
            </w:pPr>
            <w:r w:rsidRPr="00945ED2">
              <w:rPr>
                <w:szCs w:val="20"/>
              </w:rPr>
              <w:t xml:space="preserve">Our structure and ownership arrangements are set out in the </w:t>
            </w:r>
            <w:r w:rsidR="00360373">
              <w:rPr>
                <w:szCs w:val="20"/>
              </w:rPr>
              <w:t>CAM</w:t>
            </w:r>
            <w:r w:rsidRPr="00945ED2">
              <w:rPr>
                <w:szCs w:val="20"/>
              </w:rPr>
              <w:t xml:space="preserve"> which has been approved by the AER. </w:t>
            </w:r>
          </w:p>
        </w:tc>
        <w:tc>
          <w:tcPr>
            <w:tcW w:w="763" w:type="pct"/>
            <w:shd w:val="clear" w:color="auto" w:fill="FFFFFF"/>
          </w:tcPr>
          <w:p w14:paraId="1E3FBBB5" w14:textId="77777777" w:rsidR="00E377F0" w:rsidRPr="00945ED2" w:rsidRDefault="00E377F0" w:rsidP="00945ED2">
            <w:pPr>
              <w:pStyle w:val="BodyCopy"/>
              <w:spacing w:after="0" w:line="288" w:lineRule="exact"/>
              <w:rPr>
                <w:szCs w:val="20"/>
              </w:rPr>
            </w:pPr>
            <w:r w:rsidRPr="00945ED2">
              <w:rPr>
                <w:szCs w:val="20"/>
              </w:rPr>
              <w:t>Not necessary, because we are assuming that our current arrangements will continue.</w:t>
            </w:r>
          </w:p>
        </w:tc>
        <w:tc>
          <w:tcPr>
            <w:tcW w:w="561" w:type="pct"/>
            <w:shd w:val="clear" w:color="auto" w:fill="FFFFFF"/>
          </w:tcPr>
          <w:tbl>
            <w:tblPr>
              <w:tblW w:w="0" w:type="auto"/>
              <w:tblBorders>
                <w:top w:val="nil"/>
                <w:left w:val="nil"/>
                <w:bottom w:val="nil"/>
                <w:right w:val="nil"/>
              </w:tblBorders>
              <w:tblLook w:val="0000" w:firstRow="0" w:lastRow="0" w:firstColumn="0" w:lastColumn="0" w:noHBand="0" w:noVBand="0"/>
            </w:tblPr>
            <w:tblGrid>
              <w:gridCol w:w="1506"/>
            </w:tblGrid>
            <w:tr w:rsidR="00E377F0" w:rsidRPr="00E377F0" w14:paraId="348D9C62" w14:textId="77777777" w:rsidTr="00945ED2">
              <w:trPr>
                <w:trHeight w:val="662"/>
              </w:trPr>
              <w:tc>
                <w:tcPr>
                  <w:tcW w:w="0" w:type="auto"/>
                </w:tcPr>
                <w:p w14:paraId="0E10C621" w14:textId="77777777" w:rsidR="00E377F0" w:rsidRPr="00E377F0" w:rsidRDefault="00E377F0" w:rsidP="00945ED2">
                  <w:pPr>
                    <w:pStyle w:val="BodyCopy"/>
                    <w:spacing w:line="288" w:lineRule="exact"/>
                    <w:rPr>
                      <w:szCs w:val="20"/>
                    </w:rPr>
                  </w:pPr>
                  <w:r w:rsidRPr="00E377F0">
                    <w:rPr>
                      <w:szCs w:val="20"/>
                    </w:rPr>
                    <w:t>Not able to be quantified because depends on organisational structure and its implications on allocation of shared costs.</w:t>
                  </w:r>
                </w:p>
              </w:tc>
            </w:tr>
          </w:tbl>
          <w:p w14:paraId="37B51E83" w14:textId="77777777" w:rsidR="00E377F0" w:rsidRPr="00945ED2" w:rsidRDefault="00E377F0" w:rsidP="00945ED2">
            <w:pPr>
              <w:pStyle w:val="BodyCopy"/>
              <w:spacing w:after="0" w:line="288" w:lineRule="exact"/>
              <w:rPr>
                <w:szCs w:val="20"/>
              </w:rPr>
            </w:pPr>
          </w:p>
        </w:tc>
        <w:tc>
          <w:tcPr>
            <w:tcW w:w="426" w:type="pct"/>
            <w:shd w:val="clear" w:color="auto" w:fill="FFFFFF"/>
          </w:tcPr>
          <w:p w14:paraId="3A60694C" w14:textId="77777777" w:rsidR="00E377F0" w:rsidRPr="00945ED2" w:rsidRDefault="00E377F0" w:rsidP="00945ED2">
            <w:pPr>
              <w:pStyle w:val="BodyCopy"/>
              <w:spacing w:after="0" w:line="288" w:lineRule="exact"/>
              <w:rPr>
                <w:szCs w:val="20"/>
              </w:rPr>
            </w:pPr>
            <w:r w:rsidRPr="00945ED2">
              <w:rPr>
                <w:szCs w:val="20"/>
              </w:rPr>
              <w:t>Capex and opex</w:t>
            </w:r>
          </w:p>
        </w:tc>
        <w:tc>
          <w:tcPr>
            <w:tcW w:w="472" w:type="pct"/>
            <w:shd w:val="clear" w:color="auto" w:fill="FFFFFF"/>
          </w:tcPr>
          <w:p w14:paraId="1FB45D0E" w14:textId="77777777" w:rsidR="00E377F0" w:rsidRPr="00945ED2" w:rsidRDefault="00E377F0" w:rsidP="00945ED2">
            <w:pPr>
              <w:pStyle w:val="BodyCopy"/>
              <w:spacing w:after="0" w:line="288" w:lineRule="exact"/>
              <w:rPr>
                <w:szCs w:val="20"/>
              </w:rPr>
            </w:pPr>
            <w:r w:rsidRPr="00945ED2">
              <w:rPr>
                <w:szCs w:val="20"/>
              </w:rPr>
              <w:t>We have not undertaken sensitivity analysis, as counter-factual scenarios difficult to reasonably estimate.</w:t>
            </w:r>
          </w:p>
        </w:tc>
      </w:tr>
      <w:tr w:rsidR="00E377F0" w:rsidRPr="00945ED2" w14:paraId="2A9F0F6C" w14:textId="77777777" w:rsidTr="00945ED2">
        <w:trPr>
          <w:cantSplit/>
        </w:trPr>
        <w:tc>
          <w:tcPr>
            <w:tcW w:w="487" w:type="pct"/>
            <w:tcBorders>
              <w:left w:val="single" w:sz="4" w:space="0" w:color="FFFFFF"/>
            </w:tcBorders>
            <w:shd w:val="clear" w:color="auto" w:fill="0070C0"/>
          </w:tcPr>
          <w:p w14:paraId="1623F80B" w14:textId="77777777" w:rsidR="00E377F0" w:rsidRPr="00945ED2" w:rsidRDefault="00E377F0" w:rsidP="00945ED2">
            <w:pPr>
              <w:pStyle w:val="BodyCopy"/>
              <w:spacing w:after="0" w:line="288" w:lineRule="exact"/>
              <w:rPr>
                <w:b/>
                <w:bCs/>
                <w:color w:val="FFFFFF"/>
                <w:szCs w:val="20"/>
              </w:rPr>
            </w:pPr>
            <w:r w:rsidRPr="00945ED2">
              <w:rPr>
                <w:bCs/>
                <w:color w:val="FFFFFF"/>
                <w:szCs w:val="20"/>
              </w:rPr>
              <w:t>Legislative and regulatory obligations</w:t>
            </w:r>
          </w:p>
        </w:tc>
        <w:tc>
          <w:tcPr>
            <w:tcW w:w="763" w:type="pct"/>
            <w:shd w:val="clear" w:color="auto" w:fill="auto"/>
          </w:tcPr>
          <w:p w14:paraId="7CEF713E" w14:textId="77777777" w:rsidR="00E377F0" w:rsidRPr="00945ED2" w:rsidRDefault="00E377F0" w:rsidP="00945ED2">
            <w:pPr>
              <w:pStyle w:val="BodyCopy"/>
              <w:spacing w:after="0" w:line="288" w:lineRule="exact"/>
              <w:rPr>
                <w:szCs w:val="20"/>
              </w:rPr>
            </w:pPr>
            <w:r w:rsidRPr="00945ED2">
              <w:rPr>
                <w:szCs w:val="20"/>
              </w:rPr>
              <w:t>Our capex and opex forecasts are based on our current legislative and regulatory obligations and our Distribution Authority.</w:t>
            </w:r>
          </w:p>
        </w:tc>
        <w:tc>
          <w:tcPr>
            <w:tcW w:w="763" w:type="pct"/>
            <w:shd w:val="clear" w:color="auto" w:fill="FFFFFF"/>
          </w:tcPr>
          <w:p w14:paraId="08D86105" w14:textId="77777777" w:rsidR="00E377F0" w:rsidRPr="00945ED2" w:rsidRDefault="00E377F0" w:rsidP="00945ED2">
            <w:pPr>
              <w:pStyle w:val="BodyCopy"/>
              <w:spacing w:after="0" w:line="288" w:lineRule="exact"/>
              <w:rPr>
                <w:szCs w:val="20"/>
              </w:rPr>
            </w:pPr>
            <w:r w:rsidRPr="00945ED2">
              <w:rPr>
                <w:szCs w:val="20"/>
              </w:rPr>
              <w:t>Our capex and opex forecasts reflect our compliance with our current obligations. Different obligations could materially change our costs.</w:t>
            </w:r>
          </w:p>
        </w:tc>
        <w:tc>
          <w:tcPr>
            <w:tcW w:w="763" w:type="pct"/>
            <w:shd w:val="clear" w:color="auto" w:fill="FFFFFF"/>
          </w:tcPr>
          <w:p w14:paraId="700EBC47" w14:textId="77777777" w:rsidR="00E377F0" w:rsidRPr="00945ED2" w:rsidRDefault="00E377F0" w:rsidP="00945ED2">
            <w:pPr>
              <w:pStyle w:val="BodyCopy"/>
              <w:spacing w:after="0" w:line="288" w:lineRule="exact"/>
              <w:rPr>
                <w:szCs w:val="20"/>
              </w:rPr>
            </w:pPr>
            <w:r w:rsidRPr="00945ED2">
              <w:rPr>
                <w:szCs w:val="20"/>
              </w:rPr>
              <w:t>Refer to our response provided in Workbook 1- Regulatory determination, regulatory template 7.3.</w:t>
            </w:r>
          </w:p>
        </w:tc>
        <w:tc>
          <w:tcPr>
            <w:tcW w:w="763" w:type="pct"/>
            <w:shd w:val="clear" w:color="auto" w:fill="FFFFFF"/>
          </w:tcPr>
          <w:p w14:paraId="0059EA3B" w14:textId="77777777" w:rsidR="00E377F0" w:rsidRPr="00945ED2" w:rsidRDefault="00E377F0" w:rsidP="00945ED2">
            <w:pPr>
              <w:pStyle w:val="BodyCopy"/>
              <w:spacing w:after="0" w:line="288" w:lineRule="exact"/>
              <w:rPr>
                <w:szCs w:val="20"/>
              </w:rPr>
            </w:pPr>
            <w:r w:rsidRPr="00945ED2">
              <w:rPr>
                <w:szCs w:val="20"/>
              </w:rPr>
              <w:t xml:space="preserve">Not necessary, because we are assuming that our current obligations will not change materially.  </w:t>
            </w:r>
          </w:p>
        </w:tc>
        <w:tc>
          <w:tcPr>
            <w:tcW w:w="561" w:type="pct"/>
            <w:shd w:val="clear" w:color="auto" w:fill="FFFFFF"/>
          </w:tcPr>
          <w:tbl>
            <w:tblPr>
              <w:tblW w:w="0" w:type="auto"/>
              <w:tblBorders>
                <w:top w:val="nil"/>
                <w:left w:val="nil"/>
                <w:bottom w:val="nil"/>
                <w:right w:val="nil"/>
              </w:tblBorders>
              <w:tblLook w:val="0000" w:firstRow="0" w:lastRow="0" w:firstColumn="0" w:lastColumn="0" w:noHBand="0" w:noVBand="0"/>
            </w:tblPr>
            <w:tblGrid>
              <w:gridCol w:w="1506"/>
            </w:tblGrid>
            <w:tr w:rsidR="00E377F0" w:rsidRPr="00E377F0" w14:paraId="61BA2540" w14:textId="77777777" w:rsidTr="00945ED2">
              <w:trPr>
                <w:trHeight w:val="522"/>
              </w:trPr>
              <w:tc>
                <w:tcPr>
                  <w:tcW w:w="0" w:type="auto"/>
                </w:tcPr>
                <w:p w14:paraId="147B856B" w14:textId="77777777" w:rsidR="00E377F0" w:rsidRPr="00E377F0" w:rsidRDefault="00E377F0" w:rsidP="00945ED2">
                  <w:pPr>
                    <w:pStyle w:val="BodyCopy"/>
                    <w:spacing w:line="288" w:lineRule="exact"/>
                    <w:rPr>
                      <w:szCs w:val="20"/>
                    </w:rPr>
                  </w:pPr>
                  <w:r w:rsidRPr="00E377F0">
                    <w:rPr>
                      <w:szCs w:val="20"/>
                    </w:rPr>
                    <w:t xml:space="preserve">Unable to be quantified - depends on the degree of any future legislative and regulatory changes. </w:t>
                  </w:r>
                </w:p>
              </w:tc>
            </w:tr>
          </w:tbl>
          <w:p w14:paraId="3D33E61E" w14:textId="77777777" w:rsidR="00E377F0" w:rsidRPr="00945ED2" w:rsidRDefault="00E377F0" w:rsidP="00945ED2">
            <w:pPr>
              <w:pStyle w:val="BodyCopy"/>
              <w:spacing w:after="0" w:line="288" w:lineRule="exact"/>
              <w:rPr>
                <w:szCs w:val="20"/>
              </w:rPr>
            </w:pPr>
          </w:p>
        </w:tc>
        <w:tc>
          <w:tcPr>
            <w:tcW w:w="426" w:type="pct"/>
            <w:shd w:val="clear" w:color="auto" w:fill="FFFFFF"/>
          </w:tcPr>
          <w:p w14:paraId="0B0FDF19" w14:textId="77777777" w:rsidR="00E377F0" w:rsidRPr="00945ED2" w:rsidRDefault="00E377F0" w:rsidP="00945ED2">
            <w:pPr>
              <w:pStyle w:val="BodyCopy"/>
              <w:spacing w:after="0" w:line="288" w:lineRule="exact"/>
              <w:rPr>
                <w:szCs w:val="20"/>
              </w:rPr>
            </w:pPr>
            <w:r w:rsidRPr="00945ED2">
              <w:rPr>
                <w:szCs w:val="20"/>
              </w:rPr>
              <w:t>Capex and opex</w:t>
            </w:r>
          </w:p>
        </w:tc>
        <w:tc>
          <w:tcPr>
            <w:tcW w:w="472" w:type="pct"/>
            <w:shd w:val="clear" w:color="auto" w:fill="FFFFFF"/>
          </w:tcPr>
          <w:p w14:paraId="7AEE7F85" w14:textId="77777777" w:rsidR="00E377F0" w:rsidRPr="00945ED2" w:rsidRDefault="00E377F0" w:rsidP="00945ED2">
            <w:pPr>
              <w:pStyle w:val="BodyCopy"/>
              <w:spacing w:after="0" w:line="288" w:lineRule="exact"/>
              <w:rPr>
                <w:szCs w:val="20"/>
              </w:rPr>
            </w:pPr>
            <w:r w:rsidRPr="00945ED2">
              <w:rPr>
                <w:szCs w:val="20"/>
              </w:rPr>
              <w:t xml:space="preserve">We have not undertaken sensitivity analysis, as counter-factual scenarios difficult to reasonably estimate. </w:t>
            </w:r>
          </w:p>
        </w:tc>
      </w:tr>
      <w:tr w:rsidR="00E377F0" w:rsidRPr="00945ED2" w14:paraId="0C93EFEE" w14:textId="77777777" w:rsidTr="00945ED2">
        <w:trPr>
          <w:cantSplit/>
          <w:trHeight w:val="1502"/>
        </w:trPr>
        <w:tc>
          <w:tcPr>
            <w:tcW w:w="487" w:type="pct"/>
            <w:tcBorders>
              <w:left w:val="single" w:sz="4" w:space="0" w:color="FFFFFF"/>
            </w:tcBorders>
            <w:shd w:val="clear" w:color="auto" w:fill="0070C0"/>
          </w:tcPr>
          <w:p w14:paraId="331F70AF" w14:textId="77777777" w:rsidR="00E377F0" w:rsidRPr="00945ED2" w:rsidRDefault="00E377F0" w:rsidP="00945ED2">
            <w:pPr>
              <w:pStyle w:val="BodyCopy"/>
              <w:spacing w:after="0" w:line="288" w:lineRule="exact"/>
              <w:rPr>
                <w:b/>
                <w:bCs/>
                <w:color w:val="FFFFFF"/>
                <w:szCs w:val="20"/>
              </w:rPr>
            </w:pPr>
            <w:r w:rsidRPr="00945ED2">
              <w:rPr>
                <w:bCs/>
                <w:color w:val="FFFFFF"/>
                <w:szCs w:val="20"/>
              </w:rPr>
              <w:t>Service classification and ring-fencing</w:t>
            </w:r>
          </w:p>
        </w:tc>
        <w:tc>
          <w:tcPr>
            <w:tcW w:w="763" w:type="pct"/>
            <w:shd w:val="clear" w:color="auto" w:fill="auto"/>
          </w:tcPr>
          <w:p w14:paraId="5832CA3B" w14:textId="77777777" w:rsidR="00E377F0" w:rsidRPr="00945ED2" w:rsidRDefault="00E377F0" w:rsidP="00945ED2">
            <w:pPr>
              <w:pStyle w:val="BodyCopy"/>
              <w:spacing w:after="0" w:line="288" w:lineRule="exact"/>
              <w:rPr>
                <w:szCs w:val="20"/>
              </w:rPr>
            </w:pPr>
            <w:r w:rsidRPr="00945ED2">
              <w:rPr>
                <w:szCs w:val="20"/>
              </w:rPr>
              <w:t>We will apply the service classification in the AER’s Framework and Approach paper and the current ring-fencing arrangements will not change materially.</w:t>
            </w:r>
          </w:p>
        </w:tc>
        <w:tc>
          <w:tcPr>
            <w:tcW w:w="763" w:type="pct"/>
            <w:shd w:val="clear" w:color="auto" w:fill="FFFFFF"/>
          </w:tcPr>
          <w:p w14:paraId="2F851F6A" w14:textId="77777777" w:rsidR="00E377F0" w:rsidRPr="00945ED2" w:rsidRDefault="00E377F0" w:rsidP="00945ED2">
            <w:pPr>
              <w:pStyle w:val="BodyCopy"/>
              <w:spacing w:after="0" w:line="288" w:lineRule="exact"/>
              <w:rPr>
                <w:szCs w:val="20"/>
              </w:rPr>
            </w:pPr>
            <w:r w:rsidRPr="00945ED2">
              <w:rPr>
                <w:szCs w:val="20"/>
              </w:rPr>
              <w:t xml:space="preserve">A different service classification could change our capex and opex forecast for SCS.  </w:t>
            </w:r>
          </w:p>
          <w:p w14:paraId="2112E127" w14:textId="77777777" w:rsidR="00E377F0" w:rsidRPr="00945ED2" w:rsidRDefault="00E377F0" w:rsidP="00945ED2">
            <w:pPr>
              <w:pStyle w:val="BodyCopy"/>
              <w:spacing w:after="0" w:line="288" w:lineRule="exact"/>
              <w:rPr>
                <w:szCs w:val="20"/>
              </w:rPr>
            </w:pPr>
            <w:r w:rsidRPr="00945ED2">
              <w:rPr>
                <w:szCs w:val="20"/>
              </w:rPr>
              <w:t>A change in the ring-fencing arrangements could affect how we can provide our distribution services, which could potentially also change our capex and opex.</w:t>
            </w:r>
          </w:p>
        </w:tc>
        <w:tc>
          <w:tcPr>
            <w:tcW w:w="763" w:type="pct"/>
            <w:shd w:val="clear" w:color="auto" w:fill="FFFFFF"/>
          </w:tcPr>
          <w:p w14:paraId="6C545F1F" w14:textId="77777777" w:rsidR="00E377F0" w:rsidRPr="00945ED2" w:rsidRDefault="00E377F0" w:rsidP="00360373">
            <w:pPr>
              <w:pStyle w:val="BodyCopy"/>
              <w:spacing w:after="0" w:line="288" w:lineRule="exact"/>
              <w:rPr>
                <w:szCs w:val="20"/>
              </w:rPr>
            </w:pPr>
            <w:r w:rsidRPr="00945ED2">
              <w:rPr>
                <w:szCs w:val="20"/>
              </w:rPr>
              <w:t xml:space="preserve">AER’s Framework and Approach paper – see also chapter </w:t>
            </w:r>
            <w:r w:rsidR="00360373">
              <w:rPr>
                <w:szCs w:val="20"/>
              </w:rPr>
              <w:t>4</w:t>
            </w:r>
            <w:r w:rsidRPr="00945ED2">
              <w:rPr>
                <w:szCs w:val="20"/>
              </w:rPr>
              <w:t xml:space="preserve"> of </w:t>
            </w:r>
            <w:r w:rsidR="00F323CB">
              <w:rPr>
                <w:szCs w:val="20"/>
              </w:rPr>
              <w:t xml:space="preserve">our </w:t>
            </w:r>
            <w:r w:rsidR="00F323CB" w:rsidRPr="00945ED2">
              <w:rPr>
                <w:szCs w:val="20"/>
              </w:rPr>
              <w:t>Regulatory</w:t>
            </w:r>
            <w:r w:rsidRPr="00945ED2">
              <w:rPr>
                <w:szCs w:val="20"/>
              </w:rPr>
              <w:t xml:space="preserve"> Proposal.</w:t>
            </w:r>
          </w:p>
        </w:tc>
        <w:tc>
          <w:tcPr>
            <w:tcW w:w="763" w:type="pct"/>
            <w:shd w:val="clear" w:color="auto" w:fill="FFFFFF"/>
          </w:tcPr>
          <w:p w14:paraId="7BD20CD0" w14:textId="77777777" w:rsidR="00E377F0" w:rsidRPr="00945ED2" w:rsidRDefault="00E377F0" w:rsidP="00945ED2">
            <w:pPr>
              <w:pStyle w:val="BodyCopy"/>
              <w:spacing w:after="0" w:line="288" w:lineRule="exact"/>
              <w:rPr>
                <w:szCs w:val="20"/>
              </w:rPr>
            </w:pPr>
            <w:r w:rsidRPr="00945ED2">
              <w:rPr>
                <w:szCs w:val="20"/>
              </w:rPr>
              <w:t>Not necessary, because we are applying the AER’s Framework and Approach paper.</w:t>
            </w:r>
          </w:p>
        </w:tc>
        <w:tc>
          <w:tcPr>
            <w:tcW w:w="561" w:type="pct"/>
            <w:shd w:val="clear" w:color="auto" w:fill="FFFFFF"/>
          </w:tcPr>
          <w:tbl>
            <w:tblPr>
              <w:tblW w:w="0" w:type="auto"/>
              <w:tblBorders>
                <w:top w:val="nil"/>
                <w:left w:val="nil"/>
                <w:bottom w:val="nil"/>
                <w:right w:val="nil"/>
              </w:tblBorders>
              <w:tblLook w:val="0000" w:firstRow="0" w:lastRow="0" w:firstColumn="0" w:lastColumn="0" w:noHBand="0" w:noVBand="0"/>
            </w:tblPr>
            <w:tblGrid>
              <w:gridCol w:w="1506"/>
            </w:tblGrid>
            <w:tr w:rsidR="00E377F0" w:rsidRPr="00E377F0" w14:paraId="46064B78" w14:textId="77777777" w:rsidTr="00945ED2">
              <w:trPr>
                <w:trHeight w:val="522"/>
              </w:trPr>
              <w:tc>
                <w:tcPr>
                  <w:tcW w:w="0" w:type="auto"/>
                </w:tcPr>
                <w:p w14:paraId="44427EC6" w14:textId="77777777" w:rsidR="00E377F0" w:rsidRPr="00E377F0" w:rsidRDefault="00E377F0" w:rsidP="00945ED2">
                  <w:pPr>
                    <w:pStyle w:val="BodyCopy"/>
                    <w:spacing w:line="288" w:lineRule="exact"/>
                    <w:rPr>
                      <w:szCs w:val="20"/>
                    </w:rPr>
                  </w:pPr>
                  <w:r w:rsidRPr="00E377F0">
                    <w:rPr>
                      <w:szCs w:val="20"/>
                    </w:rPr>
                    <w:t xml:space="preserve">Not able to be quantified because would depend on which services would move between classifications. </w:t>
                  </w:r>
                </w:p>
              </w:tc>
            </w:tr>
          </w:tbl>
          <w:p w14:paraId="7A8A16C1" w14:textId="77777777" w:rsidR="00E377F0" w:rsidRPr="00945ED2" w:rsidRDefault="00E377F0" w:rsidP="00945ED2">
            <w:pPr>
              <w:pStyle w:val="BodyCopy"/>
              <w:spacing w:after="0" w:line="288" w:lineRule="exact"/>
              <w:rPr>
                <w:szCs w:val="20"/>
              </w:rPr>
            </w:pPr>
          </w:p>
        </w:tc>
        <w:tc>
          <w:tcPr>
            <w:tcW w:w="426" w:type="pct"/>
            <w:shd w:val="clear" w:color="auto" w:fill="FFFFFF"/>
          </w:tcPr>
          <w:p w14:paraId="1E97D3FD" w14:textId="77777777" w:rsidR="00E377F0" w:rsidRPr="00945ED2" w:rsidRDefault="00E377F0" w:rsidP="00945ED2">
            <w:pPr>
              <w:pStyle w:val="BodyCopy"/>
              <w:spacing w:after="0" w:line="288" w:lineRule="exact"/>
              <w:rPr>
                <w:szCs w:val="20"/>
              </w:rPr>
            </w:pPr>
            <w:r w:rsidRPr="00945ED2">
              <w:rPr>
                <w:szCs w:val="20"/>
              </w:rPr>
              <w:t>Capex and opex</w:t>
            </w:r>
          </w:p>
        </w:tc>
        <w:tc>
          <w:tcPr>
            <w:tcW w:w="472" w:type="pct"/>
            <w:shd w:val="clear" w:color="auto" w:fill="FFFFFF"/>
          </w:tcPr>
          <w:p w14:paraId="41AC5DB6" w14:textId="77777777" w:rsidR="00E377F0" w:rsidRPr="00945ED2" w:rsidRDefault="00E377F0" w:rsidP="00945ED2">
            <w:pPr>
              <w:pStyle w:val="BodyCopy"/>
              <w:spacing w:after="0" w:line="288" w:lineRule="exact"/>
              <w:rPr>
                <w:szCs w:val="20"/>
              </w:rPr>
            </w:pPr>
            <w:r w:rsidRPr="00945ED2">
              <w:rPr>
                <w:szCs w:val="20"/>
              </w:rPr>
              <w:t>Not able to be estimated</w:t>
            </w:r>
          </w:p>
        </w:tc>
      </w:tr>
      <w:tr w:rsidR="00E377F0" w:rsidRPr="00945ED2" w14:paraId="4F55A84D" w14:textId="77777777" w:rsidTr="00945ED2">
        <w:trPr>
          <w:cantSplit/>
        </w:trPr>
        <w:tc>
          <w:tcPr>
            <w:tcW w:w="487" w:type="pct"/>
            <w:tcBorders>
              <w:left w:val="single" w:sz="4" w:space="0" w:color="FFFFFF"/>
            </w:tcBorders>
            <w:shd w:val="clear" w:color="auto" w:fill="0070C0"/>
          </w:tcPr>
          <w:p w14:paraId="226824A7" w14:textId="77777777" w:rsidR="00E377F0" w:rsidRPr="00945ED2" w:rsidRDefault="00E377F0" w:rsidP="00945ED2">
            <w:pPr>
              <w:pStyle w:val="BodyCopy"/>
              <w:spacing w:after="0" w:line="288" w:lineRule="exact"/>
              <w:rPr>
                <w:b/>
                <w:bCs/>
                <w:color w:val="FFFFFF"/>
                <w:szCs w:val="20"/>
              </w:rPr>
            </w:pPr>
            <w:r w:rsidRPr="00945ED2">
              <w:rPr>
                <w:bCs/>
                <w:color w:val="FFFFFF"/>
                <w:szCs w:val="20"/>
              </w:rPr>
              <w:t xml:space="preserve">Customer preferences and expectations </w:t>
            </w:r>
          </w:p>
        </w:tc>
        <w:tc>
          <w:tcPr>
            <w:tcW w:w="763" w:type="pct"/>
            <w:shd w:val="clear" w:color="auto" w:fill="auto"/>
          </w:tcPr>
          <w:p w14:paraId="1052CE12" w14:textId="77777777" w:rsidR="00E377F0" w:rsidRPr="00945ED2" w:rsidRDefault="00E377F0" w:rsidP="00945ED2">
            <w:pPr>
              <w:pStyle w:val="BodyCopy"/>
              <w:spacing w:after="0" w:line="288" w:lineRule="exact"/>
              <w:rPr>
                <w:szCs w:val="20"/>
              </w:rPr>
            </w:pPr>
            <w:r w:rsidRPr="00945ED2">
              <w:rPr>
                <w:szCs w:val="20"/>
              </w:rPr>
              <w:t>The preferences and expectations of participants revealed through our stakeholder engagement program accurately reflect those of our customers generally.</w:t>
            </w:r>
          </w:p>
        </w:tc>
        <w:tc>
          <w:tcPr>
            <w:tcW w:w="763" w:type="pct"/>
            <w:shd w:val="clear" w:color="auto" w:fill="FFFFFF"/>
          </w:tcPr>
          <w:p w14:paraId="53B8533E" w14:textId="77777777" w:rsidR="00E377F0" w:rsidRPr="00945ED2" w:rsidRDefault="00E377F0" w:rsidP="00945ED2">
            <w:pPr>
              <w:pStyle w:val="BodyCopy"/>
              <w:spacing w:after="0" w:line="288" w:lineRule="exact"/>
              <w:rPr>
                <w:szCs w:val="20"/>
              </w:rPr>
            </w:pPr>
            <w:r w:rsidRPr="00945ED2">
              <w:rPr>
                <w:szCs w:val="20"/>
              </w:rPr>
              <w:t>We have engaged effectively with a broad range of stakeholders on a broad range of matters.  It is reasonable to expect that their preferences and expectations are representative of those of our broader customer base.</w:t>
            </w:r>
          </w:p>
        </w:tc>
        <w:tc>
          <w:tcPr>
            <w:tcW w:w="763" w:type="pct"/>
            <w:shd w:val="clear" w:color="auto" w:fill="FFFFFF"/>
          </w:tcPr>
          <w:p w14:paraId="615E4F08" w14:textId="77777777" w:rsidR="00E377F0" w:rsidRPr="00945ED2" w:rsidRDefault="00E377F0" w:rsidP="00945ED2">
            <w:pPr>
              <w:pStyle w:val="BodyCopy"/>
              <w:spacing w:after="0" w:line="288" w:lineRule="exact"/>
              <w:rPr>
                <w:szCs w:val="20"/>
              </w:rPr>
            </w:pPr>
            <w:r w:rsidRPr="00945ED2">
              <w:rPr>
                <w:szCs w:val="20"/>
              </w:rPr>
              <w:t xml:space="preserve">Refer to our customer engagement overview document and to chapter 2 of </w:t>
            </w:r>
            <w:r w:rsidR="00360373">
              <w:rPr>
                <w:szCs w:val="20"/>
              </w:rPr>
              <w:t>our</w:t>
            </w:r>
            <w:r w:rsidR="00413063">
              <w:rPr>
                <w:szCs w:val="20"/>
              </w:rPr>
              <w:t xml:space="preserve"> </w:t>
            </w:r>
            <w:r w:rsidRPr="00945ED2">
              <w:rPr>
                <w:szCs w:val="20"/>
              </w:rPr>
              <w:t>Regulatory Proposal.</w:t>
            </w:r>
          </w:p>
        </w:tc>
        <w:tc>
          <w:tcPr>
            <w:tcW w:w="763" w:type="pct"/>
            <w:shd w:val="clear" w:color="auto" w:fill="FFFFFF"/>
          </w:tcPr>
          <w:p w14:paraId="7A0ADA1E" w14:textId="77777777" w:rsidR="00E377F0" w:rsidRPr="00945ED2" w:rsidRDefault="00E377F0" w:rsidP="00945ED2">
            <w:pPr>
              <w:pStyle w:val="BodyCopy"/>
              <w:spacing w:after="0" w:line="288" w:lineRule="exact"/>
              <w:rPr>
                <w:szCs w:val="20"/>
              </w:rPr>
            </w:pPr>
            <w:r w:rsidRPr="00945ED2">
              <w:rPr>
                <w:szCs w:val="20"/>
              </w:rPr>
              <w:t>We have assessed the preferences and expectations of participants through our stakeholder engagement program and have had regard for these in preparing our Regulatory Proposal.</w:t>
            </w:r>
          </w:p>
        </w:tc>
        <w:tc>
          <w:tcPr>
            <w:tcW w:w="561" w:type="pct"/>
            <w:shd w:val="clear" w:color="auto" w:fill="FFFFFF"/>
          </w:tcPr>
          <w:p w14:paraId="0D5EA68A" w14:textId="77777777" w:rsidR="00E377F0" w:rsidRPr="00945ED2" w:rsidRDefault="00E377F0" w:rsidP="00945ED2">
            <w:pPr>
              <w:pStyle w:val="BodyCopy"/>
              <w:spacing w:after="0" w:line="288" w:lineRule="exact"/>
              <w:rPr>
                <w:szCs w:val="20"/>
              </w:rPr>
            </w:pPr>
            <w:r w:rsidRPr="00945ED2">
              <w:rPr>
                <w:szCs w:val="20"/>
              </w:rPr>
              <w:t>Unable to be quantified because customers’ views have been incorporated into our forecasts – an alternative forecast has not been prepared.</w:t>
            </w:r>
          </w:p>
        </w:tc>
        <w:tc>
          <w:tcPr>
            <w:tcW w:w="426" w:type="pct"/>
            <w:shd w:val="clear" w:color="auto" w:fill="FFFFFF"/>
          </w:tcPr>
          <w:p w14:paraId="0327B682" w14:textId="77777777" w:rsidR="00E377F0" w:rsidRPr="00945ED2" w:rsidRDefault="00E377F0" w:rsidP="00945ED2">
            <w:pPr>
              <w:pStyle w:val="BodyCopy"/>
              <w:spacing w:after="0" w:line="288" w:lineRule="exact"/>
              <w:rPr>
                <w:szCs w:val="20"/>
              </w:rPr>
            </w:pPr>
            <w:r w:rsidRPr="00945ED2">
              <w:rPr>
                <w:szCs w:val="20"/>
              </w:rPr>
              <w:t>Capex and opex</w:t>
            </w:r>
          </w:p>
        </w:tc>
        <w:tc>
          <w:tcPr>
            <w:tcW w:w="472" w:type="pct"/>
            <w:shd w:val="clear" w:color="auto" w:fill="FFFFFF"/>
          </w:tcPr>
          <w:p w14:paraId="25913973" w14:textId="77777777" w:rsidR="00E377F0" w:rsidRPr="00945ED2" w:rsidRDefault="00E377F0" w:rsidP="00945ED2">
            <w:pPr>
              <w:pStyle w:val="BodyCopy"/>
              <w:spacing w:after="0" w:line="288" w:lineRule="exact"/>
              <w:rPr>
                <w:szCs w:val="20"/>
              </w:rPr>
            </w:pPr>
            <w:r w:rsidRPr="00945ED2">
              <w:rPr>
                <w:szCs w:val="20"/>
              </w:rPr>
              <w:t>Not able to be estimated</w:t>
            </w:r>
          </w:p>
        </w:tc>
      </w:tr>
      <w:tr w:rsidR="00E377F0" w:rsidRPr="00945ED2" w14:paraId="0D2C18EE" w14:textId="77777777" w:rsidTr="00945ED2">
        <w:trPr>
          <w:cantSplit/>
        </w:trPr>
        <w:tc>
          <w:tcPr>
            <w:tcW w:w="487" w:type="pct"/>
            <w:tcBorders>
              <w:left w:val="single" w:sz="4" w:space="0" w:color="FFFFFF"/>
            </w:tcBorders>
            <w:shd w:val="clear" w:color="auto" w:fill="0070C0"/>
          </w:tcPr>
          <w:p w14:paraId="2426734E" w14:textId="77777777" w:rsidR="00E377F0" w:rsidRPr="00945ED2" w:rsidRDefault="00E377F0" w:rsidP="00945ED2">
            <w:pPr>
              <w:pStyle w:val="BodyCopy"/>
              <w:spacing w:after="0" w:line="288" w:lineRule="exact"/>
              <w:rPr>
                <w:b/>
                <w:bCs/>
                <w:color w:val="FFFFFF"/>
                <w:szCs w:val="20"/>
              </w:rPr>
            </w:pPr>
            <w:r w:rsidRPr="00945ED2">
              <w:rPr>
                <w:bCs/>
                <w:color w:val="FFFFFF"/>
                <w:szCs w:val="20"/>
              </w:rPr>
              <w:t xml:space="preserve">Addressing customer concerns about affordability </w:t>
            </w:r>
          </w:p>
        </w:tc>
        <w:tc>
          <w:tcPr>
            <w:tcW w:w="763" w:type="pct"/>
            <w:shd w:val="clear" w:color="auto" w:fill="auto"/>
          </w:tcPr>
          <w:p w14:paraId="72224F4D" w14:textId="77777777" w:rsidR="00E377F0" w:rsidRPr="00945ED2" w:rsidRDefault="00E377F0" w:rsidP="00945ED2">
            <w:pPr>
              <w:pStyle w:val="BodyCopy"/>
              <w:spacing w:after="0" w:line="288" w:lineRule="exact"/>
              <w:rPr>
                <w:szCs w:val="20"/>
              </w:rPr>
            </w:pPr>
            <w:r w:rsidRPr="00945ED2">
              <w:rPr>
                <w:szCs w:val="20"/>
              </w:rPr>
              <w:t>Our forecasts have particular regard for the affordability of electricity supply and appropriately respond to our customers’ concerns.</w:t>
            </w:r>
          </w:p>
        </w:tc>
        <w:tc>
          <w:tcPr>
            <w:tcW w:w="763" w:type="pct"/>
            <w:shd w:val="clear" w:color="auto" w:fill="FFFFFF"/>
          </w:tcPr>
          <w:p w14:paraId="29492041" w14:textId="77777777" w:rsidR="00E377F0" w:rsidRPr="00945ED2" w:rsidRDefault="00E377F0" w:rsidP="00360373">
            <w:pPr>
              <w:pStyle w:val="BodyCopy"/>
              <w:spacing w:after="0" w:line="288" w:lineRule="exact"/>
              <w:rPr>
                <w:szCs w:val="20"/>
              </w:rPr>
            </w:pPr>
            <w:r w:rsidRPr="00945ED2">
              <w:rPr>
                <w:szCs w:val="20"/>
              </w:rPr>
              <w:t xml:space="preserve">The </w:t>
            </w:r>
            <w:r w:rsidR="00360373">
              <w:rPr>
                <w:szCs w:val="20"/>
              </w:rPr>
              <w:t>National Electricity Rules (NER)</w:t>
            </w:r>
            <w:r w:rsidR="00360373" w:rsidRPr="00945ED2">
              <w:rPr>
                <w:szCs w:val="20"/>
              </w:rPr>
              <w:t xml:space="preserve"> </w:t>
            </w:r>
            <w:r w:rsidRPr="00945ED2">
              <w:rPr>
                <w:szCs w:val="20"/>
              </w:rPr>
              <w:t xml:space="preserve">require us to address the concerns of consumers in developing our forecasts. </w:t>
            </w:r>
          </w:p>
        </w:tc>
        <w:tc>
          <w:tcPr>
            <w:tcW w:w="763" w:type="pct"/>
            <w:shd w:val="clear" w:color="auto" w:fill="FFFFFF"/>
          </w:tcPr>
          <w:p w14:paraId="75672B03" w14:textId="77777777" w:rsidR="00E377F0" w:rsidRPr="00945ED2" w:rsidRDefault="00E377F0" w:rsidP="00945ED2">
            <w:pPr>
              <w:pStyle w:val="BodyCopy"/>
              <w:spacing w:after="0" w:line="288" w:lineRule="exact"/>
              <w:rPr>
                <w:szCs w:val="20"/>
              </w:rPr>
            </w:pPr>
            <w:r w:rsidRPr="00945ED2">
              <w:rPr>
                <w:szCs w:val="20"/>
              </w:rPr>
              <w:t xml:space="preserve">Refer to our customer engagement overview document and to chapter 2 of </w:t>
            </w:r>
            <w:r w:rsidR="00360373">
              <w:rPr>
                <w:szCs w:val="20"/>
              </w:rPr>
              <w:t xml:space="preserve">our </w:t>
            </w:r>
            <w:r w:rsidRPr="00945ED2">
              <w:rPr>
                <w:szCs w:val="20"/>
              </w:rPr>
              <w:t>Regulatory Proposal.</w:t>
            </w:r>
          </w:p>
        </w:tc>
        <w:tc>
          <w:tcPr>
            <w:tcW w:w="763" w:type="pct"/>
            <w:shd w:val="clear" w:color="auto" w:fill="FFFFFF"/>
          </w:tcPr>
          <w:p w14:paraId="11EA0449" w14:textId="77777777" w:rsidR="00E377F0" w:rsidRPr="00945ED2" w:rsidRDefault="00E377F0" w:rsidP="00945ED2">
            <w:pPr>
              <w:pStyle w:val="BodyCopy"/>
              <w:spacing w:after="0" w:line="288" w:lineRule="exact"/>
              <w:rPr>
                <w:szCs w:val="20"/>
              </w:rPr>
            </w:pPr>
            <w:r w:rsidRPr="00945ED2">
              <w:rPr>
                <w:szCs w:val="20"/>
              </w:rPr>
              <w:t>We have assessed the preferences and expectations of participants through our stakeholder engagement program. They have identified affordability as a key concern. We have had regard for this in preparing our Regulatory Proposal.</w:t>
            </w:r>
          </w:p>
        </w:tc>
        <w:tc>
          <w:tcPr>
            <w:tcW w:w="561" w:type="pct"/>
            <w:shd w:val="clear" w:color="auto" w:fill="FFFFFF"/>
          </w:tcPr>
          <w:p w14:paraId="59B3111A" w14:textId="77777777" w:rsidR="00E377F0" w:rsidRPr="00945ED2" w:rsidRDefault="00E377F0" w:rsidP="00360373">
            <w:pPr>
              <w:pStyle w:val="BodyCopy"/>
              <w:spacing w:after="0" w:line="288" w:lineRule="exact"/>
              <w:rPr>
                <w:szCs w:val="20"/>
              </w:rPr>
            </w:pPr>
            <w:r w:rsidRPr="00945ED2">
              <w:rPr>
                <w:szCs w:val="20"/>
              </w:rPr>
              <w:t xml:space="preserve">See chapter </w:t>
            </w:r>
            <w:r w:rsidR="00360373" w:rsidRPr="00945ED2">
              <w:rPr>
                <w:szCs w:val="20"/>
              </w:rPr>
              <w:t>1</w:t>
            </w:r>
            <w:r w:rsidR="00360373">
              <w:rPr>
                <w:szCs w:val="20"/>
              </w:rPr>
              <w:t>4</w:t>
            </w:r>
            <w:r w:rsidR="00360373" w:rsidRPr="00945ED2">
              <w:rPr>
                <w:szCs w:val="20"/>
              </w:rPr>
              <w:t xml:space="preserve"> </w:t>
            </w:r>
            <w:r w:rsidRPr="00945ED2">
              <w:rPr>
                <w:szCs w:val="20"/>
              </w:rPr>
              <w:t xml:space="preserve">of </w:t>
            </w:r>
            <w:r w:rsidR="00360373">
              <w:rPr>
                <w:szCs w:val="20"/>
              </w:rPr>
              <w:t xml:space="preserve">our </w:t>
            </w:r>
            <w:r w:rsidRPr="00945ED2">
              <w:rPr>
                <w:szCs w:val="20"/>
              </w:rPr>
              <w:t xml:space="preserve">Regulatory Proposal for indicative price and bill impacts. </w:t>
            </w:r>
          </w:p>
        </w:tc>
        <w:tc>
          <w:tcPr>
            <w:tcW w:w="426" w:type="pct"/>
            <w:shd w:val="clear" w:color="auto" w:fill="FFFFFF"/>
          </w:tcPr>
          <w:p w14:paraId="45A3EF35" w14:textId="77777777" w:rsidR="00E377F0" w:rsidRPr="00945ED2" w:rsidRDefault="00E377F0" w:rsidP="00945ED2">
            <w:pPr>
              <w:pStyle w:val="BodyCopy"/>
              <w:spacing w:after="0" w:line="288" w:lineRule="exact"/>
              <w:rPr>
                <w:szCs w:val="20"/>
              </w:rPr>
            </w:pPr>
            <w:r w:rsidRPr="00945ED2">
              <w:rPr>
                <w:szCs w:val="20"/>
              </w:rPr>
              <w:t>Capex and opex</w:t>
            </w:r>
          </w:p>
        </w:tc>
        <w:tc>
          <w:tcPr>
            <w:tcW w:w="472" w:type="pct"/>
            <w:shd w:val="clear" w:color="auto" w:fill="FFFFFF"/>
          </w:tcPr>
          <w:p w14:paraId="3D1C9926" w14:textId="77777777" w:rsidR="00E377F0" w:rsidRPr="00945ED2" w:rsidRDefault="00E377F0" w:rsidP="00360373">
            <w:pPr>
              <w:pStyle w:val="BodyCopy"/>
              <w:spacing w:after="0" w:line="288" w:lineRule="exact"/>
              <w:rPr>
                <w:szCs w:val="20"/>
              </w:rPr>
            </w:pPr>
            <w:r w:rsidRPr="00945ED2">
              <w:rPr>
                <w:szCs w:val="20"/>
              </w:rPr>
              <w:t xml:space="preserve">See chapter </w:t>
            </w:r>
            <w:r w:rsidR="00360373" w:rsidRPr="00945ED2">
              <w:rPr>
                <w:szCs w:val="20"/>
              </w:rPr>
              <w:t>1</w:t>
            </w:r>
            <w:r w:rsidR="00360373">
              <w:rPr>
                <w:szCs w:val="20"/>
              </w:rPr>
              <w:t>4</w:t>
            </w:r>
            <w:r w:rsidR="00360373" w:rsidRPr="00945ED2">
              <w:rPr>
                <w:szCs w:val="20"/>
              </w:rPr>
              <w:t xml:space="preserve"> </w:t>
            </w:r>
            <w:r w:rsidRPr="00945ED2">
              <w:rPr>
                <w:szCs w:val="20"/>
              </w:rPr>
              <w:t xml:space="preserve">of </w:t>
            </w:r>
            <w:r w:rsidR="00360373">
              <w:rPr>
                <w:szCs w:val="20"/>
              </w:rPr>
              <w:t xml:space="preserve">our </w:t>
            </w:r>
            <w:r w:rsidRPr="00945ED2">
              <w:rPr>
                <w:szCs w:val="20"/>
              </w:rPr>
              <w:t xml:space="preserve">Regulatory Proposal for indicative price and bill impacts. </w:t>
            </w:r>
          </w:p>
        </w:tc>
      </w:tr>
      <w:tr w:rsidR="00E377F0" w:rsidRPr="00945ED2" w14:paraId="4103BB7E" w14:textId="77777777" w:rsidTr="00945ED2">
        <w:trPr>
          <w:cantSplit/>
        </w:trPr>
        <w:tc>
          <w:tcPr>
            <w:tcW w:w="487" w:type="pct"/>
            <w:tcBorders>
              <w:left w:val="single" w:sz="4" w:space="0" w:color="FFFFFF"/>
            </w:tcBorders>
            <w:shd w:val="clear" w:color="auto" w:fill="0070C0"/>
          </w:tcPr>
          <w:p w14:paraId="6FC518EE" w14:textId="77777777" w:rsidR="00E377F0" w:rsidRPr="00945ED2" w:rsidRDefault="00E377F0" w:rsidP="00945ED2">
            <w:pPr>
              <w:pStyle w:val="BodyCopy"/>
              <w:spacing w:after="0" w:line="288" w:lineRule="exact"/>
              <w:rPr>
                <w:b/>
                <w:bCs/>
                <w:color w:val="FFFFFF"/>
                <w:szCs w:val="20"/>
              </w:rPr>
            </w:pPr>
            <w:r w:rsidRPr="00945ED2">
              <w:rPr>
                <w:bCs/>
                <w:color w:val="FFFFFF"/>
                <w:szCs w:val="20"/>
              </w:rPr>
              <w:t>Service outcomes</w:t>
            </w:r>
          </w:p>
        </w:tc>
        <w:tc>
          <w:tcPr>
            <w:tcW w:w="763" w:type="pct"/>
            <w:shd w:val="clear" w:color="auto" w:fill="auto"/>
          </w:tcPr>
          <w:p w14:paraId="775A64AF" w14:textId="77777777" w:rsidR="00E377F0" w:rsidRPr="00945ED2" w:rsidRDefault="00E377F0" w:rsidP="00360373">
            <w:pPr>
              <w:pStyle w:val="BodyCopy"/>
              <w:spacing w:after="0" w:line="288" w:lineRule="exact"/>
              <w:rPr>
                <w:szCs w:val="20"/>
              </w:rPr>
            </w:pPr>
            <w:r w:rsidRPr="00945ED2">
              <w:rPr>
                <w:szCs w:val="20"/>
              </w:rPr>
              <w:t xml:space="preserve">We will maintain, but not improve, our average system-wide service outcomes, consistent with clause 6.5.6(a) and 6.5.7(a) of the </w:t>
            </w:r>
            <w:r w:rsidR="00360373">
              <w:rPr>
                <w:szCs w:val="20"/>
              </w:rPr>
              <w:t>NER</w:t>
            </w:r>
            <w:r w:rsidRPr="00945ED2">
              <w:rPr>
                <w:szCs w:val="20"/>
              </w:rPr>
              <w:t xml:space="preserve">. </w:t>
            </w:r>
            <w:r w:rsidR="00721E4D">
              <w:rPr>
                <w:szCs w:val="20"/>
              </w:rPr>
              <w:t>We will seek to improve outcomes on our worst performing feeders consistent with our regulatory obligations</w:t>
            </w:r>
            <w:r w:rsidR="00413063">
              <w:rPr>
                <w:szCs w:val="20"/>
              </w:rPr>
              <w:t>.</w:t>
            </w:r>
          </w:p>
        </w:tc>
        <w:tc>
          <w:tcPr>
            <w:tcW w:w="763" w:type="pct"/>
            <w:shd w:val="clear" w:color="auto" w:fill="FFFFFF"/>
          </w:tcPr>
          <w:p w14:paraId="61D58216" w14:textId="77777777" w:rsidR="00E377F0" w:rsidRPr="00945ED2" w:rsidRDefault="00E377F0" w:rsidP="00360373">
            <w:pPr>
              <w:pStyle w:val="BodyCopy"/>
              <w:spacing w:after="0" w:line="288" w:lineRule="exact"/>
              <w:rPr>
                <w:szCs w:val="20"/>
              </w:rPr>
            </w:pPr>
            <w:r w:rsidRPr="00945ED2">
              <w:rPr>
                <w:szCs w:val="20"/>
              </w:rPr>
              <w:t xml:space="preserve">The </w:t>
            </w:r>
            <w:r w:rsidR="00360373">
              <w:rPr>
                <w:szCs w:val="20"/>
              </w:rPr>
              <w:t>NER</w:t>
            </w:r>
            <w:r w:rsidR="00360373" w:rsidRPr="00945ED2">
              <w:rPr>
                <w:szCs w:val="20"/>
              </w:rPr>
              <w:t xml:space="preserve"> </w:t>
            </w:r>
            <w:r w:rsidRPr="00945ED2">
              <w:rPr>
                <w:szCs w:val="20"/>
              </w:rPr>
              <w:t>do</w:t>
            </w:r>
            <w:r w:rsidR="00360373">
              <w:rPr>
                <w:szCs w:val="20"/>
              </w:rPr>
              <w:t>es</w:t>
            </w:r>
            <w:r w:rsidRPr="00945ED2">
              <w:rPr>
                <w:szCs w:val="20"/>
              </w:rPr>
              <w:t xml:space="preserve"> not allow the AER to approve expenditure that improves service outcomes, unless it is required by a regulatory obligation.  Our expenditure forecasts reflect this requirement.</w:t>
            </w:r>
          </w:p>
        </w:tc>
        <w:tc>
          <w:tcPr>
            <w:tcW w:w="763" w:type="pct"/>
            <w:shd w:val="clear" w:color="auto" w:fill="FFFFFF"/>
          </w:tcPr>
          <w:p w14:paraId="56EC7137" w14:textId="77777777" w:rsidR="00E377F0" w:rsidRPr="00945ED2" w:rsidRDefault="00E377F0" w:rsidP="00360373">
            <w:pPr>
              <w:pStyle w:val="BodyCopy"/>
              <w:spacing w:after="0" w:line="288" w:lineRule="exact"/>
              <w:rPr>
                <w:szCs w:val="20"/>
              </w:rPr>
            </w:pPr>
            <w:r w:rsidRPr="00945ED2">
              <w:rPr>
                <w:szCs w:val="20"/>
              </w:rPr>
              <w:t xml:space="preserve">Refer to chapters </w:t>
            </w:r>
            <w:r w:rsidR="00360373">
              <w:rPr>
                <w:szCs w:val="20"/>
              </w:rPr>
              <w:t>6</w:t>
            </w:r>
            <w:r w:rsidR="00360373" w:rsidRPr="00945ED2">
              <w:rPr>
                <w:szCs w:val="20"/>
              </w:rPr>
              <w:t xml:space="preserve"> </w:t>
            </w:r>
            <w:r w:rsidRPr="00945ED2">
              <w:rPr>
                <w:szCs w:val="20"/>
              </w:rPr>
              <w:t xml:space="preserve">and </w:t>
            </w:r>
            <w:r w:rsidR="00360373">
              <w:rPr>
                <w:szCs w:val="20"/>
              </w:rPr>
              <w:t>7</w:t>
            </w:r>
            <w:r w:rsidR="00360373" w:rsidRPr="00945ED2">
              <w:rPr>
                <w:szCs w:val="20"/>
              </w:rPr>
              <w:t xml:space="preserve"> </w:t>
            </w:r>
            <w:r w:rsidRPr="00945ED2">
              <w:rPr>
                <w:szCs w:val="20"/>
              </w:rPr>
              <w:t>of our Regulatory Proposal.</w:t>
            </w:r>
          </w:p>
        </w:tc>
        <w:tc>
          <w:tcPr>
            <w:tcW w:w="763" w:type="pct"/>
            <w:shd w:val="clear" w:color="auto" w:fill="FFFFFF"/>
          </w:tcPr>
          <w:p w14:paraId="47C0220C" w14:textId="77777777" w:rsidR="00E377F0" w:rsidRPr="00945ED2" w:rsidRDefault="00E377F0" w:rsidP="00721E4D">
            <w:pPr>
              <w:pStyle w:val="BodyCopy"/>
              <w:spacing w:after="0" w:line="288" w:lineRule="exact"/>
              <w:rPr>
                <w:szCs w:val="20"/>
              </w:rPr>
            </w:pPr>
            <w:r w:rsidRPr="00945ED2">
              <w:rPr>
                <w:szCs w:val="20"/>
              </w:rPr>
              <w:t xml:space="preserve">Not necessary, because we are reflecting the requirements of the </w:t>
            </w:r>
            <w:r w:rsidR="00721E4D">
              <w:rPr>
                <w:szCs w:val="20"/>
              </w:rPr>
              <w:t>NER</w:t>
            </w:r>
            <w:r w:rsidRPr="00945ED2">
              <w:rPr>
                <w:szCs w:val="20"/>
              </w:rPr>
              <w:t>.</w:t>
            </w:r>
          </w:p>
        </w:tc>
        <w:tc>
          <w:tcPr>
            <w:tcW w:w="561" w:type="pct"/>
            <w:shd w:val="clear" w:color="auto" w:fill="FFFFFF"/>
          </w:tcPr>
          <w:p w14:paraId="30E702BF" w14:textId="77777777" w:rsidR="00E377F0" w:rsidRPr="00945ED2" w:rsidRDefault="00E377F0" w:rsidP="00945ED2">
            <w:pPr>
              <w:pStyle w:val="BodyCopy"/>
              <w:spacing w:after="0" w:line="288" w:lineRule="exact"/>
              <w:rPr>
                <w:szCs w:val="20"/>
              </w:rPr>
            </w:pPr>
            <w:r w:rsidRPr="00945ED2">
              <w:rPr>
                <w:szCs w:val="20"/>
              </w:rPr>
              <w:t>Unable to be quantified because have not prepared counter-factual.</w:t>
            </w:r>
          </w:p>
        </w:tc>
        <w:tc>
          <w:tcPr>
            <w:tcW w:w="426" w:type="pct"/>
            <w:shd w:val="clear" w:color="auto" w:fill="FFFFFF"/>
          </w:tcPr>
          <w:p w14:paraId="296131CE" w14:textId="77777777" w:rsidR="00E377F0" w:rsidRPr="00945ED2" w:rsidRDefault="00E377F0" w:rsidP="00945ED2">
            <w:pPr>
              <w:pStyle w:val="BodyCopy"/>
              <w:spacing w:after="0" w:line="288" w:lineRule="exact"/>
              <w:rPr>
                <w:szCs w:val="20"/>
              </w:rPr>
            </w:pPr>
            <w:r w:rsidRPr="00945ED2">
              <w:rPr>
                <w:szCs w:val="20"/>
              </w:rPr>
              <w:t>Capex and opex</w:t>
            </w:r>
          </w:p>
        </w:tc>
        <w:tc>
          <w:tcPr>
            <w:tcW w:w="472" w:type="pct"/>
            <w:shd w:val="clear" w:color="auto" w:fill="FFFFFF"/>
          </w:tcPr>
          <w:p w14:paraId="10C06C34" w14:textId="77777777" w:rsidR="00E377F0" w:rsidRPr="00945ED2" w:rsidRDefault="00E377F0" w:rsidP="00945ED2">
            <w:pPr>
              <w:pStyle w:val="BodyCopy"/>
              <w:spacing w:after="0" w:line="288" w:lineRule="exact"/>
              <w:rPr>
                <w:szCs w:val="20"/>
              </w:rPr>
            </w:pPr>
            <w:r w:rsidRPr="00945ED2">
              <w:rPr>
                <w:szCs w:val="20"/>
              </w:rPr>
              <w:t>We have not undertaken sensitivity analysis, as counter-factual scenarios difficult to reasonably estimate.</w:t>
            </w:r>
          </w:p>
        </w:tc>
      </w:tr>
      <w:tr w:rsidR="00E377F0" w:rsidRPr="00945ED2" w14:paraId="3C6962B0" w14:textId="77777777" w:rsidTr="00945ED2">
        <w:trPr>
          <w:cantSplit/>
        </w:trPr>
        <w:tc>
          <w:tcPr>
            <w:tcW w:w="487" w:type="pct"/>
            <w:tcBorders>
              <w:left w:val="single" w:sz="4" w:space="0" w:color="FFFFFF"/>
            </w:tcBorders>
            <w:shd w:val="clear" w:color="auto" w:fill="0070C0"/>
          </w:tcPr>
          <w:p w14:paraId="473C97E1" w14:textId="77777777" w:rsidR="00E377F0" w:rsidRPr="00945ED2" w:rsidRDefault="00E377F0" w:rsidP="00945ED2">
            <w:pPr>
              <w:pStyle w:val="BodyCopy"/>
              <w:spacing w:after="0" w:line="288" w:lineRule="exact"/>
              <w:rPr>
                <w:b/>
                <w:bCs/>
                <w:color w:val="FFFFFF"/>
                <w:szCs w:val="20"/>
              </w:rPr>
            </w:pPr>
            <w:r w:rsidRPr="00945ED2">
              <w:rPr>
                <w:bCs/>
                <w:color w:val="FFFFFF"/>
                <w:szCs w:val="20"/>
              </w:rPr>
              <w:t>Forecast capex and opex</w:t>
            </w:r>
          </w:p>
        </w:tc>
        <w:tc>
          <w:tcPr>
            <w:tcW w:w="763" w:type="pct"/>
            <w:shd w:val="clear" w:color="auto" w:fill="auto"/>
          </w:tcPr>
          <w:p w14:paraId="7A9B7B09" w14:textId="77777777" w:rsidR="00E377F0" w:rsidRPr="00945ED2" w:rsidRDefault="00E377F0" w:rsidP="00945ED2">
            <w:pPr>
              <w:pStyle w:val="BodyCopy"/>
              <w:spacing w:after="0" w:line="288" w:lineRule="exact"/>
              <w:rPr>
                <w:szCs w:val="20"/>
              </w:rPr>
            </w:pPr>
            <w:r w:rsidRPr="00945ED2">
              <w:rPr>
                <w:szCs w:val="20"/>
              </w:rPr>
              <w:t xml:space="preserve">Our capex and opex forecasts are required to deliver the safety, reliability and customer outcomes set out in our Regulatory Proposal. </w:t>
            </w:r>
          </w:p>
        </w:tc>
        <w:tc>
          <w:tcPr>
            <w:tcW w:w="763" w:type="pct"/>
            <w:shd w:val="clear" w:color="auto" w:fill="FFFFFF"/>
          </w:tcPr>
          <w:p w14:paraId="39CC027A" w14:textId="77777777" w:rsidR="00E377F0" w:rsidRPr="00945ED2" w:rsidRDefault="00E377F0" w:rsidP="00945ED2">
            <w:pPr>
              <w:pStyle w:val="BodyCopy"/>
              <w:spacing w:after="0" w:line="288" w:lineRule="exact"/>
              <w:rPr>
                <w:szCs w:val="20"/>
              </w:rPr>
            </w:pPr>
            <w:r w:rsidRPr="00945ED2">
              <w:rPr>
                <w:szCs w:val="20"/>
              </w:rPr>
              <w:t xml:space="preserve">Achieving our stated safety, reliability and customer outcomes depends on us delivering our proposed capex and opex program, which in turn relies upon the AER approving our forecast Annual Revenue Requirements.  </w:t>
            </w:r>
          </w:p>
        </w:tc>
        <w:tc>
          <w:tcPr>
            <w:tcW w:w="763" w:type="pct"/>
            <w:shd w:val="clear" w:color="auto" w:fill="FFFFFF"/>
          </w:tcPr>
          <w:p w14:paraId="6287E60C" w14:textId="77777777" w:rsidR="00E377F0" w:rsidRPr="00945ED2" w:rsidRDefault="00E377F0" w:rsidP="00360373">
            <w:pPr>
              <w:pStyle w:val="BodyCopy"/>
              <w:spacing w:after="0" w:line="288" w:lineRule="exact"/>
              <w:rPr>
                <w:szCs w:val="20"/>
              </w:rPr>
            </w:pPr>
            <w:r w:rsidRPr="00945ED2">
              <w:rPr>
                <w:szCs w:val="20"/>
              </w:rPr>
              <w:t xml:space="preserve">Refer to chapters </w:t>
            </w:r>
            <w:r w:rsidR="00360373">
              <w:rPr>
                <w:szCs w:val="20"/>
              </w:rPr>
              <w:t>6</w:t>
            </w:r>
            <w:r w:rsidR="00360373" w:rsidRPr="00945ED2">
              <w:rPr>
                <w:szCs w:val="20"/>
              </w:rPr>
              <w:t xml:space="preserve"> </w:t>
            </w:r>
            <w:r w:rsidRPr="00945ED2">
              <w:rPr>
                <w:szCs w:val="20"/>
              </w:rPr>
              <w:t xml:space="preserve">and </w:t>
            </w:r>
            <w:r w:rsidR="00360373">
              <w:rPr>
                <w:szCs w:val="20"/>
              </w:rPr>
              <w:t>7</w:t>
            </w:r>
            <w:r w:rsidR="00360373" w:rsidRPr="00945ED2">
              <w:rPr>
                <w:szCs w:val="20"/>
              </w:rPr>
              <w:t xml:space="preserve"> </w:t>
            </w:r>
            <w:r w:rsidRPr="00945ED2">
              <w:rPr>
                <w:szCs w:val="20"/>
              </w:rPr>
              <w:t>of our Regulatory Proposal.</w:t>
            </w:r>
          </w:p>
        </w:tc>
        <w:tc>
          <w:tcPr>
            <w:tcW w:w="763" w:type="pct"/>
            <w:shd w:val="clear" w:color="auto" w:fill="FFFFFF"/>
          </w:tcPr>
          <w:p w14:paraId="12915180" w14:textId="77777777" w:rsidR="00E377F0" w:rsidRPr="00945ED2" w:rsidRDefault="00E377F0" w:rsidP="00945ED2">
            <w:pPr>
              <w:pStyle w:val="BodyCopy"/>
              <w:spacing w:after="0" w:line="288" w:lineRule="exact"/>
              <w:rPr>
                <w:szCs w:val="20"/>
              </w:rPr>
            </w:pPr>
            <w:r w:rsidRPr="00945ED2">
              <w:rPr>
                <w:szCs w:val="20"/>
              </w:rPr>
              <w:t>Our Regulatory Proposal justifies each component of our forecast Annual Revenue Requirements, including our forecast capex and opex.</w:t>
            </w:r>
          </w:p>
        </w:tc>
        <w:tc>
          <w:tcPr>
            <w:tcW w:w="561" w:type="pct"/>
            <w:shd w:val="clear" w:color="auto" w:fill="FFFFFF"/>
          </w:tcPr>
          <w:p w14:paraId="6BF047A1" w14:textId="77777777" w:rsidR="00E377F0" w:rsidRPr="00945ED2" w:rsidRDefault="00E377F0" w:rsidP="00360373">
            <w:pPr>
              <w:pStyle w:val="BodyCopy"/>
              <w:spacing w:after="0" w:line="288" w:lineRule="exact"/>
              <w:rPr>
                <w:szCs w:val="20"/>
              </w:rPr>
            </w:pPr>
            <w:r w:rsidRPr="00945ED2">
              <w:rPr>
                <w:szCs w:val="20"/>
              </w:rPr>
              <w:t xml:space="preserve">See chapters </w:t>
            </w:r>
            <w:r w:rsidR="00360373">
              <w:rPr>
                <w:szCs w:val="20"/>
              </w:rPr>
              <w:t>6</w:t>
            </w:r>
            <w:r w:rsidR="00360373" w:rsidRPr="00945ED2">
              <w:rPr>
                <w:szCs w:val="20"/>
              </w:rPr>
              <w:t xml:space="preserve"> </w:t>
            </w:r>
            <w:r w:rsidRPr="00945ED2">
              <w:rPr>
                <w:szCs w:val="20"/>
              </w:rPr>
              <w:t xml:space="preserve">and </w:t>
            </w:r>
            <w:r w:rsidR="00360373">
              <w:rPr>
                <w:szCs w:val="20"/>
              </w:rPr>
              <w:t>7</w:t>
            </w:r>
            <w:r w:rsidR="00360373" w:rsidRPr="00945ED2">
              <w:rPr>
                <w:szCs w:val="20"/>
              </w:rPr>
              <w:t xml:space="preserve"> </w:t>
            </w:r>
            <w:r w:rsidRPr="00945ED2">
              <w:rPr>
                <w:szCs w:val="20"/>
              </w:rPr>
              <w:t>of our Regulatory Proposals.</w:t>
            </w:r>
          </w:p>
        </w:tc>
        <w:tc>
          <w:tcPr>
            <w:tcW w:w="426" w:type="pct"/>
            <w:shd w:val="clear" w:color="auto" w:fill="FFFFFF"/>
          </w:tcPr>
          <w:p w14:paraId="7BF8EB2A" w14:textId="77777777" w:rsidR="00E377F0" w:rsidRPr="00945ED2" w:rsidRDefault="00E377F0" w:rsidP="00945ED2">
            <w:pPr>
              <w:pStyle w:val="BodyCopy"/>
              <w:spacing w:after="0" w:line="288" w:lineRule="exact"/>
              <w:rPr>
                <w:szCs w:val="20"/>
              </w:rPr>
            </w:pPr>
            <w:r w:rsidRPr="00945ED2">
              <w:rPr>
                <w:szCs w:val="20"/>
              </w:rPr>
              <w:t>Capex and opex</w:t>
            </w:r>
          </w:p>
        </w:tc>
        <w:tc>
          <w:tcPr>
            <w:tcW w:w="472" w:type="pct"/>
            <w:shd w:val="clear" w:color="auto" w:fill="FFFFFF"/>
          </w:tcPr>
          <w:p w14:paraId="176297E1" w14:textId="77777777" w:rsidR="00E377F0" w:rsidRPr="00945ED2" w:rsidRDefault="00E377F0" w:rsidP="00945ED2">
            <w:pPr>
              <w:pStyle w:val="BodyCopy"/>
              <w:spacing w:after="0" w:line="288" w:lineRule="exact"/>
              <w:rPr>
                <w:szCs w:val="20"/>
              </w:rPr>
            </w:pPr>
            <w:r w:rsidRPr="00945ED2">
              <w:rPr>
                <w:szCs w:val="20"/>
              </w:rPr>
              <w:t>We have not undertaken sensitivity analysis, as counter-factual scenarios difficult to reasonably estimate.</w:t>
            </w:r>
          </w:p>
        </w:tc>
      </w:tr>
      <w:tr w:rsidR="00E377F0" w:rsidRPr="00945ED2" w14:paraId="5616CA30" w14:textId="77777777" w:rsidTr="00945ED2">
        <w:trPr>
          <w:cantSplit/>
        </w:trPr>
        <w:tc>
          <w:tcPr>
            <w:tcW w:w="487" w:type="pct"/>
            <w:tcBorders>
              <w:left w:val="single" w:sz="4" w:space="0" w:color="FFFFFF"/>
            </w:tcBorders>
            <w:shd w:val="clear" w:color="auto" w:fill="0070C0"/>
          </w:tcPr>
          <w:p w14:paraId="31FBCC82" w14:textId="77777777" w:rsidR="00E377F0" w:rsidRPr="00945ED2" w:rsidRDefault="00E377F0" w:rsidP="00945ED2">
            <w:pPr>
              <w:pStyle w:val="BodyCopy"/>
              <w:spacing w:after="0" w:line="288" w:lineRule="exact"/>
              <w:rPr>
                <w:b/>
                <w:bCs/>
                <w:szCs w:val="20"/>
              </w:rPr>
            </w:pPr>
            <w:r w:rsidRPr="00945ED2">
              <w:rPr>
                <w:bCs/>
                <w:color w:val="FFFFFF"/>
                <w:szCs w:val="20"/>
              </w:rPr>
              <w:t>Demand</w:t>
            </w:r>
            <w:r w:rsidRPr="00945ED2">
              <w:rPr>
                <w:bCs/>
                <w:szCs w:val="20"/>
              </w:rPr>
              <w:t xml:space="preserve"> </w:t>
            </w:r>
          </w:p>
        </w:tc>
        <w:tc>
          <w:tcPr>
            <w:tcW w:w="763" w:type="pct"/>
            <w:shd w:val="clear" w:color="auto" w:fill="auto"/>
          </w:tcPr>
          <w:p w14:paraId="23E17783" w14:textId="77777777" w:rsidR="00E377F0" w:rsidRPr="00945ED2" w:rsidRDefault="00E377F0" w:rsidP="00945ED2">
            <w:pPr>
              <w:pStyle w:val="BodyCopy"/>
              <w:spacing w:after="0" w:line="288" w:lineRule="exact"/>
              <w:rPr>
                <w:szCs w:val="20"/>
              </w:rPr>
            </w:pPr>
            <w:r w:rsidRPr="00945ED2">
              <w:rPr>
                <w:szCs w:val="20"/>
              </w:rPr>
              <w:t xml:space="preserve">Our base case network peak demand forecast provides an appropriate basis for our network augmentation forecast. </w:t>
            </w:r>
          </w:p>
        </w:tc>
        <w:tc>
          <w:tcPr>
            <w:tcW w:w="763" w:type="pct"/>
            <w:shd w:val="clear" w:color="auto" w:fill="FFFFFF"/>
          </w:tcPr>
          <w:p w14:paraId="1BB29FBA" w14:textId="77777777" w:rsidR="00E377F0" w:rsidRPr="00945ED2" w:rsidRDefault="00E377F0" w:rsidP="00360373">
            <w:pPr>
              <w:pStyle w:val="BodyCopy"/>
              <w:spacing w:after="0" w:line="288" w:lineRule="exact"/>
              <w:rPr>
                <w:szCs w:val="20"/>
              </w:rPr>
            </w:pPr>
            <w:r w:rsidRPr="00945ED2">
              <w:rPr>
                <w:szCs w:val="20"/>
              </w:rPr>
              <w:t xml:space="preserve">Our peak demand and energy forecasts have been prepared consistent with good industry practice, with independent input and verification.  They provide the best view of “expected demand” for the purposes of clauses 6.5.6(a)(1) and 6.5.7(a)(1) of the </w:t>
            </w:r>
            <w:r w:rsidR="00360373">
              <w:rPr>
                <w:szCs w:val="20"/>
              </w:rPr>
              <w:t>NER</w:t>
            </w:r>
            <w:r w:rsidRPr="00945ED2">
              <w:rPr>
                <w:szCs w:val="20"/>
              </w:rPr>
              <w:t>.</w:t>
            </w:r>
          </w:p>
        </w:tc>
        <w:tc>
          <w:tcPr>
            <w:tcW w:w="763" w:type="pct"/>
            <w:shd w:val="clear" w:color="auto" w:fill="FFFFFF"/>
          </w:tcPr>
          <w:p w14:paraId="2EA672D2" w14:textId="77777777" w:rsidR="00E377F0" w:rsidRPr="00945ED2" w:rsidRDefault="00E377F0" w:rsidP="00360373">
            <w:pPr>
              <w:pStyle w:val="BodyCopy"/>
              <w:spacing w:after="0" w:line="288" w:lineRule="exact"/>
              <w:rPr>
                <w:szCs w:val="20"/>
              </w:rPr>
            </w:pPr>
            <w:r w:rsidRPr="00945ED2">
              <w:rPr>
                <w:szCs w:val="20"/>
              </w:rPr>
              <w:t xml:space="preserve">Refer to chapter </w:t>
            </w:r>
            <w:r w:rsidR="00360373">
              <w:rPr>
                <w:szCs w:val="20"/>
              </w:rPr>
              <w:t>5</w:t>
            </w:r>
            <w:r w:rsidR="00360373" w:rsidRPr="00945ED2">
              <w:rPr>
                <w:szCs w:val="20"/>
              </w:rPr>
              <w:t xml:space="preserve"> </w:t>
            </w:r>
            <w:r w:rsidRPr="00945ED2">
              <w:rPr>
                <w:szCs w:val="20"/>
              </w:rPr>
              <w:t>of our Regulatory Proposal.</w:t>
            </w:r>
          </w:p>
        </w:tc>
        <w:tc>
          <w:tcPr>
            <w:tcW w:w="763" w:type="pct"/>
            <w:shd w:val="clear" w:color="auto" w:fill="FFFFFF"/>
          </w:tcPr>
          <w:p w14:paraId="428FAA5F" w14:textId="77777777" w:rsidR="00E377F0" w:rsidRPr="00945ED2" w:rsidRDefault="00E377F0" w:rsidP="00945ED2">
            <w:pPr>
              <w:pStyle w:val="BodyCopy"/>
              <w:spacing w:after="0" w:line="288" w:lineRule="exact"/>
              <w:rPr>
                <w:szCs w:val="20"/>
              </w:rPr>
            </w:pPr>
            <w:r w:rsidRPr="00945ED2">
              <w:rPr>
                <w:szCs w:val="20"/>
              </w:rPr>
              <w:t>We engaged ACIL Allen to provide updated independent advice and recommendations on our forecasting methodology based on Industry best practice for system maximum demand, energy and customer number forecasts.</w:t>
            </w:r>
          </w:p>
        </w:tc>
        <w:tc>
          <w:tcPr>
            <w:tcW w:w="561" w:type="pct"/>
            <w:shd w:val="clear" w:color="auto" w:fill="FFFFFF"/>
          </w:tcPr>
          <w:p w14:paraId="1C87CE50" w14:textId="77777777" w:rsidR="00E377F0" w:rsidRPr="00945ED2" w:rsidRDefault="00E377F0" w:rsidP="00360373">
            <w:pPr>
              <w:pStyle w:val="BodyCopy"/>
              <w:spacing w:after="0" w:line="288" w:lineRule="exact"/>
              <w:rPr>
                <w:szCs w:val="20"/>
              </w:rPr>
            </w:pPr>
            <w:r w:rsidRPr="00945ED2">
              <w:rPr>
                <w:szCs w:val="20"/>
              </w:rPr>
              <w:t xml:space="preserve">See chapter </w:t>
            </w:r>
            <w:r w:rsidR="00360373">
              <w:rPr>
                <w:szCs w:val="20"/>
              </w:rPr>
              <w:t>5</w:t>
            </w:r>
            <w:r w:rsidR="00360373" w:rsidRPr="00945ED2">
              <w:rPr>
                <w:szCs w:val="20"/>
              </w:rPr>
              <w:t xml:space="preserve"> </w:t>
            </w:r>
            <w:r w:rsidRPr="00945ED2">
              <w:rPr>
                <w:szCs w:val="20"/>
              </w:rPr>
              <w:t>of our Regulatory Proposals.</w:t>
            </w:r>
          </w:p>
        </w:tc>
        <w:tc>
          <w:tcPr>
            <w:tcW w:w="426" w:type="pct"/>
            <w:shd w:val="clear" w:color="auto" w:fill="FFFFFF"/>
          </w:tcPr>
          <w:p w14:paraId="210297B3" w14:textId="77777777" w:rsidR="00E377F0" w:rsidRPr="00945ED2" w:rsidRDefault="00E377F0" w:rsidP="00945ED2">
            <w:pPr>
              <w:pStyle w:val="BodyCopy"/>
              <w:spacing w:after="0" w:line="288" w:lineRule="exact"/>
              <w:rPr>
                <w:szCs w:val="20"/>
              </w:rPr>
            </w:pPr>
            <w:r w:rsidRPr="00945ED2">
              <w:rPr>
                <w:szCs w:val="20"/>
              </w:rPr>
              <w:t>Capex and opex</w:t>
            </w:r>
          </w:p>
        </w:tc>
        <w:tc>
          <w:tcPr>
            <w:tcW w:w="472" w:type="pct"/>
            <w:shd w:val="clear" w:color="auto" w:fill="FFFFFF"/>
          </w:tcPr>
          <w:p w14:paraId="7B827030" w14:textId="77777777" w:rsidR="00E377F0" w:rsidRPr="00945ED2" w:rsidRDefault="00E377F0" w:rsidP="00945ED2">
            <w:pPr>
              <w:pStyle w:val="BodyCopy"/>
              <w:spacing w:after="0" w:line="288" w:lineRule="exact"/>
              <w:rPr>
                <w:szCs w:val="20"/>
              </w:rPr>
            </w:pPr>
            <w:r w:rsidRPr="00945ED2">
              <w:rPr>
                <w:szCs w:val="20"/>
              </w:rPr>
              <w:t>Not able to be estimated.</w:t>
            </w:r>
          </w:p>
        </w:tc>
      </w:tr>
      <w:tr w:rsidR="00E377F0" w:rsidRPr="00945ED2" w14:paraId="1A98FCC0" w14:textId="77777777" w:rsidTr="00945ED2">
        <w:trPr>
          <w:cantSplit/>
        </w:trPr>
        <w:tc>
          <w:tcPr>
            <w:tcW w:w="487" w:type="pct"/>
            <w:tcBorders>
              <w:left w:val="single" w:sz="4" w:space="0" w:color="FFFFFF"/>
            </w:tcBorders>
            <w:shd w:val="clear" w:color="auto" w:fill="0070C0"/>
          </w:tcPr>
          <w:p w14:paraId="43576AE1" w14:textId="77777777" w:rsidR="00E377F0" w:rsidRPr="00945ED2" w:rsidRDefault="00E377F0" w:rsidP="00945ED2">
            <w:pPr>
              <w:pStyle w:val="BodyCopy"/>
              <w:spacing w:after="0" w:line="288" w:lineRule="exact"/>
              <w:rPr>
                <w:b/>
                <w:bCs/>
                <w:szCs w:val="20"/>
              </w:rPr>
            </w:pPr>
            <w:r w:rsidRPr="00945ED2">
              <w:rPr>
                <w:bCs/>
                <w:color w:val="FFFFFF"/>
                <w:szCs w:val="20"/>
              </w:rPr>
              <w:t>Customer numbers</w:t>
            </w:r>
          </w:p>
        </w:tc>
        <w:tc>
          <w:tcPr>
            <w:tcW w:w="763" w:type="pct"/>
            <w:shd w:val="clear" w:color="auto" w:fill="auto"/>
          </w:tcPr>
          <w:p w14:paraId="0BAC129B" w14:textId="77777777" w:rsidR="00E377F0" w:rsidRPr="00945ED2" w:rsidRDefault="00E377F0" w:rsidP="00945ED2">
            <w:pPr>
              <w:pStyle w:val="BodyCopy"/>
              <w:spacing w:after="0" w:line="288" w:lineRule="exact"/>
              <w:rPr>
                <w:szCs w:val="20"/>
              </w:rPr>
            </w:pPr>
            <w:r w:rsidRPr="00945ED2">
              <w:rPr>
                <w:szCs w:val="20"/>
              </w:rPr>
              <w:t>Our base case customer number forecast provides an appropriate approach for our connections capex forecast and the customer numbers component of our opex rate of change.</w:t>
            </w:r>
          </w:p>
        </w:tc>
        <w:tc>
          <w:tcPr>
            <w:tcW w:w="763" w:type="pct"/>
            <w:shd w:val="clear" w:color="auto" w:fill="FFFFFF"/>
          </w:tcPr>
          <w:p w14:paraId="6352881E" w14:textId="77777777" w:rsidR="00E377F0" w:rsidRPr="00945ED2" w:rsidRDefault="00E377F0" w:rsidP="00945ED2">
            <w:pPr>
              <w:pStyle w:val="BodyCopy"/>
              <w:spacing w:after="0" w:line="288" w:lineRule="exact"/>
              <w:rPr>
                <w:szCs w:val="20"/>
              </w:rPr>
            </w:pPr>
            <w:r w:rsidRPr="00945ED2">
              <w:rPr>
                <w:szCs w:val="20"/>
              </w:rPr>
              <w:t>Our customer number forecasts have been prepared using independently verified methodology and recommendations.</w:t>
            </w:r>
          </w:p>
        </w:tc>
        <w:tc>
          <w:tcPr>
            <w:tcW w:w="763" w:type="pct"/>
            <w:shd w:val="clear" w:color="auto" w:fill="FFFFFF"/>
          </w:tcPr>
          <w:p w14:paraId="703CCF7F" w14:textId="77777777" w:rsidR="00E377F0" w:rsidRPr="00945ED2" w:rsidRDefault="00E377F0" w:rsidP="00360373">
            <w:pPr>
              <w:pStyle w:val="BodyCopy"/>
              <w:spacing w:after="0" w:line="288" w:lineRule="exact"/>
              <w:rPr>
                <w:szCs w:val="20"/>
              </w:rPr>
            </w:pPr>
            <w:r w:rsidRPr="00945ED2">
              <w:rPr>
                <w:szCs w:val="20"/>
              </w:rPr>
              <w:t xml:space="preserve">Refer to chapter </w:t>
            </w:r>
            <w:r w:rsidR="00360373">
              <w:rPr>
                <w:szCs w:val="20"/>
              </w:rPr>
              <w:t>5</w:t>
            </w:r>
            <w:r w:rsidR="00360373" w:rsidRPr="00945ED2">
              <w:rPr>
                <w:szCs w:val="20"/>
              </w:rPr>
              <w:t xml:space="preserve"> </w:t>
            </w:r>
            <w:r w:rsidRPr="00945ED2">
              <w:rPr>
                <w:szCs w:val="20"/>
              </w:rPr>
              <w:t>of our Regulatory Proposals.</w:t>
            </w:r>
          </w:p>
        </w:tc>
        <w:tc>
          <w:tcPr>
            <w:tcW w:w="763" w:type="pct"/>
            <w:shd w:val="clear" w:color="auto" w:fill="FFFFFF"/>
          </w:tcPr>
          <w:p w14:paraId="67F12ADA" w14:textId="77777777" w:rsidR="00E377F0" w:rsidRPr="00945ED2" w:rsidRDefault="00E377F0" w:rsidP="00945ED2">
            <w:pPr>
              <w:pStyle w:val="BodyCopy"/>
              <w:spacing w:after="0" w:line="288" w:lineRule="exact"/>
              <w:rPr>
                <w:szCs w:val="20"/>
              </w:rPr>
            </w:pPr>
            <w:r w:rsidRPr="00945ED2">
              <w:rPr>
                <w:szCs w:val="20"/>
              </w:rPr>
              <w:t>We engaged ACIL Allen to provide updated independent advice and recommendations on our forecasting methodology based on Industry best practice for system maximum demand, energy and customer number forecasts.</w:t>
            </w:r>
          </w:p>
        </w:tc>
        <w:tc>
          <w:tcPr>
            <w:tcW w:w="561" w:type="pct"/>
            <w:shd w:val="clear" w:color="auto" w:fill="FFFFFF"/>
          </w:tcPr>
          <w:p w14:paraId="2A05E6CE" w14:textId="77777777" w:rsidR="00E377F0" w:rsidRPr="00945ED2" w:rsidRDefault="00E377F0" w:rsidP="00360373">
            <w:pPr>
              <w:pStyle w:val="BodyCopy"/>
              <w:spacing w:after="0" w:line="288" w:lineRule="exact"/>
              <w:rPr>
                <w:szCs w:val="20"/>
              </w:rPr>
            </w:pPr>
            <w:r w:rsidRPr="00945ED2">
              <w:rPr>
                <w:szCs w:val="20"/>
              </w:rPr>
              <w:t xml:space="preserve">See chapter </w:t>
            </w:r>
            <w:r w:rsidR="00360373">
              <w:rPr>
                <w:szCs w:val="20"/>
              </w:rPr>
              <w:t>5</w:t>
            </w:r>
            <w:r w:rsidR="00360373" w:rsidRPr="00945ED2">
              <w:rPr>
                <w:szCs w:val="20"/>
              </w:rPr>
              <w:t xml:space="preserve"> </w:t>
            </w:r>
            <w:r w:rsidRPr="00945ED2">
              <w:rPr>
                <w:szCs w:val="20"/>
              </w:rPr>
              <w:t>of our Regulatory Proposals.</w:t>
            </w:r>
          </w:p>
        </w:tc>
        <w:tc>
          <w:tcPr>
            <w:tcW w:w="426" w:type="pct"/>
            <w:shd w:val="clear" w:color="auto" w:fill="FFFFFF"/>
          </w:tcPr>
          <w:p w14:paraId="3F743F1C" w14:textId="77777777" w:rsidR="00E377F0" w:rsidRPr="00945ED2" w:rsidRDefault="00E377F0" w:rsidP="00945ED2">
            <w:pPr>
              <w:pStyle w:val="BodyCopy"/>
              <w:spacing w:after="0" w:line="288" w:lineRule="exact"/>
              <w:rPr>
                <w:szCs w:val="20"/>
              </w:rPr>
            </w:pPr>
            <w:r w:rsidRPr="00945ED2">
              <w:rPr>
                <w:szCs w:val="20"/>
              </w:rPr>
              <w:t>Capex and opex</w:t>
            </w:r>
          </w:p>
        </w:tc>
        <w:tc>
          <w:tcPr>
            <w:tcW w:w="472" w:type="pct"/>
            <w:shd w:val="clear" w:color="auto" w:fill="FFFFFF"/>
          </w:tcPr>
          <w:p w14:paraId="69A5D994" w14:textId="77777777" w:rsidR="00E377F0" w:rsidRPr="00945ED2" w:rsidRDefault="00E377F0" w:rsidP="00945ED2">
            <w:pPr>
              <w:pStyle w:val="BodyCopy"/>
              <w:spacing w:after="0" w:line="288" w:lineRule="exact"/>
              <w:rPr>
                <w:szCs w:val="20"/>
              </w:rPr>
            </w:pPr>
            <w:r w:rsidRPr="00945ED2">
              <w:rPr>
                <w:szCs w:val="20"/>
              </w:rPr>
              <w:t>Not able to be estimated.</w:t>
            </w:r>
          </w:p>
        </w:tc>
      </w:tr>
      <w:tr w:rsidR="00E377F0" w:rsidRPr="00945ED2" w14:paraId="6A05290B" w14:textId="77777777" w:rsidTr="00945ED2">
        <w:trPr>
          <w:cantSplit/>
        </w:trPr>
        <w:tc>
          <w:tcPr>
            <w:tcW w:w="487" w:type="pct"/>
            <w:tcBorders>
              <w:left w:val="single" w:sz="4" w:space="0" w:color="FFFFFF"/>
            </w:tcBorders>
            <w:shd w:val="clear" w:color="auto" w:fill="0070C0"/>
          </w:tcPr>
          <w:p w14:paraId="7A25207F" w14:textId="77777777" w:rsidR="00E377F0" w:rsidRPr="00945ED2" w:rsidRDefault="00E377F0" w:rsidP="00945ED2">
            <w:pPr>
              <w:pStyle w:val="BodyCopy"/>
              <w:spacing w:after="0" w:line="288" w:lineRule="exact"/>
              <w:rPr>
                <w:b/>
                <w:bCs/>
                <w:color w:val="FFFFFF"/>
                <w:szCs w:val="20"/>
              </w:rPr>
            </w:pPr>
            <w:r w:rsidRPr="00945ED2">
              <w:rPr>
                <w:bCs/>
                <w:color w:val="FFFFFF"/>
                <w:szCs w:val="20"/>
              </w:rPr>
              <w:t xml:space="preserve">Cost allocation </w:t>
            </w:r>
          </w:p>
        </w:tc>
        <w:tc>
          <w:tcPr>
            <w:tcW w:w="763" w:type="pct"/>
            <w:shd w:val="clear" w:color="auto" w:fill="auto"/>
          </w:tcPr>
          <w:p w14:paraId="7D5CA4AA" w14:textId="77777777" w:rsidR="00E377F0" w:rsidRPr="00945ED2" w:rsidRDefault="00E377F0" w:rsidP="00360373">
            <w:pPr>
              <w:pStyle w:val="BodyCopy"/>
              <w:spacing w:after="0" w:line="288" w:lineRule="exact"/>
              <w:rPr>
                <w:szCs w:val="20"/>
              </w:rPr>
            </w:pPr>
            <w:r w:rsidRPr="00945ED2">
              <w:rPr>
                <w:szCs w:val="20"/>
              </w:rPr>
              <w:t xml:space="preserve">Our </w:t>
            </w:r>
            <w:r w:rsidR="00360373">
              <w:rPr>
                <w:szCs w:val="20"/>
              </w:rPr>
              <w:t>CAM</w:t>
            </w:r>
            <w:r w:rsidRPr="00945ED2">
              <w:rPr>
                <w:szCs w:val="20"/>
              </w:rPr>
              <w:t xml:space="preserve"> provides an appropriate basis for attributing and allocating costs to, and between, our distribution services.</w:t>
            </w:r>
          </w:p>
        </w:tc>
        <w:tc>
          <w:tcPr>
            <w:tcW w:w="763" w:type="pct"/>
            <w:shd w:val="clear" w:color="auto" w:fill="FFFFFF"/>
          </w:tcPr>
          <w:p w14:paraId="662609C3" w14:textId="77777777" w:rsidR="00E377F0" w:rsidRPr="00945ED2" w:rsidRDefault="00E377F0" w:rsidP="009F4C4E">
            <w:pPr>
              <w:pStyle w:val="BodyCopy"/>
              <w:spacing w:after="0" w:line="288" w:lineRule="exact"/>
              <w:rPr>
                <w:szCs w:val="20"/>
              </w:rPr>
            </w:pPr>
            <w:r w:rsidRPr="00945ED2">
              <w:rPr>
                <w:szCs w:val="20"/>
              </w:rPr>
              <w:t xml:space="preserve">Our </w:t>
            </w:r>
            <w:r w:rsidR="00360373">
              <w:rPr>
                <w:szCs w:val="20"/>
              </w:rPr>
              <w:t>CAM</w:t>
            </w:r>
            <w:r w:rsidRPr="00945ED2">
              <w:rPr>
                <w:szCs w:val="20"/>
              </w:rPr>
              <w:t xml:space="preserve"> has been approved by the AER in accordance with the requirements of clause 6.15 of the </w:t>
            </w:r>
            <w:r w:rsidR="00360373">
              <w:rPr>
                <w:szCs w:val="20"/>
              </w:rPr>
              <w:t>NER</w:t>
            </w:r>
            <w:r w:rsidRPr="00945ED2">
              <w:rPr>
                <w:szCs w:val="20"/>
              </w:rPr>
              <w:t>, the AER’s Cost Allocation Guideline.</w:t>
            </w:r>
          </w:p>
        </w:tc>
        <w:tc>
          <w:tcPr>
            <w:tcW w:w="763" w:type="pct"/>
            <w:shd w:val="clear" w:color="auto" w:fill="FFFFFF"/>
          </w:tcPr>
          <w:p w14:paraId="5C516F5B" w14:textId="77777777" w:rsidR="00E377F0" w:rsidRPr="00945ED2" w:rsidRDefault="00E377F0" w:rsidP="00360373">
            <w:pPr>
              <w:pStyle w:val="BodyCopy"/>
              <w:spacing w:after="0" w:line="288" w:lineRule="exact"/>
              <w:rPr>
                <w:szCs w:val="20"/>
              </w:rPr>
            </w:pPr>
            <w:r w:rsidRPr="00945ED2">
              <w:rPr>
                <w:szCs w:val="20"/>
              </w:rPr>
              <w:t xml:space="preserve">Refer to our approved </w:t>
            </w:r>
            <w:r w:rsidR="00360373">
              <w:rPr>
                <w:szCs w:val="20"/>
              </w:rPr>
              <w:t>CAM</w:t>
            </w:r>
            <w:r w:rsidRPr="00945ED2">
              <w:rPr>
                <w:szCs w:val="20"/>
              </w:rPr>
              <w:t xml:space="preserve"> and clause 6.15 of the </w:t>
            </w:r>
            <w:r w:rsidR="00360373">
              <w:rPr>
                <w:szCs w:val="20"/>
              </w:rPr>
              <w:t>NER</w:t>
            </w:r>
            <w:r w:rsidRPr="00945ED2">
              <w:rPr>
                <w:szCs w:val="20"/>
              </w:rPr>
              <w:t xml:space="preserve">, the AER’s Cost Allocation Guideline and the AER’s </w:t>
            </w:r>
            <w:r w:rsidR="00F323CB" w:rsidRPr="00945ED2">
              <w:rPr>
                <w:szCs w:val="20"/>
              </w:rPr>
              <w:t>Ring</w:t>
            </w:r>
            <w:r w:rsidR="00F323CB">
              <w:rPr>
                <w:szCs w:val="20"/>
              </w:rPr>
              <w:t>-</w:t>
            </w:r>
            <w:r w:rsidR="00F323CB" w:rsidRPr="00945ED2">
              <w:rPr>
                <w:szCs w:val="20"/>
              </w:rPr>
              <w:t>fencing</w:t>
            </w:r>
            <w:r w:rsidRPr="00945ED2">
              <w:rPr>
                <w:szCs w:val="20"/>
              </w:rPr>
              <w:t xml:space="preserve"> Guideline.</w:t>
            </w:r>
          </w:p>
        </w:tc>
        <w:tc>
          <w:tcPr>
            <w:tcW w:w="763" w:type="pct"/>
            <w:shd w:val="clear" w:color="auto" w:fill="FFFFFF"/>
          </w:tcPr>
          <w:p w14:paraId="3B29D704" w14:textId="77777777" w:rsidR="00E377F0" w:rsidRPr="00945ED2" w:rsidRDefault="00E377F0" w:rsidP="00945ED2">
            <w:pPr>
              <w:pStyle w:val="BodyCopy"/>
              <w:spacing w:after="0" w:line="288" w:lineRule="exact"/>
              <w:rPr>
                <w:szCs w:val="20"/>
              </w:rPr>
            </w:pPr>
            <w:r w:rsidRPr="00945ED2">
              <w:rPr>
                <w:szCs w:val="20"/>
              </w:rPr>
              <w:t xml:space="preserve">Not necessary, because our </w:t>
            </w:r>
            <w:r w:rsidR="00360373">
              <w:rPr>
                <w:szCs w:val="20"/>
              </w:rPr>
              <w:t>CAM</w:t>
            </w:r>
            <w:r w:rsidRPr="00945ED2">
              <w:rPr>
                <w:szCs w:val="20"/>
              </w:rPr>
              <w:t xml:space="preserve"> has been approved by the </w:t>
            </w:r>
            <w:r w:rsidR="00360373">
              <w:rPr>
                <w:szCs w:val="20"/>
              </w:rPr>
              <w:t>AER</w:t>
            </w:r>
            <w:r w:rsidRPr="00945ED2">
              <w:rPr>
                <w:szCs w:val="20"/>
              </w:rPr>
              <w:t>.</w:t>
            </w:r>
          </w:p>
          <w:p w14:paraId="4F2A8FF1" w14:textId="77777777" w:rsidR="00E377F0" w:rsidRPr="00945ED2" w:rsidRDefault="00E377F0" w:rsidP="00945ED2">
            <w:pPr>
              <w:pStyle w:val="BodyCopy"/>
              <w:spacing w:after="0" w:line="288" w:lineRule="exact"/>
              <w:rPr>
                <w:szCs w:val="20"/>
              </w:rPr>
            </w:pPr>
            <w:r w:rsidRPr="00945ED2">
              <w:rPr>
                <w:szCs w:val="20"/>
              </w:rPr>
              <w:t xml:space="preserve">We have applied this Method in forecasting our Annual Revenue Requirements and capex and opex. </w:t>
            </w:r>
          </w:p>
        </w:tc>
        <w:tc>
          <w:tcPr>
            <w:tcW w:w="561" w:type="pct"/>
            <w:shd w:val="clear" w:color="auto" w:fill="FFFFFF"/>
          </w:tcPr>
          <w:p w14:paraId="2EE0E213" w14:textId="77777777" w:rsidR="00E377F0" w:rsidRPr="00945ED2" w:rsidRDefault="00E377F0" w:rsidP="00945ED2">
            <w:pPr>
              <w:pStyle w:val="BodyCopy"/>
              <w:spacing w:after="0" w:line="288" w:lineRule="exact"/>
              <w:rPr>
                <w:szCs w:val="20"/>
              </w:rPr>
            </w:pPr>
            <w:r w:rsidRPr="00945ED2">
              <w:rPr>
                <w:szCs w:val="20"/>
              </w:rPr>
              <w:t>Unable to be quantified because have not prepared counter-factual.</w:t>
            </w:r>
          </w:p>
        </w:tc>
        <w:tc>
          <w:tcPr>
            <w:tcW w:w="426" w:type="pct"/>
            <w:shd w:val="clear" w:color="auto" w:fill="FFFFFF"/>
          </w:tcPr>
          <w:p w14:paraId="044DBE5C" w14:textId="77777777" w:rsidR="00E377F0" w:rsidRPr="00945ED2" w:rsidRDefault="00E377F0" w:rsidP="00945ED2">
            <w:pPr>
              <w:pStyle w:val="BodyCopy"/>
              <w:spacing w:after="0" w:line="288" w:lineRule="exact"/>
              <w:rPr>
                <w:szCs w:val="20"/>
              </w:rPr>
            </w:pPr>
            <w:r w:rsidRPr="00945ED2">
              <w:rPr>
                <w:szCs w:val="20"/>
              </w:rPr>
              <w:t>Capex and opex</w:t>
            </w:r>
          </w:p>
        </w:tc>
        <w:tc>
          <w:tcPr>
            <w:tcW w:w="472" w:type="pct"/>
            <w:shd w:val="clear" w:color="auto" w:fill="FFFFFF"/>
          </w:tcPr>
          <w:p w14:paraId="358C7F87" w14:textId="77777777" w:rsidR="00E377F0" w:rsidRPr="00945ED2" w:rsidRDefault="00E377F0" w:rsidP="00945ED2">
            <w:pPr>
              <w:pStyle w:val="BodyCopy"/>
              <w:spacing w:after="0" w:line="288" w:lineRule="exact"/>
              <w:rPr>
                <w:szCs w:val="20"/>
              </w:rPr>
            </w:pPr>
            <w:r w:rsidRPr="00945ED2">
              <w:rPr>
                <w:szCs w:val="20"/>
              </w:rPr>
              <w:t>We have not undertaken sensitivity analysis, due to difficulty in quantifying reasonable maximum and minimum.</w:t>
            </w:r>
          </w:p>
        </w:tc>
      </w:tr>
      <w:tr w:rsidR="00E377F0" w:rsidRPr="00945ED2" w14:paraId="720EA7E5" w14:textId="77777777" w:rsidTr="00945ED2">
        <w:trPr>
          <w:cantSplit/>
        </w:trPr>
        <w:tc>
          <w:tcPr>
            <w:tcW w:w="487" w:type="pct"/>
            <w:tcBorders>
              <w:left w:val="single" w:sz="4" w:space="0" w:color="FFFFFF"/>
            </w:tcBorders>
            <w:shd w:val="clear" w:color="auto" w:fill="0070C0"/>
          </w:tcPr>
          <w:p w14:paraId="63048461" w14:textId="77777777" w:rsidR="00E377F0" w:rsidRPr="00945ED2" w:rsidRDefault="00E377F0" w:rsidP="00945ED2">
            <w:pPr>
              <w:pStyle w:val="BodyCopy"/>
              <w:spacing w:after="0" w:line="288" w:lineRule="exact"/>
              <w:rPr>
                <w:b/>
                <w:bCs/>
                <w:color w:val="FFFFFF"/>
                <w:szCs w:val="20"/>
              </w:rPr>
            </w:pPr>
            <w:r w:rsidRPr="00945ED2">
              <w:rPr>
                <w:bCs/>
                <w:color w:val="FFFFFF"/>
                <w:szCs w:val="20"/>
              </w:rPr>
              <w:t>Unit rates/standard estimates</w:t>
            </w:r>
          </w:p>
        </w:tc>
        <w:tc>
          <w:tcPr>
            <w:tcW w:w="763" w:type="pct"/>
            <w:shd w:val="clear" w:color="auto" w:fill="auto"/>
          </w:tcPr>
          <w:p w14:paraId="3F5760F8" w14:textId="77777777" w:rsidR="00E377F0" w:rsidRPr="00945ED2" w:rsidRDefault="00E377F0" w:rsidP="00945ED2">
            <w:pPr>
              <w:pStyle w:val="BodyCopy"/>
              <w:spacing w:after="0" w:line="288" w:lineRule="exact"/>
              <w:rPr>
                <w:szCs w:val="20"/>
              </w:rPr>
            </w:pPr>
            <w:r w:rsidRPr="00945ED2">
              <w:rPr>
                <w:szCs w:val="20"/>
              </w:rPr>
              <w:t>Unit rates/standard estimates are used in the development of our bottom up forecasts where appropriate.</w:t>
            </w:r>
          </w:p>
        </w:tc>
        <w:tc>
          <w:tcPr>
            <w:tcW w:w="763" w:type="pct"/>
            <w:shd w:val="clear" w:color="auto" w:fill="FFFFFF"/>
          </w:tcPr>
          <w:p w14:paraId="162FDADF" w14:textId="77777777" w:rsidR="00E377F0" w:rsidRPr="00945ED2" w:rsidRDefault="00E377F0" w:rsidP="00945ED2">
            <w:pPr>
              <w:pStyle w:val="BodyCopy"/>
              <w:spacing w:after="0" w:line="288" w:lineRule="exact"/>
              <w:rPr>
                <w:szCs w:val="20"/>
              </w:rPr>
            </w:pPr>
            <w:r w:rsidRPr="00945ED2">
              <w:rPr>
                <w:szCs w:val="20"/>
              </w:rPr>
              <w:t>Our unit rates/standard estimates provide the best view of the actual costs that we will incur.</w:t>
            </w:r>
          </w:p>
        </w:tc>
        <w:tc>
          <w:tcPr>
            <w:tcW w:w="763" w:type="pct"/>
            <w:shd w:val="clear" w:color="auto" w:fill="FFFFFF"/>
          </w:tcPr>
          <w:p w14:paraId="44EC4925" w14:textId="77777777" w:rsidR="00E377F0" w:rsidRPr="00945ED2" w:rsidRDefault="00E377F0" w:rsidP="00945ED2">
            <w:pPr>
              <w:pStyle w:val="BodyCopy"/>
              <w:spacing w:after="0" w:line="288" w:lineRule="exact"/>
              <w:rPr>
                <w:szCs w:val="20"/>
                <w:highlight w:val="yellow"/>
              </w:rPr>
            </w:pPr>
            <w:r w:rsidRPr="005B5E35">
              <w:rPr>
                <w:szCs w:val="20"/>
              </w:rPr>
              <w:t xml:space="preserve">Refer to GHD </w:t>
            </w:r>
            <w:r w:rsidR="005B5E35" w:rsidRPr="005B5E35">
              <w:rPr>
                <w:szCs w:val="20"/>
              </w:rPr>
              <w:t xml:space="preserve">External Unit Rates Review </w:t>
            </w:r>
            <w:r w:rsidRPr="005B5E35">
              <w:rPr>
                <w:szCs w:val="20"/>
              </w:rPr>
              <w:t>Report</w:t>
            </w:r>
            <w:r w:rsidR="00360373">
              <w:rPr>
                <w:szCs w:val="20"/>
              </w:rPr>
              <w:t xml:space="preserve"> (Attachment 7.003)</w:t>
            </w:r>
            <w:r w:rsidRPr="005B5E35">
              <w:rPr>
                <w:szCs w:val="20"/>
              </w:rPr>
              <w:t>.</w:t>
            </w:r>
          </w:p>
        </w:tc>
        <w:tc>
          <w:tcPr>
            <w:tcW w:w="763" w:type="pct"/>
            <w:shd w:val="clear" w:color="auto" w:fill="FFFFFF"/>
          </w:tcPr>
          <w:p w14:paraId="37BEE9C2" w14:textId="77777777" w:rsidR="00E377F0" w:rsidRPr="00945ED2" w:rsidRDefault="00E377F0" w:rsidP="00945ED2">
            <w:pPr>
              <w:pStyle w:val="BodyCopy"/>
              <w:spacing w:after="0" w:line="288" w:lineRule="exact"/>
              <w:rPr>
                <w:szCs w:val="20"/>
              </w:rPr>
            </w:pPr>
            <w:r w:rsidRPr="00945ED2">
              <w:rPr>
                <w:szCs w:val="20"/>
              </w:rPr>
              <w:t>We have engaged GHD, an independent expert to provide advice on, and to review, our unit rates to ensure these are reasonable and reflect prudent and efficient operations.</w:t>
            </w:r>
          </w:p>
        </w:tc>
        <w:tc>
          <w:tcPr>
            <w:tcW w:w="561" w:type="pct"/>
            <w:shd w:val="clear" w:color="auto" w:fill="FFFFFF"/>
          </w:tcPr>
          <w:p w14:paraId="321A7EBC" w14:textId="77777777" w:rsidR="00E377F0" w:rsidRPr="00945ED2" w:rsidRDefault="00E377F0" w:rsidP="00945ED2">
            <w:pPr>
              <w:pStyle w:val="BodyCopy"/>
              <w:spacing w:after="0" w:line="288" w:lineRule="exact"/>
              <w:rPr>
                <w:szCs w:val="20"/>
              </w:rPr>
            </w:pPr>
            <w:r w:rsidRPr="00945ED2">
              <w:rPr>
                <w:szCs w:val="20"/>
              </w:rPr>
              <w:t>We have not prepared any forecasts other than on the basis of our proposed CAM. For this reason, we are not in a position to identify an alternative.</w:t>
            </w:r>
          </w:p>
        </w:tc>
        <w:tc>
          <w:tcPr>
            <w:tcW w:w="426" w:type="pct"/>
            <w:shd w:val="clear" w:color="auto" w:fill="FFFFFF"/>
          </w:tcPr>
          <w:p w14:paraId="3D7CC22C" w14:textId="77777777" w:rsidR="00E377F0" w:rsidRPr="00945ED2" w:rsidRDefault="00E377F0" w:rsidP="00945ED2">
            <w:pPr>
              <w:pStyle w:val="BodyCopy"/>
              <w:spacing w:after="0" w:line="288" w:lineRule="exact"/>
              <w:rPr>
                <w:szCs w:val="20"/>
              </w:rPr>
            </w:pPr>
            <w:r w:rsidRPr="00945ED2">
              <w:rPr>
                <w:szCs w:val="20"/>
              </w:rPr>
              <w:t>Capex</w:t>
            </w:r>
          </w:p>
        </w:tc>
        <w:tc>
          <w:tcPr>
            <w:tcW w:w="472" w:type="pct"/>
            <w:shd w:val="clear" w:color="auto" w:fill="FFFFFF"/>
          </w:tcPr>
          <w:p w14:paraId="7631DD96" w14:textId="77777777" w:rsidR="00E377F0" w:rsidRPr="00945ED2" w:rsidRDefault="00E377F0" w:rsidP="00945ED2">
            <w:pPr>
              <w:pStyle w:val="BodyCopy"/>
              <w:spacing w:after="0" w:line="288" w:lineRule="exact"/>
              <w:rPr>
                <w:szCs w:val="20"/>
              </w:rPr>
            </w:pPr>
            <w:r w:rsidRPr="00945ED2">
              <w:rPr>
                <w:szCs w:val="20"/>
              </w:rPr>
              <w:t>Not able to be estimated</w:t>
            </w:r>
          </w:p>
        </w:tc>
      </w:tr>
      <w:tr w:rsidR="00E377F0" w:rsidRPr="00945ED2" w14:paraId="110B7CBA" w14:textId="77777777" w:rsidTr="00945ED2">
        <w:trPr>
          <w:cantSplit/>
        </w:trPr>
        <w:tc>
          <w:tcPr>
            <w:tcW w:w="487" w:type="pct"/>
            <w:tcBorders>
              <w:left w:val="single" w:sz="4" w:space="0" w:color="FFFFFF"/>
            </w:tcBorders>
            <w:shd w:val="clear" w:color="auto" w:fill="0070C0"/>
          </w:tcPr>
          <w:p w14:paraId="374BE551" w14:textId="77777777" w:rsidR="00E377F0" w:rsidRPr="00945ED2" w:rsidRDefault="00E377F0" w:rsidP="00945ED2">
            <w:pPr>
              <w:pStyle w:val="BodyCopy"/>
              <w:spacing w:after="0" w:line="288" w:lineRule="exact"/>
              <w:rPr>
                <w:b/>
                <w:bCs/>
                <w:color w:val="FFFFFF"/>
                <w:szCs w:val="20"/>
              </w:rPr>
            </w:pPr>
            <w:r w:rsidRPr="00945ED2">
              <w:rPr>
                <w:bCs/>
                <w:color w:val="FFFFFF"/>
                <w:szCs w:val="20"/>
              </w:rPr>
              <w:t>Real cost escalations for capex</w:t>
            </w:r>
          </w:p>
        </w:tc>
        <w:tc>
          <w:tcPr>
            <w:tcW w:w="763" w:type="pct"/>
            <w:shd w:val="clear" w:color="auto" w:fill="auto"/>
          </w:tcPr>
          <w:p w14:paraId="75A92845" w14:textId="77777777" w:rsidR="00E377F0" w:rsidRPr="00945ED2" w:rsidRDefault="00E377F0" w:rsidP="00945ED2">
            <w:pPr>
              <w:pStyle w:val="BodyCopy"/>
              <w:spacing w:after="0" w:line="288" w:lineRule="exact"/>
              <w:rPr>
                <w:szCs w:val="20"/>
              </w:rPr>
            </w:pPr>
            <w:r w:rsidRPr="00945ED2">
              <w:rPr>
                <w:szCs w:val="20"/>
              </w:rPr>
              <w:t>Our real cost escalations used for our capex forecasts are reasonable and reflect prudent and efficient costs.</w:t>
            </w:r>
          </w:p>
          <w:p w14:paraId="757AC2B8" w14:textId="77777777" w:rsidR="00E377F0" w:rsidRPr="00945ED2" w:rsidRDefault="00E377F0" w:rsidP="00945ED2">
            <w:pPr>
              <w:pStyle w:val="BodyCopy"/>
              <w:spacing w:after="0" w:line="288" w:lineRule="exact"/>
              <w:rPr>
                <w:szCs w:val="20"/>
              </w:rPr>
            </w:pPr>
          </w:p>
        </w:tc>
        <w:tc>
          <w:tcPr>
            <w:tcW w:w="763" w:type="pct"/>
            <w:shd w:val="clear" w:color="auto" w:fill="FFFFFF"/>
          </w:tcPr>
          <w:p w14:paraId="018CFD2A" w14:textId="77777777" w:rsidR="00E377F0" w:rsidRPr="00945ED2" w:rsidRDefault="00E377F0" w:rsidP="00945ED2">
            <w:pPr>
              <w:pStyle w:val="BodyCopy"/>
              <w:spacing w:after="0" w:line="288" w:lineRule="exact"/>
              <w:rPr>
                <w:szCs w:val="20"/>
              </w:rPr>
            </w:pPr>
            <w:r w:rsidRPr="00945ED2">
              <w:rPr>
                <w:szCs w:val="20"/>
              </w:rPr>
              <w:t>These escalations have been prepared consistent with good industry practice, with independent input and verification.  They provide the best view of the actual costs that we will incur after the application of our objectives.</w:t>
            </w:r>
          </w:p>
        </w:tc>
        <w:tc>
          <w:tcPr>
            <w:tcW w:w="763" w:type="pct"/>
            <w:shd w:val="clear" w:color="auto" w:fill="FFFFFF"/>
          </w:tcPr>
          <w:p w14:paraId="18D8F287" w14:textId="77777777" w:rsidR="00E377F0" w:rsidRPr="00945ED2" w:rsidRDefault="00E377F0" w:rsidP="00360373">
            <w:pPr>
              <w:pStyle w:val="BodyCopy"/>
              <w:spacing w:after="0" w:line="288" w:lineRule="exact"/>
              <w:rPr>
                <w:szCs w:val="20"/>
              </w:rPr>
            </w:pPr>
            <w:r w:rsidRPr="00945ED2">
              <w:rPr>
                <w:szCs w:val="20"/>
              </w:rPr>
              <w:t xml:space="preserve">Refer to </w:t>
            </w:r>
            <w:r w:rsidR="00360373">
              <w:rPr>
                <w:szCs w:val="20"/>
              </w:rPr>
              <w:t>Attachments 6.005 and 6.006.</w:t>
            </w:r>
          </w:p>
        </w:tc>
        <w:tc>
          <w:tcPr>
            <w:tcW w:w="763" w:type="pct"/>
            <w:shd w:val="clear" w:color="auto" w:fill="FFFFFF"/>
          </w:tcPr>
          <w:p w14:paraId="55DCD659" w14:textId="77777777" w:rsidR="00E377F0" w:rsidRPr="00945ED2" w:rsidRDefault="00E377F0" w:rsidP="00360373">
            <w:pPr>
              <w:pStyle w:val="BodyCopy"/>
              <w:spacing w:after="0" w:line="288" w:lineRule="exact"/>
              <w:rPr>
                <w:szCs w:val="20"/>
              </w:rPr>
            </w:pPr>
            <w:r w:rsidRPr="00945ED2">
              <w:rPr>
                <w:szCs w:val="20"/>
              </w:rPr>
              <w:t xml:space="preserve">We engaged BIS Oxford to provide advice and recommendations regarding appropriate escalation rates, and used the average of these and those calculated by the </w:t>
            </w:r>
            <w:r w:rsidR="00360373">
              <w:rPr>
                <w:szCs w:val="20"/>
              </w:rPr>
              <w:t>AER’s</w:t>
            </w:r>
            <w:r w:rsidRPr="00945ED2">
              <w:rPr>
                <w:szCs w:val="20"/>
              </w:rPr>
              <w:t xml:space="preserve"> consultant Deloitte.</w:t>
            </w:r>
          </w:p>
        </w:tc>
        <w:tc>
          <w:tcPr>
            <w:tcW w:w="561" w:type="pct"/>
            <w:shd w:val="clear" w:color="auto" w:fill="FFFFFF"/>
          </w:tcPr>
          <w:p w14:paraId="1417E73E" w14:textId="77777777" w:rsidR="00E377F0" w:rsidRPr="00945ED2" w:rsidRDefault="00E377F0" w:rsidP="00945ED2">
            <w:pPr>
              <w:pStyle w:val="BodyCopy"/>
              <w:spacing w:after="0" w:line="288" w:lineRule="exact"/>
              <w:rPr>
                <w:szCs w:val="20"/>
              </w:rPr>
            </w:pPr>
            <w:r w:rsidRPr="00945ED2">
              <w:rPr>
                <w:szCs w:val="20"/>
              </w:rPr>
              <w:t xml:space="preserve">Refer to </w:t>
            </w:r>
            <w:r w:rsidR="00360373">
              <w:rPr>
                <w:szCs w:val="20"/>
              </w:rPr>
              <w:t>Attachments 6.005 and 6.006</w:t>
            </w:r>
            <w:r w:rsidRPr="00945ED2">
              <w:rPr>
                <w:szCs w:val="20"/>
              </w:rPr>
              <w:t>.</w:t>
            </w:r>
          </w:p>
        </w:tc>
        <w:tc>
          <w:tcPr>
            <w:tcW w:w="426" w:type="pct"/>
            <w:shd w:val="clear" w:color="auto" w:fill="FFFFFF"/>
          </w:tcPr>
          <w:p w14:paraId="740EFBA7" w14:textId="77777777" w:rsidR="00E377F0" w:rsidRPr="00945ED2" w:rsidRDefault="00E377F0" w:rsidP="00945ED2">
            <w:pPr>
              <w:pStyle w:val="BodyCopy"/>
              <w:spacing w:after="0" w:line="288" w:lineRule="exact"/>
              <w:rPr>
                <w:szCs w:val="20"/>
              </w:rPr>
            </w:pPr>
            <w:r w:rsidRPr="00945ED2">
              <w:rPr>
                <w:szCs w:val="20"/>
              </w:rPr>
              <w:t xml:space="preserve">Capex </w:t>
            </w:r>
          </w:p>
        </w:tc>
        <w:tc>
          <w:tcPr>
            <w:tcW w:w="472" w:type="pct"/>
            <w:shd w:val="clear" w:color="auto" w:fill="FFFFFF"/>
          </w:tcPr>
          <w:p w14:paraId="7DD93677" w14:textId="77777777" w:rsidR="00E377F0" w:rsidRPr="00945ED2" w:rsidRDefault="00E377F0" w:rsidP="00945ED2">
            <w:pPr>
              <w:pStyle w:val="BodyCopy"/>
              <w:spacing w:after="0" w:line="288" w:lineRule="exact"/>
              <w:rPr>
                <w:szCs w:val="20"/>
              </w:rPr>
            </w:pPr>
            <w:r w:rsidRPr="00945ED2">
              <w:rPr>
                <w:szCs w:val="20"/>
              </w:rPr>
              <w:t>We have not undertaken sensitivity analysis, due to difficulty in quantifying reasonable maximum and minimum.</w:t>
            </w:r>
          </w:p>
        </w:tc>
      </w:tr>
      <w:tr w:rsidR="00E377F0" w:rsidRPr="00945ED2" w14:paraId="5809E809" w14:textId="77777777" w:rsidTr="00945ED2">
        <w:trPr>
          <w:cantSplit/>
        </w:trPr>
        <w:tc>
          <w:tcPr>
            <w:tcW w:w="487" w:type="pct"/>
            <w:tcBorders>
              <w:left w:val="single" w:sz="4" w:space="0" w:color="FFFFFF"/>
            </w:tcBorders>
            <w:shd w:val="clear" w:color="auto" w:fill="0070C0"/>
          </w:tcPr>
          <w:p w14:paraId="00BCAB0A" w14:textId="77777777" w:rsidR="00E377F0" w:rsidRPr="00945ED2" w:rsidRDefault="00E377F0" w:rsidP="00945ED2">
            <w:pPr>
              <w:pStyle w:val="BodyCopy"/>
              <w:spacing w:after="0" w:line="288" w:lineRule="exact"/>
              <w:rPr>
                <w:b/>
                <w:bCs/>
                <w:color w:val="FFFFFF"/>
                <w:szCs w:val="20"/>
              </w:rPr>
            </w:pPr>
            <w:r w:rsidRPr="00945ED2">
              <w:rPr>
                <w:bCs/>
                <w:color w:val="FFFFFF"/>
                <w:szCs w:val="20"/>
              </w:rPr>
              <w:t xml:space="preserve">Inflation </w:t>
            </w:r>
          </w:p>
        </w:tc>
        <w:tc>
          <w:tcPr>
            <w:tcW w:w="763" w:type="pct"/>
            <w:shd w:val="clear" w:color="auto" w:fill="auto"/>
          </w:tcPr>
          <w:p w14:paraId="60FA4C56" w14:textId="77777777" w:rsidR="00E377F0" w:rsidRPr="00945ED2" w:rsidRDefault="00E377F0" w:rsidP="00945ED2">
            <w:pPr>
              <w:pStyle w:val="BodyCopy"/>
              <w:spacing w:after="0" w:line="288" w:lineRule="exact"/>
              <w:rPr>
                <w:szCs w:val="20"/>
              </w:rPr>
            </w:pPr>
            <w:r w:rsidRPr="00945ED2">
              <w:rPr>
                <w:szCs w:val="20"/>
              </w:rPr>
              <w:t>Our forecast inflation is reasonable and reflects the inflation-related costs that we will incur.</w:t>
            </w:r>
          </w:p>
        </w:tc>
        <w:tc>
          <w:tcPr>
            <w:tcW w:w="763" w:type="pct"/>
            <w:shd w:val="clear" w:color="auto" w:fill="FFFFFF"/>
          </w:tcPr>
          <w:p w14:paraId="7D4F77CD" w14:textId="77777777" w:rsidR="00E377F0" w:rsidRPr="00945ED2" w:rsidRDefault="00E377F0" w:rsidP="00945ED2">
            <w:pPr>
              <w:pStyle w:val="BodyCopy"/>
              <w:spacing w:after="0" w:line="288" w:lineRule="exact"/>
              <w:rPr>
                <w:szCs w:val="20"/>
              </w:rPr>
            </w:pPr>
            <w:r w:rsidRPr="00945ED2">
              <w:rPr>
                <w:szCs w:val="20"/>
              </w:rPr>
              <w:t xml:space="preserve">Our inflation forecast reflects the AER’s preferred approach to forecasting inflation, by taking the geometric mean of: </w:t>
            </w:r>
          </w:p>
          <w:p w14:paraId="6CB3E2BD" w14:textId="77777777" w:rsidR="00E377F0" w:rsidRPr="00945ED2" w:rsidRDefault="00E377F0" w:rsidP="004B1535">
            <w:pPr>
              <w:pStyle w:val="ListBullet"/>
              <w:numPr>
                <w:ilvl w:val="0"/>
                <w:numId w:val="13"/>
              </w:numPr>
              <w:tabs>
                <w:tab w:val="clear" w:pos="284"/>
              </w:tabs>
              <w:spacing w:before="0" w:after="0" w:line="288" w:lineRule="exact"/>
              <w:ind w:left="295" w:hanging="295"/>
              <w:contextualSpacing w:val="0"/>
              <w:rPr>
                <w:szCs w:val="20"/>
              </w:rPr>
            </w:pPr>
            <w:r w:rsidRPr="00945ED2">
              <w:rPr>
                <w:szCs w:val="20"/>
              </w:rPr>
              <w:t xml:space="preserve">two years of forecast inflation published by the RBA in its most recent statement of monetary policy, and  </w:t>
            </w:r>
          </w:p>
          <w:p w14:paraId="4C0E62D2" w14:textId="77777777" w:rsidR="00E377F0" w:rsidRPr="00945ED2" w:rsidRDefault="00E377F0" w:rsidP="004B1535">
            <w:pPr>
              <w:pStyle w:val="ListBullet"/>
              <w:numPr>
                <w:ilvl w:val="0"/>
                <w:numId w:val="13"/>
              </w:numPr>
              <w:tabs>
                <w:tab w:val="clear" w:pos="284"/>
              </w:tabs>
              <w:spacing w:before="0" w:after="0" w:line="288" w:lineRule="exact"/>
              <w:ind w:left="295" w:hanging="295"/>
              <w:contextualSpacing w:val="0"/>
              <w:rPr>
                <w:szCs w:val="20"/>
              </w:rPr>
            </w:pPr>
            <w:r w:rsidRPr="00945ED2">
              <w:rPr>
                <w:szCs w:val="20"/>
              </w:rPr>
              <w:t>eight years of forecast inflation at the midpoint of the RBA’s inflation 2– 3% target, of 2.5%.</w:t>
            </w:r>
          </w:p>
        </w:tc>
        <w:tc>
          <w:tcPr>
            <w:tcW w:w="763" w:type="pct"/>
            <w:shd w:val="clear" w:color="auto" w:fill="FFFFFF"/>
          </w:tcPr>
          <w:p w14:paraId="5EF1FD5C" w14:textId="77777777" w:rsidR="00E377F0" w:rsidRPr="00945ED2" w:rsidRDefault="00E377F0" w:rsidP="00360373">
            <w:pPr>
              <w:pStyle w:val="BodyCopy"/>
              <w:spacing w:after="0" w:line="288" w:lineRule="exact"/>
              <w:rPr>
                <w:szCs w:val="20"/>
              </w:rPr>
            </w:pPr>
            <w:r w:rsidRPr="00945ED2">
              <w:rPr>
                <w:szCs w:val="20"/>
              </w:rPr>
              <w:t xml:space="preserve">Refer to section </w:t>
            </w:r>
            <w:r w:rsidR="00360373">
              <w:rPr>
                <w:szCs w:val="20"/>
              </w:rPr>
              <w:t>9</w:t>
            </w:r>
            <w:r w:rsidRPr="00945ED2">
              <w:rPr>
                <w:szCs w:val="20"/>
              </w:rPr>
              <w:t xml:space="preserve">.4 of </w:t>
            </w:r>
            <w:r w:rsidR="00360373">
              <w:rPr>
                <w:szCs w:val="20"/>
              </w:rPr>
              <w:t xml:space="preserve">our </w:t>
            </w:r>
            <w:r w:rsidRPr="00945ED2">
              <w:rPr>
                <w:szCs w:val="20"/>
              </w:rPr>
              <w:t>Regulatory Proposal.</w:t>
            </w:r>
          </w:p>
        </w:tc>
        <w:tc>
          <w:tcPr>
            <w:tcW w:w="763" w:type="pct"/>
            <w:shd w:val="clear" w:color="auto" w:fill="FFFFFF"/>
          </w:tcPr>
          <w:p w14:paraId="0491A1EB" w14:textId="77777777" w:rsidR="00E377F0" w:rsidRPr="00945ED2" w:rsidRDefault="00E377F0" w:rsidP="00945ED2">
            <w:pPr>
              <w:pStyle w:val="BodyCopy"/>
              <w:spacing w:after="0" w:line="288" w:lineRule="exact"/>
              <w:rPr>
                <w:szCs w:val="20"/>
              </w:rPr>
            </w:pPr>
            <w:r w:rsidRPr="00945ED2">
              <w:rPr>
                <w:szCs w:val="20"/>
              </w:rPr>
              <w:t>Not necessary, because we are applying the AER’s preferred approach to estimating forecast inflation.</w:t>
            </w:r>
          </w:p>
        </w:tc>
        <w:tc>
          <w:tcPr>
            <w:tcW w:w="561" w:type="pct"/>
            <w:shd w:val="clear" w:color="auto" w:fill="FFFFFF"/>
          </w:tcPr>
          <w:p w14:paraId="61FD72A2" w14:textId="77777777" w:rsidR="00E377F0" w:rsidRPr="00945ED2" w:rsidRDefault="00E377F0" w:rsidP="00360373">
            <w:pPr>
              <w:pStyle w:val="BodyCopy"/>
              <w:spacing w:after="0" w:line="288" w:lineRule="exact"/>
              <w:rPr>
                <w:szCs w:val="20"/>
              </w:rPr>
            </w:pPr>
            <w:r w:rsidRPr="00945ED2">
              <w:rPr>
                <w:szCs w:val="20"/>
              </w:rPr>
              <w:t xml:space="preserve">See section </w:t>
            </w:r>
            <w:r w:rsidR="00360373">
              <w:rPr>
                <w:szCs w:val="20"/>
              </w:rPr>
              <w:t>9</w:t>
            </w:r>
            <w:r w:rsidRPr="00945ED2">
              <w:rPr>
                <w:szCs w:val="20"/>
              </w:rPr>
              <w:t xml:space="preserve">.4 of </w:t>
            </w:r>
            <w:r w:rsidR="00360373">
              <w:rPr>
                <w:szCs w:val="20"/>
              </w:rPr>
              <w:t xml:space="preserve">our </w:t>
            </w:r>
            <w:r w:rsidRPr="00945ED2">
              <w:rPr>
                <w:szCs w:val="20"/>
              </w:rPr>
              <w:t>Regulatory Proposal.</w:t>
            </w:r>
          </w:p>
        </w:tc>
        <w:tc>
          <w:tcPr>
            <w:tcW w:w="426" w:type="pct"/>
            <w:shd w:val="clear" w:color="auto" w:fill="FFFFFF"/>
          </w:tcPr>
          <w:p w14:paraId="5323AEE1" w14:textId="77777777" w:rsidR="00E377F0" w:rsidRPr="00945ED2" w:rsidRDefault="00E377F0" w:rsidP="00945ED2">
            <w:pPr>
              <w:pStyle w:val="BodyCopy"/>
              <w:spacing w:after="0" w:line="288" w:lineRule="exact"/>
              <w:rPr>
                <w:szCs w:val="20"/>
              </w:rPr>
            </w:pPr>
            <w:r w:rsidRPr="00945ED2">
              <w:rPr>
                <w:szCs w:val="20"/>
              </w:rPr>
              <w:t>Capex and opex</w:t>
            </w:r>
          </w:p>
        </w:tc>
        <w:tc>
          <w:tcPr>
            <w:tcW w:w="472" w:type="pct"/>
            <w:shd w:val="clear" w:color="auto" w:fill="FFFFFF"/>
          </w:tcPr>
          <w:p w14:paraId="1AF8DB83" w14:textId="77777777" w:rsidR="00E377F0" w:rsidRPr="00945ED2" w:rsidRDefault="00E377F0" w:rsidP="00945ED2">
            <w:pPr>
              <w:pStyle w:val="BodyCopy"/>
              <w:spacing w:after="0" w:line="288" w:lineRule="exact"/>
              <w:rPr>
                <w:szCs w:val="20"/>
              </w:rPr>
            </w:pPr>
            <w:r w:rsidRPr="00945ED2">
              <w:rPr>
                <w:szCs w:val="20"/>
              </w:rPr>
              <w:t>We have not undertaken sensitivity analysis, due to difficulty in quantifying reasonable maximum and minimum.</w:t>
            </w:r>
          </w:p>
        </w:tc>
      </w:tr>
      <w:tr w:rsidR="00E377F0" w:rsidRPr="00945ED2" w14:paraId="0AEBD86C" w14:textId="77777777" w:rsidTr="00945ED2">
        <w:trPr>
          <w:cantSplit/>
        </w:trPr>
        <w:tc>
          <w:tcPr>
            <w:tcW w:w="487" w:type="pct"/>
            <w:tcBorders>
              <w:left w:val="single" w:sz="4" w:space="0" w:color="FFFFFF"/>
            </w:tcBorders>
            <w:shd w:val="clear" w:color="auto" w:fill="0070C0"/>
          </w:tcPr>
          <w:p w14:paraId="0F178AFF" w14:textId="77777777" w:rsidR="00E377F0" w:rsidRPr="00945ED2" w:rsidRDefault="00E377F0" w:rsidP="00945ED2">
            <w:pPr>
              <w:pStyle w:val="BodyCopy"/>
              <w:spacing w:after="0" w:line="288" w:lineRule="exact"/>
              <w:rPr>
                <w:b/>
                <w:bCs/>
                <w:color w:val="FFFFFF"/>
                <w:szCs w:val="20"/>
              </w:rPr>
            </w:pPr>
            <w:r w:rsidRPr="00945ED2">
              <w:rPr>
                <w:bCs/>
                <w:color w:val="FFFFFF"/>
                <w:szCs w:val="20"/>
              </w:rPr>
              <w:t>Current period capex</w:t>
            </w:r>
          </w:p>
        </w:tc>
        <w:tc>
          <w:tcPr>
            <w:tcW w:w="763" w:type="pct"/>
            <w:shd w:val="clear" w:color="auto" w:fill="auto"/>
          </w:tcPr>
          <w:p w14:paraId="153C176E" w14:textId="77777777" w:rsidR="00E377F0" w:rsidRPr="00945ED2" w:rsidRDefault="00E377F0" w:rsidP="00945ED2">
            <w:pPr>
              <w:pStyle w:val="BodyCopy"/>
              <w:spacing w:after="0" w:line="288" w:lineRule="exact"/>
              <w:rPr>
                <w:szCs w:val="20"/>
              </w:rPr>
            </w:pPr>
            <w:r w:rsidRPr="00945ED2">
              <w:rPr>
                <w:szCs w:val="20"/>
              </w:rPr>
              <w:t>We will deliver our forecast capex in the remainder of the current period, which will provide an appropriate basis for our capex program in the next period.</w:t>
            </w:r>
            <w:r w:rsidR="009F4C4E">
              <w:rPr>
                <w:szCs w:val="20"/>
              </w:rPr>
              <w:t xml:space="preserve"> Our forecast capex is less than our capex allowance for the current regulatory period.</w:t>
            </w:r>
          </w:p>
        </w:tc>
        <w:tc>
          <w:tcPr>
            <w:tcW w:w="763" w:type="pct"/>
            <w:shd w:val="clear" w:color="auto" w:fill="FFFFFF"/>
          </w:tcPr>
          <w:p w14:paraId="3D5B92AE" w14:textId="77777777" w:rsidR="00E377F0" w:rsidRPr="00945ED2" w:rsidRDefault="00E377F0" w:rsidP="00945ED2">
            <w:pPr>
              <w:pStyle w:val="BodyCopy"/>
              <w:spacing w:after="0" w:line="288" w:lineRule="exact"/>
              <w:rPr>
                <w:szCs w:val="20"/>
              </w:rPr>
            </w:pPr>
            <w:r w:rsidRPr="00945ED2">
              <w:rPr>
                <w:szCs w:val="20"/>
              </w:rPr>
              <w:t xml:space="preserve">What we spend in the next period in part depends on what we spend in the current period.  </w:t>
            </w:r>
          </w:p>
        </w:tc>
        <w:tc>
          <w:tcPr>
            <w:tcW w:w="763" w:type="pct"/>
            <w:shd w:val="clear" w:color="auto" w:fill="FFFFFF"/>
          </w:tcPr>
          <w:p w14:paraId="7D16EE21" w14:textId="77777777" w:rsidR="00E377F0" w:rsidRPr="00945ED2" w:rsidRDefault="00E377F0" w:rsidP="00767763">
            <w:pPr>
              <w:pStyle w:val="BodyCopy"/>
              <w:spacing w:after="0" w:line="288" w:lineRule="exact"/>
              <w:rPr>
                <w:szCs w:val="20"/>
              </w:rPr>
            </w:pPr>
            <w:r w:rsidRPr="00945ED2">
              <w:rPr>
                <w:szCs w:val="20"/>
              </w:rPr>
              <w:t xml:space="preserve">Refer to </w:t>
            </w:r>
            <w:r w:rsidR="00767763">
              <w:rPr>
                <w:szCs w:val="20"/>
              </w:rPr>
              <w:t>chapter 7</w:t>
            </w:r>
            <w:r w:rsidRPr="00945ED2">
              <w:rPr>
                <w:szCs w:val="20"/>
              </w:rPr>
              <w:t xml:space="preserve"> of </w:t>
            </w:r>
            <w:r w:rsidR="00767763">
              <w:rPr>
                <w:szCs w:val="20"/>
              </w:rPr>
              <w:t xml:space="preserve">our </w:t>
            </w:r>
            <w:r w:rsidRPr="00945ED2">
              <w:rPr>
                <w:szCs w:val="20"/>
              </w:rPr>
              <w:t>Regulatory Proposal.</w:t>
            </w:r>
          </w:p>
        </w:tc>
        <w:tc>
          <w:tcPr>
            <w:tcW w:w="763" w:type="pct"/>
            <w:shd w:val="clear" w:color="auto" w:fill="FFFFFF"/>
          </w:tcPr>
          <w:p w14:paraId="73BA6EC8" w14:textId="77777777" w:rsidR="00E377F0" w:rsidRPr="00945ED2" w:rsidRDefault="00E377F0" w:rsidP="00945ED2">
            <w:pPr>
              <w:pStyle w:val="BodyCopy"/>
              <w:spacing w:after="0" w:line="288" w:lineRule="exact"/>
              <w:rPr>
                <w:szCs w:val="20"/>
              </w:rPr>
            </w:pPr>
            <w:r w:rsidRPr="00945ED2">
              <w:rPr>
                <w:szCs w:val="20"/>
              </w:rPr>
              <w:t>Not necessary, because this reflects our assumption about what will be spent in the remainder of the current regulatory control period.</w:t>
            </w:r>
          </w:p>
        </w:tc>
        <w:tc>
          <w:tcPr>
            <w:tcW w:w="561" w:type="pct"/>
            <w:shd w:val="clear" w:color="auto" w:fill="FFFFFF"/>
          </w:tcPr>
          <w:p w14:paraId="5238E62B" w14:textId="77777777" w:rsidR="00E377F0" w:rsidRPr="00945ED2" w:rsidRDefault="00E377F0" w:rsidP="00767763">
            <w:pPr>
              <w:pStyle w:val="BodyCopy"/>
              <w:spacing w:after="0" w:line="288" w:lineRule="exact"/>
              <w:rPr>
                <w:szCs w:val="20"/>
              </w:rPr>
            </w:pPr>
            <w:r w:rsidRPr="00945ED2">
              <w:rPr>
                <w:szCs w:val="20"/>
              </w:rPr>
              <w:t xml:space="preserve">See </w:t>
            </w:r>
            <w:r w:rsidR="00767763">
              <w:rPr>
                <w:szCs w:val="20"/>
              </w:rPr>
              <w:t>chapter 7</w:t>
            </w:r>
            <w:r w:rsidRPr="00945ED2">
              <w:rPr>
                <w:szCs w:val="20"/>
              </w:rPr>
              <w:t xml:space="preserve"> of </w:t>
            </w:r>
            <w:r w:rsidR="00767763">
              <w:rPr>
                <w:szCs w:val="20"/>
              </w:rPr>
              <w:t xml:space="preserve">our </w:t>
            </w:r>
            <w:r w:rsidRPr="00945ED2">
              <w:rPr>
                <w:szCs w:val="20"/>
              </w:rPr>
              <w:t>Regulatory Proposal.</w:t>
            </w:r>
          </w:p>
        </w:tc>
        <w:tc>
          <w:tcPr>
            <w:tcW w:w="426" w:type="pct"/>
            <w:shd w:val="clear" w:color="auto" w:fill="FFFFFF"/>
          </w:tcPr>
          <w:p w14:paraId="6BE2CEAB" w14:textId="77777777" w:rsidR="00E377F0" w:rsidRPr="00945ED2" w:rsidRDefault="00E377F0" w:rsidP="00945ED2">
            <w:pPr>
              <w:pStyle w:val="BodyCopy"/>
              <w:spacing w:after="0" w:line="288" w:lineRule="exact"/>
              <w:rPr>
                <w:szCs w:val="20"/>
              </w:rPr>
            </w:pPr>
            <w:r w:rsidRPr="00945ED2">
              <w:rPr>
                <w:szCs w:val="20"/>
              </w:rPr>
              <w:t>Capex</w:t>
            </w:r>
          </w:p>
        </w:tc>
        <w:tc>
          <w:tcPr>
            <w:tcW w:w="472" w:type="pct"/>
            <w:shd w:val="clear" w:color="auto" w:fill="FFFFFF"/>
          </w:tcPr>
          <w:p w14:paraId="771F6829" w14:textId="77777777" w:rsidR="00E377F0" w:rsidRPr="00945ED2" w:rsidRDefault="00E377F0" w:rsidP="00945ED2">
            <w:pPr>
              <w:pStyle w:val="BodyCopy"/>
              <w:spacing w:after="0" w:line="288" w:lineRule="exact"/>
              <w:rPr>
                <w:szCs w:val="20"/>
              </w:rPr>
            </w:pPr>
            <w:r w:rsidRPr="00945ED2">
              <w:rPr>
                <w:szCs w:val="20"/>
              </w:rPr>
              <w:t>We have not undertaken sensitivity analysis, as counter-factual scenarios difficult to reasonably estimate.</w:t>
            </w:r>
          </w:p>
        </w:tc>
      </w:tr>
      <w:tr w:rsidR="00E377F0" w:rsidRPr="008F6CC8" w14:paraId="1B4F6478" w14:textId="77777777" w:rsidTr="00945ED2">
        <w:trPr>
          <w:cantSplit/>
        </w:trPr>
        <w:tc>
          <w:tcPr>
            <w:tcW w:w="487" w:type="pct"/>
            <w:tcBorders>
              <w:left w:val="single" w:sz="4" w:space="0" w:color="FFFFFF"/>
            </w:tcBorders>
            <w:shd w:val="clear" w:color="auto" w:fill="0070C0"/>
          </w:tcPr>
          <w:p w14:paraId="14DA4D87" w14:textId="77777777" w:rsidR="00E377F0" w:rsidRPr="00945ED2" w:rsidRDefault="00E377F0" w:rsidP="00945ED2">
            <w:pPr>
              <w:pStyle w:val="BodyCopy"/>
              <w:spacing w:after="0" w:line="288" w:lineRule="exact"/>
              <w:rPr>
                <w:b/>
                <w:bCs/>
                <w:color w:val="FFFFFF"/>
                <w:szCs w:val="20"/>
              </w:rPr>
            </w:pPr>
            <w:r w:rsidRPr="00945ED2">
              <w:rPr>
                <w:bCs/>
                <w:color w:val="FFFFFF"/>
                <w:szCs w:val="20"/>
              </w:rPr>
              <w:t xml:space="preserve">New Connection Policy </w:t>
            </w:r>
          </w:p>
        </w:tc>
        <w:tc>
          <w:tcPr>
            <w:tcW w:w="763" w:type="pct"/>
            <w:shd w:val="clear" w:color="auto" w:fill="auto"/>
          </w:tcPr>
          <w:p w14:paraId="15DCE08E" w14:textId="77777777" w:rsidR="00E377F0" w:rsidRPr="00945ED2" w:rsidRDefault="00E377F0" w:rsidP="00945ED2">
            <w:pPr>
              <w:pStyle w:val="BodyCopy"/>
              <w:spacing w:after="0" w:line="288" w:lineRule="exact"/>
              <w:rPr>
                <w:szCs w:val="20"/>
              </w:rPr>
            </w:pPr>
            <w:r w:rsidRPr="00945ED2">
              <w:rPr>
                <w:szCs w:val="20"/>
              </w:rPr>
              <w:t>We will apply our new Connection Policy.</w:t>
            </w:r>
          </w:p>
        </w:tc>
        <w:tc>
          <w:tcPr>
            <w:tcW w:w="763" w:type="pct"/>
            <w:shd w:val="clear" w:color="auto" w:fill="FFFFFF"/>
          </w:tcPr>
          <w:p w14:paraId="559F5704" w14:textId="77777777" w:rsidR="00E377F0" w:rsidRPr="00945ED2" w:rsidRDefault="00E377F0" w:rsidP="00945ED2">
            <w:pPr>
              <w:pStyle w:val="BodyCopy"/>
              <w:spacing w:after="0" w:line="288" w:lineRule="exact"/>
              <w:rPr>
                <w:szCs w:val="20"/>
                <w:highlight w:val="yellow"/>
              </w:rPr>
            </w:pPr>
            <w:r w:rsidRPr="00945ED2">
              <w:rPr>
                <w:szCs w:val="20"/>
              </w:rPr>
              <w:t>Our Connection Policy has changed.  The Connection Capex forecast reflects this new policy.</w:t>
            </w:r>
          </w:p>
        </w:tc>
        <w:tc>
          <w:tcPr>
            <w:tcW w:w="763" w:type="pct"/>
            <w:shd w:val="clear" w:color="auto" w:fill="FFFFFF"/>
          </w:tcPr>
          <w:p w14:paraId="5CDA0D77" w14:textId="77777777" w:rsidR="00E377F0" w:rsidRPr="00945ED2" w:rsidRDefault="00E377F0" w:rsidP="00767763">
            <w:pPr>
              <w:pStyle w:val="BodyCopy"/>
              <w:spacing w:after="0" w:line="288" w:lineRule="exact"/>
              <w:rPr>
                <w:szCs w:val="20"/>
              </w:rPr>
            </w:pPr>
            <w:r w:rsidRPr="00945ED2">
              <w:rPr>
                <w:szCs w:val="20"/>
              </w:rPr>
              <w:t xml:space="preserve">Refer to section </w:t>
            </w:r>
            <w:r w:rsidR="00767763">
              <w:rPr>
                <w:szCs w:val="20"/>
              </w:rPr>
              <w:t>7</w:t>
            </w:r>
            <w:r w:rsidRPr="00945ED2">
              <w:rPr>
                <w:szCs w:val="20"/>
              </w:rPr>
              <w:t xml:space="preserve">.9 of </w:t>
            </w:r>
            <w:r w:rsidR="00767763">
              <w:rPr>
                <w:szCs w:val="20"/>
              </w:rPr>
              <w:t xml:space="preserve">our </w:t>
            </w:r>
            <w:r w:rsidRPr="00945ED2">
              <w:rPr>
                <w:szCs w:val="20"/>
              </w:rPr>
              <w:t xml:space="preserve">Regulatory Proposal and </w:t>
            </w:r>
            <w:r w:rsidR="00767763">
              <w:rPr>
                <w:szCs w:val="20"/>
              </w:rPr>
              <w:t>Attachment 7.147 for our</w:t>
            </w:r>
            <w:r w:rsidR="00767763" w:rsidRPr="00945ED2">
              <w:rPr>
                <w:szCs w:val="20"/>
              </w:rPr>
              <w:t xml:space="preserve"> </w:t>
            </w:r>
            <w:r w:rsidRPr="00945ED2">
              <w:rPr>
                <w:szCs w:val="20"/>
              </w:rPr>
              <w:t>Connection Policy.</w:t>
            </w:r>
          </w:p>
        </w:tc>
        <w:tc>
          <w:tcPr>
            <w:tcW w:w="763" w:type="pct"/>
            <w:shd w:val="clear" w:color="auto" w:fill="FFFFFF"/>
          </w:tcPr>
          <w:p w14:paraId="34438657" w14:textId="77777777" w:rsidR="00E377F0" w:rsidRPr="00945ED2" w:rsidRDefault="00E377F0" w:rsidP="00945ED2">
            <w:pPr>
              <w:pStyle w:val="BodyCopy"/>
              <w:spacing w:after="0" w:line="288" w:lineRule="exact"/>
              <w:rPr>
                <w:szCs w:val="20"/>
              </w:rPr>
            </w:pPr>
            <w:r w:rsidRPr="00945ED2">
              <w:rPr>
                <w:szCs w:val="20"/>
              </w:rPr>
              <w:t>We have assessed the preferences and expectations of participants through our stakeholder engagement program and have had regard for these in preparing new Connection Policy.</w:t>
            </w:r>
          </w:p>
        </w:tc>
        <w:tc>
          <w:tcPr>
            <w:tcW w:w="561" w:type="pct"/>
            <w:shd w:val="clear" w:color="auto" w:fill="FFFFFF"/>
          </w:tcPr>
          <w:p w14:paraId="1D8597F7" w14:textId="77777777" w:rsidR="00E377F0" w:rsidRPr="00945ED2" w:rsidRDefault="00E377F0" w:rsidP="00767763">
            <w:pPr>
              <w:pStyle w:val="BodyCopy"/>
              <w:spacing w:after="0" w:line="288" w:lineRule="exact"/>
              <w:rPr>
                <w:szCs w:val="20"/>
              </w:rPr>
            </w:pPr>
            <w:r w:rsidRPr="00945ED2">
              <w:rPr>
                <w:szCs w:val="20"/>
              </w:rPr>
              <w:t xml:space="preserve">See section </w:t>
            </w:r>
            <w:r w:rsidR="00767763">
              <w:rPr>
                <w:szCs w:val="20"/>
              </w:rPr>
              <w:t>7</w:t>
            </w:r>
            <w:r w:rsidRPr="00945ED2">
              <w:rPr>
                <w:szCs w:val="20"/>
              </w:rPr>
              <w:t xml:space="preserve">.9 of </w:t>
            </w:r>
            <w:r w:rsidR="00767763">
              <w:rPr>
                <w:szCs w:val="20"/>
              </w:rPr>
              <w:t xml:space="preserve">our </w:t>
            </w:r>
            <w:r w:rsidRPr="00945ED2">
              <w:rPr>
                <w:szCs w:val="20"/>
              </w:rPr>
              <w:t>Regulatory Proposal.</w:t>
            </w:r>
          </w:p>
        </w:tc>
        <w:tc>
          <w:tcPr>
            <w:tcW w:w="426" w:type="pct"/>
            <w:shd w:val="clear" w:color="auto" w:fill="FFFFFF"/>
          </w:tcPr>
          <w:p w14:paraId="2923A8D6" w14:textId="77777777" w:rsidR="00E377F0" w:rsidRPr="00945ED2" w:rsidRDefault="00E377F0" w:rsidP="00945ED2">
            <w:pPr>
              <w:pStyle w:val="BodyCopy"/>
              <w:spacing w:after="0" w:line="288" w:lineRule="exact"/>
              <w:rPr>
                <w:szCs w:val="20"/>
              </w:rPr>
            </w:pPr>
            <w:r w:rsidRPr="00945ED2">
              <w:rPr>
                <w:szCs w:val="20"/>
              </w:rPr>
              <w:t>Capex</w:t>
            </w:r>
          </w:p>
        </w:tc>
        <w:tc>
          <w:tcPr>
            <w:tcW w:w="472" w:type="pct"/>
            <w:shd w:val="clear" w:color="auto" w:fill="FFFFFF"/>
          </w:tcPr>
          <w:p w14:paraId="5810E5DE" w14:textId="77777777" w:rsidR="00E377F0" w:rsidRPr="008F6CC8" w:rsidRDefault="008F6CC8" w:rsidP="008F6CC8">
            <w:pPr>
              <w:pStyle w:val="BodyCopy"/>
              <w:spacing w:after="0" w:line="288" w:lineRule="exact"/>
              <w:rPr>
                <w:szCs w:val="20"/>
              </w:rPr>
            </w:pPr>
            <w:r w:rsidRPr="008F6CC8">
              <w:rPr>
                <w:szCs w:val="20"/>
              </w:rPr>
              <w:t>We have not undertaken sensitivity analysis, due to difficulty in quantifying reasonable estimates.</w:t>
            </w:r>
          </w:p>
        </w:tc>
      </w:tr>
      <w:tr w:rsidR="00E377F0" w:rsidRPr="00945ED2" w14:paraId="3729A24F" w14:textId="77777777" w:rsidTr="00945ED2">
        <w:trPr>
          <w:cantSplit/>
        </w:trPr>
        <w:tc>
          <w:tcPr>
            <w:tcW w:w="487" w:type="pct"/>
            <w:tcBorders>
              <w:left w:val="single" w:sz="4" w:space="0" w:color="FFFFFF"/>
            </w:tcBorders>
            <w:shd w:val="clear" w:color="auto" w:fill="0070C0"/>
          </w:tcPr>
          <w:p w14:paraId="4FCE1BDF" w14:textId="77777777" w:rsidR="00E377F0" w:rsidRPr="00945ED2" w:rsidRDefault="00E377F0" w:rsidP="00945ED2">
            <w:pPr>
              <w:pStyle w:val="BodyCopy"/>
              <w:spacing w:after="0" w:line="288" w:lineRule="exact"/>
              <w:rPr>
                <w:b/>
                <w:bCs/>
                <w:color w:val="FFFFFF"/>
                <w:szCs w:val="20"/>
              </w:rPr>
            </w:pPr>
            <w:r w:rsidRPr="00945ED2">
              <w:rPr>
                <w:bCs/>
                <w:color w:val="FFFFFF"/>
                <w:szCs w:val="20"/>
              </w:rPr>
              <w:t xml:space="preserve">Opex base year </w:t>
            </w:r>
          </w:p>
        </w:tc>
        <w:tc>
          <w:tcPr>
            <w:tcW w:w="763" w:type="pct"/>
            <w:shd w:val="clear" w:color="auto" w:fill="auto"/>
          </w:tcPr>
          <w:p w14:paraId="31101068" w14:textId="77777777" w:rsidR="00E377F0" w:rsidRPr="00945ED2" w:rsidRDefault="00E377F0" w:rsidP="00945ED2">
            <w:pPr>
              <w:pStyle w:val="BodyCopy"/>
              <w:spacing w:after="0" w:line="288" w:lineRule="exact"/>
              <w:rPr>
                <w:szCs w:val="20"/>
              </w:rPr>
            </w:pPr>
            <w:r w:rsidRPr="00945ED2">
              <w:rPr>
                <w:szCs w:val="20"/>
              </w:rPr>
              <w:t>The financial year 2018-19 is an appropriate base year for our opex forecast and, subject to our proposed adjustments, is reasonably representative of our recurrent prudent and efficient future opex requirements.</w:t>
            </w:r>
          </w:p>
        </w:tc>
        <w:tc>
          <w:tcPr>
            <w:tcW w:w="763" w:type="pct"/>
            <w:shd w:val="clear" w:color="auto" w:fill="FFFFFF"/>
          </w:tcPr>
          <w:p w14:paraId="505229D1" w14:textId="77777777" w:rsidR="00E377F0" w:rsidRPr="00945ED2" w:rsidRDefault="00E377F0" w:rsidP="00945ED2">
            <w:pPr>
              <w:pStyle w:val="BodyCopy"/>
              <w:spacing w:after="0" w:line="288" w:lineRule="exact"/>
              <w:rPr>
                <w:szCs w:val="20"/>
              </w:rPr>
            </w:pPr>
            <w:r w:rsidRPr="00945ED2">
              <w:rPr>
                <w:szCs w:val="20"/>
              </w:rPr>
              <w:t>This reflects the AER’s preferred approach to forecasting opex.</w:t>
            </w:r>
          </w:p>
        </w:tc>
        <w:tc>
          <w:tcPr>
            <w:tcW w:w="763" w:type="pct"/>
            <w:shd w:val="clear" w:color="auto" w:fill="FFFFFF"/>
          </w:tcPr>
          <w:p w14:paraId="7B1B0E10" w14:textId="77777777" w:rsidR="00E377F0" w:rsidRPr="00945ED2" w:rsidRDefault="00E377F0" w:rsidP="00767763">
            <w:pPr>
              <w:pStyle w:val="BodyCopy"/>
              <w:spacing w:after="0" w:line="288" w:lineRule="exact"/>
              <w:rPr>
                <w:szCs w:val="20"/>
              </w:rPr>
            </w:pPr>
            <w:r w:rsidRPr="00945ED2">
              <w:rPr>
                <w:szCs w:val="20"/>
              </w:rPr>
              <w:t xml:space="preserve">Refer to chapter </w:t>
            </w:r>
            <w:r w:rsidR="00767763">
              <w:rPr>
                <w:szCs w:val="20"/>
              </w:rPr>
              <w:t>6</w:t>
            </w:r>
            <w:r w:rsidR="00767763" w:rsidRPr="00945ED2">
              <w:rPr>
                <w:szCs w:val="20"/>
              </w:rPr>
              <w:t xml:space="preserve"> </w:t>
            </w:r>
            <w:r w:rsidRPr="00945ED2">
              <w:rPr>
                <w:szCs w:val="20"/>
              </w:rPr>
              <w:t xml:space="preserve">of </w:t>
            </w:r>
            <w:r w:rsidR="00767763">
              <w:rPr>
                <w:szCs w:val="20"/>
              </w:rPr>
              <w:t xml:space="preserve">our </w:t>
            </w:r>
            <w:r w:rsidRPr="00945ED2">
              <w:rPr>
                <w:szCs w:val="20"/>
              </w:rPr>
              <w:t>Regulatory Proposal.</w:t>
            </w:r>
          </w:p>
        </w:tc>
        <w:tc>
          <w:tcPr>
            <w:tcW w:w="763" w:type="pct"/>
            <w:shd w:val="clear" w:color="auto" w:fill="FFFFFF"/>
          </w:tcPr>
          <w:p w14:paraId="57F78588" w14:textId="77777777" w:rsidR="00E377F0" w:rsidRPr="00945ED2" w:rsidRDefault="00E377F0" w:rsidP="00945ED2">
            <w:pPr>
              <w:pStyle w:val="BodyCopy"/>
              <w:spacing w:after="0" w:line="288" w:lineRule="exact"/>
              <w:rPr>
                <w:szCs w:val="20"/>
              </w:rPr>
            </w:pPr>
            <w:r w:rsidRPr="00945ED2">
              <w:rPr>
                <w:szCs w:val="20"/>
              </w:rPr>
              <w:t>Not necessary, but we have undertaken benchmarking and other assessments to demonstrate the efficiency of our 2018-19 base year.</w:t>
            </w:r>
          </w:p>
        </w:tc>
        <w:tc>
          <w:tcPr>
            <w:tcW w:w="561" w:type="pct"/>
            <w:shd w:val="clear" w:color="auto" w:fill="FFFFFF"/>
          </w:tcPr>
          <w:p w14:paraId="4DCA86DA" w14:textId="77777777" w:rsidR="00E377F0" w:rsidRPr="00945ED2" w:rsidRDefault="00E377F0" w:rsidP="00767763">
            <w:pPr>
              <w:pStyle w:val="BodyCopy"/>
              <w:spacing w:after="0" w:line="288" w:lineRule="exact"/>
              <w:rPr>
                <w:szCs w:val="20"/>
              </w:rPr>
            </w:pPr>
            <w:r w:rsidRPr="00945ED2">
              <w:rPr>
                <w:szCs w:val="20"/>
              </w:rPr>
              <w:t xml:space="preserve">See chapter </w:t>
            </w:r>
            <w:r w:rsidR="00767763">
              <w:rPr>
                <w:szCs w:val="20"/>
              </w:rPr>
              <w:t>6</w:t>
            </w:r>
            <w:r w:rsidR="00767763" w:rsidRPr="00945ED2">
              <w:rPr>
                <w:szCs w:val="20"/>
              </w:rPr>
              <w:t xml:space="preserve"> </w:t>
            </w:r>
            <w:r w:rsidRPr="00945ED2">
              <w:rPr>
                <w:szCs w:val="20"/>
              </w:rPr>
              <w:t xml:space="preserve">of </w:t>
            </w:r>
            <w:r w:rsidR="00767763">
              <w:rPr>
                <w:szCs w:val="20"/>
              </w:rPr>
              <w:t xml:space="preserve">our </w:t>
            </w:r>
            <w:r w:rsidRPr="00945ED2">
              <w:rPr>
                <w:szCs w:val="20"/>
              </w:rPr>
              <w:t>Regulatory Proposal.</w:t>
            </w:r>
          </w:p>
        </w:tc>
        <w:tc>
          <w:tcPr>
            <w:tcW w:w="426" w:type="pct"/>
            <w:shd w:val="clear" w:color="auto" w:fill="FFFFFF"/>
          </w:tcPr>
          <w:p w14:paraId="6DA427DE" w14:textId="77777777" w:rsidR="00E377F0" w:rsidRPr="00945ED2" w:rsidRDefault="00E377F0" w:rsidP="00945ED2">
            <w:pPr>
              <w:pStyle w:val="BodyCopy"/>
              <w:spacing w:after="0" w:line="288" w:lineRule="exact"/>
              <w:rPr>
                <w:szCs w:val="20"/>
              </w:rPr>
            </w:pPr>
            <w:r w:rsidRPr="00945ED2">
              <w:rPr>
                <w:szCs w:val="20"/>
              </w:rPr>
              <w:t>Opex</w:t>
            </w:r>
          </w:p>
        </w:tc>
        <w:tc>
          <w:tcPr>
            <w:tcW w:w="472" w:type="pct"/>
            <w:shd w:val="clear" w:color="auto" w:fill="FFFFFF"/>
          </w:tcPr>
          <w:p w14:paraId="4D9A6536" w14:textId="77777777" w:rsidR="00E377F0" w:rsidRPr="00945ED2" w:rsidRDefault="00E377F0" w:rsidP="00945ED2">
            <w:pPr>
              <w:pStyle w:val="BodyCopy"/>
              <w:spacing w:after="0" w:line="288" w:lineRule="exact"/>
              <w:rPr>
                <w:szCs w:val="20"/>
              </w:rPr>
            </w:pPr>
            <w:r w:rsidRPr="00945ED2">
              <w:rPr>
                <w:szCs w:val="20"/>
              </w:rPr>
              <w:t>We have not undertaken sensitivity analysis, as counter-factual scenarios difficult to reasonably estimate.</w:t>
            </w:r>
          </w:p>
        </w:tc>
      </w:tr>
      <w:tr w:rsidR="00E377F0" w:rsidRPr="00945ED2" w14:paraId="6DF786DA" w14:textId="77777777" w:rsidTr="00945ED2">
        <w:trPr>
          <w:cantSplit/>
        </w:trPr>
        <w:tc>
          <w:tcPr>
            <w:tcW w:w="487" w:type="pct"/>
            <w:tcBorders>
              <w:left w:val="single" w:sz="4" w:space="0" w:color="FFFFFF"/>
            </w:tcBorders>
            <w:shd w:val="clear" w:color="auto" w:fill="0070C0"/>
          </w:tcPr>
          <w:p w14:paraId="5344746F" w14:textId="77777777" w:rsidR="00E377F0" w:rsidRPr="00945ED2" w:rsidRDefault="00E377F0" w:rsidP="00945ED2">
            <w:pPr>
              <w:pStyle w:val="BodyCopy"/>
              <w:spacing w:after="0" w:line="288" w:lineRule="exact"/>
              <w:rPr>
                <w:b/>
                <w:bCs/>
                <w:color w:val="FFFFFF"/>
                <w:szCs w:val="20"/>
              </w:rPr>
            </w:pPr>
            <w:r w:rsidRPr="00945ED2">
              <w:rPr>
                <w:bCs/>
                <w:color w:val="FFFFFF"/>
                <w:szCs w:val="20"/>
              </w:rPr>
              <w:t>Opex trend assumptions</w:t>
            </w:r>
          </w:p>
        </w:tc>
        <w:tc>
          <w:tcPr>
            <w:tcW w:w="763" w:type="pct"/>
            <w:shd w:val="clear" w:color="auto" w:fill="auto"/>
          </w:tcPr>
          <w:p w14:paraId="0433A7F6" w14:textId="77777777" w:rsidR="00E377F0" w:rsidRPr="00945ED2" w:rsidRDefault="00E377F0" w:rsidP="00945ED2">
            <w:pPr>
              <w:pStyle w:val="BodyCopy"/>
              <w:spacing w:after="0" w:line="288" w:lineRule="exact"/>
              <w:rPr>
                <w:szCs w:val="20"/>
              </w:rPr>
            </w:pPr>
            <w:r w:rsidRPr="00945ED2">
              <w:rPr>
                <w:szCs w:val="20"/>
              </w:rPr>
              <w:t>Our forecast changes in input costs, output growth and productivity are reasonable and appropriately reflect the trend in our future opex, given our (adjusted) opex base year.</w:t>
            </w:r>
          </w:p>
        </w:tc>
        <w:tc>
          <w:tcPr>
            <w:tcW w:w="763" w:type="pct"/>
            <w:shd w:val="clear" w:color="auto" w:fill="FFFFFF"/>
          </w:tcPr>
          <w:p w14:paraId="4CBF2F7B" w14:textId="77777777" w:rsidR="00E377F0" w:rsidRPr="00945ED2" w:rsidRDefault="00E377F0" w:rsidP="00945ED2">
            <w:pPr>
              <w:pStyle w:val="BodyCopy"/>
              <w:spacing w:after="0" w:line="288" w:lineRule="exact"/>
              <w:rPr>
                <w:szCs w:val="20"/>
              </w:rPr>
            </w:pPr>
            <w:r w:rsidRPr="00945ED2">
              <w:rPr>
                <w:szCs w:val="20"/>
              </w:rPr>
              <w:t>We are applying the AER’s preferred framework to forecast these trends.</w:t>
            </w:r>
          </w:p>
        </w:tc>
        <w:tc>
          <w:tcPr>
            <w:tcW w:w="763" w:type="pct"/>
            <w:shd w:val="clear" w:color="auto" w:fill="FFFFFF"/>
          </w:tcPr>
          <w:p w14:paraId="5D8D547A" w14:textId="77777777" w:rsidR="00E377F0" w:rsidRPr="00945ED2" w:rsidRDefault="00E377F0" w:rsidP="00767763">
            <w:pPr>
              <w:pStyle w:val="BodyCopy"/>
              <w:spacing w:after="0" w:line="288" w:lineRule="exact"/>
              <w:rPr>
                <w:szCs w:val="20"/>
              </w:rPr>
            </w:pPr>
            <w:r w:rsidRPr="00945ED2">
              <w:rPr>
                <w:szCs w:val="20"/>
              </w:rPr>
              <w:t xml:space="preserve">Refer to chapter </w:t>
            </w:r>
            <w:r w:rsidR="00767763">
              <w:rPr>
                <w:szCs w:val="20"/>
              </w:rPr>
              <w:t>6</w:t>
            </w:r>
            <w:r w:rsidR="00767763" w:rsidRPr="00945ED2">
              <w:rPr>
                <w:szCs w:val="20"/>
              </w:rPr>
              <w:t xml:space="preserve"> </w:t>
            </w:r>
            <w:r w:rsidRPr="00945ED2">
              <w:rPr>
                <w:szCs w:val="20"/>
              </w:rPr>
              <w:t>of</w:t>
            </w:r>
            <w:r w:rsidR="00767763">
              <w:rPr>
                <w:szCs w:val="20"/>
              </w:rPr>
              <w:t xml:space="preserve"> our</w:t>
            </w:r>
            <w:r w:rsidRPr="00945ED2">
              <w:rPr>
                <w:szCs w:val="20"/>
              </w:rPr>
              <w:t xml:space="preserve"> Regulatory Proposal.</w:t>
            </w:r>
          </w:p>
        </w:tc>
        <w:tc>
          <w:tcPr>
            <w:tcW w:w="763" w:type="pct"/>
            <w:shd w:val="clear" w:color="auto" w:fill="FFFFFF"/>
          </w:tcPr>
          <w:p w14:paraId="11EEC183" w14:textId="77777777" w:rsidR="00E377F0" w:rsidRPr="00945ED2" w:rsidRDefault="00E377F0" w:rsidP="00945ED2">
            <w:pPr>
              <w:pStyle w:val="BodyCopy"/>
              <w:spacing w:after="0" w:line="288" w:lineRule="exact"/>
              <w:rPr>
                <w:szCs w:val="20"/>
              </w:rPr>
            </w:pPr>
            <w:r w:rsidRPr="00945ED2">
              <w:rPr>
                <w:szCs w:val="20"/>
              </w:rPr>
              <w:t>Not necessary, because we used the AER’s preferred framework to forecast each component of the opex trend.</w:t>
            </w:r>
          </w:p>
        </w:tc>
        <w:tc>
          <w:tcPr>
            <w:tcW w:w="561" w:type="pct"/>
            <w:shd w:val="clear" w:color="auto" w:fill="FFFFFF"/>
          </w:tcPr>
          <w:p w14:paraId="0F82755E" w14:textId="77777777" w:rsidR="00E377F0" w:rsidRPr="00945ED2" w:rsidRDefault="00E377F0" w:rsidP="00767763">
            <w:pPr>
              <w:pStyle w:val="BodyCopy"/>
              <w:spacing w:after="0" w:line="288" w:lineRule="exact"/>
              <w:rPr>
                <w:szCs w:val="20"/>
              </w:rPr>
            </w:pPr>
            <w:r w:rsidRPr="00945ED2">
              <w:rPr>
                <w:szCs w:val="20"/>
              </w:rPr>
              <w:t xml:space="preserve">See chapter </w:t>
            </w:r>
            <w:r w:rsidR="00767763">
              <w:rPr>
                <w:szCs w:val="20"/>
              </w:rPr>
              <w:t>6</w:t>
            </w:r>
            <w:r w:rsidR="00767763" w:rsidRPr="00945ED2">
              <w:rPr>
                <w:szCs w:val="20"/>
              </w:rPr>
              <w:t xml:space="preserve"> </w:t>
            </w:r>
            <w:r w:rsidRPr="00945ED2">
              <w:rPr>
                <w:szCs w:val="20"/>
              </w:rPr>
              <w:t xml:space="preserve">of </w:t>
            </w:r>
            <w:r w:rsidR="00767763">
              <w:rPr>
                <w:szCs w:val="20"/>
              </w:rPr>
              <w:t xml:space="preserve">our </w:t>
            </w:r>
            <w:r w:rsidRPr="00945ED2">
              <w:rPr>
                <w:szCs w:val="20"/>
              </w:rPr>
              <w:t>Regulatory Proposal.</w:t>
            </w:r>
          </w:p>
        </w:tc>
        <w:tc>
          <w:tcPr>
            <w:tcW w:w="426" w:type="pct"/>
            <w:shd w:val="clear" w:color="auto" w:fill="FFFFFF"/>
          </w:tcPr>
          <w:p w14:paraId="1ADD4229" w14:textId="77777777" w:rsidR="00E377F0" w:rsidRPr="00945ED2" w:rsidRDefault="00E377F0" w:rsidP="00945ED2">
            <w:pPr>
              <w:pStyle w:val="BodyCopy"/>
              <w:spacing w:after="0" w:line="288" w:lineRule="exact"/>
              <w:rPr>
                <w:szCs w:val="20"/>
              </w:rPr>
            </w:pPr>
            <w:r w:rsidRPr="00945ED2">
              <w:rPr>
                <w:szCs w:val="20"/>
              </w:rPr>
              <w:t>Opex</w:t>
            </w:r>
          </w:p>
        </w:tc>
        <w:tc>
          <w:tcPr>
            <w:tcW w:w="472" w:type="pct"/>
            <w:shd w:val="clear" w:color="auto" w:fill="FFFFFF"/>
          </w:tcPr>
          <w:p w14:paraId="353FDC69" w14:textId="77777777" w:rsidR="00E377F0" w:rsidRPr="00945ED2" w:rsidRDefault="00E377F0" w:rsidP="00945ED2">
            <w:pPr>
              <w:pStyle w:val="BodyCopy"/>
              <w:spacing w:after="0" w:line="288" w:lineRule="exact"/>
              <w:rPr>
                <w:szCs w:val="20"/>
              </w:rPr>
            </w:pPr>
            <w:r w:rsidRPr="00945ED2">
              <w:rPr>
                <w:szCs w:val="20"/>
              </w:rPr>
              <w:t>We have not undertaken sensitivity analysis, as counter-factual scenarios difficult to reasonably estimate.</w:t>
            </w:r>
          </w:p>
        </w:tc>
      </w:tr>
      <w:tr w:rsidR="00E377F0" w:rsidRPr="00945ED2" w14:paraId="3A62ACC3" w14:textId="77777777" w:rsidTr="00945ED2">
        <w:trPr>
          <w:cantSplit/>
        </w:trPr>
        <w:tc>
          <w:tcPr>
            <w:tcW w:w="487" w:type="pct"/>
            <w:tcBorders>
              <w:left w:val="single" w:sz="4" w:space="0" w:color="FFFFFF"/>
              <w:bottom w:val="single" w:sz="4" w:space="0" w:color="FFFFFF"/>
            </w:tcBorders>
            <w:shd w:val="clear" w:color="auto" w:fill="0070C0"/>
          </w:tcPr>
          <w:p w14:paraId="4BFD49D0" w14:textId="77777777" w:rsidR="00E377F0" w:rsidRPr="00945ED2" w:rsidRDefault="00E377F0" w:rsidP="00945ED2">
            <w:pPr>
              <w:pStyle w:val="BodyCopy"/>
              <w:spacing w:after="0" w:line="288" w:lineRule="exact"/>
              <w:rPr>
                <w:b/>
                <w:bCs/>
                <w:color w:val="FFFFFF"/>
                <w:szCs w:val="20"/>
              </w:rPr>
            </w:pPr>
            <w:r w:rsidRPr="00945ED2">
              <w:rPr>
                <w:bCs/>
                <w:color w:val="FFFFFF"/>
                <w:szCs w:val="20"/>
              </w:rPr>
              <w:t>Cost pass throughs and contingent projects</w:t>
            </w:r>
          </w:p>
        </w:tc>
        <w:tc>
          <w:tcPr>
            <w:tcW w:w="763" w:type="pct"/>
            <w:shd w:val="clear" w:color="auto" w:fill="auto"/>
          </w:tcPr>
          <w:p w14:paraId="4F058AB3" w14:textId="77777777" w:rsidR="00E377F0" w:rsidRPr="00945ED2" w:rsidRDefault="00E377F0" w:rsidP="00945ED2">
            <w:pPr>
              <w:pStyle w:val="BodyCopy"/>
              <w:spacing w:after="0" w:line="288" w:lineRule="exact"/>
              <w:rPr>
                <w:bCs/>
                <w:szCs w:val="20"/>
              </w:rPr>
            </w:pPr>
            <w:r w:rsidRPr="00945ED2">
              <w:rPr>
                <w:bCs/>
                <w:szCs w:val="20"/>
              </w:rPr>
              <w:t>The AER will approve our nominated pass through events and we will not have any contingent projects.</w:t>
            </w:r>
          </w:p>
          <w:p w14:paraId="22A6E293" w14:textId="77777777" w:rsidR="00E377F0" w:rsidRPr="00945ED2" w:rsidRDefault="00E377F0" w:rsidP="00945ED2">
            <w:pPr>
              <w:pStyle w:val="BodyCopy"/>
              <w:spacing w:after="0" w:line="288" w:lineRule="exact"/>
              <w:rPr>
                <w:bCs/>
                <w:szCs w:val="20"/>
              </w:rPr>
            </w:pPr>
          </w:p>
        </w:tc>
        <w:tc>
          <w:tcPr>
            <w:tcW w:w="763" w:type="pct"/>
            <w:shd w:val="clear" w:color="auto" w:fill="FFFFFF"/>
          </w:tcPr>
          <w:p w14:paraId="774EEA4E" w14:textId="77777777" w:rsidR="00E377F0" w:rsidRPr="00945ED2" w:rsidRDefault="00E377F0" w:rsidP="00945ED2">
            <w:pPr>
              <w:pStyle w:val="BodyCopy"/>
              <w:spacing w:after="0" w:line="288" w:lineRule="exact"/>
              <w:rPr>
                <w:bCs/>
                <w:szCs w:val="20"/>
              </w:rPr>
            </w:pPr>
            <w:r w:rsidRPr="00945ED2">
              <w:rPr>
                <w:bCs/>
                <w:szCs w:val="20"/>
              </w:rPr>
              <w:t xml:space="preserve">We have nominated several pass through events (in addition to the prescribed pass through events in the </w:t>
            </w:r>
            <w:r w:rsidR="00767763">
              <w:rPr>
                <w:bCs/>
                <w:szCs w:val="20"/>
              </w:rPr>
              <w:t>NER</w:t>
            </w:r>
            <w:r w:rsidRPr="00945ED2">
              <w:rPr>
                <w:bCs/>
                <w:szCs w:val="20"/>
              </w:rPr>
              <w:t xml:space="preserve">) and have not proposed any contingent projects.  </w:t>
            </w:r>
          </w:p>
          <w:p w14:paraId="297FA86D" w14:textId="77777777" w:rsidR="00E377F0" w:rsidRPr="00945ED2" w:rsidRDefault="00E377F0" w:rsidP="00945ED2">
            <w:pPr>
              <w:pStyle w:val="BodyCopy"/>
              <w:spacing w:after="0" w:line="288" w:lineRule="exact"/>
              <w:rPr>
                <w:bCs/>
                <w:szCs w:val="20"/>
              </w:rPr>
            </w:pPr>
            <w:r w:rsidRPr="00945ED2">
              <w:rPr>
                <w:bCs/>
                <w:szCs w:val="20"/>
              </w:rPr>
              <w:t>If the AER decides not to accept our nominated events, and/or decides to create one or more contingent projects, then our capex and opex forecasts would potentially need to change.</w:t>
            </w:r>
          </w:p>
        </w:tc>
        <w:tc>
          <w:tcPr>
            <w:tcW w:w="763" w:type="pct"/>
            <w:shd w:val="clear" w:color="auto" w:fill="FFFFFF"/>
          </w:tcPr>
          <w:p w14:paraId="216D1B44" w14:textId="77777777" w:rsidR="00E377F0" w:rsidRPr="00945ED2" w:rsidRDefault="00E377F0" w:rsidP="00767763">
            <w:pPr>
              <w:pStyle w:val="BodyCopy"/>
              <w:spacing w:after="0" w:line="288" w:lineRule="exact"/>
              <w:rPr>
                <w:szCs w:val="20"/>
              </w:rPr>
            </w:pPr>
            <w:r w:rsidRPr="00945ED2">
              <w:rPr>
                <w:szCs w:val="20"/>
              </w:rPr>
              <w:t xml:space="preserve">See chapter </w:t>
            </w:r>
            <w:r w:rsidR="00767763" w:rsidRPr="00945ED2">
              <w:rPr>
                <w:szCs w:val="20"/>
              </w:rPr>
              <w:t>1</w:t>
            </w:r>
            <w:r w:rsidR="00767763">
              <w:rPr>
                <w:szCs w:val="20"/>
              </w:rPr>
              <w:t>2</w:t>
            </w:r>
            <w:r w:rsidR="00767763" w:rsidRPr="00945ED2">
              <w:rPr>
                <w:szCs w:val="20"/>
              </w:rPr>
              <w:t xml:space="preserve"> </w:t>
            </w:r>
            <w:r w:rsidRPr="00945ED2">
              <w:rPr>
                <w:szCs w:val="20"/>
              </w:rPr>
              <w:t>of</w:t>
            </w:r>
            <w:r w:rsidR="00767763">
              <w:rPr>
                <w:szCs w:val="20"/>
              </w:rPr>
              <w:t xml:space="preserve"> our</w:t>
            </w:r>
            <w:r w:rsidRPr="00945ED2">
              <w:rPr>
                <w:szCs w:val="20"/>
              </w:rPr>
              <w:t xml:space="preserve"> Regulatory Proposal.</w:t>
            </w:r>
          </w:p>
        </w:tc>
        <w:tc>
          <w:tcPr>
            <w:tcW w:w="763" w:type="pct"/>
            <w:shd w:val="clear" w:color="auto" w:fill="FFFFFF"/>
          </w:tcPr>
          <w:p w14:paraId="71BBC5FC" w14:textId="77777777" w:rsidR="00E377F0" w:rsidRPr="00945ED2" w:rsidRDefault="00E377F0" w:rsidP="00945ED2">
            <w:pPr>
              <w:pStyle w:val="BodyCopy"/>
              <w:spacing w:after="0" w:line="288" w:lineRule="exact"/>
              <w:rPr>
                <w:bCs/>
                <w:szCs w:val="20"/>
              </w:rPr>
            </w:pPr>
            <w:r w:rsidRPr="00945ED2">
              <w:rPr>
                <w:szCs w:val="20"/>
              </w:rPr>
              <w:t>Not necessary</w:t>
            </w:r>
            <w:r w:rsidRPr="00945ED2">
              <w:rPr>
                <w:bCs/>
                <w:szCs w:val="20"/>
              </w:rPr>
              <w:t>, because any change in our capex and opex forecasts would depend on which (if any) nominated events the AER rejects and what (if any) contingent project it determines.</w:t>
            </w:r>
          </w:p>
        </w:tc>
        <w:tc>
          <w:tcPr>
            <w:tcW w:w="561" w:type="pct"/>
            <w:shd w:val="clear" w:color="auto" w:fill="FFFFFF"/>
          </w:tcPr>
          <w:p w14:paraId="4BA73CEC" w14:textId="77777777" w:rsidR="00E377F0" w:rsidRPr="00945ED2" w:rsidRDefault="00E377F0" w:rsidP="00945ED2">
            <w:pPr>
              <w:pStyle w:val="BodyCopy"/>
              <w:spacing w:after="0" w:line="288" w:lineRule="exact"/>
              <w:rPr>
                <w:bCs/>
                <w:szCs w:val="20"/>
              </w:rPr>
            </w:pPr>
            <w:r w:rsidRPr="00945ED2">
              <w:rPr>
                <w:szCs w:val="20"/>
              </w:rPr>
              <w:t>Unable to be quantified because depends on nature of future events.</w:t>
            </w:r>
          </w:p>
        </w:tc>
        <w:tc>
          <w:tcPr>
            <w:tcW w:w="426" w:type="pct"/>
            <w:shd w:val="clear" w:color="auto" w:fill="FFFFFF"/>
          </w:tcPr>
          <w:p w14:paraId="69D9049F" w14:textId="77777777" w:rsidR="00E377F0" w:rsidRPr="00945ED2" w:rsidRDefault="00E377F0" w:rsidP="00945ED2">
            <w:pPr>
              <w:pStyle w:val="BodyCopy"/>
              <w:spacing w:after="0" w:line="288" w:lineRule="exact"/>
              <w:rPr>
                <w:bCs/>
                <w:szCs w:val="20"/>
              </w:rPr>
            </w:pPr>
            <w:r w:rsidRPr="00945ED2">
              <w:rPr>
                <w:bCs/>
                <w:szCs w:val="20"/>
              </w:rPr>
              <w:t>Capex and opex</w:t>
            </w:r>
          </w:p>
        </w:tc>
        <w:tc>
          <w:tcPr>
            <w:tcW w:w="472" w:type="pct"/>
            <w:shd w:val="clear" w:color="auto" w:fill="FFFFFF"/>
          </w:tcPr>
          <w:p w14:paraId="45932E43" w14:textId="77777777" w:rsidR="00E377F0" w:rsidRPr="00945ED2" w:rsidRDefault="00E377F0" w:rsidP="00945ED2">
            <w:pPr>
              <w:pStyle w:val="BodyCopy"/>
              <w:spacing w:after="0" w:line="288" w:lineRule="exact"/>
              <w:rPr>
                <w:bCs/>
                <w:szCs w:val="20"/>
              </w:rPr>
            </w:pPr>
            <w:r w:rsidRPr="00945ED2">
              <w:rPr>
                <w:szCs w:val="20"/>
              </w:rPr>
              <w:t>Not able to be estimated.</w:t>
            </w:r>
          </w:p>
        </w:tc>
      </w:tr>
    </w:tbl>
    <w:p w14:paraId="768A884F" w14:textId="77777777" w:rsidR="0049382F" w:rsidRDefault="0049382F" w:rsidP="000258D0">
      <w:pPr>
        <w:pStyle w:val="ListLetter"/>
        <w:numPr>
          <w:ilvl w:val="0"/>
          <w:numId w:val="0"/>
        </w:numPr>
      </w:pPr>
    </w:p>
    <w:sectPr w:rsidR="0049382F" w:rsidSect="00E169B4">
      <w:pgSz w:w="16838" w:h="11906" w:orient="landscape" w:code="9"/>
      <w:pgMar w:top="1418" w:right="1418" w:bottom="1418" w:left="567" w:header="709" w:footer="567" w:gutter="0"/>
      <w:pgBorders w:offsetFrom="page">
        <w:top w:val="single" w:sz="26" w:space="9" w:color="000000" w:shadow="1" w:frame="1"/>
        <w:left w:val="none" w:sz="0" w:space="20" w:color="DA0600" w:shadow="1"/>
        <w:bottom w:val="none" w:sz="0" w:space="6" w:color="183200" w:shadow="1"/>
        <w:right w:val="none" w:sz="22" w:space="21" w:color="000004" w:shadow="1"/>
      </w:pgBorders>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3DCF22D" w15:done="0"/>
  <w15:commentEx w15:paraId="17EA4D8E" w15:done="0"/>
  <w15:commentEx w15:paraId="12ADEC9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55E675C" w14:textId="77777777" w:rsidR="00E169B4" w:rsidRDefault="00E169B4" w:rsidP="00D024B8">
      <w:pPr>
        <w:spacing w:before="0" w:line="240" w:lineRule="auto"/>
      </w:pPr>
      <w:r>
        <w:separator/>
      </w:r>
    </w:p>
    <w:p w14:paraId="71B02483" w14:textId="77777777" w:rsidR="00E169B4" w:rsidRDefault="00E169B4"/>
    <w:p w14:paraId="0D75AB9B" w14:textId="77777777" w:rsidR="00E169B4" w:rsidRDefault="00E169B4" w:rsidP="00DE17D2"/>
  </w:endnote>
  <w:endnote w:type="continuationSeparator" w:id="0">
    <w:p w14:paraId="5286C700" w14:textId="77777777" w:rsidR="00E169B4" w:rsidRDefault="00E169B4" w:rsidP="00D024B8">
      <w:pPr>
        <w:spacing w:before="0" w:line="240" w:lineRule="auto"/>
      </w:pPr>
      <w:r>
        <w:continuationSeparator/>
      </w:r>
    </w:p>
    <w:p w14:paraId="178D2F08" w14:textId="77777777" w:rsidR="00E169B4" w:rsidRDefault="00E169B4"/>
    <w:p w14:paraId="1E520C31" w14:textId="77777777" w:rsidR="00E169B4" w:rsidRDefault="00E169B4" w:rsidP="00DE17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ial Bold">
    <w:panose1 w:val="020B0704020202020204"/>
    <w:charset w:val="00"/>
    <w:family w:val="roman"/>
    <w:notTrueType/>
    <w:pitch w:val="default"/>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Angsana New">
    <w:panose1 w:val="02020603050405020304"/>
    <w:charset w:val="DE"/>
    <w:family w:val="roman"/>
    <w:notTrueType/>
    <w:pitch w:val="variable"/>
    <w:sig w:usb0="01000001" w:usb1="00000000" w:usb2="00000000" w:usb3="00000000" w:csb0="00010000" w:csb1="00000000"/>
  </w:font>
  <w:font w:name="SimSun">
    <w:altName w:val="宋体"/>
    <w:panose1 w:val="02010600030101010101"/>
    <w:charset w:val="86"/>
    <w:family w:val="auto"/>
    <w:pitch w:val="variable"/>
    <w:sig w:usb0="00000003" w:usb1="288F0000" w:usb2="00000016" w:usb3="00000000" w:csb0="00040001" w:csb1="00000000"/>
  </w:font>
  <w:font w:name="Calibri Light">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71A18E" w14:textId="77777777" w:rsidR="00E169B4" w:rsidRPr="0052624D" w:rsidRDefault="00E169B4" w:rsidP="004C683F">
    <w:pPr>
      <w:tabs>
        <w:tab w:val="center" w:pos="3969"/>
        <w:tab w:val="right" w:pos="8647"/>
      </w:tabs>
      <w:ind w:left="0"/>
      <w:rPr>
        <w:b/>
        <w:color w:val="0084C9"/>
      </w:rPr>
    </w:pPr>
    <w:r>
      <w:rPr>
        <w:noProof/>
      </w:rPr>
      <mc:AlternateContent>
        <mc:Choice Requires="wps">
          <w:drawing>
            <wp:anchor distT="0" distB="0" distL="114300" distR="114300" simplePos="0" relativeHeight="251658752" behindDoc="0" locked="0" layoutInCell="0" allowOverlap="1" wp14:anchorId="1724D9B3" wp14:editId="7BC074D3">
              <wp:simplePos x="0" y="0"/>
              <wp:positionH relativeFrom="page">
                <wp:posOffset>6840855</wp:posOffset>
              </wp:positionH>
              <wp:positionV relativeFrom="page">
                <wp:posOffset>9973310</wp:posOffset>
              </wp:positionV>
              <wp:extent cx="720090" cy="720090"/>
              <wp:effectExtent l="1905" t="635" r="1905" b="3175"/>
              <wp:wrapNone/>
              <wp:docPr id="1"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0090"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17BAB3" w14:textId="77777777" w:rsidR="00E169B4" w:rsidRPr="00E0238F" w:rsidRDefault="00E169B4" w:rsidP="00D44A72">
                          <w:pPr>
                            <w:spacing w:before="0"/>
                            <w:ind w:left="0"/>
                            <w:rPr>
                              <w:color w:val="C4D545"/>
                              <w:sz w:val="60"/>
                              <w:szCs w:val="60"/>
                            </w:rPr>
                          </w:pPr>
                          <w:r w:rsidRPr="00E0238F">
                            <w:rPr>
                              <w:color w:val="C4D545"/>
                              <w:sz w:val="60"/>
                              <w:szCs w:val="60"/>
                            </w:rPr>
                            <w:fldChar w:fldCharType="begin"/>
                          </w:r>
                          <w:r w:rsidRPr="00E0238F">
                            <w:rPr>
                              <w:color w:val="C4D545"/>
                              <w:sz w:val="60"/>
                              <w:szCs w:val="60"/>
                            </w:rPr>
                            <w:instrText xml:space="preserve"> PAGE   \* MERGEFORMAT </w:instrText>
                          </w:r>
                          <w:r w:rsidRPr="00E0238F">
                            <w:rPr>
                              <w:color w:val="C4D545"/>
                              <w:sz w:val="60"/>
                              <w:szCs w:val="60"/>
                            </w:rPr>
                            <w:fldChar w:fldCharType="separate"/>
                          </w:r>
                          <w:r>
                            <w:rPr>
                              <w:noProof/>
                              <w:color w:val="C4D545"/>
                              <w:sz w:val="60"/>
                              <w:szCs w:val="60"/>
                            </w:rPr>
                            <w:t>2</w:t>
                          </w:r>
                          <w:r w:rsidRPr="00E0238F">
                            <w:rPr>
                              <w:color w:val="C4D545"/>
                              <w:sz w:val="60"/>
                              <w:szCs w:val="60"/>
                            </w:rPr>
                            <w:fldChar w:fldCharType="end"/>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8" o:spid="_x0000_s1030" type="#_x0000_t202" style="position:absolute;margin-left:538.65pt;margin-top:785.3pt;width:56.7pt;height:56.7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" o:allowincell="f" filled="f" stroked="f">
              <v:textbox inset="0,0,0,0">
                <w:txbxContent>
                  <w:p w14:paraId="0017BAB3" w14:textId="77777777" w:rsidR="00E169B4" w:rsidRPr="00E0238F" w:rsidRDefault="00E169B4" w:rsidP="00D44A72">
                    <w:pPr>
                      <w:spacing w:before="0"/>
                      <w:ind w:left="0"/>
                      <w:rPr>
                        <w:color w:val="C4D545"/>
                        <w:sz w:val="60"/>
                        <w:szCs w:val="60"/>
                      </w:rPr>
                    </w:pPr>
                    <w:r w:rsidRPr="00E0238F">
                      <w:rPr>
                        <w:color w:val="C4D545"/>
                        <w:sz w:val="60"/>
                        <w:szCs w:val="60"/>
                      </w:rPr>
                      <w:fldChar w:fldCharType="begin"/>
                    </w:r>
                    <w:r w:rsidRPr="00E0238F">
                      <w:rPr>
                        <w:color w:val="C4D545"/>
                        <w:sz w:val="60"/>
                        <w:szCs w:val="60"/>
                      </w:rPr>
                      <w:instrText xml:space="preserve"> PAGE   \* MERGEFORMAT </w:instrText>
                    </w:r>
                    <w:r w:rsidRPr="00E0238F">
                      <w:rPr>
                        <w:color w:val="C4D545"/>
                        <w:sz w:val="60"/>
                        <w:szCs w:val="60"/>
                      </w:rPr>
                      <w:fldChar w:fldCharType="separate"/>
                    </w:r>
                    <w:r>
                      <w:rPr>
                        <w:noProof/>
                        <w:color w:val="C4D545"/>
                        <w:sz w:val="60"/>
                        <w:szCs w:val="60"/>
                      </w:rPr>
                      <w:t>2</w:t>
                    </w:r>
                    <w:r w:rsidRPr="00E0238F">
                      <w:rPr>
                        <w:color w:val="C4D545"/>
                        <w:sz w:val="60"/>
                        <w:szCs w:val="60"/>
                      </w:rPr>
                      <w:fldChar w:fldCharType="end"/>
                    </w:r>
                  </w:p>
                </w:txbxContent>
              </v:textbox>
              <w10:wrap anchorx="page" anchory="page"/>
            </v:shape>
          </w:pict>
        </mc:Fallback>
      </mc:AlternateContent>
    </w:r>
    <w:r w:rsidRPr="0052624D">
      <w:rPr>
        <w:b/>
        <w:color w:val="0084C9"/>
        <w:sz w:val="48"/>
        <w:szCs w:val="44"/>
      </w:rPr>
      <w:tab/>
    </w:r>
    <w:r w:rsidRPr="0052624D">
      <w:rPr>
        <w:color w:val="0084C9"/>
        <w:sz w:val="16"/>
        <w:szCs w:val="16"/>
      </w:rPr>
      <w:t>Report Title</w:t>
    </w:r>
    <w:r w:rsidRPr="0052624D">
      <w:rPr>
        <w:b/>
        <w:color w:val="0084C9"/>
        <w:sz w:val="16"/>
        <w:szCs w:val="16"/>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660BC7" w14:textId="77777777" w:rsidR="00E169B4" w:rsidRPr="00B63B30" w:rsidRDefault="00E169B4" w:rsidP="00802932">
    <w:pPr>
      <w:tabs>
        <w:tab w:val="left" w:pos="0"/>
        <w:tab w:val="right" w:pos="9072"/>
        <w:tab w:val="center" w:pos="9809"/>
      </w:tabs>
      <w:spacing w:before="0"/>
      <w:ind w:left="0" w:right="-1"/>
      <w:rPr>
        <w:color w:val="0084C9"/>
        <w:sz w:val="16"/>
        <w:szCs w:val="16"/>
      </w:rPr>
    </w:pPr>
    <w:r>
      <w:rPr>
        <w:sz w:val="16"/>
        <w:szCs w:val="16"/>
      </w:rPr>
      <w:tab/>
    </w:r>
    <w:r>
      <w:rPr>
        <w:b/>
        <w:color w:val="0084C9"/>
        <w:sz w:val="16"/>
        <w:szCs w:val="16"/>
      </w:rPr>
      <w:t>Response to Schedule 1 of reset RIN</w:t>
    </w:r>
    <w:r>
      <w:rPr>
        <w:sz w:val="16"/>
        <w:szCs w:val="16"/>
      </w:rPr>
      <w:tab/>
    </w:r>
    <w:r w:rsidRPr="00ED5C25">
      <w:rPr>
        <w:color w:val="0084C9"/>
        <w:sz w:val="16"/>
        <w:szCs w:val="16"/>
      </w:rPr>
      <w:fldChar w:fldCharType="begin"/>
    </w:r>
    <w:r w:rsidRPr="00ED5C25">
      <w:rPr>
        <w:color w:val="0084C9"/>
        <w:sz w:val="16"/>
        <w:szCs w:val="16"/>
      </w:rPr>
      <w:instrText xml:space="preserve"> PAGE   \* MERGEFORMAT </w:instrText>
    </w:r>
    <w:r w:rsidRPr="00ED5C25">
      <w:rPr>
        <w:color w:val="0084C9"/>
        <w:sz w:val="16"/>
        <w:szCs w:val="16"/>
      </w:rPr>
      <w:fldChar w:fldCharType="separate"/>
    </w:r>
    <w:r w:rsidR="008A3475">
      <w:rPr>
        <w:noProof/>
        <w:color w:val="0084C9"/>
        <w:sz w:val="16"/>
        <w:szCs w:val="16"/>
      </w:rPr>
      <w:t>48</w:t>
    </w:r>
    <w:r w:rsidRPr="00ED5C25">
      <w:rPr>
        <w:color w:val="0084C9"/>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F70B38" w14:textId="77777777" w:rsidR="00E169B4" w:rsidRDefault="00E169B4">
    <w:r>
      <w:c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B5DA300" w14:textId="77777777" w:rsidR="00E169B4" w:rsidRDefault="00E169B4" w:rsidP="00D024B8">
      <w:pPr>
        <w:spacing w:before="0" w:line="240" w:lineRule="auto"/>
      </w:pPr>
      <w:r>
        <w:separator/>
      </w:r>
    </w:p>
    <w:p w14:paraId="4242F14B" w14:textId="77777777" w:rsidR="00E169B4" w:rsidRDefault="00E169B4"/>
    <w:p w14:paraId="1D2FB03A" w14:textId="77777777" w:rsidR="00E169B4" w:rsidRDefault="00E169B4" w:rsidP="00DE17D2"/>
  </w:footnote>
  <w:footnote w:type="continuationSeparator" w:id="0">
    <w:p w14:paraId="0F59A270" w14:textId="77777777" w:rsidR="00E169B4" w:rsidRDefault="00E169B4" w:rsidP="00D024B8">
      <w:pPr>
        <w:spacing w:before="0" w:line="240" w:lineRule="auto"/>
      </w:pPr>
      <w:r>
        <w:continuationSeparator/>
      </w:r>
    </w:p>
    <w:p w14:paraId="7CB960E0" w14:textId="77777777" w:rsidR="00E169B4" w:rsidRDefault="00E169B4"/>
    <w:p w14:paraId="6EC6686F" w14:textId="77777777" w:rsidR="00E169B4" w:rsidRDefault="00E169B4" w:rsidP="00DE17D2"/>
  </w:footnote>
  <w:footnote w:id="1"/>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F9F373" w14:textId="77777777" w:rsidR="00E169B4" w:rsidRDefault="00E169B4">
    <w:pPr>
      <w:pStyle w:val="Header"/>
    </w:pPr>
    <w:r>
      <w:rPr>
        <w:noProof/>
      </w:rPr>
      <w:drawing>
        <wp:anchor distT="0" distB="0" distL="114300" distR="114300" simplePos="0" relativeHeight="251657728" behindDoc="1" locked="0" layoutInCell="0" allowOverlap="1" wp14:anchorId="68D153F4" wp14:editId="418E9CDE">
          <wp:simplePos x="0" y="0"/>
          <wp:positionH relativeFrom="page">
            <wp:posOffset>6840855</wp:posOffset>
          </wp:positionH>
          <wp:positionV relativeFrom="page">
            <wp:posOffset>0</wp:posOffset>
          </wp:positionV>
          <wp:extent cx="720090" cy="10692130"/>
          <wp:effectExtent l="0" t="0" r="0" b="0"/>
          <wp:wrapNone/>
          <wp:docPr id="6" name="Picture 6" descr="Energex Side Bar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descr="Energex Side Bar 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90" cy="106921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8F801E" w14:textId="77777777" w:rsidR="00E169B4" w:rsidRDefault="00E169B4">
    <w:pPr>
      <w:pStyle w:val="Header"/>
    </w:pPr>
    <w:r>
      <w:rPr>
        <w:noProof/>
      </w:rPr>
      <w:drawing>
        <wp:anchor distT="0" distB="0" distL="114300" distR="114300" simplePos="0" relativeHeight="251656704" behindDoc="1" locked="0" layoutInCell="0" allowOverlap="1" wp14:anchorId="214EC9D3" wp14:editId="66A17133">
          <wp:simplePos x="0" y="0"/>
          <wp:positionH relativeFrom="page">
            <wp:posOffset>0</wp:posOffset>
          </wp:positionH>
          <wp:positionV relativeFrom="page">
            <wp:posOffset>0</wp:posOffset>
          </wp:positionV>
          <wp:extent cx="720090" cy="10692130"/>
          <wp:effectExtent l="0" t="0" r="0" b="0"/>
          <wp:wrapNone/>
          <wp:docPr id="7" name="Picture 7" descr="Energex Side Bar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Energex Side Bar 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90" cy="106921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B9D396" w14:textId="77777777" w:rsidR="00E169B4" w:rsidRDefault="00E169B4">
    <w:r>
      <w:c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F99681B6"/>
    <w:lvl w:ilvl="0">
      <w:start w:val="1"/>
      <w:numFmt w:val="bullet"/>
      <w:pStyle w:val="ListBullet5"/>
      <w:lvlText w:val="-"/>
      <w:lvlJc w:val="left"/>
      <w:pPr>
        <w:ind w:left="1920" w:hanging="360"/>
      </w:pPr>
      <w:rPr>
        <w:rFonts w:ascii="Arial" w:hAnsi="Arial" w:hint="default"/>
        <w:color w:val="auto"/>
      </w:rPr>
    </w:lvl>
  </w:abstractNum>
  <w:abstractNum w:abstractNumId="1">
    <w:nsid w:val="FFFFFF81"/>
    <w:multiLevelType w:val="singleLevel"/>
    <w:tmpl w:val="25989E92"/>
    <w:lvl w:ilvl="0">
      <w:start w:val="1"/>
      <w:numFmt w:val="bullet"/>
      <w:pStyle w:val="ListBullet4"/>
      <w:lvlText w:val="−"/>
      <w:lvlJc w:val="left"/>
      <w:pPr>
        <w:ind w:left="1637" w:hanging="360"/>
      </w:pPr>
      <w:rPr>
        <w:rFonts w:ascii="Arial" w:hAnsi="Arial" w:hint="default"/>
        <w:b w:val="0"/>
        <w:i w:val="0"/>
        <w:color w:val="000000"/>
      </w:rPr>
    </w:lvl>
  </w:abstractNum>
  <w:abstractNum w:abstractNumId="2">
    <w:nsid w:val="FFFFFF82"/>
    <w:multiLevelType w:val="singleLevel"/>
    <w:tmpl w:val="DA5A591A"/>
    <w:lvl w:ilvl="0">
      <w:start w:val="1"/>
      <w:numFmt w:val="bullet"/>
      <w:pStyle w:val="ListBullet3"/>
      <w:lvlText w:val="•"/>
      <w:lvlJc w:val="left"/>
      <w:pPr>
        <w:ind w:left="1352" w:hanging="360"/>
      </w:pPr>
      <w:rPr>
        <w:rFonts w:ascii="Arial" w:hAnsi="Arial" w:hint="default"/>
        <w:b w:val="0"/>
        <w:i w:val="0"/>
        <w:color w:val="000000"/>
      </w:rPr>
    </w:lvl>
  </w:abstractNum>
  <w:abstractNum w:abstractNumId="3">
    <w:nsid w:val="FFFFFF83"/>
    <w:multiLevelType w:val="singleLevel"/>
    <w:tmpl w:val="3882411A"/>
    <w:lvl w:ilvl="0">
      <w:start w:val="1"/>
      <w:numFmt w:val="bullet"/>
      <w:pStyle w:val="ListBullet2"/>
      <w:lvlText w:val="◦"/>
      <w:lvlJc w:val="left"/>
      <w:pPr>
        <w:ind w:left="1069" w:hanging="360"/>
      </w:pPr>
      <w:rPr>
        <w:rFonts w:ascii="Arial Bold" w:hAnsi="Arial Bold" w:hint="default"/>
        <w:b/>
        <w:i w:val="0"/>
        <w:color w:val="000000"/>
        <w14:shadow w14:blurRad="0" w14:dist="0" w14:dir="0" w14:sx="0" w14:sy="0" w14:kx="0" w14:ky="0" w14:algn="none">
          <w14:srgbClr w14:val="000000"/>
        </w14:shadow>
        <w14:textOutline w14:w="0" w14:cap="rnd" w14:cmpd="sng" w14:algn="ctr">
          <w14:noFill/>
          <w14:prstDash w14:val="solid"/>
          <w14:bevel/>
        </w14:textOutline>
      </w:rPr>
    </w:lvl>
  </w:abstractNum>
  <w:abstractNum w:abstractNumId="4">
    <w:nsid w:val="FFFFFF88"/>
    <w:multiLevelType w:val="singleLevel"/>
    <w:tmpl w:val="78CCB898"/>
    <w:lvl w:ilvl="0">
      <w:start w:val="1"/>
      <w:numFmt w:val="decimal"/>
      <w:pStyle w:val="ListNumber"/>
      <w:lvlText w:val="%1."/>
      <w:lvlJc w:val="left"/>
      <w:pPr>
        <w:tabs>
          <w:tab w:val="num" w:pos="360"/>
        </w:tabs>
        <w:ind w:left="360" w:hanging="360"/>
      </w:pPr>
    </w:lvl>
  </w:abstractNum>
  <w:abstractNum w:abstractNumId="5">
    <w:nsid w:val="024C431F"/>
    <w:multiLevelType w:val="hybridMultilevel"/>
    <w:tmpl w:val="44E8EDCE"/>
    <w:lvl w:ilvl="0" w:tplc="AE7EC7EA">
      <w:start w:val="1"/>
      <w:numFmt w:val="lowerLetter"/>
      <w:pStyle w:val="ListLetter"/>
      <w:lvlText w:val="%1)"/>
      <w:lvlJc w:val="left"/>
      <w:pPr>
        <w:ind w:left="1211" w:hanging="360"/>
      </w:pPr>
      <w:rPr>
        <w:color w:val="auto"/>
      </w:rPr>
    </w:lvl>
    <w:lvl w:ilvl="1" w:tplc="0C090003">
      <w:start w:val="1"/>
      <w:numFmt w:val="bullet"/>
      <w:lvlText w:val="o"/>
      <w:lvlJc w:val="left"/>
      <w:pPr>
        <w:ind w:left="2291" w:hanging="360"/>
      </w:pPr>
      <w:rPr>
        <w:rFonts w:ascii="Courier New" w:hAnsi="Courier New" w:cs="Courier New" w:hint="default"/>
      </w:rPr>
    </w:lvl>
    <w:lvl w:ilvl="2" w:tplc="0C090005">
      <w:start w:val="1"/>
      <w:numFmt w:val="bullet"/>
      <w:lvlText w:val=""/>
      <w:lvlJc w:val="left"/>
      <w:pPr>
        <w:ind w:left="3011" w:hanging="360"/>
      </w:pPr>
      <w:rPr>
        <w:rFonts w:ascii="Wingdings" w:hAnsi="Wingdings" w:hint="default"/>
      </w:rPr>
    </w:lvl>
    <w:lvl w:ilvl="3" w:tplc="0C090001">
      <w:start w:val="1"/>
      <w:numFmt w:val="bullet"/>
      <w:lvlText w:val=""/>
      <w:lvlJc w:val="left"/>
      <w:pPr>
        <w:ind w:left="3731" w:hanging="360"/>
      </w:pPr>
      <w:rPr>
        <w:rFonts w:ascii="Symbol" w:hAnsi="Symbol" w:hint="default"/>
      </w:rPr>
    </w:lvl>
    <w:lvl w:ilvl="4" w:tplc="0C090003">
      <w:start w:val="1"/>
      <w:numFmt w:val="bullet"/>
      <w:lvlText w:val="o"/>
      <w:lvlJc w:val="left"/>
      <w:pPr>
        <w:ind w:left="4451" w:hanging="360"/>
      </w:pPr>
      <w:rPr>
        <w:rFonts w:ascii="Courier New" w:hAnsi="Courier New" w:cs="Courier New" w:hint="default"/>
      </w:rPr>
    </w:lvl>
    <w:lvl w:ilvl="5" w:tplc="0C090005">
      <w:start w:val="1"/>
      <w:numFmt w:val="bullet"/>
      <w:lvlText w:val=""/>
      <w:lvlJc w:val="left"/>
      <w:pPr>
        <w:ind w:left="5171" w:hanging="360"/>
      </w:pPr>
      <w:rPr>
        <w:rFonts w:ascii="Wingdings" w:hAnsi="Wingdings" w:hint="default"/>
      </w:rPr>
    </w:lvl>
    <w:lvl w:ilvl="6" w:tplc="0C090001">
      <w:start w:val="1"/>
      <w:numFmt w:val="bullet"/>
      <w:lvlText w:val=""/>
      <w:lvlJc w:val="left"/>
      <w:pPr>
        <w:ind w:left="5891" w:hanging="360"/>
      </w:pPr>
      <w:rPr>
        <w:rFonts w:ascii="Symbol" w:hAnsi="Symbol" w:hint="default"/>
      </w:rPr>
    </w:lvl>
    <w:lvl w:ilvl="7" w:tplc="0C090003">
      <w:start w:val="1"/>
      <w:numFmt w:val="bullet"/>
      <w:lvlText w:val="o"/>
      <w:lvlJc w:val="left"/>
      <w:pPr>
        <w:ind w:left="6611" w:hanging="360"/>
      </w:pPr>
      <w:rPr>
        <w:rFonts w:ascii="Courier New" w:hAnsi="Courier New" w:cs="Courier New" w:hint="default"/>
      </w:rPr>
    </w:lvl>
    <w:lvl w:ilvl="8" w:tplc="0C090005">
      <w:start w:val="1"/>
      <w:numFmt w:val="bullet"/>
      <w:lvlText w:val=""/>
      <w:lvlJc w:val="left"/>
      <w:pPr>
        <w:ind w:left="7331" w:hanging="360"/>
      </w:pPr>
      <w:rPr>
        <w:rFonts w:ascii="Wingdings" w:hAnsi="Wingdings" w:hint="default"/>
      </w:rPr>
    </w:lvl>
  </w:abstractNum>
  <w:abstractNum w:abstractNumId="6">
    <w:nsid w:val="0B8801B0"/>
    <w:multiLevelType w:val="multilevel"/>
    <w:tmpl w:val="31982420"/>
    <w:styleLink w:val="MENumber"/>
    <w:lvl w:ilvl="0">
      <w:start w:val="1"/>
      <w:numFmt w:val="decimal"/>
      <w:pStyle w:val="MENumber1"/>
      <w:lvlText w:val="%1."/>
      <w:lvlJc w:val="left"/>
      <w:pPr>
        <w:ind w:left="680" w:hanging="680"/>
      </w:pPr>
      <w:rPr>
        <w:rFonts w:hint="default"/>
      </w:rPr>
    </w:lvl>
    <w:lvl w:ilvl="1">
      <w:start w:val="1"/>
      <w:numFmt w:val="lowerLetter"/>
      <w:pStyle w:val="MENumber2"/>
      <w:lvlText w:val="(%2)"/>
      <w:lvlJc w:val="left"/>
      <w:pPr>
        <w:ind w:left="1360" w:hanging="680"/>
      </w:pPr>
      <w:rPr>
        <w:rFonts w:hint="default"/>
      </w:rPr>
    </w:lvl>
    <w:lvl w:ilvl="2">
      <w:start w:val="1"/>
      <w:numFmt w:val="lowerRoman"/>
      <w:pStyle w:val="MENumber3"/>
      <w:lvlText w:val="(%3)"/>
      <w:lvlJc w:val="left"/>
      <w:pPr>
        <w:ind w:left="2040" w:hanging="680"/>
      </w:pPr>
      <w:rPr>
        <w:rFonts w:hint="default"/>
      </w:rPr>
    </w:lvl>
    <w:lvl w:ilvl="3">
      <w:start w:val="1"/>
      <w:numFmt w:val="upperLetter"/>
      <w:pStyle w:val="MENumber4"/>
      <w:lvlText w:val="(%4)"/>
      <w:lvlJc w:val="left"/>
      <w:pPr>
        <w:ind w:left="2720" w:hanging="680"/>
      </w:pPr>
      <w:rPr>
        <w:rFonts w:hint="default"/>
      </w:rPr>
    </w:lvl>
    <w:lvl w:ilvl="4">
      <w:start w:val="1"/>
      <w:numFmt w:val="upperRoman"/>
      <w:pStyle w:val="MENumber5"/>
      <w:lvlText w:val="(%5)"/>
      <w:lvlJc w:val="left"/>
      <w:pPr>
        <w:ind w:left="3400" w:hanging="680"/>
      </w:pPr>
      <w:rPr>
        <w:rFonts w:hint="default"/>
      </w:rPr>
    </w:lvl>
    <w:lvl w:ilvl="5">
      <w:start w:val="1"/>
      <w:numFmt w:val="decimal"/>
      <w:pStyle w:val="MENumber6"/>
      <w:lvlText w:val="(%6)"/>
      <w:lvlJc w:val="left"/>
      <w:pPr>
        <w:ind w:left="4080" w:hanging="680"/>
      </w:pPr>
      <w:rPr>
        <w:rFonts w:hint="default"/>
      </w:rPr>
    </w:lvl>
    <w:lvl w:ilvl="6">
      <w:start w:val="1"/>
      <w:numFmt w:val="upperLetter"/>
      <w:pStyle w:val="MENumber7"/>
      <w:lvlText w:val="%7."/>
      <w:lvlJc w:val="left"/>
      <w:pPr>
        <w:ind w:left="4760" w:hanging="680"/>
      </w:pPr>
      <w:rPr>
        <w:rFonts w:hint="default"/>
      </w:rPr>
    </w:lvl>
    <w:lvl w:ilvl="7">
      <w:start w:val="1"/>
      <w:numFmt w:val="upperRoman"/>
      <w:pStyle w:val="MENumber8"/>
      <w:lvlText w:val="%8."/>
      <w:lvlJc w:val="left"/>
      <w:pPr>
        <w:ind w:left="5443" w:hanging="683"/>
      </w:pPr>
      <w:rPr>
        <w:rFonts w:hint="default"/>
      </w:rPr>
    </w:lvl>
    <w:lvl w:ilvl="8">
      <w:start w:val="1"/>
      <w:numFmt w:val="lowerLetter"/>
      <w:pStyle w:val="MENumber9"/>
      <w:lvlText w:val="%9."/>
      <w:lvlJc w:val="left"/>
      <w:pPr>
        <w:ind w:left="6124" w:hanging="681"/>
      </w:pPr>
      <w:rPr>
        <w:rFonts w:hint="default"/>
      </w:rPr>
    </w:lvl>
  </w:abstractNum>
  <w:abstractNum w:abstractNumId="7">
    <w:nsid w:val="0CA26562"/>
    <w:multiLevelType w:val="multilevel"/>
    <w:tmpl w:val="BFEEBC40"/>
    <w:styleLink w:val="MENoIndent"/>
    <w:lvl w:ilvl="0">
      <w:start w:val="1"/>
      <w:numFmt w:val="decimal"/>
      <w:pStyle w:val="MENoIndent1"/>
      <w:suff w:val="nothing"/>
      <w:lvlText w:val="%1."/>
      <w:lvlJc w:val="left"/>
      <w:pPr>
        <w:ind w:left="0" w:firstLine="0"/>
      </w:pPr>
      <w:rPr>
        <w:rFonts w:hint="default"/>
      </w:rPr>
    </w:lvl>
    <w:lvl w:ilvl="1">
      <w:start w:val="1"/>
      <w:numFmt w:val="decimal"/>
      <w:pStyle w:val="MENoIndent2"/>
      <w:suff w:val="nothing"/>
      <w:lvlText w:val="%1.%2"/>
      <w:lvlJc w:val="left"/>
      <w:pPr>
        <w:ind w:left="0" w:firstLine="0"/>
      </w:pPr>
      <w:rPr>
        <w:rFonts w:hint="default"/>
      </w:rPr>
    </w:lvl>
    <w:lvl w:ilvl="2">
      <w:start w:val="1"/>
      <w:numFmt w:val="lowerLetter"/>
      <w:pStyle w:val="MENoIndent3"/>
      <w:suff w:val="nothing"/>
      <w:lvlText w:val="(%3)"/>
      <w:lvlJc w:val="left"/>
      <w:pPr>
        <w:ind w:left="0" w:firstLine="0"/>
      </w:pPr>
      <w:rPr>
        <w:rFonts w:hint="default"/>
      </w:rPr>
    </w:lvl>
    <w:lvl w:ilvl="3">
      <w:start w:val="1"/>
      <w:numFmt w:val="lowerRoman"/>
      <w:pStyle w:val="MENoIndent4"/>
      <w:suff w:val="nothing"/>
      <w:lvlText w:val="(%4)"/>
      <w:lvlJc w:val="left"/>
      <w:pPr>
        <w:ind w:left="0" w:firstLine="0"/>
      </w:pPr>
      <w:rPr>
        <w:rFonts w:hint="default"/>
      </w:rPr>
    </w:lvl>
    <w:lvl w:ilvl="4">
      <w:start w:val="1"/>
      <w:numFmt w:val="upperLetter"/>
      <w:pStyle w:val="MENoIndent5"/>
      <w:suff w:val="nothing"/>
      <w:lvlText w:val="(%5)"/>
      <w:lvlJc w:val="left"/>
      <w:pPr>
        <w:ind w:left="0" w:firstLine="0"/>
      </w:pPr>
      <w:rPr>
        <w:rFonts w:hint="default"/>
      </w:rPr>
    </w:lvl>
    <w:lvl w:ilvl="5">
      <w:start w:val="1"/>
      <w:numFmt w:val="upperRoman"/>
      <w:pStyle w:val="MENoIndent6"/>
      <w:suff w:val="nothing"/>
      <w:lvlText w:val="(%6)"/>
      <w:lvlJc w:val="left"/>
      <w:pPr>
        <w:ind w:left="0" w:firstLine="0"/>
      </w:pPr>
      <w:rPr>
        <w:rFonts w:hint="default"/>
      </w:rPr>
    </w:lvl>
    <w:lvl w:ilvl="6">
      <w:start w:val="1"/>
      <w:numFmt w:val="decimal"/>
      <w:pStyle w:val="MENoIndent7"/>
      <w:suff w:val="nothing"/>
      <w:lvlText w:val="(%7)"/>
      <w:lvlJc w:val="left"/>
      <w:pPr>
        <w:ind w:left="0" w:firstLine="0"/>
      </w:pPr>
      <w:rPr>
        <w:rFonts w:hint="default"/>
      </w:rPr>
    </w:lvl>
    <w:lvl w:ilvl="7">
      <w:start w:val="1"/>
      <w:numFmt w:val="upperLetter"/>
      <w:pStyle w:val="MENoIndent8"/>
      <w:suff w:val="nothing"/>
      <w:lvlText w:val="%8."/>
      <w:lvlJc w:val="left"/>
      <w:pPr>
        <w:ind w:left="0" w:firstLine="0"/>
      </w:pPr>
      <w:rPr>
        <w:rFonts w:hint="default"/>
      </w:rPr>
    </w:lvl>
    <w:lvl w:ilvl="8">
      <w:start w:val="1"/>
      <w:numFmt w:val="upperRoman"/>
      <w:pStyle w:val="MENoIndent9"/>
      <w:suff w:val="nothing"/>
      <w:lvlText w:val="%9."/>
      <w:lvlJc w:val="left"/>
      <w:pPr>
        <w:ind w:left="0" w:firstLine="0"/>
      </w:pPr>
      <w:rPr>
        <w:rFonts w:hint="default"/>
      </w:rPr>
    </w:lvl>
  </w:abstractNum>
  <w:abstractNum w:abstractNumId="8">
    <w:nsid w:val="1A0556FC"/>
    <w:multiLevelType w:val="multilevel"/>
    <w:tmpl w:val="D4682A9A"/>
    <w:styleLink w:val="Legal"/>
    <w:lvl w:ilvl="0">
      <w:start w:val="1"/>
      <w:numFmt w:val="decimal"/>
      <w:pStyle w:val="Legal1"/>
      <w:lvlText w:val="%1."/>
      <w:lvlJc w:val="left"/>
      <w:pPr>
        <w:ind w:left="680" w:hanging="680"/>
      </w:pPr>
      <w:rPr>
        <w:rFonts w:hint="default"/>
      </w:rPr>
    </w:lvl>
    <w:lvl w:ilvl="1">
      <w:start w:val="1"/>
      <w:numFmt w:val="decimal"/>
      <w:pStyle w:val="Legal2"/>
      <w:lvlText w:val="%1.%2"/>
      <w:lvlJc w:val="left"/>
      <w:pPr>
        <w:ind w:left="680" w:hanging="680"/>
      </w:pPr>
      <w:rPr>
        <w:rFonts w:hint="default"/>
      </w:rPr>
    </w:lvl>
    <w:lvl w:ilvl="2">
      <w:start w:val="1"/>
      <w:numFmt w:val="decimal"/>
      <w:pStyle w:val="Legal3"/>
      <w:lvlText w:val="%1.%2.%3"/>
      <w:lvlJc w:val="left"/>
      <w:pPr>
        <w:ind w:left="680" w:hanging="680"/>
      </w:pPr>
      <w:rPr>
        <w:rFonts w:hint="default"/>
      </w:rPr>
    </w:lvl>
    <w:lvl w:ilvl="3">
      <w:start w:val="1"/>
      <w:numFmt w:val="decimal"/>
      <w:pStyle w:val="Legal4"/>
      <w:lvlText w:val="%1.%2.%3.%4"/>
      <w:lvlJc w:val="left"/>
      <w:pPr>
        <w:ind w:left="680" w:hanging="680"/>
      </w:pPr>
      <w:rPr>
        <w:rFonts w:hint="default"/>
      </w:rPr>
    </w:lvl>
    <w:lvl w:ilvl="4">
      <w:start w:val="1"/>
      <w:numFmt w:val="decimal"/>
      <w:pStyle w:val="Legal5"/>
      <w:lvlText w:val="%1.%2.%3.%4.%5"/>
      <w:lvlJc w:val="left"/>
      <w:pPr>
        <w:ind w:left="680" w:hanging="680"/>
      </w:pPr>
      <w:rPr>
        <w:rFonts w:hint="default"/>
      </w:rPr>
    </w:lvl>
    <w:lvl w:ilvl="5">
      <w:start w:val="1"/>
      <w:numFmt w:val="decimal"/>
      <w:pStyle w:val="Legal6"/>
      <w:lvlText w:val="%1.%2.%3.%4.%5.%6"/>
      <w:lvlJc w:val="left"/>
      <w:pPr>
        <w:ind w:left="680" w:hanging="680"/>
      </w:pPr>
      <w:rPr>
        <w:rFonts w:hint="default"/>
      </w:rPr>
    </w:lvl>
    <w:lvl w:ilvl="6">
      <w:start w:val="1"/>
      <w:numFmt w:val="decimal"/>
      <w:pStyle w:val="Legal7"/>
      <w:lvlText w:val="%1.%2.%3.%4.%5.%6.%7"/>
      <w:lvlJc w:val="left"/>
      <w:pPr>
        <w:ind w:left="680" w:hanging="680"/>
      </w:pPr>
      <w:rPr>
        <w:rFonts w:hint="default"/>
      </w:rPr>
    </w:lvl>
    <w:lvl w:ilvl="7">
      <w:start w:val="1"/>
      <w:numFmt w:val="decimal"/>
      <w:pStyle w:val="Legal8"/>
      <w:lvlText w:val="%1.%2.%3.%4.%5.%6.%7.%8"/>
      <w:lvlJc w:val="left"/>
      <w:pPr>
        <w:ind w:left="680" w:hanging="680"/>
      </w:pPr>
      <w:rPr>
        <w:rFonts w:hint="default"/>
      </w:rPr>
    </w:lvl>
    <w:lvl w:ilvl="8">
      <w:start w:val="1"/>
      <w:numFmt w:val="decimal"/>
      <w:pStyle w:val="Legal9"/>
      <w:lvlText w:val="%1.%2.%3.%4.%5.%6.%7.%8.%9"/>
      <w:lvlJc w:val="left"/>
      <w:pPr>
        <w:ind w:left="680" w:hanging="680"/>
      </w:pPr>
      <w:rPr>
        <w:rFonts w:hint="default"/>
      </w:rPr>
    </w:lvl>
  </w:abstractNum>
  <w:abstractNum w:abstractNumId="9">
    <w:nsid w:val="1FCA2E26"/>
    <w:multiLevelType w:val="hybridMultilevel"/>
    <w:tmpl w:val="4AFE897A"/>
    <w:lvl w:ilvl="0" w:tplc="81B0B1A8">
      <w:start w:val="1"/>
      <w:numFmt w:val="bullet"/>
      <w:pStyle w:val="bulletslevel2"/>
      <w:lvlText w:val="-"/>
      <w:lvlJc w:val="left"/>
      <w:pPr>
        <w:ind w:left="1571" w:hanging="360"/>
      </w:pPr>
      <w:rPr>
        <w:rFonts w:ascii="Arial" w:hAnsi="Arial" w:cs="Times New Roman" w:hint="default"/>
        <w:color w:val="auto"/>
      </w:rPr>
    </w:lvl>
    <w:lvl w:ilvl="1" w:tplc="0C090003">
      <w:start w:val="1"/>
      <w:numFmt w:val="bullet"/>
      <w:lvlText w:val="o"/>
      <w:lvlJc w:val="left"/>
      <w:pPr>
        <w:ind w:left="2291" w:hanging="360"/>
      </w:pPr>
      <w:rPr>
        <w:rFonts w:ascii="Courier New" w:hAnsi="Courier New" w:cs="Courier New" w:hint="default"/>
      </w:rPr>
    </w:lvl>
    <w:lvl w:ilvl="2" w:tplc="0C090005">
      <w:start w:val="1"/>
      <w:numFmt w:val="bullet"/>
      <w:lvlText w:val=""/>
      <w:lvlJc w:val="left"/>
      <w:pPr>
        <w:ind w:left="3011" w:hanging="360"/>
      </w:pPr>
      <w:rPr>
        <w:rFonts w:ascii="Wingdings" w:hAnsi="Wingdings" w:hint="default"/>
      </w:rPr>
    </w:lvl>
    <w:lvl w:ilvl="3" w:tplc="0C090001">
      <w:start w:val="1"/>
      <w:numFmt w:val="bullet"/>
      <w:lvlText w:val=""/>
      <w:lvlJc w:val="left"/>
      <w:pPr>
        <w:ind w:left="3731" w:hanging="360"/>
      </w:pPr>
      <w:rPr>
        <w:rFonts w:ascii="Symbol" w:hAnsi="Symbol" w:hint="default"/>
      </w:rPr>
    </w:lvl>
    <w:lvl w:ilvl="4" w:tplc="0C090003">
      <w:start w:val="1"/>
      <w:numFmt w:val="bullet"/>
      <w:lvlText w:val="o"/>
      <w:lvlJc w:val="left"/>
      <w:pPr>
        <w:ind w:left="4451" w:hanging="360"/>
      </w:pPr>
      <w:rPr>
        <w:rFonts w:ascii="Courier New" w:hAnsi="Courier New" w:cs="Courier New" w:hint="default"/>
      </w:rPr>
    </w:lvl>
    <w:lvl w:ilvl="5" w:tplc="0C090005">
      <w:start w:val="1"/>
      <w:numFmt w:val="bullet"/>
      <w:lvlText w:val=""/>
      <w:lvlJc w:val="left"/>
      <w:pPr>
        <w:ind w:left="5171" w:hanging="360"/>
      </w:pPr>
      <w:rPr>
        <w:rFonts w:ascii="Wingdings" w:hAnsi="Wingdings" w:hint="default"/>
      </w:rPr>
    </w:lvl>
    <w:lvl w:ilvl="6" w:tplc="0C090001">
      <w:start w:val="1"/>
      <w:numFmt w:val="bullet"/>
      <w:lvlText w:val=""/>
      <w:lvlJc w:val="left"/>
      <w:pPr>
        <w:ind w:left="5891" w:hanging="360"/>
      </w:pPr>
      <w:rPr>
        <w:rFonts w:ascii="Symbol" w:hAnsi="Symbol" w:hint="default"/>
      </w:rPr>
    </w:lvl>
    <w:lvl w:ilvl="7" w:tplc="0C090003">
      <w:start w:val="1"/>
      <w:numFmt w:val="bullet"/>
      <w:lvlText w:val="o"/>
      <w:lvlJc w:val="left"/>
      <w:pPr>
        <w:ind w:left="6611" w:hanging="360"/>
      </w:pPr>
      <w:rPr>
        <w:rFonts w:ascii="Courier New" w:hAnsi="Courier New" w:cs="Courier New" w:hint="default"/>
      </w:rPr>
    </w:lvl>
    <w:lvl w:ilvl="8" w:tplc="0C090005">
      <w:start w:val="1"/>
      <w:numFmt w:val="bullet"/>
      <w:lvlText w:val=""/>
      <w:lvlJc w:val="left"/>
      <w:pPr>
        <w:ind w:left="7331" w:hanging="360"/>
      </w:pPr>
      <w:rPr>
        <w:rFonts w:ascii="Wingdings" w:hAnsi="Wingdings" w:hint="default"/>
      </w:rPr>
    </w:lvl>
  </w:abstractNum>
  <w:abstractNum w:abstractNumId="10">
    <w:nsid w:val="2AF52ED8"/>
    <w:multiLevelType w:val="hybridMultilevel"/>
    <w:tmpl w:val="72243BEA"/>
    <w:lvl w:ilvl="0" w:tplc="D9D8BEC6">
      <w:start w:val="1"/>
      <w:numFmt w:val="bullet"/>
      <w:pStyle w:val="List-Bullets"/>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2CC82767"/>
    <w:multiLevelType w:val="multilevel"/>
    <w:tmpl w:val="BFEEBC40"/>
    <w:numStyleLink w:val="MENoIndent"/>
  </w:abstractNum>
  <w:abstractNum w:abstractNumId="12">
    <w:nsid w:val="2ECE42F6"/>
    <w:multiLevelType w:val="multilevel"/>
    <w:tmpl w:val="03D2F576"/>
    <w:numStyleLink w:val="MEBasic"/>
  </w:abstractNum>
  <w:abstractNum w:abstractNumId="13">
    <w:nsid w:val="32174D45"/>
    <w:multiLevelType w:val="multilevel"/>
    <w:tmpl w:val="EA405680"/>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860" w:hanging="576"/>
      </w:pPr>
      <w:rPr>
        <w:rFonts w:cs="Times New Roman"/>
      </w:rPr>
    </w:lvl>
    <w:lvl w:ilvl="2">
      <w:start w:val="1"/>
      <w:numFmt w:val="decimal"/>
      <w:pStyle w:val="Heading3"/>
      <w:lvlText w:val="%1.%2.%3"/>
      <w:lvlJc w:val="left"/>
      <w:pPr>
        <w:ind w:left="469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14">
    <w:nsid w:val="368960B9"/>
    <w:multiLevelType w:val="multilevel"/>
    <w:tmpl w:val="31982420"/>
    <w:numStyleLink w:val="MENumber"/>
  </w:abstractNum>
  <w:abstractNum w:abstractNumId="15">
    <w:nsid w:val="38F968BE"/>
    <w:multiLevelType w:val="hybridMultilevel"/>
    <w:tmpl w:val="288014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39EB3E05"/>
    <w:multiLevelType w:val="multilevel"/>
    <w:tmpl w:val="03D2F576"/>
    <w:styleLink w:val="MEBasic"/>
    <w:lvl w:ilvl="0">
      <w:start w:val="1"/>
      <w:numFmt w:val="lowerLetter"/>
      <w:pStyle w:val="MEBasic1"/>
      <w:lvlText w:val="(%1)"/>
      <w:lvlJc w:val="left"/>
      <w:pPr>
        <w:ind w:left="680" w:hanging="680"/>
      </w:pPr>
      <w:rPr>
        <w:rFonts w:hint="default"/>
      </w:rPr>
    </w:lvl>
    <w:lvl w:ilvl="1">
      <w:start w:val="1"/>
      <w:numFmt w:val="lowerRoman"/>
      <w:pStyle w:val="MEBasic2"/>
      <w:lvlText w:val="(%2)"/>
      <w:lvlJc w:val="left"/>
      <w:pPr>
        <w:ind w:left="1360" w:hanging="680"/>
      </w:pPr>
      <w:rPr>
        <w:rFonts w:hint="default"/>
      </w:rPr>
    </w:lvl>
    <w:lvl w:ilvl="2">
      <w:start w:val="1"/>
      <w:numFmt w:val="upperLetter"/>
      <w:pStyle w:val="MEBasic3"/>
      <w:lvlText w:val="(%3)"/>
      <w:lvlJc w:val="left"/>
      <w:pPr>
        <w:ind w:left="2040" w:hanging="680"/>
      </w:pPr>
      <w:rPr>
        <w:rFonts w:hint="default"/>
      </w:rPr>
    </w:lvl>
    <w:lvl w:ilvl="3">
      <w:start w:val="1"/>
      <w:numFmt w:val="upperRoman"/>
      <w:pStyle w:val="MEBasic4"/>
      <w:lvlText w:val="(%4)"/>
      <w:lvlJc w:val="left"/>
      <w:pPr>
        <w:ind w:left="2720" w:hanging="680"/>
      </w:pPr>
      <w:rPr>
        <w:rFonts w:hint="default"/>
      </w:rPr>
    </w:lvl>
    <w:lvl w:ilvl="4">
      <w:start w:val="1"/>
      <w:numFmt w:val="decimal"/>
      <w:pStyle w:val="MEBasic5"/>
      <w:lvlText w:val="(%5)"/>
      <w:lvlJc w:val="left"/>
      <w:pPr>
        <w:ind w:left="3400" w:hanging="680"/>
      </w:pPr>
      <w:rPr>
        <w:rFonts w:hint="default"/>
      </w:rPr>
    </w:lvl>
    <w:lvl w:ilvl="5">
      <w:start w:val="1"/>
      <w:numFmt w:val="upperLetter"/>
      <w:pStyle w:val="MEBasic6"/>
      <w:lvlText w:val="%6."/>
      <w:lvlJc w:val="left"/>
      <w:pPr>
        <w:ind w:left="4080" w:hanging="680"/>
      </w:pPr>
      <w:rPr>
        <w:rFonts w:hint="default"/>
      </w:rPr>
    </w:lvl>
    <w:lvl w:ilvl="6">
      <w:start w:val="1"/>
      <w:numFmt w:val="upperRoman"/>
      <w:pStyle w:val="MEBasic7"/>
      <w:lvlText w:val="%7."/>
      <w:lvlJc w:val="left"/>
      <w:pPr>
        <w:ind w:left="4760" w:hanging="680"/>
      </w:pPr>
      <w:rPr>
        <w:rFonts w:hint="default"/>
      </w:rPr>
    </w:lvl>
    <w:lvl w:ilvl="7">
      <w:start w:val="1"/>
      <w:numFmt w:val="lowerLetter"/>
      <w:pStyle w:val="MEBasic8"/>
      <w:lvlText w:val="%8."/>
      <w:lvlJc w:val="left"/>
      <w:pPr>
        <w:ind w:left="5443" w:hanging="683"/>
      </w:pPr>
      <w:rPr>
        <w:rFonts w:hint="default"/>
      </w:rPr>
    </w:lvl>
    <w:lvl w:ilvl="8">
      <w:start w:val="1"/>
      <w:numFmt w:val="lowerRoman"/>
      <w:pStyle w:val="MEBasic9"/>
      <w:lvlText w:val="%9."/>
      <w:lvlJc w:val="left"/>
      <w:pPr>
        <w:ind w:left="6124" w:hanging="681"/>
      </w:pPr>
      <w:rPr>
        <w:rFonts w:hint="default"/>
      </w:rPr>
    </w:lvl>
  </w:abstractNum>
  <w:abstractNum w:abstractNumId="17">
    <w:nsid w:val="45A63FC4"/>
    <w:multiLevelType w:val="hybridMultilevel"/>
    <w:tmpl w:val="897A8148"/>
    <w:lvl w:ilvl="0" w:tplc="F78A29BC">
      <w:start w:val="1"/>
      <w:numFmt w:val="bullet"/>
      <w:pStyle w:val="ListBullet"/>
      <w:lvlText w:val=""/>
      <w:lvlJc w:val="left"/>
      <w:pPr>
        <w:ind w:left="785" w:hanging="360"/>
      </w:pPr>
      <w:rPr>
        <w:rFonts w:ascii="Symbol" w:hAnsi="Symbol" w:hint="default"/>
        <w:color w:val="0081C3"/>
      </w:rPr>
    </w:lvl>
    <w:lvl w:ilvl="1" w:tplc="0C090003" w:tentative="1">
      <w:start w:val="1"/>
      <w:numFmt w:val="bullet"/>
      <w:lvlText w:val="o"/>
      <w:lvlJc w:val="left"/>
      <w:pPr>
        <w:ind w:left="1866" w:hanging="360"/>
      </w:pPr>
      <w:rPr>
        <w:rFonts w:ascii="Courier New" w:hAnsi="Courier New" w:hint="default"/>
      </w:rPr>
    </w:lvl>
    <w:lvl w:ilvl="2" w:tplc="0C090005" w:tentative="1">
      <w:start w:val="1"/>
      <w:numFmt w:val="bullet"/>
      <w:lvlText w:val=""/>
      <w:lvlJc w:val="left"/>
      <w:pPr>
        <w:ind w:left="2586" w:hanging="360"/>
      </w:pPr>
      <w:rPr>
        <w:rFonts w:ascii="Wingdings" w:hAnsi="Wingdings" w:hint="default"/>
      </w:rPr>
    </w:lvl>
    <w:lvl w:ilvl="3" w:tplc="0C090001" w:tentative="1">
      <w:start w:val="1"/>
      <w:numFmt w:val="bullet"/>
      <w:lvlText w:val=""/>
      <w:lvlJc w:val="left"/>
      <w:pPr>
        <w:ind w:left="3306" w:hanging="360"/>
      </w:pPr>
      <w:rPr>
        <w:rFonts w:ascii="Symbol" w:hAnsi="Symbol" w:hint="default"/>
      </w:rPr>
    </w:lvl>
    <w:lvl w:ilvl="4" w:tplc="0C090003" w:tentative="1">
      <w:start w:val="1"/>
      <w:numFmt w:val="bullet"/>
      <w:lvlText w:val="o"/>
      <w:lvlJc w:val="left"/>
      <w:pPr>
        <w:ind w:left="4026" w:hanging="360"/>
      </w:pPr>
      <w:rPr>
        <w:rFonts w:ascii="Courier New" w:hAnsi="Courier New" w:hint="default"/>
      </w:rPr>
    </w:lvl>
    <w:lvl w:ilvl="5" w:tplc="0C090005" w:tentative="1">
      <w:start w:val="1"/>
      <w:numFmt w:val="bullet"/>
      <w:lvlText w:val=""/>
      <w:lvlJc w:val="left"/>
      <w:pPr>
        <w:ind w:left="4746" w:hanging="360"/>
      </w:pPr>
      <w:rPr>
        <w:rFonts w:ascii="Wingdings" w:hAnsi="Wingdings" w:hint="default"/>
      </w:rPr>
    </w:lvl>
    <w:lvl w:ilvl="6" w:tplc="0C090001" w:tentative="1">
      <w:start w:val="1"/>
      <w:numFmt w:val="bullet"/>
      <w:lvlText w:val=""/>
      <w:lvlJc w:val="left"/>
      <w:pPr>
        <w:ind w:left="5466" w:hanging="360"/>
      </w:pPr>
      <w:rPr>
        <w:rFonts w:ascii="Symbol" w:hAnsi="Symbol" w:hint="default"/>
      </w:rPr>
    </w:lvl>
    <w:lvl w:ilvl="7" w:tplc="0C090003" w:tentative="1">
      <w:start w:val="1"/>
      <w:numFmt w:val="bullet"/>
      <w:lvlText w:val="o"/>
      <w:lvlJc w:val="left"/>
      <w:pPr>
        <w:ind w:left="6186" w:hanging="360"/>
      </w:pPr>
      <w:rPr>
        <w:rFonts w:ascii="Courier New" w:hAnsi="Courier New" w:hint="default"/>
      </w:rPr>
    </w:lvl>
    <w:lvl w:ilvl="8" w:tplc="0C090005" w:tentative="1">
      <w:start w:val="1"/>
      <w:numFmt w:val="bullet"/>
      <w:lvlText w:val=""/>
      <w:lvlJc w:val="left"/>
      <w:pPr>
        <w:ind w:left="6906" w:hanging="360"/>
      </w:pPr>
      <w:rPr>
        <w:rFonts w:ascii="Wingdings" w:hAnsi="Wingdings" w:hint="default"/>
      </w:rPr>
    </w:lvl>
  </w:abstractNum>
  <w:abstractNum w:abstractNumId="18">
    <w:nsid w:val="49212D1C"/>
    <w:multiLevelType w:val="hybridMultilevel"/>
    <w:tmpl w:val="46CEC74C"/>
    <w:lvl w:ilvl="0" w:tplc="E50819C6">
      <w:numFmt w:val="bullet"/>
      <w:lvlText w:val="•"/>
      <w:lvlJc w:val="left"/>
      <w:pPr>
        <w:ind w:left="1155" w:hanging="795"/>
      </w:pPr>
      <w:rPr>
        <w:rFonts w:ascii="Arial" w:eastAsia="Calibr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49D4188B"/>
    <w:multiLevelType w:val="hybridMultilevel"/>
    <w:tmpl w:val="0486D0A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0">
    <w:nsid w:val="549C32F0"/>
    <w:multiLevelType w:val="multilevel"/>
    <w:tmpl w:val="0540E31E"/>
    <w:numStyleLink w:val="MELegal"/>
  </w:abstractNum>
  <w:abstractNum w:abstractNumId="21">
    <w:nsid w:val="575B0E81"/>
    <w:multiLevelType w:val="hybridMultilevel"/>
    <w:tmpl w:val="BD4EF044"/>
    <w:lvl w:ilvl="0" w:tplc="06183FD2">
      <w:start w:val="1"/>
      <w:numFmt w:val="bullet"/>
      <w:pStyle w:val="greenbullets"/>
      <w:lvlText w:val="-"/>
      <w:lvlJc w:val="left"/>
      <w:pPr>
        <w:ind w:left="720" w:hanging="360"/>
      </w:pPr>
      <w:rPr>
        <w:rFonts w:ascii="Arial" w:hAnsi="Arial" w:hint="default"/>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5ABE7BF3"/>
    <w:multiLevelType w:val="multilevel"/>
    <w:tmpl w:val="FEB296DE"/>
    <w:lvl w:ilvl="0">
      <w:start w:val="1"/>
      <w:numFmt w:val="bullet"/>
      <w:lvlText w:val=""/>
      <w:lvlJc w:val="left"/>
      <w:pPr>
        <w:tabs>
          <w:tab w:val="num" w:pos="284"/>
        </w:tabs>
        <w:ind w:left="567" w:hanging="567"/>
      </w:pPr>
      <w:rPr>
        <w:rFonts w:ascii="Symbol" w:hAnsi="Symbol" w:hint="default"/>
      </w:rPr>
    </w:lvl>
    <w:lvl w:ilvl="1">
      <w:start w:val="1"/>
      <w:numFmt w:val="bullet"/>
      <w:lvlText w:val="–"/>
      <w:lvlJc w:val="left"/>
      <w:pPr>
        <w:tabs>
          <w:tab w:val="num" w:pos="567"/>
        </w:tabs>
        <w:ind w:left="851" w:hanging="567"/>
      </w:pPr>
      <w:rPr>
        <w:rFonts w:ascii="Garamond" w:hAnsi="Garamond" w:hint="default"/>
      </w:rPr>
    </w:lvl>
    <w:lvl w:ilvl="2">
      <w:start w:val="1"/>
      <w:numFmt w:val="bullet"/>
      <w:lvlText w:val="&gt;"/>
      <w:lvlJc w:val="left"/>
      <w:pPr>
        <w:tabs>
          <w:tab w:val="num" w:pos="284"/>
        </w:tabs>
        <w:ind w:left="851" w:hanging="284"/>
      </w:pPr>
      <w:rPr>
        <w:rFonts w:ascii="Garamond" w:hAnsi="Garamond" w:hint="default"/>
      </w:rPr>
    </w:lvl>
    <w:lvl w:ilvl="3">
      <w:start w:val="1"/>
      <w:numFmt w:val="bullet"/>
      <w:lvlText w:val="-"/>
      <w:lvlJc w:val="left"/>
      <w:pPr>
        <w:tabs>
          <w:tab w:val="num" w:pos="284"/>
        </w:tabs>
        <w:ind w:left="1418" w:hanging="284"/>
      </w:pPr>
      <w:rPr>
        <w:rFonts w:ascii="Garamond" w:hAnsi="Garamond" w:hint="default"/>
      </w:rPr>
    </w:lvl>
    <w:lvl w:ilvl="4">
      <w:start w:val="1"/>
      <w:numFmt w:val="decimal"/>
      <w:lvlText w:val="%1.%2.%3.%4.%5."/>
      <w:lvlJc w:val="left"/>
      <w:pPr>
        <w:tabs>
          <w:tab w:val="num" w:pos="3600"/>
        </w:tabs>
        <w:ind w:left="3312" w:hanging="792"/>
      </w:pPr>
      <w:rPr>
        <w:rFonts w:hint="default"/>
      </w:rPr>
    </w:lvl>
    <w:lvl w:ilvl="5">
      <w:start w:val="1"/>
      <w:numFmt w:val="decimal"/>
      <w:lvlText w:val="%1.%2.%3.%4.%5.%6."/>
      <w:lvlJc w:val="left"/>
      <w:pPr>
        <w:tabs>
          <w:tab w:val="num" w:pos="4320"/>
        </w:tabs>
        <w:ind w:left="3816" w:hanging="936"/>
      </w:pPr>
      <w:rPr>
        <w:rFonts w:hint="default"/>
      </w:rPr>
    </w:lvl>
    <w:lvl w:ilvl="6">
      <w:start w:val="1"/>
      <w:numFmt w:val="decimal"/>
      <w:lvlText w:val="%1.%2.%3.%4.%5.%6.%7."/>
      <w:lvlJc w:val="left"/>
      <w:pPr>
        <w:tabs>
          <w:tab w:val="num" w:pos="5040"/>
        </w:tabs>
        <w:ind w:left="4320" w:hanging="1080"/>
      </w:pPr>
      <w:rPr>
        <w:rFonts w:hint="default"/>
      </w:rPr>
    </w:lvl>
    <w:lvl w:ilvl="7">
      <w:start w:val="1"/>
      <w:numFmt w:val="decimal"/>
      <w:lvlText w:val="%1.%2.%3.%4.%5.%6.%7.%8."/>
      <w:lvlJc w:val="left"/>
      <w:pPr>
        <w:tabs>
          <w:tab w:val="num" w:pos="5400"/>
        </w:tabs>
        <w:ind w:left="4824" w:hanging="1224"/>
      </w:pPr>
      <w:rPr>
        <w:rFonts w:hint="default"/>
      </w:rPr>
    </w:lvl>
    <w:lvl w:ilvl="8">
      <w:start w:val="1"/>
      <w:numFmt w:val="decimal"/>
      <w:lvlText w:val="%1.%2.%3.%4.%5.%6.%7.%8.%9."/>
      <w:lvlJc w:val="left"/>
      <w:pPr>
        <w:tabs>
          <w:tab w:val="num" w:pos="6120"/>
        </w:tabs>
        <w:ind w:left="5400" w:hanging="1440"/>
      </w:pPr>
      <w:rPr>
        <w:rFonts w:hint="default"/>
      </w:rPr>
    </w:lvl>
  </w:abstractNum>
  <w:abstractNum w:abstractNumId="23">
    <w:nsid w:val="619C6409"/>
    <w:multiLevelType w:val="hybridMultilevel"/>
    <w:tmpl w:val="C6B839C2"/>
    <w:lvl w:ilvl="0" w:tplc="2D3CD7B4">
      <w:start w:val="1"/>
      <w:numFmt w:val="bullet"/>
      <w:pStyle w:val="greenbulletslevel1"/>
      <w:lvlText w:val=""/>
      <w:lvlJc w:val="left"/>
      <w:pPr>
        <w:ind w:left="717" w:hanging="360"/>
      </w:pPr>
      <w:rPr>
        <w:rFonts w:ascii="Symbol" w:hAnsi="Symbol" w:hint="default"/>
        <w:color w:val="C4D545"/>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start w:val="1"/>
      <w:numFmt w:val="bullet"/>
      <w:lvlText w:val=""/>
      <w:lvlJc w:val="left"/>
      <w:pPr>
        <w:tabs>
          <w:tab w:val="num" w:pos="2160"/>
        </w:tabs>
        <w:ind w:left="2160" w:hanging="360"/>
      </w:pPr>
      <w:rPr>
        <w:rFonts w:ascii="Wingdings" w:hAnsi="Wingdings" w:hint="default"/>
      </w:rPr>
    </w:lvl>
    <w:lvl w:ilvl="3" w:tplc="0C090001">
      <w:start w:val="1"/>
      <w:numFmt w:val="bullet"/>
      <w:lvlText w:val=""/>
      <w:lvlJc w:val="left"/>
      <w:pPr>
        <w:tabs>
          <w:tab w:val="num" w:pos="2880"/>
        </w:tabs>
        <w:ind w:left="2880" w:hanging="360"/>
      </w:pPr>
      <w:rPr>
        <w:rFonts w:ascii="Symbol" w:hAnsi="Symbol" w:hint="default"/>
      </w:rPr>
    </w:lvl>
    <w:lvl w:ilvl="4" w:tplc="0C090003">
      <w:start w:val="1"/>
      <w:numFmt w:val="bullet"/>
      <w:lvlText w:val="o"/>
      <w:lvlJc w:val="left"/>
      <w:pPr>
        <w:tabs>
          <w:tab w:val="num" w:pos="3600"/>
        </w:tabs>
        <w:ind w:left="3600" w:hanging="360"/>
      </w:pPr>
      <w:rPr>
        <w:rFonts w:ascii="Courier New" w:hAnsi="Courier New" w:cs="Courier New" w:hint="default"/>
      </w:rPr>
    </w:lvl>
    <w:lvl w:ilvl="5" w:tplc="0C090005">
      <w:start w:val="1"/>
      <w:numFmt w:val="bullet"/>
      <w:lvlText w:val=""/>
      <w:lvlJc w:val="left"/>
      <w:pPr>
        <w:tabs>
          <w:tab w:val="num" w:pos="4320"/>
        </w:tabs>
        <w:ind w:left="4320" w:hanging="360"/>
      </w:pPr>
      <w:rPr>
        <w:rFonts w:ascii="Wingdings" w:hAnsi="Wingdings" w:hint="default"/>
      </w:rPr>
    </w:lvl>
    <w:lvl w:ilvl="6" w:tplc="0C090001">
      <w:start w:val="1"/>
      <w:numFmt w:val="bullet"/>
      <w:lvlText w:val=""/>
      <w:lvlJc w:val="left"/>
      <w:pPr>
        <w:tabs>
          <w:tab w:val="num" w:pos="5040"/>
        </w:tabs>
        <w:ind w:left="5040" w:hanging="360"/>
      </w:pPr>
      <w:rPr>
        <w:rFonts w:ascii="Symbol" w:hAnsi="Symbol" w:hint="default"/>
      </w:rPr>
    </w:lvl>
    <w:lvl w:ilvl="7" w:tplc="0C090003">
      <w:start w:val="1"/>
      <w:numFmt w:val="bullet"/>
      <w:lvlText w:val="o"/>
      <w:lvlJc w:val="left"/>
      <w:pPr>
        <w:tabs>
          <w:tab w:val="num" w:pos="5760"/>
        </w:tabs>
        <w:ind w:left="5760" w:hanging="360"/>
      </w:pPr>
      <w:rPr>
        <w:rFonts w:ascii="Courier New" w:hAnsi="Courier New" w:cs="Courier New" w:hint="default"/>
      </w:rPr>
    </w:lvl>
    <w:lvl w:ilvl="8" w:tplc="0C090005">
      <w:start w:val="1"/>
      <w:numFmt w:val="bullet"/>
      <w:lvlText w:val=""/>
      <w:lvlJc w:val="left"/>
      <w:pPr>
        <w:tabs>
          <w:tab w:val="num" w:pos="6480"/>
        </w:tabs>
        <w:ind w:left="6480" w:hanging="360"/>
      </w:pPr>
      <w:rPr>
        <w:rFonts w:ascii="Wingdings" w:hAnsi="Wingdings" w:hint="default"/>
      </w:rPr>
    </w:lvl>
  </w:abstractNum>
  <w:abstractNum w:abstractNumId="24">
    <w:nsid w:val="66713A7F"/>
    <w:multiLevelType w:val="multilevel"/>
    <w:tmpl w:val="D4682A9A"/>
    <w:numStyleLink w:val="Legal"/>
  </w:abstractNum>
  <w:abstractNum w:abstractNumId="25">
    <w:nsid w:val="6D022323"/>
    <w:multiLevelType w:val="multilevel"/>
    <w:tmpl w:val="0540E31E"/>
    <w:styleLink w:val="MELegal"/>
    <w:lvl w:ilvl="0">
      <w:start w:val="1"/>
      <w:numFmt w:val="decimal"/>
      <w:pStyle w:val="MELegal1"/>
      <w:lvlText w:val="%1."/>
      <w:lvlJc w:val="left"/>
      <w:pPr>
        <w:ind w:left="680" w:hanging="680"/>
      </w:pPr>
      <w:rPr>
        <w:rFonts w:hint="default"/>
      </w:rPr>
    </w:lvl>
    <w:lvl w:ilvl="1">
      <w:start w:val="1"/>
      <w:numFmt w:val="decimal"/>
      <w:pStyle w:val="MELegal2"/>
      <w:lvlText w:val="%1.%2"/>
      <w:lvlJc w:val="left"/>
      <w:pPr>
        <w:ind w:left="680" w:hanging="680"/>
      </w:pPr>
      <w:rPr>
        <w:rFonts w:hint="default"/>
      </w:rPr>
    </w:lvl>
    <w:lvl w:ilvl="2">
      <w:start w:val="1"/>
      <w:numFmt w:val="lowerLetter"/>
      <w:pStyle w:val="MELegal3"/>
      <w:lvlText w:val="(%3)"/>
      <w:lvlJc w:val="left"/>
      <w:pPr>
        <w:ind w:left="1361" w:hanging="681"/>
      </w:pPr>
      <w:rPr>
        <w:rFonts w:hint="default"/>
      </w:rPr>
    </w:lvl>
    <w:lvl w:ilvl="3">
      <w:start w:val="1"/>
      <w:numFmt w:val="lowerRoman"/>
      <w:pStyle w:val="MELegal4"/>
      <w:lvlText w:val="(%4)"/>
      <w:lvlJc w:val="left"/>
      <w:pPr>
        <w:ind w:left="2041" w:hanging="680"/>
      </w:pPr>
      <w:rPr>
        <w:rFonts w:hint="default"/>
      </w:rPr>
    </w:lvl>
    <w:lvl w:ilvl="4">
      <w:start w:val="1"/>
      <w:numFmt w:val="upperLetter"/>
      <w:pStyle w:val="MELegal5"/>
      <w:lvlText w:val="(%5)"/>
      <w:lvlJc w:val="left"/>
      <w:pPr>
        <w:tabs>
          <w:tab w:val="num" w:pos="2722"/>
        </w:tabs>
        <w:ind w:left="2722" w:hanging="681"/>
      </w:pPr>
      <w:rPr>
        <w:rFonts w:hint="default"/>
      </w:rPr>
    </w:lvl>
    <w:lvl w:ilvl="5">
      <w:start w:val="1"/>
      <w:numFmt w:val="upperRoman"/>
      <w:pStyle w:val="MELegal6"/>
      <w:lvlText w:val="(%6)"/>
      <w:lvlJc w:val="left"/>
      <w:pPr>
        <w:tabs>
          <w:tab w:val="num" w:pos="3402"/>
        </w:tabs>
        <w:ind w:left="3402" w:hanging="680"/>
      </w:pPr>
      <w:rPr>
        <w:rFonts w:hint="default"/>
      </w:rPr>
    </w:lvl>
    <w:lvl w:ilvl="6">
      <w:start w:val="1"/>
      <w:numFmt w:val="decimal"/>
      <w:pStyle w:val="MELegal7"/>
      <w:lvlText w:val="(%7)"/>
      <w:lvlJc w:val="left"/>
      <w:pPr>
        <w:tabs>
          <w:tab w:val="num" w:pos="4082"/>
        </w:tabs>
        <w:ind w:left="4082" w:hanging="680"/>
      </w:pPr>
      <w:rPr>
        <w:rFonts w:hint="default"/>
      </w:rPr>
    </w:lvl>
    <w:lvl w:ilvl="7">
      <w:start w:val="1"/>
      <w:numFmt w:val="upperLetter"/>
      <w:pStyle w:val="MELegal8"/>
      <w:lvlText w:val="%8."/>
      <w:lvlJc w:val="left"/>
      <w:pPr>
        <w:tabs>
          <w:tab w:val="num" w:pos="4763"/>
        </w:tabs>
        <w:ind w:left="4763" w:hanging="681"/>
      </w:pPr>
      <w:rPr>
        <w:rFonts w:hint="default"/>
      </w:rPr>
    </w:lvl>
    <w:lvl w:ilvl="8">
      <w:start w:val="1"/>
      <w:numFmt w:val="upperRoman"/>
      <w:pStyle w:val="MELegal9"/>
      <w:lvlText w:val="%9."/>
      <w:lvlJc w:val="left"/>
      <w:pPr>
        <w:tabs>
          <w:tab w:val="num" w:pos="5443"/>
        </w:tabs>
        <w:ind w:left="5443" w:hanging="680"/>
      </w:pPr>
      <w:rPr>
        <w:rFonts w:hint="default"/>
      </w:rPr>
    </w:lvl>
  </w:abstractNum>
  <w:abstractNum w:abstractNumId="26">
    <w:nsid w:val="7AE61F82"/>
    <w:multiLevelType w:val="hybridMultilevel"/>
    <w:tmpl w:val="798A1420"/>
    <w:lvl w:ilvl="0" w:tplc="6C2661D0">
      <w:start w:val="1"/>
      <w:numFmt w:val="bullet"/>
      <w:pStyle w:val="Bullet1"/>
      <w:lvlText w:val=""/>
      <w:lvlJc w:val="left"/>
      <w:pPr>
        <w:ind w:left="720" w:hanging="360"/>
      </w:pPr>
      <w:rPr>
        <w:rFonts w:ascii="Symbol" w:hAnsi="Symbol" w:hint="default"/>
        <w:color w:val="023864"/>
        <w:u w:color="02386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3"/>
  </w:num>
  <w:num w:numId="2">
    <w:abstractNumId w:val="13"/>
  </w:num>
  <w:num w:numId="3">
    <w:abstractNumId w:val="3"/>
  </w:num>
  <w:num w:numId="4">
    <w:abstractNumId w:val="2"/>
  </w:num>
  <w:num w:numId="5">
    <w:abstractNumId w:val="1"/>
  </w:num>
  <w:num w:numId="6">
    <w:abstractNumId w:val="0"/>
  </w:num>
  <w:num w:numId="7">
    <w:abstractNumId w:val="4"/>
  </w:num>
  <w:num w:numId="8">
    <w:abstractNumId w:val="17"/>
  </w:num>
  <w:num w:numId="9">
    <w:abstractNumId w:val="21"/>
  </w:num>
  <w:num w:numId="10">
    <w:abstractNumId w:val="23"/>
  </w:num>
  <w:num w:numId="11">
    <w:abstractNumId w:val="9"/>
  </w:num>
  <w:num w:numId="12">
    <w:abstractNumId w:val="5"/>
  </w:num>
  <w:num w:numId="13">
    <w:abstractNumId w:val="22"/>
  </w:num>
  <w:num w:numId="14">
    <w:abstractNumId w:val="10"/>
  </w:num>
  <w:num w:numId="15">
    <w:abstractNumId w:val="26"/>
  </w:num>
  <w:num w:numId="16">
    <w:abstractNumId w:val="15"/>
  </w:num>
  <w:num w:numId="17">
    <w:abstractNumId w:val="18"/>
  </w:num>
  <w:num w:numId="18">
    <w:abstractNumId w:val="19"/>
  </w:num>
  <w:num w:numId="19">
    <w:abstractNumId w:val="25"/>
  </w:num>
  <w:num w:numId="20">
    <w:abstractNumId w:val="16"/>
  </w:num>
  <w:num w:numId="21">
    <w:abstractNumId w:val="7"/>
  </w:num>
  <w:num w:numId="22">
    <w:abstractNumId w:val="6"/>
  </w:num>
  <w:num w:numId="23">
    <w:abstractNumId w:val="8"/>
  </w:num>
  <w:num w:numId="24">
    <w:abstractNumId w:val="24"/>
  </w:num>
  <w:num w:numId="25">
    <w:abstractNumId w:val="12"/>
  </w:num>
  <w:num w:numId="26">
    <w:abstractNumId w:val="20"/>
  </w:num>
  <w:num w:numId="27">
    <w:abstractNumId w:val="11"/>
  </w:num>
  <w:num w:numId="28">
    <w:abstractNumId w:val="14"/>
  </w:num>
  <w:numIdMacAtCleanup w:val="2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nterEllison">
    <w15:presenceInfo w15:providerId="None" w15:userId="MinterEllis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DateAndTime/>
  <w:hideSpellingErrors/>
  <w:hideGrammaticalError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oNotHyphenateCaps/>
  <w:drawingGridHorizontalSpacing w:val="100"/>
  <w:displayHorizontalDrawingGridEvery w:val="2"/>
  <w:displayVerticalDrawingGridEvery w:val="2"/>
  <w:characterSpacingControl w:val="doNotCompress"/>
  <w:hdrShapeDefaults>
    <o:shapedefaults v:ext="edit" spidmax="6145" style="mso-position-vertical-relative:page" o:allowincell="f" o:allowoverlap="f"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a0NDK0MDY0NDAysDAyMTFT0lEKTi0uzszPAykwrAUA4bKx2ywAAAA="/>
  </w:docVars>
  <w:rsids>
    <w:rsidRoot w:val="00796A30"/>
    <w:rsid w:val="00001857"/>
    <w:rsid w:val="00002ADC"/>
    <w:rsid w:val="000056EA"/>
    <w:rsid w:val="000127CA"/>
    <w:rsid w:val="000148F2"/>
    <w:rsid w:val="00017EC3"/>
    <w:rsid w:val="00024472"/>
    <w:rsid w:val="000244F1"/>
    <w:rsid w:val="000258D0"/>
    <w:rsid w:val="00026DB0"/>
    <w:rsid w:val="00036709"/>
    <w:rsid w:val="000505C3"/>
    <w:rsid w:val="000510DD"/>
    <w:rsid w:val="000546E9"/>
    <w:rsid w:val="00054BD7"/>
    <w:rsid w:val="00061BFC"/>
    <w:rsid w:val="0006460D"/>
    <w:rsid w:val="00075629"/>
    <w:rsid w:val="000764B4"/>
    <w:rsid w:val="00077D55"/>
    <w:rsid w:val="0009046C"/>
    <w:rsid w:val="00090655"/>
    <w:rsid w:val="000979B4"/>
    <w:rsid w:val="000A23B1"/>
    <w:rsid w:val="000A7E15"/>
    <w:rsid w:val="000B4024"/>
    <w:rsid w:val="000C23C2"/>
    <w:rsid w:val="000C2523"/>
    <w:rsid w:val="000C624D"/>
    <w:rsid w:val="000C6F00"/>
    <w:rsid w:val="000D0A71"/>
    <w:rsid w:val="000D34D9"/>
    <w:rsid w:val="000E0F78"/>
    <w:rsid w:val="000F02CD"/>
    <w:rsid w:val="000F19ED"/>
    <w:rsid w:val="000F4511"/>
    <w:rsid w:val="000F4F67"/>
    <w:rsid w:val="00111279"/>
    <w:rsid w:val="001123A2"/>
    <w:rsid w:val="00117D1D"/>
    <w:rsid w:val="0012357C"/>
    <w:rsid w:val="00132E4E"/>
    <w:rsid w:val="001403A2"/>
    <w:rsid w:val="00144DCD"/>
    <w:rsid w:val="00147639"/>
    <w:rsid w:val="001501AF"/>
    <w:rsid w:val="0015025A"/>
    <w:rsid w:val="001577A0"/>
    <w:rsid w:val="00157BF8"/>
    <w:rsid w:val="0016024F"/>
    <w:rsid w:val="00162151"/>
    <w:rsid w:val="0016286A"/>
    <w:rsid w:val="00163C0A"/>
    <w:rsid w:val="0016454E"/>
    <w:rsid w:val="00165CA0"/>
    <w:rsid w:val="0017031C"/>
    <w:rsid w:val="001749D2"/>
    <w:rsid w:val="00177A50"/>
    <w:rsid w:val="001836F6"/>
    <w:rsid w:val="00184DE6"/>
    <w:rsid w:val="00187068"/>
    <w:rsid w:val="001876BB"/>
    <w:rsid w:val="00195A46"/>
    <w:rsid w:val="001A0F06"/>
    <w:rsid w:val="001D4D43"/>
    <w:rsid w:val="001E6C70"/>
    <w:rsid w:val="001F0737"/>
    <w:rsid w:val="001F271E"/>
    <w:rsid w:val="001F6C80"/>
    <w:rsid w:val="002056FA"/>
    <w:rsid w:val="00207D45"/>
    <w:rsid w:val="00210FFC"/>
    <w:rsid w:val="00211BA3"/>
    <w:rsid w:val="00220040"/>
    <w:rsid w:val="00220868"/>
    <w:rsid w:val="002216B5"/>
    <w:rsid w:val="00224244"/>
    <w:rsid w:val="00225068"/>
    <w:rsid w:val="00232F15"/>
    <w:rsid w:val="00232F7C"/>
    <w:rsid w:val="002362FE"/>
    <w:rsid w:val="00236528"/>
    <w:rsid w:val="002449AA"/>
    <w:rsid w:val="002523CE"/>
    <w:rsid w:val="0025280B"/>
    <w:rsid w:val="00252CE8"/>
    <w:rsid w:val="00252D9C"/>
    <w:rsid w:val="002542ED"/>
    <w:rsid w:val="00271665"/>
    <w:rsid w:val="0027784D"/>
    <w:rsid w:val="00281D49"/>
    <w:rsid w:val="00283BB2"/>
    <w:rsid w:val="00285DF9"/>
    <w:rsid w:val="00291E36"/>
    <w:rsid w:val="00292516"/>
    <w:rsid w:val="002950A3"/>
    <w:rsid w:val="002A4F23"/>
    <w:rsid w:val="002A7636"/>
    <w:rsid w:val="002A7A99"/>
    <w:rsid w:val="002C5897"/>
    <w:rsid w:val="002C60EB"/>
    <w:rsid w:val="002C67EC"/>
    <w:rsid w:val="002D0839"/>
    <w:rsid w:val="002D0D9E"/>
    <w:rsid w:val="002D1770"/>
    <w:rsid w:val="002D1806"/>
    <w:rsid w:val="002D4022"/>
    <w:rsid w:val="002D4BFE"/>
    <w:rsid w:val="002E3E4F"/>
    <w:rsid w:val="002E4A0F"/>
    <w:rsid w:val="002F13FA"/>
    <w:rsid w:val="002F237B"/>
    <w:rsid w:val="002F598F"/>
    <w:rsid w:val="00300960"/>
    <w:rsid w:val="0030327C"/>
    <w:rsid w:val="00313DBA"/>
    <w:rsid w:val="00337AB0"/>
    <w:rsid w:val="00346B44"/>
    <w:rsid w:val="00355302"/>
    <w:rsid w:val="00357445"/>
    <w:rsid w:val="00360373"/>
    <w:rsid w:val="00363253"/>
    <w:rsid w:val="0036430F"/>
    <w:rsid w:val="0036685F"/>
    <w:rsid w:val="00366A76"/>
    <w:rsid w:val="003710D3"/>
    <w:rsid w:val="00377837"/>
    <w:rsid w:val="00380955"/>
    <w:rsid w:val="0038434E"/>
    <w:rsid w:val="003858BD"/>
    <w:rsid w:val="0039302E"/>
    <w:rsid w:val="0039702B"/>
    <w:rsid w:val="003975B8"/>
    <w:rsid w:val="003A02ED"/>
    <w:rsid w:val="003A343D"/>
    <w:rsid w:val="003A7C6D"/>
    <w:rsid w:val="003B1452"/>
    <w:rsid w:val="003B3600"/>
    <w:rsid w:val="003B5B5D"/>
    <w:rsid w:val="003B6BA4"/>
    <w:rsid w:val="003B7962"/>
    <w:rsid w:val="003D34FF"/>
    <w:rsid w:val="003D7ADA"/>
    <w:rsid w:val="003E3E78"/>
    <w:rsid w:val="003E430C"/>
    <w:rsid w:val="003E749E"/>
    <w:rsid w:val="003F1A8C"/>
    <w:rsid w:val="003F562C"/>
    <w:rsid w:val="003F7CB1"/>
    <w:rsid w:val="00405365"/>
    <w:rsid w:val="00405A1F"/>
    <w:rsid w:val="00405D0A"/>
    <w:rsid w:val="00407A5B"/>
    <w:rsid w:val="00413063"/>
    <w:rsid w:val="00413323"/>
    <w:rsid w:val="00417C9A"/>
    <w:rsid w:val="00424A19"/>
    <w:rsid w:val="00430720"/>
    <w:rsid w:val="00442769"/>
    <w:rsid w:val="00442ADC"/>
    <w:rsid w:val="00452C30"/>
    <w:rsid w:val="00453355"/>
    <w:rsid w:val="004543E1"/>
    <w:rsid w:val="00456137"/>
    <w:rsid w:val="00456DED"/>
    <w:rsid w:val="0045743F"/>
    <w:rsid w:val="00463234"/>
    <w:rsid w:val="00466E80"/>
    <w:rsid w:val="00470D46"/>
    <w:rsid w:val="00474D27"/>
    <w:rsid w:val="00475CC3"/>
    <w:rsid w:val="00477B3C"/>
    <w:rsid w:val="00485275"/>
    <w:rsid w:val="0049056D"/>
    <w:rsid w:val="0049146E"/>
    <w:rsid w:val="00492EDB"/>
    <w:rsid w:val="0049382F"/>
    <w:rsid w:val="004A20B1"/>
    <w:rsid w:val="004A21E8"/>
    <w:rsid w:val="004B1535"/>
    <w:rsid w:val="004B23BF"/>
    <w:rsid w:val="004B3487"/>
    <w:rsid w:val="004B6106"/>
    <w:rsid w:val="004C683F"/>
    <w:rsid w:val="004D2A43"/>
    <w:rsid w:val="004E1737"/>
    <w:rsid w:val="004E3976"/>
    <w:rsid w:val="004F08DB"/>
    <w:rsid w:val="004F3AEE"/>
    <w:rsid w:val="004F3EA4"/>
    <w:rsid w:val="004F40EC"/>
    <w:rsid w:val="004F4A88"/>
    <w:rsid w:val="00502A14"/>
    <w:rsid w:val="00504035"/>
    <w:rsid w:val="005054E6"/>
    <w:rsid w:val="0051246F"/>
    <w:rsid w:val="00513114"/>
    <w:rsid w:val="0051737C"/>
    <w:rsid w:val="00524C70"/>
    <w:rsid w:val="0052624D"/>
    <w:rsid w:val="00527503"/>
    <w:rsid w:val="00531A1B"/>
    <w:rsid w:val="00532928"/>
    <w:rsid w:val="005356F8"/>
    <w:rsid w:val="005423F2"/>
    <w:rsid w:val="00543B14"/>
    <w:rsid w:val="00550C8D"/>
    <w:rsid w:val="0055697C"/>
    <w:rsid w:val="00560F51"/>
    <w:rsid w:val="005615BE"/>
    <w:rsid w:val="00565118"/>
    <w:rsid w:val="00570961"/>
    <w:rsid w:val="0057104B"/>
    <w:rsid w:val="00571894"/>
    <w:rsid w:val="00573DCC"/>
    <w:rsid w:val="00577240"/>
    <w:rsid w:val="0058722A"/>
    <w:rsid w:val="005A6324"/>
    <w:rsid w:val="005A7062"/>
    <w:rsid w:val="005B0500"/>
    <w:rsid w:val="005B5E35"/>
    <w:rsid w:val="005B6AE1"/>
    <w:rsid w:val="005C09AE"/>
    <w:rsid w:val="005C1ADB"/>
    <w:rsid w:val="005C322A"/>
    <w:rsid w:val="005D23C7"/>
    <w:rsid w:val="005D7A96"/>
    <w:rsid w:val="005E04E5"/>
    <w:rsid w:val="005E31A6"/>
    <w:rsid w:val="005F00E8"/>
    <w:rsid w:val="005F276F"/>
    <w:rsid w:val="005F2DB8"/>
    <w:rsid w:val="005F5120"/>
    <w:rsid w:val="005F6533"/>
    <w:rsid w:val="00600D69"/>
    <w:rsid w:val="0060392D"/>
    <w:rsid w:val="006074EE"/>
    <w:rsid w:val="00612B6E"/>
    <w:rsid w:val="00620015"/>
    <w:rsid w:val="00627D44"/>
    <w:rsid w:val="006349CD"/>
    <w:rsid w:val="00642C62"/>
    <w:rsid w:val="0064425B"/>
    <w:rsid w:val="00644D49"/>
    <w:rsid w:val="00650DC5"/>
    <w:rsid w:val="00655EC8"/>
    <w:rsid w:val="006578CB"/>
    <w:rsid w:val="006615A7"/>
    <w:rsid w:val="00666F34"/>
    <w:rsid w:val="00670A9C"/>
    <w:rsid w:val="0067398C"/>
    <w:rsid w:val="00675DE4"/>
    <w:rsid w:val="00680389"/>
    <w:rsid w:val="00682032"/>
    <w:rsid w:val="00686851"/>
    <w:rsid w:val="0069105C"/>
    <w:rsid w:val="00692C4C"/>
    <w:rsid w:val="00694205"/>
    <w:rsid w:val="006A138A"/>
    <w:rsid w:val="006A3B29"/>
    <w:rsid w:val="006A6115"/>
    <w:rsid w:val="006B041D"/>
    <w:rsid w:val="006B3361"/>
    <w:rsid w:val="006B5554"/>
    <w:rsid w:val="006B7BA8"/>
    <w:rsid w:val="006C7B14"/>
    <w:rsid w:val="006D062D"/>
    <w:rsid w:val="006E2E57"/>
    <w:rsid w:val="006F5759"/>
    <w:rsid w:val="007032CB"/>
    <w:rsid w:val="0071250E"/>
    <w:rsid w:val="0071681F"/>
    <w:rsid w:val="00721E4D"/>
    <w:rsid w:val="007246D8"/>
    <w:rsid w:val="0073148B"/>
    <w:rsid w:val="00731D5E"/>
    <w:rsid w:val="00735B05"/>
    <w:rsid w:val="007474DD"/>
    <w:rsid w:val="0075604A"/>
    <w:rsid w:val="00757970"/>
    <w:rsid w:val="00767763"/>
    <w:rsid w:val="00767F4F"/>
    <w:rsid w:val="007774ED"/>
    <w:rsid w:val="00777EE6"/>
    <w:rsid w:val="00795A79"/>
    <w:rsid w:val="00796A30"/>
    <w:rsid w:val="00796DFB"/>
    <w:rsid w:val="007A0FA0"/>
    <w:rsid w:val="007A2AF5"/>
    <w:rsid w:val="007A4FB0"/>
    <w:rsid w:val="007C2137"/>
    <w:rsid w:val="007C7860"/>
    <w:rsid w:val="007D17EB"/>
    <w:rsid w:val="007D68E5"/>
    <w:rsid w:val="007E299D"/>
    <w:rsid w:val="007E3471"/>
    <w:rsid w:val="007F0A0D"/>
    <w:rsid w:val="007F4DF5"/>
    <w:rsid w:val="00802932"/>
    <w:rsid w:val="008134A5"/>
    <w:rsid w:val="0081400E"/>
    <w:rsid w:val="0082073F"/>
    <w:rsid w:val="00820AF5"/>
    <w:rsid w:val="0083090A"/>
    <w:rsid w:val="008318D2"/>
    <w:rsid w:val="008322C9"/>
    <w:rsid w:val="00832485"/>
    <w:rsid w:val="00832A1A"/>
    <w:rsid w:val="00834432"/>
    <w:rsid w:val="00835BF2"/>
    <w:rsid w:val="00841545"/>
    <w:rsid w:val="00843359"/>
    <w:rsid w:val="00844839"/>
    <w:rsid w:val="008608CB"/>
    <w:rsid w:val="00860929"/>
    <w:rsid w:val="008615BB"/>
    <w:rsid w:val="00864F96"/>
    <w:rsid w:val="00865D33"/>
    <w:rsid w:val="00865EA3"/>
    <w:rsid w:val="00867730"/>
    <w:rsid w:val="00870625"/>
    <w:rsid w:val="008724AD"/>
    <w:rsid w:val="00875A31"/>
    <w:rsid w:val="00877B8E"/>
    <w:rsid w:val="00882EF7"/>
    <w:rsid w:val="00886B57"/>
    <w:rsid w:val="00887C8B"/>
    <w:rsid w:val="008A217D"/>
    <w:rsid w:val="008A3475"/>
    <w:rsid w:val="008A4B43"/>
    <w:rsid w:val="008B51A8"/>
    <w:rsid w:val="008C41C1"/>
    <w:rsid w:val="008C71D0"/>
    <w:rsid w:val="008E6016"/>
    <w:rsid w:val="008F454B"/>
    <w:rsid w:val="008F6CC8"/>
    <w:rsid w:val="008F7A39"/>
    <w:rsid w:val="0090085D"/>
    <w:rsid w:val="00905537"/>
    <w:rsid w:val="00913B16"/>
    <w:rsid w:val="00916D7D"/>
    <w:rsid w:val="00924A22"/>
    <w:rsid w:val="00925F4E"/>
    <w:rsid w:val="00926894"/>
    <w:rsid w:val="00931365"/>
    <w:rsid w:val="00933818"/>
    <w:rsid w:val="00935E67"/>
    <w:rsid w:val="00941567"/>
    <w:rsid w:val="00945ED2"/>
    <w:rsid w:val="00952ED1"/>
    <w:rsid w:val="00967DEA"/>
    <w:rsid w:val="009800D0"/>
    <w:rsid w:val="009816F2"/>
    <w:rsid w:val="00982076"/>
    <w:rsid w:val="00982FC5"/>
    <w:rsid w:val="009847BC"/>
    <w:rsid w:val="0098520B"/>
    <w:rsid w:val="0098732F"/>
    <w:rsid w:val="009878D1"/>
    <w:rsid w:val="009A78D0"/>
    <w:rsid w:val="009B3330"/>
    <w:rsid w:val="009C137A"/>
    <w:rsid w:val="009C2269"/>
    <w:rsid w:val="009D5EA4"/>
    <w:rsid w:val="009D7106"/>
    <w:rsid w:val="009E072A"/>
    <w:rsid w:val="009E171E"/>
    <w:rsid w:val="009E6EE4"/>
    <w:rsid w:val="009F2CDD"/>
    <w:rsid w:val="009F4C4E"/>
    <w:rsid w:val="00A114A3"/>
    <w:rsid w:val="00A209ED"/>
    <w:rsid w:val="00A24BEB"/>
    <w:rsid w:val="00A271FC"/>
    <w:rsid w:val="00A302FB"/>
    <w:rsid w:val="00A47F5B"/>
    <w:rsid w:val="00A535F0"/>
    <w:rsid w:val="00A54E2B"/>
    <w:rsid w:val="00A56B9C"/>
    <w:rsid w:val="00A576D1"/>
    <w:rsid w:val="00A64056"/>
    <w:rsid w:val="00A65B49"/>
    <w:rsid w:val="00A67AB0"/>
    <w:rsid w:val="00A71C06"/>
    <w:rsid w:val="00A749AF"/>
    <w:rsid w:val="00A8559A"/>
    <w:rsid w:val="00A914D9"/>
    <w:rsid w:val="00A91A3A"/>
    <w:rsid w:val="00A9302F"/>
    <w:rsid w:val="00A93FFE"/>
    <w:rsid w:val="00A9582D"/>
    <w:rsid w:val="00AA5D07"/>
    <w:rsid w:val="00AB345E"/>
    <w:rsid w:val="00AC1A9B"/>
    <w:rsid w:val="00AC5B2A"/>
    <w:rsid w:val="00AE40A4"/>
    <w:rsid w:val="00AE44BF"/>
    <w:rsid w:val="00AF07A5"/>
    <w:rsid w:val="00AF149F"/>
    <w:rsid w:val="00B014F5"/>
    <w:rsid w:val="00B02C15"/>
    <w:rsid w:val="00B046D4"/>
    <w:rsid w:val="00B10A71"/>
    <w:rsid w:val="00B20B5B"/>
    <w:rsid w:val="00B221AD"/>
    <w:rsid w:val="00B22705"/>
    <w:rsid w:val="00B37ADC"/>
    <w:rsid w:val="00B42539"/>
    <w:rsid w:val="00B44004"/>
    <w:rsid w:val="00B44847"/>
    <w:rsid w:val="00B50FF1"/>
    <w:rsid w:val="00B5729F"/>
    <w:rsid w:val="00B63B30"/>
    <w:rsid w:val="00B67E64"/>
    <w:rsid w:val="00B745C1"/>
    <w:rsid w:val="00B74740"/>
    <w:rsid w:val="00BA12D0"/>
    <w:rsid w:val="00BA2536"/>
    <w:rsid w:val="00BA5D33"/>
    <w:rsid w:val="00BB77AD"/>
    <w:rsid w:val="00BD4D9E"/>
    <w:rsid w:val="00BE109D"/>
    <w:rsid w:val="00BE11CD"/>
    <w:rsid w:val="00BE183D"/>
    <w:rsid w:val="00BE32CA"/>
    <w:rsid w:val="00BE3BA0"/>
    <w:rsid w:val="00BF78A6"/>
    <w:rsid w:val="00C009B4"/>
    <w:rsid w:val="00C05479"/>
    <w:rsid w:val="00C172F7"/>
    <w:rsid w:val="00C22CEC"/>
    <w:rsid w:val="00C25692"/>
    <w:rsid w:val="00C30BB7"/>
    <w:rsid w:val="00C34EA9"/>
    <w:rsid w:val="00C37453"/>
    <w:rsid w:val="00C374E7"/>
    <w:rsid w:val="00C45117"/>
    <w:rsid w:val="00C51A68"/>
    <w:rsid w:val="00C557D4"/>
    <w:rsid w:val="00C571EF"/>
    <w:rsid w:val="00C618A2"/>
    <w:rsid w:val="00C80883"/>
    <w:rsid w:val="00C91C83"/>
    <w:rsid w:val="00C9349D"/>
    <w:rsid w:val="00C93B0A"/>
    <w:rsid w:val="00C960CA"/>
    <w:rsid w:val="00C96530"/>
    <w:rsid w:val="00C97055"/>
    <w:rsid w:val="00CB47CC"/>
    <w:rsid w:val="00CB57D9"/>
    <w:rsid w:val="00CB5BD0"/>
    <w:rsid w:val="00CC4786"/>
    <w:rsid w:val="00CD7A86"/>
    <w:rsid w:val="00CE42D5"/>
    <w:rsid w:val="00CE7D1B"/>
    <w:rsid w:val="00CF1985"/>
    <w:rsid w:val="00CF297D"/>
    <w:rsid w:val="00CF666F"/>
    <w:rsid w:val="00CF76EB"/>
    <w:rsid w:val="00D00A30"/>
    <w:rsid w:val="00D00E26"/>
    <w:rsid w:val="00D024B8"/>
    <w:rsid w:val="00D04C7C"/>
    <w:rsid w:val="00D07EE4"/>
    <w:rsid w:val="00D100D3"/>
    <w:rsid w:val="00D12BB7"/>
    <w:rsid w:val="00D138A1"/>
    <w:rsid w:val="00D13F75"/>
    <w:rsid w:val="00D14101"/>
    <w:rsid w:val="00D144AD"/>
    <w:rsid w:val="00D222EA"/>
    <w:rsid w:val="00D325B8"/>
    <w:rsid w:val="00D33314"/>
    <w:rsid w:val="00D37121"/>
    <w:rsid w:val="00D42442"/>
    <w:rsid w:val="00D44A72"/>
    <w:rsid w:val="00D47E11"/>
    <w:rsid w:val="00D508A8"/>
    <w:rsid w:val="00D510EF"/>
    <w:rsid w:val="00D517E4"/>
    <w:rsid w:val="00D51DD1"/>
    <w:rsid w:val="00D52565"/>
    <w:rsid w:val="00D52D7D"/>
    <w:rsid w:val="00D53750"/>
    <w:rsid w:val="00D6123B"/>
    <w:rsid w:val="00D620AF"/>
    <w:rsid w:val="00D656ED"/>
    <w:rsid w:val="00D66252"/>
    <w:rsid w:val="00D6672D"/>
    <w:rsid w:val="00D66D2E"/>
    <w:rsid w:val="00D758FA"/>
    <w:rsid w:val="00D86A90"/>
    <w:rsid w:val="00D919F6"/>
    <w:rsid w:val="00D937E3"/>
    <w:rsid w:val="00D93E67"/>
    <w:rsid w:val="00DA11EB"/>
    <w:rsid w:val="00DA13C7"/>
    <w:rsid w:val="00DA752D"/>
    <w:rsid w:val="00DB4ED6"/>
    <w:rsid w:val="00DB6584"/>
    <w:rsid w:val="00DC7352"/>
    <w:rsid w:val="00DD3F1D"/>
    <w:rsid w:val="00DE043F"/>
    <w:rsid w:val="00DE17D2"/>
    <w:rsid w:val="00DE2D0E"/>
    <w:rsid w:val="00DE5058"/>
    <w:rsid w:val="00DF0FA7"/>
    <w:rsid w:val="00E0238F"/>
    <w:rsid w:val="00E04A92"/>
    <w:rsid w:val="00E1023B"/>
    <w:rsid w:val="00E169B4"/>
    <w:rsid w:val="00E2596E"/>
    <w:rsid w:val="00E27D54"/>
    <w:rsid w:val="00E32F62"/>
    <w:rsid w:val="00E33CD6"/>
    <w:rsid w:val="00E376F2"/>
    <w:rsid w:val="00E377F0"/>
    <w:rsid w:val="00E43E4A"/>
    <w:rsid w:val="00E45382"/>
    <w:rsid w:val="00E45E1F"/>
    <w:rsid w:val="00E46E1B"/>
    <w:rsid w:val="00E539A7"/>
    <w:rsid w:val="00E562B4"/>
    <w:rsid w:val="00E6240E"/>
    <w:rsid w:val="00E62AF1"/>
    <w:rsid w:val="00E66D66"/>
    <w:rsid w:val="00E83A71"/>
    <w:rsid w:val="00E85A40"/>
    <w:rsid w:val="00EA0223"/>
    <w:rsid w:val="00EA11CE"/>
    <w:rsid w:val="00EA143A"/>
    <w:rsid w:val="00EA4436"/>
    <w:rsid w:val="00EA540A"/>
    <w:rsid w:val="00EA58FE"/>
    <w:rsid w:val="00EA5BE0"/>
    <w:rsid w:val="00EA6E63"/>
    <w:rsid w:val="00EB6260"/>
    <w:rsid w:val="00EB6D46"/>
    <w:rsid w:val="00EC1A52"/>
    <w:rsid w:val="00EC29F2"/>
    <w:rsid w:val="00EC672A"/>
    <w:rsid w:val="00ED5C25"/>
    <w:rsid w:val="00EE01D2"/>
    <w:rsid w:val="00EE6339"/>
    <w:rsid w:val="00EE77A0"/>
    <w:rsid w:val="00EF2F72"/>
    <w:rsid w:val="00EF3F87"/>
    <w:rsid w:val="00F01E3D"/>
    <w:rsid w:val="00F02F13"/>
    <w:rsid w:val="00F13B25"/>
    <w:rsid w:val="00F147E6"/>
    <w:rsid w:val="00F24A90"/>
    <w:rsid w:val="00F323CB"/>
    <w:rsid w:val="00F331CC"/>
    <w:rsid w:val="00F345FF"/>
    <w:rsid w:val="00F4001C"/>
    <w:rsid w:val="00F42F0E"/>
    <w:rsid w:val="00F42FB7"/>
    <w:rsid w:val="00F51D5E"/>
    <w:rsid w:val="00F5442A"/>
    <w:rsid w:val="00F6354E"/>
    <w:rsid w:val="00F7145D"/>
    <w:rsid w:val="00F71F03"/>
    <w:rsid w:val="00F7595B"/>
    <w:rsid w:val="00F85700"/>
    <w:rsid w:val="00F94C56"/>
    <w:rsid w:val="00FA1D10"/>
    <w:rsid w:val="00FA25CB"/>
    <w:rsid w:val="00FA4A56"/>
    <w:rsid w:val="00FB11A6"/>
    <w:rsid w:val="00FB5530"/>
    <w:rsid w:val="00FC0741"/>
    <w:rsid w:val="00FC52FB"/>
    <w:rsid w:val="00FC7922"/>
    <w:rsid w:val="00FD2D9E"/>
    <w:rsid w:val="00FD301B"/>
    <w:rsid w:val="00FD3A4F"/>
    <w:rsid w:val="00FE00B4"/>
    <w:rsid w:val="00FE070C"/>
    <w:rsid w:val="00FE2088"/>
    <w:rsid w:val="00FE2B02"/>
    <w:rsid w:val="00FE3B9A"/>
    <w:rsid w:val="00FE5BA2"/>
    <w:rsid w:val="00FE7C5E"/>
    <w:rsid w:val="00FF0E28"/>
    <w:rsid w:val="00FF3BB3"/>
    <w:rsid w:val="00FF5EE2"/>
  </w:rsids>
  <m:mathPr>
    <m:mathFont m:val="Cambria Math"/>
    <m:brkBin m:val="before"/>
    <m:brkBinSub m:val="--"/>
    <m:smallFrac m:val="0"/>
    <m:dispDef/>
    <m:lMargin m:val="0"/>
    <m:rMargin m:val="0"/>
    <m:defJc m:val="centerGroup"/>
    <m:wrapIndent m:val="1440"/>
    <m:intLim m:val="subSup"/>
    <m:naryLim m:val="undOvr"/>
  </m:mathPr>
  <w:themeFontLang w:val="en-AU"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style="mso-position-vertical-relative:page" o:allowincell="f" o:allowoverlap="f" fill="f" fillcolor="white" stroke="f">
      <v:fill color="white" on="f"/>
      <v:stroke on="f"/>
    </o:shapedefaults>
    <o:shapelayout v:ext="edit">
      <o:idmap v:ext="edit" data="1"/>
    </o:shapelayout>
  </w:shapeDefaults>
  <w:decimalSymbol w:val="."/>
  <w:listSeparator w:val=","/>
  <w14:docId w14:val="566123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zh-CN" w:bidi="ar-SA"/>
      </w:rPr>
    </w:rPrDefault>
    <w:pPrDefault/>
  </w:docDefaults>
  <w:latentStyles w:defLockedState="0" w:defUIPriority="0" w:defSemiHidden="0" w:defUnhideWhenUsed="0" w:defQFormat="0" w:count="267">
    <w:lsdException w:name="Normal" w:locked="1"/>
    <w:lsdException w:name="heading 1" w:locked="1" w:qFormat="1"/>
    <w:lsdException w:name="heading 2" w:locked="1" w:qFormat="1"/>
    <w:lsdException w:name="heading 3" w:locked="1" w:qFormat="1"/>
    <w:lsdException w:name="heading 4" w:locked="1"/>
    <w:lsdException w:name="heading 5" w:locked="1"/>
    <w:lsdException w:name="heading 6" w:locked="1"/>
    <w:lsdException w:name="heading 7" w:locked="1"/>
    <w:lsdException w:name="heading 8" w:locked="1"/>
    <w:lsdException w:name="heading 9" w:locked="1"/>
    <w:lsdException w:name="toc 1" w:uiPriority="39"/>
    <w:lsdException w:name="toc 2" w:uiPriority="39"/>
    <w:lsdException w:name="toc 3" w:uiPriority="39"/>
    <w:lsdException w:name="toc 4" w:locked="1"/>
    <w:lsdException w:name="toc 5" w:locked="1"/>
    <w:lsdException w:name="toc 6" w:locked="1"/>
    <w:lsdException w:name="toc 7" w:locked="1"/>
    <w:lsdException w:name="toc 8" w:locked="1"/>
    <w:lsdException w:name="toc 9" w:locked="1"/>
    <w:lsdException w:name="footnote text" w:uiPriority="99" w:qFormat="1"/>
    <w:lsdException w:name="annotation text" w:uiPriority="99"/>
    <w:lsdException w:name="header" w:uiPriority="99"/>
    <w:lsdException w:name="footer" w:uiPriority="99"/>
    <w:lsdException w:name="caption" w:locked="1"/>
    <w:lsdException w:name="table of figures" w:uiPriority="99"/>
    <w:lsdException w:name="footnote reference" w:uiPriority="99"/>
    <w:lsdException w:name="annotation reference" w:uiPriority="99"/>
    <w:lsdException w:name="endnote text" w:uiPriority="99"/>
    <w:lsdException w:name="toa heading" w:locked="1"/>
    <w:lsdException w:name="List Bullet" w:locked="1" w:qFormat="1"/>
    <w:lsdException w:name="Title" w:locked="1"/>
    <w:lsdException w:name="Default Paragraph Font" w:locked="1"/>
    <w:lsdException w:name="Body Text" w:uiPriority="99"/>
    <w:lsdException w:name="Subtitle" w:locked="1"/>
    <w:lsdException w:name="Hyperlink" w:uiPriority="99" w:qFormat="1"/>
    <w:lsdException w:name="FollowedHyperlink" w:uiPriority="99"/>
    <w:lsdException w:name="Strong" w:locked="1"/>
    <w:lsdException w:name="Emphasis" w:locked="1"/>
    <w:lsdException w:name="Plain Text" w:uiPriority="99"/>
    <w:lsdException w:name="Normal (Web)" w:uiPriority="99"/>
    <w:lsdException w:name="annotation subject" w:uiPriority="99"/>
    <w:lsdException w:name="No List" w:uiPriority="99"/>
    <w:lsdException w:name="Balloon Text" w:uiPriority="99"/>
    <w:lsdException w:name="Table Grid" w:locked="1"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latentStyles>
  <w:style w:type="paragraph" w:default="1" w:styleId="Normal">
    <w:name w:val="Normal"/>
    <w:rsid w:val="00F02F13"/>
    <w:pPr>
      <w:spacing w:before="240" w:line="300" w:lineRule="auto"/>
      <w:ind w:left="851"/>
    </w:pPr>
    <w:rPr>
      <w:rFonts w:ascii="Arial" w:hAnsi="Arial" w:cs="Arial"/>
      <w:szCs w:val="24"/>
      <w:lang w:eastAsia="en-AU"/>
    </w:rPr>
  </w:style>
  <w:style w:type="paragraph" w:styleId="Heading1">
    <w:name w:val="heading 1"/>
    <w:basedOn w:val="Normal"/>
    <w:next w:val="Normal"/>
    <w:link w:val="Heading1Char"/>
    <w:autoRedefine/>
    <w:qFormat/>
    <w:rsid w:val="00E43E4A"/>
    <w:pPr>
      <w:keepNext/>
      <w:keepLines/>
      <w:numPr>
        <w:numId w:val="1"/>
      </w:numPr>
      <w:pBdr>
        <w:bottom w:val="single" w:sz="24" w:space="1" w:color="BAD80A"/>
      </w:pBdr>
      <w:spacing w:before="0" w:after="360"/>
      <w:ind w:left="851" w:right="-1418" w:hanging="851"/>
      <w:outlineLvl w:val="0"/>
    </w:pPr>
    <w:rPr>
      <w:rFonts w:cs="Times New Roman"/>
      <w:b/>
      <w:bCs/>
      <w:color w:val="0084C9"/>
      <w:sz w:val="48"/>
      <w:szCs w:val="28"/>
    </w:rPr>
  </w:style>
  <w:style w:type="paragraph" w:styleId="Heading2">
    <w:name w:val="heading 2"/>
    <w:basedOn w:val="Heading1"/>
    <w:next w:val="Normal"/>
    <w:link w:val="Heading2Char"/>
    <w:autoRedefine/>
    <w:qFormat/>
    <w:rsid w:val="000C6F00"/>
    <w:pPr>
      <w:numPr>
        <w:ilvl w:val="1"/>
      </w:numPr>
      <w:pBdr>
        <w:bottom w:val="none" w:sz="0" w:space="0" w:color="auto"/>
      </w:pBdr>
      <w:spacing w:before="480" w:line="240" w:lineRule="auto"/>
      <w:ind w:left="851" w:hanging="851"/>
      <w:outlineLvl w:val="1"/>
    </w:pPr>
    <w:rPr>
      <w:rFonts w:ascii="Arial Bold" w:hAnsi="Arial Bold"/>
      <w:bCs w:val="0"/>
      <w:color w:val="000000"/>
      <w:sz w:val="28"/>
      <w:szCs w:val="26"/>
    </w:rPr>
  </w:style>
  <w:style w:type="paragraph" w:styleId="Heading3">
    <w:name w:val="heading 3"/>
    <w:basedOn w:val="Normal"/>
    <w:next w:val="Normal"/>
    <w:link w:val="Heading3Char"/>
    <w:qFormat/>
    <w:rsid w:val="00D144AD"/>
    <w:pPr>
      <w:keepNext/>
      <w:keepLines/>
      <w:numPr>
        <w:ilvl w:val="2"/>
        <w:numId w:val="1"/>
      </w:numPr>
      <w:spacing w:before="360" w:line="240" w:lineRule="auto"/>
      <w:ind w:left="851" w:hanging="851"/>
      <w:outlineLvl w:val="2"/>
    </w:pPr>
    <w:rPr>
      <w:rFonts w:cs="Times New Roman"/>
      <w:b/>
      <w:bCs/>
      <w:color w:val="000000"/>
      <w:sz w:val="24"/>
      <w:lang w:val="en-GB"/>
    </w:rPr>
  </w:style>
  <w:style w:type="paragraph" w:styleId="Heading4">
    <w:name w:val="heading 4"/>
    <w:basedOn w:val="Normal"/>
    <w:next w:val="Normal"/>
    <w:link w:val="Heading4Char"/>
    <w:rsid w:val="00F02F13"/>
    <w:pPr>
      <w:keepNext/>
      <w:keepLines/>
      <w:numPr>
        <w:ilvl w:val="3"/>
        <w:numId w:val="2"/>
      </w:numPr>
      <w:spacing w:line="240" w:lineRule="auto"/>
      <w:outlineLvl w:val="3"/>
    </w:pPr>
    <w:rPr>
      <w:rFonts w:ascii="Arial Bold" w:hAnsi="Arial Bold" w:cs="Times New Roman"/>
      <w:b/>
      <w:bCs/>
      <w:iCs/>
    </w:rPr>
  </w:style>
  <w:style w:type="paragraph" w:styleId="Heading5">
    <w:name w:val="heading 5"/>
    <w:basedOn w:val="Normal"/>
    <w:next w:val="Normal"/>
    <w:link w:val="Heading5Char"/>
    <w:rsid w:val="00F02F13"/>
    <w:pPr>
      <w:keepNext/>
      <w:keepLines/>
      <w:numPr>
        <w:ilvl w:val="4"/>
        <w:numId w:val="2"/>
      </w:numPr>
      <w:spacing w:before="200"/>
      <w:outlineLvl w:val="4"/>
    </w:pPr>
    <w:rPr>
      <w:rFonts w:ascii="Cambria" w:hAnsi="Cambria" w:cs="Times New Roman"/>
      <w:color w:val="243F60"/>
    </w:rPr>
  </w:style>
  <w:style w:type="paragraph" w:styleId="Heading6">
    <w:name w:val="heading 6"/>
    <w:basedOn w:val="Normal"/>
    <w:next w:val="Normal"/>
    <w:link w:val="Heading6Char"/>
    <w:rsid w:val="00F02F13"/>
    <w:pPr>
      <w:keepNext/>
      <w:keepLines/>
      <w:numPr>
        <w:ilvl w:val="5"/>
        <w:numId w:val="2"/>
      </w:numPr>
      <w:spacing w:before="200"/>
      <w:outlineLvl w:val="5"/>
    </w:pPr>
    <w:rPr>
      <w:rFonts w:ascii="Cambria" w:hAnsi="Cambria" w:cs="Times New Roman"/>
      <w:i/>
      <w:iCs/>
      <w:color w:val="243F60"/>
    </w:rPr>
  </w:style>
  <w:style w:type="paragraph" w:styleId="Heading7">
    <w:name w:val="heading 7"/>
    <w:basedOn w:val="Normal"/>
    <w:next w:val="Normal"/>
    <w:link w:val="Heading7Char"/>
    <w:rsid w:val="00F02F13"/>
    <w:pPr>
      <w:keepNext/>
      <w:keepLines/>
      <w:numPr>
        <w:ilvl w:val="6"/>
        <w:numId w:val="2"/>
      </w:numPr>
      <w:spacing w:before="200"/>
      <w:outlineLvl w:val="6"/>
    </w:pPr>
    <w:rPr>
      <w:rFonts w:ascii="Cambria" w:hAnsi="Cambria" w:cs="Times New Roman"/>
      <w:i/>
      <w:iCs/>
      <w:color w:val="404040"/>
    </w:rPr>
  </w:style>
  <w:style w:type="paragraph" w:styleId="Heading8">
    <w:name w:val="heading 8"/>
    <w:basedOn w:val="Normal"/>
    <w:next w:val="Normal"/>
    <w:link w:val="Heading8Char"/>
    <w:rsid w:val="00F02F13"/>
    <w:pPr>
      <w:keepNext/>
      <w:keepLines/>
      <w:numPr>
        <w:ilvl w:val="7"/>
        <w:numId w:val="2"/>
      </w:numPr>
      <w:spacing w:before="200"/>
      <w:outlineLvl w:val="7"/>
    </w:pPr>
    <w:rPr>
      <w:rFonts w:ascii="Cambria" w:hAnsi="Cambria" w:cs="Times New Roman"/>
      <w:color w:val="404040"/>
      <w:szCs w:val="20"/>
    </w:rPr>
  </w:style>
  <w:style w:type="paragraph" w:styleId="Heading9">
    <w:name w:val="heading 9"/>
    <w:basedOn w:val="Normal"/>
    <w:next w:val="Normal"/>
    <w:link w:val="Heading9Char"/>
    <w:rsid w:val="00F02F13"/>
    <w:pPr>
      <w:keepNext/>
      <w:keepLines/>
      <w:numPr>
        <w:ilvl w:val="8"/>
        <w:numId w:val="2"/>
      </w:numPr>
      <w:spacing w:before="200"/>
      <w:outlineLvl w:val="8"/>
    </w:pPr>
    <w:rPr>
      <w:rFonts w:ascii="Cambria" w:hAnsi="Cambria" w:cs="Times New Roman"/>
      <w:i/>
      <w:iCs/>
      <w:color w:val="4040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E43E4A"/>
    <w:rPr>
      <w:rFonts w:ascii="Arial" w:hAnsi="Arial"/>
      <w:b/>
      <w:bCs/>
      <w:color w:val="0084C9"/>
      <w:sz w:val="48"/>
      <w:szCs w:val="28"/>
      <w:lang w:eastAsia="en-AU"/>
    </w:rPr>
  </w:style>
  <w:style w:type="character" w:customStyle="1" w:styleId="Heading2Char">
    <w:name w:val="Heading 2 Char"/>
    <w:link w:val="Heading2"/>
    <w:locked/>
    <w:rsid w:val="000C6F00"/>
    <w:rPr>
      <w:rFonts w:ascii="Arial Bold" w:hAnsi="Arial Bold"/>
      <w:b/>
      <w:color w:val="000000"/>
      <w:sz w:val="28"/>
      <w:szCs w:val="26"/>
      <w:lang w:eastAsia="en-AU"/>
    </w:rPr>
  </w:style>
  <w:style w:type="character" w:customStyle="1" w:styleId="Heading3Char">
    <w:name w:val="Heading 3 Char"/>
    <w:link w:val="Heading3"/>
    <w:locked/>
    <w:rsid w:val="00D144AD"/>
    <w:rPr>
      <w:rFonts w:ascii="Arial" w:hAnsi="Arial"/>
      <w:b/>
      <w:bCs/>
      <w:color w:val="000000"/>
      <w:sz w:val="24"/>
      <w:szCs w:val="24"/>
      <w:lang w:val="en-GB" w:eastAsia="en-AU"/>
    </w:rPr>
  </w:style>
  <w:style w:type="character" w:customStyle="1" w:styleId="Heading4Char">
    <w:name w:val="Heading 4 Char"/>
    <w:link w:val="Heading4"/>
    <w:locked/>
    <w:rsid w:val="00F02F13"/>
    <w:rPr>
      <w:rFonts w:ascii="Arial Bold" w:hAnsi="Arial Bold"/>
      <w:b/>
      <w:bCs/>
      <w:iCs/>
      <w:szCs w:val="24"/>
      <w:lang w:eastAsia="en-AU"/>
    </w:rPr>
  </w:style>
  <w:style w:type="character" w:customStyle="1" w:styleId="Heading5Char">
    <w:name w:val="Heading 5 Char"/>
    <w:link w:val="Heading5"/>
    <w:locked/>
    <w:rsid w:val="00F02F13"/>
    <w:rPr>
      <w:rFonts w:ascii="Cambria" w:hAnsi="Cambria"/>
      <w:color w:val="243F60"/>
      <w:szCs w:val="24"/>
      <w:lang w:eastAsia="en-AU"/>
    </w:rPr>
  </w:style>
  <w:style w:type="character" w:customStyle="1" w:styleId="Heading6Char">
    <w:name w:val="Heading 6 Char"/>
    <w:link w:val="Heading6"/>
    <w:locked/>
    <w:rsid w:val="00F02F13"/>
    <w:rPr>
      <w:rFonts w:ascii="Cambria" w:hAnsi="Cambria"/>
      <w:i/>
      <w:iCs/>
      <w:color w:val="243F60"/>
      <w:szCs w:val="24"/>
      <w:lang w:eastAsia="en-AU"/>
    </w:rPr>
  </w:style>
  <w:style w:type="character" w:customStyle="1" w:styleId="Heading7Char">
    <w:name w:val="Heading 7 Char"/>
    <w:link w:val="Heading7"/>
    <w:locked/>
    <w:rsid w:val="00F02F13"/>
    <w:rPr>
      <w:rFonts w:ascii="Cambria" w:hAnsi="Cambria"/>
      <w:i/>
      <w:iCs/>
      <w:color w:val="404040"/>
      <w:szCs w:val="24"/>
      <w:lang w:eastAsia="en-AU"/>
    </w:rPr>
  </w:style>
  <w:style w:type="character" w:customStyle="1" w:styleId="Heading8Char">
    <w:name w:val="Heading 8 Char"/>
    <w:link w:val="Heading8"/>
    <w:locked/>
    <w:rsid w:val="00F02F13"/>
    <w:rPr>
      <w:rFonts w:ascii="Cambria" w:hAnsi="Cambria"/>
      <w:color w:val="404040"/>
      <w:lang w:eastAsia="en-AU"/>
    </w:rPr>
  </w:style>
  <w:style w:type="character" w:customStyle="1" w:styleId="Heading9Char">
    <w:name w:val="Heading 9 Char"/>
    <w:link w:val="Heading9"/>
    <w:locked/>
    <w:rsid w:val="00F02F13"/>
    <w:rPr>
      <w:rFonts w:ascii="Cambria" w:hAnsi="Cambria"/>
      <w:i/>
      <w:iCs/>
      <w:color w:val="404040"/>
      <w:lang w:eastAsia="en-AU"/>
    </w:rPr>
  </w:style>
  <w:style w:type="paragraph" w:styleId="Caption">
    <w:name w:val="caption"/>
    <w:basedOn w:val="Normal"/>
    <w:next w:val="Normal"/>
    <w:link w:val="CaptionChar"/>
    <w:rsid w:val="00F02F13"/>
    <w:pPr>
      <w:keepNext/>
      <w:spacing w:after="120"/>
      <w:ind w:left="0"/>
      <w:jc w:val="center"/>
    </w:pPr>
    <w:rPr>
      <w:rFonts w:cs="Times New Roman"/>
      <w:b/>
      <w:bCs/>
      <w:color w:val="000000"/>
      <w:szCs w:val="18"/>
    </w:rPr>
  </w:style>
  <w:style w:type="paragraph" w:styleId="TOAHeading">
    <w:name w:val="toa heading"/>
    <w:basedOn w:val="Normal"/>
    <w:next w:val="Normal"/>
    <w:semiHidden/>
    <w:rsid w:val="00F02F13"/>
    <w:pPr>
      <w:spacing w:after="640" w:line="240" w:lineRule="auto"/>
      <w:ind w:left="0"/>
    </w:pPr>
    <w:rPr>
      <w:rFonts w:cs="Times New Roman"/>
      <w:b/>
      <w:bCs/>
      <w:sz w:val="48"/>
    </w:rPr>
  </w:style>
  <w:style w:type="paragraph" w:styleId="ListBullet">
    <w:name w:val="List Bullet"/>
    <w:basedOn w:val="BodyText"/>
    <w:qFormat/>
    <w:rsid w:val="00463234"/>
    <w:pPr>
      <w:numPr>
        <w:numId w:val="8"/>
      </w:numPr>
      <w:contextualSpacing/>
    </w:pPr>
  </w:style>
  <w:style w:type="paragraph" w:styleId="Title">
    <w:name w:val="Title"/>
    <w:basedOn w:val="Normal"/>
    <w:next w:val="Normal"/>
    <w:link w:val="TitleChar"/>
    <w:rsid w:val="00F02F13"/>
    <w:pPr>
      <w:spacing w:before="0" w:line="240" w:lineRule="auto"/>
      <w:ind w:left="0"/>
    </w:pPr>
    <w:rPr>
      <w:rFonts w:cs="Times New Roman"/>
      <w:b/>
      <w:color w:val="000000"/>
      <w:spacing w:val="5"/>
      <w:kern w:val="28"/>
      <w:sz w:val="60"/>
      <w:szCs w:val="52"/>
    </w:rPr>
  </w:style>
  <w:style w:type="character" w:customStyle="1" w:styleId="TitleChar">
    <w:name w:val="Title Char"/>
    <w:link w:val="Title"/>
    <w:locked/>
    <w:rsid w:val="00F02F13"/>
    <w:rPr>
      <w:rFonts w:ascii="Arial" w:hAnsi="Arial"/>
      <w:b/>
      <w:color w:val="000000"/>
      <w:spacing w:val="5"/>
      <w:kern w:val="28"/>
      <w:sz w:val="52"/>
    </w:rPr>
  </w:style>
  <w:style w:type="paragraph" w:styleId="ListParagraph">
    <w:name w:val="List Paragraph"/>
    <w:aliases w:val="UE List Paragraph,Colorful List - Accent 11,Agenda Number,Number Bullet,Normal Bullets,NAST Quote,List Paragraph1,List 1 Paragraph"/>
    <w:basedOn w:val="Normal"/>
    <w:link w:val="ListParagraphChar"/>
    <w:uiPriority w:val="34"/>
    <w:qFormat/>
    <w:rsid w:val="00F02F13"/>
    <w:pPr>
      <w:ind w:left="720"/>
    </w:pPr>
  </w:style>
  <w:style w:type="paragraph" w:styleId="TOCHeading">
    <w:name w:val="TOC Heading"/>
    <w:basedOn w:val="Heading1"/>
    <w:next w:val="Normal"/>
    <w:rsid w:val="00F02F13"/>
    <w:pPr>
      <w:numPr>
        <w:numId w:val="0"/>
      </w:numPr>
      <w:spacing w:before="480" w:after="0" w:line="276" w:lineRule="auto"/>
      <w:outlineLvl w:val="9"/>
    </w:pPr>
    <w:rPr>
      <w:rFonts w:ascii="Cambria" w:hAnsi="Cambria"/>
      <w:color w:val="365F91"/>
      <w:sz w:val="28"/>
      <w:lang w:val="en-US" w:eastAsia="ja-JP"/>
    </w:rPr>
  </w:style>
  <w:style w:type="paragraph" w:styleId="BalloonText">
    <w:name w:val="Balloon Text"/>
    <w:basedOn w:val="Normal"/>
    <w:link w:val="BalloonTextChar"/>
    <w:uiPriority w:val="99"/>
    <w:semiHidden/>
    <w:rsid w:val="006349CD"/>
    <w:pPr>
      <w:spacing w:before="0" w:line="240" w:lineRule="auto"/>
    </w:pPr>
    <w:rPr>
      <w:rFonts w:ascii="Tahoma" w:hAnsi="Tahoma" w:cs="Tahoma"/>
      <w:sz w:val="16"/>
      <w:szCs w:val="16"/>
    </w:rPr>
  </w:style>
  <w:style w:type="character" w:customStyle="1" w:styleId="BalloonTextChar">
    <w:name w:val="Balloon Text Char"/>
    <w:link w:val="BalloonText"/>
    <w:uiPriority w:val="99"/>
    <w:semiHidden/>
    <w:locked/>
    <w:rsid w:val="006349CD"/>
    <w:rPr>
      <w:rFonts w:ascii="Tahoma" w:hAnsi="Tahoma" w:cs="Tahoma"/>
      <w:sz w:val="16"/>
      <w:szCs w:val="16"/>
    </w:rPr>
  </w:style>
  <w:style w:type="paragraph" w:styleId="Header">
    <w:name w:val="header"/>
    <w:basedOn w:val="Normal"/>
    <w:link w:val="HeaderChar"/>
    <w:uiPriority w:val="99"/>
    <w:rsid w:val="00D024B8"/>
    <w:pPr>
      <w:tabs>
        <w:tab w:val="center" w:pos="4513"/>
        <w:tab w:val="right" w:pos="9026"/>
      </w:tabs>
      <w:spacing w:before="0" w:line="240" w:lineRule="auto"/>
    </w:pPr>
  </w:style>
  <w:style w:type="character" w:customStyle="1" w:styleId="HeaderChar">
    <w:name w:val="Header Char"/>
    <w:link w:val="Header"/>
    <w:uiPriority w:val="99"/>
    <w:locked/>
    <w:rsid w:val="00D024B8"/>
    <w:rPr>
      <w:rFonts w:ascii="Arial" w:hAnsi="Arial" w:cs="Arial"/>
      <w:sz w:val="24"/>
      <w:szCs w:val="24"/>
    </w:rPr>
  </w:style>
  <w:style w:type="paragraph" w:styleId="Footer">
    <w:name w:val="footer"/>
    <w:basedOn w:val="Normal"/>
    <w:link w:val="FooterChar"/>
    <w:uiPriority w:val="99"/>
    <w:rsid w:val="00D024B8"/>
    <w:pPr>
      <w:tabs>
        <w:tab w:val="center" w:pos="4513"/>
        <w:tab w:val="right" w:pos="9026"/>
      </w:tabs>
      <w:spacing w:before="0" w:line="240" w:lineRule="auto"/>
    </w:pPr>
  </w:style>
  <w:style w:type="character" w:customStyle="1" w:styleId="FooterChar">
    <w:name w:val="Footer Char"/>
    <w:link w:val="Footer"/>
    <w:uiPriority w:val="99"/>
    <w:locked/>
    <w:rsid w:val="00D024B8"/>
    <w:rPr>
      <w:rFonts w:ascii="Arial" w:hAnsi="Arial" w:cs="Arial"/>
      <w:sz w:val="24"/>
      <w:szCs w:val="24"/>
    </w:rPr>
  </w:style>
  <w:style w:type="character" w:customStyle="1" w:styleId="CaptionChar">
    <w:name w:val="Caption Char"/>
    <w:link w:val="Caption"/>
    <w:locked/>
    <w:rsid w:val="00D024B8"/>
    <w:rPr>
      <w:rFonts w:ascii="Arial" w:hAnsi="Arial"/>
      <w:b/>
      <w:color w:val="000000"/>
      <w:sz w:val="18"/>
    </w:rPr>
  </w:style>
  <w:style w:type="paragraph" w:styleId="TableofFigures">
    <w:name w:val="table of figures"/>
    <w:basedOn w:val="Normal"/>
    <w:next w:val="Normal"/>
    <w:uiPriority w:val="99"/>
    <w:rsid w:val="00D024B8"/>
    <w:pPr>
      <w:ind w:left="0"/>
    </w:pPr>
  </w:style>
  <w:style w:type="paragraph" w:styleId="TOC1">
    <w:name w:val="toc 1"/>
    <w:basedOn w:val="Normal"/>
    <w:next w:val="Normal"/>
    <w:autoRedefine/>
    <w:uiPriority w:val="39"/>
    <w:rsid w:val="00E43E4A"/>
    <w:pPr>
      <w:tabs>
        <w:tab w:val="left" w:pos="851"/>
        <w:tab w:val="right" w:leader="dot" w:pos="9072"/>
      </w:tabs>
      <w:spacing w:before="360" w:line="240" w:lineRule="auto"/>
      <w:ind w:hanging="851"/>
    </w:pPr>
    <w:rPr>
      <w:rFonts w:ascii="Arial Bold" w:hAnsi="Arial Bold"/>
      <w:noProof/>
      <w:sz w:val="22"/>
      <w:szCs w:val="20"/>
      <w:lang w:val="en-GB"/>
    </w:rPr>
  </w:style>
  <w:style w:type="character" w:styleId="Hyperlink">
    <w:name w:val="Hyperlink"/>
    <w:uiPriority w:val="99"/>
    <w:qFormat/>
    <w:rsid w:val="00470D46"/>
    <w:rPr>
      <w:rFonts w:cs="Times New Roman"/>
      <w:color w:val="0000FF"/>
      <w:u w:val="single"/>
    </w:rPr>
  </w:style>
  <w:style w:type="paragraph" w:styleId="TOC2">
    <w:name w:val="toc 2"/>
    <w:basedOn w:val="Normal"/>
    <w:next w:val="Normal"/>
    <w:link w:val="TOC2Char"/>
    <w:autoRedefine/>
    <w:uiPriority w:val="39"/>
    <w:rsid w:val="00E43E4A"/>
    <w:pPr>
      <w:tabs>
        <w:tab w:val="left" w:pos="1843"/>
        <w:tab w:val="right" w:leader="dot" w:pos="9072"/>
      </w:tabs>
      <w:spacing w:before="120" w:line="240" w:lineRule="auto"/>
      <w:ind w:left="1418" w:hanging="567"/>
    </w:pPr>
    <w:rPr>
      <w:rFonts w:ascii="Arial Bold" w:hAnsi="Arial Bold"/>
      <w:b/>
      <w:noProof/>
    </w:rPr>
  </w:style>
  <w:style w:type="paragraph" w:styleId="TOC3">
    <w:name w:val="toc 3"/>
    <w:basedOn w:val="Normal"/>
    <w:next w:val="Normal"/>
    <w:autoRedefine/>
    <w:uiPriority w:val="39"/>
    <w:rsid w:val="00E43E4A"/>
    <w:pPr>
      <w:tabs>
        <w:tab w:val="left" w:pos="2410"/>
        <w:tab w:val="right" w:leader="dot" w:pos="9072"/>
      </w:tabs>
      <w:spacing w:before="120" w:after="60" w:line="240" w:lineRule="auto"/>
      <w:ind w:left="2127" w:hanging="709"/>
    </w:pPr>
    <w:rPr>
      <w:noProof/>
      <w:szCs w:val="20"/>
    </w:rPr>
  </w:style>
  <w:style w:type="paragraph" w:customStyle="1" w:styleId="APPENDIX">
    <w:name w:val="APPENDIX"/>
    <w:basedOn w:val="Normal"/>
    <w:link w:val="APPENDIXChar"/>
    <w:rsid w:val="00D024B8"/>
    <w:pPr>
      <w:tabs>
        <w:tab w:val="left" w:pos="1134"/>
        <w:tab w:val="right" w:leader="dot" w:pos="8845"/>
      </w:tabs>
      <w:spacing w:before="120"/>
      <w:ind w:left="0"/>
      <w:jc w:val="center"/>
      <w:outlineLvl w:val="0"/>
    </w:pPr>
    <w:rPr>
      <w:rFonts w:ascii="Arial Black" w:hAnsi="Arial Black"/>
      <w:b/>
      <w:color w:val="007DC4"/>
      <w:sz w:val="56"/>
      <w:szCs w:val="56"/>
    </w:rPr>
  </w:style>
  <w:style w:type="character" w:customStyle="1" w:styleId="TOC2Char">
    <w:name w:val="TOC 2 Char"/>
    <w:link w:val="TOC2"/>
    <w:uiPriority w:val="39"/>
    <w:locked/>
    <w:rsid w:val="00E43E4A"/>
    <w:rPr>
      <w:rFonts w:ascii="Arial Bold" w:hAnsi="Arial Bold" w:cs="Arial"/>
      <w:b/>
      <w:noProof/>
      <w:szCs w:val="24"/>
    </w:rPr>
  </w:style>
  <w:style w:type="paragraph" w:customStyle="1" w:styleId="Appendix2">
    <w:name w:val="Appendix2"/>
    <w:basedOn w:val="APPENDIX"/>
    <w:link w:val="Appendix2Char"/>
    <w:rsid w:val="00D024B8"/>
    <w:pPr>
      <w:outlineLvl w:val="1"/>
    </w:pPr>
    <w:rPr>
      <w:rFonts w:ascii="Arial" w:hAnsi="Arial"/>
    </w:rPr>
  </w:style>
  <w:style w:type="character" w:customStyle="1" w:styleId="APPENDIXChar">
    <w:name w:val="APPENDIX Char"/>
    <w:link w:val="APPENDIX"/>
    <w:locked/>
    <w:rsid w:val="00D024B8"/>
    <w:rPr>
      <w:rFonts w:ascii="Arial Black" w:hAnsi="Arial Black" w:cs="Arial"/>
      <w:b/>
      <w:color w:val="007DC4"/>
      <w:sz w:val="56"/>
      <w:szCs w:val="56"/>
    </w:rPr>
  </w:style>
  <w:style w:type="character" w:customStyle="1" w:styleId="Appendix2Char">
    <w:name w:val="Appendix2 Char"/>
    <w:link w:val="Appendix2"/>
    <w:locked/>
    <w:rsid w:val="00D024B8"/>
    <w:rPr>
      <w:rFonts w:ascii="Arial" w:hAnsi="Arial" w:cs="Arial"/>
      <w:b/>
      <w:color w:val="007DC4"/>
      <w:sz w:val="56"/>
      <w:szCs w:val="56"/>
    </w:rPr>
  </w:style>
  <w:style w:type="paragraph" w:styleId="BodyText">
    <w:name w:val="Body Text"/>
    <w:basedOn w:val="Normal"/>
    <w:link w:val="BodyTextChar"/>
    <w:uiPriority w:val="99"/>
    <w:rsid w:val="00456137"/>
    <w:pPr>
      <w:spacing w:before="120" w:after="120" w:line="300" w:lineRule="exact"/>
      <w:ind w:left="0"/>
    </w:pPr>
  </w:style>
  <w:style w:type="character" w:customStyle="1" w:styleId="BodyTextChar">
    <w:name w:val="Body Text Char"/>
    <w:link w:val="BodyText"/>
    <w:uiPriority w:val="99"/>
    <w:rsid w:val="00456137"/>
    <w:rPr>
      <w:rFonts w:ascii="Arial" w:hAnsi="Arial" w:cs="Arial"/>
      <w:szCs w:val="24"/>
    </w:rPr>
  </w:style>
  <w:style w:type="paragraph" w:styleId="BlockText">
    <w:name w:val="Block Text"/>
    <w:basedOn w:val="Normal"/>
    <w:rsid w:val="00FF5EE2"/>
    <w:pPr>
      <w:spacing w:after="120"/>
      <w:ind w:left="1440" w:right="1440"/>
    </w:pPr>
  </w:style>
  <w:style w:type="paragraph" w:styleId="BodyText2">
    <w:name w:val="Body Text 2"/>
    <w:basedOn w:val="Normal"/>
    <w:link w:val="BodyText2Char"/>
    <w:rsid w:val="00FF5EE2"/>
    <w:pPr>
      <w:spacing w:after="120" w:line="480" w:lineRule="auto"/>
    </w:pPr>
  </w:style>
  <w:style w:type="character" w:customStyle="1" w:styleId="BodyTextSmallChar">
    <w:name w:val="Body Text Small Char"/>
    <w:link w:val="BodyTextSmall"/>
    <w:locked/>
    <w:rsid w:val="0045743F"/>
    <w:rPr>
      <w:rFonts w:ascii="Arial" w:hAnsi="Arial" w:cs="Arial"/>
      <w:sz w:val="17"/>
      <w:szCs w:val="16"/>
    </w:rPr>
  </w:style>
  <w:style w:type="paragraph" w:customStyle="1" w:styleId="BodyTextSmall">
    <w:name w:val="Body Text Small"/>
    <w:basedOn w:val="Normal"/>
    <w:link w:val="BodyTextSmallChar"/>
    <w:rsid w:val="0045743F"/>
    <w:pPr>
      <w:suppressAutoHyphens/>
      <w:spacing w:before="120" w:after="120" w:line="260" w:lineRule="exact"/>
      <w:ind w:left="0"/>
    </w:pPr>
    <w:rPr>
      <w:sz w:val="17"/>
      <w:szCs w:val="16"/>
    </w:rPr>
  </w:style>
  <w:style w:type="paragraph" w:customStyle="1" w:styleId="SmallText">
    <w:name w:val="Small Text"/>
    <w:basedOn w:val="BodyTextSmall"/>
    <w:link w:val="SmallTextChar"/>
    <w:rsid w:val="00DE17D2"/>
    <w:rPr>
      <w:szCs w:val="17"/>
    </w:rPr>
  </w:style>
  <w:style w:type="paragraph" w:customStyle="1" w:styleId="SubheaderGreen">
    <w:name w:val="Subheader Green"/>
    <w:basedOn w:val="Normal"/>
    <w:link w:val="SubheaderGreenChar"/>
    <w:rsid w:val="00477B3C"/>
    <w:pPr>
      <w:spacing w:before="360" w:after="120" w:line="300" w:lineRule="exact"/>
      <w:ind w:left="0"/>
    </w:pPr>
    <w:rPr>
      <w:b/>
      <w:color w:val="BAD80A"/>
      <w:sz w:val="24"/>
    </w:rPr>
  </w:style>
  <w:style w:type="character" w:customStyle="1" w:styleId="SmallTextChar">
    <w:name w:val="Small Text Char"/>
    <w:link w:val="SmallText"/>
    <w:rsid w:val="00DE17D2"/>
    <w:rPr>
      <w:rFonts w:ascii="Arial" w:hAnsi="Arial" w:cs="Arial"/>
      <w:sz w:val="17"/>
      <w:szCs w:val="17"/>
    </w:rPr>
  </w:style>
  <w:style w:type="paragraph" w:customStyle="1" w:styleId="SubheaderBlack">
    <w:name w:val="Subheader Black"/>
    <w:basedOn w:val="SubheaderGreen"/>
    <w:link w:val="SubheaderBlackChar"/>
    <w:rsid w:val="00CF1985"/>
    <w:rPr>
      <w:color w:val="auto"/>
    </w:rPr>
  </w:style>
  <w:style w:type="character" w:customStyle="1" w:styleId="SubheaderGreenChar">
    <w:name w:val="Subheader Green Char"/>
    <w:link w:val="SubheaderGreen"/>
    <w:rsid w:val="00477B3C"/>
    <w:rPr>
      <w:rFonts w:ascii="Arial" w:hAnsi="Arial" w:cs="Arial"/>
      <w:b/>
      <w:color w:val="BAD80A"/>
      <w:sz w:val="24"/>
      <w:szCs w:val="24"/>
    </w:rPr>
  </w:style>
  <w:style w:type="paragraph" w:customStyle="1" w:styleId="HeaderGreen">
    <w:name w:val="Header Green"/>
    <w:basedOn w:val="Normal"/>
    <w:link w:val="HeaderGreenChar"/>
    <w:qFormat/>
    <w:rsid w:val="00477B3C"/>
    <w:pPr>
      <w:spacing w:before="0"/>
      <w:ind w:left="0"/>
    </w:pPr>
    <w:rPr>
      <w:b/>
      <w:color w:val="BAD80A"/>
      <w:sz w:val="48"/>
      <w:szCs w:val="48"/>
    </w:rPr>
  </w:style>
  <w:style w:type="character" w:customStyle="1" w:styleId="SubheaderBlackChar">
    <w:name w:val="Subheader Black Char"/>
    <w:basedOn w:val="SubheaderGreenChar"/>
    <w:link w:val="SubheaderBlack"/>
    <w:rsid w:val="00CF1985"/>
    <w:rPr>
      <w:rFonts w:ascii="Arial" w:hAnsi="Arial" w:cs="Arial"/>
      <w:b/>
      <w:color w:val="BAD80A"/>
      <w:sz w:val="24"/>
      <w:szCs w:val="24"/>
    </w:rPr>
  </w:style>
  <w:style w:type="paragraph" w:styleId="ListBullet2">
    <w:name w:val="List Bullet 2"/>
    <w:basedOn w:val="Normal"/>
    <w:rsid w:val="00865D33"/>
    <w:pPr>
      <w:numPr>
        <w:numId w:val="3"/>
      </w:numPr>
      <w:spacing w:before="120" w:after="120" w:line="300" w:lineRule="exact"/>
      <w:ind w:left="993" w:hanging="284"/>
      <w:contextualSpacing/>
    </w:pPr>
  </w:style>
  <w:style w:type="character" w:customStyle="1" w:styleId="HeaderGreenChar">
    <w:name w:val="Header Green Char"/>
    <w:link w:val="HeaderGreen"/>
    <w:rsid w:val="00477B3C"/>
    <w:rPr>
      <w:rFonts w:ascii="Arial" w:hAnsi="Arial" w:cs="Arial"/>
      <w:b/>
      <w:color w:val="BAD80A"/>
      <w:sz w:val="48"/>
      <w:szCs w:val="48"/>
    </w:rPr>
  </w:style>
  <w:style w:type="paragraph" w:customStyle="1" w:styleId="greenbullets">
    <w:name w:val="green bullets"/>
    <w:basedOn w:val="Normal"/>
    <w:rsid w:val="00B37ADC"/>
    <w:pPr>
      <w:numPr>
        <w:numId w:val="9"/>
      </w:numPr>
      <w:ind w:left="1418" w:hanging="284"/>
    </w:pPr>
  </w:style>
  <w:style w:type="paragraph" w:styleId="ListBullet3">
    <w:name w:val="List Bullet 3"/>
    <w:basedOn w:val="Normal"/>
    <w:rsid w:val="00865D33"/>
    <w:pPr>
      <w:numPr>
        <w:numId w:val="4"/>
      </w:numPr>
      <w:spacing w:before="120" w:after="60" w:line="300" w:lineRule="exact"/>
      <w:ind w:left="1276" w:hanging="283"/>
      <w:contextualSpacing/>
    </w:pPr>
  </w:style>
  <w:style w:type="character" w:customStyle="1" w:styleId="greenbulletslevel1Char">
    <w:name w:val="green bullets level 1 Char"/>
    <w:link w:val="greenbulletslevel1"/>
    <w:locked/>
    <w:rsid w:val="0016454E"/>
    <w:rPr>
      <w:rFonts w:ascii="Arial" w:hAnsi="Arial" w:cs="Arial"/>
      <w:lang w:eastAsia="en-AU"/>
    </w:rPr>
  </w:style>
  <w:style w:type="paragraph" w:customStyle="1" w:styleId="greenbulletslevel1">
    <w:name w:val="green bullets level 1"/>
    <w:basedOn w:val="Normal"/>
    <w:link w:val="greenbulletslevel1Char"/>
    <w:rsid w:val="0016454E"/>
    <w:pPr>
      <w:numPr>
        <w:numId w:val="10"/>
      </w:numPr>
      <w:spacing w:before="120" w:after="120" w:line="280" w:lineRule="exact"/>
      <w:ind w:left="851" w:right="-2" w:hanging="425"/>
    </w:pPr>
    <w:rPr>
      <w:szCs w:val="20"/>
    </w:rPr>
  </w:style>
  <w:style w:type="character" w:customStyle="1" w:styleId="bulletslevel2Char">
    <w:name w:val="bullets level 2 Char"/>
    <w:link w:val="bulletslevel2"/>
    <w:locked/>
    <w:rsid w:val="0016454E"/>
    <w:rPr>
      <w:rFonts w:ascii="Arial" w:hAnsi="Arial" w:cs="Arial"/>
      <w:lang w:eastAsia="en-AU"/>
    </w:rPr>
  </w:style>
  <w:style w:type="paragraph" w:customStyle="1" w:styleId="bulletslevel2">
    <w:name w:val="bullets level 2"/>
    <w:basedOn w:val="greenbulletslevel1"/>
    <w:link w:val="bulletslevel2Char"/>
    <w:qFormat/>
    <w:rsid w:val="0016454E"/>
    <w:pPr>
      <w:numPr>
        <w:numId w:val="11"/>
      </w:numPr>
      <w:ind w:left="1134" w:hanging="283"/>
    </w:pPr>
  </w:style>
  <w:style w:type="character" w:customStyle="1" w:styleId="ListLetterChar">
    <w:name w:val="List Letter Char"/>
    <w:link w:val="ListLetter"/>
    <w:locked/>
    <w:rsid w:val="007F4DF5"/>
    <w:rPr>
      <w:rFonts w:ascii="Arial" w:hAnsi="Arial" w:cs="Arial"/>
      <w:lang w:eastAsia="en-AU"/>
    </w:rPr>
  </w:style>
  <w:style w:type="paragraph" w:customStyle="1" w:styleId="ListLetter">
    <w:name w:val="List Letter"/>
    <w:basedOn w:val="Normal"/>
    <w:next w:val="BodyText"/>
    <w:link w:val="ListLetterChar"/>
    <w:qFormat/>
    <w:rsid w:val="007F4DF5"/>
    <w:pPr>
      <w:numPr>
        <w:numId w:val="12"/>
      </w:numPr>
      <w:spacing w:before="60" w:after="60" w:line="280" w:lineRule="exact"/>
      <w:contextualSpacing/>
    </w:pPr>
    <w:rPr>
      <w:szCs w:val="20"/>
    </w:rPr>
  </w:style>
  <w:style w:type="character" w:customStyle="1" w:styleId="BodyText2Char">
    <w:name w:val="Body Text 2 Char"/>
    <w:link w:val="BodyText2"/>
    <w:rsid w:val="00FF5EE2"/>
    <w:rPr>
      <w:rFonts w:ascii="Arial" w:hAnsi="Arial" w:cs="Arial"/>
      <w:szCs w:val="24"/>
    </w:rPr>
  </w:style>
  <w:style w:type="paragraph" w:styleId="BodyText3">
    <w:name w:val="Body Text 3"/>
    <w:basedOn w:val="Normal"/>
    <w:link w:val="BodyText3Char"/>
    <w:rsid w:val="00FF5EE2"/>
    <w:pPr>
      <w:spacing w:after="120"/>
    </w:pPr>
    <w:rPr>
      <w:sz w:val="16"/>
      <w:szCs w:val="16"/>
    </w:rPr>
  </w:style>
  <w:style w:type="character" w:customStyle="1" w:styleId="BodyText3Char">
    <w:name w:val="Body Text 3 Char"/>
    <w:link w:val="BodyText3"/>
    <w:rsid w:val="00FF5EE2"/>
    <w:rPr>
      <w:rFonts w:ascii="Arial" w:hAnsi="Arial" w:cs="Arial"/>
      <w:sz w:val="16"/>
      <w:szCs w:val="16"/>
    </w:rPr>
  </w:style>
  <w:style w:type="paragraph" w:customStyle="1" w:styleId="TableHeader">
    <w:name w:val="Table Header"/>
    <w:basedOn w:val="SubheaderBlack"/>
    <w:link w:val="TableHeaderChar"/>
    <w:qFormat/>
    <w:rsid w:val="00CF1985"/>
    <w:rPr>
      <w:sz w:val="20"/>
      <w:szCs w:val="20"/>
    </w:rPr>
  </w:style>
  <w:style w:type="paragraph" w:customStyle="1" w:styleId="TableCopy">
    <w:name w:val="Table Copy"/>
    <w:basedOn w:val="Normal"/>
    <w:link w:val="TableCopyChar"/>
    <w:qFormat/>
    <w:rsid w:val="004B3487"/>
    <w:pPr>
      <w:tabs>
        <w:tab w:val="left" w:pos="1134"/>
        <w:tab w:val="right" w:leader="dot" w:pos="9072"/>
      </w:tabs>
      <w:spacing w:before="120" w:after="120" w:line="240" w:lineRule="auto"/>
      <w:ind w:left="0"/>
    </w:pPr>
    <w:rPr>
      <w:szCs w:val="20"/>
    </w:rPr>
  </w:style>
  <w:style w:type="character" w:customStyle="1" w:styleId="TableHeaderChar">
    <w:name w:val="Table Header Char"/>
    <w:basedOn w:val="SubheaderBlackChar"/>
    <w:link w:val="TableHeader"/>
    <w:rsid w:val="00CF1985"/>
    <w:rPr>
      <w:rFonts w:ascii="Arial" w:hAnsi="Arial" w:cs="Arial"/>
      <w:b/>
      <w:color w:val="BAD80A"/>
      <w:sz w:val="24"/>
      <w:szCs w:val="24"/>
    </w:rPr>
  </w:style>
  <w:style w:type="paragraph" w:customStyle="1" w:styleId="TableColumnHeader">
    <w:name w:val="Table Column Header"/>
    <w:basedOn w:val="TableCopy"/>
    <w:link w:val="TableColumnHeaderChar"/>
    <w:qFormat/>
    <w:rsid w:val="004B3487"/>
    <w:rPr>
      <w:b/>
      <w:color w:val="FFFFFF"/>
    </w:rPr>
  </w:style>
  <w:style w:type="character" w:customStyle="1" w:styleId="TableCopyChar">
    <w:name w:val="Table Copy Char"/>
    <w:link w:val="TableCopy"/>
    <w:rsid w:val="004B3487"/>
    <w:rPr>
      <w:rFonts w:ascii="Arial" w:hAnsi="Arial" w:cs="Arial"/>
    </w:rPr>
  </w:style>
  <w:style w:type="paragraph" w:styleId="PlainText">
    <w:name w:val="Plain Text"/>
    <w:basedOn w:val="Normal"/>
    <w:link w:val="PlainTextChar"/>
    <w:uiPriority w:val="99"/>
    <w:unhideWhenUsed/>
    <w:rsid w:val="00BE109D"/>
    <w:pPr>
      <w:spacing w:before="0" w:line="240" w:lineRule="auto"/>
      <w:ind w:left="0"/>
    </w:pPr>
    <w:rPr>
      <w:rFonts w:eastAsia="Calibri" w:cs="Times New Roman"/>
      <w:szCs w:val="21"/>
      <w:lang w:eastAsia="en-US"/>
    </w:rPr>
  </w:style>
  <w:style w:type="character" w:customStyle="1" w:styleId="TableColumnHeaderChar">
    <w:name w:val="Table Column Header Char"/>
    <w:link w:val="TableColumnHeader"/>
    <w:rsid w:val="004B3487"/>
    <w:rPr>
      <w:rFonts w:ascii="Arial" w:hAnsi="Arial" w:cs="Arial"/>
      <w:b/>
      <w:color w:val="FFFFFF"/>
    </w:rPr>
  </w:style>
  <w:style w:type="character" w:customStyle="1" w:styleId="PlainTextChar">
    <w:name w:val="Plain Text Char"/>
    <w:link w:val="PlainText"/>
    <w:uiPriority w:val="99"/>
    <w:rsid w:val="00BE109D"/>
    <w:rPr>
      <w:rFonts w:ascii="Arial" w:eastAsia="Calibri" w:hAnsi="Arial"/>
      <w:szCs w:val="21"/>
      <w:lang w:eastAsia="en-US"/>
    </w:rPr>
  </w:style>
  <w:style w:type="paragraph" w:styleId="ListNumber">
    <w:name w:val="List Number"/>
    <w:basedOn w:val="Normal"/>
    <w:rsid w:val="00F5442A"/>
    <w:pPr>
      <w:numPr>
        <w:numId w:val="7"/>
      </w:numPr>
      <w:tabs>
        <w:tab w:val="clear" w:pos="360"/>
      </w:tabs>
      <w:spacing w:before="120" w:after="120" w:line="300" w:lineRule="exact"/>
      <w:ind w:left="709" w:hanging="425"/>
      <w:contextualSpacing/>
    </w:pPr>
  </w:style>
  <w:style w:type="paragraph" w:styleId="ListContinue5">
    <w:name w:val="List Continue 5"/>
    <w:basedOn w:val="Normal"/>
    <w:rsid w:val="003B6BA4"/>
    <w:pPr>
      <w:spacing w:after="120"/>
      <w:ind w:left="1415"/>
      <w:contextualSpacing/>
    </w:pPr>
  </w:style>
  <w:style w:type="paragraph" w:styleId="BodyTextIndent">
    <w:name w:val="Body Text Indent"/>
    <w:basedOn w:val="Normal"/>
    <w:link w:val="BodyTextIndentChar"/>
    <w:rsid w:val="00A24BEB"/>
    <w:pPr>
      <w:spacing w:after="120"/>
      <w:ind w:left="709" w:right="706"/>
    </w:pPr>
    <w:rPr>
      <w:i/>
      <w:color w:val="0084C9"/>
    </w:rPr>
  </w:style>
  <w:style w:type="character" w:customStyle="1" w:styleId="BodyTextIndentChar">
    <w:name w:val="Body Text Indent Char"/>
    <w:link w:val="BodyTextIndent"/>
    <w:rsid w:val="00A24BEB"/>
    <w:rPr>
      <w:rFonts w:ascii="Arial" w:hAnsi="Arial" w:cs="Arial"/>
      <w:i/>
      <w:color w:val="0084C9"/>
      <w:szCs w:val="24"/>
    </w:rPr>
  </w:style>
  <w:style w:type="paragraph" w:styleId="BodyTextFirstIndent">
    <w:name w:val="Body Text First Indent"/>
    <w:basedOn w:val="BodyText"/>
    <w:link w:val="BodyTextFirstIndentChar"/>
    <w:rsid w:val="00A24BEB"/>
    <w:pPr>
      <w:spacing w:line="300" w:lineRule="auto"/>
      <w:ind w:left="851" w:firstLine="210"/>
    </w:pPr>
  </w:style>
  <w:style w:type="character" w:customStyle="1" w:styleId="BodyTextFirstIndentChar">
    <w:name w:val="Body Text First Indent Char"/>
    <w:basedOn w:val="BodyTextChar"/>
    <w:link w:val="BodyTextFirstIndent"/>
    <w:rsid w:val="00A24BEB"/>
    <w:rPr>
      <w:rFonts w:ascii="Arial" w:hAnsi="Arial" w:cs="Arial"/>
      <w:szCs w:val="24"/>
    </w:rPr>
  </w:style>
  <w:style w:type="paragraph" w:styleId="BodyTextFirstIndent2">
    <w:name w:val="Body Text First Indent 2"/>
    <w:basedOn w:val="BodyTextIndent"/>
    <w:link w:val="BodyTextFirstIndent2Char"/>
    <w:rsid w:val="00A24BEB"/>
    <w:pPr>
      <w:ind w:firstLine="210"/>
    </w:pPr>
  </w:style>
  <w:style w:type="character" w:customStyle="1" w:styleId="BodyTextFirstIndent2Char">
    <w:name w:val="Body Text First Indent 2 Char"/>
    <w:basedOn w:val="BodyTextIndentChar"/>
    <w:link w:val="BodyTextFirstIndent2"/>
    <w:rsid w:val="00A24BEB"/>
    <w:rPr>
      <w:rFonts w:ascii="Arial" w:hAnsi="Arial" w:cs="Arial"/>
      <w:i/>
      <w:color w:val="0084C9"/>
      <w:szCs w:val="24"/>
    </w:rPr>
  </w:style>
  <w:style w:type="paragraph" w:styleId="BodyTextIndent2">
    <w:name w:val="Body Text Indent 2"/>
    <w:basedOn w:val="Normal"/>
    <w:link w:val="BodyTextIndent2Char"/>
    <w:rsid w:val="00A24BEB"/>
    <w:pPr>
      <w:spacing w:after="120" w:line="480" w:lineRule="auto"/>
      <w:ind w:left="283"/>
    </w:pPr>
  </w:style>
  <w:style w:type="character" w:customStyle="1" w:styleId="BodyTextIndent2Char">
    <w:name w:val="Body Text Indent 2 Char"/>
    <w:link w:val="BodyTextIndent2"/>
    <w:rsid w:val="00A24BEB"/>
    <w:rPr>
      <w:rFonts w:ascii="Arial" w:hAnsi="Arial" w:cs="Arial"/>
      <w:szCs w:val="24"/>
    </w:rPr>
  </w:style>
  <w:style w:type="paragraph" w:styleId="BodyTextIndent3">
    <w:name w:val="Body Text Indent 3"/>
    <w:basedOn w:val="Normal"/>
    <w:link w:val="BodyTextIndent3Char"/>
    <w:rsid w:val="00A24BEB"/>
    <w:pPr>
      <w:spacing w:after="120"/>
      <w:ind w:left="283"/>
    </w:pPr>
    <w:rPr>
      <w:sz w:val="16"/>
      <w:szCs w:val="16"/>
    </w:rPr>
  </w:style>
  <w:style w:type="character" w:customStyle="1" w:styleId="BodyTextIndent3Char">
    <w:name w:val="Body Text Indent 3 Char"/>
    <w:link w:val="BodyTextIndent3"/>
    <w:rsid w:val="00A24BEB"/>
    <w:rPr>
      <w:rFonts w:ascii="Arial" w:hAnsi="Arial" w:cs="Arial"/>
      <w:sz w:val="16"/>
      <w:szCs w:val="16"/>
    </w:rPr>
  </w:style>
  <w:style w:type="paragraph" w:customStyle="1" w:styleId="BodyTextIndentGreen">
    <w:name w:val="Body Text Indent Green"/>
    <w:basedOn w:val="BodyTextIndent"/>
    <w:link w:val="BodyTextIndentGreenChar"/>
    <w:rsid w:val="007F0A0D"/>
    <w:rPr>
      <w:color w:val="BAD80A"/>
    </w:rPr>
  </w:style>
  <w:style w:type="paragraph" w:styleId="ListBullet4">
    <w:name w:val="List Bullet 4"/>
    <w:basedOn w:val="Normal"/>
    <w:rsid w:val="00AB345E"/>
    <w:pPr>
      <w:numPr>
        <w:numId w:val="5"/>
      </w:numPr>
      <w:tabs>
        <w:tab w:val="left" w:pos="1559"/>
      </w:tabs>
      <w:spacing w:before="60" w:after="60" w:line="280" w:lineRule="exact"/>
      <w:ind w:left="1560" w:hanging="284"/>
      <w:contextualSpacing/>
    </w:pPr>
    <w:rPr>
      <w:sz w:val="18"/>
      <w:szCs w:val="18"/>
    </w:rPr>
  </w:style>
  <w:style w:type="character" w:customStyle="1" w:styleId="BodyTextIndentGreenChar">
    <w:name w:val="Body Text Indent Green Char"/>
    <w:link w:val="BodyTextIndentGreen"/>
    <w:rsid w:val="007F0A0D"/>
    <w:rPr>
      <w:rFonts w:ascii="Arial" w:hAnsi="Arial" w:cs="Arial"/>
      <w:i/>
      <w:color w:val="BAD80A"/>
      <w:szCs w:val="24"/>
    </w:rPr>
  </w:style>
  <w:style w:type="paragraph" w:styleId="ListBullet5">
    <w:name w:val="List Bullet 5"/>
    <w:basedOn w:val="Normal"/>
    <w:rsid w:val="00AB345E"/>
    <w:pPr>
      <w:numPr>
        <w:numId w:val="6"/>
      </w:numPr>
      <w:tabs>
        <w:tab w:val="left" w:pos="1843"/>
      </w:tabs>
      <w:spacing w:before="60" w:after="60" w:line="260" w:lineRule="exact"/>
      <w:ind w:left="1843" w:hanging="284"/>
      <w:contextualSpacing/>
    </w:pPr>
    <w:rPr>
      <w:sz w:val="17"/>
      <w:szCs w:val="17"/>
    </w:rPr>
  </w:style>
  <w:style w:type="paragraph" w:customStyle="1" w:styleId="SubheaderBlue">
    <w:name w:val="Subheader Blue"/>
    <w:basedOn w:val="Normal"/>
    <w:link w:val="SubheaderBlueChar"/>
    <w:rsid w:val="00D100D3"/>
    <w:pPr>
      <w:spacing w:before="360" w:after="120" w:line="300" w:lineRule="exact"/>
      <w:ind w:left="0"/>
    </w:pPr>
    <w:rPr>
      <w:b/>
      <w:color w:val="0084C9"/>
      <w:sz w:val="24"/>
    </w:rPr>
  </w:style>
  <w:style w:type="character" w:customStyle="1" w:styleId="SubheaderBlueChar">
    <w:name w:val="Subheader Blue Char"/>
    <w:link w:val="SubheaderBlue"/>
    <w:rsid w:val="00D100D3"/>
    <w:rPr>
      <w:rFonts w:ascii="Arial" w:hAnsi="Arial" w:cs="Arial"/>
      <w:b/>
      <w:color w:val="0084C9"/>
      <w:sz w:val="24"/>
      <w:szCs w:val="24"/>
    </w:rPr>
  </w:style>
  <w:style w:type="paragraph" w:customStyle="1" w:styleId="HeaderBlue">
    <w:name w:val="Header Blue"/>
    <w:basedOn w:val="Normal"/>
    <w:link w:val="HeaderBlueChar"/>
    <w:qFormat/>
    <w:rsid w:val="00E43E4A"/>
    <w:pPr>
      <w:pBdr>
        <w:bottom w:val="single" w:sz="24" w:space="1" w:color="BAD80A"/>
      </w:pBdr>
      <w:spacing w:before="0"/>
      <w:ind w:left="0" w:right="-1418"/>
    </w:pPr>
    <w:rPr>
      <w:b/>
      <w:color w:val="0084C9"/>
      <w:sz w:val="48"/>
      <w:szCs w:val="48"/>
    </w:rPr>
  </w:style>
  <w:style w:type="character" w:customStyle="1" w:styleId="HeaderBlueChar">
    <w:name w:val="Header Blue Char"/>
    <w:link w:val="HeaderBlue"/>
    <w:rsid w:val="00E43E4A"/>
    <w:rPr>
      <w:rFonts w:ascii="Arial" w:hAnsi="Arial" w:cs="Arial"/>
      <w:b/>
      <w:color w:val="0084C9"/>
      <w:sz w:val="48"/>
      <w:szCs w:val="48"/>
    </w:rPr>
  </w:style>
  <w:style w:type="paragraph" w:customStyle="1" w:styleId="BodyCopyIndentBlue">
    <w:name w:val="Body Copy Indent Blue"/>
    <w:basedOn w:val="BodyTextIndent"/>
    <w:link w:val="BodyCopyIndentBlueChar"/>
    <w:qFormat/>
    <w:rsid w:val="00C960CA"/>
    <w:pPr>
      <w:spacing w:before="120" w:line="300" w:lineRule="exact"/>
      <w:ind w:right="709"/>
    </w:pPr>
  </w:style>
  <w:style w:type="character" w:customStyle="1" w:styleId="BodyCopyIndentBlueChar">
    <w:name w:val="Body Copy Indent Blue Char"/>
    <w:link w:val="BodyCopyIndentBlue"/>
    <w:rsid w:val="00C960CA"/>
    <w:rPr>
      <w:rFonts w:ascii="Arial" w:hAnsi="Arial" w:cs="Arial"/>
      <w:i/>
      <w:color w:val="0084C9"/>
      <w:szCs w:val="24"/>
    </w:rPr>
  </w:style>
  <w:style w:type="paragraph" w:customStyle="1" w:styleId="ReportTitle">
    <w:name w:val="Report Title"/>
    <w:basedOn w:val="Normal"/>
    <w:link w:val="ReportTitleChar"/>
    <w:qFormat/>
    <w:rsid w:val="003A02ED"/>
    <w:pPr>
      <w:spacing w:before="100" w:beforeAutospacing="1" w:after="100" w:afterAutospacing="1" w:line="240" w:lineRule="auto"/>
      <w:ind w:left="0"/>
    </w:pPr>
    <w:rPr>
      <w:b/>
      <w:color w:val="FFFFFF"/>
      <w:sz w:val="70"/>
      <w:szCs w:val="70"/>
    </w:rPr>
  </w:style>
  <w:style w:type="paragraph" w:customStyle="1" w:styleId="ReportSubtitle">
    <w:name w:val="Report Subtitle"/>
    <w:basedOn w:val="Normal"/>
    <w:link w:val="ReportSubtitleChar"/>
    <w:qFormat/>
    <w:rsid w:val="003A02ED"/>
    <w:pPr>
      <w:spacing w:before="0" w:line="240" w:lineRule="auto"/>
      <w:ind w:left="0"/>
    </w:pPr>
    <w:rPr>
      <w:color w:val="FFFFFF"/>
      <w:sz w:val="44"/>
      <w:szCs w:val="44"/>
    </w:rPr>
  </w:style>
  <w:style w:type="character" w:customStyle="1" w:styleId="ReportTitleChar">
    <w:name w:val="Report Title Char"/>
    <w:link w:val="ReportTitle"/>
    <w:rsid w:val="003A02ED"/>
    <w:rPr>
      <w:rFonts w:ascii="Arial" w:hAnsi="Arial" w:cs="Arial"/>
      <w:b/>
      <w:color w:val="FFFFFF"/>
      <w:sz w:val="70"/>
      <w:szCs w:val="70"/>
    </w:rPr>
  </w:style>
  <w:style w:type="paragraph" w:customStyle="1" w:styleId="BlackSubheader">
    <w:name w:val="Black Subheader"/>
    <w:basedOn w:val="SubheaderBlack"/>
    <w:link w:val="BlackSubheaderChar"/>
    <w:qFormat/>
    <w:rsid w:val="00EA5BE0"/>
    <w:pPr>
      <w:spacing w:before="0"/>
    </w:pPr>
  </w:style>
  <w:style w:type="character" w:customStyle="1" w:styleId="ReportSubtitleChar">
    <w:name w:val="Report Subtitle Char"/>
    <w:link w:val="ReportSubtitle"/>
    <w:rsid w:val="003A02ED"/>
    <w:rPr>
      <w:rFonts w:ascii="Arial" w:hAnsi="Arial" w:cs="Arial"/>
      <w:color w:val="FFFFFF"/>
      <w:sz w:val="44"/>
      <w:szCs w:val="44"/>
    </w:rPr>
  </w:style>
  <w:style w:type="character" w:customStyle="1" w:styleId="BlackSubheaderChar">
    <w:name w:val="Black Subheader Char"/>
    <w:basedOn w:val="SubheaderBlackChar"/>
    <w:link w:val="BlackSubheader"/>
    <w:rsid w:val="00EA5BE0"/>
    <w:rPr>
      <w:rFonts w:ascii="Arial" w:hAnsi="Arial" w:cs="Arial"/>
      <w:b/>
      <w:color w:val="BAD80A"/>
      <w:sz w:val="24"/>
      <w:szCs w:val="24"/>
    </w:rPr>
  </w:style>
  <w:style w:type="paragraph" w:customStyle="1" w:styleId="BodyCopy">
    <w:name w:val="Body Copy"/>
    <w:basedOn w:val="BodyText"/>
    <w:link w:val="BodyCopyChar"/>
    <w:qFormat/>
    <w:rsid w:val="00EA5BE0"/>
  </w:style>
  <w:style w:type="character" w:customStyle="1" w:styleId="BodyCopyChar">
    <w:name w:val="Body Copy Char"/>
    <w:basedOn w:val="BodyTextChar"/>
    <w:link w:val="BodyCopy"/>
    <w:rsid w:val="00EA5BE0"/>
    <w:rPr>
      <w:rFonts w:ascii="Arial" w:hAnsi="Arial" w:cs="Arial"/>
      <w:szCs w:val="24"/>
    </w:rPr>
  </w:style>
  <w:style w:type="paragraph" w:customStyle="1" w:styleId="SmallBodyCopy">
    <w:name w:val="Small Body Copy"/>
    <w:basedOn w:val="BodyTextSmall"/>
    <w:link w:val="SmallBodyCopyChar"/>
    <w:qFormat/>
    <w:rsid w:val="00EA5BE0"/>
  </w:style>
  <w:style w:type="paragraph" w:customStyle="1" w:styleId="BlueSubheader">
    <w:name w:val="Blue Subheader"/>
    <w:basedOn w:val="SubheaderBlue"/>
    <w:link w:val="BlueSubheaderChar"/>
    <w:qFormat/>
    <w:rsid w:val="00EA5BE0"/>
  </w:style>
  <w:style w:type="character" w:customStyle="1" w:styleId="SmallBodyCopyChar">
    <w:name w:val="Small Body Copy Char"/>
    <w:basedOn w:val="BodyTextSmallChar"/>
    <w:link w:val="SmallBodyCopy"/>
    <w:rsid w:val="00EA5BE0"/>
    <w:rPr>
      <w:rFonts w:ascii="Arial" w:hAnsi="Arial" w:cs="Arial"/>
      <w:sz w:val="17"/>
      <w:szCs w:val="16"/>
    </w:rPr>
  </w:style>
  <w:style w:type="character" w:customStyle="1" w:styleId="BlueSubheaderChar">
    <w:name w:val="Blue Subheader Char"/>
    <w:basedOn w:val="SubheaderBlueChar"/>
    <w:link w:val="BlueSubheader"/>
    <w:rsid w:val="00EA5BE0"/>
    <w:rPr>
      <w:rFonts w:ascii="Arial" w:hAnsi="Arial" w:cs="Arial"/>
      <w:b/>
      <w:color w:val="0084C9"/>
      <w:sz w:val="24"/>
      <w:szCs w:val="24"/>
    </w:rPr>
  </w:style>
  <w:style w:type="paragraph" w:customStyle="1" w:styleId="BodyTextIndentGreen0">
    <w:name w:val="Body Text Indent Green"/>
    <w:basedOn w:val="BodyTextIndent"/>
    <w:next w:val="BodyTextIndentGreen"/>
    <w:rsid w:val="007F0A0D"/>
    <w:rPr>
      <w:color w:val="BAD80A"/>
    </w:rPr>
  </w:style>
  <w:style w:type="paragraph" w:styleId="NormalWeb">
    <w:name w:val="Normal (Web)"/>
    <w:basedOn w:val="Normal"/>
    <w:uiPriority w:val="99"/>
    <w:rsid w:val="00E377F0"/>
    <w:pPr>
      <w:spacing w:before="0" w:line="240" w:lineRule="auto"/>
      <w:ind w:left="0"/>
    </w:pPr>
    <w:rPr>
      <w:rFonts w:ascii="Times New Roman" w:hAnsi="Times New Roman"/>
      <w:sz w:val="22"/>
      <w:szCs w:val="22"/>
      <w:lang w:eastAsia="en-US"/>
    </w:rPr>
  </w:style>
  <w:style w:type="table" w:customStyle="1" w:styleId="GridTable5Dark-Accent11">
    <w:name w:val="Grid Table 5 Dark - Accent 11"/>
    <w:basedOn w:val="TableNormal"/>
    <w:uiPriority w:val="50"/>
    <w:rsid w:val="00E377F0"/>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5F8FF"/>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839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839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839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8390"/>
      </w:tcPr>
    </w:tblStylePr>
    <w:tblStylePr w:type="band1Vert">
      <w:tblPr/>
      <w:tcPr>
        <w:shd w:val="clear" w:color="auto" w:fill="6CF1FF"/>
      </w:tcPr>
    </w:tblStylePr>
    <w:tblStylePr w:type="band1Horz">
      <w:tblPr/>
      <w:tcPr>
        <w:shd w:val="clear" w:color="auto" w:fill="6CF1FF"/>
      </w:tcPr>
    </w:tblStylePr>
  </w:style>
  <w:style w:type="numbering" w:customStyle="1" w:styleId="NoList1">
    <w:name w:val="No List1"/>
    <w:next w:val="NoList"/>
    <w:uiPriority w:val="99"/>
    <w:semiHidden/>
    <w:unhideWhenUsed/>
    <w:rsid w:val="0098732F"/>
  </w:style>
  <w:style w:type="table" w:styleId="TableGrid">
    <w:name w:val="Table Grid"/>
    <w:basedOn w:val="TableNormal"/>
    <w:uiPriority w:val="59"/>
    <w:locked/>
    <w:rsid w:val="0098732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8732F"/>
    <w:pPr>
      <w:autoSpaceDE w:val="0"/>
      <w:autoSpaceDN w:val="0"/>
      <w:adjustRightInd w:val="0"/>
    </w:pPr>
    <w:rPr>
      <w:rFonts w:ascii="Calibri" w:eastAsia="Calibri" w:hAnsi="Calibri" w:cs="Calibri"/>
      <w:color w:val="000000"/>
      <w:sz w:val="24"/>
      <w:szCs w:val="24"/>
      <w:lang w:eastAsia="en-US"/>
    </w:rPr>
  </w:style>
  <w:style w:type="paragraph" w:customStyle="1" w:styleId="Numberlist1">
    <w:name w:val="Number list 1"/>
    <w:basedOn w:val="Heading2"/>
    <w:qFormat/>
    <w:rsid w:val="0098732F"/>
    <w:pPr>
      <w:keepNext w:val="0"/>
      <w:keepLines w:val="0"/>
      <w:numPr>
        <w:ilvl w:val="0"/>
        <w:numId w:val="0"/>
      </w:numPr>
      <w:spacing w:before="0" w:after="120" w:line="288" w:lineRule="auto"/>
      <w:ind w:right="0"/>
      <w:jc w:val="both"/>
    </w:pPr>
    <w:rPr>
      <w:rFonts w:ascii="Arial" w:eastAsia="Calibri" w:hAnsi="Arial"/>
      <w:b w:val="0"/>
      <w:bCs/>
      <w:color w:val="auto"/>
      <w:sz w:val="22"/>
    </w:rPr>
  </w:style>
  <w:style w:type="paragraph" w:customStyle="1" w:styleId="Numberlist2">
    <w:name w:val="Number list 2"/>
    <w:basedOn w:val="Numberlist1"/>
    <w:qFormat/>
    <w:rsid w:val="0098732F"/>
    <w:pPr>
      <w:tabs>
        <w:tab w:val="num" w:pos="1135"/>
      </w:tabs>
      <w:ind w:left="1135" w:hanging="567"/>
    </w:pPr>
  </w:style>
  <w:style w:type="paragraph" w:customStyle="1" w:styleId="Numberlist3">
    <w:name w:val="Number list 3"/>
    <w:basedOn w:val="Numberlist2"/>
    <w:qFormat/>
    <w:rsid w:val="0098732F"/>
    <w:pPr>
      <w:tabs>
        <w:tab w:val="clear" w:pos="1135"/>
        <w:tab w:val="num" w:pos="1701"/>
      </w:tabs>
      <w:ind w:left="1701"/>
    </w:pPr>
  </w:style>
  <w:style w:type="paragraph" w:customStyle="1" w:styleId="Numberlist4">
    <w:name w:val="Number list 4"/>
    <w:basedOn w:val="Numberlist3"/>
    <w:qFormat/>
    <w:rsid w:val="0098732F"/>
    <w:pPr>
      <w:tabs>
        <w:tab w:val="clear" w:pos="1701"/>
        <w:tab w:val="num" w:pos="2268"/>
      </w:tabs>
      <w:ind w:left="2268"/>
    </w:pPr>
  </w:style>
  <w:style w:type="paragraph" w:styleId="NoSpacing">
    <w:name w:val="No Spacing"/>
    <w:uiPriority w:val="1"/>
    <w:qFormat/>
    <w:rsid w:val="0098732F"/>
    <w:rPr>
      <w:rFonts w:ascii="Calibri" w:eastAsia="Calibri" w:hAnsi="Calibri"/>
      <w:sz w:val="22"/>
      <w:szCs w:val="22"/>
      <w:lang w:eastAsia="en-US"/>
    </w:rPr>
  </w:style>
  <w:style w:type="character" w:styleId="CommentReference">
    <w:name w:val="annotation reference"/>
    <w:uiPriority w:val="99"/>
    <w:unhideWhenUsed/>
    <w:rsid w:val="0098732F"/>
    <w:rPr>
      <w:sz w:val="16"/>
      <w:szCs w:val="16"/>
    </w:rPr>
  </w:style>
  <w:style w:type="paragraph" w:styleId="CommentText">
    <w:name w:val="annotation text"/>
    <w:basedOn w:val="Normal"/>
    <w:link w:val="CommentTextChar"/>
    <w:uiPriority w:val="99"/>
    <w:unhideWhenUsed/>
    <w:rsid w:val="0098732F"/>
    <w:pPr>
      <w:spacing w:before="0" w:after="200" w:line="240" w:lineRule="auto"/>
      <w:ind w:left="0"/>
    </w:pPr>
    <w:rPr>
      <w:rFonts w:ascii="Calibri" w:eastAsia="Calibri" w:hAnsi="Calibri" w:cs="Times New Roman"/>
      <w:szCs w:val="20"/>
      <w:lang w:eastAsia="en-US"/>
    </w:rPr>
  </w:style>
  <w:style w:type="character" w:customStyle="1" w:styleId="CommentTextChar">
    <w:name w:val="Comment Text Char"/>
    <w:link w:val="CommentText"/>
    <w:uiPriority w:val="99"/>
    <w:rsid w:val="0098732F"/>
    <w:rPr>
      <w:rFonts w:ascii="Calibri" w:eastAsia="Calibri" w:hAnsi="Calibri"/>
      <w:lang w:eastAsia="en-US"/>
    </w:rPr>
  </w:style>
  <w:style w:type="paragraph" w:styleId="CommentSubject">
    <w:name w:val="annotation subject"/>
    <w:basedOn w:val="CommentText"/>
    <w:next w:val="CommentText"/>
    <w:link w:val="CommentSubjectChar"/>
    <w:uiPriority w:val="99"/>
    <w:unhideWhenUsed/>
    <w:rsid w:val="0098732F"/>
    <w:rPr>
      <w:b/>
      <w:bCs/>
    </w:rPr>
  </w:style>
  <w:style w:type="character" w:customStyle="1" w:styleId="CommentSubjectChar">
    <w:name w:val="Comment Subject Char"/>
    <w:link w:val="CommentSubject"/>
    <w:uiPriority w:val="99"/>
    <w:rsid w:val="0098732F"/>
    <w:rPr>
      <w:rFonts w:ascii="Calibri" w:eastAsia="Calibri" w:hAnsi="Calibri"/>
      <w:b/>
      <w:bCs/>
      <w:lang w:eastAsia="en-US"/>
    </w:rPr>
  </w:style>
  <w:style w:type="character" w:customStyle="1" w:styleId="ListParagraphChar">
    <w:name w:val="List Paragraph Char"/>
    <w:aliases w:val="UE List Paragraph Char,Colorful List - Accent 11 Char,Agenda Number Char,Number Bullet Char,Normal Bullets Char,NAST Quote Char,List Paragraph1 Char,List 1 Paragraph Char"/>
    <w:link w:val="ListParagraph"/>
    <w:uiPriority w:val="34"/>
    <w:locked/>
    <w:rsid w:val="0098732F"/>
    <w:rPr>
      <w:rFonts w:ascii="Arial" w:hAnsi="Arial" w:cs="Arial"/>
      <w:szCs w:val="24"/>
    </w:rPr>
  </w:style>
  <w:style w:type="paragraph" w:customStyle="1" w:styleId="List-Bullets">
    <w:name w:val="List - Bullets"/>
    <w:basedOn w:val="Normal"/>
    <w:link w:val="List-BulletsChar"/>
    <w:qFormat/>
    <w:rsid w:val="0098732F"/>
    <w:pPr>
      <w:numPr>
        <w:numId w:val="14"/>
      </w:numPr>
      <w:spacing w:before="40" w:after="40" w:line="240" w:lineRule="auto"/>
      <w:jc w:val="both"/>
    </w:pPr>
    <w:rPr>
      <w:rFonts w:ascii="Calibri" w:hAnsi="Calibri" w:cs="Calibri"/>
      <w:snapToGrid w:val="0"/>
      <w:sz w:val="24"/>
      <w:szCs w:val="20"/>
    </w:rPr>
  </w:style>
  <w:style w:type="character" w:customStyle="1" w:styleId="List-BulletsChar">
    <w:name w:val="List - Bullets Char"/>
    <w:link w:val="List-Bullets"/>
    <w:rsid w:val="0098732F"/>
    <w:rPr>
      <w:rFonts w:ascii="Calibri" w:hAnsi="Calibri" w:cs="Calibri"/>
      <w:snapToGrid w:val="0"/>
      <w:sz w:val="24"/>
      <w:lang w:eastAsia="en-AU"/>
    </w:rPr>
  </w:style>
  <w:style w:type="character" w:customStyle="1" w:styleId="UnresolvedMention">
    <w:name w:val="Unresolved Mention"/>
    <w:uiPriority w:val="99"/>
    <w:semiHidden/>
    <w:unhideWhenUsed/>
    <w:rsid w:val="0098732F"/>
    <w:rPr>
      <w:color w:val="605E5C"/>
      <w:shd w:val="clear" w:color="auto" w:fill="E1DFDD"/>
    </w:rPr>
  </w:style>
  <w:style w:type="paragraph" w:styleId="FootnoteText">
    <w:name w:val="footnote text"/>
    <w:aliases w:val="(NECG) Footnote Text,ALTS FOOTNOTE,Footnote Text Char1,(NECG) Footnote Text1,ALTS FOOTNOTE1,Footnote Text2,Footnote Text1,Footnote text,AR Footnote Text,AR Footnote Text Char Char Char Char Char,ALTS FOOTNOTE Char1,fn,f, Char Char Char,F-t"/>
    <w:basedOn w:val="Normal"/>
    <w:link w:val="FootnoteTextChar"/>
    <w:uiPriority w:val="99"/>
    <w:qFormat/>
    <w:rsid w:val="0098732F"/>
    <w:pPr>
      <w:spacing w:before="0" w:line="240" w:lineRule="auto"/>
      <w:ind w:left="0"/>
    </w:pPr>
    <w:rPr>
      <w:rFonts w:eastAsia="Calibri"/>
      <w:szCs w:val="20"/>
      <w:lang w:val="en-GB" w:eastAsia="en-US"/>
    </w:rPr>
  </w:style>
  <w:style w:type="character" w:customStyle="1" w:styleId="FootnoteTextChar">
    <w:name w:val="Footnote Text Char"/>
    <w:aliases w:val="(NECG) Footnote Text Char,ALTS FOOTNOTE Char,Footnote Text Char1 Char,(NECG) Footnote Text1 Char,ALTS FOOTNOTE1 Char,Footnote Text2 Char,Footnote Text1 Char,Footnote text Char,AR Footnote Text Char,ALTS FOOTNOTE Char1 Char,fn Char"/>
    <w:link w:val="FootnoteText"/>
    <w:uiPriority w:val="99"/>
    <w:rsid w:val="0098732F"/>
    <w:rPr>
      <w:rFonts w:ascii="Arial" w:eastAsia="Calibri" w:hAnsi="Arial" w:cs="Arial"/>
      <w:lang w:val="en-GB" w:eastAsia="en-US"/>
    </w:rPr>
  </w:style>
  <w:style w:type="character" w:styleId="FootnoteReference">
    <w:name w:val="footnote reference"/>
    <w:aliases w:val="(NECG) Footnote Reference,(NECG) Footnote Reference1,(NECG) Footnote Reference2,(NECG) Footnote Reference3,(NECG) Footnote Reference4,(NECG) Footnote Reference5,(NECG) Footnote Reference6,(NECG) Footnote Reference7,o,Style 3,Style 12"/>
    <w:uiPriority w:val="99"/>
    <w:rsid w:val="0098732F"/>
    <w:rPr>
      <w:vertAlign w:val="superscript"/>
    </w:rPr>
  </w:style>
  <w:style w:type="paragraph" w:styleId="Revision">
    <w:name w:val="Revision"/>
    <w:hidden/>
    <w:uiPriority w:val="99"/>
    <w:semiHidden/>
    <w:rsid w:val="0098732F"/>
    <w:rPr>
      <w:rFonts w:ascii="Calibri" w:eastAsia="Calibri" w:hAnsi="Calibri"/>
      <w:sz w:val="22"/>
      <w:szCs w:val="22"/>
      <w:lang w:eastAsia="en-US"/>
    </w:rPr>
  </w:style>
  <w:style w:type="paragraph" w:customStyle="1" w:styleId="Bullet1">
    <w:name w:val="Bullet 1"/>
    <w:qFormat/>
    <w:rsid w:val="0098732F"/>
    <w:pPr>
      <w:keepNext/>
      <w:numPr>
        <w:numId w:val="15"/>
      </w:numPr>
      <w:spacing w:before="60" w:after="60" w:line="276" w:lineRule="auto"/>
    </w:pPr>
    <w:rPr>
      <w:rFonts w:ascii="Arial" w:eastAsia="Calibri" w:hAnsi="Arial" w:cs="Arial"/>
      <w:sz w:val="22"/>
      <w:szCs w:val="22"/>
      <w:lang w:val="en-GB" w:eastAsia="en-US"/>
    </w:rPr>
  </w:style>
  <w:style w:type="character" w:styleId="FollowedHyperlink">
    <w:name w:val="FollowedHyperlink"/>
    <w:uiPriority w:val="99"/>
    <w:unhideWhenUsed/>
    <w:rsid w:val="0098732F"/>
    <w:rPr>
      <w:color w:val="800080"/>
      <w:u w:val="single"/>
    </w:rPr>
  </w:style>
  <w:style w:type="paragraph" w:customStyle="1" w:styleId="MELegal1">
    <w:name w:val="ME Legal 1"/>
    <w:basedOn w:val="Normal"/>
    <w:qFormat/>
    <w:rsid w:val="009F2CDD"/>
    <w:pPr>
      <w:numPr>
        <w:numId w:val="26"/>
      </w:numPr>
      <w:spacing w:after="200"/>
      <w:outlineLvl w:val="0"/>
    </w:pPr>
  </w:style>
  <w:style w:type="paragraph" w:customStyle="1" w:styleId="MELegal2">
    <w:name w:val="ME Legal 2"/>
    <w:basedOn w:val="Normal"/>
    <w:qFormat/>
    <w:rsid w:val="009F2CDD"/>
    <w:pPr>
      <w:numPr>
        <w:ilvl w:val="1"/>
        <w:numId w:val="26"/>
      </w:numPr>
      <w:spacing w:after="200"/>
      <w:outlineLvl w:val="1"/>
    </w:pPr>
  </w:style>
  <w:style w:type="paragraph" w:customStyle="1" w:styleId="MELegal3">
    <w:name w:val="ME Legal 3"/>
    <w:basedOn w:val="Normal"/>
    <w:qFormat/>
    <w:rsid w:val="009F2CDD"/>
    <w:pPr>
      <w:numPr>
        <w:ilvl w:val="2"/>
        <w:numId w:val="26"/>
      </w:numPr>
      <w:spacing w:after="200"/>
      <w:ind w:left="1360" w:hanging="680"/>
      <w:outlineLvl w:val="2"/>
    </w:pPr>
  </w:style>
  <w:style w:type="paragraph" w:customStyle="1" w:styleId="MELegal4">
    <w:name w:val="ME Legal 4"/>
    <w:basedOn w:val="Normal"/>
    <w:qFormat/>
    <w:rsid w:val="009F2CDD"/>
    <w:pPr>
      <w:numPr>
        <w:ilvl w:val="3"/>
        <w:numId w:val="26"/>
      </w:numPr>
      <w:spacing w:after="200"/>
      <w:outlineLvl w:val="3"/>
    </w:pPr>
  </w:style>
  <w:style w:type="paragraph" w:customStyle="1" w:styleId="MELegal5">
    <w:name w:val="ME Legal 5"/>
    <w:basedOn w:val="Normal"/>
    <w:qFormat/>
    <w:rsid w:val="009F2CDD"/>
    <w:pPr>
      <w:numPr>
        <w:ilvl w:val="4"/>
        <w:numId w:val="26"/>
      </w:numPr>
      <w:spacing w:after="200"/>
      <w:ind w:left="2721" w:hanging="680"/>
      <w:outlineLvl w:val="4"/>
    </w:pPr>
  </w:style>
  <w:style w:type="paragraph" w:customStyle="1" w:styleId="MELegal6">
    <w:name w:val="ME Legal 6"/>
    <w:basedOn w:val="Normal"/>
    <w:qFormat/>
    <w:rsid w:val="009F2CDD"/>
    <w:pPr>
      <w:numPr>
        <w:ilvl w:val="5"/>
        <w:numId w:val="26"/>
      </w:numPr>
      <w:spacing w:after="200"/>
      <w:outlineLvl w:val="5"/>
    </w:pPr>
  </w:style>
  <w:style w:type="paragraph" w:customStyle="1" w:styleId="MEBasic1">
    <w:name w:val="ME Basic 1"/>
    <w:basedOn w:val="Normal"/>
    <w:uiPriority w:val="1"/>
    <w:qFormat/>
    <w:rsid w:val="009F2CDD"/>
    <w:pPr>
      <w:numPr>
        <w:numId w:val="25"/>
      </w:numPr>
      <w:spacing w:after="200"/>
      <w:outlineLvl w:val="0"/>
    </w:pPr>
  </w:style>
  <w:style w:type="paragraph" w:customStyle="1" w:styleId="METitle1">
    <w:name w:val="ME Title 1"/>
    <w:basedOn w:val="Normal"/>
    <w:next w:val="Normal"/>
    <w:uiPriority w:val="2"/>
    <w:qFormat/>
    <w:rsid w:val="009F2CDD"/>
    <w:pPr>
      <w:keepNext/>
      <w:outlineLvl w:val="0"/>
    </w:pPr>
    <w:rPr>
      <w:b/>
      <w:sz w:val="24"/>
    </w:rPr>
  </w:style>
  <w:style w:type="paragraph" w:customStyle="1" w:styleId="METitle2">
    <w:name w:val="ME Title 2"/>
    <w:basedOn w:val="Normal"/>
    <w:next w:val="Normal"/>
    <w:uiPriority w:val="2"/>
    <w:qFormat/>
    <w:rsid w:val="009F2CDD"/>
    <w:pPr>
      <w:keepNext/>
      <w:outlineLvl w:val="0"/>
    </w:pPr>
    <w:rPr>
      <w:b/>
      <w:sz w:val="22"/>
    </w:rPr>
  </w:style>
  <w:style w:type="paragraph" w:customStyle="1" w:styleId="METitle3">
    <w:name w:val="ME Title 3"/>
    <w:basedOn w:val="Normal"/>
    <w:next w:val="Normal"/>
    <w:uiPriority w:val="2"/>
    <w:qFormat/>
    <w:rsid w:val="009F2CDD"/>
    <w:pPr>
      <w:keepNext/>
      <w:outlineLvl w:val="0"/>
    </w:pPr>
    <w:rPr>
      <w:b/>
      <w:i/>
      <w:sz w:val="22"/>
    </w:rPr>
  </w:style>
  <w:style w:type="paragraph" w:customStyle="1" w:styleId="MEBasic2">
    <w:name w:val="ME Basic 2"/>
    <w:basedOn w:val="Normal"/>
    <w:uiPriority w:val="1"/>
    <w:qFormat/>
    <w:rsid w:val="009F2CDD"/>
    <w:pPr>
      <w:numPr>
        <w:ilvl w:val="1"/>
        <w:numId w:val="25"/>
      </w:numPr>
      <w:spacing w:after="200"/>
      <w:outlineLvl w:val="1"/>
    </w:pPr>
  </w:style>
  <w:style w:type="paragraph" w:customStyle="1" w:styleId="MEChapterheading">
    <w:name w:val="ME Chapter heading"/>
    <w:basedOn w:val="Normal"/>
    <w:next w:val="Normal"/>
    <w:uiPriority w:val="6"/>
    <w:qFormat/>
    <w:rsid w:val="009F2CDD"/>
    <w:pPr>
      <w:spacing w:after="360" w:line="480" w:lineRule="exact"/>
      <w:outlineLvl w:val="0"/>
    </w:pPr>
    <w:rPr>
      <w:rFonts w:cs="Angsana New"/>
      <w:spacing w:val="-10"/>
      <w:sz w:val="48"/>
      <w:szCs w:val="48"/>
      <w:lang w:bidi="th-TH"/>
    </w:rPr>
  </w:style>
  <w:style w:type="paragraph" w:customStyle="1" w:styleId="MESubheading">
    <w:name w:val="ME Sub heading"/>
    <w:basedOn w:val="Normal"/>
    <w:next w:val="Normal"/>
    <w:uiPriority w:val="6"/>
    <w:qFormat/>
    <w:rsid w:val="009F2CDD"/>
    <w:pPr>
      <w:spacing w:before="400" w:line="280" w:lineRule="exact"/>
      <w:outlineLvl w:val="0"/>
    </w:pPr>
    <w:rPr>
      <w:rFonts w:cs="Angsana New"/>
      <w:sz w:val="28"/>
      <w:szCs w:val="40"/>
      <w:lang w:bidi="th-TH"/>
    </w:rPr>
  </w:style>
  <w:style w:type="paragraph" w:customStyle="1" w:styleId="MEBasic3">
    <w:name w:val="ME Basic 3"/>
    <w:basedOn w:val="Normal"/>
    <w:uiPriority w:val="1"/>
    <w:qFormat/>
    <w:rsid w:val="009F2CDD"/>
    <w:pPr>
      <w:numPr>
        <w:ilvl w:val="2"/>
        <w:numId w:val="25"/>
      </w:numPr>
      <w:spacing w:after="200"/>
      <w:ind w:left="2041"/>
      <w:outlineLvl w:val="2"/>
    </w:pPr>
  </w:style>
  <w:style w:type="paragraph" w:customStyle="1" w:styleId="MEBasic4">
    <w:name w:val="ME Basic 4"/>
    <w:basedOn w:val="Normal"/>
    <w:uiPriority w:val="1"/>
    <w:qFormat/>
    <w:rsid w:val="009F2CDD"/>
    <w:pPr>
      <w:numPr>
        <w:ilvl w:val="3"/>
        <w:numId w:val="25"/>
      </w:numPr>
      <w:spacing w:after="200"/>
      <w:ind w:left="2721"/>
      <w:outlineLvl w:val="3"/>
    </w:pPr>
  </w:style>
  <w:style w:type="paragraph" w:customStyle="1" w:styleId="MEBasic5">
    <w:name w:val="ME Basic 5"/>
    <w:basedOn w:val="Normal"/>
    <w:uiPriority w:val="1"/>
    <w:qFormat/>
    <w:rsid w:val="009F2CDD"/>
    <w:pPr>
      <w:numPr>
        <w:ilvl w:val="4"/>
        <w:numId w:val="25"/>
      </w:numPr>
      <w:spacing w:after="200"/>
      <w:ind w:left="3402"/>
      <w:outlineLvl w:val="4"/>
    </w:pPr>
  </w:style>
  <w:style w:type="paragraph" w:customStyle="1" w:styleId="MENoIndent1">
    <w:name w:val="ME NoIndent 1"/>
    <w:basedOn w:val="Normal"/>
    <w:uiPriority w:val="3"/>
    <w:qFormat/>
    <w:rsid w:val="009F2CDD"/>
    <w:pPr>
      <w:numPr>
        <w:numId w:val="27"/>
      </w:numPr>
      <w:outlineLvl w:val="0"/>
    </w:pPr>
  </w:style>
  <w:style w:type="paragraph" w:customStyle="1" w:styleId="MENoIndent2">
    <w:name w:val="ME NoIndent 2"/>
    <w:basedOn w:val="Normal"/>
    <w:uiPriority w:val="3"/>
    <w:qFormat/>
    <w:rsid w:val="009F2CDD"/>
    <w:pPr>
      <w:numPr>
        <w:ilvl w:val="1"/>
        <w:numId w:val="27"/>
      </w:numPr>
      <w:outlineLvl w:val="1"/>
    </w:pPr>
  </w:style>
  <w:style w:type="paragraph" w:customStyle="1" w:styleId="MENoIndent3">
    <w:name w:val="ME NoIndent 3"/>
    <w:basedOn w:val="Normal"/>
    <w:uiPriority w:val="3"/>
    <w:qFormat/>
    <w:rsid w:val="009F2CDD"/>
    <w:pPr>
      <w:numPr>
        <w:ilvl w:val="2"/>
        <w:numId w:val="27"/>
      </w:numPr>
      <w:outlineLvl w:val="2"/>
    </w:pPr>
  </w:style>
  <w:style w:type="paragraph" w:customStyle="1" w:styleId="MENoIndent4">
    <w:name w:val="ME NoIndent 4"/>
    <w:basedOn w:val="Normal"/>
    <w:uiPriority w:val="3"/>
    <w:qFormat/>
    <w:rsid w:val="009F2CDD"/>
    <w:pPr>
      <w:numPr>
        <w:ilvl w:val="3"/>
        <w:numId w:val="27"/>
      </w:numPr>
      <w:outlineLvl w:val="3"/>
    </w:pPr>
  </w:style>
  <w:style w:type="paragraph" w:customStyle="1" w:styleId="MENoIndent5">
    <w:name w:val="ME NoIndent 5"/>
    <w:basedOn w:val="Normal"/>
    <w:uiPriority w:val="3"/>
    <w:qFormat/>
    <w:rsid w:val="009F2CDD"/>
    <w:pPr>
      <w:numPr>
        <w:ilvl w:val="4"/>
        <w:numId w:val="27"/>
      </w:numPr>
      <w:outlineLvl w:val="4"/>
    </w:pPr>
  </w:style>
  <w:style w:type="paragraph" w:customStyle="1" w:styleId="MENoIndent6">
    <w:name w:val="ME NoIndent 6"/>
    <w:basedOn w:val="Normal"/>
    <w:uiPriority w:val="3"/>
    <w:qFormat/>
    <w:rsid w:val="009F2CDD"/>
    <w:pPr>
      <w:numPr>
        <w:ilvl w:val="5"/>
        <w:numId w:val="27"/>
      </w:numPr>
      <w:outlineLvl w:val="5"/>
    </w:pPr>
  </w:style>
  <w:style w:type="paragraph" w:customStyle="1" w:styleId="MENumber1">
    <w:name w:val="ME Number 1"/>
    <w:basedOn w:val="Normal"/>
    <w:uiPriority w:val="3"/>
    <w:qFormat/>
    <w:rsid w:val="009F2CDD"/>
    <w:pPr>
      <w:numPr>
        <w:numId w:val="28"/>
      </w:numPr>
      <w:spacing w:after="200"/>
      <w:outlineLvl w:val="0"/>
    </w:pPr>
  </w:style>
  <w:style w:type="paragraph" w:customStyle="1" w:styleId="MENumber2">
    <w:name w:val="ME Number 2"/>
    <w:basedOn w:val="Normal"/>
    <w:uiPriority w:val="3"/>
    <w:qFormat/>
    <w:rsid w:val="009F2CDD"/>
    <w:pPr>
      <w:numPr>
        <w:ilvl w:val="1"/>
        <w:numId w:val="28"/>
      </w:numPr>
      <w:spacing w:after="200"/>
      <w:outlineLvl w:val="1"/>
    </w:pPr>
  </w:style>
  <w:style w:type="paragraph" w:customStyle="1" w:styleId="MENumber3">
    <w:name w:val="ME Number 3"/>
    <w:basedOn w:val="Normal"/>
    <w:uiPriority w:val="3"/>
    <w:qFormat/>
    <w:rsid w:val="009F2CDD"/>
    <w:pPr>
      <w:numPr>
        <w:ilvl w:val="2"/>
        <w:numId w:val="28"/>
      </w:numPr>
      <w:spacing w:after="200"/>
      <w:ind w:left="2041"/>
      <w:outlineLvl w:val="2"/>
    </w:pPr>
  </w:style>
  <w:style w:type="paragraph" w:customStyle="1" w:styleId="MENumber4">
    <w:name w:val="ME Number 4"/>
    <w:basedOn w:val="Normal"/>
    <w:uiPriority w:val="3"/>
    <w:qFormat/>
    <w:rsid w:val="009F2CDD"/>
    <w:pPr>
      <w:numPr>
        <w:ilvl w:val="3"/>
        <w:numId w:val="28"/>
      </w:numPr>
      <w:spacing w:after="200"/>
      <w:ind w:left="2721"/>
      <w:outlineLvl w:val="3"/>
    </w:pPr>
  </w:style>
  <w:style w:type="paragraph" w:customStyle="1" w:styleId="MENumber5">
    <w:name w:val="ME Number 5"/>
    <w:basedOn w:val="Normal"/>
    <w:uiPriority w:val="3"/>
    <w:qFormat/>
    <w:rsid w:val="009F2CDD"/>
    <w:pPr>
      <w:numPr>
        <w:ilvl w:val="4"/>
        <w:numId w:val="28"/>
      </w:numPr>
      <w:spacing w:after="200"/>
      <w:ind w:left="3402"/>
      <w:outlineLvl w:val="4"/>
    </w:pPr>
  </w:style>
  <w:style w:type="paragraph" w:customStyle="1" w:styleId="MENumber6">
    <w:name w:val="ME Number 6"/>
    <w:basedOn w:val="Normal"/>
    <w:uiPriority w:val="3"/>
    <w:qFormat/>
    <w:rsid w:val="009F2CDD"/>
    <w:pPr>
      <w:numPr>
        <w:ilvl w:val="5"/>
        <w:numId w:val="28"/>
      </w:numPr>
      <w:spacing w:after="200"/>
      <w:ind w:left="4082"/>
      <w:outlineLvl w:val="5"/>
    </w:pPr>
  </w:style>
  <w:style w:type="paragraph" w:customStyle="1" w:styleId="Legal1">
    <w:name w:val="Legal 1"/>
    <w:basedOn w:val="Normal"/>
    <w:uiPriority w:val="5"/>
    <w:qFormat/>
    <w:rsid w:val="009F2CDD"/>
    <w:pPr>
      <w:numPr>
        <w:numId w:val="24"/>
      </w:numPr>
      <w:spacing w:after="200"/>
      <w:outlineLvl w:val="0"/>
    </w:pPr>
  </w:style>
  <w:style w:type="paragraph" w:customStyle="1" w:styleId="Legal2">
    <w:name w:val="Legal 2"/>
    <w:basedOn w:val="Normal"/>
    <w:uiPriority w:val="5"/>
    <w:qFormat/>
    <w:rsid w:val="009F2CDD"/>
    <w:pPr>
      <w:numPr>
        <w:ilvl w:val="1"/>
        <w:numId w:val="24"/>
      </w:numPr>
      <w:spacing w:after="200"/>
      <w:outlineLvl w:val="1"/>
    </w:pPr>
  </w:style>
  <w:style w:type="paragraph" w:customStyle="1" w:styleId="Legal3">
    <w:name w:val="Legal 3"/>
    <w:basedOn w:val="Normal"/>
    <w:uiPriority w:val="5"/>
    <w:qFormat/>
    <w:rsid w:val="009F2CDD"/>
    <w:pPr>
      <w:numPr>
        <w:ilvl w:val="2"/>
        <w:numId w:val="24"/>
      </w:numPr>
      <w:spacing w:after="200"/>
      <w:outlineLvl w:val="2"/>
    </w:pPr>
  </w:style>
  <w:style w:type="paragraph" w:customStyle="1" w:styleId="Legal4">
    <w:name w:val="Legal 4"/>
    <w:basedOn w:val="Normal"/>
    <w:uiPriority w:val="5"/>
    <w:qFormat/>
    <w:rsid w:val="009F2CDD"/>
    <w:pPr>
      <w:numPr>
        <w:ilvl w:val="3"/>
        <w:numId w:val="24"/>
      </w:numPr>
      <w:spacing w:after="200"/>
      <w:outlineLvl w:val="3"/>
    </w:pPr>
  </w:style>
  <w:style w:type="paragraph" w:customStyle="1" w:styleId="Legal5">
    <w:name w:val="Legal 5"/>
    <w:basedOn w:val="Normal"/>
    <w:uiPriority w:val="5"/>
    <w:qFormat/>
    <w:rsid w:val="009F2CDD"/>
    <w:pPr>
      <w:numPr>
        <w:ilvl w:val="4"/>
        <w:numId w:val="24"/>
      </w:numPr>
      <w:spacing w:after="200"/>
      <w:outlineLvl w:val="4"/>
    </w:pPr>
  </w:style>
  <w:style w:type="paragraph" w:customStyle="1" w:styleId="Legal6">
    <w:name w:val="Legal 6"/>
    <w:basedOn w:val="Normal"/>
    <w:uiPriority w:val="5"/>
    <w:qFormat/>
    <w:rsid w:val="009F2CDD"/>
    <w:pPr>
      <w:numPr>
        <w:ilvl w:val="5"/>
        <w:numId w:val="24"/>
      </w:numPr>
      <w:spacing w:after="200"/>
      <w:outlineLvl w:val="5"/>
    </w:pPr>
  </w:style>
  <w:style w:type="numbering" w:customStyle="1" w:styleId="MELegal">
    <w:name w:val="ME Legal"/>
    <w:uiPriority w:val="99"/>
    <w:rsid w:val="009F2CDD"/>
    <w:pPr>
      <w:numPr>
        <w:numId w:val="19"/>
      </w:numPr>
    </w:pPr>
  </w:style>
  <w:style w:type="numbering" w:customStyle="1" w:styleId="MEBasic">
    <w:name w:val="ME Basic"/>
    <w:uiPriority w:val="99"/>
    <w:rsid w:val="009F2CDD"/>
    <w:pPr>
      <w:numPr>
        <w:numId w:val="20"/>
      </w:numPr>
    </w:pPr>
  </w:style>
  <w:style w:type="numbering" w:customStyle="1" w:styleId="MENoIndent">
    <w:name w:val="ME NoIndent"/>
    <w:uiPriority w:val="99"/>
    <w:rsid w:val="009F2CDD"/>
    <w:pPr>
      <w:numPr>
        <w:numId w:val="21"/>
      </w:numPr>
    </w:pPr>
  </w:style>
  <w:style w:type="numbering" w:customStyle="1" w:styleId="MENumber">
    <w:name w:val="ME Number"/>
    <w:uiPriority w:val="99"/>
    <w:rsid w:val="009F2CDD"/>
    <w:pPr>
      <w:numPr>
        <w:numId w:val="22"/>
      </w:numPr>
    </w:pPr>
  </w:style>
  <w:style w:type="numbering" w:customStyle="1" w:styleId="Legal">
    <w:name w:val="Legal"/>
    <w:uiPriority w:val="99"/>
    <w:rsid w:val="009F2CDD"/>
    <w:pPr>
      <w:numPr>
        <w:numId w:val="23"/>
      </w:numPr>
    </w:pPr>
  </w:style>
  <w:style w:type="paragraph" w:customStyle="1" w:styleId="MELegal7">
    <w:name w:val="ME Legal 7"/>
    <w:basedOn w:val="Normal"/>
    <w:semiHidden/>
    <w:unhideWhenUsed/>
    <w:qFormat/>
    <w:rsid w:val="009F2CDD"/>
    <w:pPr>
      <w:numPr>
        <w:ilvl w:val="6"/>
        <w:numId w:val="26"/>
      </w:numPr>
      <w:spacing w:after="200"/>
    </w:pPr>
  </w:style>
  <w:style w:type="paragraph" w:customStyle="1" w:styleId="MELegal8">
    <w:name w:val="ME Legal 8"/>
    <w:basedOn w:val="Normal"/>
    <w:semiHidden/>
    <w:unhideWhenUsed/>
    <w:qFormat/>
    <w:rsid w:val="009F2CDD"/>
    <w:pPr>
      <w:numPr>
        <w:ilvl w:val="7"/>
        <w:numId w:val="26"/>
      </w:numPr>
      <w:spacing w:after="200"/>
      <w:ind w:left="4762" w:hanging="680"/>
    </w:pPr>
  </w:style>
  <w:style w:type="paragraph" w:customStyle="1" w:styleId="MELegal9">
    <w:name w:val="ME Legal 9"/>
    <w:basedOn w:val="Normal"/>
    <w:semiHidden/>
    <w:unhideWhenUsed/>
    <w:qFormat/>
    <w:rsid w:val="009F2CDD"/>
    <w:pPr>
      <w:numPr>
        <w:ilvl w:val="8"/>
        <w:numId w:val="26"/>
      </w:numPr>
      <w:spacing w:after="200"/>
    </w:pPr>
  </w:style>
  <w:style w:type="paragraph" w:customStyle="1" w:styleId="MEBasic6">
    <w:name w:val="ME Basic 6"/>
    <w:basedOn w:val="Normal"/>
    <w:uiPriority w:val="1"/>
    <w:qFormat/>
    <w:rsid w:val="009F2CDD"/>
    <w:pPr>
      <w:numPr>
        <w:ilvl w:val="5"/>
        <w:numId w:val="25"/>
      </w:numPr>
      <w:spacing w:after="200"/>
      <w:ind w:left="4082"/>
    </w:pPr>
  </w:style>
  <w:style w:type="paragraph" w:customStyle="1" w:styleId="MEBasic7">
    <w:name w:val="ME Basic 7"/>
    <w:basedOn w:val="Normal"/>
    <w:uiPriority w:val="1"/>
    <w:semiHidden/>
    <w:unhideWhenUsed/>
    <w:qFormat/>
    <w:rsid w:val="009F2CDD"/>
    <w:pPr>
      <w:numPr>
        <w:ilvl w:val="6"/>
        <w:numId w:val="25"/>
      </w:numPr>
      <w:spacing w:after="200"/>
      <w:ind w:left="4762"/>
    </w:pPr>
  </w:style>
  <w:style w:type="paragraph" w:customStyle="1" w:styleId="MEBasic8">
    <w:name w:val="ME Basic 8"/>
    <w:basedOn w:val="Normal"/>
    <w:uiPriority w:val="1"/>
    <w:semiHidden/>
    <w:unhideWhenUsed/>
    <w:qFormat/>
    <w:rsid w:val="009F2CDD"/>
    <w:pPr>
      <w:numPr>
        <w:ilvl w:val="7"/>
        <w:numId w:val="25"/>
      </w:numPr>
      <w:spacing w:after="200"/>
      <w:ind w:hanging="680"/>
    </w:pPr>
  </w:style>
  <w:style w:type="paragraph" w:customStyle="1" w:styleId="MEBasic9">
    <w:name w:val="ME Basic 9"/>
    <w:basedOn w:val="Normal"/>
    <w:uiPriority w:val="1"/>
    <w:semiHidden/>
    <w:unhideWhenUsed/>
    <w:qFormat/>
    <w:rsid w:val="009F2CDD"/>
    <w:pPr>
      <w:numPr>
        <w:ilvl w:val="8"/>
        <w:numId w:val="25"/>
      </w:numPr>
      <w:spacing w:after="200"/>
      <w:ind w:left="6123" w:hanging="680"/>
    </w:pPr>
  </w:style>
  <w:style w:type="paragraph" w:customStyle="1" w:styleId="MENoIndent7">
    <w:name w:val="ME NoIndent 7"/>
    <w:basedOn w:val="Normal"/>
    <w:uiPriority w:val="3"/>
    <w:semiHidden/>
    <w:unhideWhenUsed/>
    <w:qFormat/>
    <w:rsid w:val="009F2CDD"/>
    <w:pPr>
      <w:numPr>
        <w:ilvl w:val="6"/>
        <w:numId w:val="27"/>
      </w:numPr>
    </w:pPr>
  </w:style>
  <w:style w:type="paragraph" w:customStyle="1" w:styleId="MENoIndent8">
    <w:name w:val="ME NoIndent 8"/>
    <w:basedOn w:val="Normal"/>
    <w:uiPriority w:val="3"/>
    <w:semiHidden/>
    <w:unhideWhenUsed/>
    <w:qFormat/>
    <w:rsid w:val="009F2CDD"/>
    <w:pPr>
      <w:numPr>
        <w:ilvl w:val="7"/>
        <w:numId w:val="27"/>
      </w:numPr>
    </w:pPr>
  </w:style>
  <w:style w:type="paragraph" w:customStyle="1" w:styleId="MENoIndent9">
    <w:name w:val="ME NoIndent 9"/>
    <w:basedOn w:val="Normal"/>
    <w:uiPriority w:val="3"/>
    <w:semiHidden/>
    <w:unhideWhenUsed/>
    <w:qFormat/>
    <w:rsid w:val="009F2CDD"/>
    <w:pPr>
      <w:numPr>
        <w:ilvl w:val="8"/>
        <w:numId w:val="27"/>
      </w:numPr>
    </w:pPr>
  </w:style>
  <w:style w:type="paragraph" w:customStyle="1" w:styleId="MENumber7">
    <w:name w:val="ME Number 7"/>
    <w:basedOn w:val="Normal"/>
    <w:uiPriority w:val="3"/>
    <w:semiHidden/>
    <w:unhideWhenUsed/>
    <w:qFormat/>
    <w:rsid w:val="009F2CDD"/>
    <w:pPr>
      <w:numPr>
        <w:ilvl w:val="6"/>
        <w:numId w:val="28"/>
      </w:numPr>
      <w:spacing w:after="200"/>
      <w:ind w:left="4762"/>
    </w:pPr>
  </w:style>
  <w:style w:type="paragraph" w:customStyle="1" w:styleId="MENumber8">
    <w:name w:val="ME Number 8"/>
    <w:basedOn w:val="Normal"/>
    <w:uiPriority w:val="3"/>
    <w:semiHidden/>
    <w:unhideWhenUsed/>
    <w:qFormat/>
    <w:rsid w:val="009F2CDD"/>
    <w:pPr>
      <w:numPr>
        <w:ilvl w:val="7"/>
        <w:numId w:val="28"/>
      </w:numPr>
      <w:spacing w:after="200"/>
      <w:ind w:hanging="680"/>
    </w:pPr>
  </w:style>
  <w:style w:type="paragraph" w:customStyle="1" w:styleId="MENumber9">
    <w:name w:val="ME Number 9"/>
    <w:basedOn w:val="Normal"/>
    <w:uiPriority w:val="3"/>
    <w:semiHidden/>
    <w:unhideWhenUsed/>
    <w:qFormat/>
    <w:rsid w:val="009F2CDD"/>
    <w:pPr>
      <w:numPr>
        <w:ilvl w:val="8"/>
        <w:numId w:val="28"/>
      </w:numPr>
      <w:spacing w:after="200"/>
      <w:ind w:left="6123" w:hanging="680"/>
    </w:pPr>
  </w:style>
  <w:style w:type="paragraph" w:customStyle="1" w:styleId="Legal7">
    <w:name w:val="Legal 7"/>
    <w:basedOn w:val="Normal"/>
    <w:uiPriority w:val="5"/>
    <w:semiHidden/>
    <w:unhideWhenUsed/>
    <w:qFormat/>
    <w:rsid w:val="009F2CDD"/>
    <w:pPr>
      <w:numPr>
        <w:ilvl w:val="6"/>
        <w:numId w:val="24"/>
      </w:numPr>
      <w:spacing w:after="200"/>
    </w:pPr>
  </w:style>
  <w:style w:type="paragraph" w:customStyle="1" w:styleId="Legal8">
    <w:name w:val="Legal 8"/>
    <w:basedOn w:val="Normal"/>
    <w:uiPriority w:val="5"/>
    <w:semiHidden/>
    <w:unhideWhenUsed/>
    <w:qFormat/>
    <w:rsid w:val="009F2CDD"/>
    <w:pPr>
      <w:numPr>
        <w:ilvl w:val="7"/>
        <w:numId w:val="24"/>
      </w:numPr>
      <w:spacing w:after="200"/>
    </w:pPr>
  </w:style>
  <w:style w:type="paragraph" w:customStyle="1" w:styleId="Legal9">
    <w:name w:val="Legal 9"/>
    <w:basedOn w:val="Normal"/>
    <w:uiPriority w:val="5"/>
    <w:semiHidden/>
    <w:unhideWhenUsed/>
    <w:qFormat/>
    <w:rsid w:val="009F2CDD"/>
    <w:pPr>
      <w:numPr>
        <w:ilvl w:val="8"/>
        <w:numId w:val="24"/>
      </w:numPr>
      <w:spacing w:after="200"/>
    </w:pPr>
  </w:style>
  <w:style w:type="paragraph" w:customStyle="1" w:styleId="NormalSingle">
    <w:name w:val="NormalSingle"/>
    <w:basedOn w:val="Normal"/>
    <w:uiPriority w:val="2"/>
    <w:semiHidden/>
    <w:qFormat/>
    <w:rsid w:val="009F2CDD"/>
  </w:style>
  <w:style w:type="table" w:customStyle="1" w:styleId="MEClassic">
    <w:name w:val="ME Classic"/>
    <w:basedOn w:val="TableNormal"/>
    <w:uiPriority w:val="99"/>
    <w:rsid w:val="009F2CDD"/>
    <w:pPr>
      <w:spacing w:before="60" w:after="60" w:line="220" w:lineRule="atLeast"/>
    </w:pPr>
    <w:rPr>
      <w:rFonts w:ascii="Arial" w:eastAsiaTheme="minorEastAsia" w:hAnsi="Arial"/>
      <w:sz w:val="18"/>
    </w:rPr>
    <w:tblPr>
      <w:tblBorders>
        <w:bottom w:val="single" w:sz="4" w:space="0" w:color="808080"/>
        <w:insideH w:val="single" w:sz="4" w:space="0" w:color="808080"/>
        <w:insideV w:val="single" w:sz="4" w:space="0" w:color="808080"/>
      </w:tblBorders>
    </w:tblPr>
    <w:tblStylePr w:type="firstRow">
      <w:rPr>
        <w:rFonts w:ascii="Arial" w:hAnsi="Arial"/>
        <w:b/>
        <w:color w:val="FFFFFF" w:themeColor="background1"/>
      </w:rPr>
      <w:tblPr/>
      <w:tcPr>
        <w:tcBorders>
          <w:insideV w:val="single" w:sz="4" w:space="0" w:color="FFFFFF" w:themeColor="background1"/>
        </w:tcBorders>
        <w:shd w:val="clear" w:color="auto" w:fill="808080"/>
      </w:tcPr>
    </w:tblStylePr>
  </w:style>
  <w:style w:type="paragraph" w:customStyle="1" w:styleId="TableColumnHeading">
    <w:name w:val="Table Column Heading"/>
    <w:basedOn w:val="Normal"/>
    <w:uiPriority w:val="3"/>
    <w:qFormat/>
    <w:rsid w:val="009F2CDD"/>
    <w:pPr>
      <w:spacing w:before="60" w:after="60" w:line="220" w:lineRule="atLeast"/>
    </w:pPr>
    <w:rPr>
      <w:rFonts w:ascii="Arial Bold" w:hAnsi="Arial Bold" w:cs="Angsana New"/>
      <w:b/>
      <w:color w:val="FFFFFF" w:themeColor="background1"/>
      <w:sz w:val="18"/>
      <w:szCs w:val="22"/>
      <w:lang w:bidi="th-TH"/>
    </w:rPr>
  </w:style>
  <w:style w:type="paragraph" w:customStyle="1" w:styleId="Tablesubheading">
    <w:name w:val="Table sub heading"/>
    <w:basedOn w:val="Normal"/>
    <w:uiPriority w:val="3"/>
    <w:qFormat/>
    <w:rsid w:val="009F2CDD"/>
    <w:pPr>
      <w:spacing w:before="60" w:after="60" w:line="220" w:lineRule="atLeast"/>
    </w:pPr>
    <w:rPr>
      <w:rFonts w:cs="Angsana New"/>
      <w:b/>
      <w:color w:val="808080" w:themeColor="background1" w:themeShade="80"/>
      <w:sz w:val="18"/>
      <w:szCs w:val="22"/>
      <w:lang w:bidi="th-TH"/>
    </w:rPr>
  </w:style>
  <w:style w:type="paragraph" w:customStyle="1" w:styleId="TableText">
    <w:name w:val="Table Text"/>
    <w:basedOn w:val="Normal"/>
    <w:uiPriority w:val="3"/>
    <w:qFormat/>
    <w:rsid w:val="009F2CDD"/>
    <w:pPr>
      <w:spacing w:before="60" w:after="60" w:line="220" w:lineRule="atLeast"/>
    </w:pPr>
    <w:rPr>
      <w:rFonts w:cs="Angsana New"/>
      <w:sz w:val="18"/>
      <w:szCs w:val="22"/>
      <w:lang w:bidi="th-TH"/>
    </w:rPr>
  </w:style>
  <w:style w:type="table" w:styleId="LightShading-Accent4">
    <w:name w:val="Light Shading Accent 4"/>
    <w:basedOn w:val="TableNormal"/>
    <w:uiPriority w:val="60"/>
    <w:rsid w:val="009F2CDD"/>
    <w:rPr>
      <w:rFonts w:ascii="Arial" w:eastAsiaTheme="minorEastAsia" w:hAnsi="Arial"/>
      <w:color w:val="BF8F00" w:themeColor="accent4" w:themeShade="BF"/>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paragraph" w:styleId="EndnoteText">
    <w:name w:val="endnote text"/>
    <w:basedOn w:val="Normal"/>
    <w:link w:val="EndnoteTextChar"/>
    <w:uiPriority w:val="99"/>
    <w:unhideWhenUsed/>
    <w:rsid w:val="009F2CDD"/>
    <w:rPr>
      <w:sz w:val="16"/>
    </w:rPr>
  </w:style>
  <w:style w:type="character" w:customStyle="1" w:styleId="EndnoteTextChar">
    <w:name w:val="Endnote Text Char"/>
    <w:basedOn w:val="DefaultParagraphFont"/>
    <w:link w:val="EndnoteText"/>
    <w:uiPriority w:val="99"/>
    <w:rsid w:val="009F2CDD"/>
    <w:rPr>
      <w:rFonts w:ascii="Arial" w:hAnsi="Arial" w:cs="Arial"/>
      <w:sz w:val="16"/>
      <w:szCs w:val="24"/>
      <w:lang w:eastAsia="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zh-CN" w:bidi="ar-SA"/>
      </w:rPr>
    </w:rPrDefault>
    <w:pPrDefault/>
  </w:docDefaults>
  <w:latentStyles w:defLockedState="0" w:defUIPriority="0" w:defSemiHidden="0" w:defUnhideWhenUsed="0" w:defQFormat="0" w:count="267">
    <w:lsdException w:name="Normal" w:locked="1"/>
    <w:lsdException w:name="heading 1" w:locked="1" w:qFormat="1"/>
    <w:lsdException w:name="heading 2" w:locked="1" w:qFormat="1"/>
    <w:lsdException w:name="heading 3" w:locked="1" w:qFormat="1"/>
    <w:lsdException w:name="heading 4" w:locked="1"/>
    <w:lsdException w:name="heading 5" w:locked="1"/>
    <w:lsdException w:name="heading 6" w:locked="1"/>
    <w:lsdException w:name="heading 7" w:locked="1"/>
    <w:lsdException w:name="heading 8" w:locked="1"/>
    <w:lsdException w:name="heading 9" w:locked="1"/>
    <w:lsdException w:name="toc 1" w:uiPriority="39"/>
    <w:lsdException w:name="toc 2" w:uiPriority="39"/>
    <w:lsdException w:name="toc 3" w:uiPriority="39"/>
    <w:lsdException w:name="toc 4" w:locked="1"/>
    <w:lsdException w:name="toc 5" w:locked="1"/>
    <w:lsdException w:name="toc 6" w:locked="1"/>
    <w:lsdException w:name="toc 7" w:locked="1"/>
    <w:lsdException w:name="toc 8" w:locked="1"/>
    <w:lsdException w:name="toc 9" w:locked="1"/>
    <w:lsdException w:name="footnote text" w:uiPriority="99" w:qFormat="1"/>
    <w:lsdException w:name="annotation text" w:uiPriority="99"/>
    <w:lsdException w:name="header" w:uiPriority="99"/>
    <w:lsdException w:name="footer" w:uiPriority="99"/>
    <w:lsdException w:name="caption" w:locked="1"/>
    <w:lsdException w:name="table of figures" w:uiPriority="99"/>
    <w:lsdException w:name="footnote reference" w:uiPriority="99"/>
    <w:lsdException w:name="annotation reference" w:uiPriority="99"/>
    <w:lsdException w:name="endnote text" w:uiPriority="99"/>
    <w:lsdException w:name="toa heading" w:locked="1"/>
    <w:lsdException w:name="List Bullet" w:locked="1" w:qFormat="1"/>
    <w:lsdException w:name="Title" w:locked="1"/>
    <w:lsdException w:name="Default Paragraph Font" w:locked="1"/>
    <w:lsdException w:name="Body Text" w:uiPriority="99"/>
    <w:lsdException w:name="Subtitle" w:locked="1"/>
    <w:lsdException w:name="Hyperlink" w:uiPriority="99" w:qFormat="1"/>
    <w:lsdException w:name="FollowedHyperlink" w:uiPriority="99"/>
    <w:lsdException w:name="Strong" w:locked="1"/>
    <w:lsdException w:name="Emphasis" w:locked="1"/>
    <w:lsdException w:name="Plain Text" w:uiPriority="99"/>
    <w:lsdException w:name="Normal (Web)" w:uiPriority="99"/>
    <w:lsdException w:name="annotation subject" w:uiPriority="99"/>
    <w:lsdException w:name="No List" w:uiPriority="99"/>
    <w:lsdException w:name="Balloon Text" w:uiPriority="99"/>
    <w:lsdException w:name="Table Grid" w:locked="1"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latentStyles>
  <w:style w:type="paragraph" w:default="1" w:styleId="Normal">
    <w:name w:val="Normal"/>
    <w:rsid w:val="00F02F13"/>
    <w:pPr>
      <w:spacing w:before="240" w:line="300" w:lineRule="auto"/>
      <w:ind w:left="851"/>
    </w:pPr>
    <w:rPr>
      <w:rFonts w:ascii="Arial" w:hAnsi="Arial" w:cs="Arial"/>
      <w:szCs w:val="24"/>
      <w:lang w:eastAsia="en-AU"/>
    </w:rPr>
  </w:style>
  <w:style w:type="paragraph" w:styleId="Heading1">
    <w:name w:val="heading 1"/>
    <w:basedOn w:val="Normal"/>
    <w:next w:val="Normal"/>
    <w:link w:val="Heading1Char"/>
    <w:autoRedefine/>
    <w:qFormat/>
    <w:rsid w:val="00E43E4A"/>
    <w:pPr>
      <w:keepNext/>
      <w:keepLines/>
      <w:numPr>
        <w:numId w:val="1"/>
      </w:numPr>
      <w:pBdr>
        <w:bottom w:val="single" w:sz="24" w:space="1" w:color="BAD80A"/>
      </w:pBdr>
      <w:spacing w:before="0" w:after="360"/>
      <w:ind w:left="851" w:right="-1418" w:hanging="851"/>
      <w:outlineLvl w:val="0"/>
    </w:pPr>
    <w:rPr>
      <w:rFonts w:cs="Times New Roman"/>
      <w:b/>
      <w:bCs/>
      <w:color w:val="0084C9"/>
      <w:sz w:val="48"/>
      <w:szCs w:val="28"/>
    </w:rPr>
  </w:style>
  <w:style w:type="paragraph" w:styleId="Heading2">
    <w:name w:val="heading 2"/>
    <w:basedOn w:val="Heading1"/>
    <w:next w:val="Normal"/>
    <w:link w:val="Heading2Char"/>
    <w:autoRedefine/>
    <w:qFormat/>
    <w:rsid w:val="000C6F00"/>
    <w:pPr>
      <w:numPr>
        <w:ilvl w:val="1"/>
      </w:numPr>
      <w:pBdr>
        <w:bottom w:val="none" w:sz="0" w:space="0" w:color="auto"/>
      </w:pBdr>
      <w:spacing w:before="480" w:line="240" w:lineRule="auto"/>
      <w:ind w:left="851" w:hanging="851"/>
      <w:outlineLvl w:val="1"/>
    </w:pPr>
    <w:rPr>
      <w:rFonts w:ascii="Arial Bold" w:hAnsi="Arial Bold"/>
      <w:bCs w:val="0"/>
      <w:color w:val="000000"/>
      <w:sz w:val="28"/>
      <w:szCs w:val="26"/>
    </w:rPr>
  </w:style>
  <w:style w:type="paragraph" w:styleId="Heading3">
    <w:name w:val="heading 3"/>
    <w:basedOn w:val="Normal"/>
    <w:next w:val="Normal"/>
    <w:link w:val="Heading3Char"/>
    <w:qFormat/>
    <w:rsid w:val="00D144AD"/>
    <w:pPr>
      <w:keepNext/>
      <w:keepLines/>
      <w:numPr>
        <w:ilvl w:val="2"/>
        <w:numId w:val="1"/>
      </w:numPr>
      <w:spacing w:before="360" w:line="240" w:lineRule="auto"/>
      <w:ind w:left="851" w:hanging="851"/>
      <w:outlineLvl w:val="2"/>
    </w:pPr>
    <w:rPr>
      <w:rFonts w:cs="Times New Roman"/>
      <w:b/>
      <w:bCs/>
      <w:color w:val="000000"/>
      <w:sz w:val="24"/>
      <w:lang w:val="en-GB"/>
    </w:rPr>
  </w:style>
  <w:style w:type="paragraph" w:styleId="Heading4">
    <w:name w:val="heading 4"/>
    <w:basedOn w:val="Normal"/>
    <w:next w:val="Normal"/>
    <w:link w:val="Heading4Char"/>
    <w:rsid w:val="00F02F13"/>
    <w:pPr>
      <w:keepNext/>
      <w:keepLines/>
      <w:numPr>
        <w:ilvl w:val="3"/>
        <w:numId w:val="2"/>
      </w:numPr>
      <w:spacing w:line="240" w:lineRule="auto"/>
      <w:outlineLvl w:val="3"/>
    </w:pPr>
    <w:rPr>
      <w:rFonts w:ascii="Arial Bold" w:hAnsi="Arial Bold" w:cs="Times New Roman"/>
      <w:b/>
      <w:bCs/>
      <w:iCs/>
    </w:rPr>
  </w:style>
  <w:style w:type="paragraph" w:styleId="Heading5">
    <w:name w:val="heading 5"/>
    <w:basedOn w:val="Normal"/>
    <w:next w:val="Normal"/>
    <w:link w:val="Heading5Char"/>
    <w:rsid w:val="00F02F13"/>
    <w:pPr>
      <w:keepNext/>
      <w:keepLines/>
      <w:numPr>
        <w:ilvl w:val="4"/>
        <w:numId w:val="2"/>
      </w:numPr>
      <w:spacing w:before="200"/>
      <w:outlineLvl w:val="4"/>
    </w:pPr>
    <w:rPr>
      <w:rFonts w:ascii="Cambria" w:hAnsi="Cambria" w:cs="Times New Roman"/>
      <w:color w:val="243F60"/>
    </w:rPr>
  </w:style>
  <w:style w:type="paragraph" w:styleId="Heading6">
    <w:name w:val="heading 6"/>
    <w:basedOn w:val="Normal"/>
    <w:next w:val="Normal"/>
    <w:link w:val="Heading6Char"/>
    <w:rsid w:val="00F02F13"/>
    <w:pPr>
      <w:keepNext/>
      <w:keepLines/>
      <w:numPr>
        <w:ilvl w:val="5"/>
        <w:numId w:val="2"/>
      </w:numPr>
      <w:spacing w:before="200"/>
      <w:outlineLvl w:val="5"/>
    </w:pPr>
    <w:rPr>
      <w:rFonts w:ascii="Cambria" w:hAnsi="Cambria" w:cs="Times New Roman"/>
      <w:i/>
      <w:iCs/>
      <w:color w:val="243F60"/>
    </w:rPr>
  </w:style>
  <w:style w:type="paragraph" w:styleId="Heading7">
    <w:name w:val="heading 7"/>
    <w:basedOn w:val="Normal"/>
    <w:next w:val="Normal"/>
    <w:link w:val="Heading7Char"/>
    <w:rsid w:val="00F02F13"/>
    <w:pPr>
      <w:keepNext/>
      <w:keepLines/>
      <w:numPr>
        <w:ilvl w:val="6"/>
        <w:numId w:val="2"/>
      </w:numPr>
      <w:spacing w:before="200"/>
      <w:outlineLvl w:val="6"/>
    </w:pPr>
    <w:rPr>
      <w:rFonts w:ascii="Cambria" w:hAnsi="Cambria" w:cs="Times New Roman"/>
      <w:i/>
      <w:iCs/>
      <w:color w:val="404040"/>
    </w:rPr>
  </w:style>
  <w:style w:type="paragraph" w:styleId="Heading8">
    <w:name w:val="heading 8"/>
    <w:basedOn w:val="Normal"/>
    <w:next w:val="Normal"/>
    <w:link w:val="Heading8Char"/>
    <w:rsid w:val="00F02F13"/>
    <w:pPr>
      <w:keepNext/>
      <w:keepLines/>
      <w:numPr>
        <w:ilvl w:val="7"/>
        <w:numId w:val="2"/>
      </w:numPr>
      <w:spacing w:before="200"/>
      <w:outlineLvl w:val="7"/>
    </w:pPr>
    <w:rPr>
      <w:rFonts w:ascii="Cambria" w:hAnsi="Cambria" w:cs="Times New Roman"/>
      <w:color w:val="404040"/>
      <w:szCs w:val="20"/>
    </w:rPr>
  </w:style>
  <w:style w:type="paragraph" w:styleId="Heading9">
    <w:name w:val="heading 9"/>
    <w:basedOn w:val="Normal"/>
    <w:next w:val="Normal"/>
    <w:link w:val="Heading9Char"/>
    <w:rsid w:val="00F02F13"/>
    <w:pPr>
      <w:keepNext/>
      <w:keepLines/>
      <w:numPr>
        <w:ilvl w:val="8"/>
        <w:numId w:val="2"/>
      </w:numPr>
      <w:spacing w:before="200"/>
      <w:outlineLvl w:val="8"/>
    </w:pPr>
    <w:rPr>
      <w:rFonts w:ascii="Cambria" w:hAnsi="Cambria" w:cs="Times New Roman"/>
      <w:i/>
      <w:iCs/>
      <w:color w:val="4040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E43E4A"/>
    <w:rPr>
      <w:rFonts w:ascii="Arial" w:hAnsi="Arial"/>
      <w:b/>
      <w:bCs/>
      <w:color w:val="0084C9"/>
      <w:sz w:val="48"/>
      <w:szCs w:val="28"/>
      <w:lang w:eastAsia="en-AU"/>
    </w:rPr>
  </w:style>
  <w:style w:type="character" w:customStyle="1" w:styleId="Heading2Char">
    <w:name w:val="Heading 2 Char"/>
    <w:link w:val="Heading2"/>
    <w:locked/>
    <w:rsid w:val="000C6F00"/>
    <w:rPr>
      <w:rFonts w:ascii="Arial Bold" w:hAnsi="Arial Bold"/>
      <w:b/>
      <w:color w:val="000000"/>
      <w:sz w:val="28"/>
      <w:szCs w:val="26"/>
      <w:lang w:eastAsia="en-AU"/>
    </w:rPr>
  </w:style>
  <w:style w:type="character" w:customStyle="1" w:styleId="Heading3Char">
    <w:name w:val="Heading 3 Char"/>
    <w:link w:val="Heading3"/>
    <w:locked/>
    <w:rsid w:val="00D144AD"/>
    <w:rPr>
      <w:rFonts w:ascii="Arial" w:hAnsi="Arial"/>
      <w:b/>
      <w:bCs/>
      <w:color w:val="000000"/>
      <w:sz w:val="24"/>
      <w:szCs w:val="24"/>
      <w:lang w:val="en-GB" w:eastAsia="en-AU"/>
    </w:rPr>
  </w:style>
  <w:style w:type="character" w:customStyle="1" w:styleId="Heading4Char">
    <w:name w:val="Heading 4 Char"/>
    <w:link w:val="Heading4"/>
    <w:locked/>
    <w:rsid w:val="00F02F13"/>
    <w:rPr>
      <w:rFonts w:ascii="Arial Bold" w:hAnsi="Arial Bold"/>
      <w:b/>
      <w:bCs/>
      <w:iCs/>
      <w:szCs w:val="24"/>
      <w:lang w:eastAsia="en-AU"/>
    </w:rPr>
  </w:style>
  <w:style w:type="character" w:customStyle="1" w:styleId="Heading5Char">
    <w:name w:val="Heading 5 Char"/>
    <w:link w:val="Heading5"/>
    <w:locked/>
    <w:rsid w:val="00F02F13"/>
    <w:rPr>
      <w:rFonts w:ascii="Cambria" w:hAnsi="Cambria"/>
      <w:color w:val="243F60"/>
      <w:szCs w:val="24"/>
      <w:lang w:eastAsia="en-AU"/>
    </w:rPr>
  </w:style>
  <w:style w:type="character" w:customStyle="1" w:styleId="Heading6Char">
    <w:name w:val="Heading 6 Char"/>
    <w:link w:val="Heading6"/>
    <w:locked/>
    <w:rsid w:val="00F02F13"/>
    <w:rPr>
      <w:rFonts w:ascii="Cambria" w:hAnsi="Cambria"/>
      <w:i/>
      <w:iCs/>
      <w:color w:val="243F60"/>
      <w:szCs w:val="24"/>
      <w:lang w:eastAsia="en-AU"/>
    </w:rPr>
  </w:style>
  <w:style w:type="character" w:customStyle="1" w:styleId="Heading7Char">
    <w:name w:val="Heading 7 Char"/>
    <w:link w:val="Heading7"/>
    <w:locked/>
    <w:rsid w:val="00F02F13"/>
    <w:rPr>
      <w:rFonts w:ascii="Cambria" w:hAnsi="Cambria"/>
      <w:i/>
      <w:iCs/>
      <w:color w:val="404040"/>
      <w:szCs w:val="24"/>
      <w:lang w:eastAsia="en-AU"/>
    </w:rPr>
  </w:style>
  <w:style w:type="character" w:customStyle="1" w:styleId="Heading8Char">
    <w:name w:val="Heading 8 Char"/>
    <w:link w:val="Heading8"/>
    <w:locked/>
    <w:rsid w:val="00F02F13"/>
    <w:rPr>
      <w:rFonts w:ascii="Cambria" w:hAnsi="Cambria"/>
      <w:color w:val="404040"/>
      <w:lang w:eastAsia="en-AU"/>
    </w:rPr>
  </w:style>
  <w:style w:type="character" w:customStyle="1" w:styleId="Heading9Char">
    <w:name w:val="Heading 9 Char"/>
    <w:link w:val="Heading9"/>
    <w:locked/>
    <w:rsid w:val="00F02F13"/>
    <w:rPr>
      <w:rFonts w:ascii="Cambria" w:hAnsi="Cambria"/>
      <w:i/>
      <w:iCs/>
      <w:color w:val="404040"/>
      <w:lang w:eastAsia="en-AU"/>
    </w:rPr>
  </w:style>
  <w:style w:type="paragraph" w:styleId="Caption">
    <w:name w:val="caption"/>
    <w:basedOn w:val="Normal"/>
    <w:next w:val="Normal"/>
    <w:link w:val="CaptionChar"/>
    <w:rsid w:val="00F02F13"/>
    <w:pPr>
      <w:keepNext/>
      <w:spacing w:after="120"/>
      <w:ind w:left="0"/>
      <w:jc w:val="center"/>
    </w:pPr>
    <w:rPr>
      <w:rFonts w:cs="Times New Roman"/>
      <w:b/>
      <w:bCs/>
      <w:color w:val="000000"/>
      <w:szCs w:val="18"/>
    </w:rPr>
  </w:style>
  <w:style w:type="paragraph" w:styleId="TOAHeading">
    <w:name w:val="toa heading"/>
    <w:basedOn w:val="Normal"/>
    <w:next w:val="Normal"/>
    <w:semiHidden/>
    <w:rsid w:val="00F02F13"/>
    <w:pPr>
      <w:spacing w:after="640" w:line="240" w:lineRule="auto"/>
      <w:ind w:left="0"/>
    </w:pPr>
    <w:rPr>
      <w:rFonts w:cs="Times New Roman"/>
      <w:b/>
      <w:bCs/>
      <w:sz w:val="48"/>
    </w:rPr>
  </w:style>
  <w:style w:type="paragraph" w:styleId="ListBullet">
    <w:name w:val="List Bullet"/>
    <w:basedOn w:val="BodyText"/>
    <w:qFormat/>
    <w:rsid w:val="00463234"/>
    <w:pPr>
      <w:numPr>
        <w:numId w:val="8"/>
      </w:numPr>
      <w:contextualSpacing/>
    </w:pPr>
  </w:style>
  <w:style w:type="paragraph" w:styleId="Title">
    <w:name w:val="Title"/>
    <w:basedOn w:val="Normal"/>
    <w:next w:val="Normal"/>
    <w:link w:val="TitleChar"/>
    <w:rsid w:val="00F02F13"/>
    <w:pPr>
      <w:spacing w:before="0" w:line="240" w:lineRule="auto"/>
      <w:ind w:left="0"/>
    </w:pPr>
    <w:rPr>
      <w:rFonts w:cs="Times New Roman"/>
      <w:b/>
      <w:color w:val="000000"/>
      <w:spacing w:val="5"/>
      <w:kern w:val="28"/>
      <w:sz w:val="60"/>
      <w:szCs w:val="52"/>
    </w:rPr>
  </w:style>
  <w:style w:type="character" w:customStyle="1" w:styleId="TitleChar">
    <w:name w:val="Title Char"/>
    <w:link w:val="Title"/>
    <w:locked/>
    <w:rsid w:val="00F02F13"/>
    <w:rPr>
      <w:rFonts w:ascii="Arial" w:hAnsi="Arial"/>
      <w:b/>
      <w:color w:val="000000"/>
      <w:spacing w:val="5"/>
      <w:kern w:val="28"/>
      <w:sz w:val="52"/>
    </w:rPr>
  </w:style>
  <w:style w:type="paragraph" w:styleId="ListParagraph">
    <w:name w:val="List Paragraph"/>
    <w:aliases w:val="UE List Paragraph,Colorful List - Accent 11,Agenda Number,Number Bullet,Normal Bullets,NAST Quote,List Paragraph1,List 1 Paragraph"/>
    <w:basedOn w:val="Normal"/>
    <w:link w:val="ListParagraphChar"/>
    <w:uiPriority w:val="34"/>
    <w:qFormat/>
    <w:rsid w:val="00F02F13"/>
    <w:pPr>
      <w:ind w:left="720"/>
    </w:pPr>
  </w:style>
  <w:style w:type="paragraph" w:styleId="TOCHeading">
    <w:name w:val="TOC Heading"/>
    <w:basedOn w:val="Heading1"/>
    <w:next w:val="Normal"/>
    <w:rsid w:val="00F02F13"/>
    <w:pPr>
      <w:numPr>
        <w:numId w:val="0"/>
      </w:numPr>
      <w:spacing w:before="480" w:after="0" w:line="276" w:lineRule="auto"/>
      <w:outlineLvl w:val="9"/>
    </w:pPr>
    <w:rPr>
      <w:rFonts w:ascii="Cambria" w:hAnsi="Cambria"/>
      <w:color w:val="365F91"/>
      <w:sz w:val="28"/>
      <w:lang w:val="en-US" w:eastAsia="ja-JP"/>
    </w:rPr>
  </w:style>
  <w:style w:type="paragraph" w:styleId="BalloonText">
    <w:name w:val="Balloon Text"/>
    <w:basedOn w:val="Normal"/>
    <w:link w:val="BalloonTextChar"/>
    <w:uiPriority w:val="99"/>
    <w:semiHidden/>
    <w:rsid w:val="006349CD"/>
    <w:pPr>
      <w:spacing w:before="0" w:line="240" w:lineRule="auto"/>
    </w:pPr>
    <w:rPr>
      <w:rFonts w:ascii="Tahoma" w:hAnsi="Tahoma" w:cs="Tahoma"/>
      <w:sz w:val="16"/>
      <w:szCs w:val="16"/>
    </w:rPr>
  </w:style>
  <w:style w:type="character" w:customStyle="1" w:styleId="BalloonTextChar">
    <w:name w:val="Balloon Text Char"/>
    <w:link w:val="BalloonText"/>
    <w:uiPriority w:val="99"/>
    <w:semiHidden/>
    <w:locked/>
    <w:rsid w:val="006349CD"/>
    <w:rPr>
      <w:rFonts w:ascii="Tahoma" w:hAnsi="Tahoma" w:cs="Tahoma"/>
      <w:sz w:val="16"/>
      <w:szCs w:val="16"/>
    </w:rPr>
  </w:style>
  <w:style w:type="paragraph" w:styleId="Header">
    <w:name w:val="header"/>
    <w:basedOn w:val="Normal"/>
    <w:link w:val="HeaderChar"/>
    <w:uiPriority w:val="99"/>
    <w:rsid w:val="00D024B8"/>
    <w:pPr>
      <w:tabs>
        <w:tab w:val="center" w:pos="4513"/>
        <w:tab w:val="right" w:pos="9026"/>
      </w:tabs>
      <w:spacing w:before="0" w:line="240" w:lineRule="auto"/>
    </w:pPr>
  </w:style>
  <w:style w:type="character" w:customStyle="1" w:styleId="HeaderChar">
    <w:name w:val="Header Char"/>
    <w:link w:val="Header"/>
    <w:uiPriority w:val="99"/>
    <w:locked/>
    <w:rsid w:val="00D024B8"/>
    <w:rPr>
      <w:rFonts w:ascii="Arial" w:hAnsi="Arial" w:cs="Arial"/>
      <w:sz w:val="24"/>
      <w:szCs w:val="24"/>
    </w:rPr>
  </w:style>
  <w:style w:type="paragraph" w:styleId="Footer">
    <w:name w:val="footer"/>
    <w:basedOn w:val="Normal"/>
    <w:link w:val="FooterChar"/>
    <w:uiPriority w:val="99"/>
    <w:rsid w:val="00D024B8"/>
    <w:pPr>
      <w:tabs>
        <w:tab w:val="center" w:pos="4513"/>
        <w:tab w:val="right" w:pos="9026"/>
      </w:tabs>
      <w:spacing w:before="0" w:line="240" w:lineRule="auto"/>
    </w:pPr>
  </w:style>
  <w:style w:type="character" w:customStyle="1" w:styleId="FooterChar">
    <w:name w:val="Footer Char"/>
    <w:link w:val="Footer"/>
    <w:uiPriority w:val="99"/>
    <w:locked/>
    <w:rsid w:val="00D024B8"/>
    <w:rPr>
      <w:rFonts w:ascii="Arial" w:hAnsi="Arial" w:cs="Arial"/>
      <w:sz w:val="24"/>
      <w:szCs w:val="24"/>
    </w:rPr>
  </w:style>
  <w:style w:type="character" w:customStyle="1" w:styleId="CaptionChar">
    <w:name w:val="Caption Char"/>
    <w:link w:val="Caption"/>
    <w:locked/>
    <w:rsid w:val="00D024B8"/>
    <w:rPr>
      <w:rFonts w:ascii="Arial" w:hAnsi="Arial"/>
      <w:b/>
      <w:color w:val="000000"/>
      <w:sz w:val="18"/>
    </w:rPr>
  </w:style>
  <w:style w:type="paragraph" w:styleId="TableofFigures">
    <w:name w:val="table of figures"/>
    <w:basedOn w:val="Normal"/>
    <w:next w:val="Normal"/>
    <w:uiPriority w:val="99"/>
    <w:rsid w:val="00D024B8"/>
    <w:pPr>
      <w:ind w:left="0"/>
    </w:pPr>
  </w:style>
  <w:style w:type="paragraph" w:styleId="TOC1">
    <w:name w:val="toc 1"/>
    <w:basedOn w:val="Normal"/>
    <w:next w:val="Normal"/>
    <w:autoRedefine/>
    <w:uiPriority w:val="39"/>
    <w:rsid w:val="00E43E4A"/>
    <w:pPr>
      <w:tabs>
        <w:tab w:val="left" w:pos="851"/>
        <w:tab w:val="right" w:leader="dot" w:pos="9072"/>
      </w:tabs>
      <w:spacing w:before="360" w:line="240" w:lineRule="auto"/>
      <w:ind w:hanging="851"/>
    </w:pPr>
    <w:rPr>
      <w:rFonts w:ascii="Arial Bold" w:hAnsi="Arial Bold"/>
      <w:noProof/>
      <w:sz w:val="22"/>
      <w:szCs w:val="20"/>
      <w:lang w:val="en-GB"/>
    </w:rPr>
  </w:style>
  <w:style w:type="character" w:styleId="Hyperlink">
    <w:name w:val="Hyperlink"/>
    <w:uiPriority w:val="99"/>
    <w:qFormat/>
    <w:rsid w:val="00470D46"/>
    <w:rPr>
      <w:rFonts w:cs="Times New Roman"/>
      <w:color w:val="0000FF"/>
      <w:u w:val="single"/>
    </w:rPr>
  </w:style>
  <w:style w:type="paragraph" w:styleId="TOC2">
    <w:name w:val="toc 2"/>
    <w:basedOn w:val="Normal"/>
    <w:next w:val="Normal"/>
    <w:link w:val="TOC2Char"/>
    <w:autoRedefine/>
    <w:uiPriority w:val="39"/>
    <w:rsid w:val="00E43E4A"/>
    <w:pPr>
      <w:tabs>
        <w:tab w:val="left" w:pos="1843"/>
        <w:tab w:val="right" w:leader="dot" w:pos="9072"/>
      </w:tabs>
      <w:spacing w:before="120" w:line="240" w:lineRule="auto"/>
      <w:ind w:left="1418" w:hanging="567"/>
    </w:pPr>
    <w:rPr>
      <w:rFonts w:ascii="Arial Bold" w:hAnsi="Arial Bold"/>
      <w:b/>
      <w:noProof/>
    </w:rPr>
  </w:style>
  <w:style w:type="paragraph" w:styleId="TOC3">
    <w:name w:val="toc 3"/>
    <w:basedOn w:val="Normal"/>
    <w:next w:val="Normal"/>
    <w:autoRedefine/>
    <w:uiPriority w:val="39"/>
    <w:rsid w:val="00E43E4A"/>
    <w:pPr>
      <w:tabs>
        <w:tab w:val="left" w:pos="2410"/>
        <w:tab w:val="right" w:leader="dot" w:pos="9072"/>
      </w:tabs>
      <w:spacing w:before="120" w:after="60" w:line="240" w:lineRule="auto"/>
      <w:ind w:left="2127" w:hanging="709"/>
    </w:pPr>
    <w:rPr>
      <w:noProof/>
      <w:szCs w:val="20"/>
    </w:rPr>
  </w:style>
  <w:style w:type="paragraph" w:customStyle="1" w:styleId="APPENDIX">
    <w:name w:val="APPENDIX"/>
    <w:basedOn w:val="Normal"/>
    <w:link w:val="APPENDIXChar"/>
    <w:rsid w:val="00D024B8"/>
    <w:pPr>
      <w:tabs>
        <w:tab w:val="left" w:pos="1134"/>
        <w:tab w:val="right" w:leader="dot" w:pos="8845"/>
      </w:tabs>
      <w:spacing w:before="120"/>
      <w:ind w:left="0"/>
      <w:jc w:val="center"/>
      <w:outlineLvl w:val="0"/>
    </w:pPr>
    <w:rPr>
      <w:rFonts w:ascii="Arial Black" w:hAnsi="Arial Black"/>
      <w:b/>
      <w:color w:val="007DC4"/>
      <w:sz w:val="56"/>
      <w:szCs w:val="56"/>
    </w:rPr>
  </w:style>
  <w:style w:type="character" w:customStyle="1" w:styleId="TOC2Char">
    <w:name w:val="TOC 2 Char"/>
    <w:link w:val="TOC2"/>
    <w:uiPriority w:val="39"/>
    <w:locked/>
    <w:rsid w:val="00E43E4A"/>
    <w:rPr>
      <w:rFonts w:ascii="Arial Bold" w:hAnsi="Arial Bold" w:cs="Arial"/>
      <w:b/>
      <w:noProof/>
      <w:szCs w:val="24"/>
    </w:rPr>
  </w:style>
  <w:style w:type="paragraph" w:customStyle="1" w:styleId="Appendix2">
    <w:name w:val="Appendix2"/>
    <w:basedOn w:val="APPENDIX"/>
    <w:link w:val="Appendix2Char"/>
    <w:rsid w:val="00D024B8"/>
    <w:pPr>
      <w:outlineLvl w:val="1"/>
    </w:pPr>
    <w:rPr>
      <w:rFonts w:ascii="Arial" w:hAnsi="Arial"/>
    </w:rPr>
  </w:style>
  <w:style w:type="character" w:customStyle="1" w:styleId="APPENDIXChar">
    <w:name w:val="APPENDIX Char"/>
    <w:link w:val="APPENDIX"/>
    <w:locked/>
    <w:rsid w:val="00D024B8"/>
    <w:rPr>
      <w:rFonts w:ascii="Arial Black" w:hAnsi="Arial Black" w:cs="Arial"/>
      <w:b/>
      <w:color w:val="007DC4"/>
      <w:sz w:val="56"/>
      <w:szCs w:val="56"/>
    </w:rPr>
  </w:style>
  <w:style w:type="character" w:customStyle="1" w:styleId="Appendix2Char">
    <w:name w:val="Appendix2 Char"/>
    <w:link w:val="Appendix2"/>
    <w:locked/>
    <w:rsid w:val="00D024B8"/>
    <w:rPr>
      <w:rFonts w:ascii="Arial" w:hAnsi="Arial" w:cs="Arial"/>
      <w:b/>
      <w:color w:val="007DC4"/>
      <w:sz w:val="56"/>
      <w:szCs w:val="56"/>
    </w:rPr>
  </w:style>
  <w:style w:type="paragraph" w:styleId="BodyText">
    <w:name w:val="Body Text"/>
    <w:basedOn w:val="Normal"/>
    <w:link w:val="BodyTextChar"/>
    <w:uiPriority w:val="99"/>
    <w:rsid w:val="00456137"/>
    <w:pPr>
      <w:spacing w:before="120" w:after="120" w:line="300" w:lineRule="exact"/>
      <w:ind w:left="0"/>
    </w:pPr>
  </w:style>
  <w:style w:type="character" w:customStyle="1" w:styleId="BodyTextChar">
    <w:name w:val="Body Text Char"/>
    <w:link w:val="BodyText"/>
    <w:uiPriority w:val="99"/>
    <w:rsid w:val="00456137"/>
    <w:rPr>
      <w:rFonts w:ascii="Arial" w:hAnsi="Arial" w:cs="Arial"/>
      <w:szCs w:val="24"/>
    </w:rPr>
  </w:style>
  <w:style w:type="paragraph" w:styleId="BlockText">
    <w:name w:val="Block Text"/>
    <w:basedOn w:val="Normal"/>
    <w:rsid w:val="00FF5EE2"/>
    <w:pPr>
      <w:spacing w:after="120"/>
      <w:ind w:left="1440" w:right="1440"/>
    </w:pPr>
  </w:style>
  <w:style w:type="paragraph" w:styleId="BodyText2">
    <w:name w:val="Body Text 2"/>
    <w:basedOn w:val="Normal"/>
    <w:link w:val="BodyText2Char"/>
    <w:rsid w:val="00FF5EE2"/>
    <w:pPr>
      <w:spacing w:after="120" w:line="480" w:lineRule="auto"/>
    </w:pPr>
  </w:style>
  <w:style w:type="character" w:customStyle="1" w:styleId="BodyTextSmallChar">
    <w:name w:val="Body Text Small Char"/>
    <w:link w:val="BodyTextSmall"/>
    <w:locked/>
    <w:rsid w:val="0045743F"/>
    <w:rPr>
      <w:rFonts w:ascii="Arial" w:hAnsi="Arial" w:cs="Arial"/>
      <w:sz w:val="17"/>
      <w:szCs w:val="16"/>
    </w:rPr>
  </w:style>
  <w:style w:type="paragraph" w:customStyle="1" w:styleId="BodyTextSmall">
    <w:name w:val="Body Text Small"/>
    <w:basedOn w:val="Normal"/>
    <w:link w:val="BodyTextSmallChar"/>
    <w:rsid w:val="0045743F"/>
    <w:pPr>
      <w:suppressAutoHyphens/>
      <w:spacing w:before="120" w:after="120" w:line="260" w:lineRule="exact"/>
      <w:ind w:left="0"/>
    </w:pPr>
    <w:rPr>
      <w:sz w:val="17"/>
      <w:szCs w:val="16"/>
    </w:rPr>
  </w:style>
  <w:style w:type="paragraph" w:customStyle="1" w:styleId="SmallText">
    <w:name w:val="Small Text"/>
    <w:basedOn w:val="BodyTextSmall"/>
    <w:link w:val="SmallTextChar"/>
    <w:rsid w:val="00DE17D2"/>
    <w:rPr>
      <w:szCs w:val="17"/>
    </w:rPr>
  </w:style>
  <w:style w:type="paragraph" w:customStyle="1" w:styleId="SubheaderGreen">
    <w:name w:val="Subheader Green"/>
    <w:basedOn w:val="Normal"/>
    <w:link w:val="SubheaderGreenChar"/>
    <w:rsid w:val="00477B3C"/>
    <w:pPr>
      <w:spacing w:before="360" w:after="120" w:line="300" w:lineRule="exact"/>
      <w:ind w:left="0"/>
    </w:pPr>
    <w:rPr>
      <w:b/>
      <w:color w:val="BAD80A"/>
      <w:sz w:val="24"/>
    </w:rPr>
  </w:style>
  <w:style w:type="character" w:customStyle="1" w:styleId="SmallTextChar">
    <w:name w:val="Small Text Char"/>
    <w:link w:val="SmallText"/>
    <w:rsid w:val="00DE17D2"/>
    <w:rPr>
      <w:rFonts w:ascii="Arial" w:hAnsi="Arial" w:cs="Arial"/>
      <w:sz w:val="17"/>
      <w:szCs w:val="17"/>
    </w:rPr>
  </w:style>
  <w:style w:type="paragraph" w:customStyle="1" w:styleId="SubheaderBlack">
    <w:name w:val="Subheader Black"/>
    <w:basedOn w:val="SubheaderGreen"/>
    <w:link w:val="SubheaderBlackChar"/>
    <w:rsid w:val="00CF1985"/>
    <w:rPr>
      <w:color w:val="auto"/>
    </w:rPr>
  </w:style>
  <w:style w:type="character" w:customStyle="1" w:styleId="SubheaderGreenChar">
    <w:name w:val="Subheader Green Char"/>
    <w:link w:val="SubheaderGreen"/>
    <w:rsid w:val="00477B3C"/>
    <w:rPr>
      <w:rFonts w:ascii="Arial" w:hAnsi="Arial" w:cs="Arial"/>
      <w:b/>
      <w:color w:val="BAD80A"/>
      <w:sz w:val="24"/>
      <w:szCs w:val="24"/>
    </w:rPr>
  </w:style>
  <w:style w:type="paragraph" w:customStyle="1" w:styleId="HeaderGreen">
    <w:name w:val="Header Green"/>
    <w:basedOn w:val="Normal"/>
    <w:link w:val="HeaderGreenChar"/>
    <w:qFormat/>
    <w:rsid w:val="00477B3C"/>
    <w:pPr>
      <w:spacing w:before="0"/>
      <w:ind w:left="0"/>
    </w:pPr>
    <w:rPr>
      <w:b/>
      <w:color w:val="BAD80A"/>
      <w:sz w:val="48"/>
      <w:szCs w:val="48"/>
    </w:rPr>
  </w:style>
  <w:style w:type="character" w:customStyle="1" w:styleId="SubheaderBlackChar">
    <w:name w:val="Subheader Black Char"/>
    <w:basedOn w:val="SubheaderGreenChar"/>
    <w:link w:val="SubheaderBlack"/>
    <w:rsid w:val="00CF1985"/>
    <w:rPr>
      <w:rFonts w:ascii="Arial" w:hAnsi="Arial" w:cs="Arial"/>
      <w:b/>
      <w:color w:val="BAD80A"/>
      <w:sz w:val="24"/>
      <w:szCs w:val="24"/>
    </w:rPr>
  </w:style>
  <w:style w:type="paragraph" w:styleId="ListBullet2">
    <w:name w:val="List Bullet 2"/>
    <w:basedOn w:val="Normal"/>
    <w:rsid w:val="00865D33"/>
    <w:pPr>
      <w:numPr>
        <w:numId w:val="3"/>
      </w:numPr>
      <w:spacing w:before="120" w:after="120" w:line="300" w:lineRule="exact"/>
      <w:ind w:left="993" w:hanging="284"/>
      <w:contextualSpacing/>
    </w:pPr>
  </w:style>
  <w:style w:type="character" w:customStyle="1" w:styleId="HeaderGreenChar">
    <w:name w:val="Header Green Char"/>
    <w:link w:val="HeaderGreen"/>
    <w:rsid w:val="00477B3C"/>
    <w:rPr>
      <w:rFonts w:ascii="Arial" w:hAnsi="Arial" w:cs="Arial"/>
      <w:b/>
      <w:color w:val="BAD80A"/>
      <w:sz w:val="48"/>
      <w:szCs w:val="48"/>
    </w:rPr>
  </w:style>
  <w:style w:type="paragraph" w:customStyle="1" w:styleId="greenbullets">
    <w:name w:val="green bullets"/>
    <w:basedOn w:val="Normal"/>
    <w:rsid w:val="00B37ADC"/>
    <w:pPr>
      <w:numPr>
        <w:numId w:val="9"/>
      </w:numPr>
      <w:ind w:left="1418" w:hanging="284"/>
    </w:pPr>
  </w:style>
  <w:style w:type="paragraph" w:styleId="ListBullet3">
    <w:name w:val="List Bullet 3"/>
    <w:basedOn w:val="Normal"/>
    <w:rsid w:val="00865D33"/>
    <w:pPr>
      <w:numPr>
        <w:numId w:val="4"/>
      </w:numPr>
      <w:spacing w:before="120" w:after="60" w:line="300" w:lineRule="exact"/>
      <w:ind w:left="1276" w:hanging="283"/>
      <w:contextualSpacing/>
    </w:pPr>
  </w:style>
  <w:style w:type="character" w:customStyle="1" w:styleId="greenbulletslevel1Char">
    <w:name w:val="green bullets level 1 Char"/>
    <w:link w:val="greenbulletslevel1"/>
    <w:locked/>
    <w:rsid w:val="0016454E"/>
    <w:rPr>
      <w:rFonts w:ascii="Arial" w:hAnsi="Arial" w:cs="Arial"/>
      <w:lang w:eastAsia="en-AU"/>
    </w:rPr>
  </w:style>
  <w:style w:type="paragraph" w:customStyle="1" w:styleId="greenbulletslevel1">
    <w:name w:val="green bullets level 1"/>
    <w:basedOn w:val="Normal"/>
    <w:link w:val="greenbulletslevel1Char"/>
    <w:rsid w:val="0016454E"/>
    <w:pPr>
      <w:numPr>
        <w:numId w:val="10"/>
      </w:numPr>
      <w:spacing w:before="120" w:after="120" w:line="280" w:lineRule="exact"/>
      <w:ind w:left="851" w:right="-2" w:hanging="425"/>
    </w:pPr>
    <w:rPr>
      <w:szCs w:val="20"/>
    </w:rPr>
  </w:style>
  <w:style w:type="character" w:customStyle="1" w:styleId="bulletslevel2Char">
    <w:name w:val="bullets level 2 Char"/>
    <w:link w:val="bulletslevel2"/>
    <w:locked/>
    <w:rsid w:val="0016454E"/>
    <w:rPr>
      <w:rFonts w:ascii="Arial" w:hAnsi="Arial" w:cs="Arial"/>
      <w:lang w:eastAsia="en-AU"/>
    </w:rPr>
  </w:style>
  <w:style w:type="paragraph" w:customStyle="1" w:styleId="bulletslevel2">
    <w:name w:val="bullets level 2"/>
    <w:basedOn w:val="greenbulletslevel1"/>
    <w:link w:val="bulletslevel2Char"/>
    <w:qFormat/>
    <w:rsid w:val="0016454E"/>
    <w:pPr>
      <w:numPr>
        <w:numId w:val="11"/>
      </w:numPr>
      <w:ind w:left="1134" w:hanging="283"/>
    </w:pPr>
  </w:style>
  <w:style w:type="character" w:customStyle="1" w:styleId="ListLetterChar">
    <w:name w:val="List Letter Char"/>
    <w:link w:val="ListLetter"/>
    <w:locked/>
    <w:rsid w:val="007F4DF5"/>
    <w:rPr>
      <w:rFonts w:ascii="Arial" w:hAnsi="Arial" w:cs="Arial"/>
      <w:lang w:eastAsia="en-AU"/>
    </w:rPr>
  </w:style>
  <w:style w:type="paragraph" w:customStyle="1" w:styleId="ListLetter">
    <w:name w:val="List Letter"/>
    <w:basedOn w:val="Normal"/>
    <w:next w:val="BodyText"/>
    <w:link w:val="ListLetterChar"/>
    <w:qFormat/>
    <w:rsid w:val="007F4DF5"/>
    <w:pPr>
      <w:numPr>
        <w:numId w:val="12"/>
      </w:numPr>
      <w:spacing w:before="60" w:after="60" w:line="280" w:lineRule="exact"/>
      <w:contextualSpacing/>
    </w:pPr>
    <w:rPr>
      <w:szCs w:val="20"/>
    </w:rPr>
  </w:style>
  <w:style w:type="character" w:customStyle="1" w:styleId="BodyText2Char">
    <w:name w:val="Body Text 2 Char"/>
    <w:link w:val="BodyText2"/>
    <w:rsid w:val="00FF5EE2"/>
    <w:rPr>
      <w:rFonts w:ascii="Arial" w:hAnsi="Arial" w:cs="Arial"/>
      <w:szCs w:val="24"/>
    </w:rPr>
  </w:style>
  <w:style w:type="paragraph" w:styleId="BodyText3">
    <w:name w:val="Body Text 3"/>
    <w:basedOn w:val="Normal"/>
    <w:link w:val="BodyText3Char"/>
    <w:rsid w:val="00FF5EE2"/>
    <w:pPr>
      <w:spacing w:after="120"/>
    </w:pPr>
    <w:rPr>
      <w:sz w:val="16"/>
      <w:szCs w:val="16"/>
    </w:rPr>
  </w:style>
  <w:style w:type="character" w:customStyle="1" w:styleId="BodyText3Char">
    <w:name w:val="Body Text 3 Char"/>
    <w:link w:val="BodyText3"/>
    <w:rsid w:val="00FF5EE2"/>
    <w:rPr>
      <w:rFonts w:ascii="Arial" w:hAnsi="Arial" w:cs="Arial"/>
      <w:sz w:val="16"/>
      <w:szCs w:val="16"/>
    </w:rPr>
  </w:style>
  <w:style w:type="paragraph" w:customStyle="1" w:styleId="TableHeader">
    <w:name w:val="Table Header"/>
    <w:basedOn w:val="SubheaderBlack"/>
    <w:link w:val="TableHeaderChar"/>
    <w:qFormat/>
    <w:rsid w:val="00CF1985"/>
    <w:rPr>
      <w:sz w:val="20"/>
      <w:szCs w:val="20"/>
    </w:rPr>
  </w:style>
  <w:style w:type="paragraph" w:customStyle="1" w:styleId="TableCopy">
    <w:name w:val="Table Copy"/>
    <w:basedOn w:val="Normal"/>
    <w:link w:val="TableCopyChar"/>
    <w:qFormat/>
    <w:rsid w:val="004B3487"/>
    <w:pPr>
      <w:tabs>
        <w:tab w:val="left" w:pos="1134"/>
        <w:tab w:val="right" w:leader="dot" w:pos="9072"/>
      </w:tabs>
      <w:spacing w:before="120" w:after="120" w:line="240" w:lineRule="auto"/>
      <w:ind w:left="0"/>
    </w:pPr>
    <w:rPr>
      <w:szCs w:val="20"/>
    </w:rPr>
  </w:style>
  <w:style w:type="character" w:customStyle="1" w:styleId="TableHeaderChar">
    <w:name w:val="Table Header Char"/>
    <w:basedOn w:val="SubheaderBlackChar"/>
    <w:link w:val="TableHeader"/>
    <w:rsid w:val="00CF1985"/>
    <w:rPr>
      <w:rFonts w:ascii="Arial" w:hAnsi="Arial" w:cs="Arial"/>
      <w:b/>
      <w:color w:val="BAD80A"/>
      <w:sz w:val="24"/>
      <w:szCs w:val="24"/>
    </w:rPr>
  </w:style>
  <w:style w:type="paragraph" w:customStyle="1" w:styleId="TableColumnHeader">
    <w:name w:val="Table Column Header"/>
    <w:basedOn w:val="TableCopy"/>
    <w:link w:val="TableColumnHeaderChar"/>
    <w:qFormat/>
    <w:rsid w:val="004B3487"/>
    <w:rPr>
      <w:b/>
      <w:color w:val="FFFFFF"/>
    </w:rPr>
  </w:style>
  <w:style w:type="character" w:customStyle="1" w:styleId="TableCopyChar">
    <w:name w:val="Table Copy Char"/>
    <w:link w:val="TableCopy"/>
    <w:rsid w:val="004B3487"/>
    <w:rPr>
      <w:rFonts w:ascii="Arial" w:hAnsi="Arial" w:cs="Arial"/>
    </w:rPr>
  </w:style>
  <w:style w:type="paragraph" w:styleId="PlainText">
    <w:name w:val="Plain Text"/>
    <w:basedOn w:val="Normal"/>
    <w:link w:val="PlainTextChar"/>
    <w:uiPriority w:val="99"/>
    <w:unhideWhenUsed/>
    <w:rsid w:val="00BE109D"/>
    <w:pPr>
      <w:spacing w:before="0" w:line="240" w:lineRule="auto"/>
      <w:ind w:left="0"/>
    </w:pPr>
    <w:rPr>
      <w:rFonts w:eastAsia="Calibri" w:cs="Times New Roman"/>
      <w:szCs w:val="21"/>
      <w:lang w:eastAsia="en-US"/>
    </w:rPr>
  </w:style>
  <w:style w:type="character" w:customStyle="1" w:styleId="TableColumnHeaderChar">
    <w:name w:val="Table Column Header Char"/>
    <w:link w:val="TableColumnHeader"/>
    <w:rsid w:val="004B3487"/>
    <w:rPr>
      <w:rFonts w:ascii="Arial" w:hAnsi="Arial" w:cs="Arial"/>
      <w:b/>
      <w:color w:val="FFFFFF"/>
    </w:rPr>
  </w:style>
  <w:style w:type="character" w:customStyle="1" w:styleId="PlainTextChar">
    <w:name w:val="Plain Text Char"/>
    <w:link w:val="PlainText"/>
    <w:uiPriority w:val="99"/>
    <w:rsid w:val="00BE109D"/>
    <w:rPr>
      <w:rFonts w:ascii="Arial" w:eastAsia="Calibri" w:hAnsi="Arial"/>
      <w:szCs w:val="21"/>
      <w:lang w:eastAsia="en-US"/>
    </w:rPr>
  </w:style>
  <w:style w:type="paragraph" w:styleId="ListNumber">
    <w:name w:val="List Number"/>
    <w:basedOn w:val="Normal"/>
    <w:rsid w:val="00F5442A"/>
    <w:pPr>
      <w:numPr>
        <w:numId w:val="7"/>
      </w:numPr>
      <w:tabs>
        <w:tab w:val="clear" w:pos="360"/>
      </w:tabs>
      <w:spacing w:before="120" w:after="120" w:line="300" w:lineRule="exact"/>
      <w:ind w:left="709" w:hanging="425"/>
      <w:contextualSpacing/>
    </w:pPr>
  </w:style>
  <w:style w:type="paragraph" w:styleId="ListContinue5">
    <w:name w:val="List Continue 5"/>
    <w:basedOn w:val="Normal"/>
    <w:rsid w:val="003B6BA4"/>
    <w:pPr>
      <w:spacing w:after="120"/>
      <w:ind w:left="1415"/>
      <w:contextualSpacing/>
    </w:pPr>
  </w:style>
  <w:style w:type="paragraph" w:styleId="BodyTextIndent">
    <w:name w:val="Body Text Indent"/>
    <w:basedOn w:val="Normal"/>
    <w:link w:val="BodyTextIndentChar"/>
    <w:rsid w:val="00A24BEB"/>
    <w:pPr>
      <w:spacing w:after="120"/>
      <w:ind w:left="709" w:right="706"/>
    </w:pPr>
    <w:rPr>
      <w:i/>
      <w:color w:val="0084C9"/>
    </w:rPr>
  </w:style>
  <w:style w:type="character" w:customStyle="1" w:styleId="BodyTextIndentChar">
    <w:name w:val="Body Text Indent Char"/>
    <w:link w:val="BodyTextIndent"/>
    <w:rsid w:val="00A24BEB"/>
    <w:rPr>
      <w:rFonts w:ascii="Arial" w:hAnsi="Arial" w:cs="Arial"/>
      <w:i/>
      <w:color w:val="0084C9"/>
      <w:szCs w:val="24"/>
    </w:rPr>
  </w:style>
  <w:style w:type="paragraph" w:styleId="BodyTextFirstIndent">
    <w:name w:val="Body Text First Indent"/>
    <w:basedOn w:val="BodyText"/>
    <w:link w:val="BodyTextFirstIndentChar"/>
    <w:rsid w:val="00A24BEB"/>
    <w:pPr>
      <w:spacing w:line="300" w:lineRule="auto"/>
      <w:ind w:left="851" w:firstLine="210"/>
    </w:pPr>
  </w:style>
  <w:style w:type="character" w:customStyle="1" w:styleId="BodyTextFirstIndentChar">
    <w:name w:val="Body Text First Indent Char"/>
    <w:basedOn w:val="BodyTextChar"/>
    <w:link w:val="BodyTextFirstIndent"/>
    <w:rsid w:val="00A24BEB"/>
    <w:rPr>
      <w:rFonts w:ascii="Arial" w:hAnsi="Arial" w:cs="Arial"/>
      <w:szCs w:val="24"/>
    </w:rPr>
  </w:style>
  <w:style w:type="paragraph" w:styleId="BodyTextFirstIndent2">
    <w:name w:val="Body Text First Indent 2"/>
    <w:basedOn w:val="BodyTextIndent"/>
    <w:link w:val="BodyTextFirstIndent2Char"/>
    <w:rsid w:val="00A24BEB"/>
    <w:pPr>
      <w:ind w:firstLine="210"/>
    </w:pPr>
  </w:style>
  <w:style w:type="character" w:customStyle="1" w:styleId="BodyTextFirstIndent2Char">
    <w:name w:val="Body Text First Indent 2 Char"/>
    <w:basedOn w:val="BodyTextIndentChar"/>
    <w:link w:val="BodyTextFirstIndent2"/>
    <w:rsid w:val="00A24BEB"/>
    <w:rPr>
      <w:rFonts w:ascii="Arial" w:hAnsi="Arial" w:cs="Arial"/>
      <w:i/>
      <w:color w:val="0084C9"/>
      <w:szCs w:val="24"/>
    </w:rPr>
  </w:style>
  <w:style w:type="paragraph" w:styleId="BodyTextIndent2">
    <w:name w:val="Body Text Indent 2"/>
    <w:basedOn w:val="Normal"/>
    <w:link w:val="BodyTextIndent2Char"/>
    <w:rsid w:val="00A24BEB"/>
    <w:pPr>
      <w:spacing w:after="120" w:line="480" w:lineRule="auto"/>
      <w:ind w:left="283"/>
    </w:pPr>
  </w:style>
  <w:style w:type="character" w:customStyle="1" w:styleId="BodyTextIndent2Char">
    <w:name w:val="Body Text Indent 2 Char"/>
    <w:link w:val="BodyTextIndent2"/>
    <w:rsid w:val="00A24BEB"/>
    <w:rPr>
      <w:rFonts w:ascii="Arial" w:hAnsi="Arial" w:cs="Arial"/>
      <w:szCs w:val="24"/>
    </w:rPr>
  </w:style>
  <w:style w:type="paragraph" w:styleId="BodyTextIndent3">
    <w:name w:val="Body Text Indent 3"/>
    <w:basedOn w:val="Normal"/>
    <w:link w:val="BodyTextIndent3Char"/>
    <w:rsid w:val="00A24BEB"/>
    <w:pPr>
      <w:spacing w:after="120"/>
      <w:ind w:left="283"/>
    </w:pPr>
    <w:rPr>
      <w:sz w:val="16"/>
      <w:szCs w:val="16"/>
    </w:rPr>
  </w:style>
  <w:style w:type="character" w:customStyle="1" w:styleId="BodyTextIndent3Char">
    <w:name w:val="Body Text Indent 3 Char"/>
    <w:link w:val="BodyTextIndent3"/>
    <w:rsid w:val="00A24BEB"/>
    <w:rPr>
      <w:rFonts w:ascii="Arial" w:hAnsi="Arial" w:cs="Arial"/>
      <w:sz w:val="16"/>
      <w:szCs w:val="16"/>
    </w:rPr>
  </w:style>
  <w:style w:type="paragraph" w:customStyle="1" w:styleId="BodyTextIndentGreen">
    <w:name w:val="Body Text Indent Green"/>
    <w:basedOn w:val="BodyTextIndent"/>
    <w:link w:val="BodyTextIndentGreenChar"/>
    <w:rsid w:val="007F0A0D"/>
    <w:rPr>
      <w:color w:val="BAD80A"/>
    </w:rPr>
  </w:style>
  <w:style w:type="paragraph" w:styleId="ListBullet4">
    <w:name w:val="List Bullet 4"/>
    <w:basedOn w:val="Normal"/>
    <w:rsid w:val="00AB345E"/>
    <w:pPr>
      <w:numPr>
        <w:numId w:val="5"/>
      </w:numPr>
      <w:tabs>
        <w:tab w:val="left" w:pos="1559"/>
      </w:tabs>
      <w:spacing w:before="60" w:after="60" w:line="280" w:lineRule="exact"/>
      <w:ind w:left="1560" w:hanging="284"/>
      <w:contextualSpacing/>
    </w:pPr>
    <w:rPr>
      <w:sz w:val="18"/>
      <w:szCs w:val="18"/>
    </w:rPr>
  </w:style>
  <w:style w:type="character" w:customStyle="1" w:styleId="BodyTextIndentGreenChar">
    <w:name w:val="Body Text Indent Green Char"/>
    <w:link w:val="BodyTextIndentGreen"/>
    <w:rsid w:val="007F0A0D"/>
    <w:rPr>
      <w:rFonts w:ascii="Arial" w:hAnsi="Arial" w:cs="Arial"/>
      <w:i/>
      <w:color w:val="BAD80A"/>
      <w:szCs w:val="24"/>
    </w:rPr>
  </w:style>
  <w:style w:type="paragraph" w:styleId="ListBullet5">
    <w:name w:val="List Bullet 5"/>
    <w:basedOn w:val="Normal"/>
    <w:rsid w:val="00AB345E"/>
    <w:pPr>
      <w:numPr>
        <w:numId w:val="6"/>
      </w:numPr>
      <w:tabs>
        <w:tab w:val="left" w:pos="1843"/>
      </w:tabs>
      <w:spacing w:before="60" w:after="60" w:line="260" w:lineRule="exact"/>
      <w:ind w:left="1843" w:hanging="284"/>
      <w:contextualSpacing/>
    </w:pPr>
    <w:rPr>
      <w:sz w:val="17"/>
      <w:szCs w:val="17"/>
    </w:rPr>
  </w:style>
  <w:style w:type="paragraph" w:customStyle="1" w:styleId="SubheaderBlue">
    <w:name w:val="Subheader Blue"/>
    <w:basedOn w:val="Normal"/>
    <w:link w:val="SubheaderBlueChar"/>
    <w:rsid w:val="00D100D3"/>
    <w:pPr>
      <w:spacing w:before="360" w:after="120" w:line="300" w:lineRule="exact"/>
      <w:ind w:left="0"/>
    </w:pPr>
    <w:rPr>
      <w:b/>
      <w:color w:val="0084C9"/>
      <w:sz w:val="24"/>
    </w:rPr>
  </w:style>
  <w:style w:type="character" w:customStyle="1" w:styleId="SubheaderBlueChar">
    <w:name w:val="Subheader Blue Char"/>
    <w:link w:val="SubheaderBlue"/>
    <w:rsid w:val="00D100D3"/>
    <w:rPr>
      <w:rFonts w:ascii="Arial" w:hAnsi="Arial" w:cs="Arial"/>
      <w:b/>
      <w:color w:val="0084C9"/>
      <w:sz w:val="24"/>
      <w:szCs w:val="24"/>
    </w:rPr>
  </w:style>
  <w:style w:type="paragraph" w:customStyle="1" w:styleId="HeaderBlue">
    <w:name w:val="Header Blue"/>
    <w:basedOn w:val="Normal"/>
    <w:link w:val="HeaderBlueChar"/>
    <w:qFormat/>
    <w:rsid w:val="00E43E4A"/>
    <w:pPr>
      <w:pBdr>
        <w:bottom w:val="single" w:sz="24" w:space="1" w:color="BAD80A"/>
      </w:pBdr>
      <w:spacing w:before="0"/>
      <w:ind w:left="0" w:right="-1418"/>
    </w:pPr>
    <w:rPr>
      <w:b/>
      <w:color w:val="0084C9"/>
      <w:sz w:val="48"/>
      <w:szCs w:val="48"/>
    </w:rPr>
  </w:style>
  <w:style w:type="character" w:customStyle="1" w:styleId="HeaderBlueChar">
    <w:name w:val="Header Blue Char"/>
    <w:link w:val="HeaderBlue"/>
    <w:rsid w:val="00E43E4A"/>
    <w:rPr>
      <w:rFonts w:ascii="Arial" w:hAnsi="Arial" w:cs="Arial"/>
      <w:b/>
      <w:color w:val="0084C9"/>
      <w:sz w:val="48"/>
      <w:szCs w:val="48"/>
    </w:rPr>
  </w:style>
  <w:style w:type="paragraph" w:customStyle="1" w:styleId="BodyCopyIndentBlue">
    <w:name w:val="Body Copy Indent Blue"/>
    <w:basedOn w:val="BodyTextIndent"/>
    <w:link w:val="BodyCopyIndentBlueChar"/>
    <w:qFormat/>
    <w:rsid w:val="00C960CA"/>
    <w:pPr>
      <w:spacing w:before="120" w:line="300" w:lineRule="exact"/>
      <w:ind w:right="709"/>
    </w:pPr>
  </w:style>
  <w:style w:type="character" w:customStyle="1" w:styleId="BodyCopyIndentBlueChar">
    <w:name w:val="Body Copy Indent Blue Char"/>
    <w:link w:val="BodyCopyIndentBlue"/>
    <w:rsid w:val="00C960CA"/>
    <w:rPr>
      <w:rFonts w:ascii="Arial" w:hAnsi="Arial" w:cs="Arial"/>
      <w:i/>
      <w:color w:val="0084C9"/>
      <w:szCs w:val="24"/>
    </w:rPr>
  </w:style>
  <w:style w:type="paragraph" w:customStyle="1" w:styleId="ReportTitle">
    <w:name w:val="Report Title"/>
    <w:basedOn w:val="Normal"/>
    <w:link w:val="ReportTitleChar"/>
    <w:qFormat/>
    <w:rsid w:val="003A02ED"/>
    <w:pPr>
      <w:spacing w:before="100" w:beforeAutospacing="1" w:after="100" w:afterAutospacing="1" w:line="240" w:lineRule="auto"/>
      <w:ind w:left="0"/>
    </w:pPr>
    <w:rPr>
      <w:b/>
      <w:color w:val="FFFFFF"/>
      <w:sz w:val="70"/>
      <w:szCs w:val="70"/>
    </w:rPr>
  </w:style>
  <w:style w:type="paragraph" w:customStyle="1" w:styleId="ReportSubtitle">
    <w:name w:val="Report Subtitle"/>
    <w:basedOn w:val="Normal"/>
    <w:link w:val="ReportSubtitleChar"/>
    <w:qFormat/>
    <w:rsid w:val="003A02ED"/>
    <w:pPr>
      <w:spacing w:before="0" w:line="240" w:lineRule="auto"/>
      <w:ind w:left="0"/>
    </w:pPr>
    <w:rPr>
      <w:color w:val="FFFFFF"/>
      <w:sz w:val="44"/>
      <w:szCs w:val="44"/>
    </w:rPr>
  </w:style>
  <w:style w:type="character" w:customStyle="1" w:styleId="ReportTitleChar">
    <w:name w:val="Report Title Char"/>
    <w:link w:val="ReportTitle"/>
    <w:rsid w:val="003A02ED"/>
    <w:rPr>
      <w:rFonts w:ascii="Arial" w:hAnsi="Arial" w:cs="Arial"/>
      <w:b/>
      <w:color w:val="FFFFFF"/>
      <w:sz w:val="70"/>
      <w:szCs w:val="70"/>
    </w:rPr>
  </w:style>
  <w:style w:type="paragraph" w:customStyle="1" w:styleId="BlackSubheader">
    <w:name w:val="Black Subheader"/>
    <w:basedOn w:val="SubheaderBlack"/>
    <w:link w:val="BlackSubheaderChar"/>
    <w:qFormat/>
    <w:rsid w:val="00EA5BE0"/>
    <w:pPr>
      <w:spacing w:before="0"/>
    </w:pPr>
  </w:style>
  <w:style w:type="character" w:customStyle="1" w:styleId="ReportSubtitleChar">
    <w:name w:val="Report Subtitle Char"/>
    <w:link w:val="ReportSubtitle"/>
    <w:rsid w:val="003A02ED"/>
    <w:rPr>
      <w:rFonts w:ascii="Arial" w:hAnsi="Arial" w:cs="Arial"/>
      <w:color w:val="FFFFFF"/>
      <w:sz w:val="44"/>
      <w:szCs w:val="44"/>
    </w:rPr>
  </w:style>
  <w:style w:type="character" w:customStyle="1" w:styleId="BlackSubheaderChar">
    <w:name w:val="Black Subheader Char"/>
    <w:basedOn w:val="SubheaderBlackChar"/>
    <w:link w:val="BlackSubheader"/>
    <w:rsid w:val="00EA5BE0"/>
    <w:rPr>
      <w:rFonts w:ascii="Arial" w:hAnsi="Arial" w:cs="Arial"/>
      <w:b/>
      <w:color w:val="BAD80A"/>
      <w:sz w:val="24"/>
      <w:szCs w:val="24"/>
    </w:rPr>
  </w:style>
  <w:style w:type="paragraph" w:customStyle="1" w:styleId="BodyCopy">
    <w:name w:val="Body Copy"/>
    <w:basedOn w:val="BodyText"/>
    <w:link w:val="BodyCopyChar"/>
    <w:qFormat/>
    <w:rsid w:val="00EA5BE0"/>
  </w:style>
  <w:style w:type="character" w:customStyle="1" w:styleId="BodyCopyChar">
    <w:name w:val="Body Copy Char"/>
    <w:basedOn w:val="BodyTextChar"/>
    <w:link w:val="BodyCopy"/>
    <w:rsid w:val="00EA5BE0"/>
    <w:rPr>
      <w:rFonts w:ascii="Arial" w:hAnsi="Arial" w:cs="Arial"/>
      <w:szCs w:val="24"/>
    </w:rPr>
  </w:style>
  <w:style w:type="paragraph" w:customStyle="1" w:styleId="SmallBodyCopy">
    <w:name w:val="Small Body Copy"/>
    <w:basedOn w:val="BodyTextSmall"/>
    <w:link w:val="SmallBodyCopyChar"/>
    <w:qFormat/>
    <w:rsid w:val="00EA5BE0"/>
  </w:style>
  <w:style w:type="paragraph" w:customStyle="1" w:styleId="BlueSubheader">
    <w:name w:val="Blue Subheader"/>
    <w:basedOn w:val="SubheaderBlue"/>
    <w:link w:val="BlueSubheaderChar"/>
    <w:qFormat/>
    <w:rsid w:val="00EA5BE0"/>
  </w:style>
  <w:style w:type="character" w:customStyle="1" w:styleId="SmallBodyCopyChar">
    <w:name w:val="Small Body Copy Char"/>
    <w:basedOn w:val="BodyTextSmallChar"/>
    <w:link w:val="SmallBodyCopy"/>
    <w:rsid w:val="00EA5BE0"/>
    <w:rPr>
      <w:rFonts w:ascii="Arial" w:hAnsi="Arial" w:cs="Arial"/>
      <w:sz w:val="17"/>
      <w:szCs w:val="16"/>
    </w:rPr>
  </w:style>
  <w:style w:type="character" w:customStyle="1" w:styleId="BlueSubheaderChar">
    <w:name w:val="Blue Subheader Char"/>
    <w:basedOn w:val="SubheaderBlueChar"/>
    <w:link w:val="BlueSubheader"/>
    <w:rsid w:val="00EA5BE0"/>
    <w:rPr>
      <w:rFonts w:ascii="Arial" w:hAnsi="Arial" w:cs="Arial"/>
      <w:b/>
      <w:color w:val="0084C9"/>
      <w:sz w:val="24"/>
      <w:szCs w:val="24"/>
    </w:rPr>
  </w:style>
  <w:style w:type="paragraph" w:customStyle="1" w:styleId="BodyTextIndentGreen0">
    <w:name w:val="Body Text Indent Green"/>
    <w:basedOn w:val="BodyTextIndent"/>
    <w:next w:val="BodyTextIndentGreen"/>
    <w:rsid w:val="007F0A0D"/>
    <w:rPr>
      <w:color w:val="BAD80A"/>
    </w:rPr>
  </w:style>
  <w:style w:type="paragraph" w:styleId="NormalWeb">
    <w:name w:val="Normal (Web)"/>
    <w:basedOn w:val="Normal"/>
    <w:uiPriority w:val="99"/>
    <w:rsid w:val="00E377F0"/>
    <w:pPr>
      <w:spacing w:before="0" w:line="240" w:lineRule="auto"/>
      <w:ind w:left="0"/>
    </w:pPr>
    <w:rPr>
      <w:rFonts w:ascii="Times New Roman" w:hAnsi="Times New Roman"/>
      <w:sz w:val="22"/>
      <w:szCs w:val="22"/>
      <w:lang w:eastAsia="en-US"/>
    </w:rPr>
  </w:style>
  <w:style w:type="table" w:customStyle="1" w:styleId="GridTable5Dark-Accent11">
    <w:name w:val="Grid Table 5 Dark - Accent 11"/>
    <w:basedOn w:val="TableNormal"/>
    <w:uiPriority w:val="50"/>
    <w:rsid w:val="00E377F0"/>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B5F8FF"/>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839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839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839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8390"/>
      </w:tcPr>
    </w:tblStylePr>
    <w:tblStylePr w:type="band1Vert">
      <w:tblPr/>
      <w:tcPr>
        <w:shd w:val="clear" w:color="auto" w:fill="6CF1FF"/>
      </w:tcPr>
    </w:tblStylePr>
    <w:tblStylePr w:type="band1Horz">
      <w:tblPr/>
      <w:tcPr>
        <w:shd w:val="clear" w:color="auto" w:fill="6CF1FF"/>
      </w:tcPr>
    </w:tblStylePr>
  </w:style>
  <w:style w:type="numbering" w:customStyle="1" w:styleId="NoList1">
    <w:name w:val="No List1"/>
    <w:next w:val="NoList"/>
    <w:uiPriority w:val="99"/>
    <w:semiHidden/>
    <w:unhideWhenUsed/>
    <w:rsid w:val="0098732F"/>
  </w:style>
  <w:style w:type="table" w:styleId="TableGrid">
    <w:name w:val="Table Grid"/>
    <w:basedOn w:val="TableNormal"/>
    <w:uiPriority w:val="59"/>
    <w:locked/>
    <w:rsid w:val="0098732F"/>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8732F"/>
    <w:pPr>
      <w:autoSpaceDE w:val="0"/>
      <w:autoSpaceDN w:val="0"/>
      <w:adjustRightInd w:val="0"/>
    </w:pPr>
    <w:rPr>
      <w:rFonts w:ascii="Calibri" w:eastAsia="Calibri" w:hAnsi="Calibri" w:cs="Calibri"/>
      <w:color w:val="000000"/>
      <w:sz w:val="24"/>
      <w:szCs w:val="24"/>
      <w:lang w:eastAsia="en-US"/>
    </w:rPr>
  </w:style>
  <w:style w:type="paragraph" w:customStyle="1" w:styleId="Numberlist1">
    <w:name w:val="Number list 1"/>
    <w:basedOn w:val="Heading2"/>
    <w:qFormat/>
    <w:rsid w:val="0098732F"/>
    <w:pPr>
      <w:keepNext w:val="0"/>
      <w:keepLines w:val="0"/>
      <w:numPr>
        <w:ilvl w:val="0"/>
        <w:numId w:val="0"/>
      </w:numPr>
      <w:spacing w:before="0" w:after="120" w:line="288" w:lineRule="auto"/>
      <w:ind w:right="0"/>
      <w:jc w:val="both"/>
    </w:pPr>
    <w:rPr>
      <w:rFonts w:ascii="Arial" w:eastAsia="Calibri" w:hAnsi="Arial"/>
      <w:b w:val="0"/>
      <w:bCs/>
      <w:color w:val="auto"/>
      <w:sz w:val="22"/>
    </w:rPr>
  </w:style>
  <w:style w:type="paragraph" w:customStyle="1" w:styleId="Numberlist2">
    <w:name w:val="Number list 2"/>
    <w:basedOn w:val="Numberlist1"/>
    <w:qFormat/>
    <w:rsid w:val="0098732F"/>
    <w:pPr>
      <w:tabs>
        <w:tab w:val="num" w:pos="1135"/>
      </w:tabs>
      <w:ind w:left="1135" w:hanging="567"/>
    </w:pPr>
  </w:style>
  <w:style w:type="paragraph" w:customStyle="1" w:styleId="Numberlist3">
    <w:name w:val="Number list 3"/>
    <w:basedOn w:val="Numberlist2"/>
    <w:qFormat/>
    <w:rsid w:val="0098732F"/>
    <w:pPr>
      <w:tabs>
        <w:tab w:val="clear" w:pos="1135"/>
        <w:tab w:val="num" w:pos="1701"/>
      </w:tabs>
      <w:ind w:left="1701"/>
    </w:pPr>
  </w:style>
  <w:style w:type="paragraph" w:customStyle="1" w:styleId="Numberlist4">
    <w:name w:val="Number list 4"/>
    <w:basedOn w:val="Numberlist3"/>
    <w:qFormat/>
    <w:rsid w:val="0098732F"/>
    <w:pPr>
      <w:tabs>
        <w:tab w:val="clear" w:pos="1701"/>
        <w:tab w:val="num" w:pos="2268"/>
      </w:tabs>
      <w:ind w:left="2268"/>
    </w:pPr>
  </w:style>
  <w:style w:type="paragraph" w:styleId="NoSpacing">
    <w:name w:val="No Spacing"/>
    <w:uiPriority w:val="1"/>
    <w:qFormat/>
    <w:rsid w:val="0098732F"/>
    <w:rPr>
      <w:rFonts w:ascii="Calibri" w:eastAsia="Calibri" w:hAnsi="Calibri"/>
      <w:sz w:val="22"/>
      <w:szCs w:val="22"/>
      <w:lang w:eastAsia="en-US"/>
    </w:rPr>
  </w:style>
  <w:style w:type="character" w:styleId="CommentReference">
    <w:name w:val="annotation reference"/>
    <w:uiPriority w:val="99"/>
    <w:unhideWhenUsed/>
    <w:rsid w:val="0098732F"/>
    <w:rPr>
      <w:sz w:val="16"/>
      <w:szCs w:val="16"/>
    </w:rPr>
  </w:style>
  <w:style w:type="paragraph" w:styleId="CommentText">
    <w:name w:val="annotation text"/>
    <w:basedOn w:val="Normal"/>
    <w:link w:val="CommentTextChar"/>
    <w:uiPriority w:val="99"/>
    <w:unhideWhenUsed/>
    <w:rsid w:val="0098732F"/>
    <w:pPr>
      <w:spacing w:before="0" w:after="200" w:line="240" w:lineRule="auto"/>
      <w:ind w:left="0"/>
    </w:pPr>
    <w:rPr>
      <w:rFonts w:ascii="Calibri" w:eastAsia="Calibri" w:hAnsi="Calibri" w:cs="Times New Roman"/>
      <w:szCs w:val="20"/>
      <w:lang w:eastAsia="en-US"/>
    </w:rPr>
  </w:style>
  <w:style w:type="character" w:customStyle="1" w:styleId="CommentTextChar">
    <w:name w:val="Comment Text Char"/>
    <w:link w:val="CommentText"/>
    <w:uiPriority w:val="99"/>
    <w:rsid w:val="0098732F"/>
    <w:rPr>
      <w:rFonts w:ascii="Calibri" w:eastAsia="Calibri" w:hAnsi="Calibri"/>
      <w:lang w:eastAsia="en-US"/>
    </w:rPr>
  </w:style>
  <w:style w:type="paragraph" w:styleId="CommentSubject">
    <w:name w:val="annotation subject"/>
    <w:basedOn w:val="CommentText"/>
    <w:next w:val="CommentText"/>
    <w:link w:val="CommentSubjectChar"/>
    <w:uiPriority w:val="99"/>
    <w:unhideWhenUsed/>
    <w:rsid w:val="0098732F"/>
    <w:rPr>
      <w:b/>
      <w:bCs/>
    </w:rPr>
  </w:style>
  <w:style w:type="character" w:customStyle="1" w:styleId="CommentSubjectChar">
    <w:name w:val="Comment Subject Char"/>
    <w:link w:val="CommentSubject"/>
    <w:uiPriority w:val="99"/>
    <w:rsid w:val="0098732F"/>
    <w:rPr>
      <w:rFonts w:ascii="Calibri" w:eastAsia="Calibri" w:hAnsi="Calibri"/>
      <w:b/>
      <w:bCs/>
      <w:lang w:eastAsia="en-US"/>
    </w:rPr>
  </w:style>
  <w:style w:type="character" w:customStyle="1" w:styleId="ListParagraphChar">
    <w:name w:val="List Paragraph Char"/>
    <w:aliases w:val="UE List Paragraph Char,Colorful List - Accent 11 Char,Agenda Number Char,Number Bullet Char,Normal Bullets Char,NAST Quote Char,List Paragraph1 Char,List 1 Paragraph Char"/>
    <w:link w:val="ListParagraph"/>
    <w:uiPriority w:val="34"/>
    <w:locked/>
    <w:rsid w:val="0098732F"/>
    <w:rPr>
      <w:rFonts w:ascii="Arial" w:hAnsi="Arial" w:cs="Arial"/>
      <w:szCs w:val="24"/>
    </w:rPr>
  </w:style>
  <w:style w:type="paragraph" w:customStyle="1" w:styleId="List-Bullets">
    <w:name w:val="List - Bullets"/>
    <w:basedOn w:val="Normal"/>
    <w:link w:val="List-BulletsChar"/>
    <w:qFormat/>
    <w:rsid w:val="0098732F"/>
    <w:pPr>
      <w:numPr>
        <w:numId w:val="14"/>
      </w:numPr>
      <w:spacing w:before="40" w:after="40" w:line="240" w:lineRule="auto"/>
      <w:jc w:val="both"/>
    </w:pPr>
    <w:rPr>
      <w:rFonts w:ascii="Calibri" w:hAnsi="Calibri" w:cs="Calibri"/>
      <w:snapToGrid w:val="0"/>
      <w:sz w:val="24"/>
      <w:szCs w:val="20"/>
    </w:rPr>
  </w:style>
  <w:style w:type="character" w:customStyle="1" w:styleId="List-BulletsChar">
    <w:name w:val="List - Bullets Char"/>
    <w:link w:val="List-Bullets"/>
    <w:rsid w:val="0098732F"/>
    <w:rPr>
      <w:rFonts w:ascii="Calibri" w:hAnsi="Calibri" w:cs="Calibri"/>
      <w:snapToGrid w:val="0"/>
      <w:sz w:val="24"/>
      <w:lang w:eastAsia="en-AU"/>
    </w:rPr>
  </w:style>
  <w:style w:type="character" w:customStyle="1" w:styleId="UnresolvedMention">
    <w:name w:val="Unresolved Mention"/>
    <w:uiPriority w:val="99"/>
    <w:semiHidden/>
    <w:unhideWhenUsed/>
    <w:rsid w:val="0098732F"/>
    <w:rPr>
      <w:color w:val="605E5C"/>
      <w:shd w:val="clear" w:color="auto" w:fill="E1DFDD"/>
    </w:rPr>
  </w:style>
  <w:style w:type="paragraph" w:styleId="FootnoteText">
    <w:name w:val="footnote text"/>
    <w:aliases w:val="(NECG) Footnote Text,ALTS FOOTNOTE,Footnote Text Char1,(NECG) Footnote Text1,ALTS FOOTNOTE1,Footnote Text2,Footnote Text1,Footnote text,AR Footnote Text,AR Footnote Text Char Char Char Char Char,ALTS FOOTNOTE Char1,fn,f, Char Char Char,F-t"/>
    <w:basedOn w:val="Normal"/>
    <w:link w:val="FootnoteTextChar"/>
    <w:uiPriority w:val="99"/>
    <w:qFormat/>
    <w:rsid w:val="0098732F"/>
    <w:pPr>
      <w:spacing w:before="0" w:line="240" w:lineRule="auto"/>
      <w:ind w:left="0"/>
    </w:pPr>
    <w:rPr>
      <w:rFonts w:eastAsia="Calibri"/>
      <w:szCs w:val="20"/>
      <w:lang w:val="en-GB" w:eastAsia="en-US"/>
    </w:rPr>
  </w:style>
  <w:style w:type="character" w:customStyle="1" w:styleId="FootnoteTextChar">
    <w:name w:val="Footnote Text Char"/>
    <w:aliases w:val="(NECG) Footnote Text Char,ALTS FOOTNOTE Char,Footnote Text Char1 Char,(NECG) Footnote Text1 Char,ALTS FOOTNOTE1 Char,Footnote Text2 Char,Footnote Text1 Char,Footnote text Char,AR Footnote Text Char,ALTS FOOTNOTE Char1 Char,fn Char"/>
    <w:link w:val="FootnoteText"/>
    <w:uiPriority w:val="99"/>
    <w:rsid w:val="0098732F"/>
    <w:rPr>
      <w:rFonts w:ascii="Arial" w:eastAsia="Calibri" w:hAnsi="Arial" w:cs="Arial"/>
      <w:lang w:val="en-GB" w:eastAsia="en-US"/>
    </w:rPr>
  </w:style>
  <w:style w:type="character" w:styleId="FootnoteReference">
    <w:name w:val="footnote reference"/>
    <w:aliases w:val="(NECG) Footnote Reference,(NECG) Footnote Reference1,(NECG) Footnote Reference2,(NECG) Footnote Reference3,(NECG) Footnote Reference4,(NECG) Footnote Reference5,(NECG) Footnote Reference6,(NECG) Footnote Reference7,o,Style 3,Style 12"/>
    <w:uiPriority w:val="99"/>
    <w:rsid w:val="0098732F"/>
    <w:rPr>
      <w:vertAlign w:val="superscript"/>
    </w:rPr>
  </w:style>
  <w:style w:type="paragraph" w:styleId="Revision">
    <w:name w:val="Revision"/>
    <w:hidden/>
    <w:uiPriority w:val="99"/>
    <w:semiHidden/>
    <w:rsid w:val="0098732F"/>
    <w:rPr>
      <w:rFonts w:ascii="Calibri" w:eastAsia="Calibri" w:hAnsi="Calibri"/>
      <w:sz w:val="22"/>
      <w:szCs w:val="22"/>
      <w:lang w:eastAsia="en-US"/>
    </w:rPr>
  </w:style>
  <w:style w:type="paragraph" w:customStyle="1" w:styleId="Bullet1">
    <w:name w:val="Bullet 1"/>
    <w:qFormat/>
    <w:rsid w:val="0098732F"/>
    <w:pPr>
      <w:keepNext/>
      <w:numPr>
        <w:numId w:val="15"/>
      </w:numPr>
      <w:spacing w:before="60" w:after="60" w:line="276" w:lineRule="auto"/>
    </w:pPr>
    <w:rPr>
      <w:rFonts w:ascii="Arial" w:eastAsia="Calibri" w:hAnsi="Arial" w:cs="Arial"/>
      <w:sz w:val="22"/>
      <w:szCs w:val="22"/>
      <w:lang w:val="en-GB" w:eastAsia="en-US"/>
    </w:rPr>
  </w:style>
  <w:style w:type="character" w:styleId="FollowedHyperlink">
    <w:name w:val="FollowedHyperlink"/>
    <w:uiPriority w:val="99"/>
    <w:unhideWhenUsed/>
    <w:rsid w:val="0098732F"/>
    <w:rPr>
      <w:color w:val="800080"/>
      <w:u w:val="single"/>
    </w:rPr>
  </w:style>
  <w:style w:type="paragraph" w:customStyle="1" w:styleId="MELegal1">
    <w:name w:val="ME Legal 1"/>
    <w:basedOn w:val="Normal"/>
    <w:qFormat/>
    <w:rsid w:val="009F2CDD"/>
    <w:pPr>
      <w:numPr>
        <w:numId w:val="26"/>
      </w:numPr>
      <w:spacing w:after="200"/>
      <w:outlineLvl w:val="0"/>
    </w:pPr>
  </w:style>
  <w:style w:type="paragraph" w:customStyle="1" w:styleId="MELegal2">
    <w:name w:val="ME Legal 2"/>
    <w:basedOn w:val="Normal"/>
    <w:qFormat/>
    <w:rsid w:val="009F2CDD"/>
    <w:pPr>
      <w:numPr>
        <w:ilvl w:val="1"/>
        <w:numId w:val="26"/>
      </w:numPr>
      <w:spacing w:after="200"/>
      <w:outlineLvl w:val="1"/>
    </w:pPr>
  </w:style>
  <w:style w:type="paragraph" w:customStyle="1" w:styleId="MELegal3">
    <w:name w:val="ME Legal 3"/>
    <w:basedOn w:val="Normal"/>
    <w:qFormat/>
    <w:rsid w:val="009F2CDD"/>
    <w:pPr>
      <w:numPr>
        <w:ilvl w:val="2"/>
        <w:numId w:val="26"/>
      </w:numPr>
      <w:spacing w:after="200"/>
      <w:ind w:left="1360" w:hanging="680"/>
      <w:outlineLvl w:val="2"/>
    </w:pPr>
  </w:style>
  <w:style w:type="paragraph" w:customStyle="1" w:styleId="MELegal4">
    <w:name w:val="ME Legal 4"/>
    <w:basedOn w:val="Normal"/>
    <w:qFormat/>
    <w:rsid w:val="009F2CDD"/>
    <w:pPr>
      <w:numPr>
        <w:ilvl w:val="3"/>
        <w:numId w:val="26"/>
      </w:numPr>
      <w:spacing w:after="200"/>
      <w:outlineLvl w:val="3"/>
    </w:pPr>
  </w:style>
  <w:style w:type="paragraph" w:customStyle="1" w:styleId="MELegal5">
    <w:name w:val="ME Legal 5"/>
    <w:basedOn w:val="Normal"/>
    <w:qFormat/>
    <w:rsid w:val="009F2CDD"/>
    <w:pPr>
      <w:numPr>
        <w:ilvl w:val="4"/>
        <w:numId w:val="26"/>
      </w:numPr>
      <w:spacing w:after="200"/>
      <w:ind w:left="2721" w:hanging="680"/>
      <w:outlineLvl w:val="4"/>
    </w:pPr>
  </w:style>
  <w:style w:type="paragraph" w:customStyle="1" w:styleId="MELegal6">
    <w:name w:val="ME Legal 6"/>
    <w:basedOn w:val="Normal"/>
    <w:qFormat/>
    <w:rsid w:val="009F2CDD"/>
    <w:pPr>
      <w:numPr>
        <w:ilvl w:val="5"/>
        <w:numId w:val="26"/>
      </w:numPr>
      <w:spacing w:after="200"/>
      <w:outlineLvl w:val="5"/>
    </w:pPr>
  </w:style>
  <w:style w:type="paragraph" w:customStyle="1" w:styleId="MEBasic1">
    <w:name w:val="ME Basic 1"/>
    <w:basedOn w:val="Normal"/>
    <w:uiPriority w:val="1"/>
    <w:qFormat/>
    <w:rsid w:val="009F2CDD"/>
    <w:pPr>
      <w:numPr>
        <w:numId w:val="25"/>
      </w:numPr>
      <w:spacing w:after="200"/>
      <w:outlineLvl w:val="0"/>
    </w:pPr>
  </w:style>
  <w:style w:type="paragraph" w:customStyle="1" w:styleId="METitle1">
    <w:name w:val="ME Title 1"/>
    <w:basedOn w:val="Normal"/>
    <w:next w:val="Normal"/>
    <w:uiPriority w:val="2"/>
    <w:qFormat/>
    <w:rsid w:val="009F2CDD"/>
    <w:pPr>
      <w:keepNext/>
      <w:outlineLvl w:val="0"/>
    </w:pPr>
    <w:rPr>
      <w:b/>
      <w:sz w:val="24"/>
    </w:rPr>
  </w:style>
  <w:style w:type="paragraph" w:customStyle="1" w:styleId="METitle2">
    <w:name w:val="ME Title 2"/>
    <w:basedOn w:val="Normal"/>
    <w:next w:val="Normal"/>
    <w:uiPriority w:val="2"/>
    <w:qFormat/>
    <w:rsid w:val="009F2CDD"/>
    <w:pPr>
      <w:keepNext/>
      <w:outlineLvl w:val="0"/>
    </w:pPr>
    <w:rPr>
      <w:b/>
      <w:sz w:val="22"/>
    </w:rPr>
  </w:style>
  <w:style w:type="paragraph" w:customStyle="1" w:styleId="METitle3">
    <w:name w:val="ME Title 3"/>
    <w:basedOn w:val="Normal"/>
    <w:next w:val="Normal"/>
    <w:uiPriority w:val="2"/>
    <w:qFormat/>
    <w:rsid w:val="009F2CDD"/>
    <w:pPr>
      <w:keepNext/>
      <w:outlineLvl w:val="0"/>
    </w:pPr>
    <w:rPr>
      <w:b/>
      <w:i/>
      <w:sz w:val="22"/>
    </w:rPr>
  </w:style>
  <w:style w:type="paragraph" w:customStyle="1" w:styleId="MEBasic2">
    <w:name w:val="ME Basic 2"/>
    <w:basedOn w:val="Normal"/>
    <w:uiPriority w:val="1"/>
    <w:qFormat/>
    <w:rsid w:val="009F2CDD"/>
    <w:pPr>
      <w:numPr>
        <w:ilvl w:val="1"/>
        <w:numId w:val="25"/>
      </w:numPr>
      <w:spacing w:after="200"/>
      <w:outlineLvl w:val="1"/>
    </w:pPr>
  </w:style>
  <w:style w:type="paragraph" w:customStyle="1" w:styleId="MEChapterheading">
    <w:name w:val="ME Chapter heading"/>
    <w:basedOn w:val="Normal"/>
    <w:next w:val="Normal"/>
    <w:uiPriority w:val="6"/>
    <w:qFormat/>
    <w:rsid w:val="009F2CDD"/>
    <w:pPr>
      <w:spacing w:after="360" w:line="480" w:lineRule="exact"/>
      <w:outlineLvl w:val="0"/>
    </w:pPr>
    <w:rPr>
      <w:rFonts w:cs="Angsana New"/>
      <w:spacing w:val="-10"/>
      <w:sz w:val="48"/>
      <w:szCs w:val="48"/>
      <w:lang w:bidi="th-TH"/>
    </w:rPr>
  </w:style>
  <w:style w:type="paragraph" w:customStyle="1" w:styleId="MESubheading">
    <w:name w:val="ME Sub heading"/>
    <w:basedOn w:val="Normal"/>
    <w:next w:val="Normal"/>
    <w:uiPriority w:val="6"/>
    <w:qFormat/>
    <w:rsid w:val="009F2CDD"/>
    <w:pPr>
      <w:spacing w:before="400" w:line="280" w:lineRule="exact"/>
      <w:outlineLvl w:val="0"/>
    </w:pPr>
    <w:rPr>
      <w:rFonts w:cs="Angsana New"/>
      <w:sz w:val="28"/>
      <w:szCs w:val="40"/>
      <w:lang w:bidi="th-TH"/>
    </w:rPr>
  </w:style>
  <w:style w:type="paragraph" w:customStyle="1" w:styleId="MEBasic3">
    <w:name w:val="ME Basic 3"/>
    <w:basedOn w:val="Normal"/>
    <w:uiPriority w:val="1"/>
    <w:qFormat/>
    <w:rsid w:val="009F2CDD"/>
    <w:pPr>
      <w:numPr>
        <w:ilvl w:val="2"/>
        <w:numId w:val="25"/>
      </w:numPr>
      <w:spacing w:after="200"/>
      <w:ind w:left="2041"/>
      <w:outlineLvl w:val="2"/>
    </w:pPr>
  </w:style>
  <w:style w:type="paragraph" w:customStyle="1" w:styleId="MEBasic4">
    <w:name w:val="ME Basic 4"/>
    <w:basedOn w:val="Normal"/>
    <w:uiPriority w:val="1"/>
    <w:qFormat/>
    <w:rsid w:val="009F2CDD"/>
    <w:pPr>
      <w:numPr>
        <w:ilvl w:val="3"/>
        <w:numId w:val="25"/>
      </w:numPr>
      <w:spacing w:after="200"/>
      <w:ind w:left="2721"/>
      <w:outlineLvl w:val="3"/>
    </w:pPr>
  </w:style>
  <w:style w:type="paragraph" w:customStyle="1" w:styleId="MEBasic5">
    <w:name w:val="ME Basic 5"/>
    <w:basedOn w:val="Normal"/>
    <w:uiPriority w:val="1"/>
    <w:qFormat/>
    <w:rsid w:val="009F2CDD"/>
    <w:pPr>
      <w:numPr>
        <w:ilvl w:val="4"/>
        <w:numId w:val="25"/>
      </w:numPr>
      <w:spacing w:after="200"/>
      <w:ind w:left="3402"/>
      <w:outlineLvl w:val="4"/>
    </w:pPr>
  </w:style>
  <w:style w:type="paragraph" w:customStyle="1" w:styleId="MENoIndent1">
    <w:name w:val="ME NoIndent 1"/>
    <w:basedOn w:val="Normal"/>
    <w:uiPriority w:val="3"/>
    <w:qFormat/>
    <w:rsid w:val="009F2CDD"/>
    <w:pPr>
      <w:numPr>
        <w:numId w:val="27"/>
      </w:numPr>
      <w:outlineLvl w:val="0"/>
    </w:pPr>
  </w:style>
  <w:style w:type="paragraph" w:customStyle="1" w:styleId="MENoIndent2">
    <w:name w:val="ME NoIndent 2"/>
    <w:basedOn w:val="Normal"/>
    <w:uiPriority w:val="3"/>
    <w:qFormat/>
    <w:rsid w:val="009F2CDD"/>
    <w:pPr>
      <w:numPr>
        <w:ilvl w:val="1"/>
        <w:numId w:val="27"/>
      </w:numPr>
      <w:outlineLvl w:val="1"/>
    </w:pPr>
  </w:style>
  <w:style w:type="paragraph" w:customStyle="1" w:styleId="MENoIndent3">
    <w:name w:val="ME NoIndent 3"/>
    <w:basedOn w:val="Normal"/>
    <w:uiPriority w:val="3"/>
    <w:qFormat/>
    <w:rsid w:val="009F2CDD"/>
    <w:pPr>
      <w:numPr>
        <w:ilvl w:val="2"/>
        <w:numId w:val="27"/>
      </w:numPr>
      <w:outlineLvl w:val="2"/>
    </w:pPr>
  </w:style>
  <w:style w:type="paragraph" w:customStyle="1" w:styleId="MENoIndent4">
    <w:name w:val="ME NoIndent 4"/>
    <w:basedOn w:val="Normal"/>
    <w:uiPriority w:val="3"/>
    <w:qFormat/>
    <w:rsid w:val="009F2CDD"/>
    <w:pPr>
      <w:numPr>
        <w:ilvl w:val="3"/>
        <w:numId w:val="27"/>
      </w:numPr>
      <w:outlineLvl w:val="3"/>
    </w:pPr>
  </w:style>
  <w:style w:type="paragraph" w:customStyle="1" w:styleId="MENoIndent5">
    <w:name w:val="ME NoIndent 5"/>
    <w:basedOn w:val="Normal"/>
    <w:uiPriority w:val="3"/>
    <w:qFormat/>
    <w:rsid w:val="009F2CDD"/>
    <w:pPr>
      <w:numPr>
        <w:ilvl w:val="4"/>
        <w:numId w:val="27"/>
      </w:numPr>
      <w:outlineLvl w:val="4"/>
    </w:pPr>
  </w:style>
  <w:style w:type="paragraph" w:customStyle="1" w:styleId="MENoIndent6">
    <w:name w:val="ME NoIndent 6"/>
    <w:basedOn w:val="Normal"/>
    <w:uiPriority w:val="3"/>
    <w:qFormat/>
    <w:rsid w:val="009F2CDD"/>
    <w:pPr>
      <w:numPr>
        <w:ilvl w:val="5"/>
        <w:numId w:val="27"/>
      </w:numPr>
      <w:outlineLvl w:val="5"/>
    </w:pPr>
  </w:style>
  <w:style w:type="paragraph" w:customStyle="1" w:styleId="MENumber1">
    <w:name w:val="ME Number 1"/>
    <w:basedOn w:val="Normal"/>
    <w:uiPriority w:val="3"/>
    <w:qFormat/>
    <w:rsid w:val="009F2CDD"/>
    <w:pPr>
      <w:numPr>
        <w:numId w:val="28"/>
      </w:numPr>
      <w:spacing w:after="200"/>
      <w:outlineLvl w:val="0"/>
    </w:pPr>
  </w:style>
  <w:style w:type="paragraph" w:customStyle="1" w:styleId="MENumber2">
    <w:name w:val="ME Number 2"/>
    <w:basedOn w:val="Normal"/>
    <w:uiPriority w:val="3"/>
    <w:qFormat/>
    <w:rsid w:val="009F2CDD"/>
    <w:pPr>
      <w:numPr>
        <w:ilvl w:val="1"/>
        <w:numId w:val="28"/>
      </w:numPr>
      <w:spacing w:after="200"/>
      <w:outlineLvl w:val="1"/>
    </w:pPr>
  </w:style>
  <w:style w:type="paragraph" w:customStyle="1" w:styleId="MENumber3">
    <w:name w:val="ME Number 3"/>
    <w:basedOn w:val="Normal"/>
    <w:uiPriority w:val="3"/>
    <w:qFormat/>
    <w:rsid w:val="009F2CDD"/>
    <w:pPr>
      <w:numPr>
        <w:ilvl w:val="2"/>
        <w:numId w:val="28"/>
      </w:numPr>
      <w:spacing w:after="200"/>
      <w:ind w:left="2041"/>
      <w:outlineLvl w:val="2"/>
    </w:pPr>
  </w:style>
  <w:style w:type="paragraph" w:customStyle="1" w:styleId="MENumber4">
    <w:name w:val="ME Number 4"/>
    <w:basedOn w:val="Normal"/>
    <w:uiPriority w:val="3"/>
    <w:qFormat/>
    <w:rsid w:val="009F2CDD"/>
    <w:pPr>
      <w:numPr>
        <w:ilvl w:val="3"/>
        <w:numId w:val="28"/>
      </w:numPr>
      <w:spacing w:after="200"/>
      <w:ind w:left="2721"/>
      <w:outlineLvl w:val="3"/>
    </w:pPr>
  </w:style>
  <w:style w:type="paragraph" w:customStyle="1" w:styleId="MENumber5">
    <w:name w:val="ME Number 5"/>
    <w:basedOn w:val="Normal"/>
    <w:uiPriority w:val="3"/>
    <w:qFormat/>
    <w:rsid w:val="009F2CDD"/>
    <w:pPr>
      <w:numPr>
        <w:ilvl w:val="4"/>
        <w:numId w:val="28"/>
      </w:numPr>
      <w:spacing w:after="200"/>
      <w:ind w:left="3402"/>
      <w:outlineLvl w:val="4"/>
    </w:pPr>
  </w:style>
  <w:style w:type="paragraph" w:customStyle="1" w:styleId="MENumber6">
    <w:name w:val="ME Number 6"/>
    <w:basedOn w:val="Normal"/>
    <w:uiPriority w:val="3"/>
    <w:qFormat/>
    <w:rsid w:val="009F2CDD"/>
    <w:pPr>
      <w:numPr>
        <w:ilvl w:val="5"/>
        <w:numId w:val="28"/>
      </w:numPr>
      <w:spacing w:after="200"/>
      <w:ind w:left="4082"/>
      <w:outlineLvl w:val="5"/>
    </w:pPr>
  </w:style>
  <w:style w:type="paragraph" w:customStyle="1" w:styleId="Legal1">
    <w:name w:val="Legal 1"/>
    <w:basedOn w:val="Normal"/>
    <w:uiPriority w:val="5"/>
    <w:qFormat/>
    <w:rsid w:val="009F2CDD"/>
    <w:pPr>
      <w:numPr>
        <w:numId w:val="24"/>
      </w:numPr>
      <w:spacing w:after="200"/>
      <w:outlineLvl w:val="0"/>
    </w:pPr>
  </w:style>
  <w:style w:type="paragraph" w:customStyle="1" w:styleId="Legal2">
    <w:name w:val="Legal 2"/>
    <w:basedOn w:val="Normal"/>
    <w:uiPriority w:val="5"/>
    <w:qFormat/>
    <w:rsid w:val="009F2CDD"/>
    <w:pPr>
      <w:numPr>
        <w:ilvl w:val="1"/>
        <w:numId w:val="24"/>
      </w:numPr>
      <w:spacing w:after="200"/>
      <w:outlineLvl w:val="1"/>
    </w:pPr>
  </w:style>
  <w:style w:type="paragraph" w:customStyle="1" w:styleId="Legal3">
    <w:name w:val="Legal 3"/>
    <w:basedOn w:val="Normal"/>
    <w:uiPriority w:val="5"/>
    <w:qFormat/>
    <w:rsid w:val="009F2CDD"/>
    <w:pPr>
      <w:numPr>
        <w:ilvl w:val="2"/>
        <w:numId w:val="24"/>
      </w:numPr>
      <w:spacing w:after="200"/>
      <w:outlineLvl w:val="2"/>
    </w:pPr>
  </w:style>
  <w:style w:type="paragraph" w:customStyle="1" w:styleId="Legal4">
    <w:name w:val="Legal 4"/>
    <w:basedOn w:val="Normal"/>
    <w:uiPriority w:val="5"/>
    <w:qFormat/>
    <w:rsid w:val="009F2CDD"/>
    <w:pPr>
      <w:numPr>
        <w:ilvl w:val="3"/>
        <w:numId w:val="24"/>
      </w:numPr>
      <w:spacing w:after="200"/>
      <w:outlineLvl w:val="3"/>
    </w:pPr>
  </w:style>
  <w:style w:type="paragraph" w:customStyle="1" w:styleId="Legal5">
    <w:name w:val="Legal 5"/>
    <w:basedOn w:val="Normal"/>
    <w:uiPriority w:val="5"/>
    <w:qFormat/>
    <w:rsid w:val="009F2CDD"/>
    <w:pPr>
      <w:numPr>
        <w:ilvl w:val="4"/>
        <w:numId w:val="24"/>
      </w:numPr>
      <w:spacing w:after="200"/>
      <w:outlineLvl w:val="4"/>
    </w:pPr>
  </w:style>
  <w:style w:type="paragraph" w:customStyle="1" w:styleId="Legal6">
    <w:name w:val="Legal 6"/>
    <w:basedOn w:val="Normal"/>
    <w:uiPriority w:val="5"/>
    <w:qFormat/>
    <w:rsid w:val="009F2CDD"/>
    <w:pPr>
      <w:numPr>
        <w:ilvl w:val="5"/>
        <w:numId w:val="24"/>
      </w:numPr>
      <w:spacing w:after="200"/>
      <w:outlineLvl w:val="5"/>
    </w:pPr>
  </w:style>
  <w:style w:type="numbering" w:customStyle="1" w:styleId="MELegal">
    <w:name w:val="ME Legal"/>
    <w:uiPriority w:val="99"/>
    <w:rsid w:val="009F2CDD"/>
    <w:pPr>
      <w:numPr>
        <w:numId w:val="19"/>
      </w:numPr>
    </w:pPr>
  </w:style>
  <w:style w:type="numbering" w:customStyle="1" w:styleId="MEBasic">
    <w:name w:val="ME Basic"/>
    <w:uiPriority w:val="99"/>
    <w:rsid w:val="009F2CDD"/>
    <w:pPr>
      <w:numPr>
        <w:numId w:val="20"/>
      </w:numPr>
    </w:pPr>
  </w:style>
  <w:style w:type="numbering" w:customStyle="1" w:styleId="MENoIndent">
    <w:name w:val="ME NoIndent"/>
    <w:uiPriority w:val="99"/>
    <w:rsid w:val="009F2CDD"/>
    <w:pPr>
      <w:numPr>
        <w:numId w:val="21"/>
      </w:numPr>
    </w:pPr>
  </w:style>
  <w:style w:type="numbering" w:customStyle="1" w:styleId="MENumber">
    <w:name w:val="ME Number"/>
    <w:uiPriority w:val="99"/>
    <w:rsid w:val="009F2CDD"/>
    <w:pPr>
      <w:numPr>
        <w:numId w:val="22"/>
      </w:numPr>
    </w:pPr>
  </w:style>
  <w:style w:type="numbering" w:customStyle="1" w:styleId="Legal">
    <w:name w:val="Legal"/>
    <w:uiPriority w:val="99"/>
    <w:rsid w:val="009F2CDD"/>
    <w:pPr>
      <w:numPr>
        <w:numId w:val="23"/>
      </w:numPr>
    </w:pPr>
  </w:style>
  <w:style w:type="paragraph" w:customStyle="1" w:styleId="MELegal7">
    <w:name w:val="ME Legal 7"/>
    <w:basedOn w:val="Normal"/>
    <w:semiHidden/>
    <w:unhideWhenUsed/>
    <w:qFormat/>
    <w:rsid w:val="009F2CDD"/>
    <w:pPr>
      <w:numPr>
        <w:ilvl w:val="6"/>
        <w:numId w:val="26"/>
      </w:numPr>
      <w:spacing w:after="200"/>
    </w:pPr>
  </w:style>
  <w:style w:type="paragraph" w:customStyle="1" w:styleId="MELegal8">
    <w:name w:val="ME Legal 8"/>
    <w:basedOn w:val="Normal"/>
    <w:semiHidden/>
    <w:unhideWhenUsed/>
    <w:qFormat/>
    <w:rsid w:val="009F2CDD"/>
    <w:pPr>
      <w:numPr>
        <w:ilvl w:val="7"/>
        <w:numId w:val="26"/>
      </w:numPr>
      <w:spacing w:after="200"/>
      <w:ind w:left="4762" w:hanging="680"/>
    </w:pPr>
  </w:style>
  <w:style w:type="paragraph" w:customStyle="1" w:styleId="MELegal9">
    <w:name w:val="ME Legal 9"/>
    <w:basedOn w:val="Normal"/>
    <w:semiHidden/>
    <w:unhideWhenUsed/>
    <w:qFormat/>
    <w:rsid w:val="009F2CDD"/>
    <w:pPr>
      <w:numPr>
        <w:ilvl w:val="8"/>
        <w:numId w:val="26"/>
      </w:numPr>
      <w:spacing w:after="200"/>
    </w:pPr>
  </w:style>
  <w:style w:type="paragraph" w:customStyle="1" w:styleId="MEBasic6">
    <w:name w:val="ME Basic 6"/>
    <w:basedOn w:val="Normal"/>
    <w:uiPriority w:val="1"/>
    <w:qFormat/>
    <w:rsid w:val="009F2CDD"/>
    <w:pPr>
      <w:numPr>
        <w:ilvl w:val="5"/>
        <w:numId w:val="25"/>
      </w:numPr>
      <w:spacing w:after="200"/>
      <w:ind w:left="4082"/>
    </w:pPr>
  </w:style>
  <w:style w:type="paragraph" w:customStyle="1" w:styleId="MEBasic7">
    <w:name w:val="ME Basic 7"/>
    <w:basedOn w:val="Normal"/>
    <w:uiPriority w:val="1"/>
    <w:semiHidden/>
    <w:unhideWhenUsed/>
    <w:qFormat/>
    <w:rsid w:val="009F2CDD"/>
    <w:pPr>
      <w:numPr>
        <w:ilvl w:val="6"/>
        <w:numId w:val="25"/>
      </w:numPr>
      <w:spacing w:after="200"/>
      <w:ind w:left="4762"/>
    </w:pPr>
  </w:style>
  <w:style w:type="paragraph" w:customStyle="1" w:styleId="MEBasic8">
    <w:name w:val="ME Basic 8"/>
    <w:basedOn w:val="Normal"/>
    <w:uiPriority w:val="1"/>
    <w:semiHidden/>
    <w:unhideWhenUsed/>
    <w:qFormat/>
    <w:rsid w:val="009F2CDD"/>
    <w:pPr>
      <w:numPr>
        <w:ilvl w:val="7"/>
        <w:numId w:val="25"/>
      </w:numPr>
      <w:spacing w:after="200"/>
      <w:ind w:hanging="680"/>
    </w:pPr>
  </w:style>
  <w:style w:type="paragraph" w:customStyle="1" w:styleId="MEBasic9">
    <w:name w:val="ME Basic 9"/>
    <w:basedOn w:val="Normal"/>
    <w:uiPriority w:val="1"/>
    <w:semiHidden/>
    <w:unhideWhenUsed/>
    <w:qFormat/>
    <w:rsid w:val="009F2CDD"/>
    <w:pPr>
      <w:numPr>
        <w:ilvl w:val="8"/>
        <w:numId w:val="25"/>
      </w:numPr>
      <w:spacing w:after="200"/>
      <w:ind w:left="6123" w:hanging="680"/>
    </w:pPr>
  </w:style>
  <w:style w:type="paragraph" w:customStyle="1" w:styleId="MENoIndent7">
    <w:name w:val="ME NoIndent 7"/>
    <w:basedOn w:val="Normal"/>
    <w:uiPriority w:val="3"/>
    <w:semiHidden/>
    <w:unhideWhenUsed/>
    <w:qFormat/>
    <w:rsid w:val="009F2CDD"/>
    <w:pPr>
      <w:numPr>
        <w:ilvl w:val="6"/>
        <w:numId w:val="27"/>
      </w:numPr>
    </w:pPr>
  </w:style>
  <w:style w:type="paragraph" w:customStyle="1" w:styleId="MENoIndent8">
    <w:name w:val="ME NoIndent 8"/>
    <w:basedOn w:val="Normal"/>
    <w:uiPriority w:val="3"/>
    <w:semiHidden/>
    <w:unhideWhenUsed/>
    <w:qFormat/>
    <w:rsid w:val="009F2CDD"/>
    <w:pPr>
      <w:numPr>
        <w:ilvl w:val="7"/>
        <w:numId w:val="27"/>
      </w:numPr>
    </w:pPr>
  </w:style>
  <w:style w:type="paragraph" w:customStyle="1" w:styleId="MENoIndent9">
    <w:name w:val="ME NoIndent 9"/>
    <w:basedOn w:val="Normal"/>
    <w:uiPriority w:val="3"/>
    <w:semiHidden/>
    <w:unhideWhenUsed/>
    <w:qFormat/>
    <w:rsid w:val="009F2CDD"/>
    <w:pPr>
      <w:numPr>
        <w:ilvl w:val="8"/>
        <w:numId w:val="27"/>
      </w:numPr>
    </w:pPr>
  </w:style>
  <w:style w:type="paragraph" w:customStyle="1" w:styleId="MENumber7">
    <w:name w:val="ME Number 7"/>
    <w:basedOn w:val="Normal"/>
    <w:uiPriority w:val="3"/>
    <w:semiHidden/>
    <w:unhideWhenUsed/>
    <w:qFormat/>
    <w:rsid w:val="009F2CDD"/>
    <w:pPr>
      <w:numPr>
        <w:ilvl w:val="6"/>
        <w:numId w:val="28"/>
      </w:numPr>
      <w:spacing w:after="200"/>
      <w:ind w:left="4762"/>
    </w:pPr>
  </w:style>
  <w:style w:type="paragraph" w:customStyle="1" w:styleId="MENumber8">
    <w:name w:val="ME Number 8"/>
    <w:basedOn w:val="Normal"/>
    <w:uiPriority w:val="3"/>
    <w:semiHidden/>
    <w:unhideWhenUsed/>
    <w:qFormat/>
    <w:rsid w:val="009F2CDD"/>
    <w:pPr>
      <w:numPr>
        <w:ilvl w:val="7"/>
        <w:numId w:val="28"/>
      </w:numPr>
      <w:spacing w:after="200"/>
      <w:ind w:hanging="680"/>
    </w:pPr>
  </w:style>
  <w:style w:type="paragraph" w:customStyle="1" w:styleId="MENumber9">
    <w:name w:val="ME Number 9"/>
    <w:basedOn w:val="Normal"/>
    <w:uiPriority w:val="3"/>
    <w:semiHidden/>
    <w:unhideWhenUsed/>
    <w:qFormat/>
    <w:rsid w:val="009F2CDD"/>
    <w:pPr>
      <w:numPr>
        <w:ilvl w:val="8"/>
        <w:numId w:val="28"/>
      </w:numPr>
      <w:spacing w:after="200"/>
      <w:ind w:left="6123" w:hanging="680"/>
    </w:pPr>
  </w:style>
  <w:style w:type="paragraph" w:customStyle="1" w:styleId="Legal7">
    <w:name w:val="Legal 7"/>
    <w:basedOn w:val="Normal"/>
    <w:uiPriority w:val="5"/>
    <w:semiHidden/>
    <w:unhideWhenUsed/>
    <w:qFormat/>
    <w:rsid w:val="009F2CDD"/>
    <w:pPr>
      <w:numPr>
        <w:ilvl w:val="6"/>
        <w:numId w:val="24"/>
      </w:numPr>
      <w:spacing w:after="200"/>
    </w:pPr>
  </w:style>
  <w:style w:type="paragraph" w:customStyle="1" w:styleId="Legal8">
    <w:name w:val="Legal 8"/>
    <w:basedOn w:val="Normal"/>
    <w:uiPriority w:val="5"/>
    <w:semiHidden/>
    <w:unhideWhenUsed/>
    <w:qFormat/>
    <w:rsid w:val="009F2CDD"/>
    <w:pPr>
      <w:numPr>
        <w:ilvl w:val="7"/>
        <w:numId w:val="24"/>
      </w:numPr>
      <w:spacing w:after="200"/>
    </w:pPr>
  </w:style>
  <w:style w:type="paragraph" w:customStyle="1" w:styleId="Legal9">
    <w:name w:val="Legal 9"/>
    <w:basedOn w:val="Normal"/>
    <w:uiPriority w:val="5"/>
    <w:semiHidden/>
    <w:unhideWhenUsed/>
    <w:qFormat/>
    <w:rsid w:val="009F2CDD"/>
    <w:pPr>
      <w:numPr>
        <w:ilvl w:val="8"/>
        <w:numId w:val="24"/>
      </w:numPr>
      <w:spacing w:after="200"/>
    </w:pPr>
  </w:style>
  <w:style w:type="paragraph" w:customStyle="1" w:styleId="NormalSingle">
    <w:name w:val="NormalSingle"/>
    <w:basedOn w:val="Normal"/>
    <w:uiPriority w:val="2"/>
    <w:semiHidden/>
    <w:qFormat/>
    <w:rsid w:val="009F2CDD"/>
  </w:style>
  <w:style w:type="table" w:customStyle="1" w:styleId="MEClassic">
    <w:name w:val="ME Classic"/>
    <w:basedOn w:val="TableNormal"/>
    <w:uiPriority w:val="99"/>
    <w:rsid w:val="009F2CDD"/>
    <w:pPr>
      <w:spacing w:before="60" w:after="60" w:line="220" w:lineRule="atLeast"/>
    </w:pPr>
    <w:rPr>
      <w:rFonts w:ascii="Arial" w:eastAsiaTheme="minorEastAsia" w:hAnsi="Arial"/>
      <w:sz w:val="18"/>
    </w:rPr>
    <w:tblPr>
      <w:tblBorders>
        <w:bottom w:val="single" w:sz="4" w:space="0" w:color="808080"/>
        <w:insideH w:val="single" w:sz="4" w:space="0" w:color="808080"/>
        <w:insideV w:val="single" w:sz="4" w:space="0" w:color="808080"/>
      </w:tblBorders>
    </w:tblPr>
    <w:tblStylePr w:type="firstRow">
      <w:rPr>
        <w:rFonts w:ascii="Arial" w:hAnsi="Arial"/>
        <w:b/>
        <w:color w:val="FFFFFF" w:themeColor="background1"/>
      </w:rPr>
      <w:tblPr/>
      <w:tcPr>
        <w:tcBorders>
          <w:insideV w:val="single" w:sz="4" w:space="0" w:color="FFFFFF" w:themeColor="background1"/>
        </w:tcBorders>
        <w:shd w:val="clear" w:color="auto" w:fill="808080"/>
      </w:tcPr>
    </w:tblStylePr>
  </w:style>
  <w:style w:type="paragraph" w:customStyle="1" w:styleId="TableColumnHeading">
    <w:name w:val="Table Column Heading"/>
    <w:basedOn w:val="Normal"/>
    <w:uiPriority w:val="3"/>
    <w:qFormat/>
    <w:rsid w:val="009F2CDD"/>
    <w:pPr>
      <w:spacing w:before="60" w:after="60" w:line="220" w:lineRule="atLeast"/>
    </w:pPr>
    <w:rPr>
      <w:rFonts w:ascii="Arial Bold" w:hAnsi="Arial Bold" w:cs="Angsana New"/>
      <w:b/>
      <w:color w:val="FFFFFF" w:themeColor="background1"/>
      <w:sz w:val="18"/>
      <w:szCs w:val="22"/>
      <w:lang w:bidi="th-TH"/>
    </w:rPr>
  </w:style>
  <w:style w:type="paragraph" w:customStyle="1" w:styleId="Tablesubheading">
    <w:name w:val="Table sub heading"/>
    <w:basedOn w:val="Normal"/>
    <w:uiPriority w:val="3"/>
    <w:qFormat/>
    <w:rsid w:val="009F2CDD"/>
    <w:pPr>
      <w:spacing w:before="60" w:after="60" w:line="220" w:lineRule="atLeast"/>
    </w:pPr>
    <w:rPr>
      <w:rFonts w:cs="Angsana New"/>
      <w:b/>
      <w:color w:val="808080" w:themeColor="background1" w:themeShade="80"/>
      <w:sz w:val="18"/>
      <w:szCs w:val="22"/>
      <w:lang w:bidi="th-TH"/>
    </w:rPr>
  </w:style>
  <w:style w:type="paragraph" w:customStyle="1" w:styleId="TableText">
    <w:name w:val="Table Text"/>
    <w:basedOn w:val="Normal"/>
    <w:uiPriority w:val="3"/>
    <w:qFormat/>
    <w:rsid w:val="009F2CDD"/>
    <w:pPr>
      <w:spacing w:before="60" w:after="60" w:line="220" w:lineRule="atLeast"/>
    </w:pPr>
    <w:rPr>
      <w:rFonts w:cs="Angsana New"/>
      <w:sz w:val="18"/>
      <w:szCs w:val="22"/>
      <w:lang w:bidi="th-TH"/>
    </w:rPr>
  </w:style>
  <w:style w:type="table" w:styleId="LightShading-Accent4">
    <w:name w:val="Light Shading Accent 4"/>
    <w:basedOn w:val="TableNormal"/>
    <w:uiPriority w:val="60"/>
    <w:rsid w:val="009F2CDD"/>
    <w:rPr>
      <w:rFonts w:ascii="Arial" w:eastAsiaTheme="minorEastAsia" w:hAnsi="Arial"/>
      <w:color w:val="BF8F00" w:themeColor="accent4" w:themeShade="BF"/>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paragraph" w:styleId="EndnoteText">
    <w:name w:val="endnote text"/>
    <w:basedOn w:val="Normal"/>
    <w:link w:val="EndnoteTextChar"/>
    <w:uiPriority w:val="99"/>
    <w:unhideWhenUsed/>
    <w:rsid w:val="009F2CDD"/>
    <w:rPr>
      <w:sz w:val="16"/>
    </w:rPr>
  </w:style>
  <w:style w:type="character" w:customStyle="1" w:styleId="EndnoteTextChar">
    <w:name w:val="Endnote Text Char"/>
    <w:basedOn w:val="DefaultParagraphFont"/>
    <w:link w:val="EndnoteText"/>
    <w:uiPriority w:val="99"/>
    <w:rsid w:val="009F2CDD"/>
    <w:rPr>
      <w:rFonts w:ascii="Arial" w:hAnsi="Arial" w:cs="Arial"/>
      <w:sz w:val="16"/>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36118">
      <w:bodyDiv w:val="1"/>
      <w:marLeft w:val="0"/>
      <w:marRight w:val="0"/>
      <w:marTop w:val="0"/>
      <w:marBottom w:val="0"/>
      <w:divBdr>
        <w:top w:val="none" w:sz="0" w:space="0" w:color="auto"/>
        <w:left w:val="none" w:sz="0" w:space="0" w:color="auto"/>
        <w:bottom w:val="none" w:sz="0" w:space="0" w:color="auto"/>
        <w:right w:val="none" w:sz="0" w:space="0" w:color="auto"/>
      </w:divBdr>
    </w:div>
    <w:div w:id="93593258">
      <w:bodyDiv w:val="1"/>
      <w:marLeft w:val="0"/>
      <w:marRight w:val="0"/>
      <w:marTop w:val="0"/>
      <w:marBottom w:val="0"/>
      <w:divBdr>
        <w:top w:val="none" w:sz="0" w:space="0" w:color="auto"/>
        <w:left w:val="none" w:sz="0" w:space="0" w:color="auto"/>
        <w:bottom w:val="none" w:sz="0" w:space="0" w:color="auto"/>
        <w:right w:val="none" w:sz="0" w:space="0" w:color="auto"/>
      </w:divBdr>
    </w:div>
    <w:div w:id="192958429">
      <w:bodyDiv w:val="1"/>
      <w:marLeft w:val="0"/>
      <w:marRight w:val="0"/>
      <w:marTop w:val="0"/>
      <w:marBottom w:val="0"/>
      <w:divBdr>
        <w:top w:val="none" w:sz="0" w:space="0" w:color="auto"/>
        <w:left w:val="none" w:sz="0" w:space="0" w:color="auto"/>
        <w:bottom w:val="none" w:sz="0" w:space="0" w:color="auto"/>
        <w:right w:val="none" w:sz="0" w:space="0" w:color="auto"/>
      </w:divBdr>
    </w:div>
    <w:div w:id="207493581">
      <w:bodyDiv w:val="1"/>
      <w:marLeft w:val="0"/>
      <w:marRight w:val="0"/>
      <w:marTop w:val="0"/>
      <w:marBottom w:val="0"/>
      <w:divBdr>
        <w:top w:val="none" w:sz="0" w:space="0" w:color="auto"/>
        <w:left w:val="none" w:sz="0" w:space="0" w:color="auto"/>
        <w:bottom w:val="none" w:sz="0" w:space="0" w:color="auto"/>
        <w:right w:val="none" w:sz="0" w:space="0" w:color="auto"/>
      </w:divBdr>
    </w:div>
    <w:div w:id="362289779">
      <w:bodyDiv w:val="1"/>
      <w:marLeft w:val="0"/>
      <w:marRight w:val="0"/>
      <w:marTop w:val="0"/>
      <w:marBottom w:val="0"/>
      <w:divBdr>
        <w:top w:val="none" w:sz="0" w:space="0" w:color="auto"/>
        <w:left w:val="none" w:sz="0" w:space="0" w:color="auto"/>
        <w:bottom w:val="none" w:sz="0" w:space="0" w:color="auto"/>
        <w:right w:val="none" w:sz="0" w:space="0" w:color="auto"/>
      </w:divBdr>
    </w:div>
    <w:div w:id="407386321">
      <w:bodyDiv w:val="1"/>
      <w:marLeft w:val="0"/>
      <w:marRight w:val="0"/>
      <w:marTop w:val="0"/>
      <w:marBottom w:val="0"/>
      <w:divBdr>
        <w:top w:val="none" w:sz="0" w:space="0" w:color="auto"/>
        <w:left w:val="none" w:sz="0" w:space="0" w:color="auto"/>
        <w:bottom w:val="none" w:sz="0" w:space="0" w:color="auto"/>
        <w:right w:val="none" w:sz="0" w:space="0" w:color="auto"/>
      </w:divBdr>
    </w:div>
    <w:div w:id="417214368">
      <w:bodyDiv w:val="1"/>
      <w:marLeft w:val="0"/>
      <w:marRight w:val="0"/>
      <w:marTop w:val="0"/>
      <w:marBottom w:val="0"/>
      <w:divBdr>
        <w:top w:val="none" w:sz="0" w:space="0" w:color="auto"/>
        <w:left w:val="none" w:sz="0" w:space="0" w:color="auto"/>
        <w:bottom w:val="none" w:sz="0" w:space="0" w:color="auto"/>
        <w:right w:val="none" w:sz="0" w:space="0" w:color="auto"/>
      </w:divBdr>
    </w:div>
    <w:div w:id="462237654">
      <w:bodyDiv w:val="1"/>
      <w:marLeft w:val="0"/>
      <w:marRight w:val="0"/>
      <w:marTop w:val="0"/>
      <w:marBottom w:val="0"/>
      <w:divBdr>
        <w:top w:val="none" w:sz="0" w:space="0" w:color="auto"/>
        <w:left w:val="none" w:sz="0" w:space="0" w:color="auto"/>
        <w:bottom w:val="none" w:sz="0" w:space="0" w:color="auto"/>
        <w:right w:val="none" w:sz="0" w:space="0" w:color="auto"/>
      </w:divBdr>
    </w:div>
    <w:div w:id="490607220">
      <w:bodyDiv w:val="1"/>
      <w:marLeft w:val="0"/>
      <w:marRight w:val="0"/>
      <w:marTop w:val="0"/>
      <w:marBottom w:val="0"/>
      <w:divBdr>
        <w:top w:val="none" w:sz="0" w:space="0" w:color="auto"/>
        <w:left w:val="none" w:sz="0" w:space="0" w:color="auto"/>
        <w:bottom w:val="none" w:sz="0" w:space="0" w:color="auto"/>
        <w:right w:val="none" w:sz="0" w:space="0" w:color="auto"/>
      </w:divBdr>
    </w:div>
    <w:div w:id="688871019">
      <w:bodyDiv w:val="1"/>
      <w:marLeft w:val="0"/>
      <w:marRight w:val="0"/>
      <w:marTop w:val="0"/>
      <w:marBottom w:val="0"/>
      <w:divBdr>
        <w:top w:val="none" w:sz="0" w:space="0" w:color="auto"/>
        <w:left w:val="none" w:sz="0" w:space="0" w:color="auto"/>
        <w:bottom w:val="none" w:sz="0" w:space="0" w:color="auto"/>
        <w:right w:val="none" w:sz="0" w:space="0" w:color="auto"/>
      </w:divBdr>
    </w:div>
    <w:div w:id="709570415">
      <w:bodyDiv w:val="1"/>
      <w:marLeft w:val="0"/>
      <w:marRight w:val="0"/>
      <w:marTop w:val="0"/>
      <w:marBottom w:val="0"/>
      <w:divBdr>
        <w:top w:val="none" w:sz="0" w:space="0" w:color="auto"/>
        <w:left w:val="none" w:sz="0" w:space="0" w:color="auto"/>
        <w:bottom w:val="none" w:sz="0" w:space="0" w:color="auto"/>
        <w:right w:val="none" w:sz="0" w:space="0" w:color="auto"/>
      </w:divBdr>
    </w:div>
    <w:div w:id="717515383">
      <w:bodyDiv w:val="1"/>
      <w:marLeft w:val="0"/>
      <w:marRight w:val="0"/>
      <w:marTop w:val="0"/>
      <w:marBottom w:val="0"/>
      <w:divBdr>
        <w:top w:val="none" w:sz="0" w:space="0" w:color="auto"/>
        <w:left w:val="none" w:sz="0" w:space="0" w:color="auto"/>
        <w:bottom w:val="none" w:sz="0" w:space="0" w:color="auto"/>
        <w:right w:val="none" w:sz="0" w:space="0" w:color="auto"/>
      </w:divBdr>
    </w:div>
    <w:div w:id="755444322">
      <w:bodyDiv w:val="1"/>
      <w:marLeft w:val="0"/>
      <w:marRight w:val="0"/>
      <w:marTop w:val="0"/>
      <w:marBottom w:val="0"/>
      <w:divBdr>
        <w:top w:val="none" w:sz="0" w:space="0" w:color="auto"/>
        <w:left w:val="none" w:sz="0" w:space="0" w:color="auto"/>
        <w:bottom w:val="none" w:sz="0" w:space="0" w:color="auto"/>
        <w:right w:val="none" w:sz="0" w:space="0" w:color="auto"/>
      </w:divBdr>
    </w:div>
    <w:div w:id="792090867">
      <w:bodyDiv w:val="1"/>
      <w:marLeft w:val="0"/>
      <w:marRight w:val="0"/>
      <w:marTop w:val="0"/>
      <w:marBottom w:val="0"/>
      <w:divBdr>
        <w:top w:val="none" w:sz="0" w:space="0" w:color="auto"/>
        <w:left w:val="none" w:sz="0" w:space="0" w:color="auto"/>
        <w:bottom w:val="none" w:sz="0" w:space="0" w:color="auto"/>
        <w:right w:val="none" w:sz="0" w:space="0" w:color="auto"/>
      </w:divBdr>
    </w:div>
    <w:div w:id="814182465">
      <w:bodyDiv w:val="1"/>
      <w:marLeft w:val="0"/>
      <w:marRight w:val="0"/>
      <w:marTop w:val="0"/>
      <w:marBottom w:val="0"/>
      <w:divBdr>
        <w:top w:val="none" w:sz="0" w:space="0" w:color="auto"/>
        <w:left w:val="none" w:sz="0" w:space="0" w:color="auto"/>
        <w:bottom w:val="none" w:sz="0" w:space="0" w:color="auto"/>
        <w:right w:val="none" w:sz="0" w:space="0" w:color="auto"/>
      </w:divBdr>
    </w:div>
    <w:div w:id="947128315">
      <w:bodyDiv w:val="1"/>
      <w:marLeft w:val="0"/>
      <w:marRight w:val="0"/>
      <w:marTop w:val="0"/>
      <w:marBottom w:val="0"/>
      <w:divBdr>
        <w:top w:val="none" w:sz="0" w:space="0" w:color="auto"/>
        <w:left w:val="none" w:sz="0" w:space="0" w:color="auto"/>
        <w:bottom w:val="none" w:sz="0" w:space="0" w:color="auto"/>
        <w:right w:val="none" w:sz="0" w:space="0" w:color="auto"/>
      </w:divBdr>
    </w:div>
    <w:div w:id="1025254113">
      <w:bodyDiv w:val="1"/>
      <w:marLeft w:val="0"/>
      <w:marRight w:val="0"/>
      <w:marTop w:val="0"/>
      <w:marBottom w:val="0"/>
      <w:divBdr>
        <w:top w:val="none" w:sz="0" w:space="0" w:color="auto"/>
        <w:left w:val="none" w:sz="0" w:space="0" w:color="auto"/>
        <w:bottom w:val="none" w:sz="0" w:space="0" w:color="auto"/>
        <w:right w:val="none" w:sz="0" w:space="0" w:color="auto"/>
      </w:divBdr>
    </w:div>
    <w:div w:id="1170636593">
      <w:bodyDiv w:val="1"/>
      <w:marLeft w:val="0"/>
      <w:marRight w:val="0"/>
      <w:marTop w:val="0"/>
      <w:marBottom w:val="0"/>
      <w:divBdr>
        <w:top w:val="none" w:sz="0" w:space="0" w:color="auto"/>
        <w:left w:val="none" w:sz="0" w:space="0" w:color="auto"/>
        <w:bottom w:val="none" w:sz="0" w:space="0" w:color="auto"/>
        <w:right w:val="none" w:sz="0" w:space="0" w:color="auto"/>
      </w:divBdr>
    </w:div>
    <w:div w:id="1186823427">
      <w:bodyDiv w:val="1"/>
      <w:marLeft w:val="0"/>
      <w:marRight w:val="0"/>
      <w:marTop w:val="0"/>
      <w:marBottom w:val="0"/>
      <w:divBdr>
        <w:top w:val="none" w:sz="0" w:space="0" w:color="auto"/>
        <w:left w:val="none" w:sz="0" w:space="0" w:color="auto"/>
        <w:bottom w:val="none" w:sz="0" w:space="0" w:color="auto"/>
        <w:right w:val="none" w:sz="0" w:space="0" w:color="auto"/>
      </w:divBdr>
    </w:div>
    <w:div w:id="1190870425">
      <w:bodyDiv w:val="1"/>
      <w:marLeft w:val="0"/>
      <w:marRight w:val="0"/>
      <w:marTop w:val="0"/>
      <w:marBottom w:val="0"/>
      <w:divBdr>
        <w:top w:val="none" w:sz="0" w:space="0" w:color="auto"/>
        <w:left w:val="none" w:sz="0" w:space="0" w:color="auto"/>
        <w:bottom w:val="none" w:sz="0" w:space="0" w:color="auto"/>
        <w:right w:val="none" w:sz="0" w:space="0" w:color="auto"/>
      </w:divBdr>
    </w:div>
    <w:div w:id="1211765907">
      <w:bodyDiv w:val="1"/>
      <w:marLeft w:val="0"/>
      <w:marRight w:val="0"/>
      <w:marTop w:val="0"/>
      <w:marBottom w:val="0"/>
      <w:divBdr>
        <w:top w:val="none" w:sz="0" w:space="0" w:color="auto"/>
        <w:left w:val="none" w:sz="0" w:space="0" w:color="auto"/>
        <w:bottom w:val="none" w:sz="0" w:space="0" w:color="auto"/>
        <w:right w:val="none" w:sz="0" w:space="0" w:color="auto"/>
      </w:divBdr>
    </w:div>
    <w:div w:id="1334451196">
      <w:bodyDiv w:val="1"/>
      <w:marLeft w:val="0"/>
      <w:marRight w:val="0"/>
      <w:marTop w:val="0"/>
      <w:marBottom w:val="0"/>
      <w:divBdr>
        <w:top w:val="none" w:sz="0" w:space="0" w:color="auto"/>
        <w:left w:val="none" w:sz="0" w:space="0" w:color="auto"/>
        <w:bottom w:val="none" w:sz="0" w:space="0" w:color="auto"/>
        <w:right w:val="none" w:sz="0" w:space="0" w:color="auto"/>
      </w:divBdr>
    </w:div>
    <w:div w:id="1359160334">
      <w:bodyDiv w:val="1"/>
      <w:marLeft w:val="0"/>
      <w:marRight w:val="0"/>
      <w:marTop w:val="0"/>
      <w:marBottom w:val="0"/>
      <w:divBdr>
        <w:top w:val="none" w:sz="0" w:space="0" w:color="auto"/>
        <w:left w:val="none" w:sz="0" w:space="0" w:color="auto"/>
        <w:bottom w:val="none" w:sz="0" w:space="0" w:color="auto"/>
        <w:right w:val="none" w:sz="0" w:space="0" w:color="auto"/>
      </w:divBdr>
    </w:div>
    <w:div w:id="1413627145">
      <w:bodyDiv w:val="1"/>
      <w:marLeft w:val="0"/>
      <w:marRight w:val="0"/>
      <w:marTop w:val="0"/>
      <w:marBottom w:val="0"/>
      <w:divBdr>
        <w:top w:val="none" w:sz="0" w:space="0" w:color="auto"/>
        <w:left w:val="none" w:sz="0" w:space="0" w:color="auto"/>
        <w:bottom w:val="none" w:sz="0" w:space="0" w:color="auto"/>
        <w:right w:val="none" w:sz="0" w:space="0" w:color="auto"/>
      </w:divBdr>
    </w:div>
    <w:div w:id="1417558164">
      <w:bodyDiv w:val="1"/>
      <w:marLeft w:val="0"/>
      <w:marRight w:val="0"/>
      <w:marTop w:val="0"/>
      <w:marBottom w:val="0"/>
      <w:divBdr>
        <w:top w:val="none" w:sz="0" w:space="0" w:color="auto"/>
        <w:left w:val="none" w:sz="0" w:space="0" w:color="auto"/>
        <w:bottom w:val="none" w:sz="0" w:space="0" w:color="auto"/>
        <w:right w:val="none" w:sz="0" w:space="0" w:color="auto"/>
      </w:divBdr>
    </w:div>
    <w:div w:id="1543403309">
      <w:bodyDiv w:val="1"/>
      <w:marLeft w:val="0"/>
      <w:marRight w:val="0"/>
      <w:marTop w:val="0"/>
      <w:marBottom w:val="0"/>
      <w:divBdr>
        <w:top w:val="none" w:sz="0" w:space="0" w:color="auto"/>
        <w:left w:val="none" w:sz="0" w:space="0" w:color="auto"/>
        <w:bottom w:val="none" w:sz="0" w:space="0" w:color="auto"/>
        <w:right w:val="none" w:sz="0" w:space="0" w:color="auto"/>
      </w:divBdr>
    </w:div>
    <w:div w:id="1623267723">
      <w:bodyDiv w:val="1"/>
      <w:marLeft w:val="0"/>
      <w:marRight w:val="0"/>
      <w:marTop w:val="0"/>
      <w:marBottom w:val="0"/>
      <w:divBdr>
        <w:top w:val="none" w:sz="0" w:space="0" w:color="auto"/>
        <w:left w:val="none" w:sz="0" w:space="0" w:color="auto"/>
        <w:bottom w:val="none" w:sz="0" w:space="0" w:color="auto"/>
        <w:right w:val="none" w:sz="0" w:space="0" w:color="auto"/>
      </w:divBdr>
    </w:div>
    <w:div w:id="1632244058">
      <w:bodyDiv w:val="1"/>
      <w:marLeft w:val="0"/>
      <w:marRight w:val="0"/>
      <w:marTop w:val="0"/>
      <w:marBottom w:val="0"/>
      <w:divBdr>
        <w:top w:val="none" w:sz="0" w:space="0" w:color="auto"/>
        <w:left w:val="none" w:sz="0" w:space="0" w:color="auto"/>
        <w:bottom w:val="none" w:sz="0" w:space="0" w:color="auto"/>
        <w:right w:val="none" w:sz="0" w:space="0" w:color="auto"/>
      </w:divBdr>
    </w:div>
    <w:div w:id="1838761925">
      <w:bodyDiv w:val="1"/>
      <w:marLeft w:val="0"/>
      <w:marRight w:val="0"/>
      <w:marTop w:val="0"/>
      <w:marBottom w:val="0"/>
      <w:divBdr>
        <w:top w:val="none" w:sz="0" w:space="0" w:color="auto"/>
        <w:left w:val="none" w:sz="0" w:space="0" w:color="auto"/>
        <w:bottom w:val="none" w:sz="0" w:space="0" w:color="auto"/>
        <w:right w:val="none" w:sz="0" w:space="0" w:color="auto"/>
      </w:divBdr>
    </w:div>
    <w:div w:id="1869103865">
      <w:bodyDiv w:val="1"/>
      <w:marLeft w:val="0"/>
      <w:marRight w:val="0"/>
      <w:marTop w:val="0"/>
      <w:marBottom w:val="0"/>
      <w:divBdr>
        <w:top w:val="none" w:sz="0" w:space="0" w:color="auto"/>
        <w:left w:val="none" w:sz="0" w:space="0" w:color="auto"/>
        <w:bottom w:val="none" w:sz="0" w:space="0" w:color="auto"/>
        <w:right w:val="none" w:sz="0" w:space="0" w:color="auto"/>
      </w:divBdr>
    </w:div>
    <w:div w:id="2137747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https://www.aer.gov.au/networks-pipelines/determinations-access-arrangements/energex-determination-2020-25/aer-position"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energex.com.au/home/control-your-energy/positive-payback-program/positive-payback-for-business/eligible-areas" TargetMode="Externa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hyperlink" Target="mailto:karen.stafford@energyq.com.au" TargetMode="External"/><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hyperlink" Target="https://www.energex.com.au/__data/assets/pdf_file/0017/342404/Demand-Side-Engagement-Strategy.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file:///C:\Users\jd152\AppData\Local\Microsoft\Windows\Temporary%20Internet%20Files\Content.Outlook\Y1UYLIC3\Energex" TargetMode="Externa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file:///C:\Users\skharris\AppData\Local\Microsoft\Windows\Temporary%20Internet%20Files\(Attachment" TargetMode="Externa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www.aer.gov.au/networks-pipelines/guidelines-schemes-models-reviews/expenditure-forecast-assessment-guideline/final-decision" TargetMode="External"/><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https://www.energex.com.au/about-us/company-information/company-policies-And-reports/distribution-annual-planning-report" TargetMode="External"/><Relationship Id="rId27" Type="http://schemas.openxmlformats.org/officeDocument/2006/relationships/fontTable" Target="fontTable.xml"/><Relationship Id="rId30"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672CF69EB15E147BA3769A3537F3E8C" ma:contentTypeVersion="6" ma:contentTypeDescription="Create a new document." ma:contentTypeScope="" ma:versionID="f88b757df27e13299a9d592fdb907366">
  <xsd:schema xmlns:xsd="http://www.w3.org/2001/XMLSchema" xmlns:xs="http://www.w3.org/2001/XMLSchema" xmlns:p="http://schemas.microsoft.com/office/2006/metadata/properties" xmlns:ns2="65930c9a-4307-4bf5-9068-61a0eebb0c4e" xmlns:ns3="http://schemas.microsoft.com/sharepoint/v3/fields" targetNamespace="http://schemas.microsoft.com/office/2006/metadata/properties" ma:root="true" ma:fieldsID="4e18a3f193d1ae7930018ea8f15fc6c7" ns2:_="" ns3:_="">
    <xsd:import namespace="65930c9a-4307-4bf5-9068-61a0eebb0c4e"/>
    <xsd:import namespace="http://schemas.microsoft.com/sharepoint/v3/fields"/>
    <xsd:element name="properties">
      <xsd:complexType>
        <xsd:sequence>
          <xsd:element name="documentManagement">
            <xsd:complexType>
              <xsd:all>
                <xsd:element ref="ns2:Internal_x0020__x002f__x0020_Public" minOccurs="0"/>
                <xsd:element ref="ns2:Stage" minOccurs="0"/>
                <xsd:element ref="ns2:Document_x0020_Section" minOccurs="0"/>
                <xsd:element ref="ns2:Responsibility" minOccurs="0"/>
                <xsd:element ref="ns3:_Vers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930c9a-4307-4bf5-9068-61a0eebb0c4e" elementFormDefault="qualified">
    <xsd:import namespace="http://schemas.microsoft.com/office/2006/documentManagement/types"/>
    <xsd:import namespace="http://schemas.microsoft.com/office/infopath/2007/PartnerControls"/>
    <xsd:element name="Internal_x0020__x002f__x0020_Public" ma:index="8" nillable="true" ma:displayName="Internal / Public" ma:format="Dropdown" ma:internalName="Internal_x0020__x002f__x0020_Public">
      <xsd:simpleType>
        <xsd:restriction base="dms:Choice">
          <xsd:enumeration value="Internal"/>
          <xsd:enumeration value="Public"/>
        </xsd:restriction>
      </xsd:simpleType>
    </xsd:element>
    <xsd:element name="Stage" ma:index="9" nillable="true" ma:displayName="Document Type" ma:format="Dropdown" ma:internalName="Stage">
      <xsd:simpleType>
        <xsd:restriction base="dms:Choice">
          <xsd:enumeration value="Forecast"/>
          <xsd:enumeration value="Historical"/>
          <xsd:enumeration value="Regulatory documents"/>
          <xsd:enumeration value="Submitted justification documents"/>
          <xsd:enumeration value="Management"/>
          <xsd:enumeration value="Template"/>
          <xsd:enumeration value="Internal Comms"/>
          <xsd:enumeration value="Governance"/>
          <xsd:enumeration value="Decision Support"/>
          <xsd:enumeration value="Customer Communications"/>
          <xsd:enumeration value="AER communications"/>
          <xsd:enumeration value="Government Relations"/>
          <xsd:enumeration value="Preliminary Proposal"/>
        </xsd:restriction>
      </xsd:simpleType>
    </xsd:element>
    <xsd:element name="Document_x0020_Section" ma:index="10" nillable="true" ma:displayName="Audience" ma:format="Dropdown" ma:internalName="Document_x0020_Section">
      <xsd:simpleType>
        <xsd:restriction base="dms:Choice">
          <xsd:enumeration value="Project internal"/>
          <xsd:enumeration value="GM Governance Group"/>
          <xsd:enumeration value="RSSC"/>
          <xsd:enumeration value="DNSP Boards"/>
          <xsd:enumeration value="Board Regulatory Committee"/>
          <xsd:enumeration value="EQL Board"/>
          <xsd:enumeration value="Public"/>
        </xsd:restriction>
      </xsd:simpleType>
    </xsd:element>
    <xsd:element name="Responsibility" ma:index="11" nillable="true" ma:displayName="Responsibility" ma:format="Dropdown" ma:indexed="true" ma:internalName="Responsibility">
      <xsd:simpleType>
        <xsd:restriction base="dms:Choice">
          <xsd:enumeration value="Central"/>
          <xsd:enumeration value="Regulatory"/>
          <xsd:enumeration value="Customer"/>
          <xsd:enumeration value="Investment"/>
          <xsd:enumeration value="Finance"/>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Version" ma:index="12" nillable="true" ma:displayName="Version" ma:internalName="_Version">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Version xmlns="http://schemas.microsoft.com/sharepoint/v3/fields" xsi:nil="true"/>
    <Document_x0020_Section xmlns="65930c9a-4307-4bf5-9068-61a0eebb0c4e" xsi:nil="true"/>
    <Internal_x0020__x002f__x0020_Public xmlns="65930c9a-4307-4bf5-9068-61a0eebb0c4e" xsi:nil="true"/>
    <Stage xmlns="65930c9a-4307-4bf5-9068-61a0eebb0c4e" xsi:nil="true"/>
    <Responsibility xmlns="65930c9a-4307-4bf5-9068-61a0eebb0c4e" xsi:nil="true"/>
  </documentManagement>
</p:properties>
</file>

<file path=customXml/itemProps1.xml><?xml version="1.0" encoding="utf-8"?>
<ds:datastoreItem xmlns:ds="http://schemas.openxmlformats.org/officeDocument/2006/customXml" ds:itemID="{5320446B-164D-43F5-BFE1-EF31451BF243}">
  <ds:schemaRefs>
    <ds:schemaRef ds:uri="http://schemas.microsoft.com/sharepoint/v3/contenttype/forms"/>
  </ds:schemaRefs>
</ds:datastoreItem>
</file>

<file path=customXml/itemProps2.xml><?xml version="1.0" encoding="utf-8"?>
<ds:datastoreItem xmlns:ds="http://schemas.openxmlformats.org/officeDocument/2006/customXml" ds:itemID="{91972575-1861-4160-9B93-8F3AF624CCB1}">
  <ds:schemaRefs>
    <ds:schemaRef ds:uri="http://schemas.microsoft.com/office/2006/metadata/longProperties"/>
  </ds:schemaRefs>
</ds:datastoreItem>
</file>

<file path=customXml/itemProps3.xml><?xml version="1.0" encoding="utf-8"?>
<ds:datastoreItem xmlns:ds="http://schemas.openxmlformats.org/officeDocument/2006/customXml" ds:itemID="{6C76AF5C-0E1E-444E-B517-A5A49DB5FB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930c9a-4307-4bf5-9068-61a0eebb0c4e"/>
    <ds:schemaRef ds:uri="http://schemas.microsoft.com/sharepoint/v3/field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7C2D197-E894-46AB-BBE0-B0574EFAC833}">
  <ds:schemaRefs>
    <ds:schemaRef ds:uri="http://purl.org/dc/terms/"/>
    <ds:schemaRef ds:uri="65930c9a-4307-4bf5-9068-61a0eebb0c4e"/>
    <ds:schemaRef ds:uri="http://schemas.microsoft.com/office/2006/metadata/properties"/>
    <ds:schemaRef ds:uri="http://schemas.microsoft.com/office/2006/documentManagement/types"/>
    <ds:schemaRef ds:uri="http://schemas.microsoft.com/office/infopath/2007/PartnerControls"/>
    <ds:schemaRef ds:uri="http://purl.org/dc/elements/1.1/"/>
    <ds:schemaRef ds:uri="http://purl.org/dc/dcmitype/"/>
    <ds:schemaRef ds:uri="http://schemas.openxmlformats.org/package/2006/metadata/core-properties"/>
    <ds:schemaRef ds:uri="http://schemas.microsoft.com/sharepoint/v3/field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99</Pages>
  <Words>27693</Words>
  <Characters>157853</Characters>
  <Application>Microsoft Office Word</Application>
  <DocSecurity>0</DocSecurity>
  <Lines>1315</Lines>
  <Paragraphs>370</Paragraphs>
  <ScaleCrop>false</ScaleCrop>
  <HeadingPairs>
    <vt:vector size="2" baseType="variant">
      <vt:variant>
        <vt:lpstr>Title</vt:lpstr>
      </vt:variant>
      <vt:variant>
        <vt:i4>1</vt:i4>
      </vt:variant>
    </vt:vector>
  </HeadingPairs>
  <TitlesOfParts>
    <vt:vector size="1" baseType="lpstr">
      <vt:lpstr>EGX 17.062 Reset RIN Schedule 1 Response JAN19 PUBLIC</vt:lpstr>
    </vt:vector>
  </TitlesOfParts>
  <Company>SPARQ Solutions</Company>
  <LinksUpToDate>false</LinksUpToDate>
  <CharactersWithSpaces>185176</CharactersWithSpaces>
  <SharedDoc>false</SharedDoc>
  <HLinks>
    <vt:vector size="48" baseType="variant">
      <vt:variant>
        <vt:i4>7929959</vt:i4>
      </vt:variant>
      <vt:variant>
        <vt:i4>27</vt:i4>
      </vt:variant>
      <vt:variant>
        <vt:i4>0</vt:i4>
      </vt:variant>
      <vt:variant>
        <vt:i4>5</vt:i4>
      </vt:variant>
      <vt:variant>
        <vt:lpwstr>Energex</vt:lpwstr>
      </vt:variant>
      <vt:variant>
        <vt:lpwstr/>
      </vt:variant>
      <vt:variant>
        <vt:i4>7667760</vt:i4>
      </vt:variant>
      <vt:variant>
        <vt:i4>24</vt:i4>
      </vt:variant>
      <vt:variant>
        <vt:i4>0</vt:i4>
      </vt:variant>
      <vt:variant>
        <vt:i4>5</vt:i4>
      </vt:variant>
      <vt:variant>
        <vt:lpwstr>(Attachment</vt:lpwstr>
      </vt:variant>
      <vt:variant>
        <vt:lpwstr/>
      </vt:variant>
      <vt:variant>
        <vt:i4>5046353</vt:i4>
      </vt:variant>
      <vt:variant>
        <vt:i4>21</vt:i4>
      </vt:variant>
      <vt:variant>
        <vt:i4>0</vt:i4>
      </vt:variant>
      <vt:variant>
        <vt:i4>5</vt:i4>
      </vt:variant>
      <vt:variant>
        <vt:lpwstr>https://www.energex.com.au/about-us/company-information/company-policies-And-reports/distribution-annual-planning-report</vt:lpwstr>
      </vt:variant>
      <vt:variant>
        <vt:lpwstr/>
      </vt:variant>
      <vt:variant>
        <vt:i4>1704014</vt:i4>
      </vt:variant>
      <vt:variant>
        <vt:i4>18</vt:i4>
      </vt:variant>
      <vt:variant>
        <vt:i4>0</vt:i4>
      </vt:variant>
      <vt:variant>
        <vt:i4>5</vt:i4>
      </vt:variant>
      <vt:variant>
        <vt:lpwstr>https://www.energex.com.au/home/control-your-energy/positive-payback-program/positive-payback-for-business/eligible-areas</vt:lpwstr>
      </vt:variant>
      <vt:variant>
        <vt:lpwstr/>
      </vt:variant>
      <vt:variant>
        <vt:i4>8192080</vt:i4>
      </vt:variant>
      <vt:variant>
        <vt:i4>15</vt:i4>
      </vt:variant>
      <vt:variant>
        <vt:i4>0</vt:i4>
      </vt:variant>
      <vt:variant>
        <vt:i4>5</vt:i4>
      </vt:variant>
      <vt:variant>
        <vt:lpwstr>https://www.energex.com.au/__data/assets/pdf_file/0017/342404/Demand-Side-Engagement-Strategy.pdf</vt:lpwstr>
      </vt:variant>
      <vt:variant>
        <vt:lpwstr/>
      </vt:variant>
      <vt:variant>
        <vt:i4>2949172</vt:i4>
      </vt:variant>
      <vt:variant>
        <vt:i4>12</vt:i4>
      </vt:variant>
      <vt:variant>
        <vt:i4>0</vt:i4>
      </vt:variant>
      <vt:variant>
        <vt:i4>5</vt:i4>
      </vt:variant>
      <vt:variant>
        <vt:lpwstr>http://www.aer.gov.au/networks-pipelines/guidelines-schemes-models-reviews/expenditure-forecast-assessment-guideline/final-decision</vt:lpwstr>
      </vt:variant>
      <vt:variant>
        <vt:lpwstr/>
      </vt:variant>
      <vt:variant>
        <vt:i4>7929894</vt:i4>
      </vt:variant>
      <vt:variant>
        <vt:i4>3</vt:i4>
      </vt:variant>
      <vt:variant>
        <vt:i4>0</vt:i4>
      </vt:variant>
      <vt:variant>
        <vt:i4>5</vt:i4>
      </vt:variant>
      <vt:variant>
        <vt:lpwstr>https://www.aer.gov.au/networks-pipelines/determinations-access-arrangements/energex-determination-2020-25/aer-position</vt:lpwstr>
      </vt:variant>
      <vt:variant>
        <vt:lpwstr/>
      </vt:variant>
      <vt:variant>
        <vt:i4>2883584</vt:i4>
      </vt:variant>
      <vt:variant>
        <vt:i4>0</vt:i4>
      </vt:variant>
      <vt:variant>
        <vt:i4>0</vt:i4>
      </vt:variant>
      <vt:variant>
        <vt:i4>5</vt:i4>
      </vt:variant>
      <vt:variant>
        <vt:lpwstr>mailto:karen.stafford@energyq.com.au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EGX 17.062 Reset RIN Schedule 1 Response JAN19 PUBLIC</dc:title>
  <dc:creator>MinterEllison</dc:creator>
  <cp:keywords>Energex, 2020-25</cp:keywords>
  <cp:lastModifiedBy>gd089</cp:lastModifiedBy>
  <cp:revision>3</cp:revision>
  <dcterms:created xsi:type="dcterms:W3CDTF">2019-01-30T12:50:00Z</dcterms:created>
  <dcterms:modified xsi:type="dcterms:W3CDTF">2019-01-31T05:12:00Z</dcterms:modified>
</cp:coreProperties>
</file>