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ABD" w:rsidRDefault="001A44FA" w:rsidP="00A255CE">
      <w:pPr>
        <w:spacing w:before="0" w:after="0"/>
        <w:ind w:firstLine="0"/>
        <w:rPr>
          <w:rFonts w:ascii="Arial Narrow" w:hAnsi="Arial Narrow"/>
          <w:b/>
          <w:sz w:val="32"/>
          <w:szCs w:val="32"/>
        </w:rPr>
      </w:pPr>
      <w:r w:rsidRPr="00C47249">
        <w:rPr>
          <w:rFonts w:ascii="Arial Narrow" w:hAnsi="Arial Narrow"/>
          <w:b/>
          <w:sz w:val="32"/>
          <w:szCs w:val="32"/>
        </w:rPr>
        <w:t xml:space="preserve">Attachment </w:t>
      </w:r>
      <w:r w:rsidR="00CD4BE1" w:rsidRPr="00C47249">
        <w:rPr>
          <w:rFonts w:ascii="Arial Narrow" w:hAnsi="Arial Narrow"/>
          <w:b/>
          <w:sz w:val="32"/>
          <w:szCs w:val="32"/>
        </w:rPr>
        <w:t>9-</w:t>
      </w:r>
      <w:r w:rsidR="009960A1">
        <w:rPr>
          <w:rFonts w:ascii="Arial Narrow" w:hAnsi="Arial Narrow"/>
          <w:b/>
          <w:sz w:val="32"/>
          <w:szCs w:val="32"/>
        </w:rPr>
        <w:t>1</w:t>
      </w:r>
      <w:r w:rsidR="00706F31">
        <w:rPr>
          <w:rFonts w:ascii="Arial Narrow" w:hAnsi="Arial Narrow"/>
          <w:b/>
          <w:sz w:val="32"/>
          <w:szCs w:val="32"/>
        </w:rPr>
        <w:t>0</w:t>
      </w:r>
      <w:r w:rsidRPr="00C47249">
        <w:rPr>
          <w:rFonts w:ascii="Arial Narrow" w:hAnsi="Arial Narrow"/>
          <w:b/>
          <w:sz w:val="32"/>
          <w:szCs w:val="32"/>
        </w:rPr>
        <w:t>:</w:t>
      </w:r>
      <w:r w:rsidR="00C47249">
        <w:rPr>
          <w:rFonts w:ascii="Arial Narrow" w:hAnsi="Arial Narrow"/>
          <w:b/>
          <w:sz w:val="32"/>
          <w:szCs w:val="32"/>
        </w:rPr>
        <w:t xml:space="preserve">  </w:t>
      </w:r>
      <w:r w:rsidR="009960A1">
        <w:rPr>
          <w:rFonts w:ascii="Arial Narrow" w:hAnsi="Arial Narrow"/>
          <w:b/>
          <w:sz w:val="32"/>
          <w:szCs w:val="32"/>
        </w:rPr>
        <w:t>Other Rate of Return Issues</w:t>
      </w:r>
    </w:p>
    <w:p w:rsidR="00C47249" w:rsidRPr="00C47249" w:rsidRDefault="00C47249" w:rsidP="00A255CE">
      <w:pPr>
        <w:spacing w:before="0" w:after="0"/>
        <w:ind w:firstLine="0"/>
        <w:rPr>
          <w:rFonts w:ascii="Arial Narrow" w:hAnsi="Arial Narrow"/>
          <w:b/>
          <w:sz w:val="32"/>
          <w:szCs w:val="32"/>
        </w:rPr>
      </w:pPr>
    </w:p>
    <w:p w:rsidR="00484ABD" w:rsidRDefault="009B2400" w:rsidP="00C47249">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sidR="004E1C70" w:rsidRPr="00A255CE">
        <w:rPr>
          <w:rFonts w:ascii="Arial Narrow" w:hAnsi="Arial Narrow"/>
          <w:b/>
          <w:sz w:val="24"/>
          <w:szCs w:val="24"/>
        </w:rPr>
        <w:t>1</w:t>
      </w:r>
      <w:r w:rsidRPr="00A255CE">
        <w:rPr>
          <w:rFonts w:ascii="Arial Narrow" w:hAnsi="Arial Narrow"/>
          <w:b/>
          <w:sz w:val="24"/>
          <w:szCs w:val="24"/>
        </w:rPr>
        <w:tab/>
      </w:r>
      <w:r w:rsidR="00484ABD" w:rsidRPr="00A255CE">
        <w:rPr>
          <w:rFonts w:ascii="Arial Narrow" w:hAnsi="Arial Narrow"/>
          <w:b/>
          <w:sz w:val="24"/>
          <w:szCs w:val="24"/>
        </w:rPr>
        <w:t xml:space="preserve">Introduction </w:t>
      </w:r>
    </w:p>
    <w:p w:rsidR="00C47249" w:rsidRPr="00A255CE" w:rsidRDefault="00C47249" w:rsidP="00A255CE">
      <w:pPr>
        <w:spacing w:before="0" w:after="0"/>
        <w:ind w:firstLine="0"/>
        <w:rPr>
          <w:rFonts w:ascii="Arial Narrow" w:hAnsi="Arial Narrow"/>
          <w:b/>
          <w:sz w:val="24"/>
          <w:szCs w:val="24"/>
        </w:rPr>
      </w:pPr>
    </w:p>
    <w:p w:rsidR="009D2BE2" w:rsidRDefault="009B2400" w:rsidP="00A255CE">
      <w:pPr>
        <w:autoSpaceDE w:val="0"/>
        <w:autoSpaceDN w:val="0"/>
        <w:adjustRightInd w:val="0"/>
        <w:spacing w:before="0" w:after="0"/>
        <w:ind w:firstLine="0"/>
        <w:rPr>
          <w:rFonts w:ascii="Arial Narrow" w:hAnsi="Arial Narrow" w:cs="Arial Narrow"/>
          <w:sz w:val="24"/>
          <w:szCs w:val="24"/>
        </w:rPr>
      </w:pPr>
      <w:r w:rsidRPr="00A255CE">
        <w:rPr>
          <w:rFonts w:ascii="Arial Narrow" w:hAnsi="Arial Narrow" w:cs="Arial Narrow"/>
          <w:sz w:val="24"/>
          <w:szCs w:val="24"/>
        </w:rPr>
        <w:t xml:space="preserve">The </w:t>
      </w:r>
      <w:r w:rsidR="009D2BE2">
        <w:rPr>
          <w:rFonts w:ascii="Arial Narrow" w:hAnsi="Arial Narrow" w:cs="Arial Narrow"/>
          <w:sz w:val="24"/>
          <w:szCs w:val="24"/>
        </w:rPr>
        <w:t xml:space="preserve">submission </w:t>
      </w:r>
      <w:r w:rsidR="0008696B">
        <w:rPr>
          <w:rFonts w:ascii="Arial Narrow" w:hAnsi="Arial Narrow" w:cs="Arial Narrow"/>
          <w:sz w:val="24"/>
          <w:szCs w:val="24"/>
        </w:rPr>
        <w:t xml:space="preserve">responds to the Draft Decision inflation forecast and benchmark gearing ratio as well as </w:t>
      </w:r>
      <w:r w:rsidR="009D2BE2">
        <w:rPr>
          <w:rFonts w:ascii="Arial Narrow" w:hAnsi="Arial Narrow" w:cs="Arial Narrow"/>
          <w:sz w:val="24"/>
          <w:szCs w:val="24"/>
        </w:rPr>
        <w:t>address</w:t>
      </w:r>
      <w:r w:rsidR="0008696B">
        <w:rPr>
          <w:rFonts w:ascii="Arial Narrow" w:hAnsi="Arial Narrow" w:cs="Arial Narrow"/>
          <w:sz w:val="24"/>
          <w:szCs w:val="24"/>
        </w:rPr>
        <w:t>ing</w:t>
      </w:r>
      <w:r w:rsidR="009D2BE2">
        <w:rPr>
          <w:rFonts w:ascii="Arial Narrow" w:hAnsi="Arial Narrow" w:cs="Arial Narrow"/>
          <w:sz w:val="24"/>
          <w:szCs w:val="24"/>
        </w:rPr>
        <w:t xml:space="preserve"> a number of rate of return issues raised by the AER in sections 5.5.1 and 5.5.2 of the Draft Decision.  </w:t>
      </w:r>
    </w:p>
    <w:p w:rsidR="009D2BE2" w:rsidRDefault="009D2BE2" w:rsidP="00A255CE">
      <w:pPr>
        <w:autoSpaceDE w:val="0"/>
        <w:autoSpaceDN w:val="0"/>
        <w:adjustRightInd w:val="0"/>
        <w:spacing w:before="0" w:after="0"/>
        <w:ind w:firstLine="0"/>
        <w:rPr>
          <w:rFonts w:ascii="Arial Narrow" w:hAnsi="Arial Narrow" w:cs="Arial Narrow"/>
          <w:sz w:val="24"/>
          <w:szCs w:val="24"/>
        </w:rPr>
      </w:pPr>
    </w:p>
    <w:p w:rsidR="00484ABD" w:rsidRDefault="004E1C70" w:rsidP="00C47249">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9.2</w:t>
      </w:r>
      <w:r w:rsidRPr="00A255CE">
        <w:rPr>
          <w:rFonts w:ascii="Arial Narrow" w:hAnsi="Arial Narrow"/>
          <w:b/>
          <w:sz w:val="24"/>
          <w:szCs w:val="24"/>
        </w:rPr>
        <w:tab/>
      </w:r>
      <w:r w:rsidR="0008696B">
        <w:rPr>
          <w:rFonts w:ascii="Arial Narrow" w:hAnsi="Arial Narrow"/>
          <w:b/>
          <w:sz w:val="24"/>
          <w:szCs w:val="24"/>
        </w:rPr>
        <w:t xml:space="preserve">Inflation Forecast </w:t>
      </w:r>
    </w:p>
    <w:p w:rsidR="00C47249" w:rsidRPr="0008696B" w:rsidRDefault="00C47249" w:rsidP="00A255CE">
      <w:pPr>
        <w:spacing w:before="0" w:after="0"/>
        <w:ind w:firstLine="0"/>
        <w:rPr>
          <w:rFonts w:ascii="Arial Narrow" w:hAnsi="Arial Narrow"/>
          <w:sz w:val="24"/>
          <w:szCs w:val="24"/>
        </w:rPr>
      </w:pPr>
    </w:p>
    <w:p w:rsidR="0008696B" w:rsidRDefault="0008696B" w:rsidP="0008696B">
      <w:pPr>
        <w:autoSpaceDE w:val="0"/>
        <w:autoSpaceDN w:val="0"/>
        <w:adjustRightInd w:val="0"/>
        <w:spacing w:before="0" w:after="0"/>
        <w:ind w:firstLine="0"/>
        <w:rPr>
          <w:rFonts w:ascii="Arial Narrow" w:hAnsi="Arial Narrow"/>
          <w:sz w:val="24"/>
          <w:szCs w:val="24"/>
        </w:rPr>
      </w:pPr>
      <w:r w:rsidRPr="0008696B">
        <w:rPr>
          <w:rFonts w:ascii="Arial Narrow" w:hAnsi="Arial Narrow"/>
          <w:sz w:val="24"/>
          <w:szCs w:val="24"/>
        </w:rPr>
        <w:t>Envestra’s</w:t>
      </w:r>
      <w:r>
        <w:rPr>
          <w:rFonts w:ascii="Arial Narrow" w:hAnsi="Arial Narrow"/>
          <w:sz w:val="24"/>
          <w:szCs w:val="24"/>
        </w:rPr>
        <w:t xml:space="preserve"> original submission proposed an inflation</w:t>
      </w:r>
      <w:r w:rsidRPr="0008696B">
        <w:rPr>
          <w:rFonts w:ascii="Arial Narrow" w:hAnsi="Arial Narrow"/>
          <w:sz w:val="24"/>
          <w:szCs w:val="24"/>
        </w:rPr>
        <w:t xml:space="preserve"> forecast of 2.57</w:t>
      </w:r>
      <w:r>
        <w:rPr>
          <w:rFonts w:ascii="Arial Narrow" w:hAnsi="Arial Narrow"/>
          <w:sz w:val="24"/>
          <w:szCs w:val="24"/>
        </w:rPr>
        <w:t>%</w:t>
      </w:r>
      <w:r w:rsidRPr="0008696B">
        <w:rPr>
          <w:rFonts w:ascii="Arial Narrow" w:hAnsi="Arial Narrow"/>
          <w:sz w:val="24"/>
          <w:szCs w:val="24"/>
        </w:rPr>
        <w:t xml:space="preserve"> per </w:t>
      </w:r>
      <w:r>
        <w:rPr>
          <w:rFonts w:ascii="Arial Narrow" w:hAnsi="Arial Narrow"/>
          <w:sz w:val="24"/>
          <w:szCs w:val="24"/>
        </w:rPr>
        <w:t>annum.  In section 5.5.6 of the Draft Decision the AER calculated the inflation</w:t>
      </w:r>
      <w:r w:rsidRPr="0008696B">
        <w:rPr>
          <w:rFonts w:ascii="Arial Narrow" w:hAnsi="Arial Narrow"/>
          <w:sz w:val="24"/>
          <w:szCs w:val="24"/>
        </w:rPr>
        <w:t xml:space="preserve"> forecast</w:t>
      </w:r>
      <w:r>
        <w:rPr>
          <w:rFonts w:ascii="Arial Narrow" w:hAnsi="Arial Narrow"/>
          <w:sz w:val="24"/>
          <w:szCs w:val="24"/>
        </w:rPr>
        <w:t xml:space="preserve"> to be </w:t>
      </w:r>
      <w:r w:rsidRPr="0008696B">
        <w:rPr>
          <w:rFonts w:ascii="Arial Narrow" w:hAnsi="Arial Narrow"/>
          <w:sz w:val="24"/>
          <w:szCs w:val="24"/>
        </w:rPr>
        <w:t>2.52</w:t>
      </w:r>
      <w:r>
        <w:rPr>
          <w:rFonts w:ascii="Arial Narrow" w:hAnsi="Arial Narrow"/>
          <w:sz w:val="24"/>
          <w:szCs w:val="24"/>
        </w:rPr>
        <w:t xml:space="preserve">% per annum.  Envestra accepts the AER inflation forecast of 2.52% per annum for use in the Final Decision.  </w:t>
      </w:r>
    </w:p>
    <w:p w:rsidR="0008696B" w:rsidRDefault="0008696B" w:rsidP="0008696B">
      <w:pPr>
        <w:autoSpaceDE w:val="0"/>
        <w:autoSpaceDN w:val="0"/>
        <w:adjustRightInd w:val="0"/>
        <w:spacing w:before="0" w:after="0"/>
        <w:ind w:firstLine="0"/>
        <w:rPr>
          <w:rFonts w:ascii="Arial Narrow" w:hAnsi="Arial Narrow"/>
          <w:sz w:val="24"/>
          <w:szCs w:val="24"/>
        </w:rPr>
      </w:pPr>
    </w:p>
    <w:p w:rsidR="0008696B" w:rsidRDefault="0008696B" w:rsidP="0008696B">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9.2</w:t>
      </w:r>
      <w:r w:rsidRPr="00A255CE">
        <w:rPr>
          <w:rFonts w:ascii="Arial Narrow" w:hAnsi="Arial Narrow"/>
          <w:b/>
          <w:sz w:val="24"/>
          <w:szCs w:val="24"/>
        </w:rPr>
        <w:tab/>
      </w:r>
      <w:r>
        <w:rPr>
          <w:rFonts w:ascii="Arial Narrow" w:hAnsi="Arial Narrow"/>
          <w:b/>
          <w:sz w:val="24"/>
          <w:szCs w:val="24"/>
        </w:rPr>
        <w:t>Gearing Ratio</w:t>
      </w:r>
    </w:p>
    <w:p w:rsidR="0008696B" w:rsidRPr="0008696B" w:rsidRDefault="0008696B" w:rsidP="0008696B">
      <w:pPr>
        <w:spacing w:before="0" w:after="0"/>
        <w:ind w:firstLine="0"/>
        <w:rPr>
          <w:rFonts w:ascii="Arial Narrow" w:hAnsi="Arial Narrow"/>
          <w:sz w:val="24"/>
          <w:szCs w:val="24"/>
        </w:rPr>
      </w:pPr>
    </w:p>
    <w:p w:rsidR="0008696B" w:rsidRDefault="00D546D6" w:rsidP="0008696B">
      <w:pPr>
        <w:autoSpaceDE w:val="0"/>
        <w:autoSpaceDN w:val="0"/>
        <w:adjustRightInd w:val="0"/>
        <w:spacing w:before="0" w:after="0"/>
        <w:ind w:firstLine="0"/>
        <w:rPr>
          <w:rFonts w:ascii="Arial Narrow" w:hAnsi="Arial Narrow"/>
          <w:sz w:val="24"/>
          <w:szCs w:val="24"/>
        </w:rPr>
      </w:pPr>
      <w:r>
        <w:rPr>
          <w:rFonts w:ascii="Arial Narrow" w:hAnsi="Arial Narrow"/>
          <w:sz w:val="24"/>
          <w:szCs w:val="24"/>
        </w:rPr>
        <w:t xml:space="preserve">For the original Access Arrangement submission </w:t>
      </w:r>
      <w:r w:rsidRPr="00D546D6">
        <w:rPr>
          <w:rFonts w:ascii="Arial Narrow" w:hAnsi="Arial Narrow"/>
          <w:sz w:val="24"/>
          <w:szCs w:val="24"/>
        </w:rPr>
        <w:t xml:space="preserve">Envestra considered </w:t>
      </w:r>
      <w:r>
        <w:rPr>
          <w:rFonts w:ascii="Arial Narrow" w:hAnsi="Arial Narrow"/>
          <w:sz w:val="24"/>
          <w:szCs w:val="24"/>
        </w:rPr>
        <w:t xml:space="preserve">that </w:t>
      </w:r>
      <w:r w:rsidRPr="00D546D6">
        <w:rPr>
          <w:rFonts w:ascii="Arial Narrow" w:hAnsi="Arial Narrow"/>
          <w:sz w:val="24"/>
          <w:szCs w:val="24"/>
        </w:rPr>
        <w:t>the efficient level of gearing should be in the range of 40</w:t>
      </w:r>
      <w:r>
        <w:rPr>
          <w:rFonts w:ascii="Arial Narrow" w:hAnsi="Arial Narrow"/>
          <w:sz w:val="24"/>
          <w:szCs w:val="24"/>
        </w:rPr>
        <w:t>%</w:t>
      </w:r>
      <w:r w:rsidRPr="00D546D6">
        <w:rPr>
          <w:rFonts w:ascii="Arial Narrow" w:hAnsi="Arial Narrow"/>
          <w:sz w:val="24"/>
          <w:szCs w:val="24"/>
        </w:rPr>
        <w:t xml:space="preserve"> to 80</w:t>
      </w:r>
      <w:r>
        <w:rPr>
          <w:rFonts w:ascii="Arial Narrow" w:hAnsi="Arial Narrow"/>
          <w:sz w:val="24"/>
          <w:szCs w:val="24"/>
        </w:rPr>
        <w:t xml:space="preserve">%. </w:t>
      </w:r>
      <w:r w:rsidR="00DF141C">
        <w:rPr>
          <w:rFonts w:ascii="Arial Narrow" w:hAnsi="Arial Narrow"/>
          <w:sz w:val="24"/>
          <w:szCs w:val="24"/>
        </w:rPr>
        <w:t xml:space="preserve"> </w:t>
      </w:r>
      <w:r w:rsidR="00DF141C" w:rsidRPr="00DF141C">
        <w:rPr>
          <w:rFonts w:ascii="Arial Narrow" w:hAnsi="Arial Narrow"/>
          <w:sz w:val="24"/>
          <w:szCs w:val="24"/>
        </w:rPr>
        <w:t xml:space="preserve">The AER considers that gearing </w:t>
      </w:r>
      <w:r w:rsidR="00DF141C">
        <w:rPr>
          <w:rFonts w:ascii="Arial Narrow" w:hAnsi="Arial Narrow"/>
          <w:sz w:val="24"/>
          <w:szCs w:val="24"/>
        </w:rPr>
        <w:t xml:space="preserve">of 60% is appropriate </w:t>
      </w:r>
      <w:r w:rsidR="00DF141C" w:rsidRPr="00DF141C">
        <w:rPr>
          <w:rFonts w:ascii="Arial Narrow" w:hAnsi="Arial Narrow"/>
          <w:sz w:val="24"/>
          <w:szCs w:val="24"/>
        </w:rPr>
        <w:t xml:space="preserve">for the benchmark efficient gas </w:t>
      </w:r>
      <w:r w:rsidR="00DF141C">
        <w:rPr>
          <w:rFonts w:ascii="Arial Narrow" w:hAnsi="Arial Narrow"/>
          <w:sz w:val="24"/>
          <w:szCs w:val="24"/>
        </w:rPr>
        <w:t xml:space="preserve">distribution </w:t>
      </w:r>
      <w:r w:rsidR="00DF141C" w:rsidRPr="00DF141C">
        <w:rPr>
          <w:rFonts w:ascii="Arial Narrow" w:hAnsi="Arial Narrow"/>
          <w:sz w:val="24"/>
          <w:szCs w:val="24"/>
        </w:rPr>
        <w:t>business</w:t>
      </w:r>
      <w:r w:rsidR="00DF141C">
        <w:rPr>
          <w:rFonts w:ascii="Arial Narrow" w:hAnsi="Arial Narrow"/>
          <w:sz w:val="24"/>
          <w:szCs w:val="24"/>
        </w:rPr>
        <w:t xml:space="preserve">.  Envestra accepts the AER’s preferred gearing level of 60% for use in the Final Decision.  </w:t>
      </w:r>
    </w:p>
    <w:p w:rsidR="00DF141C" w:rsidRDefault="00DF141C" w:rsidP="0008696B">
      <w:pPr>
        <w:autoSpaceDE w:val="0"/>
        <w:autoSpaceDN w:val="0"/>
        <w:adjustRightInd w:val="0"/>
        <w:spacing w:before="0" w:after="0"/>
        <w:ind w:firstLine="0"/>
        <w:rPr>
          <w:rFonts w:ascii="Arial Narrow" w:hAnsi="Arial Narrow"/>
          <w:sz w:val="24"/>
          <w:szCs w:val="24"/>
        </w:rPr>
      </w:pPr>
    </w:p>
    <w:p w:rsidR="00DF141C" w:rsidRDefault="00DF141C" w:rsidP="00DF141C">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sidR="00E33D5C">
        <w:rPr>
          <w:rFonts w:ascii="Arial Narrow" w:hAnsi="Arial Narrow"/>
          <w:b/>
          <w:sz w:val="24"/>
          <w:szCs w:val="24"/>
        </w:rPr>
        <w:t>3</w:t>
      </w:r>
      <w:r w:rsidRPr="00A255CE">
        <w:rPr>
          <w:rFonts w:ascii="Arial Narrow" w:hAnsi="Arial Narrow"/>
          <w:b/>
          <w:sz w:val="24"/>
          <w:szCs w:val="24"/>
        </w:rPr>
        <w:tab/>
      </w:r>
      <w:r>
        <w:rPr>
          <w:rFonts w:ascii="Arial Narrow" w:hAnsi="Arial Narrow"/>
          <w:b/>
          <w:sz w:val="24"/>
          <w:szCs w:val="24"/>
        </w:rPr>
        <w:t>AER Recent Regulated Asset Sales Analysis</w:t>
      </w:r>
    </w:p>
    <w:p w:rsidR="00DF141C" w:rsidRDefault="00DF141C" w:rsidP="0008696B">
      <w:pPr>
        <w:autoSpaceDE w:val="0"/>
        <w:autoSpaceDN w:val="0"/>
        <w:adjustRightInd w:val="0"/>
        <w:spacing w:before="0" w:after="0"/>
        <w:ind w:firstLine="0"/>
        <w:rPr>
          <w:rFonts w:ascii="Arial Narrow" w:hAnsi="Arial Narrow"/>
          <w:sz w:val="24"/>
          <w:szCs w:val="24"/>
        </w:rPr>
      </w:pPr>
    </w:p>
    <w:p w:rsidR="00DF141C" w:rsidRDefault="00E33D5C" w:rsidP="00DF141C">
      <w:pPr>
        <w:autoSpaceDE w:val="0"/>
        <w:autoSpaceDN w:val="0"/>
        <w:adjustRightInd w:val="0"/>
        <w:spacing w:before="0" w:after="0"/>
        <w:ind w:firstLine="0"/>
        <w:rPr>
          <w:rFonts w:ascii="Arial Narrow" w:hAnsi="Arial Narrow"/>
          <w:sz w:val="24"/>
          <w:szCs w:val="24"/>
        </w:rPr>
      </w:pPr>
      <w:r>
        <w:rPr>
          <w:rFonts w:ascii="Arial Narrow" w:hAnsi="Arial Narrow"/>
          <w:sz w:val="24"/>
          <w:szCs w:val="24"/>
        </w:rPr>
        <w:t>T</w:t>
      </w:r>
      <w:r w:rsidR="00DF141C">
        <w:rPr>
          <w:rFonts w:ascii="Arial Narrow" w:hAnsi="Arial Narrow"/>
          <w:sz w:val="24"/>
          <w:szCs w:val="24"/>
        </w:rPr>
        <w:t xml:space="preserve">he AER used the </w:t>
      </w:r>
      <w:r w:rsidR="00DF141C" w:rsidRPr="00DF141C">
        <w:rPr>
          <w:rFonts w:ascii="Arial Narrow" w:hAnsi="Arial Narrow"/>
          <w:sz w:val="24"/>
          <w:szCs w:val="24"/>
        </w:rPr>
        <w:t xml:space="preserve">recent purchase of Country Energy’s NSW gas network by Envestra </w:t>
      </w:r>
      <w:r w:rsidR="00DF141C">
        <w:rPr>
          <w:rFonts w:ascii="Arial Narrow" w:hAnsi="Arial Narrow"/>
          <w:sz w:val="24"/>
          <w:szCs w:val="24"/>
        </w:rPr>
        <w:t xml:space="preserve">as a recent </w:t>
      </w:r>
      <w:r w:rsidR="00DF141C" w:rsidRPr="00DF141C">
        <w:rPr>
          <w:rFonts w:ascii="Arial Narrow" w:hAnsi="Arial Narrow"/>
          <w:sz w:val="24"/>
          <w:szCs w:val="24"/>
        </w:rPr>
        <w:t>example</w:t>
      </w:r>
      <w:r w:rsidR="00DF141C">
        <w:rPr>
          <w:rFonts w:ascii="Arial Narrow" w:hAnsi="Arial Narrow"/>
          <w:sz w:val="24"/>
          <w:szCs w:val="24"/>
        </w:rPr>
        <w:t xml:space="preserve"> of regulated energy networks being purchased at premiums to RAB.  The AER </w:t>
      </w:r>
      <w:r w:rsidR="00706F31">
        <w:rPr>
          <w:rFonts w:ascii="Arial Narrow" w:hAnsi="Arial Narrow"/>
          <w:sz w:val="24"/>
          <w:szCs w:val="24"/>
        </w:rPr>
        <w:t xml:space="preserve">used information contained in Envestra’s </w:t>
      </w:r>
      <w:r w:rsidR="00706F31" w:rsidRPr="00DF141C">
        <w:rPr>
          <w:rFonts w:ascii="Arial Narrow" w:hAnsi="Arial Narrow"/>
          <w:sz w:val="24"/>
          <w:szCs w:val="24"/>
        </w:rPr>
        <w:t>ASX</w:t>
      </w:r>
      <w:r w:rsidR="00706F31">
        <w:rPr>
          <w:rFonts w:ascii="Arial Narrow" w:hAnsi="Arial Narrow"/>
          <w:sz w:val="24"/>
          <w:szCs w:val="24"/>
        </w:rPr>
        <w:t xml:space="preserve"> </w:t>
      </w:r>
      <w:r w:rsidR="00706F31" w:rsidRPr="00DF141C">
        <w:rPr>
          <w:rFonts w:ascii="Arial Narrow" w:hAnsi="Arial Narrow"/>
          <w:sz w:val="24"/>
          <w:szCs w:val="24"/>
        </w:rPr>
        <w:t>announcement</w:t>
      </w:r>
      <w:r w:rsidR="00706F31">
        <w:rPr>
          <w:rFonts w:ascii="Arial Narrow" w:hAnsi="Arial Narrow"/>
          <w:sz w:val="24"/>
          <w:szCs w:val="24"/>
        </w:rPr>
        <w:t xml:space="preserve"> dated 26 October 2010 to </w:t>
      </w:r>
      <w:r w:rsidR="00DF141C">
        <w:rPr>
          <w:rFonts w:ascii="Arial Narrow" w:hAnsi="Arial Narrow"/>
          <w:sz w:val="24"/>
          <w:szCs w:val="24"/>
        </w:rPr>
        <w:t>incorrectly conclude that:</w:t>
      </w:r>
    </w:p>
    <w:p w:rsidR="00DF141C" w:rsidRDefault="00DF141C" w:rsidP="00DF141C">
      <w:pPr>
        <w:autoSpaceDE w:val="0"/>
        <w:autoSpaceDN w:val="0"/>
        <w:adjustRightInd w:val="0"/>
        <w:spacing w:before="0" w:after="0"/>
        <w:ind w:firstLine="0"/>
        <w:rPr>
          <w:rFonts w:ascii="Arial Narrow" w:hAnsi="Arial Narrow"/>
          <w:sz w:val="24"/>
          <w:szCs w:val="24"/>
        </w:rPr>
      </w:pPr>
    </w:p>
    <w:p w:rsidR="00DF141C" w:rsidRPr="00DF141C" w:rsidRDefault="00DF141C" w:rsidP="00DF141C">
      <w:pPr>
        <w:autoSpaceDE w:val="0"/>
        <w:autoSpaceDN w:val="0"/>
        <w:adjustRightInd w:val="0"/>
        <w:spacing w:before="0" w:after="0"/>
        <w:ind w:left="720" w:firstLine="0"/>
        <w:rPr>
          <w:rFonts w:ascii="Arial Narrow" w:hAnsi="Arial Narrow"/>
          <w:i/>
          <w:sz w:val="24"/>
          <w:szCs w:val="24"/>
        </w:rPr>
      </w:pPr>
      <w:r w:rsidRPr="00DF141C">
        <w:rPr>
          <w:rFonts w:ascii="Arial Narrow" w:hAnsi="Arial Narrow"/>
          <w:i/>
          <w:sz w:val="24"/>
          <w:szCs w:val="24"/>
        </w:rPr>
        <w:t xml:space="preserve">Envestra purchased the Wagga </w:t>
      </w:r>
      <w:proofErr w:type="spellStart"/>
      <w:r w:rsidRPr="00DF141C">
        <w:rPr>
          <w:rFonts w:ascii="Arial Narrow" w:hAnsi="Arial Narrow"/>
          <w:i/>
          <w:sz w:val="24"/>
          <w:szCs w:val="24"/>
        </w:rPr>
        <w:t>Wagga</w:t>
      </w:r>
      <w:proofErr w:type="spellEnd"/>
      <w:r w:rsidRPr="00DF141C">
        <w:rPr>
          <w:rFonts w:ascii="Arial Narrow" w:hAnsi="Arial Narrow"/>
          <w:i/>
          <w:sz w:val="24"/>
          <w:szCs w:val="24"/>
        </w:rPr>
        <w:t xml:space="preserve"> gas network at a 25 per cent premium to the 2010 RAB and 19 per cent premium to the 2011 RAB.</w:t>
      </w:r>
    </w:p>
    <w:p w:rsidR="008F4431" w:rsidRDefault="008F4431" w:rsidP="00706F31">
      <w:pPr>
        <w:tabs>
          <w:tab w:val="left" w:pos="426"/>
        </w:tabs>
        <w:spacing w:before="0" w:after="0" w:line="276" w:lineRule="auto"/>
        <w:ind w:firstLine="0"/>
        <w:rPr>
          <w:rFonts w:ascii="Arial Narrow" w:hAnsi="Arial Narrow"/>
          <w:sz w:val="24"/>
          <w:szCs w:val="24"/>
        </w:rPr>
      </w:pPr>
    </w:p>
    <w:p w:rsidR="00DF141C" w:rsidRDefault="00706F31" w:rsidP="00706F31">
      <w:pPr>
        <w:tabs>
          <w:tab w:val="left" w:pos="426"/>
        </w:tabs>
        <w:spacing w:before="0" w:after="0" w:line="276" w:lineRule="auto"/>
        <w:ind w:firstLine="0"/>
        <w:rPr>
          <w:rFonts w:ascii="Arial Narrow" w:hAnsi="Arial Narrow"/>
          <w:sz w:val="24"/>
          <w:szCs w:val="24"/>
        </w:rPr>
      </w:pPr>
      <w:r w:rsidRPr="008F4431">
        <w:rPr>
          <w:rFonts w:ascii="Arial Narrow" w:hAnsi="Arial Narrow"/>
          <w:sz w:val="24"/>
          <w:szCs w:val="24"/>
        </w:rPr>
        <w:t xml:space="preserve">The purchase price of $107 million is not materially different to the Wagga </w:t>
      </w:r>
      <w:proofErr w:type="spellStart"/>
      <w:r w:rsidRPr="008F4431">
        <w:rPr>
          <w:rFonts w:ascii="Arial Narrow" w:hAnsi="Arial Narrow"/>
          <w:sz w:val="24"/>
          <w:szCs w:val="24"/>
        </w:rPr>
        <w:t>Wagga</w:t>
      </w:r>
      <w:proofErr w:type="spellEnd"/>
      <w:r w:rsidRPr="008F4431">
        <w:rPr>
          <w:rFonts w:ascii="Arial Narrow" w:hAnsi="Arial Narrow"/>
          <w:sz w:val="24"/>
          <w:szCs w:val="24"/>
        </w:rPr>
        <w:t xml:space="preserve"> gas networks RAB of $60.8 million at 31 October 2010 plus Non-regulated book value of the assets of $44.4 million ($105.2 million).  Furthermore, two other key points were made in the Envestra ASX announcement: (</w:t>
      </w:r>
      <w:proofErr w:type="spellStart"/>
      <w:r w:rsidRPr="008F4431">
        <w:rPr>
          <w:rFonts w:ascii="Arial Narrow" w:hAnsi="Arial Narrow"/>
          <w:sz w:val="24"/>
          <w:szCs w:val="24"/>
        </w:rPr>
        <w:t>i</w:t>
      </w:r>
      <w:proofErr w:type="spellEnd"/>
      <w:r w:rsidRPr="008F4431">
        <w:rPr>
          <w:rFonts w:ascii="Arial Narrow" w:hAnsi="Arial Narrow"/>
          <w:sz w:val="24"/>
          <w:szCs w:val="24"/>
        </w:rPr>
        <w:t>) the business was acquired using 61% debt and (ii) the discount rate used in the valuation was consistent with the rate of return submitted for the South Australian and Queensland Access Arrangement review in October 2010.  These facts do not support the AERs observation that regulated cost of capital has been in excess of the actual cost of capital</w:t>
      </w:r>
      <w:r w:rsidR="00871901" w:rsidRPr="008F4431">
        <w:rPr>
          <w:rFonts w:ascii="Arial Narrow" w:hAnsi="Arial Narrow"/>
          <w:sz w:val="24"/>
          <w:szCs w:val="24"/>
        </w:rPr>
        <w:t xml:space="preserve"> as the purchase price and capital structure were in line with the regulatory benchmarks; and the discount rate was consistent with that proposed in our October Revision.]</w:t>
      </w:r>
    </w:p>
    <w:p w:rsidR="00DF141C" w:rsidRDefault="00706F31" w:rsidP="00706F31">
      <w:pPr>
        <w:spacing w:after="0"/>
        <w:ind w:firstLine="0"/>
        <w:rPr>
          <w:rFonts w:ascii="Arial Narrow" w:hAnsi="Arial Narrow"/>
          <w:sz w:val="24"/>
          <w:szCs w:val="24"/>
        </w:rPr>
      </w:pPr>
      <w:r>
        <w:rPr>
          <w:rFonts w:ascii="Arial Narrow" w:hAnsi="Arial Narrow"/>
          <w:sz w:val="24"/>
          <w:szCs w:val="24"/>
        </w:rPr>
        <w:t xml:space="preserve">The AER summarised </w:t>
      </w:r>
      <w:r w:rsidR="00DF141C">
        <w:rPr>
          <w:rFonts w:ascii="Arial Narrow" w:hAnsi="Arial Narrow"/>
          <w:sz w:val="24"/>
          <w:szCs w:val="24"/>
        </w:rPr>
        <w:t xml:space="preserve">regulated asset sales </w:t>
      </w:r>
      <w:r>
        <w:rPr>
          <w:rFonts w:ascii="Arial Narrow" w:hAnsi="Arial Narrow"/>
          <w:sz w:val="24"/>
          <w:szCs w:val="24"/>
        </w:rPr>
        <w:t xml:space="preserve">data </w:t>
      </w:r>
      <w:r w:rsidR="00DF141C">
        <w:rPr>
          <w:rFonts w:ascii="Arial Narrow" w:hAnsi="Arial Narrow"/>
          <w:sz w:val="24"/>
          <w:szCs w:val="24"/>
        </w:rPr>
        <w:t>between 1999-2006</w:t>
      </w:r>
      <w:r>
        <w:rPr>
          <w:rFonts w:ascii="Arial Narrow" w:hAnsi="Arial Narrow"/>
          <w:sz w:val="24"/>
          <w:szCs w:val="24"/>
        </w:rPr>
        <w:t xml:space="preserve">. </w:t>
      </w:r>
      <w:r w:rsidR="00871901">
        <w:rPr>
          <w:rFonts w:ascii="Arial Narrow" w:hAnsi="Arial Narrow"/>
          <w:sz w:val="24"/>
          <w:szCs w:val="24"/>
        </w:rPr>
        <w:t>However, n</w:t>
      </w:r>
      <w:r>
        <w:rPr>
          <w:rFonts w:ascii="Arial Narrow" w:hAnsi="Arial Narrow"/>
          <w:sz w:val="24"/>
          <w:szCs w:val="24"/>
        </w:rPr>
        <w:t xml:space="preserve">o adjustments </w:t>
      </w:r>
      <w:r w:rsidR="00871901">
        <w:rPr>
          <w:rFonts w:ascii="Arial Narrow" w:hAnsi="Arial Narrow"/>
          <w:sz w:val="24"/>
          <w:szCs w:val="24"/>
        </w:rPr>
        <w:t xml:space="preserve">were </w:t>
      </w:r>
      <w:r>
        <w:rPr>
          <w:rFonts w:ascii="Arial Narrow" w:hAnsi="Arial Narrow"/>
          <w:sz w:val="24"/>
          <w:szCs w:val="24"/>
        </w:rPr>
        <w:t xml:space="preserve"> made to account for non-regulated revenues and/or assets of the businesses listed which could be driving at least a portion of the perceived RAB premium.  </w:t>
      </w:r>
      <w:r w:rsidR="00871901">
        <w:rPr>
          <w:rFonts w:ascii="Arial Narrow" w:hAnsi="Arial Narrow"/>
          <w:sz w:val="24"/>
          <w:szCs w:val="24"/>
        </w:rPr>
        <w:t>Furthermore,</w:t>
      </w:r>
      <w:r>
        <w:rPr>
          <w:rFonts w:ascii="Arial Narrow" w:hAnsi="Arial Narrow"/>
          <w:sz w:val="24"/>
          <w:szCs w:val="24"/>
        </w:rPr>
        <w:t>, a</w:t>
      </w:r>
      <w:r w:rsidR="00DF141C">
        <w:rPr>
          <w:rFonts w:ascii="Arial Narrow" w:hAnsi="Arial Narrow"/>
          <w:sz w:val="24"/>
          <w:szCs w:val="24"/>
        </w:rPr>
        <w:t xml:space="preserve">ll of these asset sales / purchases occurred prior to the </w:t>
      </w:r>
      <w:r>
        <w:rPr>
          <w:rFonts w:ascii="Arial Narrow" w:hAnsi="Arial Narrow"/>
          <w:sz w:val="24"/>
          <w:szCs w:val="24"/>
        </w:rPr>
        <w:t>GFC when debt market liquidity and refinancing risk were significantly lower</w:t>
      </w:r>
      <w:r w:rsidR="00DF141C">
        <w:rPr>
          <w:rFonts w:ascii="Arial Narrow" w:hAnsi="Arial Narrow"/>
          <w:sz w:val="24"/>
          <w:szCs w:val="24"/>
        </w:rPr>
        <w:t xml:space="preserve"> and </w:t>
      </w:r>
      <w:r>
        <w:rPr>
          <w:rFonts w:ascii="Arial Narrow" w:hAnsi="Arial Narrow"/>
          <w:sz w:val="24"/>
          <w:szCs w:val="24"/>
        </w:rPr>
        <w:t xml:space="preserve">they all occurred </w:t>
      </w:r>
      <w:r w:rsidR="00DF141C">
        <w:rPr>
          <w:rFonts w:ascii="Arial Narrow" w:hAnsi="Arial Narrow"/>
          <w:sz w:val="24"/>
          <w:szCs w:val="24"/>
        </w:rPr>
        <w:t>in a period where the regulated return</w:t>
      </w:r>
      <w:r>
        <w:rPr>
          <w:rFonts w:ascii="Arial Narrow" w:hAnsi="Arial Narrow"/>
          <w:sz w:val="24"/>
          <w:szCs w:val="24"/>
        </w:rPr>
        <w:t xml:space="preserve">s to equity </w:t>
      </w:r>
      <w:r w:rsidR="00DF141C">
        <w:rPr>
          <w:rFonts w:ascii="Arial Narrow" w:hAnsi="Arial Narrow"/>
          <w:sz w:val="24"/>
          <w:szCs w:val="24"/>
        </w:rPr>
        <w:t xml:space="preserve">were significantly higher than those being determined by the AER </w:t>
      </w:r>
      <w:r>
        <w:rPr>
          <w:rFonts w:ascii="Arial Narrow" w:hAnsi="Arial Narrow"/>
          <w:sz w:val="24"/>
          <w:szCs w:val="24"/>
        </w:rPr>
        <w:t xml:space="preserve">currently.  </w:t>
      </w:r>
      <w:r w:rsidR="00CF19E8">
        <w:rPr>
          <w:rFonts w:ascii="Arial Narrow" w:hAnsi="Arial Narrow"/>
          <w:sz w:val="24"/>
          <w:szCs w:val="24"/>
        </w:rPr>
        <w:t xml:space="preserve">The absence of any material premium to asset value in the Envestra acquisition of the Wagga </w:t>
      </w:r>
      <w:proofErr w:type="spellStart"/>
      <w:r w:rsidR="00CF19E8">
        <w:rPr>
          <w:rFonts w:ascii="Arial Narrow" w:hAnsi="Arial Narrow"/>
          <w:sz w:val="24"/>
          <w:szCs w:val="24"/>
        </w:rPr>
        <w:t>Wagga</w:t>
      </w:r>
      <w:proofErr w:type="spellEnd"/>
      <w:r w:rsidR="00CF19E8">
        <w:rPr>
          <w:rFonts w:ascii="Arial Narrow" w:hAnsi="Arial Narrow"/>
          <w:sz w:val="24"/>
          <w:szCs w:val="24"/>
        </w:rPr>
        <w:t xml:space="preserve"> networks shows quite clearly how changes in regulatory settings and the capital markets since 2006 have affected investors behaviour.  </w:t>
      </w:r>
    </w:p>
    <w:p w:rsidR="00DF141C" w:rsidRDefault="00DF141C" w:rsidP="0008696B">
      <w:pPr>
        <w:autoSpaceDE w:val="0"/>
        <w:autoSpaceDN w:val="0"/>
        <w:adjustRightInd w:val="0"/>
        <w:spacing w:before="0" w:after="0"/>
        <w:ind w:firstLine="0"/>
        <w:rPr>
          <w:rFonts w:ascii="Arial Narrow" w:hAnsi="Arial Narrow"/>
          <w:sz w:val="24"/>
          <w:szCs w:val="24"/>
        </w:rPr>
      </w:pPr>
    </w:p>
    <w:p w:rsidR="00D07FD1" w:rsidRDefault="00D07FD1" w:rsidP="00D07FD1">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Pr>
          <w:rFonts w:ascii="Arial Narrow" w:hAnsi="Arial Narrow"/>
          <w:b/>
          <w:sz w:val="24"/>
          <w:szCs w:val="24"/>
        </w:rPr>
        <w:t>4</w:t>
      </w:r>
      <w:r w:rsidRPr="00A255CE">
        <w:rPr>
          <w:rFonts w:ascii="Arial Narrow" w:hAnsi="Arial Narrow"/>
          <w:b/>
          <w:sz w:val="24"/>
          <w:szCs w:val="24"/>
        </w:rPr>
        <w:tab/>
      </w:r>
      <w:r>
        <w:rPr>
          <w:rFonts w:ascii="Arial Narrow" w:hAnsi="Arial Narrow"/>
          <w:b/>
          <w:sz w:val="24"/>
          <w:szCs w:val="24"/>
        </w:rPr>
        <w:t>Cost of Equity from Brokers Reports</w:t>
      </w:r>
    </w:p>
    <w:p w:rsidR="00DF141C" w:rsidRDefault="00DF141C" w:rsidP="0008696B">
      <w:pPr>
        <w:autoSpaceDE w:val="0"/>
        <w:autoSpaceDN w:val="0"/>
        <w:adjustRightInd w:val="0"/>
        <w:spacing w:before="0" w:after="0"/>
        <w:ind w:firstLine="0"/>
        <w:rPr>
          <w:rFonts w:ascii="Arial Narrow" w:hAnsi="Arial Narrow"/>
          <w:sz w:val="24"/>
          <w:szCs w:val="24"/>
        </w:rPr>
      </w:pPr>
    </w:p>
    <w:p w:rsidR="00D07FD1" w:rsidRPr="00D07FD1" w:rsidRDefault="00D07FD1" w:rsidP="00D07FD1">
      <w:pPr>
        <w:autoSpaceDE w:val="0"/>
        <w:autoSpaceDN w:val="0"/>
        <w:adjustRightInd w:val="0"/>
        <w:spacing w:before="0" w:after="0"/>
        <w:ind w:firstLine="0"/>
        <w:rPr>
          <w:rFonts w:ascii="Arial Narrow" w:hAnsi="Arial Narrow"/>
          <w:sz w:val="24"/>
          <w:szCs w:val="24"/>
        </w:rPr>
      </w:pPr>
      <w:r>
        <w:rPr>
          <w:rFonts w:ascii="Arial Narrow" w:hAnsi="Arial Narrow"/>
          <w:sz w:val="24"/>
          <w:szCs w:val="24"/>
        </w:rPr>
        <w:t xml:space="preserve">The AER questioned the relevance of equity </w:t>
      </w:r>
      <w:r w:rsidRPr="00D07FD1">
        <w:rPr>
          <w:rFonts w:ascii="Arial Narrow" w:hAnsi="Arial Narrow"/>
          <w:sz w:val="24"/>
          <w:szCs w:val="24"/>
        </w:rPr>
        <w:t xml:space="preserve">broker </w:t>
      </w:r>
      <w:r>
        <w:rPr>
          <w:rFonts w:ascii="Arial Narrow" w:hAnsi="Arial Narrow"/>
          <w:sz w:val="24"/>
          <w:szCs w:val="24"/>
        </w:rPr>
        <w:t xml:space="preserve">research </w:t>
      </w:r>
      <w:r w:rsidRPr="00D07FD1">
        <w:rPr>
          <w:rFonts w:ascii="Arial Narrow" w:hAnsi="Arial Narrow"/>
          <w:sz w:val="24"/>
          <w:szCs w:val="24"/>
        </w:rPr>
        <w:t>reports</w:t>
      </w:r>
      <w:r>
        <w:rPr>
          <w:rFonts w:ascii="Arial Narrow" w:hAnsi="Arial Narrow"/>
          <w:sz w:val="24"/>
          <w:szCs w:val="24"/>
        </w:rPr>
        <w:t xml:space="preserve"> in </w:t>
      </w:r>
      <w:r w:rsidRPr="00D07FD1">
        <w:rPr>
          <w:rFonts w:ascii="Arial Narrow" w:hAnsi="Arial Narrow"/>
          <w:sz w:val="24"/>
          <w:szCs w:val="24"/>
        </w:rPr>
        <w:t>test</w:t>
      </w:r>
      <w:r>
        <w:rPr>
          <w:rFonts w:ascii="Arial Narrow" w:hAnsi="Arial Narrow"/>
          <w:sz w:val="24"/>
          <w:szCs w:val="24"/>
        </w:rPr>
        <w:t xml:space="preserve">ing </w:t>
      </w:r>
      <w:r w:rsidRPr="00D07FD1">
        <w:rPr>
          <w:rFonts w:ascii="Arial Narrow" w:hAnsi="Arial Narrow"/>
          <w:sz w:val="24"/>
          <w:szCs w:val="24"/>
        </w:rPr>
        <w:t>the overall reasonableness of the AER’s return on equit</w:t>
      </w:r>
      <w:r>
        <w:rPr>
          <w:rFonts w:ascii="Arial Narrow" w:hAnsi="Arial Narrow"/>
          <w:sz w:val="24"/>
          <w:szCs w:val="24"/>
        </w:rPr>
        <w:t xml:space="preserve">y.  SFG has responded to the issues raised by the AER in its report titled </w:t>
      </w:r>
      <w:r w:rsidRPr="00D07FD1">
        <w:rPr>
          <w:rFonts w:ascii="Arial Narrow" w:hAnsi="Arial Narrow"/>
          <w:i/>
          <w:sz w:val="24"/>
          <w:szCs w:val="24"/>
        </w:rPr>
        <w:t>The required return on equity commensurate with prevailing conditions in the market for funds: Response to Draft Decision</w:t>
      </w:r>
      <w:r>
        <w:rPr>
          <w:rFonts w:ascii="Arial Narrow" w:hAnsi="Arial Narrow"/>
          <w:sz w:val="24"/>
          <w:szCs w:val="24"/>
        </w:rPr>
        <w:t xml:space="preserve"> dated 23 March 2011.  The AER Draft Decision and SFG responses are summarised in the table below.</w:t>
      </w:r>
    </w:p>
    <w:p w:rsidR="00DF141C" w:rsidRDefault="00DF141C" w:rsidP="0008696B">
      <w:pPr>
        <w:autoSpaceDE w:val="0"/>
        <w:autoSpaceDN w:val="0"/>
        <w:adjustRightInd w:val="0"/>
        <w:spacing w:before="0" w:after="0"/>
        <w:ind w:firstLine="0"/>
        <w:rPr>
          <w:rFonts w:ascii="Arial Narrow" w:hAnsi="Arial Narrow"/>
          <w:sz w:val="24"/>
          <w:szCs w:val="24"/>
        </w:rPr>
      </w:pPr>
    </w:p>
    <w:tbl>
      <w:tblPr>
        <w:tblW w:w="8602" w:type="dxa"/>
        <w:jc w:val="center"/>
        <w:tblInd w:w="-3049" w:type="dxa"/>
        <w:tblLook w:val="04A0"/>
      </w:tblPr>
      <w:tblGrid>
        <w:gridCol w:w="4157"/>
        <w:gridCol w:w="4445"/>
      </w:tblGrid>
      <w:tr w:rsidR="00D07FD1" w:rsidRPr="00D07FD1" w:rsidTr="00427493">
        <w:trPr>
          <w:trHeight w:val="300"/>
          <w:jc w:val="center"/>
        </w:trPr>
        <w:tc>
          <w:tcPr>
            <w:tcW w:w="4157" w:type="dxa"/>
            <w:tcBorders>
              <w:top w:val="single" w:sz="4" w:space="0" w:color="auto"/>
              <w:left w:val="nil"/>
              <w:bottom w:val="single" w:sz="4" w:space="0" w:color="auto"/>
              <w:right w:val="nil"/>
            </w:tcBorders>
            <w:shd w:val="clear" w:color="auto" w:fill="auto"/>
            <w:noWrap/>
            <w:vAlign w:val="bottom"/>
            <w:hideMark/>
          </w:tcPr>
          <w:p w:rsidR="00D07FD1" w:rsidRPr="00D07FD1" w:rsidRDefault="00D07FD1" w:rsidP="00427493">
            <w:pPr>
              <w:pStyle w:val="SFGReportTableColumnHeadings"/>
              <w:rPr>
                <w:rFonts w:ascii="Arial Narrow" w:eastAsia="Calibri" w:hAnsi="Arial Narrow"/>
                <w:b w:val="0"/>
                <w:sz w:val="24"/>
              </w:rPr>
            </w:pPr>
            <w:r w:rsidRPr="00D07FD1">
              <w:rPr>
                <w:rFonts w:ascii="Arial Narrow" w:eastAsia="Calibri" w:hAnsi="Arial Narrow"/>
                <w:b w:val="0"/>
                <w:sz w:val="24"/>
              </w:rPr>
              <w:t>Draft Decision Conclusion</w:t>
            </w:r>
          </w:p>
        </w:tc>
        <w:tc>
          <w:tcPr>
            <w:tcW w:w="4445" w:type="dxa"/>
            <w:tcBorders>
              <w:top w:val="single" w:sz="4" w:space="0" w:color="auto"/>
              <w:left w:val="nil"/>
              <w:bottom w:val="single" w:sz="4" w:space="0" w:color="auto"/>
              <w:right w:val="nil"/>
            </w:tcBorders>
            <w:shd w:val="clear" w:color="auto" w:fill="auto"/>
            <w:noWrap/>
            <w:vAlign w:val="bottom"/>
            <w:hideMark/>
          </w:tcPr>
          <w:p w:rsidR="00D07FD1" w:rsidRPr="00D07FD1" w:rsidRDefault="00D07FD1" w:rsidP="00427493">
            <w:pPr>
              <w:pStyle w:val="SFGReportTableColumnHeadings"/>
              <w:rPr>
                <w:rFonts w:ascii="Arial Narrow" w:eastAsia="Calibri" w:hAnsi="Arial Narrow"/>
                <w:b w:val="0"/>
                <w:sz w:val="24"/>
              </w:rPr>
            </w:pPr>
            <w:r w:rsidRPr="00D07FD1">
              <w:rPr>
                <w:rFonts w:ascii="Arial Narrow" w:eastAsia="Calibri" w:hAnsi="Arial Narrow"/>
                <w:b w:val="0"/>
                <w:sz w:val="24"/>
              </w:rPr>
              <w:t>SFG Response</w:t>
            </w:r>
          </w:p>
        </w:tc>
      </w:tr>
      <w:tr w:rsidR="00D07FD1" w:rsidRPr="00D07FD1" w:rsidTr="00427493">
        <w:trPr>
          <w:trHeight w:val="900"/>
          <w:jc w:val="center"/>
        </w:trPr>
        <w:tc>
          <w:tcPr>
            <w:tcW w:w="4157" w:type="dxa"/>
            <w:tcBorders>
              <w:top w:val="nil"/>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SFG analysis should be afforded no weight as it relies on equity analyst price forecasts, which are unreliable and potentially biased.</w:t>
            </w:r>
          </w:p>
        </w:tc>
        <w:tc>
          <w:tcPr>
            <w:tcW w:w="4445" w:type="dxa"/>
            <w:tcBorders>
              <w:top w:val="nil"/>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SFG report does not rely on price forecasts; only uses dividend yields.  SFG report uses the same conservative approach to price forecasts as the Draft Decision uses in producing “the most appropriate return on equity that can be derived from analyst reports.</w:t>
            </w:r>
          </w:p>
        </w:tc>
      </w:tr>
      <w:tr w:rsidR="00D07FD1" w:rsidRPr="00D07FD1" w:rsidTr="00427493">
        <w:trPr>
          <w:trHeight w:val="1200"/>
          <w:jc w:val="center"/>
        </w:trPr>
        <w:tc>
          <w:tcPr>
            <w:tcW w:w="4157" w:type="dxa"/>
            <w:tcBorders>
              <w:top w:val="single" w:sz="4" w:space="0" w:color="auto"/>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 xml:space="preserve">Stapled security structure of comparable firms means that equity analyst forecasts should be adjusted by halving the forecasted dividend. </w:t>
            </w:r>
          </w:p>
        </w:tc>
        <w:tc>
          <w:tcPr>
            <w:tcW w:w="4445" w:type="dxa"/>
            <w:tcBorders>
              <w:top w:val="single" w:sz="4" w:space="0" w:color="auto"/>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No analyst for any of the comparable firms has forecasted any decline in dividends.  The annual reports for the comparable firms state the objective of dividend increases and the means by which that will be delivered.  No evidence of any expectation of any comparable firm slashing future dividends.</w:t>
            </w:r>
          </w:p>
        </w:tc>
      </w:tr>
      <w:tr w:rsidR="00D07FD1" w:rsidRPr="00D07FD1" w:rsidTr="00427493">
        <w:trPr>
          <w:trHeight w:val="600"/>
          <w:jc w:val="center"/>
        </w:trPr>
        <w:tc>
          <w:tcPr>
            <w:tcW w:w="4157" w:type="dxa"/>
            <w:tcBorders>
              <w:top w:val="single" w:sz="4" w:space="0" w:color="auto"/>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The firms that are analysed are not perfectly comparable to the benchmark firm.</w:t>
            </w:r>
          </w:p>
        </w:tc>
        <w:tc>
          <w:tcPr>
            <w:tcW w:w="4445" w:type="dxa"/>
            <w:tcBorders>
              <w:top w:val="single" w:sz="4" w:space="0" w:color="auto"/>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The set of firms used is the same set of comparables that the AER uses to estimate beta, gearing , and credit rating.</w:t>
            </w:r>
          </w:p>
        </w:tc>
      </w:tr>
      <w:tr w:rsidR="00D07FD1" w:rsidRPr="00D07FD1" w:rsidTr="00427493">
        <w:trPr>
          <w:trHeight w:val="900"/>
          <w:jc w:val="center"/>
        </w:trPr>
        <w:tc>
          <w:tcPr>
            <w:tcW w:w="4157" w:type="dxa"/>
            <w:tcBorders>
              <w:top w:val="single" w:sz="4" w:space="0" w:color="auto"/>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Updated research reports should be used.</w:t>
            </w:r>
          </w:p>
        </w:tc>
        <w:tc>
          <w:tcPr>
            <w:tcW w:w="4445" w:type="dxa"/>
            <w:tcBorders>
              <w:top w:val="single" w:sz="4" w:space="0" w:color="auto"/>
              <w:left w:val="nil"/>
              <w:bottom w:val="single" w:sz="4" w:space="0" w:color="auto"/>
              <w:right w:val="nil"/>
            </w:tcBorders>
            <w:shd w:val="clear" w:color="auto" w:fill="auto"/>
            <w:vAlign w:val="center"/>
            <w:hideMark/>
          </w:tcPr>
          <w:p w:rsidR="00D07FD1" w:rsidRPr="00D07FD1" w:rsidRDefault="00D07FD1" w:rsidP="00427493">
            <w:pPr>
              <w:pStyle w:val="SFGReportTableCellTextLeftalign"/>
              <w:rPr>
                <w:rFonts w:ascii="Arial Narrow" w:eastAsia="Calibri" w:hAnsi="Arial Narrow"/>
                <w:sz w:val="24"/>
                <w:szCs w:val="24"/>
              </w:rPr>
            </w:pPr>
            <w:r w:rsidRPr="00D07FD1">
              <w:rPr>
                <w:rFonts w:ascii="Arial Narrow" w:eastAsia="Calibri" w:hAnsi="Arial Narrow"/>
                <w:sz w:val="24"/>
                <w:szCs w:val="24"/>
              </w:rPr>
              <w:t>Agreed. The latest available data should always be used to estimate parameters.  Updated estimates do not change the conclusions from our previous report.</w:t>
            </w:r>
          </w:p>
        </w:tc>
      </w:tr>
    </w:tbl>
    <w:p w:rsidR="00DF141C" w:rsidRDefault="00DF141C" w:rsidP="0008696B">
      <w:pPr>
        <w:autoSpaceDE w:val="0"/>
        <w:autoSpaceDN w:val="0"/>
        <w:adjustRightInd w:val="0"/>
        <w:spacing w:before="0" w:after="0"/>
        <w:ind w:firstLine="0"/>
        <w:rPr>
          <w:rFonts w:ascii="Arial Narrow" w:hAnsi="Arial Narrow"/>
          <w:sz w:val="24"/>
          <w:szCs w:val="24"/>
        </w:rPr>
      </w:pPr>
    </w:p>
    <w:p w:rsidR="005508CA" w:rsidRDefault="005508CA" w:rsidP="005508CA">
      <w:pPr>
        <w:tabs>
          <w:tab w:val="left" w:pos="567"/>
        </w:tabs>
        <w:spacing w:before="0" w:after="0"/>
        <w:ind w:left="567" w:hanging="567"/>
        <w:rPr>
          <w:rFonts w:ascii="Arial Narrow" w:hAnsi="Arial Narrow"/>
          <w:b/>
          <w:sz w:val="24"/>
          <w:szCs w:val="24"/>
        </w:rPr>
      </w:pPr>
      <w:r w:rsidRPr="00A255CE">
        <w:rPr>
          <w:rFonts w:ascii="Arial Narrow" w:hAnsi="Arial Narrow"/>
          <w:b/>
          <w:sz w:val="24"/>
          <w:szCs w:val="24"/>
        </w:rPr>
        <w:t>9.</w:t>
      </w:r>
      <w:r>
        <w:rPr>
          <w:rFonts w:ascii="Arial Narrow" w:hAnsi="Arial Narrow"/>
          <w:b/>
          <w:sz w:val="24"/>
          <w:szCs w:val="24"/>
        </w:rPr>
        <w:t>5</w:t>
      </w:r>
      <w:r w:rsidRPr="00A255CE">
        <w:rPr>
          <w:rFonts w:ascii="Arial Narrow" w:hAnsi="Arial Narrow"/>
          <w:b/>
          <w:sz w:val="24"/>
          <w:szCs w:val="24"/>
        </w:rPr>
        <w:tab/>
      </w:r>
      <w:r>
        <w:rPr>
          <w:rFonts w:ascii="Arial Narrow" w:hAnsi="Arial Narrow"/>
          <w:b/>
          <w:sz w:val="24"/>
          <w:szCs w:val="24"/>
        </w:rPr>
        <w:t>Original Cost of Equity Submission</w:t>
      </w:r>
    </w:p>
    <w:p w:rsidR="005508CA" w:rsidRDefault="005508CA" w:rsidP="0008696B">
      <w:pPr>
        <w:autoSpaceDE w:val="0"/>
        <w:autoSpaceDN w:val="0"/>
        <w:adjustRightInd w:val="0"/>
        <w:spacing w:before="0" w:after="0"/>
        <w:ind w:firstLine="0"/>
        <w:rPr>
          <w:rFonts w:ascii="Arial Narrow" w:hAnsi="Arial Narrow"/>
          <w:sz w:val="24"/>
          <w:szCs w:val="24"/>
        </w:rPr>
      </w:pPr>
    </w:p>
    <w:p w:rsidR="005508CA" w:rsidRDefault="005508CA" w:rsidP="005508CA">
      <w:pPr>
        <w:autoSpaceDE w:val="0"/>
        <w:autoSpaceDN w:val="0"/>
        <w:adjustRightInd w:val="0"/>
        <w:spacing w:before="0" w:after="0"/>
        <w:ind w:firstLine="0"/>
        <w:rPr>
          <w:rFonts w:ascii="Arial Narrow" w:hAnsi="Arial Narrow"/>
          <w:sz w:val="24"/>
          <w:szCs w:val="24"/>
        </w:rPr>
      </w:pPr>
      <w:r>
        <w:rPr>
          <w:rFonts w:ascii="Arial Narrow" w:hAnsi="Arial Narrow"/>
          <w:sz w:val="24"/>
          <w:szCs w:val="24"/>
        </w:rPr>
        <w:t>In the Draft Decision t</w:t>
      </w:r>
      <w:r w:rsidRPr="005508CA">
        <w:rPr>
          <w:rFonts w:ascii="Arial Narrow" w:hAnsi="Arial Narrow"/>
          <w:sz w:val="24"/>
          <w:szCs w:val="24"/>
        </w:rPr>
        <w:t>he AER d</w:t>
      </w:r>
      <w:r>
        <w:rPr>
          <w:rFonts w:ascii="Arial Narrow" w:hAnsi="Arial Narrow"/>
          <w:sz w:val="24"/>
          <w:szCs w:val="24"/>
        </w:rPr>
        <w:t>id</w:t>
      </w:r>
      <w:r w:rsidRPr="005508CA">
        <w:rPr>
          <w:rFonts w:ascii="Arial Narrow" w:hAnsi="Arial Narrow"/>
          <w:sz w:val="24"/>
          <w:szCs w:val="24"/>
        </w:rPr>
        <w:t xml:space="preserve"> not accept the cost of equity proposed by Envestra. </w:t>
      </w:r>
      <w:r w:rsidR="00D24BF2">
        <w:rPr>
          <w:rFonts w:ascii="Arial Narrow" w:hAnsi="Arial Narrow"/>
          <w:sz w:val="24"/>
          <w:szCs w:val="24"/>
        </w:rPr>
        <w:t xml:space="preserve">One of the reasons given was that they interpreted </w:t>
      </w:r>
      <w:r w:rsidRPr="005508CA">
        <w:rPr>
          <w:rFonts w:ascii="Arial Narrow" w:hAnsi="Arial Narrow"/>
          <w:sz w:val="24"/>
          <w:szCs w:val="24"/>
        </w:rPr>
        <w:t>Envestra</w:t>
      </w:r>
      <w:r w:rsidR="00D24BF2">
        <w:rPr>
          <w:rFonts w:ascii="Arial Narrow" w:hAnsi="Arial Narrow"/>
          <w:sz w:val="24"/>
          <w:szCs w:val="24"/>
        </w:rPr>
        <w:t xml:space="preserve">’s October 2010 submission as using multiple models/methods, rather that just the CAPM, and this multiple model approach was not </w:t>
      </w:r>
      <w:r w:rsidRPr="005508CA">
        <w:rPr>
          <w:rFonts w:ascii="Arial Narrow" w:hAnsi="Arial Narrow"/>
          <w:sz w:val="24"/>
          <w:szCs w:val="24"/>
        </w:rPr>
        <w:t xml:space="preserve">a </w:t>
      </w:r>
      <w:r w:rsidR="00D24BF2">
        <w:rPr>
          <w:rFonts w:ascii="Arial Narrow" w:hAnsi="Arial Narrow"/>
          <w:sz w:val="24"/>
          <w:szCs w:val="24"/>
        </w:rPr>
        <w:t>‘well accepted financial model’</w:t>
      </w:r>
      <w:r w:rsidRPr="005508CA">
        <w:rPr>
          <w:rFonts w:ascii="Arial Narrow" w:hAnsi="Arial Narrow"/>
          <w:sz w:val="24"/>
          <w:szCs w:val="24"/>
        </w:rPr>
        <w:t xml:space="preserve"> as required by </w:t>
      </w:r>
      <w:r w:rsidR="00D24BF2">
        <w:rPr>
          <w:rFonts w:ascii="Arial Narrow" w:hAnsi="Arial Narrow"/>
          <w:sz w:val="24"/>
          <w:szCs w:val="24"/>
        </w:rPr>
        <w:t xml:space="preserve">NGR </w:t>
      </w:r>
      <w:r w:rsidRPr="005508CA">
        <w:rPr>
          <w:rFonts w:ascii="Arial Narrow" w:hAnsi="Arial Narrow"/>
          <w:sz w:val="24"/>
          <w:szCs w:val="24"/>
        </w:rPr>
        <w:t>87</w:t>
      </w:r>
      <w:r w:rsidR="00D24BF2">
        <w:rPr>
          <w:rFonts w:ascii="Arial Narrow" w:hAnsi="Arial Narrow"/>
          <w:sz w:val="24"/>
          <w:szCs w:val="24"/>
        </w:rPr>
        <w:t>.</w:t>
      </w:r>
      <w:r w:rsidR="00DA62D3">
        <w:rPr>
          <w:rStyle w:val="FootnoteReference"/>
          <w:rFonts w:ascii="Arial Narrow" w:hAnsi="Arial Narrow"/>
          <w:sz w:val="24"/>
          <w:szCs w:val="24"/>
        </w:rPr>
        <w:footnoteReference w:id="1"/>
      </w:r>
    </w:p>
    <w:p w:rsidR="00DA62D3" w:rsidRDefault="00DA62D3" w:rsidP="005508CA">
      <w:pPr>
        <w:autoSpaceDE w:val="0"/>
        <w:autoSpaceDN w:val="0"/>
        <w:adjustRightInd w:val="0"/>
        <w:spacing w:before="0" w:after="0"/>
        <w:ind w:firstLine="0"/>
        <w:rPr>
          <w:rFonts w:ascii="Arial Narrow" w:hAnsi="Arial Narrow"/>
          <w:sz w:val="24"/>
          <w:szCs w:val="24"/>
        </w:rPr>
      </w:pPr>
    </w:p>
    <w:p w:rsidR="00FE17EF" w:rsidRDefault="00DA62D3" w:rsidP="005508CA">
      <w:pPr>
        <w:autoSpaceDE w:val="0"/>
        <w:autoSpaceDN w:val="0"/>
        <w:adjustRightInd w:val="0"/>
        <w:spacing w:before="0" w:after="0"/>
        <w:ind w:firstLine="0"/>
        <w:rPr>
          <w:rFonts w:ascii="Arial Narrow" w:hAnsi="Arial Narrow" w:cs="Arial Narrow"/>
          <w:sz w:val="24"/>
          <w:szCs w:val="24"/>
        </w:rPr>
      </w:pPr>
      <w:r>
        <w:rPr>
          <w:rFonts w:ascii="Arial Narrow" w:hAnsi="Arial Narrow"/>
          <w:sz w:val="24"/>
          <w:szCs w:val="24"/>
        </w:rPr>
        <w:t xml:space="preserve">Envestra does not believe the AER has correctly interpreted its approach to estimating the cost of </w:t>
      </w:r>
      <w:r w:rsidRPr="00DA62D3">
        <w:rPr>
          <w:rFonts w:ascii="Arial Narrow" w:hAnsi="Arial Narrow"/>
          <w:sz w:val="24"/>
          <w:szCs w:val="24"/>
        </w:rPr>
        <w:t>equity.  Envestra has used</w:t>
      </w:r>
      <w:r>
        <w:rPr>
          <w:rFonts w:ascii="Arial Narrow" w:hAnsi="Arial Narrow"/>
          <w:sz w:val="24"/>
          <w:szCs w:val="24"/>
        </w:rPr>
        <w:t xml:space="preserve"> the CAPM to estimate the cost of equity.  Envestra cross-checked the CAPM </w:t>
      </w:r>
      <w:r w:rsidR="00FE17EF">
        <w:rPr>
          <w:rFonts w:ascii="Arial Narrow" w:hAnsi="Arial Narrow"/>
          <w:sz w:val="24"/>
          <w:szCs w:val="24"/>
        </w:rPr>
        <w:t xml:space="preserve">input parameters and overall </w:t>
      </w:r>
      <w:r>
        <w:rPr>
          <w:rFonts w:ascii="Arial Narrow" w:hAnsi="Arial Narrow"/>
          <w:sz w:val="24"/>
          <w:szCs w:val="24"/>
        </w:rPr>
        <w:t>cost of equity with</w:t>
      </w:r>
      <w:r w:rsidRPr="00DA62D3">
        <w:rPr>
          <w:rFonts w:ascii="Arial Narrow" w:hAnsi="Arial Narrow"/>
          <w:sz w:val="24"/>
          <w:szCs w:val="24"/>
        </w:rPr>
        <w:t xml:space="preserve"> alternative asset pricing models to </w:t>
      </w:r>
      <w:r>
        <w:rPr>
          <w:rFonts w:ascii="Arial Narrow" w:hAnsi="Arial Narrow"/>
          <w:sz w:val="24"/>
          <w:szCs w:val="24"/>
        </w:rPr>
        <w:t xml:space="preserve">ascertain </w:t>
      </w:r>
      <w:r w:rsidRPr="00DA62D3">
        <w:rPr>
          <w:rFonts w:ascii="Arial Narrow" w:hAnsi="Arial Narrow" w:cs="Arial Narrow"/>
          <w:sz w:val="24"/>
          <w:szCs w:val="24"/>
        </w:rPr>
        <w:t>the appropriateness of the cost of equity generated by use of the CAPM for use in accordance with Rule 87</w:t>
      </w:r>
      <w:r>
        <w:rPr>
          <w:rFonts w:ascii="Arial Narrow" w:hAnsi="Arial Narrow" w:cs="Arial Narrow"/>
          <w:sz w:val="24"/>
          <w:szCs w:val="24"/>
        </w:rPr>
        <w:t>.</w:t>
      </w:r>
      <w:r w:rsidR="00FE17EF" w:rsidRPr="00FE17EF">
        <w:rPr>
          <w:rStyle w:val="FootnoteReference"/>
          <w:rFonts w:ascii="Arial Narrow" w:hAnsi="Arial Narrow" w:cs="Arial Narrow"/>
          <w:i/>
          <w:sz w:val="24"/>
          <w:szCs w:val="24"/>
        </w:rPr>
        <w:t xml:space="preserve"> </w:t>
      </w:r>
      <w:r w:rsidR="00FE17EF">
        <w:rPr>
          <w:rStyle w:val="FootnoteReference"/>
          <w:rFonts w:ascii="Arial Narrow" w:hAnsi="Arial Narrow" w:cs="Arial Narrow"/>
          <w:i/>
          <w:sz w:val="24"/>
          <w:szCs w:val="24"/>
        </w:rPr>
        <w:footnoteReference w:id="2"/>
      </w:r>
      <w:r w:rsidR="00FE17EF">
        <w:rPr>
          <w:rFonts w:ascii="Arial Narrow" w:hAnsi="Arial Narrow" w:cs="Arial Narrow"/>
          <w:i/>
          <w:sz w:val="24"/>
          <w:szCs w:val="24"/>
        </w:rPr>
        <w:t xml:space="preserve"> </w:t>
      </w:r>
      <w:r w:rsidR="00FE17EF" w:rsidRPr="00FE17EF">
        <w:rPr>
          <w:rFonts w:ascii="Arial Narrow" w:hAnsi="Arial Narrow" w:cs="Arial Narrow"/>
          <w:sz w:val="24"/>
          <w:szCs w:val="24"/>
        </w:rPr>
        <w:t xml:space="preserve">  </w:t>
      </w:r>
      <w:r w:rsidR="00FE17EF">
        <w:rPr>
          <w:rFonts w:ascii="Arial Narrow" w:hAnsi="Arial Narrow"/>
          <w:sz w:val="24"/>
          <w:szCs w:val="24"/>
        </w:rPr>
        <w:t xml:space="preserve">This is different to the </w:t>
      </w:r>
      <w:r w:rsidR="00FE17EF" w:rsidRPr="00FE17EF">
        <w:rPr>
          <w:rFonts w:ascii="Arial Narrow" w:hAnsi="Arial Narrow"/>
          <w:sz w:val="24"/>
          <w:szCs w:val="24"/>
        </w:rPr>
        <w:t xml:space="preserve">AER </w:t>
      </w:r>
      <w:r w:rsidR="00FE17EF">
        <w:rPr>
          <w:rFonts w:ascii="Arial Narrow" w:hAnsi="Arial Narrow"/>
          <w:sz w:val="24"/>
          <w:szCs w:val="24"/>
        </w:rPr>
        <w:t xml:space="preserve">approach of attempting to estimate </w:t>
      </w:r>
      <w:r w:rsidR="00FE17EF" w:rsidRPr="00FE17EF">
        <w:rPr>
          <w:rFonts w:ascii="Arial Narrow" w:hAnsi="Arial Narrow"/>
          <w:sz w:val="24"/>
          <w:szCs w:val="24"/>
        </w:rPr>
        <w:t xml:space="preserve">CAPM </w:t>
      </w:r>
      <w:r w:rsidR="00FE17EF">
        <w:rPr>
          <w:rFonts w:ascii="Arial Narrow" w:hAnsi="Arial Narrow"/>
          <w:sz w:val="24"/>
          <w:szCs w:val="24"/>
        </w:rPr>
        <w:t xml:space="preserve">parameters accurately and then assuming the outturn cost of equity is compliant with the NGR.  Data and statistical issues with the AERs preferred equity beta and MRP estimate plus the low-beta bias of </w:t>
      </w:r>
      <w:r w:rsidR="00871901">
        <w:rPr>
          <w:rFonts w:ascii="Arial Narrow" w:hAnsi="Arial Narrow"/>
          <w:sz w:val="24"/>
          <w:szCs w:val="24"/>
        </w:rPr>
        <w:t>the</w:t>
      </w:r>
      <w:r w:rsidR="00FE17EF">
        <w:rPr>
          <w:rFonts w:ascii="Arial Narrow" w:hAnsi="Arial Narrow"/>
          <w:sz w:val="24"/>
          <w:szCs w:val="24"/>
        </w:rPr>
        <w:t xml:space="preserve"> CAPM call into question whether the AERs cost of equity does satisfy the rate of return requirements of the NGR.  </w:t>
      </w:r>
      <w:r w:rsidR="00FE17EF">
        <w:rPr>
          <w:rFonts w:ascii="Arial Narrow" w:hAnsi="Arial Narrow" w:cs="Arial Narrow"/>
          <w:sz w:val="24"/>
          <w:szCs w:val="24"/>
        </w:rPr>
        <w:t xml:space="preserve">Envestra is of the view that multi-model cross check of the CAPM cost of equity significantly reduces any bias and/or anomalies that may arise in the AERs application of the CAPM.  </w:t>
      </w:r>
    </w:p>
    <w:sectPr w:rsidR="00FE17EF" w:rsidSect="00A255CE">
      <w:headerReference w:type="even" r:id="rId8"/>
      <w:pgSz w:w="11906" w:h="16838"/>
      <w:pgMar w:top="1134" w:right="1418" w:bottom="113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3B35" w:rsidRDefault="009D3B35" w:rsidP="00484ABD">
      <w:pPr>
        <w:spacing w:before="0" w:after="0"/>
      </w:pPr>
      <w:r>
        <w:separator/>
      </w:r>
    </w:p>
  </w:endnote>
  <w:endnote w:type="continuationSeparator" w:id="0">
    <w:p w:rsidR="009D3B35" w:rsidRDefault="009D3B35" w:rsidP="00484A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3B35" w:rsidRDefault="009D3B35" w:rsidP="00484ABD">
      <w:pPr>
        <w:spacing w:before="0" w:after="0"/>
      </w:pPr>
      <w:r>
        <w:separator/>
      </w:r>
    </w:p>
  </w:footnote>
  <w:footnote w:type="continuationSeparator" w:id="0">
    <w:p w:rsidR="009D3B35" w:rsidRDefault="009D3B35" w:rsidP="00484ABD">
      <w:pPr>
        <w:spacing w:before="0" w:after="0"/>
      </w:pPr>
      <w:r>
        <w:continuationSeparator/>
      </w:r>
    </w:p>
  </w:footnote>
  <w:footnote w:id="1">
    <w:p w:rsidR="00DA62D3" w:rsidRPr="00F41D41" w:rsidRDefault="00DA62D3" w:rsidP="00F41D41">
      <w:pPr>
        <w:pStyle w:val="FootnoteText"/>
        <w:spacing w:before="0" w:after="0"/>
        <w:ind w:firstLine="0"/>
        <w:rPr>
          <w:rFonts w:ascii="Arial Narrow" w:hAnsi="Arial Narrow"/>
        </w:rPr>
      </w:pPr>
      <w:r w:rsidRPr="00F41D41">
        <w:rPr>
          <w:rStyle w:val="FootnoteReference"/>
          <w:rFonts w:ascii="Arial Narrow" w:hAnsi="Arial Narrow"/>
        </w:rPr>
        <w:footnoteRef/>
      </w:r>
      <w:r w:rsidRPr="00F41D41">
        <w:rPr>
          <w:rFonts w:ascii="Arial Narrow" w:hAnsi="Arial Narrow"/>
        </w:rPr>
        <w:t xml:space="preserve"> </w:t>
      </w:r>
      <w:r w:rsidR="00FE17EF" w:rsidRPr="00F41D41">
        <w:rPr>
          <w:rFonts w:ascii="Arial Narrow" w:hAnsi="Arial Narrow"/>
        </w:rPr>
        <w:t>SA Draft Decision, page 65</w:t>
      </w:r>
    </w:p>
  </w:footnote>
  <w:footnote w:id="2">
    <w:p w:rsidR="00FE17EF" w:rsidRPr="00F41D41" w:rsidRDefault="00FE17EF" w:rsidP="00F41D41">
      <w:pPr>
        <w:pStyle w:val="FootnoteText"/>
        <w:spacing w:before="0" w:after="0"/>
        <w:ind w:firstLine="0"/>
        <w:rPr>
          <w:rFonts w:ascii="Arial Narrow" w:hAnsi="Arial Narrow"/>
        </w:rPr>
      </w:pPr>
      <w:r w:rsidRPr="00F41D41">
        <w:rPr>
          <w:rStyle w:val="FootnoteReference"/>
          <w:rFonts w:ascii="Arial Narrow" w:hAnsi="Arial Narrow"/>
        </w:rPr>
        <w:footnoteRef/>
      </w:r>
      <w:r w:rsidRPr="00F41D41">
        <w:rPr>
          <w:rFonts w:ascii="Arial Narrow" w:hAnsi="Arial Narrow"/>
        </w:rPr>
        <w:t xml:space="preserve"> Envestra, South Australian Access Arrangement Information, p 135-136 and Envestra, South Australian Access Arrangement Information, p 135-136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00" w:rsidRDefault="00E25B91" w:rsidP="00484ABD">
    <w:pPr>
      <w:pStyle w:val="Header"/>
      <w:framePr w:wrap="around" w:vAnchor="text" w:hAnchor="margin" w:xAlign="center" w:y="1"/>
      <w:rPr>
        <w:rStyle w:val="PageNumber"/>
      </w:rPr>
    </w:pPr>
    <w:r>
      <w:rPr>
        <w:rStyle w:val="PageNumber"/>
      </w:rPr>
      <w:fldChar w:fldCharType="begin"/>
    </w:r>
    <w:r w:rsidR="002F3800">
      <w:rPr>
        <w:rStyle w:val="PageNumber"/>
      </w:rPr>
      <w:instrText xml:space="preserve">PAGE  </w:instrText>
    </w:r>
    <w:r>
      <w:rPr>
        <w:rStyle w:val="PageNumber"/>
      </w:rPr>
      <w:fldChar w:fldCharType="separate"/>
    </w:r>
    <w:r w:rsidR="00005B2E">
      <w:rPr>
        <w:rStyle w:val="PageNumber"/>
        <w:noProof/>
      </w:rPr>
      <w:t>3</w:t>
    </w:r>
    <w:r>
      <w:rPr>
        <w:rStyle w:val="PageNumber"/>
      </w:rPr>
      <w:fldChar w:fldCharType="end"/>
    </w:r>
  </w:p>
  <w:p w:rsidR="002F3800" w:rsidRDefault="002F38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680"/>
    <w:multiLevelType w:val="hybridMultilevel"/>
    <w:tmpl w:val="B86EECB4"/>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00C958B3"/>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hint="default"/>
      </w:rPr>
    </w:lvl>
    <w:lvl w:ilvl="3">
      <w:start w:val="1"/>
      <w:numFmt w:val="lowerRoman"/>
      <w:lvlRestart w:val="1"/>
      <w:lvlText w:val="%4."/>
      <w:lvlJc w:val="left"/>
      <w:pPr>
        <w:ind w:left="1352" w:hanging="425"/>
      </w:pPr>
      <w:rPr>
        <w:rFonts w:hint="default"/>
      </w:rPr>
    </w:lvl>
    <w:lvl w:ilvl="4">
      <w:start w:val="1"/>
      <w:numFmt w:val="lowerLetter"/>
      <w:lvlRestart w:val="1"/>
      <w:lvlText w:val="%5."/>
      <w:lvlJc w:val="left"/>
      <w:pPr>
        <w:ind w:left="1352" w:hanging="425"/>
      </w:pPr>
      <w:rPr>
        <w:rFonts w:hint="default"/>
      </w:rPr>
    </w:lvl>
    <w:lvl w:ilvl="5">
      <w:start w:val="1"/>
      <w:numFmt w:val="lowerRoman"/>
      <w:lvlText w:val="%6."/>
      <w:lvlJc w:val="left"/>
      <w:pPr>
        <w:ind w:left="1778" w:hanging="426"/>
      </w:pPr>
      <w:rPr>
        <w:rFonts w:hint="default"/>
      </w:rPr>
    </w:lvl>
    <w:lvl w:ilvl="6">
      <w:start w:val="1"/>
      <w:numFmt w:val="decimal"/>
      <w:lvlRestart w:val="5"/>
      <w:lvlText w:val="%7."/>
      <w:lvlJc w:val="left"/>
      <w:pPr>
        <w:ind w:left="1778" w:hanging="426"/>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nsid w:val="04584637"/>
    <w:multiLevelType w:val="hybridMultilevel"/>
    <w:tmpl w:val="048491E0"/>
    <w:lvl w:ilvl="0" w:tplc="CF1CDD4C">
      <w:start w:val="1"/>
      <w:numFmt w:val="lowerRoman"/>
      <w:lvlText w:val="(%1)"/>
      <w:lvlJc w:val="left"/>
      <w:pPr>
        <w:ind w:left="360" w:hanging="360"/>
      </w:pPr>
      <w:rPr>
        <w:rFonts w:cs="Times New Roman" w:hint="default"/>
      </w:rPr>
    </w:lvl>
    <w:lvl w:ilvl="1" w:tplc="0C090017">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D2D01B1"/>
    <w:multiLevelType w:val="multilevel"/>
    <w:tmpl w:val="39002914"/>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25838B2"/>
    <w:multiLevelType w:val="multilevel"/>
    <w:tmpl w:val="1736D09E"/>
    <w:lvl w:ilvl="0">
      <w:start w:val="1"/>
      <w:numFmt w:val="bullet"/>
      <w:lvlText w:val=""/>
      <w:lvlJc w:val="left"/>
      <w:pPr>
        <w:ind w:left="927" w:hanging="567"/>
      </w:pPr>
      <w:rPr>
        <w:rFonts w:ascii="Wingdings" w:hAnsi="Wingdings" w:hint="default"/>
      </w:rPr>
    </w:lvl>
    <w:lvl w:ilvl="1">
      <w:start w:val="1"/>
      <w:numFmt w:val="bullet"/>
      <w:lvlText w:val=""/>
      <w:lvlJc w:val="left"/>
      <w:pPr>
        <w:ind w:left="1352" w:hanging="425"/>
      </w:pPr>
      <w:rPr>
        <w:rFonts w:ascii="Wingdings" w:hAnsi="Wingdings" w:hint="default"/>
      </w:rPr>
    </w:lvl>
    <w:lvl w:ilvl="2">
      <w:start w:val="1"/>
      <w:numFmt w:val="none"/>
      <w:lvlText w:val="-"/>
      <w:lvlJc w:val="left"/>
      <w:pPr>
        <w:ind w:left="1778" w:hanging="426"/>
      </w:pPr>
      <w:rPr>
        <w:rFonts w:hint="default"/>
      </w:rPr>
    </w:lvl>
    <w:lvl w:ilvl="3">
      <w:start w:val="1"/>
      <w:numFmt w:val="lowerRoman"/>
      <w:lvlRestart w:val="1"/>
      <w:lvlText w:val="%4."/>
      <w:lvlJc w:val="left"/>
      <w:pPr>
        <w:ind w:left="1352" w:hanging="425"/>
      </w:pPr>
      <w:rPr>
        <w:rFonts w:hint="default"/>
      </w:rPr>
    </w:lvl>
    <w:lvl w:ilvl="4">
      <w:start w:val="1"/>
      <w:numFmt w:val="lowerLetter"/>
      <w:lvlRestart w:val="1"/>
      <w:lvlText w:val="%5."/>
      <w:lvlJc w:val="left"/>
      <w:pPr>
        <w:ind w:left="1352" w:hanging="425"/>
      </w:pPr>
      <w:rPr>
        <w:rFonts w:hint="default"/>
      </w:rPr>
    </w:lvl>
    <w:lvl w:ilvl="5">
      <w:start w:val="1"/>
      <w:numFmt w:val="lowerRoman"/>
      <w:lvlText w:val="%6."/>
      <w:lvlJc w:val="left"/>
      <w:pPr>
        <w:ind w:left="1778" w:hanging="426"/>
      </w:pPr>
      <w:rPr>
        <w:rFonts w:hint="default"/>
      </w:rPr>
    </w:lvl>
    <w:lvl w:ilvl="6">
      <w:start w:val="1"/>
      <w:numFmt w:val="decimal"/>
      <w:lvlRestart w:val="5"/>
      <w:lvlText w:val="%7."/>
      <w:lvlJc w:val="left"/>
      <w:pPr>
        <w:ind w:left="1778" w:hanging="426"/>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239B3CB8"/>
    <w:multiLevelType w:val="multilevel"/>
    <w:tmpl w:val="277C2D30"/>
    <w:styleLink w:val="CEGHeadingStyl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002"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upperLetter"/>
      <w:lvlRestart w:val="0"/>
      <w:pStyle w:val="Heading5"/>
      <w:lvlText w:val="Appendix %5."/>
      <w:lvlJc w:val="left"/>
      <w:pPr>
        <w:ind w:left="431" w:hanging="431"/>
      </w:pPr>
      <w:rPr>
        <w:rFonts w:hint="default"/>
      </w:rPr>
    </w:lvl>
    <w:lvl w:ilvl="5">
      <w:start w:val="1"/>
      <w:numFmt w:val="decimal"/>
      <w:pStyle w:val="Heading6"/>
      <w:lvlText w:val="%5.%6."/>
      <w:lvlJc w:val="left"/>
      <w:pPr>
        <w:ind w:left="578" w:hanging="578"/>
      </w:pPr>
      <w:rPr>
        <w:rFonts w:hint="default"/>
      </w:rPr>
    </w:lvl>
    <w:lvl w:ilvl="6">
      <w:start w:val="1"/>
      <w:numFmt w:val="decimal"/>
      <w:pStyle w:val="Heading7"/>
      <w:lvlText w:val="%5.%6.%7."/>
      <w:lvlJc w:val="left"/>
      <w:pPr>
        <w:ind w:left="720" w:hanging="720"/>
      </w:pPr>
      <w:rPr>
        <w:rFonts w:hint="default"/>
      </w:rPr>
    </w:lvl>
    <w:lvl w:ilvl="7">
      <w:start w:val="1"/>
      <w:numFmt w:val="decimal"/>
      <w:pStyle w:val="Heading8"/>
      <w:lvlText w:val="%5.%6.%7.%8."/>
      <w:lvlJc w:val="left"/>
      <w:pPr>
        <w:ind w:left="862" w:hanging="862"/>
      </w:pPr>
      <w:rPr>
        <w:rFonts w:hint="default"/>
      </w:rPr>
    </w:lvl>
    <w:lvl w:ilvl="8">
      <w:start w:val="1"/>
      <w:numFmt w:val="decimal"/>
      <w:lvlText w:val="%1.%2.%3.%4.%5.%6.%7.%8.%9."/>
      <w:lvlJc w:val="left"/>
      <w:pPr>
        <w:ind w:left="1584" w:hanging="1584"/>
      </w:pPr>
      <w:rPr>
        <w:rFonts w:hint="default"/>
      </w:rPr>
    </w:lvl>
  </w:abstractNum>
  <w:abstractNum w:abstractNumId="6">
    <w:nsid w:val="263D21B0"/>
    <w:multiLevelType w:val="multilevel"/>
    <w:tmpl w:val="48E4CBF2"/>
    <w:lvl w:ilvl="0">
      <w:start w:val="1"/>
      <w:numFmt w:val="decimal"/>
      <w:pStyle w:val="BodyText"/>
      <w:lvlText w:val="%1."/>
      <w:lvlJc w:val="left"/>
      <w:pPr>
        <w:ind w:left="567" w:hanging="567"/>
      </w:pPr>
      <w:rPr>
        <w:rFonts w:hint="default"/>
      </w:rPr>
    </w:lvl>
    <w:lvl w:ilvl="1">
      <w:start w:val="1"/>
      <w:numFmt w:val="bullet"/>
      <w:pStyle w:val="ListBullet"/>
      <w:lvlText w:val=""/>
      <w:lvlJc w:val="left"/>
      <w:pPr>
        <w:ind w:left="992" w:hanging="425"/>
      </w:pPr>
      <w:rPr>
        <w:rFonts w:ascii="Wingdings" w:hAnsi="Wingdings" w:hint="default"/>
      </w:rPr>
    </w:lvl>
    <w:lvl w:ilvl="2">
      <w:start w:val="1"/>
      <w:numFmt w:val="none"/>
      <w:pStyle w:val="ListBullet2"/>
      <w:lvlText w:val="-"/>
      <w:lvlJc w:val="left"/>
      <w:pPr>
        <w:ind w:left="1418" w:hanging="426"/>
      </w:pPr>
      <w:rPr>
        <w:rFonts w:hint="default"/>
      </w:rPr>
    </w:lvl>
    <w:lvl w:ilvl="3">
      <w:start w:val="1"/>
      <w:numFmt w:val="lowerRoman"/>
      <w:lvlRestart w:val="1"/>
      <w:pStyle w:val="ListBullet3"/>
      <w:lvlText w:val="%4."/>
      <w:lvlJc w:val="left"/>
      <w:pPr>
        <w:ind w:left="992" w:hanging="425"/>
      </w:pPr>
      <w:rPr>
        <w:rFonts w:hint="default"/>
      </w:rPr>
    </w:lvl>
    <w:lvl w:ilvl="4">
      <w:start w:val="1"/>
      <w:numFmt w:val="lowerLetter"/>
      <w:lvlRestart w:val="1"/>
      <w:pStyle w:val="ListBullet4"/>
      <w:lvlText w:val="%5."/>
      <w:lvlJc w:val="left"/>
      <w:pPr>
        <w:ind w:left="992" w:hanging="425"/>
      </w:pPr>
      <w:rPr>
        <w:rFonts w:hint="default"/>
      </w:rPr>
    </w:lvl>
    <w:lvl w:ilvl="5">
      <w:start w:val="1"/>
      <w:numFmt w:val="lowerRoman"/>
      <w:pStyle w:val="ListBullet5"/>
      <w:lvlText w:val="%6."/>
      <w:lvlJc w:val="left"/>
      <w:pPr>
        <w:ind w:left="1418" w:hanging="426"/>
      </w:pPr>
      <w:rPr>
        <w:rFonts w:hint="default"/>
      </w:rPr>
    </w:lvl>
    <w:lvl w:ilvl="6">
      <w:start w:val="1"/>
      <w:numFmt w:val="decimal"/>
      <w:lvlRestart w:val="5"/>
      <w:pStyle w:val="ListBullet6"/>
      <w:lvlText w:val="%7."/>
      <w:lvlJc w:val="left"/>
      <w:pPr>
        <w:ind w:left="1418"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2A2AFD"/>
    <w:multiLevelType w:val="hybridMultilevel"/>
    <w:tmpl w:val="C3621B08"/>
    <w:lvl w:ilvl="0" w:tplc="FA182E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D10B2E"/>
    <w:multiLevelType w:val="hybridMultilevel"/>
    <w:tmpl w:val="214CAA52"/>
    <w:lvl w:ilvl="0" w:tplc="CF1CDD4C">
      <w:start w:val="1"/>
      <w:numFmt w:val="lowerRoman"/>
      <w:lvlText w:val="(%1)"/>
      <w:lvlJc w:val="left"/>
      <w:pPr>
        <w:ind w:left="360" w:hanging="360"/>
      </w:pPr>
      <w:rPr>
        <w:rFonts w:cs="Times New Roman"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
  </w:num>
  <w:num w:numId="2">
    <w:abstractNumId w:val="6"/>
  </w:num>
  <w:num w:numId="3">
    <w:abstractNumId w:val="1"/>
  </w:num>
  <w:num w:numId="4">
    <w:abstractNumId w:val="8"/>
  </w:num>
  <w:num w:numId="5">
    <w:abstractNumId w:val="0"/>
  </w:num>
  <w:num w:numId="6">
    <w:abstractNumId w:val="2"/>
  </w:num>
  <w:num w:numId="7">
    <w:abstractNumId w:val="4"/>
  </w:num>
  <w:num w:numId="8">
    <w:abstractNumId w:val="6"/>
  </w:num>
  <w:num w:numId="9">
    <w:abstractNumId w:val="5"/>
  </w:num>
  <w:num w:numId="10">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docVars>
    <w:docVar w:name="ASSOCID" w:val="58038570"/>
    <w:docVar w:name="BASEPRECID" w:val="58000434"/>
    <w:docVar w:name="BASEPRECTYPE" w:val="TENDER"/>
    <w:docVar w:name="CLIENTID" w:val="11565"/>
    <w:docVar w:name="COMPANYID" w:val="2122615469"/>
    <w:docVar w:name="DOCID" w:val="61253764"/>
    <w:docVar w:name="DOCIDEX" w:val=" "/>
    <w:docVar w:name="EDITION" w:val="FM"/>
    <w:docVar w:name="FILEID" w:val="58255765"/>
    <w:docVar w:name="SERIALNO" w:val="10839"/>
    <w:docVar w:name="VERSIONID" w:val="831474ab-4b8c-4c34-b451-87ae216b7d43"/>
    <w:docVar w:name="VERSIONLABEL" w:val="1"/>
  </w:docVars>
  <w:rsids>
    <w:rsidRoot w:val="003838EA"/>
    <w:rsid w:val="00004203"/>
    <w:rsid w:val="00005B2E"/>
    <w:rsid w:val="000147BA"/>
    <w:rsid w:val="00020D3B"/>
    <w:rsid w:val="00021AC9"/>
    <w:rsid w:val="000255E5"/>
    <w:rsid w:val="00040131"/>
    <w:rsid w:val="00055D5C"/>
    <w:rsid w:val="00060062"/>
    <w:rsid w:val="000625F9"/>
    <w:rsid w:val="000658A2"/>
    <w:rsid w:val="0008696B"/>
    <w:rsid w:val="00097FAE"/>
    <w:rsid w:val="000A1B0E"/>
    <w:rsid w:val="000A502E"/>
    <w:rsid w:val="000A631A"/>
    <w:rsid w:val="000A6C74"/>
    <w:rsid w:val="000D609B"/>
    <w:rsid w:val="000F1818"/>
    <w:rsid w:val="000F6253"/>
    <w:rsid w:val="000F6C3E"/>
    <w:rsid w:val="00100B1E"/>
    <w:rsid w:val="00114C79"/>
    <w:rsid w:val="001331B1"/>
    <w:rsid w:val="00137979"/>
    <w:rsid w:val="00147718"/>
    <w:rsid w:val="0015066A"/>
    <w:rsid w:val="0015097D"/>
    <w:rsid w:val="00151CC8"/>
    <w:rsid w:val="00152A6C"/>
    <w:rsid w:val="00160864"/>
    <w:rsid w:val="00161E36"/>
    <w:rsid w:val="001819C8"/>
    <w:rsid w:val="001A44FA"/>
    <w:rsid w:val="001B7AB1"/>
    <w:rsid w:val="001F2779"/>
    <w:rsid w:val="001F6090"/>
    <w:rsid w:val="0023288C"/>
    <w:rsid w:val="0024477F"/>
    <w:rsid w:val="00246E44"/>
    <w:rsid w:val="0025479C"/>
    <w:rsid w:val="002630B7"/>
    <w:rsid w:val="00265CA0"/>
    <w:rsid w:val="00282FD3"/>
    <w:rsid w:val="002853D1"/>
    <w:rsid w:val="0029114F"/>
    <w:rsid w:val="00297D3E"/>
    <w:rsid w:val="002B2208"/>
    <w:rsid w:val="002B392D"/>
    <w:rsid w:val="002B4A49"/>
    <w:rsid w:val="002B60CA"/>
    <w:rsid w:val="002B7AD6"/>
    <w:rsid w:val="002E2EC3"/>
    <w:rsid w:val="002E3827"/>
    <w:rsid w:val="002E72E1"/>
    <w:rsid w:val="002F3800"/>
    <w:rsid w:val="002F7ED6"/>
    <w:rsid w:val="00300864"/>
    <w:rsid w:val="00307097"/>
    <w:rsid w:val="0032367F"/>
    <w:rsid w:val="00330039"/>
    <w:rsid w:val="003340BB"/>
    <w:rsid w:val="00341C3C"/>
    <w:rsid w:val="00342B3F"/>
    <w:rsid w:val="00366171"/>
    <w:rsid w:val="003701CE"/>
    <w:rsid w:val="00372E6B"/>
    <w:rsid w:val="00373508"/>
    <w:rsid w:val="00374CA5"/>
    <w:rsid w:val="00376C94"/>
    <w:rsid w:val="003838EA"/>
    <w:rsid w:val="00393941"/>
    <w:rsid w:val="003957B6"/>
    <w:rsid w:val="003A3546"/>
    <w:rsid w:val="003A76B6"/>
    <w:rsid w:val="003C4187"/>
    <w:rsid w:val="003D28C4"/>
    <w:rsid w:val="003D430D"/>
    <w:rsid w:val="003E3B45"/>
    <w:rsid w:val="003F1C16"/>
    <w:rsid w:val="004255F5"/>
    <w:rsid w:val="004337EE"/>
    <w:rsid w:val="004529BD"/>
    <w:rsid w:val="0045517F"/>
    <w:rsid w:val="0046031C"/>
    <w:rsid w:val="00476F1D"/>
    <w:rsid w:val="0048385B"/>
    <w:rsid w:val="00484ABD"/>
    <w:rsid w:val="0048543C"/>
    <w:rsid w:val="00487E7D"/>
    <w:rsid w:val="004B65B5"/>
    <w:rsid w:val="004E03B3"/>
    <w:rsid w:val="004E09B1"/>
    <w:rsid w:val="004E1B17"/>
    <w:rsid w:val="004E1C70"/>
    <w:rsid w:val="004E2490"/>
    <w:rsid w:val="004E320F"/>
    <w:rsid w:val="005046C6"/>
    <w:rsid w:val="00505CD4"/>
    <w:rsid w:val="005101A0"/>
    <w:rsid w:val="00511B78"/>
    <w:rsid w:val="005213A1"/>
    <w:rsid w:val="00526779"/>
    <w:rsid w:val="00531A99"/>
    <w:rsid w:val="0053728B"/>
    <w:rsid w:val="005508CA"/>
    <w:rsid w:val="00551CCA"/>
    <w:rsid w:val="005779BC"/>
    <w:rsid w:val="00577EF2"/>
    <w:rsid w:val="0059624A"/>
    <w:rsid w:val="005A05EB"/>
    <w:rsid w:val="005A294F"/>
    <w:rsid w:val="005B62CA"/>
    <w:rsid w:val="005B79A1"/>
    <w:rsid w:val="005C36A4"/>
    <w:rsid w:val="005D389F"/>
    <w:rsid w:val="005F0832"/>
    <w:rsid w:val="005F25EB"/>
    <w:rsid w:val="0061573B"/>
    <w:rsid w:val="00617261"/>
    <w:rsid w:val="006225E0"/>
    <w:rsid w:val="00665727"/>
    <w:rsid w:val="00670206"/>
    <w:rsid w:val="00680316"/>
    <w:rsid w:val="0068232B"/>
    <w:rsid w:val="00683516"/>
    <w:rsid w:val="00692F2A"/>
    <w:rsid w:val="00693AC1"/>
    <w:rsid w:val="006B1F29"/>
    <w:rsid w:val="006B21C0"/>
    <w:rsid w:val="006B64F4"/>
    <w:rsid w:val="006D2E3B"/>
    <w:rsid w:val="006D47AB"/>
    <w:rsid w:val="006E0280"/>
    <w:rsid w:val="006F2162"/>
    <w:rsid w:val="00704600"/>
    <w:rsid w:val="00706F31"/>
    <w:rsid w:val="007203DC"/>
    <w:rsid w:val="00722C88"/>
    <w:rsid w:val="00726B4F"/>
    <w:rsid w:val="00727B48"/>
    <w:rsid w:val="00736C37"/>
    <w:rsid w:val="00737850"/>
    <w:rsid w:val="007450F3"/>
    <w:rsid w:val="0074716A"/>
    <w:rsid w:val="00747272"/>
    <w:rsid w:val="00752A2D"/>
    <w:rsid w:val="00752B35"/>
    <w:rsid w:val="00765306"/>
    <w:rsid w:val="0076798D"/>
    <w:rsid w:val="007711D7"/>
    <w:rsid w:val="0078313C"/>
    <w:rsid w:val="007A2D5B"/>
    <w:rsid w:val="007A3303"/>
    <w:rsid w:val="007F247C"/>
    <w:rsid w:val="007F3FA4"/>
    <w:rsid w:val="007F6CB9"/>
    <w:rsid w:val="00802A70"/>
    <w:rsid w:val="00807745"/>
    <w:rsid w:val="008320C5"/>
    <w:rsid w:val="0083259C"/>
    <w:rsid w:val="00836329"/>
    <w:rsid w:val="00841961"/>
    <w:rsid w:val="008437A3"/>
    <w:rsid w:val="008518C9"/>
    <w:rsid w:val="00861F63"/>
    <w:rsid w:val="008620C9"/>
    <w:rsid w:val="0086264F"/>
    <w:rsid w:val="00865083"/>
    <w:rsid w:val="00867E45"/>
    <w:rsid w:val="00871901"/>
    <w:rsid w:val="008722EA"/>
    <w:rsid w:val="00872F30"/>
    <w:rsid w:val="00891B14"/>
    <w:rsid w:val="008957D8"/>
    <w:rsid w:val="00897C19"/>
    <w:rsid w:val="008A256D"/>
    <w:rsid w:val="008A7707"/>
    <w:rsid w:val="008B13E4"/>
    <w:rsid w:val="008B4F33"/>
    <w:rsid w:val="008D7D6E"/>
    <w:rsid w:val="008E101C"/>
    <w:rsid w:val="008F3ABC"/>
    <w:rsid w:val="008F4431"/>
    <w:rsid w:val="009012B6"/>
    <w:rsid w:val="009021C2"/>
    <w:rsid w:val="00906A2E"/>
    <w:rsid w:val="00910213"/>
    <w:rsid w:val="00911B48"/>
    <w:rsid w:val="00911DD1"/>
    <w:rsid w:val="00912AE7"/>
    <w:rsid w:val="00931E56"/>
    <w:rsid w:val="0093260C"/>
    <w:rsid w:val="00935311"/>
    <w:rsid w:val="00940ED5"/>
    <w:rsid w:val="00941DCE"/>
    <w:rsid w:val="00944B3E"/>
    <w:rsid w:val="00945621"/>
    <w:rsid w:val="00953874"/>
    <w:rsid w:val="009549D7"/>
    <w:rsid w:val="0096293E"/>
    <w:rsid w:val="0097408A"/>
    <w:rsid w:val="009812CD"/>
    <w:rsid w:val="00983A60"/>
    <w:rsid w:val="00985153"/>
    <w:rsid w:val="00985444"/>
    <w:rsid w:val="009919D1"/>
    <w:rsid w:val="0099259E"/>
    <w:rsid w:val="009960A1"/>
    <w:rsid w:val="009A7243"/>
    <w:rsid w:val="009B2400"/>
    <w:rsid w:val="009C356B"/>
    <w:rsid w:val="009D2BE2"/>
    <w:rsid w:val="009D37C4"/>
    <w:rsid w:val="009D3B35"/>
    <w:rsid w:val="009F6E15"/>
    <w:rsid w:val="00A037AF"/>
    <w:rsid w:val="00A102D4"/>
    <w:rsid w:val="00A15E7C"/>
    <w:rsid w:val="00A17D24"/>
    <w:rsid w:val="00A218B9"/>
    <w:rsid w:val="00A255CE"/>
    <w:rsid w:val="00A33BE7"/>
    <w:rsid w:val="00A440E4"/>
    <w:rsid w:val="00A500E3"/>
    <w:rsid w:val="00A626DF"/>
    <w:rsid w:val="00A62B4A"/>
    <w:rsid w:val="00A677FC"/>
    <w:rsid w:val="00A87B5B"/>
    <w:rsid w:val="00A926A7"/>
    <w:rsid w:val="00A93DB7"/>
    <w:rsid w:val="00A95B19"/>
    <w:rsid w:val="00A962DE"/>
    <w:rsid w:val="00A96991"/>
    <w:rsid w:val="00AA2B2F"/>
    <w:rsid w:val="00AC0F81"/>
    <w:rsid w:val="00AC17B7"/>
    <w:rsid w:val="00AC55D0"/>
    <w:rsid w:val="00AD626D"/>
    <w:rsid w:val="00B0077B"/>
    <w:rsid w:val="00B03092"/>
    <w:rsid w:val="00B060CB"/>
    <w:rsid w:val="00B233BF"/>
    <w:rsid w:val="00B23CCF"/>
    <w:rsid w:val="00B25A86"/>
    <w:rsid w:val="00B271B1"/>
    <w:rsid w:val="00B2769F"/>
    <w:rsid w:val="00B42750"/>
    <w:rsid w:val="00B42B3C"/>
    <w:rsid w:val="00B46AC5"/>
    <w:rsid w:val="00B64EA8"/>
    <w:rsid w:val="00B66D52"/>
    <w:rsid w:val="00B6716F"/>
    <w:rsid w:val="00B675CF"/>
    <w:rsid w:val="00B75951"/>
    <w:rsid w:val="00B96C49"/>
    <w:rsid w:val="00BA55AB"/>
    <w:rsid w:val="00BA5F1D"/>
    <w:rsid w:val="00BA659A"/>
    <w:rsid w:val="00BB6D0A"/>
    <w:rsid w:val="00BD44BB"/>
    <w:rsid w:val="00BE0533"/>
    <w:rsid w:val="00BE6CEE"/>
    <w:rsid w:val="00BF6FBE"/>
    <w:rsid w:val="00C12474"/>
    <w:rsid w:val="00C1560E"/>
    <w:rsid w:val="00C26622"/>
    <w:rsid w:val="00C350A2"/>
    <w:rsid w:val="00C41689"/>
    <w:rsid w:val="00C47249"/>
    <w:rsid w:val="00C56B48"/>
    <w:rsid w:val="00C63EC6"/>
    <w:rsid w:val="00C6447F"/>
    <w:rsid w:val="00C72D07"/>
    <w:rsid w:val="00C76DF7"/>
    <w:rsid w:val="00C80F00"/>
    <w:rsid w:val="00C90B0B"/>
    <w:rsid w:val="00C93FF8"/>
    <w:rsid w:val="00CA61BA"/>
    <w:rsid w:val="00CC20CB"/>
    <w:rsid w:val="00CD4BE1"/>
    <w:rsid w:val="00CD655B"/>
    <w:rsid w:val="00CE75E4"/>
    <w:rsid w:val="00CF1747"/>
    <w:rsid w:val="00CF19E8"/>
    <w:rsid w:val="00CF3D70"/>
    <w:rsid w:val="00D07FD1"/>
    <w:rsid w:val="00D11078"/>
    <w:rsid w:val="00D14D4A"/>
    <w:rsid w:val="00D24BF2"/>
    <w:rsid w:val="00D27D93"/>
    <w:rsid w:val="00D3552C"/>
    <w:rsid w:val="00D363B5"/>
    <w:rsid w:val="00D36B72"/>
    <w:rsid w:val="00D40766"/>
    <w:rsid w:val="00D474FC"/>
    <w:rsid w:val="00D5109B"/>
    <w:rsid w:val="00D546D6"/>
    <w:rsid w:val="00D64E50"/>
    <w:rsid w:val="00D67D6C"/>
    <w:rsid w:val="00D70E73"/>
    <w:rsid w:val="00D72CE7"/>
    <w:rsid w:val="00D73B21"/>
    <w:rsid w:val="00D94F52"/>
    <w:rsid w:val="00D97B17"/>
    <w:rsid w:val="00DA0C58"/>
    <w:rsid w:val="00DA62D3"/>
    <w:rsid w:val="00DC0091"/>
    <w:rsid w:val="00DC1452"/>
    <w:rsid w:val="00DC295D"/>
    <w:rsid w:val="00DD00D8"/>
    <w:rsid w:val="00DD0CFD"/>
    <w:rsid w:val="00DE0E25"/>
    <w:rsid w:val="00DE63F9"/>
    <w:rsid w:val="00DF141C"/>
    <w:rsid w:val="00DF54E6"/>
    <w:rsid w:val="00E25B91"/>
    <w:rsid w:val="00E33D5C"/>
    <w:rsid w:val="00E37965"/>
    <w:rsid w:val="00E41221"/>
    <w:rsid w:val="00E51B95"/>
    <w:rsid w:val="00E62A55"/>
    <w:rsid w:val="00E65F48"/>
    <w:rsid w:val="00E66F6F"/>
    <w:rsid w:val="00E721FE"/>
    <w:rsid w:val="00E7315F"/>
    <w:rsid w:val="00E766BF"/>
    <w:rsid w:val="00E94C8F"/>
    <w:rsid w:val="00EA2FD9"/>
    <w:rsid w:val="00EB35C5"/>
    <w:rsid w:val="00EC1404"/>
    <w:rsid w:val="00EC1B65"/>
    <w:rsid w:val="00ED3891"/>
    <w:rsid w:val="00ED62EA"/>
    <w:rsid w:val="00EE36C9"/>
    <w:rsid w:val="00EF3B57"/>
    <w:rsid w:val="00F07295"/>
    <w:rsid w:val="00F0762B"/>
    <w:rsid w:val="00F1206C"/>
    <w:rsid w:val="00F21378"/>
    <w:rsid w:val="00F22484"/>
    <w:rsid w:val="00F23A54"/>
    <w:rsid w:val="00F34058"/>
    <w:rsid w:val="00F41D41"/>
    <w:rsid w:val="00F51302"/>
    <w:rsid w:val="00F6078E"/>
    <w:rsid w:val="00F614CF"/>
    <w:rsid w:val="00F74531"/>
    <w:rsid w:val="00F80014"/>
    <w:rsid w:val="00F8193F"/>
    <w:rsid w:val="00F90777"/>
    <w:rsid w:val="00FB096F"/>
    <w:rsid w:val="00FC1ACE"/>
    <w:rsid w:val="00FC54A0"/>
    <w:rsid w:val="00FC6E1B"/>
    <w:rsid w:val="00FE0689"/>
    <w:rsid w:val="00FE17EF"/>
    <w:rsid w:val="00FE3D56"/>
    <w:rsid w:val="00FF155B"/>
    <w:rsid w:val="00FF4549"/>
    <w:rsid w:val="00FF791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footnote text" w:uiPriority="99" w:qFormat="1"/>
    <w:lsdException w:name="caption" w:semiHidden="1" w:unhideWhenUsed="1" w:qFormat="1"/>
    <w:lsdException w:name="footnote reference" w:uiPriority="99"/>
    <w:lsdException w:name="List Bullet 2" w:uiPriority="99"/>
    <w:lsdException w:name="List Bullet 3" w:uiPriority="99"/>
    <w:lsdException w:name="List Bullet 4" w:uiPriority="99"/>
    <w:lsdException w:name="List Bullet 5" w:uiPriority="99"/>
    <w:lsdException w:name="Title" w:qFormat="1"/>
    <w:lsdException w:name="Body Text" w:uiPriority="99"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4572"/>
    <w:pPr>
      <w:spacing w:before="240" w:after="200"/>
      <w:ind w:hanging="737"/>
      <w:jc w:val="both"/>
    </w:pPr>
    <w:rPr>
      <w:sz w:val="22"/>
      <w:szCs w:val="22"/>
      <w:lang w:eastAsia="en-US"/>
    </w:rPr>
  </w:style>
  <w:style w:type="paragraph" w:styleId="Heading1">
    <w:name w:val="heading 1"/>
    <w:next w:val="BodyText"/>
    <w:link w:val="Heading1Char"/>
    <w:uiPriority w:val="9"/>
    <w:qFormat/>
    <w:rsid w:val="002B7AD6"/>
    <w:pPr>
      <w:keepNext/>
      <w:keepLines/>
      <w:numPr>
        <w:numId w:val="9"/>
      </w:numPr>
      <w:spacing w:before="300" w:after="300"/>
      <w:outlineLvl w:val="0"/>
    </w:pPr>
    <w:rPr>
      <w:rFonts w:ascii="Arial Bold" w:eastAsia="Times New Roman" w:hAnsi="Arial Bold"/>
      <w:b/>
      <w:bCs/>
      <w:color w:val="000080"/>
      <w:sz w:val="32"/>
      <w:szCs w:val="28"/>
    </w:rPr>
  </w:style>
  <w:style w:type="paragraph" w:styleId="Heading2">
    <w:name w:val="heading 2"/>
    <w:basedOn w:val="Heading1"/>
    <w:next w:val="BodyText"/>
    <w:link w:val="Heading2Char"/>
    <w:uiPriority w:val="9"/>
    <w:qFormat/>
    <w:rsid w:val="002B7AD6"/>
    <w:pPr>
      <w:numPr>
        <w:ilvl w:val="1"/>
      </w:numPr>
      <w:outlineLvl w:val="1"/>
    </w:pPr>
    <w:rPr>
      <w:bCs w:val="0"/>
      <w:sz w:val="22"/>
      <w:szCs w:val="26"/>
    </w:rPr>
  </w:style>
  <w:style w:type="paragraph" w:styleId="Heading3">
    <w:name w:val="heading 3"/>
    <w:basedOn w:val="Heading2"/>
    <w:next w:val="BodyText"/>
    <w:link w:val="Heading3Char"/>
    <w:uiPriority w:val="9"/>
    <w:qFormat/>
    <w:rsid w:val="002B7AD6"/>
    <w:pPr>
      <w:numPr>
        <w:ilvl w:val="2"/>
      </w:numPr>
      <w:outlineLvl w:val="2"/>
    </w:pPr>
    <w:rPr>
      <w:rFonts w:ascii="Arial" w:hAnsi="Arial"/>
      <w:b w:val="0"/>
      <w:bCs/>
    </w:rPr>
  </w:style>
  <w:style w:type="paragraph" w:styleId="Heading4">
    <w:name w:val="heading 4"/>
    <w:basedOn w:val="Heading3"/>
    <w:next w:val="BodyText"/>
    <w:link w:val="Heading4Char"/>
    <w:uiPriority w:val="9"/>
    <w:qFormat/>
    <w:rsid w:val="002B7AD6"/>
    <w:pPr>
      <w:numPr>
        <w:ilvl w:val="3"/>
      </w:numPr>
      <w:outlineLvl w:val="3"/>
    </w:pPr>
    <w:rPr>
      <w:bCs w:val="0"/>
      <w:i/>
      <w:iCs/>
      <w:color w:val="auto"/>
    </w:rPr>
  </w:style>
  <w:style w:type="paragraph" w:styleId="Heading5">
    <w:name w:val="heading 5"/>
    <w:aliases w:val="Appendix 1"/>
    <w:basedOn w:val="Normal"/>
    <w:next w:val="BodyText"/>
    <w:link w:val="Heading5Char"/>
    <w:uiPriority w:val="9"/>
    <w:qFormat/>
    <w:rsid w:val="002B7AD6"/>
    <w:pPr>
      <w:keepNext/>
      <w:keepLines/>
      <w:numPr>
        <w:ilvl w:val="4"/>
        <w:numId w:val="9"/>
      </w:numPr>
      <w:spacing w:before="300" w:after="300"/>
      <w:jc w:val="left"/>
      <w:outlineLvl w:val="4"/>
    </w:pPr>
    <w:rPr>
      <w:rFonts w:ascii="Arial Bold" w:eastAsia="Times New Roman" w:hAnsi="Arial Bold"/>
      <w:color w:val="000080"/>
      <w:sz w:val="32"/>
      <w:lang w:eastAsia="en-AU"/>
    </w:rPr>
  </w:style>
  <w:style w:type="paragraph" w:styleId="Heading6">
    <w:name w:val="heading 6"/>
    <w:aliases w:val="Appendix 2"/>
    <w:basedOn w:val="Normal"/>
    <w:next w:val="BodyText"/>
    <w:link w:val="Heading6Char"/>
    <w:uiPriority w:val="9"/>
    <w:qFormat/>
    <w:rsid w:val="002B7AD6"/>
    <w:pPr>
      <w:keepNext/>
      <w:keepLines/>
      <w:numPr>
        <w:ilvl w:val="5"/>
        <w:numId w:val="9"/>
      </w:numPr>
      <w:spacing w:before="300" w:after="300"/>
      <w:jc w:val="left"/>
      <w:outlineLvl w:val="5"/>
    </w:pPr>
    <w:rPr>
      <w:rFonts w:ascii="Arial Bold" w:eastAsia="Times New Roman" w:hAnsi="Arial Bold"/>
      <w:iCs/>
      <w:color w:val="000080"/>
      <w:lang w:eastAsia="en-AU"/>
    </w:rPr>
  </w:style>
  <w:style w:type="paragraph" w:styleId="Heading7">
    <w:name w:val="heading 7"/>
    <w:aliases w:val="Appendix 3"/>
    <w:basedOn w:val="Normal"/>
    <w:next w:val="BodyText"/>
    <w:link w:val="Heading7Char"/>
    <w:uiPriority w:val="9"/>
    <w:qFormat/>
    <w:rsid w:val="002B7AD6"/>
    <w:pPr>
      <w:keepNext/>
      <w:keepLines/>
      <w:numPr>
        <w:ilvl w:val="6"/>
        <w:numId w:val="9"/>
      </w:numPr>
      <w:spacing w:before="300" w:after="300"/>
      <w:jc w:val="left"/>
      <w:outlineLvl w:val="6"/>
    </w:pPr>
    <w:rPr>
      <w:rFonts w:ascii="Arial" w:eastAsia="Times New Roman" w:hAnsi="Arial"/>
      <w:iCs/>
      <w:color w:val="000080"/>
      <w:lang w:eastAsia="en-AU"/>
    </w:rPr>
  </w:style>
  <w:style w:type="paragraph" w:styleId="Heading8">
    <w:name w:val="heading 8"/>
    <w:aliases w:val="Appendix 4"/>
    <w:basedOn w:val="Normal"/>
    <w:next w:val="BodyText"/>
    <w:link w:val="Heading8Char"/>
    <w:uiPriority w:val="9"/>
    <w:qFormat/>
    <w:rsid w:val="002B7AD6"/>
    <w:pPr>
      <w:keepNext/>
      <w:keepLines/>
      <w:numPr>
        <w:ilvl w:val="7"/>
        <w:numId w:val="9"/>
      </w:numPr>
      <w:spacing w:before="300" w:after="300"/>
      <w:jc w:val="left"/>
      <w:outlineLvl w:val="7"/>
    </w:pPr>
    <w:rPr>
      <w:rFonts w:ascii="Arial" w:eastAsia="Times New Roman" w:hAnsi="Arial"/>
      <w:i/>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 Char,Footnote Text Char Char Char,Footnote Text Char2 Char Char Char,ALTS FOOTNOTE Char2 Char Char Char,Footnote Text Char1 Char1 Char Char Char,Footnote Text Char Char Char1 Char Char Char,(NECG) Footnote Text"/>
    <w:basedOn w:val="Normal"/>
    <w:link w:val="FootnoteTextChar"/>
    <w:uiPriority w:val="99"/>
    <w:unhideWhenUsed/>
    <w:qFormat/>
    <w:rsid w:val="00C7038F"/>
    <w:rPr>
      <w:sz w:val="20"/>
      <w:szCs w:val="20"/>
    </w:rPr>
  </w:style>
  <w:style w:type="character" w:customStyle="1" w:styleId="FootnoteTextChar">
    <w:name w:val="Footnote Text Char"/>
    <w:aliases w:val="Footnote Text Char1 Char Char1,Footnote Text Char Char Char Char1,Footnote Text Char2 Char Char Char Char1,ALTS FOOTNOTE Char2 Char Char Char Char1,Footnote Text Char1 Char1 Char Char Char Char1,(NECG) Footnote Text Char1"/>
    <w:basedOn w:val="DefaultParagraphFont"/>
    <w:link w:val="FootnoteText"/>
    <w:uiPriority w:val="99"/>
    <w:rsid w:val="00C7038F"/>
    <w:rPr>
      <w:lang w:eastAsia="en-US"/>
    </w:rPr>
  </w:style>
  <w:style w:type="character" w:styleId="FootnoteReference">
    <w:name w:val="footnote reference"/>
    <w:aliases w:val="(NECG) Footnote Reference,SFG_Footnote_Reference"/>
    <w:basedOn w:val="DefaultParagraphFont"/>
    <w:uiPriority w:val="99"/>
    <w:unhideWhenUsed/>
    <w:rsid w:val="00C7038F"/>
    <w:rPr>
      <w:vertAlign w:val="superscript"/>
    </w:rPr>
  </w:style>
  <w:style w:type="paragraph" w:styleId="BalloonText">
    <w:name w:val="Balloon Text"/>
    <w:basedOn w:val="Normal"/>
    <w:link w:val="BalloonTextChar"/>
    <w:rsid w:val="009F4F03"/>
    <w:pPr>
      <w:spacing w:before="0" w:after="0"/>
    </w:pPr>
    <w:rPr>
      <w:rFonts w:ascii="Tahoma" w:hAnsi="Tahoma" w:cs="Tahoma"/>
      <w:sz w:val="16"/>
      <w:szCs w:val="16"/>
    </w:rPr>
  </w:style>
  <w:style w:type="character" w:customStyle="1" w:styleId="BalloonTextChar">
    <w:name w:val="Balloon Text Char"/>
    <w:basedOn w:val="DefaultParagraphFont"/>
    <w:link w:val="BalloonText"/>
    <w:rsid w:val="009F4F03"/>
    <w:rPr>
      <w:rFonts w:ascii="Tahoma" w:hAnsi="Tahoma" w:cs="Tahoma"/>
      <w:sz w:val="16"/>
      <w:szCs w:val="16"/>
      <w:lang w:eastAsia="en-US"/>
    </w:rPr>
  </w:style>
  <w:style w:type="paragraph" w:styleId="Header">
    <w:name w:val="header"/>
    <w:basedOn w:val="Normal"/>
    <w:link w:val="HeaderChar"/>
    <w:rsid w:val="00264CA4"/>
    <w:pPr>
      <w:tabs>
        <w:tab w:val="center" w:pos="4320"/>
        <w:tab w:val="right" w:pos="8640"/>
      </w:tabs>
    </w:pPr>
  </w:style>
  <w:style w:type="character" w:customStyle="1" w:styleId="HeaderChar">
    <w:name w:val="Header Char"/>
    <w:basedOn w:val="DefaultParagraphFont"/>
    <w:link w:val="Header"/>
    <w:rsid w:val="00264CA4"/>
    <w:rPr>
      <w:sz w:val="22"/>
      <w:szCs w:val="22"/>
    </w:rPr>
  </w:style>
  <w:style w:type="character" w:styleId="PageNumber">
    <w:name w:val="page number"/>
    <w:basedOn w:val="DefaultParagraphFont"/>
    <w:rsid w:val="00264CA4"/>
  </w:style>
  <w:style w:type="character" w:customStyle="1" w:styleId="FootnoteTextChar1">
    <w:name w:val="Footnote Text Char1"/>
    <w:aliases w:val="Footnote Text Char1 Char Char,Footnote Text Char Char Char Char,Footnote Text Char2 Char Char Char Char,ALTS FOOTNOTE Char2 Char Char Char Char,Footnote Text Char1 Char1 Char Char Char Char,(NECG) Footnote Text Char"/>
    <w:basedOn w:val="DefaultParagraphFont"/>
    <w:uiPriority w:val="99"/>
    <w:rsid w:val="009812CD"/>
    <w:rPr>
      <w:rFonts w:eastAsia="MS Mincho"/>
      <w:sz w:val="18"/>
      <w:lang w:val="en-AU" w:eastAsia="ja-JP" w:bidi="ar-SA"/>
    </w:rPr>
  </w:style>
  <w:style w:type="paragraph" w:styleId="ListParagraph">
    <w:name w:val="List Paragraph"/>
    <w:basedOn w:val="Normal"/>
    <w:uiPriority w:val="99"/>
    <w:qFormat/>
    <w:rsid w:val="00941DCE"/>
    <w:pPr>
      <w:spacing w:before="0" w:after="0"/>
      <w:ind w:left="720" w:firstLine="0"/>
      <w:jc w:val="left"/>
    </w:pPr>
    <w:rPr>
      <w:rFonts w:ascii="Times New Roman" w:hAnsi="Times New Roman"/>
      <w:sz w:val="24"/>
      <w:szCs w:val="24"/>
      <w:lang w:eastAsia="en-AU"/>
    </w:rPr>
  </w:style>
  <w:style w:type="paragraph" w:customStyle="1" w:styleId="Default">
    <w:name w:val="Default"/>
    <w:rsid w:val="00B271B1"/>
    <w:pPr>
      <w:autoSpaceDE w:val="0"/>
      <w:autoSpaceDN w:val="0"/>
      <w:adjustRightInd w:val="0"/>
    </w:pPr>
    <w:rPr>
      <w:rFonts w:ascii="Times New Roman" w:hAnsi="Times New Roman"/>
      <w:color w:val="000000"/>
      <w:sz w:val="24"/>
      <w:szCs w:val="24"/>
    </w:rPr>
  </w:style>
  <w:style w:type="paragraph" w:styleId="Title">
    <w:name w:val="Title"/>
    <w:basedOn w:val="Normal"/>
    <w:next w:val="Subtitle"/>
    <w:link w:val="TitleChar"/>
    <w:qFormat/>
    <w:rsid w:val="00D72CE7"/>
    <w:pPr>
      <w:spacing w:before="0" w:after="240"/>
      <w:ind w:firstLine="0"/>
    </w:pPr>
    <w:rPr>
      <w:rFonts w:ascii="Century Gothic" w:eastAsia="Times New Roman" w:hAnsi="Century Gothic" w:cs="Arial"/>
      <w:b/>
      <w:bCs/>
      <w:color w:val="5C2946"/>
      <w:kern w:val="28"/>
      <w:sz w:val="40"/>
      <w:szCs w:val="32"/>
    </w:rPr>
  </w:style>
  <w:style w:type="character" w:customStyle="1" w:styleId="TitleChar">
    <w:name w:val="Title Char"/>
    <w:basedOn w:val="DefaultParagraphFont"/>
    <w:link w:val="Title"/>
    <w:rsid w:val="00D72CE7"/>
    <w:rPr>
      <w:rFonts w:ascii="Century Gothic" w:eastAsia="Times New Roman" w:hAnsi="Century Gothic" w:cs="Arial"/>
      <w:b/>
      <w:bCs/>
      <w:color w:val="5C2946"/>
      <w:kern w:val="28"/>
      <w:sz w:val="40"/>
      <w:szCs w:val="32"/>
      <w:lang w:eastAsia="en-US"/>
    </w:rPr>
  </w:style>
  <w:style w:type="paragraph" w:styleId="Subtitle">
    <w:name w:val="Subtitle"/>
    <w:basedOn w:val="Normal"/>
    <w:next w:val="Normal"/>
    <w:link w:val="SubtitleChar"/>
    <w:qFormat/>
    <w:rsid w:val="00D72CE7"/>
    <w:pPr>
      <w:spacing w:after="60"/>
      <w:jc w:val="center"/>
      <w:outlineLvl w:val="1"/>
    </w:pPr>
    <w:rPr>
      <w:rFonts w:ascii="Cambria" w:eastAsia="Times New Roman" w:hAnsi="Cambria"/>
      <w:sz w:val="24"/>
      <w:szCs w:val="24"/>
    </w:rPr>
  </w:style>
  <w:style w:type="character" w:customStyle="1" w:styleId="SubtitleChar">
    <w:name w:val="Subtitle Char"/>
    <w:basedOn w:val="DefaultParagraphFont"/>
    <w:link w:val="Subtitle"/>
    <w:rsid w:val="00D72CE7"/>
    <w:rPr>
      <w:rFonts w:ascii="Cambria" w:eastAsia="Times New Roman" w:hAnsi="Cambria" w:cs="Times New Roman"/>
      <w:sz w:val="24"/>
      <w:szCs w:val="24"/>
      <w:lang w:eastAsia="en-US"/>
    </w:rPr>
  </w:style>
  <w:style w:type="character" w:styleId="Hyperlink">
    <w:name w:val="Hyperlink"/>
    <w:basedOn w:val="DefaultParagraphFont"/>
    <w:uiPriority w:val="99"/>
    <w:unhideWhenUsed/>
    <w:rsid w:val="004E1C70"/>
    <w:rPr>
      <w:color w:val="003899"/>
      <w:u w:val="single"/>
    </w:rPr>
  </w:style>
  <w:style w:type="character" w:customStyle="1" w:styleId="itxtrst">
    <w:name w:val="itxtrst"/>
    <w:basedOn w:val="DefaultParagraphFont"/>
    <w:rsid w:val="00BA5F1D"/>
  </w:style>
  <w:style w:type="paragraph" w:styleId="BodyText">
    <w:name w:val="Body Text"/>
    <w:basedOn w:val="ListParagraph"/>
    <w:link w:val="BodyTextChar"/>
    <w:uiPriority w:val="99"/>
    <w:unhideWhenUsed/>
    <w:qFormat/>
    <w:rsid w:val="005B62CA"/>
    <w:pPr>
      <w:numPr>
        <w:numId w:val="2"/>
      </w:numPr>
      <w:spacing w:before="300" w:after="300"/>
      <w:jc w:val="both"/>
    </w:pPr>
    <w:rPr>
      <w:rFonts w:ascii="Arial" w:eastAsia="Times New Roman" w:hAnsi="Arial"/>
      <w:sz w:val="22"/>
      <w:szCs w:val="22"/>
    </w:rPr>
  </w:style>
  <w:style w:type="character" w:customStyle="1" w:styleId="BodyTextChar">
    <w:name w:val="Body Text Char"/>
    <w:basedOn w:val="DefaultParagraphFont"/>
    <w:link w:val="BodyText"/>
    <w:uiPriority w:val="99"/>
    <w:rsid w:val="005B62CA"/>
    <w:rPr>
      <w:rFonts w:ascii="Arial" w:eastAsia="Times New Roman" w:hAnsi="Arial"/>
      <w:sz w:val="22"/>
      <w:szCs w:val="22"/>
    </w:rPr>
  </w:style>
  <w:style w:type="paragraph" w:styleId="ListBullet">
    <w:name w:val="List Bullet"/>
    <w:basedOn w:val="BodyText"/>
    <w:unhideWhenUsed/>
    <w:rsid w:val="005B62CA"/>
    <w:pPr>
      <w:numPr>
        <w:ilvl w:val="1"/>
      </w:numPr>
      <w:tabs>
        <w:tab w:val="left" w:pos="992"/>
      </w:tabs>
      <w:spacing w:before="0" w:after="120"/>
    </w:pPr>
  </w:style>
  <w:style w:type="paragraph" w:styleId="ListBullet2">
    <w:name w:val="List Bullet 2"/>
    <w:basedOn w:val="ListBullet"/>
    <w:uiPriority w:val="99"/>
    <w:unhideWhenUsed/>
    <w:rsid w:val="005B62CA"/>
    <w:pPr>
      <w:numPr>
        <w:ilvl w:val="2"/>
      </w:numPr>
      <w:tabs>
        <w:tab w:val="clear" w:pos="992"/>
        <w:tab w:val="left" w:pos="1418"/>
      </w:tabs>
    </w:pPr>
  </w:style>
  <w:style w:type="paragraph" w:styleId="ListBullet3">
    <w:name w:val="List Bullet 3"/>
    <w:basedOn w:val="ListBullet"/>
    <w:uiPriority w:val="99"/>
    <w:unhideWhenUsed/>
    <w:rsid w:val="005B62CA"/>
    <w:pPr>
      <w:numPr>
        <w:ilvl w:val="3"/>
      </w:numPr>
    </w:pPr>
  </w:style>
  <w:style w:type="paragraph" w:styleId="ListBullet4">
    <w:name w:val="List Bullet 4"/>
    <w:basedOn w:val="ListBullet"/>
    <w:uiPriority w:val="99"/>
    <w:unhideWhenUsed/>
    <w:rsid w:val="005B62CA"/>
    <w:pPr>
      <w:numPr>
        <w:ilvl w:val="4"/>
      </w:numPr>
    </w:pPr>
  </w:style>
  <w:style w:type="paragraph" w:styleId="ListBullet5">
    <w:name w:val="List Bullet 5"/>
    <w:basedOn w:val="ListBullet2"/>
    <w:uiPriority w:val="99"/>
    <w:unhideWhenUsed/>
    <w:rsid w:val="005B62CA"/>
    <w:pPr>
      <w:numPr>
        <w:ilvl w:val="5"/>
      </w:numPr>
    </w:pPr>
  </w:style>
  <w:style w:type="paragraph" w:customStyle="1" w:styleId="ListBullet6">
    <w:name w:val="List Bullet 6"/>
    <w:basedOn w:val="ListBullet2"/>
    <w:rsid w:val="005B62CA"/>
    <w:pPr>
      <w:numPr>
        <w:ilvl w:val="6"/>
      </w:numPr>
    </w:pPr>
  </w:style>
  <w:style w:type="paragraph" w:styleId="Footer">
    <w:name w:val="footer"/>
    <w:basedOn w:val="Normal"/>
    <w:rsid w:val="00005B2E"/>
    <w:pPr>
      <w:tabs>
        <w:tab w:val="center" w:pos="4153"/>
        <w:tab w:val="right" w:pos="8306"/>
      </w:tabs>
    </w:pPr>
  </w:style>
  <w:style w:type="character" w:customStyle="1" w:styleId="Heading1Char">
    <w:name w:val="Heading 1 Char"/>
    <w:basedOn w:val="DefaultParagraphFont"/>
    <w:link w:val="Heading1"/>
    <w:uiPriority w:val="9"/>
    <w:rsid w:val="002B7AD6"/>
    <w:rPr>
      <w:rFonts w:ascii="Arial Bold" w:eastAsia="Times New Roman" w:hAnsi="Arial Bold"/>
      <w:b/>
      <w:bCs/>
      <w:color w:val="000080"/>
      <w:sz w:val="32"/>
      <w:szCs w:val="28"/>
    </w:rPr>
  </w:style>
  <w:style w:type="character" w:customStyle="1" w:styleId="Heading2Char">
    <w:name w:val="Heading 2 Char"/>
    <w:basedOn w:val="DefaultParagraphFont"/>
    <w:link w:val="Heading2"/>
    <w:uiPriority w:val="9"/>
    <w:rsid w:val="002B7AD6"/>
    <w:rPr>
      <w:rFonts w:ascii="Arial Bold" w:eastAsia="Times New Roman" w:hAnsi="Arial Bold"/>
      <w:b/>
      <w:color w:val="000080"/>
      <w:sz w:val="22"/>
      <w:szCs w:val="26"/>
    </w:rPr>
  </w:style>
  <w:style w:type="character" w:customStyle="1" w:styleId="Heading3Char">
    <w:name w:val="Heading 3 Char"/>
    <w:basedOn w:val="DefaultParagraphFont"/>
    <w:link w:val="Heading3"/>
    <w:uiPriority w:val="9"/>
    <w:rsid w:val="002B7AD6"/>
    <w:rPr>
      <w:rFonts w:ascii="Arial" w:eastAsia="Times New Roman" w:hAnsi="Arial"/>
      <w:bCs/>
      <w:color w:val="000080"/>
      <w:sz w:val="22"/>
      <w:szCs w:val="26"/>
    </w:rPr>
  </w:style>
  <w:style w:type="character" w:customStyle="1" w:styleId="Heading4Char">
    <w:name w:val="Heading 4 Char"/>
    <w:basedOn w:val="DefaultParagraphFont"/>
    <w:link w:val="Heading4"/>
    <w:uiPriority w:val="9"/>
    <w:rsid w:val="002B7AD6"/>
    <w:rPr>
      <w:rFonts w:ascii="Arial" w:eastAsia="Times New Roman" w:hAnsi="Arial"/>
      <w:i/>
      <w:iCs/>
      <w:sz w:val="22"/>
      <w:szCs w:val="26"/>
    </w:rPr>
  </w:style>
  <w:style w:type="character" w:customStyle="1" w:styleId="Heading5Char">
    <w:name w:val="Heading 5 Char"/>
    <w:aliases w:val="Appendix 1 Char"/>
    <w:basedOn w:val="DefaultParagraphFont"/>
    <w:link w:val="Heading5"/>
    <w:uiPriority w:val="9"/>
    <w:rsid w:val="002B7AD6"/>
    <w:rPr>
      <w:rFonts w:ascii="Arial Bold" w:eastAsia="Times New Roman" w:hAnsi="Arial Bold"/>
      <w:color w:val="000080"/>
      <w:sz w:val="32"/>
      <w:szCs w:val="22"/>
    </w:rPr>
  </w:style>
  <w:style w:type="character" w:customStyle="1" w:styleId="Heading6Char">
    <w:name w:val="Heading 6 Char"/>
    <w:aliases w:val="Appendix 2 Char"/>
    <w:basedOn w:val="DefaultParagraphFont"/>
    <w:link w:val="Heading6"/>
    <w:uiPriority w:val="9"/>
    <w:rsid w:val="002B7AD6"/>
    <w:rPr>
      <w:rFonts w:ascii="Arial Bold" w:eastAsia="Times New Roman" w:hAnsi="Arial Bold"/>
      <w:iCs/>
      <w:color w:val="000080"/>
      <w:sz w:val="22"/>
      <w:szCs w:val="22"/>
    </w:rPr>
  </w:style>
  <w:style w:type="character" w:customStyle="1" w:styleId="Heading7Char">
    <w:name w:val="Heading 7 Char"/>
    <w:aliases w:val="Appendix 3 Char"/>
    <w:basedOn w:val="DefaultParagraphFont"/>
    <w:link w:val="Heading7"/>
    <w:uiPriority w:val="9"/>
    <w:rsid w:val="002B7AD6"/>
    <w:rPr>
      <w:rFonts w:ascii="Arial" w:eastAsia="Times New Roman" w:hAnsi="Arial"/>
      <w:iCs/>
      <w:color w:val="000080"/>
      <w:sz w:val="22"/>
      <w:szCs w:val="22"/>
    </w:rPr>
  </w:style>
  <w:style w:type="character" w:customStyle="1" w:styleId="Heading8Char">
    <w:name w:val="Heading 8 Char"/>
    <w:aliases w:val="Appendix 4 Char"/>
    <w:basedOn w:val="DefaultParagraphFont"/>
    <w:link w:val="Heading8"/>
    <w:uiPriority w:val="9"/>
    <w:rsid w:val="002B7AD6"/>
    <w:rPr>
      <w:rFonts w:ascii="Arial" w:eastAsia="Times New Roman" w:hAnsi="Arial"/>
      <w:i/>
      <w:sz w:val="22"/>
    </w:rPr>
  </w:style>
  <w:style w:type="numbering" w:customStyle="1" w:styleId="CEGHeadingStyle">
    <w:name w:val="CEG Heading Style"/>
    <w:uiPriority w:val="99"/>
    <w:rsid w:val="002B7AD6"/>
    <w:pPr>
      <w:numPr>
        <w:numId w:val="9"/>
      </w:numPr>
    </w:pPr>
  </w:style>
  <w:style w:type="paragraph" w:customStyle="1" w:styleId="CEGQuote">
    <w:name w:val="CEG_Quote"/>
    <w:basedOn w:val="BodyText"/>
    <w:next w:val="BodyText"/>
    <w:link w:val="CEGQuoteChar"/>
    <w:qFormat/>
    <w:rsid w:val="002B7AD6"/>
    <w:pPr>
      <w:numPr>
        <w:numId w:val="0"/>
      </w:numPr>
      <w:ind w:left="851" w:right="305"/>
    </w:pPr>
    <w:rPr>
      <w:i/>
    </w:rPr>
  </w:style>
  <w:style w:type="character" w:customStyle="1" w:styleId="CEGQuoteChar">
    <w:name w:val="CEG_Quote Char"/>
    <w:link w:val="CEGQuote"/>
    <w:rsid w:val="002B7AD6"/>
    <w:rPr>
      <w:rFonts w:ascii="Arial" w:eastAsia="Times New Roman" w:hAnsi="Arial"/>
      <w:i/>
      <w:sz w:val="22"/>
      <w:szCs w:val="22"/>
    </w:rPr>
  </w:style>
  <w:style w:type="paragraph" w:customStyle="1" w:styleId="SFGReportTableColumnHeadings">
    <w:name w:val="SFG_Report_Table_Column_Headings"/>
    <w:basedOn w:val="Normal"/>
    <w:autoRedefine/>
    <w:rsid w:val="00D07FD1"/>
    <w:pPr>
      <w:spacing w:before="0" w:after="0"/>
      <w:ind w:firstLine="0"/>
      <w:jc w:val="center"/>
    </w:pPr>
    <w:rPr>
      <w:rFonts w:ascii="Garamond" w:eastAsia="Times New Roman" w:hAnsi="Garamond"/>
      <w:b/>
      <w:szCs w:val="24"/>
    </w:rPr>
  </w:style>
  <w:style w:type="paragraph" w:customStyle="1" w:styleId="SFGReportTableCellTextLeftalign">
    <w:name w:val="SFG_Report_Table_Cell_Text_Left_align"/>
    <w:basedOn w:val="Normal"/>
    <w:autoRedefine/>
    <w:rsid w:val="00D07FD1"/>
    <w:pPr>
      <w:spacing w:before="0" w:after="0"/>
      <w:ind w:left="36" w:hanging="36"/>
      <w:jc w:val="left"/>
    </w:pPr>
    <w:rPr>
      <w:rFonts w:ascii="Garamond" w:eastAsia="Times New Roman" w:hAnsi="Garamond"/>
    </w:rPr>
  </w:style>
  <w:style w:type="paragraph" w:customStyle="1" w:styleId="SFGReportTitle">
    <w:name w:val="SFG_Report_Title"/>
    <w:basedOn w:val="Normal"/>
    <w:next w:val="Normal"/>
    <w:autoRedefine/>
    <w:rsid w:val="00D07FD1"/>
    <w:pPr>
      <w:keepNext/>
      <w:keepLines/>
      <w:spacing w:before="660" w:after="400" w:line="540" w:lineRule="atLeast"/>
      <w:ind w:firstLine="0"/>
      <w:jc w:val="left"/>
    </w:pPr>
    <w:rPr>
      <w:rFonts w:ascii="Times New Roman" w:eastAsia="Times New Roman" w:hAnsi="Times New Roman"/>
      <w:spacing w:val="-40"/>
      <w:kern w:val="28"/>
      <w:sz w:val="60"/>
      <w:szCs w:val="20"/>
    </w:rPr>
  </w:style>
</w:styles>
</file>

<file path=word/webSettings.xml><?xml version="1.0" encoding="utf-8"?>
<w:webSettings xmlns:r="http://schemas.openxmlformats.org/officeDocument/2006/relationships" xmlns:w="http://schemas.openxmlformats.org/wordprocessingml/2006/main">
  <w:divs>
    <w:div w:id="660816151">
      <w:bodyDiv w:val="1"/>
      <w:marLeft w:val="0"/>
      <w:marRight w:val="0"/>
      <w:marTop w:val="0"/>
      <w:marBottom w:val="0"/>
      <w:divBdr>
        <w:top w:val="none" w:sz="0" w:space="0" w:color="auto"/>
        <w:left w:val="none" w:sz="0" w:space="0" w:color="auto"/>
        <w:bottom w:val="none" w:sz="0" w:space="0" w:color="auto"/>
        <w:right w:val="none" w:sz="0" w:space="0" w:color="auto"/>
      </w:divBdr>
    </w:div>
    <w:div w:id="724910457">
      <w:bodyDiv w:val="1"/>
      <w:marLeft w:val="0"/>
      <w:marRight w:val="0"/>
      <w:marTop w:val="0"/>
      <w:marBottom w:val="0"/>
      <w:divBdr>
        <w:top w:val="none" w:sz="0" w:space="0" w:color="auto"/>
        <w:left w:val="none" w:sz="0" w:space="0" w:color="auto"/>
        <w:bottom w:val="none" w:sz="0" w:space="0" w:color="auto"/>
        <w:right w:val="none" w:sz="0" w:space="0" w:color="auto"/>
      </w:divBdr>
    </w:div>
    <w:div w:id="105723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8A8C0-5D66-42EF-AC02-6F6A4511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986</Words>
  <Characters>5132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6106</CharactersWithSpaces>
  <SharedDoc>false</SharedDoc>
  <HLinks>
    <vt:vector size="12" baseType="variant">
      <vt:variant>
        <vt:i4>5701640</vt:i4>
      </vt:variant>
      <vt:variant>
        <vt:i4>3</vt:i4>
      </vt:variant>
      <vt:variant>
        <vt:i4>0</vt:i4>
      </vt:variant>
      <vt:variant>
        <vt:i4>5</vt:i4>
      </vt:variant>
      <vt:variant>
        <vt:lpwstr>http://www.investopedia.com/terms/b/beta.asp</vt:lpwstr>
      </vt:variant>
      <vt:variant>
        <vt:lpwstr/>
      </vt:variant>
      <vt:variant>
        <vt:i4>5701640</vt:i4>
      </vt:variant>
      <vt:variant>
        <vt:i4>0</vt:i4>
      </vt:variant>
      <vt:variant>
        <vt:i4>0</vt:i4>
      </vt:variant>
      <vt:variant>
        <vt:i4>5</vt:i4>
      </vt:variant>
      <vt:variant>
        <vt:lpwstr>http://www.investopedia.com/terms/b/beta.asp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Groom</dc:creator>
  <cp:keywords/>
  <cp:lastModifiedBy>HSTAdmin</cp:lastModifiedBy>
  <cp:revision>3</cp:revision>
  <cp:lastPrinted>2011-03-17T00:34:00Z</cp:lastPrinted>
  <dcterms:created xsi:type="dcterms:W3CDTF">2011-03-23T02:50:00Z</dcterms:created>
  <dcterms:modified xsi:type="dcterms:W3CDTF">2011-03-24T01:36:00Z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61253764</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11565</vt:i4>
  </property>
  <property fmtid="{D5CDD505-2E9C-101B-9397-08002B2CF9AE}" pid="9" name="FILEID">
    <vt:i4>58255765</vt:i4>
  </property>
  <property fmtid="{D5CDD505-2E9C-101B-9397-08002B2CF9AE}" pid="10" name="ASSOCID">
    <vt:i4>58038570</vt:i4>
  </property>
  <property fmtid="{D5CDD505-2E9C-101B-9397-08002B2CF9AE}" pid="11" name="BASEPRECTYPE">
    <vt:lpwstr>TENDER</vt:lpwstr>
  </property>
  <property fmtid="{D5CDD505-2E9C-101B-9397-08002B2CF9AE}" pid="12" name="VERSIONID">
    <vt:lpwstr>831474ab-4b8c-4c34-b451-87ae216b7d43</vt:lpwstr>
  </property>
  <property fmtid="{D5CDD505-2E9C-101B-9397-08002B2CF9AE}" pid="13" name="VERSIONLABEL">
    <vt:lpwstr>1</vt:lpwstr>
  </property>
  <property fmtid="{D5CDD505-2E9C-101B-9397-08002B2CF9AE}" pid="14" name="DOCID_2122615469">
    <vt:r8>61253764</vt:r8>
  </property>
  <property fmtid="{D5CDD505-2E9C-101B-9397-08002B2CF9AE}" pid="15" name="DOCID_2122615469_">
    <vt:r8>61253764</vt:r8>
  </property>
  <property fmtid="{D5CDD505-2E9C-101B-9397-08002B2CF9AE}" pid="16" name="DOCID_10839">
    <vt:r8>61253764</vt:r8>
  </property>
  <property fmtid="{D5CDD505-2E9C-101B-9397-08002B2CF9AE}" pid="17" name="VERSIONID_2122615469">
    <vt:lpwstr>831474ab-4b8c-4c34-b451-87ae216b7d43</vt:lpwstr>
  </property>
  <property fmtid="{D5CDD505-2E9C-101B-9397-08002B2CF9AE}" pid="18" name="VERSIONID_2122615469_">
    <vt:lpwstr>831474ab-4b8c-4c34-b451-87ae216b7d43</vt:lpwstr>
  </property>
</Properties>
</file>