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FABC6" w14:textId="77777777" w:rsidR="00F31C59" w:rsidRDefault="00F31C59" w:rsidP="00711D19">
      <w:pPr>
        <w:spacing w:afterLines="60" w:after="144"/>
      </w:pPr>
    </w:p>
    <w:p w14:paraId="727D9794" w14:textId="77777777" w:rsidR="00F31C59" w:rsidRDefault="00F31C59" w:rsidP="00F31C59">
      <w:pPr>
        <w:pStyle w:val="Hbooktitle"/>
      </w:pPr>
      <w:r>
        <w:t>Gas Access Arrangement Revision</w:t>
      </w:r>
    </w:p>
    <w:p w14:paraId="572D0200" w14:textId="77777777" w:rsidR="00F31C59" w:rsidRDefault="00F31C59" w:rsidP="00F31C59">
      <w:pPr>
        <w:pStyle w:val="Hbooktype"/>
      </w:pPr>
      <w:r>
        <w:t>2018-2022</w:t>
      </w:r>
    </w:p>
    <w:p w14:paraId="74B28FF1" w14:textId="77777777" w:rsidR="00F31C59" w:rsidRDefault="00F31C59" w:rsidP="00F31C59">
      <w:pPr>
        <w:pStyle w:val="Hbooktype"/>
      </w:pPr>
      <w:r>
        <w:t>Part B of the Access Arrangement for the Distribution System</w:t>
      </w:r>
    </w:p>
    <w:p w14:paraId="0148F782" w14:textId="77777777" w:rsidR="00F31C59" w:rsidRPr="00711D19" w:rsidRDefault="00F31C59" w:rsidP="00711D19">
      <w:pPr>
        <w:spacing w:afterLines="60" w:after="144"/>
        <w:rPr>
          <w:sz w:val="44"/>
          <w:szCs w:val="44"/>
        </w:rPr>
      </w:pPr>
      <w:r w:rsidRPr="00711D19">
        <w:rPr>
          <w:sz w:val="44"/>
          <w:szCs w:val="44"/>
        </w:rPr>
        <w:t>Reference Tariffs and Reference Tariff Policy</w:t>
      </w:r>
    </w:p>
    <w:p w14:paraId="674BD984" w14:textId="77777777" w:rsidR="00F31C59" w:rsidRDefault="00F31C59" w:rsidP="00711D19">
      <w:pPr>
        <w:spacing w:afterLines="60" w:after="144"/>
      </w:pPr>
    </w:p>
    <w:p w14:paraId="63E48BFF" w14:textId="77777777" w:rsidR="00F31C59" w:rsidRDefault="00F31C59" w:rsidP="00711D19">
      <w:pPr>
        <w:spacing w:afterLines="60" w:after="144"/>
        <w:sectPr w:rsidR="00F31C59" w:rsidSect="003A00FA">
          <w:headerReference w:type="even" r:id="rId9"/>
          <w:headerReference w:type="default" r:id="rId10"/>
          <w:footerReference w:type="even" r:id="rId11"/>
          <w:footerReference w:type="default" r:id="rId12"/>
          <w:headerReference w:type="first" r:id="rId13"/>
          <w:footerReference w:type="first" r:id="rId14"/>
          <w:pgSz w:w="11906" w:h="16838" w:code="9"/>
          <w:pgMar w:top="2948" w:right="1134" w:bottom="1440" w:left="1134" w:header="709" w:footer="709" w:gutter="0"/>
          <w:cols w:space="708"/>
          <w:titlePg/>
          <w:docGrid w:linePitch="360"/>
        </w:sectPr>
      </w:pPr>
    </w:p>
    <w:p w14:paraId="51DBA248" w14:textId="77777777" w:rsidR="00F31C59" w:rsidRDefault="00F31C59" w:rsidP="00711D19">
      <w:pPr>
        <w:spacing w:afterLines="60" w:after="144"/>
        <w:jc w:val="left"/>
      </w:pPr>
    </w:p>
    <w:p w14:paraId="71ED8C87" w14:textId="70CA7F5E" w:rsidR="009D7ABF" w:rsidRDefault="009D7ABF" w:rsidP="005E3BA3">
      <w:pPr>
        <w:jc w:val="left"/>
      </w:pPr>
      <w:r>
        <w:t xml:space="preserve">Please contact the indicated </w:t>
      </w:r>
      <w:r w:rsidR="00D41010">
        <w:t>person</w:t>
      </w:r>
      <w:r>
        <w:t xml:space="preserve"> with any inquiries</w:t>
      </w:r>
      <w:r w:rsidR="00D41010">
        <w:t xml:space="preserve"> about the document</w:t>
      </w:r>
      <w:r>
        <w:t>.</w:t>
      </w:r>
      <w:r>
        <w:br/>
      </w:r>
      <w:r>
        <w:br/>
      </w:r>
      <w:r w:rsidR="00F31C59">
        <w:t>Manager – Economic Regulation</w:t>
      </w:r>
    </w:p>
    <w:p w14:paraId="41351838" w14:textId="77777777" w:rsidR="009D7ABF" w:rsidRDefault="009D7ABF" w:rsidP="005E3BA3">
      <w:pPr>
        <w:jc w:val="left"/>
        <w:rPr>
          <w:lang w:val="en-US"/>
        </w:rPr>
      </w:pPr>
      <w:r>
        <w:rPr>
          <w:lang w:val="en-US"/>
        </w:rPr>
        <w:t>AusNet</w:t>
      </w:r>
      <w:r w:rsidR="00060F5C">
        <w:rPr>
          <w:lang w:val="en-US"/>
        </w:rPr>
        <w:t> Services</w:t>
      </w:r>
    </w:p>
    <w:p w14:paraId="2CEEFBE1" w14:textId="77777777" w:rsidR="009D7ABF" w:rsidRDefault="009D7ABF" w:rsidP="005E3BA3">
      <w:pPr>
        <w:rPr>
          <w:lang w:val="en-US"/>
        </w:rPr>
      </w:pPr>
      <w:r>
        <w:rPr>
          <w:lang w:val="en-US"/>
        </w:rPr>
        <w:t>Level 31, 2 Southbank Boulevard</w:t>
      </w:r>
    </w:p>
    <w:p w14:paraId="6741B0EA" w14:textId="23852A84" w:rsidR="009D7ABF" w:rsidRDefault="00F31C59" w:rsidP="005E3BA3">
      <w:pPr>
        <w:rPr>
          <w:lang w:val="en-US"/>
        </w:rPr>
      </w:pPr>
      <w:proofErr w:type="gramStart"/>
      <w:r>
        <w:rPr>
          <w:lang w:val="en-US"/>
        </w:rPr>
        <w:t xml:space="preserve">Southbank  </w:t>
      </w:r>
      <w:r w:rsidR="009D7ABF">
        <w:rPr>
          <w:lang w:val="en-US"/>
        </w:rPr>
        <w:t>Victoria</w:t>
      </w:r>
      <w:proofErr w:type="gramEnd"/>
      <w:r w:rsidR="009D7ABF">
        <w:rPr>
          <w:lang w:val="en-US"/>
        </w:rPr>
        <w:t xml:space="preserve"> </w:t>
      </w:r>
      <w:r>
        <w:rPr>
          <w:lang w:val="en-US"/>
        </w:rPr>
        <w:t xml:space="preserve"> </w:t>
      </w:r>
      <w:r w:rsidR="009D7ABF">
        <w:rPr>
          <w:lang w:val="en-US"/>
        </w:rPr>
        <w:t>3006</w:t>
      </w:r>
    </w:p>
    <w:p w14:paraId="5E2CFA77" w14:textId="46BCDD0C" w:rsidR="009D7ABF" w:rsidRDefault="009D7ABF" w:rsidP="005E3BA3">
      <w:pPr>
        <w:rPr>
          <w:lang w:val="en-US"/>
        </w:rPr>
      </w:pPr>
      <w:proofErr w:type="spellStart"/>
      <w:r>
        <w:rPr>
          <w:lang w:val="en-US"/>
        </w:rPr>
        <w:t>Ph</w:t>
      </w:r>
      <w:proofErr w:type="spellEnd"/>
      <w:r>
        <w:rPr>
          <w:lang w:val="en-US"/>
        </w:rPr>
        <w:t xml:space="preserve">: (03) 9695 </w:t>
      </w:r>
      <w:r w:rsidR="00A1421C">
        <w:rPr>
          <w:lang w:val="en-US"/>
        </w:rPr>
        <w:t>6</w:t>
      </w:r>
      <w:r w:rsidR="00F31C59">
        <w:rPr>
          <w:lang w:val="en-US"/>
        </w:rPr>
        <w:t>000</w:t>
      </w:r>
    </w:p>
    <w:p w14:paraId="7E9191ED" w14:textId="77777777" w:rsidR="009D7ABF" w:rsidRDefault="009D7ABF" w:rsidP="00711D19">
      <w:pPr>
        <w:spacing w:afterLines="60" w:after="144"/>
      </w:pPr>
    </w:p>
    <w:p w14:paraId="3198241D" w14:textId="77777777" w:rsidR="009D7ABF" w:rsidRDefault="009D7ABF">
      <w:pPr>
        <w:pStyle w:val="SectionLabel"/>
        <w:pBdr>
          <w:bottom w:val="none" w:sz="0" w:space="0" w:color="auto"/>
        </w:pBdr>
        <w:rPr>
          <w:rStyle w:val="CommentReference"/>
        </w:rPr>
      </w:pPr>
    </w:p>
    <w:p w14:paraId="34AE3F7B" w14:textId="77777777" w:rsidR="009D7ABF" w:rsidRDefault="009D7ABF" w:rsidP="008A599C">
      <w:pPr>
        <w:pStyle w:val="BodyText"/>
        <w:sectPr w:rsidR="009D7ABF">
          <w:headerReference w:type="default" r:id="rId15"/>
          <w:footerReference w:type="even" r:id="rId16"/>
          <w:footerReference w:type="default" r:id="rId17"/>
          <w:headerReference w:type="first" r:id="rId18"/>
          <w:footerReference w:type="first" r:id="rId19"/>
          <w:pgSz w:w="11907" w:h="16840" w:code="9"/>
          <w:pgMar w:top="851" w:right="1134" w:bottom="851" w:left="1418" w:header="567" w:footer="567" w:gutter="0"/>
          <w:cols w:space="720"/>
          <w:vAlign w:val="bottom"/>
        </w:sectPr>
      </w:pPr>
    </w:p>
    <w:p w14:paraId="1BC62E73" w14:textId="77777777" w:rsidR="009D7ABF" w:rsidRDefault="009D7ABF">
      <w:pPr>
        <w:pStyle w:val="Heading9"/>
        <w:jc w:val="left"/>
      </w:pPr>
      <w:r>
        <w:lastRenderedPageBreak/>
        <w:t>Table of Contents</w:t>
      </w:r>
    </w:p>
    <w:p w14:paraId="7265254D" w14:textId="471F8FF9" w:rsidR="008E1C5A" w:rsidRDefault="009D7ABF">
      <w:pPr>
        <w:pStyle w:val="TOC1"/>
        <w:rPr>
          <w:rFonts w:asciiTheme="minorHAnsi" w:eastAsiaTheme="minorEastAsia" w:hAnsiTheme="minorHAnsi" w:cstheme="minorBidi"/>
          <w:b w:val="0"/>
          <w:szCs w:val="22"/>
          <w:lang w:eastAsia="en-AU"/>
        </w:rPr>
      </w:pPr>
      <w:r>
        <w:fldChar w:fldCharType="begin"/>
      </w:r>
      <w:r>
        <w:instrText xml:space="preserve"> TOC \o "1-3" \h \z </w:instrText>
      </w:r>
      <w:r>
        <w:fldChar w:fldCharType="separate"/>
      </w:r>
      <w:hyperlink w:anchor="_Toc469519461" w:history="1">
        <w:r w:rsidR="008E1C5A" w:rsidRPr="00877A03">
          <w:rPr>
            <w:rStyle w:val="Hyperlink"/>
          </w:rPr>
          <w:t>1</w:t>
        </w:r>
        <w:r w:rsidR="008E1C5A">
          <w:rPr>
            <w:rFonts w:asciiTheme="minorHAnsi" w:eastAsiaTheme="minorEastAsia" w:hAnsiTheme="minorHAnsi" w:cstheme="minorBidi"/>
            <w:b w:val="0"/>
            <w:szCs w:val="22"/>
            <w:lang w:eastAsia="en-AU"/>
          </w:rPr>
          <w:tab/>
        </w:r>
        <w:r w:rsidR="008E1C5A" w:rsidRPr="00877A03">
          <w:rPr>
            <w:rStyle w:val="Hyperlink"/>
          </w:rPr>
          <w:t>Haulage Reference Tariffs</w:t>
        </w:r>
        <w:r w:rsidR="008E1C5A">
          <w:rPr>
            <w:webHidden/>
          </w:rPr>
          <w:tab/>
        </w:r>
        <w:r w:rsidR="008E1C5A">
          <w:rPr>
            <w:webHidden/>
          </w:rPr>
          <w:fldChar w:fldCharType="begin"/>
        </w:r>
        <w:r w:rsidR="008E1C5A">
          <w:rPr>
            <w:webHidden/>
          </w:rPr>
          <w:instrText xml:space="preserve"> PAGEREF _Toc469519461 \h </w:instrText>
        </w:r>
        <w:r w:rsidR="008E1C5A">
          <w:rPr>
            <w:webHidden/>
          </w:rPr>
        </w:r>
        <w:r w:rsidR="008E1C5A">
          <w:rPr>
            <w:webHidden/>
          </w:rPr>
          <w:fldChar w:fldCharType="separate"/>
        </w:r>
        <w:r w:rsidR="00EF1CDE">
          <w:rPr>
            <w:webHidden/>
          </w:rPr>
          <w:t>5</w:t>
        </w:r>
        <w:r w:rsidR="008E1C5A">
          <w:rPr>
            <w:webHidden/>
          </w:rPr>
          <w:fldChar w:fldCharType="end"/>
        </w:r>
      </w:hyperlink>
    </w:p>
    <w:p w14:paraId="2D54E872" w14:textId="5DAA84BE" w:rsidR="008E1C5A" w:rsidRDefault="00412743">
      <w:pPr>
        <w:pStyle w:val="TOC2"/>
        <w:rPr>
          <w:rFonts w:asciiTheme="minorHAnsi" w:eastAsiaTheme="minorEastAsia" w:hAnsiTheme="minorHAnsi" w:cstheme="minorBidi"/>
          <w:szCs w:val="22"/>
          <w:lang w:eastAsia="en-AU"/>
        </w:rPr>
      </w:pPr>
      <w:hyperlink w:anchor="_Toc469519462" w:history="1">
        <w:r w:rsidR="008E1C5A" w:rsidRPr="00877A03">
          <w:rPr>
            <w:rStyle w:val="Hyperlink"/>
          </w:rPr>
          <w:t>1.1</w:t>
        </w:r>
        <w:r w:rsidR="008E1C5A">
          <w:rPr>
            <w:rFonts w:asciiTheme="minorHAnsi" w:eastAsiaTheme="minorEastAsia" w:hAnsiTheme="minorHAnsi" w:cstheme="minorBidi"/>
            <w:szCs w:val="22"/>
            <w:lang w:eastAsia="en-AU"/>
          </w:rPr>
          <w:tab/>
        </w:r>
        <w:r w:rsidR="008E1C5A" w:rsidRPr="00877A03">
          <w:rPr>
            <w:rStyle w:val="Hyperlink"/>
          </w:rPr>
          <w:t>Haulage Reference Tariffs</w:t>
        </w:r>
        <w:r w:rsidR="008E1C5A">
          <w:rPr>
            <w:webHidden/>
          </w:rPr>
          <w:tab/>
        </w:r>
        <w:r w:rsidR="008E1C5A">
          <w:rPr>
            <w:webHidden/>
          </w:rPr>
          <w:fldChar w:fldCharType="begin"/>
        </w:r>
        <w:r w:rsidR="008E1C5A">
          <w:rPr>
            <w:webHidden/>
          </w:rPr>
          <w:instrText xml:space="preserve"> PAGEREF _Toc469519462 \h </w:instrText>
        </w:r>
        <w:r w:rsidR="008E1C5A">
          <w:rPr>
            <w:webHidden/>
          </w:rPr>
        </w:r>
        <w:r w:rsidR="008E1C5A">
          <w:rPr>
            <w:webHidden/>
          </w:rPr>
          <w:fldChar w:fldCharType="separate"/>
        </w:r>
        <w:r w:rsidR="00EF1CDE">
          <w:rPr>
            <w:webHidden/>
          </w:rPr>
          <w:t>5</w:t>
        </w:r>
        <w:r w:rsidR="008E1C5A">
          <w:rPr>
            <w:webHidden/>
          </w:rPr>
          <w:fldChar w:fldCharType="end"/>
        </w:r>
      </w:hyperlink>
    </w:p>
    <w:p w14:paraId="2D661F6D" w14:textId="06DA70A4" w:rsidR="008E1C5A" w:rsidRDefault="00412743">
      <w:pPr>
        <w:pStyle w:val="TOC2"/>
        <w:rPr>
          <w:rFonts w:asciiTheme="minorHAnsi" w:eastAsiaTheme="minorEastAsia" w:hAnsiTheme="minorHAnsi" w:cstheme="minorBidi"/>
          <w:szCs w:val="22"/>
          <w:lang w:eastAsia="en-AU"/>
        </w:rPr>
      </w:pPr>
      <w:hyperlink w:anchor="_Toc469519463" w:history="1">
        <w:r w:rsidR="008E1C5A" w:rsidRPr="00877A03">
          <w:rPr>
            <w:rStyle w:val="Hyperlink"/>
          </w:rPr>
          <w:t>1.2</w:t>
        </w:r>
        <w:r w:rsidR="008E1C5A">
          <w:rPr>
            <w:rFonts w:asciiTheme="minorHAnsi" w:eastAsiaTheme="minorEastAsia" w:hAnsiTheme="minorHAnsi" w:cstheme="minorBidi"/>
            <w:szCs w:val="22"/>
            <w:lang w:eastAsia="en-AU"/>
          </w:rPr>
          <w:tab/>
        </w:r>
        <w:r w:rsidR="008E1C5A" w:rsidRPr="00877A03">
          <w:rPr>
            <w:rStyle w:val="Hyperlink"/>
          </w:rPr>
          <w:t>Application of Haulage Reference Tariffs</w:t>
        </w:r>
        <w:r w:rsidR="008E1C5A">
          <w:rPr>
            <w:webHidden/>
          </w:rPr>
          <w:tab/>
        </w:r>
        <w:r w:rsidR="008E1C5A">
          <w:rPr>
            <w:webHidden/>
          </w:rPr>
          <w:fldChar w:fldCharType="begin"/>
        </w:r>
        <w:r w:rsidR="008E1C5A">
          <w:rPr>
            <w:webHidden/>
          </w:rPr>
          <w:instrText xml:space="preserve"> PAGEREF _Toc469519463 \h </w:instrText>
        </w:r>
        <w:r w:rsidR="008E1C5A">
          <w:rPr>
            <w:webHidden/>
          </w:rPr>
        </w:r>
        <w:r w:rsidR="008E1C5A">
          <w:rPr>
            <w:webHidden/>
          </w:rPr>
          <w:fldChar w:fldCharType="separate"/>
        </w:r>
        <w:r w:rsidR="00EF1CDE">
          <w:rPr>
            <w:webHidden/>
          </w:rPr>
          <w:t>5</w:t>
        </w:r>
        <w:r w:rsidR="008E1C5A">
          <w:rPr>
            <w:webHidden/>
          </w:rPr>
          <w:fldChar w:fldCharType="end"/>
        </w:r>
      </w:hyperlink>
    </w:p>
    <w:p w14:paraId="41D07369" w14:textId="35E86AAC" w:rsidR="008E1C5A" w:rsidRDefault="00412743">
      <w:pPr>
        <w:pStyle w:val="TOC2"/>
        <w:rPr>
          <w:rFonts w:asciiTheme="minorHAnsi" w:eastAsiaTheme="minorEastAsia" w:hAnsiTheme="minorHAnsi" w:cstheme="minorBidi"/>
          <w:szCs w:val="22"/>
          <w:lang w:eastAsia="en-AU"/>
        </w:rPr>
      </w:pPr>
      <w:hyperlink w:anchor="_Toc469519464" w:history="1">
        <w:r w:rsidR="008E1C5A" w:rsidRPr="00877A03">
          <w:rPr>
            <w:rStyle w:val="Hyperlink"/>
          </w:rPr>
          <w:t>1.3</w:t>
        </w:r>
        <w:r w:rsidR="008E1C5A">
          <w:rPr>
            <w:rFonts w:asciiTheme="minorHAnsi" w:eastAsiaTheme="minorEastAsia" w:hAnsiTheme="minorHAnsi" w:cstheme="minorBidi"/>
            <w:szCs w:val="22"/>
            <w:lang w:eastAsia="en-AU"/>
          </w:rPr>
          <w:tab/>
        </w:r>
        <w:r w:rsidR="008E1C5A" w:rsidRPr="00877A03">
          <w:rPr>
            <w:rStyle w:val="Hyperlink"/>
          </w:rPr>
          <w:t>Assignment of New Haulage Reference Tariffs and New Haulage Reference Tariff Components</w:t>
        </w:r>
        <w:r w:rsidR="008E1C5A">
          <w:rPr>
            <w:webHidden/>
          </w:rPr>
          <w:tab/>
        </w:r>
        <w:r w:rsidR="008E1C5A">
          <w:rPr>
            <w:webHidden/>
          </w:rPr>
          <w:fldChar w:fldCharType="begin"/>
        </w:r>
        <w:r w:rsidR="008E1C5A">
          <w:rPr>
            <w:webHidden/>
          </w:rPr>
          <w:instrText xml:space="preserve"> PAGEREF _Toc469519464 \h </w:instrText>
        </w:r>
        <w:r w:rsidR="008E1C5A">
          <w:rPr>
            <w:webHidden/>
          </w:rPr>
        </w:r>
        <w:r w:rsidR="008E1C5A">
          <w:rPr>
            <w:webHidden/>
          </w:rPr>
          <w:fldChar w:fldCharType="separate"/>
        </w:r>
        <w:r w:rsidR="00EF1CDE">
          <w:rPr>
            <w:webHidden/>
          </w:rPr>
          <w:t>5</w:t>
        </w:r>
        <w:r w:rsidR="008E1C5A">
          <w:rPr>
            <w:webHidden/>
          </w:rPr>
          <w:fldChar w:fldCharType="end"/>
        </w:r>
      </w:hyperlink>
    </w:p>
    <w:p w14:paraId="74E862AD" w14:textId="3406172B" w:rsidR="008E1C5A" w:rsidRDefault="00412743">
      <w:pPr>
        <w:pStyle w:val="TOC2"/>
        <w:rPr>
          <w:rFonts w:asciiTheme="minorHAnsi" w:eastAsiaTheme="minorEastAsia" w:hAnsiTheme="minorHAnsi" w:cstheme="minorBidi"/>
          <w:szCs w:val="22"/>
          <w:lang w:eastAsia="en-AU"/>
        </w:rPr>
      </w:pPr>
      <w:hyperlink w:anchor="_Toc469519465" w:history="1">
        <w:r w:rsidR="008E1C5A" w:rsidRPr="00877A03">
          <w:rPr>
            <w:rStyle w:val="Hyperlink"/>
          </w:rPr>
          <w:t>1.4</w:t>
        </w:r>
        <w:r w:rsidR="008E1C5A">
          <w:rPr>
            <w:rFonts w:asciiTheme="minorHAnsi" w:eastAsiaTheme="minorEastAsia" w:hAnsiTheme="minorHAnsi" w:cstheme="minorBidi"/>
            <w:szCs w:val="22"/>
            <w:lang w:eastAsia="en-AU"/>
          </w:rPr>
          <w:tab/>
        </w:r>
        <w:r w:rsidR="008E1C5A" w:rsidRPr="00877A03">
          <w:rPr>
            <w:rStyle w:val="Hyperlink"/>
          </w:rPr>
          <w:t>Withdrawal of Haulage Reference Tariffs</w:t>
        </w:r>
        <w:r w:rsidR="008E1C5A">
          <w:rPr>
            <w:webHidden/>
          </w:rPr>
          <w:tab/>
        </w:r>
        <w:r w:rsidR="008E1C5A">
          <w:rPr>
            <w:webHidden/>
          </w:rPr>
          <w:fldChar w:fldCharType="begin"/>
        </w:r>
        <w:r w:rsidR="008E1C5A">
          <w:rPr>
            <w:webHidden/>
          </w:rPr>
          <w:instrText xml:space="preserve"> PAGEREF _Toc469519465 \h </w:instrText>
        </w:r>
        <w:r w:rsidR="008E1C5A">
          <w:rPr>
            <w:webHidden/>
          </w:rPr>
        </w:r>
        <w:r w:rsidR="008E1C5A">
          <w:rPr>
            <w:webHidden/>
          </w:rPr>
          <w:fldChar w:fldCharType="separate"/>
        </w:r>
        <w:r w:rsidR="00EF1CDE">
          <w:rPr>
            <w:webHidden/>
          </w:rPr>
          <w:t>7</w:t>
        </w:r>
        <w:r w:rsidR="008E1C5A">
          <w:rPr>
            <w:webHidden/>
          </w:rPr>
          <w:fldChar w:fldCharType="end"/>
        </w:r>
      </w:hyperlink>
    </w:p>
    <w:p w14:paraId="121E7765" w14:textId="4FB80685" w:rsidR="008E1C5A" w:rsidRDefault="00412743">
      <w:pPr>
        <w:pStyle w:val="TOC2"/>
        <w:rPr>
          <w:rFonts w:asciiTheme="minorHAnsi" w:eastAsiaTheme="minorEastAsia" w:hAnsiTheme="minorHAnsi" w:cstheme="minorBidi"/>
          <w:szCs w:val="22"/>
          <w:lang w:eastAsia="en-AU"/>
        </w:rPr>
      </w:pPr>
      <w:hyperlink w:anchor="_Toc469519466" w:history="1">
        <w:r w:rsidR="008E1C5A" w:rsidRPr="00877A03">
          <w:rPr>
            <w:rStyle w:val="Hyperlink"/>
          </w:rPr>
          <w:t>1.5</w:t>
        </w:r>
        <w:r w:rsidR="008E1C5A">
          <w:rPr>
            <w:rFonts w:asciiTheme="minorHAnsi" w:eastAsiaTheme="minorEastAsia" w:hAnsiTheme="minorHAnsi" w:cstheme="minorBidi"/>
            <w:szCs w:val="22"/>
            <w:lang w:eastAsia="en-AU"/>
          </w:rPr>
          <w:tab/>
        </w:r>
        <w:r w:rsidR="008E1C5A" w:rsidRPr="00877A03">
          <w:rPr>
            <w:rStyle w:val="Hyperlink"/>
          </w:rPr>
          <w:t>Provision of Information on Tariffs by the Distribution Business</w:t>
        </w:r>
        <w:r w:rsidR="008E1C5A">
          <w:rPr>
            <w:webHidden/>
          </w:rPr>
          <w:tab/>
        </w:r>
        <w:r w:rsidR="008E1C5A">
          <w:rPr>
            <w:webHidden/>
          </w:rPr>
          <w:fldChar w:fldCharType="begin"/>
        </w:r>
        <w:r w:rsidR="008E1C5A">
          <w:rPr>
            <w:webHidden/>
          </w:rPr>
          <w:instrText xml:space="preserve"> PAGEREF _Toc469519466 \h </w:instrText>
        </w:r>
        <w:r w:rsidR="008E1C5A">
          <w:rPr>
            <w:webHidden/>
          </w:rPr>
        </w:r>
        <w:r w:rsidR="008E1C5A">
          <w:rPr>
            <w:webHidden/>
          </w:rPr>
          <w:fldChar w:fldCharType="separate"/>
        </w:r>
        <w:r w:rsidR="00EF1CDE">
          <w:rPr>
            <w:webHidden/>
          </w:rPr>
          <w:t>8</w:t>
        </w:r>
        <w:r w:rsidR="008E1C5A">
          <w:rPr>
            <w:webHidden/>
          </w:rPr>
          <w:fldChar w:fldCharType="end"/>
        </w:r>
      </w:hyperlink>
    </w:p>
    <w:p w14:paraId="35D70A93" w14:textId="4379187A" w:rsidR="008E1C5A" w:rsidRDefault="00412743">
      <w:pPr>
        <w:pStyle w:val="TOC1"/>
        <w:rPr>
          <w:rFonts w:asciiTheme="minorHAnsi" w:eastAsiaTheme="minorEastAsia" w:hAnsiTheme="minorHAnsi" w:cstheme="minorBidi"/>
          <w:b w:val="0"/>
          <w:szCs w:val="22"/>
          <w:lang w:eastAsia="en-AU"/>
        </w:rPr>
      </w:pPr>
      <w:hyperlink w:anchor="_Toc469519467" w:history="1">
        <w:r w:rsidR="008E1C5A" w:rsidRPr="00877A03">
          <w:rPr>
            <w:rStyle w:val="Hyperlink"/>
          </w:rPr>
          <w:t>2</w:t>
        </w:r>
        <w:r w:rsidR="008E1C5A">
          <w:rPr>
            <w:rFonts w:asciiTheme="minorHAnsi" w:eastAsiaTheme="minorEastAsia" w:hAnsiTheme="minorHAnsi" w:cstheme="minorBidi"/>
            <w:b w:val="0"/>
            <w:szCs w:val="22"/>
            <w:lang w:eastAsia="en-AU"/>
          </w:rPr>
          <w:tab/>
        </w:r>
        <w:r w:rsidR="008E1C5A" w:rsidRPr="00877A03">
          <w:rPr>
            <w:rStyle w:val="Hyperlink"/>
          </w:rPr>
          <w:t>Ancillary Reference Tariffs</w:t>
        </w:r>
        <w:r w:rsidR="008E1C5A">
          <w:rPr>
            <w:webHidden/>
          </w:rPr>
          <w:tab/>
        </w:r>
        <w:r w:rsidR="008E1C5A">
          <w:rPr>
            <w:webHidden/>
          </w:rPr>
          <w:fldChar w:fldCharType="begin"/>
        </w:r>
        <w:r w:rsidR="008E1C5A">
          <w:rPr>
            <w:webHidden/>
          </w:rPr>
          <w:instrText xml:space="preserve"> PAGEREF _Toc469519467 \h </w:instrText>
        </w:r>
        <w:r w:rsidR="008E1C5A">
          <w:rPr>
            <w:webHidden/>
          </w:rPr>
        </w:r>
        <w:r w:rsidR="008E1C5A">
          <w:rPr>
            <w:webHidden/>
          </w:rPr>
          <w:fldChar w:fldCharType="separate"/>
        </w:r>
        <w:r w:rsidR="00EF1CDE">
          <w:rPr>
            <w:webHidden/>
          </w:rPr>
          <w:t>8</w:t>
        </w:r>
        <w:r w:rsidR="008E1C5A">
          <w:rPr>
            <w:webHidden/>
          </w:rPr>
          <w:fldChar w:fldCharType="end"/>
        </w:r>
      </w:hyperlink>
    </w:p>
    <w:p w14:paraId="15BD7BAD" w14:textId="5CE3EC72" w:rsidR="008E1C5A" w:rsidRDefault="00412743">
      <w:pPr>
        <w:pStyle w:val="TOC2"/>
        <w:rPr>
          <w:rFonts w:asciiTheme="minorHAnsi" w:eastAsiaTheme="minorEastAsia" w:hAnsiTheme="minorHAnsi" w:cstheme="minorBidi"/>
          <w:szCs w:val="22"/>
          <w:lang w:eastAsia="en-AU"/>
        </w:rPr>
      </w:pPr>
      <w:hyperlink w:anchor="_Toc469519468" w:history="1">
        <w:r w:rsidR="008E1C5A" w:rsidRPr="00877A03">
          <w:rPr>
            <w:rStyle w:val="Hyperlink"/>
          </w:rPr>
          <w:t>2.1</w:t>
        </w:r>
        <w:r w:rsidR="008E1C5A">
          <w:rPr>
            <w:rFonts w:asciiTheme="minorHAnsi" w:eastAsiaTheme="minorEastAsia" w:hAnsiTheme="minorHAnsi" w:cstheme="minorBidi"/>
            <w:szCs w:val="22"/>
            <w:lang w:eastAsia="en-AU"/>
          </w:rPr>
          <w:tab/>
        </w:r>
        <w:r w:rsidR="008E1C5A" w:rsidRPr="00877A03">
          <w:rPr>
            <w:rStyle w:val="Hyperlink"/>
          </w:rPr>
          <w:t>Existing Ancillary Reference Tariffs</w:t>
        </w:r>
        <w:r w:rsidR="008E1C5A">
          <w:rPr>
            <w:webHidden/>
          </w:rPr>
          <w:tab/>
        </w:r>
        <w:r w:rsidR="008E1C5A">
          <w:rPr>
            <w:webHidden/>
          </w:rPr>
          <w:fldChar w:fldCharType="begin"/>
        </w:r>
        <w:r w:rsidR="008E1C5A">
          <w:rPr>
            <w:webHidden/>
          </w:rPr>
          <w:instrText xml:space="preserve"> PAGEREF _Toc469519468 \h </w:instrText>
        </w:r>
        <w:r w:rsidR="008E1C5A">
          <w:rPr>
            <w:webHidden/>
          </w:rPr>
        </w:r>
        <w:r w:rsidR="008E1C5A">
          <w:rPr>
            <w:webHidden/>
          </w:rPr>
          <w:fldChar w:fldCharType="separate"/>
        </w:r>
        <w:r w:rsidR="00EF1CDE">
          <w:rPr>
            <w:webHidden/>
          </w:rPr>
          <w:t>8</w:t>
        </w:r>
        <w:r w:rsidR="008E1C5A">
          <w:rPr>
            <w:webHidden/>
          </w:rPr>
          <w:fldChar w:fldCharType="end"/>
        </w:r>
      </w:hyperlink>
    </w:p>
    <w:p w14:paraId="213E6042" w14:textId="2FD72052" w:rsidR="008E1C5A" w:rsidRDefault="00412743">
      <w:pPr>
        <w:pStyle w:val="TOC2"/>
        <w:rPr>
          <w:rFonts w:asciiTheme="minorHAnsi" w:eastAsiaTheme="minorEastAsia" w:hAnsiTheme="minorHAnsi" w:cstheme="minorBidi"/>
          <w:szCs w:val="22"/>
          <w:lang w:eastAsia="en-AU"/>
        </w:rPr>
      </w:pPr>
      <w:hyperlink w:anchor="_Toc469519469" w:history="1">
        <w:r w:rsidR="008E1C5A" w:rsidRPr="00877A03">
          <w:rPr>
            <w:rStyle w:val="Hyperlink"/>
          </w:rPr>
          <w:t>2.2</w:t>
        </w:r>
        <w:r w:rsidR="008E1C5A">
          <w:rPr>
            <w:rFonts w:asciiTheme="minorHAnsi" w:eastAsiaTheme="minorEastAsia" w:hAnsiTheme="minorHAnsi" w:cstheme="minorBidi"/>
            <w:szCs w:val="22"/>
            <w:lang w:eastAsia="en-AU"/>
          </w:rPr>
          <w:tab/>
        </w:r>
        <w:r w:rsidR="008E1C5A" w:rsidRPr="00877A03">
          <w:rPr>
            <w:rStyle w:val="Hyperlink"/>
          </w:rPr>
          <w:t>Adjustments to Ancillary Reference Tariffs</w:t>
        </w:r>
        <w:r w:rsidR="008E1C5A">
          <w:rPr>
            <w:webHidden/>
          </w:rPr>
          <w:tab/>
        </w:r>
        <w:r w:rsidR="008E1C5A">
          <w:rPr>
            <w:webHidden/>
          </w:rPr>
          <w:fldChar w:fldCharType="begin"/>
        </w:r>
        <w:r w:rsidR="008E1C5A">
          <w:rPr>
            <w:webHidden/>
          </w:rPr>
          <w:instrText xml:space="preserve"> PAGEREF _Toc469519469 \h </w:instrText>
        </w:r>
        <w:r w:rsidR="008E1C5A">
          <w:rPr>
            <w:webHidden/>
          </w:rPr>
        </w:r>
        <w:r w:rsidR="008E1C5A">
          <w:rPr>
            <w:webHidden/>
          </w:rPr>
          <w:fldChar w:fldCharType="separate"/>
        </w:r>
        <w:r w:rsidR="00EF1CDE">
          <w:rPr>
            <w:webHidden/>
          </w:rPr>
          <w:t>9</w:t>
        </w:r>
        <w:r w:rsidR="008E1C5A">
          <w:rPr>
            <w:webHidden/>
          </w:rPr>
          <w:fldChar w:fldCharType="end"/>
        </w:r>
      </w:hyperlink>
    </w:p>
    <w:p w14:paraId="70FF9798" w14:textId="6D7A31C4" w:rsidR="008E1C5A" w:rsidRDefault="00412743">
      <w:pPr>
        <w:pStyle w:val="TOC1"/>
        <w:rPr>
          <w:rFonts w:asciiTheme="minorHAnsi" w:eastAsiaTheme="minorEastAsia" w:hAnsiTheme="minorHAnsi" w:cstheme="minorBidi"/>
          <w:b w:val="0"/>
          <w:szCs w:val="22"/>
          <w:lang w:eastAsia="en-AU"/>
        </w:rPr>
      </w:pPr>
      <w:hyperlink w:anchor="_Toc469519470" w:history="1">
        <w:r w:rsidR="008E1C5A" w:rsidRPr="00877A03">
          <w:rPr>
            <w:rStyle w:val="Hyperlink"/>
          </w:rPr>
          <w:t>3</w:t>
        </w:r>
        <w:r w:rsidR="008E1C5A">
          <w:rPr>
            <w:rFonts w:asciiTheme="minorHAnsi" w:eastAsiaTheme="minorEastAsia" w:hAnsiTheme="minorHAnsi" w:cstheme="minorBidi"/>
            <w:b w:val="0"/>
            <w:szCs w:val="22"/>
            <w:lang w:eastAsia="en-AU"/>
          </w:rPr>
          <w:tab/>
        </w:r>
        <w:r w:rsidR="008E1C5A" w:rsidRPr="00877A03">
          <w:rPr>
            <w:rStyle w:val="Hyperlink"/>
          </w:rPr>
          <w:t>Haulage Reference Tariff Control Formula</w:t>
        </w:r>
        <w:r w:rsidR="008E1C5A">
          <w:rPr>
            <w:webHidden/>
          </w:rPr>
          <w:tab/>
        </w:r>
        <w:r w:rsidR="008E1C5A">
          <w:rPr>
            <w:webHidden/>
          </w:rPr>
          <w:fldChar w:fldCharType="begin"/>
        </w:r>
        <w:r w:rsidR="008E1C5A">
          <w:rPr>
            <w:webHidden/>
          </w:rPr>
          <w:instrText xml:space="preserve"> PAGEREF _Toc469519470 \h </w:instrText>
        </w:r>
        <w:r w:rsidR="008E1C5A">
          <w:rPr>
            <w:webHidden/>
          </w:rPr>
        </w:r>
        <w:r w:rsidR="008E1C5A">
          <w:rPr>
            <w:webHidden/>
          </w:rPr>
          <w:fldChar w:fldCharType="separate"/>
        </w:r>
        <w:r w:rsidR="00EF1CDE">
          <w:rPr>
            <w:webHidden/>
          </w:rPr>
          <w:t>9</w:t>
        </w:r>
        <w:r w:rsidR="008E1C5A">
          <w:rPr>
            <w:webHidden/>
          </w:rPr>
          <w:fldChar w:fldCharType="end"/>
        </w:r>
      </w:hyperlink>
    </w:p>
    <w:p w14:paraId="18679756" w14:textId="7C1A7626" w:rsidR="008E1C5A" w:rsidRDefault="00412743">
      <w:pPr>
        <w:pStyle w:val="TOC2"/>
        <w:rPr>
          <w:rFonts w:asciiTheme="minorHAnsi" w:eastAsiaTheme="minorEastAsia" w:hAnsiTheme="minorHAnsi" w:cstheme="minorBidi"/>
          <w:szCs w:val="22"/>
          <w:lang w:eastAsia="en-AU"/>
        </w:rPr>
      </w:pPr>
      <w:hyperlink w:anchor="_Toc469519471" w:history="1">
        <w:r w:rsidR="008E1C5A" w:rsidRPr="00877A03">
          <w:rPr>
            <w:rStyle w:val="Hyperlink"/>
          </w:rPr>
          <w:t>3.1</w:t>
        </w:r>
        <w:r w:rsidR="008E1C5A">
          <w:rPr>
            <w:rFonts w:asciiTheme="minorHAnsi" w:eastAsiaTheme="minorEastAsia" w:hAnsiTheme="minorHAnsi" w:cstheme="minorBidi"/>
            <w:szCs w:val="22"/>
            <w:lang w:eastAsia="en-AU"/>
          </w:rPr>
          <w:tab/>
        </w:r>
        <w:r w:rsidR="008E1C5A" w:rsidRPr="00877A03">
          <w:rPr>
            <w:rStyle w:val="Hyperlink"/>
          </w:rPr>
          <w:t>The Tariff Control Formula</w:t>
        </w:r>
        <w:r w:rsidR="008E1C5A">
          <w:rPr>
            <w:webHidden/>
          </w:rPr>
          <w:tab/>
        </w:r>
        <w:r w:rsidR="008E1C5A">
          <w:rPr>
            <w:webHidden/>
          </w:rPr>
          <w:fldChar w:fldCharType="begin"/>
        </w:r>
        <w:r w:rsidR="008E1C5A">
          <w:rPr>
            <w:webHidden/>
          </w:rPr>
          <w:instrText xml:space="preserve"> PAGEREF _Toc469519471 \h </w:instrText>
        </w:r>
        <w:r w:rsidR="008E1C5A">
          <w:rPr>
            <w:webHidden/>
          </w:rPr>
        </w:r>
        <w:r w:rsidR="008E1C5A">
          <w:rPr>
            <w:webHidden/>
          </w:rPr>
          <w:fldChar w:fldCharType="separate"/>
        </w:r>
        <w:r w:rsidR="00EF1CDE">
          <w:rPr>
            <w:webHidden/>
          </w:rPr>
          <w:t>9</w:t>
        </w:r>
        <w:r w:rsidR="008E1C5A">
          <w:rPr>
            <w:webHidden/>
          </w:rPr>
          <w:fldChar w:fldCharType="end"/>
        </w:r>
      </w:hyperlink>
    </w:p>
    <w:p w14:paraId="59256E1F" w14:textId="3914A679" w:rsidR="008E1C5A" w:rsidRDefault="00412743">
      <w:pPr>
        <w:pStyle w:val="TOC3"/>
        <w:rPr>
          <w:rFonts w:asciiTheme="minorHAnsi" w:eastAsiaTheme="minorEastAsia" w:hAnsiTheme="minorHAnsi" w:cstheme="minorBidi"/>
          <w:noProof/>
          <w:spacing w:val="0"/>
          <w:szCs w:val="22"/>
          <w:lang w:eastAsia="en-AU"/>
        </w:rPr>
      </w:pPr>
      <w:hyperlink w:anchor="_Toc469519472" w:history="1">
        <w:r w:rsidR="008E1C5A" w:rsidRPr="00877A03">
          <w:rPr>
            <w:rStyle w:val="Hyperlink"/>
            <w:noProof/>
          </w:rPr>
          <w:t>3.1.1</w:t>
        </w:r>
        <w:r w:rsidR="008E1C5A">
          <w:rPr>
            <w:rFonts w:asciiTheme="minorHAnsi" w:eastAsiaTheme="minorEastAsia" w:hAnsiTheme="minorHAnsi" w:cstheme="minorBidi"/>
            <w:noProof/>
            <w:spacing w:val="0"/>
            <w:szCs w:val="22"/>
            <w:lang w:eastAsia="en-AU"/>
          </w:rPr>
          <w:tab/>
        </w:r>
        <w:r w:rsidR="008E1C5A" w:rsidRPr="00877A03">
          <w:rPr>
            <w:rStyle w:val="Hyperlink"/>
            <w:noProof/>
          </w:rPr>
          <w:t>Tariff Control Formula</w:t>
        </w:r>
        <w:r w:rsidR="008E1C5A">
          <w:rPr>
            <w:noProof/>
            <w:webHidden/>
          </w:rPr>
          <w:tab/>
        </w:r>
        <w:r w:rsidR="008E1C5A">
          <w:rPr>
            <w:noProof/>
            <w:webHidden/>
          </w:rPr>
          <w:fldChar w:fldCharType="begin"/>
        </w:r>
        <w:r w:rsidR="008E1C5A">
          <w:rPr>
            <w:noProof/>
            <w:webHidden/>
          </w:rPr>
          <w:instrText xml:space="preserve"> PAGEREF _Toc469519472 \h </w:instrText>
        </w:r>
        <w:r w:rsidR="008E1C5A">
          <w:rPr>
            <w:noProof/>
            <w:webHidden/>
          </w:rPr>
        </w:r>
        <w:r w:rsidR="008E1C5A">
          <w:rPr>
            <w:noProof/>
            <w:webHidden/>
          </w:rPr>
          <w:fldChar w:fldCharType="separate"/>
        </w:r>
        <w:r w:rsidR="00EF1CDE">
          <w:rPr>
            <w:noProof/>
            <w:webHidden/>
          </w:rPr>
          <w:t>9</w:t>
        </w:r>
        <w:r w:rsidR="008E1C5A">
          <w:rPr>
            <w:noProof/>
            <w:webHidden/>
          </w:rPr>
          <w:fldChar w:fldCharType="end"/>
        </w:r>
      </w:hyperlink>
    </w:p>
    <w:p w14:paraId="0BFE77BA" w14:textId="79BD79E8" w:rsidR="008E1C5A" w:rsidRDefault="00412743">
      <w:pPr>
        <w:pStyle w:val="TOC3"/>
        <w:rPr>
          <w:rFonts w:asciiTheme="minorHAnsi" w:eastAsiaTheme="minorEastAsia" w:hAnsiTheme="minorHAnsi" w:cstheme="minorBidi"/>
          <w:noProof/>
          <w:spacing w:val="0"/>
          <w:szCs w:val="22"/>
          <w:lang w:eastAsia="en-AU"/>
        </w:rPr>
      </w:pPr>
      <w:hyperlink w:anchor="_Toc469519473" w:history="1">
        <w:r w:rsidR="008E1C5A" w:rsidRPr="00877A03">
          <w:rPr>
            <w:rStyle w:val="Hyperlink"/>
            <w:noProof/>
          </w:rPr>
          <w:t>3.1.2</w:t>
        </w:r>
        <w:r w:rsidR="008E1C5A">
          <w:rPr>
            <w:rFonts w:asciiTheme="minorHAnsi" w:eastAsiaTheme="minorEastAsia" w:hAnsiTheme="minorHAnsi" w:cstheme="minorBidi"/>
            <w:noProof/>
            <w:spacing w:val="0"/>
            <w:szCs w:val="22"/>
            <w:lang w:eastAsia="en-AU"/>
          </w:rPr>
          <w:tab/>
        </w:r>
        <w:r w:rsidR="008E1C5A" w:rsidRPr="00877A03">
          <w:rPr>
            <w:rStyle w:val="Hyperlink"/>
            <w:noProof/>
          </w:rPr>
          <w:t>Return on Debt Update</w:t>
        </w:r>
        <w:r w:rsidR="008E1C5A">
          <w:rPr>
            <w:noProof/>
            <w:webHidden/>
          </w:rPr>
          <w:tab/>
        </w:r>
        <w:r w:rsidR="008E1C5A">
          <w:rPr>
            <w:noProof/>
            <w:webHidden/>
          </w:rPr>
          <w:fldChar w:fldCharType="begin"/>
        </w:r>
        <w:r w:rsidR="008E1C5A">
          <w:rPr>
            <w:noProof/>
            <w:webHidden/>
          </w:rPr>
          <w:instrText xml:space="preserve"> PAGEREF _Toc469519473 \h </w:instrText>
        </w:r>
        <w:r w:rsidR="008E1C5A">
          <w:rPr>
            <w:noProof/>
            <w:webHidden/>
          </w:rPr>
        </w:r>
        <w:r w:rsidR="008E1C5A">
          <w:rPr>
            <w:noProof/>
            <w:webHidden/>
          </w:rPr>
          <w:fldChar w:fldCharType="separate"/>
        </w:r>
        <w:r w:rsidR="00EF1CDE">
          <w:rPr>
            <w:noProof/>
            <w:webHidden/>
          </w:rPr>
          <w:t>10</w:t>
        </w:r>
        <w:r w:rsidR="008E1C5A">
          <w:rPr>
            <w:noProof/>
            <w:webHidden/>
          </w:rPr>
          <w:fldChar w:fldCharType="end"/>
        </w:r>
      </w:hyperlink>
    </w:p>
    <w:p w14:paraId="3C43D397" w14:textId="4F9113E7" w:rsidR="008E1C5A" w:rsidRDefault="00412743">
      <w:pPr>
        <w:pStyle w:val="TOC3"/>
        <w:rPr>
          <w:rFonts w:asciiTheme="minorHAnsi" w:eastAsiaTheme="minorEastAsia" w:hAnsiTheme="minorHAnsi" w:cstheme="minorBidi"/>
          <w:noProof/>
          <w:spacing w:val="0"/>
          <w:szCs w:val="22"/>
          <w:lang w:eastAsia="en-AU"/>
        </w:rPr>
      </w:pPr>
      <w:hyperlink w:anchor="_Toc469519474" w:history="1">
        <w:r w:rsidR="008E1C5A" w:rsidRPr="00877A03">
          <w:rPr>
            <w:rStyle w:val="Hyperlink"/>
            <w:noProof/>
          </w:rPr>
          <w:t>3.1.3</w:t>
        </w:r>
        <w:r w:rsidR="008E1C5A">
          <w:rPr>
            <w:rFonts w:asciiTheme="minorHAnsi" w:eastAsiaTheme="minorEastAsia" w:hAnsiTheme="minorHAnsi" w:cstheme="minorBidi"/>
            <w:noProof/>
            <w:spacing w:val="0"/>
            <w:szCs w:val="22"/>
            <w:lang w:eastAsia="en-AU"/>
          </w:rPr>
          <w:tab/>
        </w:r>
        <w:r w:rsidR="008E1C5A" w:rsidRPr="00877A03">
          <w:rPr>
            <w:rStyle w:val="Hyperlink"/>
            <w:noProof/>
          </w:rPr>
          <w:t>Licence Fee Factor</w:t>
        </w:r>
        <w:r w:rsidR="008E1C5A">
          <w:rPr>
            <w:noProof/>
            <w:webHidden/>
          </w:rPr>
          <w:tab/>
        </w:r>
        <w:r w:rsidR="008E1C5A">
          <w:rPr>
            <w:noProof/>
            <w:webHidden/>
          </w:rPr>
          <w:fldChar w:fldCharType="begin"/>
        </w:r>
        <w:r w:rsidR="008E1C5A">
          <w:rPr>
            <w:noProof/>
            <w:webHidden/>
          </w:rPr>
          <w:instrText xml:space="preserve"> PAGEREF _Toc469519474 \h </w:instrText>
        </w:r>
        <w:r w:rsidR="008E1C5A">
          <w:rPr>
            <w:noProof/>
            <w:webHidden/>
          </w:rPr>
        </w:r>
        <w:r w:rsidR="008E1C5A">
          <w:rPr>
            <w:noProof/>
            <w:webHidden/>
          </w:rPr>
          <w:fldChar w:fldCharType="separate"/>
        </w:r>
        <w:r w:rsidR="00EF1CDE">
          <w:rPr>
            <w:noProof/>
            <w:webHidden/>
          </w:rPr>
          <w:t>13</w:t>
        </w:r>
        <w:r w:rsidR="008E1C5A">
          <w:rPr>
            <w:noProof/>
            <w:webHidden/>
          </w:rPr>
          <w:fldChar w:fldCharType="end"/>
        </w:r>
      </w:hyperlink>
    </w:p>
    <w:p w14:paraId="11192A77" w14:textId="487404FA" w:rsidR="008E1C5A" w:rsidRDefault="00412743">
      <w:pPr>
        <w:pStyle w:val="TOC3"/>
        <w:rPr>
          <w:rFonts w:asciiTheme="minorHAnsi" w:eastAsiaTheme="minorEastAsia" w:hAnsiTheme="minorHAnsi" w:cstheme="minorBidi"/>
          <w:noProof/>
          <w:spacing w:val="0"/>
          <w:szCs w:val="22"/>
          <w:lang w:eastAsia="en-AU"/>
        </w:rPr>
      </w:pPr>
      <w:hyperlink w:anchor="_Toc469519475" w:history="1">
        <w:r w:rsidR="008E1C5A" w:rsidRPr="00877A03">
          <w:rPr>
            <w:rStyle w:val="Hyperlink"/>
            <w:noProof/>
          </w:rPr>
          <w:t>3.1.4</w:t>
        </w:r>
        <w:r w:rsidR="008E1C5A">
          <w:rPr>
            <w:rFonts w:asciiTheme="minorHAnsi" w:eastAsiaTheme="minorEastAsia" w:hAnsiTheme="minorHAnsi" w:cstheme="minorBidi"/>
            <w:noProof/>
            <w:spacing w:val="0"/>
            <w:szCs w:val="22"/>
            <w:lang w:eastAsia="en-AU"/>
          </w:rPr>
          <w:tab/>
        </w:r>
        <w:r w:rsidR="008E1C5A" w:rsidRPr="00877A03">
          <w:rPr>
            <w:rStyle w:val="Hyperlink"/>
            <w:noProof/>
          </w:rPr>
          <w:t>Adjustment Factor</w:t>
        </w:r>
        <w:r w:rsidR="008E1C5A">
          <w:rPr>
            <w:noProof/>
            <w:webHidden/>
          </w:rPr>
          <w:tab/>
        </w:r>
        <w:r w:rsidR="008E1C5A">
          <w:rPr>
            <w:noProof/>
            <w:webHidden/>
          </w:rPr>
          <w:fldChar w:fldCharType="begin"/>
        </w:r>
        <w:r w:rsidR="008E1C5A">
          <w:rPr>
            <w:noProof/>
            <w:webHidden/>
          </w:rPr>
          <w:instrText xml:space="preserve"> PAGEREF _Toc469519475 \h </w:instrText>
        </w:r>
        <w:r w:rsidR="008E1C5A">
          <w:rPr>
            <w:noProof/>
            <w:webHidden/>
          </w:rPr>
        </w:r>
        <w:r w:rsidR="008E1C5A">
          <w:rPr>
            <w:noProof/>
            <w:webHidden/>
          </w:rPr>
          <w:fldChar w:fldCharType="separate"/>
        </w:r>
        <w:r w:rsidR="00EF1CDE">
          <w:rPr>
            <w:noProof/>
            <w:webHidden/>
          </w:rPr>
          <w:t>14</w:t>
        </w:r>
        <w:r w:rsidR="008E1C5A">
          <w:rPr>
            <w:noProof/>
            <w:webHidden/>
          </w:rPr>
          <w:fldChar w:fldCharType="end"/>
        </w:r>
      </w:hyperlink>
    </w:p>
    <w:p w14:paraId="0D7ECC35" w14:textId="78922D7F" w:rsidR="008E1C5A" w:rsidRDefault="00412743">
      <w:pPr>
        <w:pStyle w:val="TOC3"/>
        <w:rPr>
          <w:rFonts w:asciiTheme="minorHAnsi" w:eastAsiaTheme="minorEastAsia" w:hAnsiTheme="minorHAnsi" w:cstheme="minorBidi"/>
          <w:noProof/>
          <w:spacing w:val="0"/>
          <w:szCs w:val="22"/>
          <w:lang w:eastAsia="en-AU"/>
        </w:rPr>
      </w:pPr>
      <w:hyperlink w:anchor="_Toc469519477" w:history="1">
        <w:r w:rsidR="008E1C5A" w:rsidRPr="00877A03">
          <w:rPr>
            <w:rStyle w:val="Hyperlink"/>
            <w:noProof/>
          </w:rPr>
          <w:t>3.1.5</w:t>
        </w:r>
        <w:r w:rsidR="008E1C5A">
          <w:rPr>
            <w:rFonts w:asciiTheme="minorHAnsi" w:eastAsiaTheme="minorEastAsia" w:hAnsiTheme="minorHAnsi" w:cstheme="minorBidi"/>
            <w:noProof/>
            <w:spacing w:val="0"/>
            <w:szCs w:val="22"/>
            <w:lang w:eastAsia="en-AU"/>
          </w:rPr>
          <w:tab/>
        </w:r>
        <w:r w:rsidR="008E1C5A" w:rsidRPr="00877A03">
          <w:rPr>
            <w:rStyle w:val="Hyperlink"/>
            <w:noProof/>
          </w:rPr>
          <w:t>Approved pass through</w:t>
        </w:r>
        <w:r w:rsidR="008E1C5A">
          <w:rPr>
            <w:noProof/>
            <w:webHidden/>
          </w:rPr>
          <w:tab/>
        </w:r>
        <w:r w:rsidR="008E1C5A">
          <w:rPr>
            <w:noProof/>
            <w:webHidden/>
          </w:rPr>
          <w:fldChar w:fldCharType="begin"/>
        </w:r>
        <w:r w:rsidR="008E1C5A">
          <w:rPr>
            <w:noProof/>
            <w:webHidden/>
          </w:rPr>
          <w:instrText xml:space="preserve"> PAGEREF _Toc469519477 \h </w:instrText>
        </w:r>
        <w:r w:rsidR="008E1C5A">
          <w:rPr>
            <w:noProof/>
            <w:webHidden/>
          </w:rPr>
        </w:r>
        <w:r w:rsidR="008E1C5A">
          <w:rPr>
            <w:noProof/>
            <w:webHidden/>
          </w:rPr>
          <w:fldChar w:fldCharType="separate"/>
        </w:r>
        <w:r w:rsidR="00EF1CDE">
          <w:rPr>
            <w:noProof/>
            <w:webHidden/>
          </w:rPr>
          <w:t>15</w:t>
        </w:r>
        <w:r w:rsidR="008E1C5A">
          <w:rPr>
            <w:noProof/>
            <w:webHidden/>
          </w:rPr>
          <w:fldChar w:fldCharType="end"/>
        </w:r>
      </w:hyperlink>
    </w:p>
    <w:p w14:paraId="546CD0D7" w14:textId="5FB19AF0" w:rsidR="008E1C5A" w:rsidRDefault="00412743">
      <w:pPr>
        <w:pStyle w:val="TOC2"/>
        <w:rPr>
          <w:rFonts w:asciiTheme="minorHAnsi" w:eastAsiaTheme="minorEastAsia" w:hAnsiTheme="minorHAnsi" w:cstheme="minorBidi"/>
          <w:szCs w:val="22"/>
          <w:lang w:eastAsia="en-AU"/>
        </w:rPr>
      </w:pPr>
      <w:hyperlink w:anchor="_Toc469519478" w:history="1">
        <w:r w:rsidR="008E1C5A" w:rsidRPr="00877A03">
          <w:rPr>
            <w:rStyle w:val="Hyperlink"/>
          </w:rPr>
          <w:t>3.2</w:t>
        </w:r>
        <w:r w:rsidR="008E1C5A">
          <w:rPr>
            <w:rFonts w:asciiTheme="minorHAnsi" w:eastAsiaTheme="minorEastAsia" w:hAnsiTheme="minorHAnsi" w:cstheme="minorBidi"/>
            <w:szCs w:val="22"/>
            <w:lang w:eastAsia="en-AU"/>
          </w:rPr>
          <w:tab/>
        </w:r>
        <w:r w:rsidR="008E1C5A" w:rsidRPr="00877A03">
          <w:rPr>
            <w:rStyle w:val="Hyperlink"/>
          </w:rPr>
          <w:t>New Haulage Reference Tariffs</w:t>
        </w:r>
        <w:r w:rsidR="008E1C5A">
          <w:rPr>
            <w:webHidden/>
          </w:rPr>
          <w:tab/>
        </w:r>
        <w:r w:rsidR="008E1C5A">
          <w:rPr>
            <w:webHidden/>
          </w:rPr>
          <w:fldChar w:fldCharType="begin"/>
        </w:r>
        <w:r w:rsidR="008E1C5A">
          <w:rPr>
            <w:webHidden/>
          </w:rPr>
          <w:instrText xml:space="preserve"> PAGEREF _Toc469519478 \h </w:instrText>
        </w:r>
        <w:r w:rsidR="008E1C5A">
          <w:rPr>
            <w:webHidden/>
          </w:rPr>
        </w:r>
        <w:r w:rsidR="008E1C5A">
          <w:rPr>
            <w:webHidden/>
          </w:rPr>
          <w:fldChar w:fldCharType="separate"/>
        </w:r>
        <w:r w:rsidR="00EF1CDE">
          <w:rPr>
            <w:webHidden/>
          </w:rPr>
          <w:t>15</w:t>
        </w:r>
        <w:r w:rsidR="008E1C5A">
          <w:rPr>
            <w:webHidden/>
          </w:rPr>
          <w:fldChar w:fldCharType="end"/>
        </w:r>
      </w:hyperlink>
    </w:p>
    <w:p w14:paraId="6D949BCC" w14:textId="63C84022" w:rsidR="008E1C5A" w:rsidRDefault="00412743">
      <w:pPr>
        <w:pStyle w:val="TOC2"/>
        <w:rPr>
          <w:rFonts w:asciiTheme="minorHAnsi" w:eastAsiaTheme="minorEastAsia" w:hAnsiTheme="minorHAnsi" w:cstheme="minorBidi"/>
          <w:szCs w:val="22"/>
          <w:lang w:eastAsia="en-AU"/>
        </w:rPr>
      </w:pPr>
      <w:hyperlink w:anchor="_Toc469519479" w:history="1">
        <w:r w:rsidR="008E1C5A" w:rsidRPr="00877A03">
          <w:rPr>
            <w:rStyle w:val="Hyperlink"/>
          </w:rPr>
          <w:t>3.3</w:t>
        </w:r>
        <w:r w:rsidR="008E1C5A">
          <w:rPr>
            <w:rFonts w:asciiTheme="minorHAnsi" w:eastAsiaTheme="minorEastAsia" w:hAnsiTheme="minorHAnsi" w:cstheme="minorBidi"/>
            <w:szCs w:val="22"/>
            <w:lang w:eastAsia="en-AU"/>
          </w:rPr>
          <w:tab/>
        </w:r>
        <w:r w:rsidR="008E1C5A" w:rsidRPr="00877A03">
          <w:rPr>
            <w:rStyle w:val="Hyperlink"/>
          </w:rPr>
          <w:t>Withdrawal of Haulage Reference Tariffs</w:t>
        </w:r>
        <w:r w:rsidR="008E1C5A">
          <w:rPr>
            <w:webHidden/>
          </w:rPr>
          <w:tab/>
        </w:r>
        <w:r w:rsidR="008E1C5A">
          <w:rPr>
            <w:webHidden/>
          </w:rPr>
          <w:fldChar w:fldCharType="begin"/>
        </w:r>
        <w:r w:rsidR="008E1C5A">
          <w:rPr>
            <w:webHidden/>
          </w:rPr>
          <w:instrText xml:space="preserve"> PAGEREF _Toc469519479 \h </w:instrText>
        </w:r>
        <w:r w:rsidR="008E1C5A">
          <w:rPr>
            <w:webHidden/>
          </w:rPr>
        </w:r>
        <w:r w:rsidR="008E1C5A">
          <w:rPr>
            <w:webHidden/>
          </w:rPr>
          <w:fldChar w:fldCharType="separate"/>
        </w:r>
        <w:r w:rsidR="00EF1CDE">
          <w:rPr>
            <w:webHidden/>
          </w:rPr>
          <w:t>16</w:t>
        </w:r>
        <w:r w:rsidR="008E1C5A">
          <w:rPr>
            <w:webHidden/>
          </w:rPr>
          <w:fldChar w:fldCharType="end"/>
        </w:r>
      </w:hyperlink>
    </w:p>
    <w:p w14:paraId="7929DD30" w14:textId="0CBF93CB" w:rsidR="008E1C5A" w:rsidRDefault="00412743">
      <w:pPr>
        <w:pStyle w:val="TOC2"/>
        <w:rPr>
          <w:rFonts w:asciiTheme="minorHAnsi" w:eastAsiaTheme="minorEastAsia" w:hAnsiTheme="minorHAnsi" w:cstheme="minorBidi"/>
          <w:szCs w:val="22"/>
          <w:lang w:eastAsia="en-AU"/>
        </w:rPr>
      </w:pPr>
      <w:hyperlink w:anchor="_Toc469519480" w:history="1">
        <w:r w:rsidR="008E1C5A" w:rsidRPr="00877A03">
          <w:rPr>
            <w:rStyle w:val="Hyperlink"/>
          </w:rPr>
          <w:t>3.4</w:t>
        </w:r>
        <w:r w:rsidR="008E1C5A">
          <w:rPr>
            <w:rFonts w:asciiTheme="minorHAnsi" w:eastAsiaTheme="minorEastAsia" w:hAnsiTheme="minorHAnsi" w:cstheme="minorBidi"/>
            <w:szCs w:val="22"/>
            <w:lang w:eastAsia="en-AU"/>
          </w:rPr>
          <w:tab/>
        </w:r>
        <w:r w:rsidR="008E1C5A" w:rsidRPr="00877A03">
          <w:rPr>
            <w:rStyle w:val="Hyperlink"/>
          </w:rPr>
          <w:t>Haulage Reference Tariff information</w:t>
        </w:r>
        <w:r w:rsidR="008E1C5A">
          <w:rPr>
            <w:webHidden/>
          </w:rPr>
          <w:tab/>
        </w:r>
        <w:r w:rsidR="008E1C5A">
          <w:rPr>
            <w:webHidden/>
          </w:rPr>
          <w:fldChar w:fldCharType="begin"/>
        </w:r>
        <w:r w:rsidR="008E1C5A">
          <w:rPr>
            <w:webHidden/>
          </w:rPr>
          <w:instrText xml:space="preserve"> PAGEREF _Toc469519480 \h </w:instrText>
        </w:r>
        <w:r w:rsidR="008E1C5A">
          <w:rPr>
            <w:webHidden/>
          </w:rPr>
        </w:r>
        <w:r w:rsidR="008E1C5A">
          <w:rPr>
            <w:webHidden/>
          </w:rPr>
          <w:fldChar w:fldCharType="separate"/>
        </w:r>
        <w:r w:rsidR="00EF1CDE">
          <w:rPr>
            <w:webHidden/>
          </w:rPr>
          <w:t>16</w:t>
        </w:r>
        <w:r w:rsidR="008E1C5A">
          <w:rPr>
            <w:webHidden/>
          </w:rPr>
          <w:fldChar w:fldCharType="end"/>
        </w:r>
      </w:hyperlink>
    </w:p>
    <w:p w14:paraId="561772D9" w14:textId="7D65403B" w:rsidR="008E1C5A" w:rsidRDefault="00412743">
      <w:pPr>
        <w:pStyle w:val="TOC2"/>
        <w:rPr>
          <w:rFonts w:asciiTheme="minorHAnsi" w:eastAsiaTheme="minorEastAsia" w:hAnsiTheme="minorHAnsi" w:cstheme="minorBidi"/>
          <w:szCs w:val="22"/>
          <w:lang w:eastAsia="en-AU"/>
        </w:rPr>
      </w:pPr>
      <w:hyperlink w:anchor="_Toc469519481" w:history="1">
        <w:r w:rsidR="008E1C5A" w:rsidRPr="00877A03">
          <w:rPr>
            <w:rStyle w:val="Hyperlink"/>
          </w:rPr>
          <w:t>3.5</w:t>
        </w:r>
        <w:r w:rsidR="008E1C5A">
          <w:rPr>
            <w:rFonts w:asciiTheme="minorHAnsi" w:eastAsiaTheme="minorEastAsia" w:hAnsiTheme="minorHAnsi" w:cstheme="minorBidi"/>
            <w:szCs w:val="22"/>
            <w:lang w:eastAsia="en-AU"/>
          </w:rPr>
          <w:tab/>
        </w:r>
        <w:r w:rsidR="008E1C5A" w:rsidRPr="00877A03">
          <w:rPr>
            <w:rStyle w:val="Hyperlink"/>
          </w:rPr>
          <w:t>Rebalancing Controls on Haulage Reference Tariffs</w:t>
        </w:r>
        <w:r w:rsidR="008E1C5A">
          <w:rPr>
            <w:webHidden/>
          </w:rPr>
          <w:tab/>
        </w:r>
        <w:r w:rsidR="008E1C5A">
          <w:rPr>
            <w:webHidden/>
          </w:rPr>
          <w:fldChar w:fldCharType="begin"/>
        </w:r>
        <w:r w:rsidR="008E1C5A">
          <w:rPr>
            <w:webHidden/>
          </w:rPr>
          <w:instrText xml:space="preserve"> PAGEREF _Toc469519481 \h </w:instrText>
        </w:r>
        <w:r w:rsidR="008E1C5A">
          <w:rPr>
            <w:webHidden/>
          </w:rPr>
        </w:r>
        <w:r w:rsidR="008E1C5A">
          <w:rPr>
            <w:webHidden/>
          </w:rPr>
          <w:fldChar w:fldCharType="separate"/>
        </w:r>
        <w:r w:rsidR="00EF1CDE">
          <w:rPr>
            <w:webHidden/>
          </w:rPr>
          <w:t>16</w:t>
        </w:r>
        <w:r w:rsidR="008E1C5A">
          <w:rPr>
            <w:webHidden/>
          </w:rPr>
          <w:fldChar w:fldCharType="end"/>
        </w:r>
      </w:hyperlink>
    </w:p>
    <w:p w14:paraId="5C9DC4C6" w14:textId="258F7073" w:rsidR="008E1C5A" w:rsidRDefault="00412743">
      <w:pPr>
        <w:pStyle w:val="TOC3"/>
        <w:rPr>
          <w:rFonts w:asciiTheme="minorHAnsi" w:eastAsiaTheme="minorEastAsia" w:hAnsiTheme="minorHAnsi" w:cstheme="minorBidi"/>
          <w:noProof/>
          <w:spacing w:val="0"/>
          <w:szCs w:val="22"/>
          <w:lang w:eastAsia="en-AU"/>
        </w:rPr>
      </w:pPr>
      <w:hyperlink w:anchor="_Toc469519483" w:history="1">
        <w:r w:rsidR="008E1C5A" w:rsidRPr="00877A03">
          <w:rPr>
            <w:rStyle w:val="Hyperlink"/>
            <w:noProof/>
          </w:rPr>
          <w:t>3.5.1</w:t>
        </w:r>
        <w:r w:rsidR="008E1C5A">
          <w:rPr>
            <w:rFonts w:asciiTheme="minorHAnsi" w:eastAsiaTheme="minorEastAsia" w:hAnsiTheme="minorHAnsi" w:cstheme="minorBidi"/>
            <w:noProof/>
            <w:spacing w:val="0"/>
            <w:szCs w:val="22"/>
            <w:lang w:eastAsia="en-AU"/>
          </w:rPr>
          <w:tab/>
        </w:r>
        <w:r w:rsidR="008E1C5A" w:rsidRPr="00877A03">
          <w:rPr>
            <w:rStyle w:val="Hyperlink"/>
            <w:noProof/>
          </w:rPr>
          <w:t>Rebalancing Control Formula</w:t>
        </w:r>
        <w:r w:rsidR="008E1C5A">
          <w:rPr>
            <w:noProof/>
            <w:webHidden/>
          </w:rPr>
          <w:tab/>
        </w:r>
        <w:r w:rsidR="008E1C5A">
          <w:rPr>
            <w:noProof/>
            <w:webHidden/>
          </w:rPr>
          <w:fldChar w:fldCharType="begin"/>
        </w:r>
        <w:r w:rsidR="008E1C5A">
          <w:rPr>
            <w:noProof/>
            <w:webHidden/>
          </w:rPr>
          <w:instrText xml:space="preserve"> PAGEREF _Toc469519483 \h </w:instrText>
        </w:r>
        <w:r w:rsidR="008E1C5A">
          <w:rPr>
            <w:noProof/>
            <w:webHidden/>
          </w:rPr>
        </w:r>
        <w:r w:rsidR="008E1C5A">
          <w:rPr>
            <w:noProof/>
            <w:webHidden/>
          </w:rPr>
          <w:fldChar w:fldCharType="separate"/>
        </w:r>
        <w:r w:rsidR="00EF1CDE">
          <w:rPr>
            <w:noProof/>
            <w:webHidden/>
          </w:rPr>
          <w:t>17</w:t>
        </w:r>
        <w:r w:rsidR="008E1C5A">
          <w:rPr>
            <w:noProof/>
            <w:webHidden/>
          </w:rPr>
          <w:fldChar w:fldCharType="end"/>
        </w:r>
      </w:hyperlink>
    </w:p>
    <w:p w14:paraId="2B92C6E2" w14:textId="5A96E896" w:rsidR="008E1C5A" w:rsidRDefault="00412743">
      <w:pPr>
        <w:pStyle w:val="TOC2"/>
        <w:rPr>
          <w:rFonts w:asciiTheme="minorHAnsi" w:eastAsiaTheme="minorEastAsia" w:hAnsiTheme="minorHAnsi" w:cstheme="minorBidi"/>
          <w:szCs w:val="22"/>
          <w:lang w:eastAsia="en-AU"/>
        </w:rPr>
      </w:pPr>
      <w:hyperlink w:anchor="_Toc469519484" w:history="1">
        <w:r w:rsidR="008E1C5A" w:rsidRPr="00877A03">
          <w:rPr>
            <w:rStyle w:val="Hyperlink"/>
          </w:rPr>
          <w:t>3.6</w:t>
        </w:r>
        <w:r w:rsidR="008E1C5A">
          <w:rPr>
            <w:rFonts w:asciiTheme="minorHAnsi" w:eastAsiaTheme="minorEastAsia" w:hAnsiTheme="minorHAnsi" w:cstheme="minorBidi"/>
            <w:szCs w:val="22"/>
            <w:lang w:eastAsia="en-AU"/>
          </w:rPr>
          <w:tab/>
        </w:r>
        <w:r w:rsidR="008E1C5A" w:rsidRPr="00877A03">
          <w:rPr>
            <w:rStyle w:val="Hyperlink"/>
          </w:rPr>
          <w:t>Rebalancing Controls for New and Withdrawn Haulage Reference Tariffs</w:t>
        </w:r>
        <w:r w:rsidR="008E1C5A">
          <w:rPr>
            <w:webHidden/>
          </w:rPr>
          <w:tab/>
        </w:r>
        <w:r w:rsidR="008E1C5A">
          <w:rPr>
            <w:webHidden/>
          </w:rPr>
          <w:fldChar w:fldCharType="begin"/>
        </w:r>
        <w:r w:rsidR="008E1C5A">
          <w:rPr>
            <w:webHidden/>
          </w:rPr>
          <w:instrText xml:space="preserve"> PAGEREF _Toc469519484 \h </w:instrText>
        </w:r>
        <w:r w:rsidR="008E1C5A">
          <w:rPr>
            <w:webHidden/>
          </w:rPr>
        </w:r>
        <w:r w:rsidR="008E1C5A">
          <w:rPr>
            <w:webHidden/>
          </w:rPr>
          <w:fldChar w:fldCharType="separate"/>
        </w:r>
        <w:r w:rsidR="00EF1CDE">
          <w:rPr>
            <w:webHidden/>
          </w:rPr>
          <w:t>17</w:t>
        </w:r>
        <w:r w:rsidR="008E1C5A">
          <w:rPr>
            <w:webHidden/>
          </w:rPr>
          <w:fldChar w:fldCharType="end"/>
        </w:r>
      </w:hyperlink>
    </w:p>
    <w:p w14:paraId="38E4959B" w14:textId="56C69F13" w:rsidR="008E1C5A" w:rsidRDefault="00412743">
      <w:pPr>
        <w:pStyle w:val="TOC1"/>
        <w:rPr>
          <w:rFonts w:asciiTheme="minorHAnsi" w:eastAsiaTheme="minorEastAsia" w:hAnsiTheme="minorHAnsi" w:cstheme="minorBidi"/>
          <w:b w:val="0"/>
          <w:szCs w:val="22"/>
          <w:lang w:eastAsia="en-AU"/>
        </w:rPr>
      </w:pPr>
      <w:hyperlink w:anchor="_Toc469519486" w:history="1">
        <w:r w:rsidR="008E1C5A" w:rsidRPr="00877A03">
          <w:rPr>
            <w:rStyle w:val="Hyperlink"/>
          </w:rPr>
          <w:t>4</w:t>
        </w:r>
        <w:r w:rsidR="008E1C5A">
          <w:rPr>
            <w:rFonts w:asciiTheme="minorHAnsi" w:eastAsiaTheme="minorEastAsia" w:hAnsiTheme="minorHAnsi" w:cstheme="minorBidi"/>
            <w:b w:val="0"/>
            <w:szCs w:val="22"/>
            <w:lang w:eastAsia="en-AU"/>
          </w:rPr>
          <w:tab/>
        </w:r>
        <w:r w:rsidR="008E1C5A" w:rsidRPr="00877A03">
          <w:rPr>
            <w:rStyle w:val="Hyperlink"/>
          </w:rPr>
          <w:t>Approval of Annual and Within-Year Variations to Haulage Reference Tariffs and New Haulage Reference Tariffs</w:t>
        </w:r>
        <w:r w:rsidR="008E1C5A">
          <w:rPr>
            <w:webHidden/>
          </w:rPr>
          <w:tab/>
        </w:r>
        <w:r w:rsidR="008E1C5A">
          <w:rPr>
            <w:webHidden/>
          </w:rPr>
          <w:fldChar w:fldCharType="begin"/>
        </w:r>
        <w:r w:rsidR="008E1C5A">
          <w:rPr>
            <w:webHidden/>
          </w:rPr>
          <w:instrText xml:space="preserve"> PAGEREF _Toc469519486 \h </w:instrText>
        </w:r>
        <w:r w:rsidR="008E1C5A">
          <w:rPr>
            <w:webHidden/>
          </w:rPr>
        </w:r>
        <w:r w:rsidR="008E1C5A">
          <w:rPr>
            <w:webHidden/>
          </w:rPr>
          <w:fldChar w:fldCharType="separate"/>
        </w:r>
        <w:r w:rsidR="00EF1CDE">
          <w:rPr>
            <w:webHidden/>
          </w:rPr>
          <w:t>18</w:t>
        </w:r>
        <w:r w:rsidR="008E1C5A">
          <w:rPr>
            <w:webHidden/>
          </w:rPr>
          <w:fldChar w:fldCharType="end"/>
        </w:r>
      </w:hyperlink>
    </w:p>
    <w:p w14:paraId="344C3C6B" w14:textId="2EEBBA2A" w:rsidR="008E1C5A" w:rsidRDefault="00412743">
      <w:pPr>
        <w:pStyle w:val="TOC2"/>
        <w:rPr>
          <w:rFonts w:asciiTheme="minorHAnsi" w:eastAsiaTheme="minorEastAsia" w:hAnsiTheme="minorHAnsi" w:cstheme="minorBidi"/>
          <w:szCs w:val="22"/>
          <w:lang w:eastAsia="en-AU"/>
        </w:rPr>
      </w:pPr>
      <w:hyperlink w:anchor="_Toc469519487" w:history="1">
        <w:r w:rsidR="008E1C5A" w:rsidRPr="00877A03">
          <w:rPr>
            <w:rStyle w:val="Hyperlink"/>
          </w:rPr>
          <w:t>4.1</w:t>
        </w:r>
        <w:r w:rsidR="008E1C5A">
          <w:rPr>
            <w:rFonts w:asciiTheme="minorHAnsi" w:eastAsiaTheme="minorEastAsia" w:hAnsiTheme="minorHAnsi" w:cstheme="minorBidi"/>
            <w:szCs w:val="22"/>
            <w:lang w:eastAsia="en-AU"/>
          </w:rPr>
          <w:tab/>
        </w:r>
        <w:r w:rsidR="008E1C5A" w:rsidRPr="00877A03">
          <w:rPr>
            <w:rStyle w:val="Hyperlink"/>
          </w:rPr>
          <w:t>Submission to the Regulator</w:t>
        </w:r>
        <w:r w:rsidR="008E1C5A">
          <w:rPr>
            <w:webHidden/>
          </w:rPr>
          <w:tab/>
        </w:r>
        <w:r w:rsidR="008E1C5A">
          <w:rPr>
            <w:webHidden/>
          </w:rPr>
          <w:fldChar w:fldCharType="begin"/>
        </w:r>
        <w:r w:rsidR="008E1C5A">
          <w:rPr>
            <w:webHidden/>
          </w:rPr>
          <w:instrText xml:space="preserve"> PAGEREF _Toc469519487 \h </w:instrText>
        </w:r>
        <w:r w:rsidR="008E1C5A">
          <w:rPr>
            <w:webHidden/>
          </w:rPr>
        </w:r>
        <w:r w:rsidR="008E1C5A">
          <w:rPr>
            <w:webHidden/>
          </w:rPr>
          <w:fldChar w:fldCharType="separate"/>
        </w:r>
        <w:r w:rsidR="00EF1CDE">
          <w:rPr>
            <w:webHidden/>
          </w:rPr>
          <w:t>18</w:t>
        </w:r>
        <w:r w:rsidR="008E1C5A">
          <w:rPr>
            <w:webHidden/>
          </w:rPr>
          <w:fldChar w:fldCharType="end"/>
        </w:r>
      </w:hyperlink>
    </w:p>
    <w:p w14:paraId="6BB697EE" w14:textId="6D06F5F8" w:rsidR="008E1C5A" w:rsidRDefault="00412743">
      <w:pPr>
        <w:pStyle w:val="TOC2"/>
        <w:rPr>
          <w:rFonts w:asciiTheme="minorHAnsi" w:eastAsiaTheme="minorEastAsia" w:hAnsiTheme="minorHAnsi" w:cstheme="minorBidi"/>
          <w:szCs w:val="22"/>
          <w:lang w:eastAsia="en-AU"/>
        </w:rPr>
      </w:pPr>
      <w:hyperlink w:anchor="_Toc469519488" w:history="1">
        <w:r w:rsidR="008E1C5A" w:rsidRPr="00877A03">
          <w:rPr>
            <w:rStyle w:val="Hyperlink"/>
          </w:rPr>
          <w:t>4.2</w:t>
        </w:r>
        <w:r w:rsidR="008E1C5A">
          <w:rPr>
            <w:rFonts w:asciiTheme="minorHAnsi" w:eastAsiaTheme="minorEastAsia" w:hAnsiTheme="minorHAnsi" w:cstheme="minorBidi"/>
            <w:szCs w:val="22"/>
            <w:lang w:eastAsia="en-AU"/>
          </w:rPr>
          <w:tab/>
        </w:r>
        <w:r w:rsidR="008E1C5A" w:rsidRPr="00877A03">
          <w:rPr>
            <w:rStyle w:val="Hyperlink"/>
          </w:rPr>
          <w:t>Assessment by the Regulator</w:t>
        </w:r>
        <w:r w:rsidR="008E1C5A">
          <w:rPr>
            <w:webHidden/>
          </w:rPr>
          <w:tab/>
        </w:r>
        <w:r w:rsidR="008E1C5A">
          <w:rPr>
            <w:webHidden/>
          </w:rPr>
          <w:fldChar w:fldCharType="begin"/>
        </w:r>
        <w:r w:rsidR="008E1C5A">
          <w:rPr>
            <w:webHidden/>
          </w:rPr>
          <w:instrText xml:space="preserve"> PAGEREF _Toc469519488 \h </w:instrText>
        </w:r>
        <w:r w:rsidR="008E1C5A">
          <w:rPr>
            <w:webHidden/>
          </w:rPr>
        </w:r>
        <w:r w:rsidR="008E1C5A">
          <w:rPr>
            <w:webHidden/>
          </w:rPr>
          <w:fldChar w:fldCharType="separate"/>
        </w:r>
        <w:r w:rsidR="00EF1CDE">
          <w:rPr>
            <w:webHidden/>
          </w:rPr>
          <w:t>18</w:t>
        </w:r>
        <w:r w:rsidR="008E1C5A">
          <w:rPr>
            <w:webHidden/>
          </w:rPr>
          <w:fldChar w:fldCharType="end"/>
        </w:r>
      </w:hyperlink>
    </w:p>
    <w:p w14:paraId="56EF751A" w14:textId="73DF9738" w:rsidR="008E1C5A" w:rsidRDefault="00412743">
      <w:pPr>
        <w:pStyle w:val="TOC2"/>
        <w:rPr>
          <w:rFonts w:asciiTheme="minorHAnsi" w:eastAsiaTheme="minorEastAsia" w:hAnsiTheme="minorHAnsi" w:cstheme="minorBidi"/>
          <w:szCs w:val="22"/>
          <w:lang w:eastAsia="en-AU"/>
        </w:rPr>
      </w:pPr>
      <w:hyperlink w:anchor="_Toc469519489" w:history="1">
        <w:r w:rsidR="008E1C5A" w:rsidRPr="00877A03">
          <w:rPr>
            <w:rStyle w:val="Hyperlink"/>
          </w:rPr>
          <w:t>4.3</w:t>
        </w:r>
        <w:r w:rsidR="008E1C5A">
          <w:rPr>
            <w:rFonts w:asciiTheme="minorHAnsi" w:eastAsiaTheme="minorEastAsia" w:hAnsiTheme="minorHAnsi" w:cstheme="minorBidi"/>
            <w:szCs w:val="22"/>
            <w:lang w:eastAsia="en-AU"/>
          </w:rPr>
          <w:tab/>
        </w:r>
        <w:r w:rsidR="008E1C5A" w:rsidRPr="00877A03">
          <w:rPr>
            <w:rStyle w:val="Hyperlink"/>
          </w:rPr>
          <w:t>Information Required from the Service Provider</w:t>
        </w:r>
        <w:r w:rsidR="008E1C5A">
          <w:rPr>
            <w:webHidden/>
          </w:rPr>
          <w:tab/>
        </w:r>
        <w:r w:rsidR="008E1C5A">
          <w:rPr>
            <w:webHidden/>
          </w:rPr>
          <w:fldChar w:fldCharType="begin"/>
        </w:r>
        <w:r w:rsidR="008E1C5A">
          <w:rPr>
            <w:webHidden/>
          </w:rPr>
          <w:instrText xml:space="preserve"> PAGEREF _Toc469519489 \h </w:instrText>
        </w:r>
        <w:r w:rsidR="008E1C5A">
          <w:rPr>
            <w:webHidden/>
          </w:rPr>
        </w:r>
        <w:r w:rsidR="008E1C5A">
          <w:rPr>
            <w:webHidden/>
          </w:rPr>
          <w:fldChar w:fldCharType="separate"/>
        </w:r>
        <w:r w:rsidR="00EF1CDE">
          <w:rPr>
            <w:webHidden/>
          </w:rPr>
          <w:t>19</w:t>
        </w:r>
        <w:r w:rsidR="008E1C5A">
          <w:rPr>
            <w:webHidden/>
          </w:rPr>
          <w:fldChar w:fldCharType="end"/>
        </w:r>
      </w:hyperlink>
    </w:p>
    <w:p w14:paraId="3B6C5929" w14:textId="50750179" w:rsidR="008E1C5A" w:rsidRDefault="00412743">
      <w:pPr>
        <w:pStyle w:val="TOC2"/>
        <w:rPr>
          <w:rFonts w:asciiTheme="minorHAnsi" w:eastAsiaTheme="minorEastAsia" w:hAnsiTheme="minorHAnsi" w:cstheme="minorBidi"/>
          <w:szCs w:val="22"/>
          <w:lang w:eastAsia="en-AU"/>
        </w:rPr>
      </w:pPr>
      <w:hyperlink w:anchor="_Toc469519490" w:history="1">
        <w:r w:rsidR="008E1C5A" w:rsidRPr="00877A03">
          <w:rPr>
            <w:rStyle w:val="Hyperlink"/>
          </w:rPr>
          <w:t>4.4</w:t>
        </w:r>
        <w:r w:rsidR="008E1C5A">
          <w:rPr>
            <w:rFonts w:asciiTheme="minorHAnsi" w:eastAsiaTheme="minorEastAsia" w:hAnsiTheme="minorHAnsi" w:cstheme="minorBidi"/>
            <w:szCs w:val="22"/>
            <w:lang w:eastAsia="en-AU"/>
          </w:rPr>
          <w:tab/>
        </w:r>
        <w:r w:rsidR="008E1C5A" w:rsidRPr="00877A03">
          <w:rPr>
            <w:rStyle w:val="Hyperlink"/>
          </w:rPr>
          <w:t>Default Haulage Reference Tariffs for new Calendar Year t</w:t>
        </w:r>
        <w:r w:rsidR="008E1C5A">
          <w:rPr>
            <w:webHidden/>
          </w:rPr>
          <w:tab/>
        </w:r>
        <w:r w:rsidR="008E1C5A">
          <w:rPr>
            <w:webHidden/>
          </w:rPr>
          <w:fldChar w:fldCharType="begin"/>
        </w:r>
        <w:r w:rsidR="008E1C5A">
          <w:rPr>
            <w:webHidden/>
          </w:rPr>
          <w:instrText xml:space="preserve"> PAGEREF _Toc469519490 \h </w:instrText>
        </w:r>
        <w:r w:rsidR="008E1C5A">
          <w:rPr>
            <w:webHidden/>
          </w:rPr>
        </w:r>
        <w:r w:rsidR="008E1C5A">
          <w:rPr>
            <w:webHidden/>
          </w:rPr>
          <w:fldChar w:fldCharType="separate"/>
        </w:r>
        <w:r w:rsidR="00EF1CDE">
          <w:rPr>
            <w:webHidden/>
          </w:rPr>
          <w:t>19</w:t>
        </w:r>
        <w:r w:rsidR="008E1C5A">
          <w:rPr>
            <w:webHidden/>
          </w:rPr>
          <w:fldChar w:fldCharType="end"/>
        </w:r>
      </w:hyperlink>
    </w:p>
    <w:p w14:paraId="46A55741" w14:textId="599D0F0D" w:rsidR="008E1C5A" w:rsidRDefault="00412743">
      <w:pPr>
        <w:pStyle w:val="TOC1"/>
        <w:rPr>
          <w:rFonts w:asciiTheme="minorHAnsi" w:eastAsiaTheme="minorEastAsia" w:hAnsiTheme="minorHAnsi" w:cstheme="minorBidi"/>
          <w:b w:val="0"/>
          <w:szCs w:val="22"/>
          <w:lang w:eastAsia="en-AU"/>
        </w:rPr>
      </w:pPr>
      <w:hyperlink w:anchor="_Toc469519491" w:history="1">
        <w:r w:rsidR="008E1C5A" w:rsidRPr="00877A03">
          <w:rPr>
            <w:rStyle w:val="Hyperlink"/>
          </w:rPr>
          <w:t>5</w:t>
        </w:r>
        <w:r w:rsidR="008E1C5A">
          <w:rPr>
            <w:rFonts w:asciiTheme="minorHAnsi" w:eastAsiaTheme="minorEastAsia" w:hAnsiTheme="minorHAnsi" w:cstheme="minorBidi"/>
            <w:b w:val="0"/>
            <w:szCs w:val="22"/>
            <w:lang w:eastAsia="en-AU"/>
          </w:rPr>
          <w:tab/>
        </w:r>
        <w:r w:rsidR="008E1C5A" w:rsidRPr="00877A03">
          <w:rPr>
            <w:rStyle w:val="Hyperlink"/>
          </w:rPr>
          <w:t>Calculation of Charges for Haulage Reference Tariffs</w:t>
        </w:r>
        <w:r w:rsidR="008E1C5A">
          <w:rPr>
            <w:webHidden/>
          </w:rPr>
          <w:tab/>
        </w:r>
        <w:r w:rsidR="008E1C5A">
          <w:rPr>
            <w:webHidden/>
          </w:rPr>
          <w:fldChar w:fldCharType="begin"/>
        </w:r>
        <w:r w:rsidR="008E1C5A">
          <w:rPr>
            <w:webHidden/>
          </w:rPr>
          <w:instrText xml:space="preserve"> PAGEREF _Toc469519491 \h </w:instrText>
        </w:r>
        <w:r w:rsidR="008E1C5A">
          <w:rPr>
            <w:webHidden/>
          </w:rPr>
        </w:r>
        <w:r w:rsidR="008E1C5A">
          <w:rPr>
            <w:webHidden/>
          </w:rPr>
          <w:fldChar w:fldCharType="separate"/>
        </w:r>
        <w:r w:rsidR="00EF1CDE">
          <w:rPr>
            <w:webHidden/>
          </w:rPr>
          <w:t>20</w:t>
        </w:r>
        <w:r w:rsidR="008E1C5A">
          <w:rPr>
            <w:webHidden/>
          </w:rPr>
          <w:fldChar w:fldCharType="end"/>
        </w:r>
      </w:hyperlink>
    </w:p>
    <w:p w14:paraId="50113EE4" w14:textId="2325A960" w:rsidR="008E1C5A" w:rsidRDefault="00412743">
      <w:pPr>
        <w:pStyle w:val="TOC2"/>
        <w:rPr>
          <w:rFonts w:asciiTheme="minorHAnsi" w:eastAsiaTheme="minorEastAsia" w:hAnsiTheme="minorHAnsi" w:cstheme="minorBidi"/>
          <w:szCs w:val="22"/>
          <w:lang w:eastAsia="en-AU"/>
        </w:rPr>
      </w:pPr>
      <w:hyperlink w:anchor="_Toc469519492" w:history="1">
        <w:r w:rsidR="008E1C5A" w:rsidRPr="00877A03">
          <w:rPr>
            <w:rStyle w:val="Hyperlink"/>
          </w:rPr>
          <w:t>5.1</w:t>
        </w:r>
        <w:r w:rsidR="008E1C5A">
          <w:rPr>
            <w:rFonts w:asciiTheme="minorHAnsi" w:eastAsiaTheme="minorEastAsia" w:hAnsiTheme="minorHAnsi" w:cstheme="minorBidi"/>
            <w:szCs w:val="22"/>
            <w:lang w:eastAsia="en-AU"/>
          </w:rPr>
          <w:tab/>
        </w:r>
        <w:r w:rsidR="008E1C5A" w:rsidRPr="00877A03">
          <w:rPr>
            <w:rStyle w:val="Hyperlink"/>
          </w:rPr>
          <w:t>Distribution Fixed Tariff Components</w:t>
        </w:r>
        <w:r w:rsidR="008E1C5A">
          <w:rPr>
            <w:webHidden/>
          </w:rPr>
          <w:tab/>
        </w:r>
        <w:r w:rsidR="008E1C5A">
          <w:rPr>
            <w:webHidden/>
          </w:rPr>
          <w:fldChar w:fldCharType="begin"/>
        </w:r>
        <w:r w:rsidR="008E1C5A">
          <w:rPr>
            <w:webHidden/>
          </w:rPr>
          <w:instrText xml:space="preserve"> PAGEREF _Toc469519492 \h </w:instrText>
        </w:r>
        <w:r w:rsidR="008E1C5A">
          <w:rPr>
            <w:webHidden/>
          </w:rPr>
        </w:r>
        <w:r w:rsidR="008E1C5A">
          <w:rPr>
            <w:webHidden/>
          </w:rPr>
          <w:fldChar w:fldCharType="separate"/>
        </w:r>
        <w:r w:rsidR="00EF1CDE">
          <w:rPr>
            <w:webHidden/>
          </w:rPr>
          <w:t>20</w:t>
        </w:r>
        <w:r w:rsidR="008E1C5A">
          <w:rPr>
            <w:webHidden/>
          </w:rPr>
          <w:fldChar w:fldCharType="end"/>
        </w:r>
      </w:hyperlink>
    </w:p>
    <w:p w14:paraId="40A68858" w14:textId="7857E8AC" w:rsidR="008E1C5A" w:rsidRDefault="00412743">
      <w:pPr>
        <w:pStyle w:val="TOC2"/>
        <w:rPr>
          <w:rFonts w:asciiTheme="minorHAnsi" w:eastAsiaTheme="minorEastAsia" w:hAnsiTheme="minorHAnsi" w:cstheme="minorBidi"/>
          <w:szCs w:val="22"/>
          <w:lang w:eastAsia="en-AU"/>
        </w:rPr>
      </w:pPr>
      <w:hyperlink w:anchor="_Toc469519493" w:history="1">
        <w:r w:rsidR="008E1C5A" w:rsidRPr="00877A03">
          <w:rPr>
            <w:rStyle w:val="Hyperlink"/>
          </w:rPr>
          <w:t>5.2</w:t>
        </w:r>
        <w:r w:rsidR="008E1C5A">
          <w:rPr>
            <w:rFonts w:asciiTheme="minorHAnsi" w:eastAsiaTheme="minorEastAsia" w:hAnsiTheme="minorHAnsi" w:cstheme="minorBidi"/>
            <w:szCs w:val="22"/>
            <w:lang w:eastAsia="en-AU"/>
          </w:rPr>
          <w:tab/>
        </w:r>
        <w:r w:rsidR="008E1C5A" w:rsidRPr="00877A03">
          <w:rPr>
            <w:rStyle w:val="Hyperlink"/>
          </w:rPr>
          <w:t>Distribution Volume Tariff Components</w:t>
        </w:r>
        <w:r w:rsidR="008E1C5A">
          <w:rPr>
            <w:webHidden/>
          </w:rPr>
          <w:tab/>
        </w:r>
        <w:r w:rsidR="008E1C5A">
          <w:rPr>
            <w:webHidden/>
          </w:rPr>
          <w:fldChar w:fldCharType="begin"/>
        </w:r>
        <w:r w:rsidR="008E1C5A">
          <w:rPr>
            <w:webHidden/>
          </w:rPr>
          <w:instrText xml:space="preserve"> PAGEREF _Toc469519493 \h </w:instrText>
        </w:r>
        <w:r w:rsidR="008E1C5A">
          <w:rPr>
            <w:webHidden/>
          </w:rPr>
        </w:r>
        <w:r w:rsidR="008E1C5A">
          <w:rPr>
            <w:webHidden/>
          </w:rPr>
          <w:fldChar w:fldCharType="separate"/>
        </w:r>
        <w:r w:rsidR="00EF1CDE">
          <w:rPr>
            <w:webHidden/>
          </w:rPr>
          <w:t>20</w:t>
        </w:r>
        <w:r w:rsidR="008E1C5A">
          <w:rPr>
            <w:webHidden/>
          </w:rPr>
          <w:fldChar w:fldCharType="end"/>
        </w:r>
      </w:hyperlink>
    </w:p>
    <w:p w14:paraId="4FC977CD" w14:textId="33CED49E" w:rsidR="008E1C5A" w:rsidRDefault="00412743">
      <w:pPr>
        <w:pStyle w:val="TOC2"/>
        <w:rPr>
          <w:rFonts w:asciiTheme="minorHAnsi" w:eastAsiaTheme="minorEastAsia" w:hAnsiTheme="minorHAnsi" w:cstheme="minorBidi"/>
          <w:szCs w:val="22"/>
          <w:lang w:eastAsia="en-AU"/>
        </w:rPr>
      </w:pPr>
      <w:hyperlink w:anchor="_Toc469519494" w:history="1">
        <w:r w:rsidR="008E1C5A" w:rsidRPr="00877A03">
          <w:rPr>
            <w:rStyle w:val="Hyperlink"/>
          </w:rPr>
          <w:t>5.3</w:t>
        </w:r>
        <w:r w:rsidR="008E1C5A">
          <w:rPr>
            <w:rFonts w:asciiTheme="minorHAnsi" w:eastAsiaTheme="minorEastAsia" w:hAnsiTheme="minorHAnsi" w:cstheme="minorBidi"/>
            <w:szCs w:val="22"/>
            <w:lang w:eastAsia="en-AU"/>
          </w:rPr>
          <w:tab/>
        </w:r>
        <w:r w:rsidR="008E1C5A" w:rsidRPr="00877A03">
          <w:rPr>
            <w:rStyle w:val="Hyperlink"/>
          </w:rPr>
          <w:t>Distribution Demand Tariff Components</w:t>
        </w:r>
        <w:r w:rsidR="008E1C5A">
          <w:rPr>
            <w:webHidden/>
          </w:rPr>
          <w:tab/>
        </w:r>
        <w:r w:rsidR="008E1C5A">
          <w:rPr>
            <w:webHidden/>
          </w:rPr>
          <w:fldChar w:fldCharType="begin"/>
        </w:r>
        <w:r w:rsidR="008E1C5A">
          <w:rPr>
            <w:webHidden/>
          </w:rPr>
          <w:instrText xml:space="preserve"> PAGEREF _Toc469519494 \h </w:instrText>
        </w:r>
        <w:r w:rsidR="008E1C5A">
          <w:rPr>
            <w:webHidden/>
          </w:rPr>
        </w:r>
        <w:r w:rsidR="008E1C5A">
          <w:rPr>
            <w:webHidden/>
          </w:rPr>
          <w:fldChar w:fldCharType="separate"/>
        </w:r>
        <w:r w:rsidR="00EF1CDE">
          <w:rPr>
            <w:webHidden/>
          </w:rPr>
          <w:t>20</w:t>
        </w:r>
        <w:r w:rsidR="008E1C5A">
          <w:rPr>
            <w:webHidden/>
          </w:rPr>
          <w:fldChar w:fldCharType="end"/>
        </w:r>
      </w:hyperlink>
    </w:p>
    <w:p w14:paraId="7F05D985" w14:textId="6ECC1AA6" w:rsidR="008E1C5A" w:rsidRDefault="00412743">
      <w:pPr>
        <w:pStyle w:val="TOC2"/>
        <w:rPr>
          <w:rFonts w:asciiTheme="minorHAnsi" w:eastAsiaTheme="minorEastAsia" w:hAnsiTheme="minorHAnsi" w:cstheme="minorBidi"/>
          <w:szCs w:val="22"/>
          <w:lang w:eastAsia="en-AU"/>
        </w:rPr>
      </w:pPr>
      <w:hyperlink w:anchor="_Toc469519495" w:history="1">
        <w:r w:rsidR="008E1C5A" w:rsidRPr="00877A03">
          <w:rPr>
            <w:rStyle w:val="Hyperlink"/>
          </w:rPr>
          <w:t>5.4</w:t>
        </w:r>
        <w:r w:rsidR="008E1C5A">
          <w:rPr>
            <w:rFonts w:asciiTheme="minorHAnsi" w:eastAsiaTheme="minorEastAsia" w:hAnsiTheme="minorHAnsi" w:cstheme="minorBidi"/>
            <w:szCs w:val="22"/>
            <w:lang w:eastAsia="en-AU"/>
          </w:rPr>
          <w:tab/>
        </w:r>
        <w:r w:rsidR="008E1C5A" w:rsidRPr="00877A03">
          <w:rPr>
            <w:rStyle w:val="Hyperlink"/>
          </w:rPr>
          <w:t>Unmetered Haulage Reference Tariff Components</w:t>
        </w:r>
        <w:r w:rsidR="008E1C5A">
          <w:rPr>
            <w:webHidden/>
          </w:rPr>
          <w:tab/>
        </w:r>
        <w:r w:rsidR="008E1C5A">
          <w:rPr>
            <w:webHidden/>
          </w:rPr>
          <w:fldChar w:fldCharType="begin"/>
        </w:r>
        <w:r w:rsidR="008E1C5A">
          <w:rPr>
            <w:webHidden/>
          </w:rPr>
          <w:instrText xml:space="preserve"> PAGEREF _Toc469519495 \h </w:instrText>
        </w:r>
        <w:r w:rsidR="008E1C5A">
          <w:rPr>
            <w:webHidden/>
          </w:rPr>
        </w:r>
        <w:r w:rsidR="008E1C5A">
          <w:rPr>
            <w:webHidden/>
          </w:rPr>
          <w:fldChar w:fldCharType="separate"/>
        </w:r>
        <w:r w:rsidR="00EF1CDE">
          <w:rPr>
            <w:webHidden/>
          </w:rPr>
          <w:t>22</w:t>
        </w:r>
        <w:r w:rsidR="008E1C5A">
          <w:rPr>
            <w:webHidden/>
          </w:rPr>
          <w:fldChar w:fldCharType="end"/>
        </w:r>
      </w:hyperlink>
    </w:p>
    <w:p w14:paraId="1E76D2A8" w14:textId="298F82AB" w:rsidR="008E1C5A" w:rsidRDefault="00412743">
      <w:pPr>
        <w:pStyle w:val="TOC2"/>
        <w:rPr>
          <w:rFonts w:asciiTheme="minorHAnsi" w:eastAsiaTheme="minorEastAsia" w:hAnsiTheme="minorHAnsi" w:cstheme="minorBidi"/>
          <w:szCs w:val="22"/>
          <w:lang w:eastAsia="en-AU"/>
        </w:rPr>
      </w:pPr>
      <w:hyperlink w:anchor="_Toc469519496" w:history="1">
        <w:r w:rsidR="008E1C5A" w:rsidRPr="00877A03">
          <w:rPr>
            <w:rStyle w:val="Hyperlink"/>
          </w:rPr>
          <w:t>5.5</w:t>
        </w:r>
        <w:r w:rsidR="008E1C5A">
          <w:rPr>
            <w:rFonts w:asciiTheme="minorHAnsi" w:eastAsiaTheme="minorEastAsia" w:hAnsiTheme="minorHAnsi" w:cstheme="minorBidi"/>
            <w:szCs w:val="22"/>
            <w:lang w:eastAsia="en-AU"/>
          </w:rPr>
          <w:tab/>
        </w:r>
        <w:r w:rsidR="008E1C5A" w:rsidRPr="00877A03">
          <w:rPr>
            <w:rStyle w:val="Hyperlink"/>
          </w:rPr>
          <w:t>Natural Gas Extension Project Haulage Reference Tariffs</w:t>
        </w:r>
        <w:r w:rsidR="008E1C5A">
          <w:rPr>
            <w:webHidden/>
          </w:rPr>
          <w:tab/>
        </w:r>
        <w:r w:rsidR="008E1C5A">
          <w:rPr>
            <w:webHidden/>
          </w:rPr>
          <w:fldChar w:fldCharType="begin"/>
        </w:r>
        <w:r w:rsidR="008E1C5A">
          <w:rPr>
            <w:webHidden/>
          </w:rPr>
          <w:instrText xml:space="preserve"> PAGEREF _Toc469519496 \h </w:instrText>
        </w:r>
        <w:r w:rsidR="008E1C5A">
          <w:rPr>
            <w:webHidden/>
          </w:rPr>
        </w:r>
        <w:r w:rsidR="008E1C5A">
          <w:rPr>
            <w:webHidden/>
          </w:rPr>
          <w:fldChar w:fldCharType="separate"/>
        </w:r>
        <w:r w:rsidR="00EF1CDE">
          <w:rPr>
            <w:webHidden/>
          </w:rPr>
          <w:t>22</w:t>
        </w:r>
        <w:r w:rsidR="008E1C5A">
          <w:rPr>
            <w:webHidden/>
          </w:rPr>
          <w:fldChar w:fldCharType="end"/>
        </w:r>
      </w:hyperlink>
    </w:p>
    <w:p w14:paraId="4F7C3CF0" w14:textId="3F6CE5B0" w:rsidR="008E1C5A" w:rsidRDefault="00412743">
      <w:pPr>
        <w:pStyle w:val="TOC1"/>
        <w:rPr>
          <w:rFonts w:asciiTheme="minorHAnsi" w:eastAsiaTheme="minorEastAsia" w:hAnsiTheme="minorHAnsi" w:cstheme="minorBidi"/>
          <w:b w:val="0"/>
          <w:szCs w:val="22"/>
          <w:lang w:eastAsia="en-AU"/>
        </w:rPr>
      </w:pPr>
      <w:hyperlink w:anchor="_Toc469519497" w:history="1">
        <w:r w:rsidR="008E1C5A" w:rsidRPr="00877A03">
          <w:rPr>
            <w:rStyle w:val="Hyperlink"/>
          </w:rPr>
          <w:t>6</w:t>
        </w:r>
        <w:r w:rsidR="008E1C5A">
          <w:rPr>
            <w:rFonts w:asciiTheme="minorHAnsi" w:eastAsiaTheme="minorEastAsia" w:hAnsiTheme="minorHAnsi" w:cstheme="minorBidi"/>
            <w:b w:val="0"/>
            <w:szCs w:val="22"/>
            <w:lang w:eastAsia="en-AU"/>
          </w:rPr>
          <w:tab/>
        </w:r>
        <w:r w:rsidR="008E1C5A" w:rsidRPr="00877A03">
          <w:rPr>
            <w:rStyle w:val="Hyperlink"/>
          </w:rPr>
          <w:t>Reference Tariff Policy</w:t>
        </w:r>
        <w:r w:rsidR="008E1C5A">
          <w:rPr>
            <w:webHidden/>
          </w:rPr>
          <w:tab/>
        </w:r>
        <w:r w:rsidR="008E1C5A">
          <w:rPr>
            <w:webHidden/>
          </w:rPr>
          <w:fldChar w:fldCharType="begin"/>
        </w:r>
        <w:r w:rsidR="008E1C5A">
          <w:rPr>
            <w:webHidden/>
          </w:rPr>
          <w:instrText xml:space="preserve"> PAGEREF _Toc469519497 \h </w:instrText>
        </w:r>
        <w:r w:rsidR="008E1C5A">
          <w:rPr>
            <w:webHidden/>
          </w:rPr>
        </w:r>
        <w:r w:rsidR="008E1C5A">
          <w:rPr>
            <w:webHidden/>
          </w:rPr>
          <w:fldChar w:fldCharType="separate"/>
        </w:r>
        <w:r w:rsidR="00EF1CDE">
          <w:rPr>
            <w:webHidden/>
          </w:rPr>
          <w:t>22</w:t>
        </w:r>
        <w:r w:rsidR="008E1C5A">
          <w:rPr>
            <w:webHidden/>
          </w:rPr>
          <w:fldChar w:fldCharType="end"/>
        </w:r>
      </w:hyperlink>
    </w:p>
    <w:p w14:paraId="6C3AAF15" w14:textId="575D1255" w:rsidR="008E1C5A" w:rsidRDefault="00412743">
      <w:pPr>
        <w:pStyle w:val="TOC2"/>
        <w:rPr>
          <w:rFonts w:asciiTheme="minorHAnsi" w:eastAsiaTheme="minorEastAsia" w:hAnsiTheme="minorHAnsi" w:cstheme="minorBidi"/>
          <w:szCs w:val="22"/>
          <w:lang w:eastAsia="en-AU"/>
        </w:rPr>
      </w:pPr>
      <w:hyperlink w:anchor="_Toc469519498" w:history="1">
        <w:r w:rsidR="008E1C5A" w:rsidRPr="00877A03">
          <w:rPr>
            <w:rStyle w:val="Hyperlink"/>
          </w:rPr>
          <w:t>6.1</w:t>
        </w:r>
        <w:r w:rsidR="008E1C5A">
          <w:rPr>
            <w:rFonts w:asciiTheme="minorHAnsi" w:eastAsiaTheme="minorEastAsia" w:hAnsiTheme="minorHAnsi" w:cstheme="minorBidi"/>
            <w:szCs w:val="22"/>
            <w:lang w:eastAsia="en-AU"/>
          </w:rPr>
          <w:tab/>
        </w:r>
        <w:r w:rsidR="008E1C5A" w:rsidRPr="00877A03">
          <w:rPr>
            <w:rStyle w:val="Hyperlink"/>
          </w:rPr>
          <w:t>CPI - X Price Path</w:t>
        </w:r>
        <w:r w:rsidR="008E1C5A">
          <w:rPr>
            <w:webHidden/>
          </w:rPr>
          <w:tab/>
        </w:r>
        <w:r w:rsidR="008E1C5A">
          <w:rPr>
            <w:webHidden/>
          </w:rPr>
          <w:fldChar w:fldCharType="begin"/>
        </w:r>
        <w:r w:rsidR="008E1C5A">
          <w:rPr>
            <w:webHidden/>
          </w:rPr>
          <w:instrText xml:space="preserve"> PAGEREF _Toc469519498 \h </w:instrText>
        </w:r>
        <w:r w:rsidR="008E1C5A">
          <w:rPr>
            <w:webHidden/>
          </w:rPr>
        </w:r>
        <w:r w:rsidR="008E1C5A">
          <w:rPr>
            <w:webHidden/>
          </w:rPr>
          <w:fldChar w:fldCharType="separate"/>
        </w:r>
        <w:r w:rsidR="00EF1CDE">
          <w:rPr>
            <w:webHidden/>
          </w:rPr>
          <w:t>22</w:t>
        </w:r>
        <w:r w:rsidR="008E1C5A">
          <w:rPr>
            <w:webHidden/>
          </w:rPr>
          <w:fldChar w:fldCharType="end"/>
        </w:r>
      </w:hyperlink>
    </w:p>
    <w:p w14:paraId="225BA80D" w14:textId="7F22E156" w:rsidR="008E1C5A" w:rsidRDefault="00412743">
      <w:pPr>
        <w:pStyle w:val="TOC2"/>
        <w:rPr>
          <w:rFonts w:asciiTheme="minorHAnsi" w:eastAsiaTheme="minorEastAsia" w:hAnsiTheme="minorHAnsi" w:cstheme="minorBidi"/>
          <w:szCs w:val="22"/>
          <w:lang w:eastAsia="en-AU"/>
        </w:rPr>
      </w:pPr>
      <w:hyperlink w:anchor="_Toc469519499" w:history="1">
        <w:r w:rsidR="008E1C5A" w:rsidRPr="00877A03">
          <w:rPr>
            <w:rStyle w:val="Hyperlink"/>
          </w:rPr>
          <w:t>6.2</w:t>
        </w:r>
        <w:r w:rsidR="008E1C5A">
          <w:rPr>
            <w:rFonts w:asciiTheme="minorHAnsi" w:eastAsiaTheme="minorEastAsia" w:hAnsiTheme="minorHAnsi" w:cstheme="minorBidi"/>
            <w:szCs w:val="22"/>
            <w:lang w:eastAsia="en-AU"/>
          </w:rPr>
          <w:tab/>
        </w:r>
        <w:r w:rsidR="008E1C5A" w:rsidRPr="00877A03">
          <w:rPr>
            <w:rStyle w:val="Hyperlink"/>
          </w:rPr>
          <w:t>New Facilities Investment</w:t>
        </w:r>
        <w:r w:rsidR="008E1C5A">
          <w:rPr>
            <w:webHidden/>
          </w:rPr>
          <w:tab/>
        </w:r>
        <w:r w:rsidR="008E1C5A">
          <w:rPr>
            <w:webHidden/>
          </w:rPr>
          <w:fldChar w:fldCharType="begin"/>
        </w:r>
        <w:r w:rsidR="008E1C5A">
          <w:rPr>
            <w:webHidden/>
          </w:rPr>
          <w:instrText xml:space="preserve"> PAGEREF _Toc469519499 \h </w:instrText>
        </w:r>
        <w:r w:rsidR="008E1C5A">
          <w:rPr>
            <w:webHidden/>
          </w:rPr>
        </w:r>
        <w:r w:rsidR="008E1C5A">
          <w:rPr>
            <w:webHidden/>
          </w:rPr>
          <w:fldChar w:fldCharType="separate"/>
        </w:r>
        <w:r w:rsidR="00EF1CDE">
          <w:rPr>
            <w:webHidden/>
          </w:rPr>
          <w:t>22</w:t>
        </w:r>
        <w:r w:rsidR="008E1C5A">
          <w:rPr>
            <w:webHidden/>
          </w:rPr>
          <w:fldChar w:fldCharType="end"/>
        </w:r>
      </w:hyperlink>
    </w:p>
    <w:p w14:paraId="314AB219" w14:textId="3B63D66C" w:rsidR="008E1C5A" w:rsidRDefault="00412743">
      <w:pPr>
        <w:pStyle w:val="TOC2"/>
        <w:rPr>
          <w:rFonts w:asciiTheme="minorHAnsi" w:eastAsiaTheme="minorEastAsia" w:hAnsiTheme="minorHAnsi" w:cstheme="minorBidi"/>
          <w:szCs w:val="22"/>
          <w:lang w:eastAsia="en-AU"/>
        </w:rPr>
      </w:pPr>
      <w:hyperlink w:anchor="_Toc469519500" w:history="1">
        <w:r w:rsidR="008E1C5A" w:rsidRPr="00877A03">
          <w:rPr>
            <w:rStyle w:val="Hyperlink"/>
          </w:rPr>
          <w:t>6.3</w:t>
        </w:r>
        <w:r w:rsidR="008E1C5A">
          <w:rPr>
            <w:rFonts w:asciiTheme="minorHAnsi" w:eastAsiaTheme="minorEastAsia" w:hAnsiTheme="minorHAnsi" w:cstheme="minorBidi"/>
            <w:szCs w:val="22"/>
            <w:lang w:eastAsia="en-AU"/>
          </w:rPr>
          <w:tab/>
        </w:r>
        <w:r w:rsidR="008E1C5A" w:rsidRPr="00877A03">
          <w:rPr>
            <w:rStyle w:val="Hyperlink"/>
          </w:rPr>
          <w:t>Speculative Capital Expenditure Account</w:t>
        </w:r>
        <w:r w:rsidR="008E1C5A">
          <w:rPr>
            <w:webHidden/>
          </w:rPr>
          <w:tab/>
        </w:r>
        <w:r w:rsidR="008E1C5A">
          <w:rPr>
            <w:webHidden/>
          </w:rPr>
          <w:fldChar w:fldCharType="begin"/>
        </w:r>
        <w:r w:rsidR="008E1C5A">
          <w:rPr>
            <w:webHidden/>
          </w:rPr>
          <w:instrText xml:space="preserve"> PAGEREF _Toc469519500 \h </w:instrText>
        </w:r>
        <w:r w:rsidR="008E1C5A">
          <w:rPr>
            <w:webHidden/>
          </w:rPr>
        </w:r>
        <w:r w:rsidR="008E1C5A">
          <w:rPr>
            <w:webHidden/>
          </w:rPr>
          <w:fldChar w:fldCharType="separate"/>
        </w:r>
        <w:r w:rsidR="00EF1CDE">
          <w:rPr>
            <w:webHidden/>
          </w:rPr>
          <w:t>22</w:t>
        </w:r>
        <w:r w:rsidR="008E1C5A">
          <w:rPr>
            <w:webHidden/>
          </w:rPr>
          <w:fldChar w:fldCharType="end"/>
        </w:r>
      </w:hyperlink>
    </w:p>
    <w:p w14:paraId="199F257A" w14:textId="4372BFA9" w:rsidR="008E1C5A" w:rsidRDefault="00412743">
      <w:pPr>
        <w:pStyle w:val="TOC2"/>
        <w:rPr>
          <w:rFonts w:asciiTheme="minorHAnsi" w:eastAsiaTheme="minorEastAsia" w:hAnsiTheme="minorHAnsi" w:cstheme="minorBidi"/>
          <w:szCs w:val="22"/>
          <w:lang w:eastAsia="en-AU"/>
        </w:rPr>
      </w:pPr>
      <w:hyperlink w:anchor="_Toc469519501" w:history="1">
        <w:r w:rsidR="008E1C5A" w:rsidRPr="00877A03">
          <w:rPr>
            <w:rStyle w:val="Hyperlink"/>
          </w:rPr>
          <w:t>6.4</w:t>
        </w:r>
        <w:r w:rsidR="008E1C5A">
          <w:rPr>
            <w:rFonts w:asciiTheme="minorHAnsi" w:eastAsiaTheme="minorEastAsia" w:hAnsiTheme="minorHAnsi" w:cstheme="minorBidi"/>
            <w:szCs w:val="22"/>
            <w:lang w:eastAsia="en-AU"/>
          </w:rPr>
          <w:tab/>
        </w:r>
        <w:r w:rsidR="008E1C5A" w:rsidRPr="00877A03">
          <w:rPr>
            <w:rStyle w:val="Hyperlink"/>
          </w:rPr>
          <w:t>Incentive Mechanisms</w:t>
        </w:r>
        <w:r w:rsidR="008E1C5A">
          <w:rPr>
            <w:webHidden/>
          </w:rPr>
          <w:tab/>
        </w:r>
        <w:r w:rsidR="008E1C5A">
          <w:rPr>
            <w:webHidden/>
          </w:rPr>
          <w:fldChar w:fldCharType="begin"/>
        </w:r>
        <w:r w:rsidR="008E1C5A">
          <w:rPr>
            <w:webHidden/>
          </w:rPr>
          <w:instrText xml:space="preserve"> PAGEREF _Toc469519501 \h </w:instrText>
        </w:r>
        <w:r w:rsidR="008E1C5A">
          <w:rPr>
            <w:webHidden/>
          </w:rPr>
        </w:r>
        <w:r w:rsidR="008E1C5A">
          <w:rPr>
            <w:webHidden/>
          </w:rPr>
          <w:fldChar w:fldCharType="separate"/>
        </w:r>
        <w:r w:rsidR="00EF1CDE">
          <w:rPr>
            <w:webHidden/>
          </w:rPr>
          <w:t>22</w:t>
        </w:r>
        <w:r w:rsidR="008E1C5A">
          <w:rPr>
            <w:webHidden/>
          </w:rPr>
          <w:fldChar w:fldCharType="end"/>
        </w:r>
      </w:hyperlink>
    </w:p>
    <w:p w14:paraId="096D7C3C" w14:textId="51D9958A" w:rsidR="008E1C5A" w:rsidRDefault="00412743">
      <w:pPr>
        <w:pStyle w:val="TOC3"/>
        <w:rPr>
          <w:rFonts w:asciiTheme="minorHAnsi" w:eastAsiaTheme="minorEastAsia" w:hAnsiTheme="minorHAnsi" w:cstheme="minorBidi"/>
          <w:noProof/>
          <w:spacing w:val="0"/>
          <w:szCs w:val="22"/>
          <w:lang w:eastAsia="en-AU"/>
        </w:rPr>
      </w:pPr>
      <w:hyperlink w:anchor="_Toc469519502" w:history="1">
        <w:r w:rsidR="008E1C5A" w:rsidRPr="00877A03">
          <w:rPr>
            <w:rStyle w:val="Hyperlink"/>
            <w:noProof/>
          </w:rPr>
          <w:t>6.4.1</w:t>
        </w:r>
        <w:r w:rsidR="008E1C5A">
          <w:rPr>
            <w:rFonts w:asciiTheme="minorHAnsi" w:eastAsiaTheme="minorEastAsia" w:hAnsiTheme="minorHAnsi" w:cstheme="minorBidi"/>
            <w:noProof/>
            <w:spacing w:val="0"/>
            <w:szCs w:val="22"/>
            <w:lang w:eastAsia="en-AU"/>
          </w:rPr>
          <w:tab/>
        </w:r>
        <w:r w:rsidR="008E1C5A" w:rsidRPr="00877A03">
          <w:rPr>
            <w:rStyle w:val="Hyperlink"/>
            <w:noProof/>
          </w:rPr>
          <w:t>General principles</w:t>
        </w:r>
        <w:r w:rsidR="008E1C5A">
          <w:rPr>
            <w:noProof/>
            <w:webHidden/>
          </w:rPr>
          <w:tab/>
        </w:r>
        <w:r w:rsidR="008E1C5A">
          <w:rPr>
            <w:noProof/>
            <w:webHidden/>
          </w:rPr>
          <w:fldChar w:fldCharType="begin"/>
        </w:r>
        <w:r w:rsidR="008E1C5A">
          <w:rPr>
            <w:noProof/>
            <w:webHidden/>
          </w:rPr>
          <w:instrText xml:space="preserve"> PAGEREF _Toc469519502 \h </w:instrText>
        </w:r>
        <w:r w:rsidR="008E1C5A">
          <w:rPr>
            <w:noProof/>
            <w:webHidden/>
          </w:rPr>
        </w:r>
        <w:r w:rsidR="008E1C5A">
          <w:rPr>
            <w:noProof/>
            <w:webHidden/>
          </w:rPr>
          <w:fldChar w:fldCharType="separate"/>
        </w:r>
        <w:r w:rsidR="00EF1CDE">
          <w:rPr>
            <w:noProof/>
            <w:webHidden/>
          </w:rPr>
          <w:t>23</w:t>
        </w:r>
        <w:r w:rsidR="008E1C5A">
          <w:rPr>
            <w:noProof/>
            <w:webHidden/>
          </w:rPr>
          <w:fldChar w:fldCharType="end"/>
        </w:r>
      </w:hyperlink>
    </w:p>
    <w:p w14:paraId="4843C524" w14:textId="06183DE7" w:rsidR="008E1C5A" w:rsidRDefault="00412743">
      <w:pPr>
        <w:pStyle w:val="TOC3"/>
        <w:rPr>
          <w:rFonts w:asciiTheme="minorHAnsi" w:eastAsiaTheme="minorEastAsia" w:hAnsiTheme="minorHAnsi" w:cstheme="minorBidi"/>
          <w:noProof/>
          <w:spacing w:val="0"/>
          <w:szCs w:val="22"/>
          <w:lang w:eastAsia="en-AU"/>
        </w:rPr>
      </w:pPr>
      <w:hyperlink w:anchor="_Toc469519503" w:history="1">
        <w:r w:rsidR="008E1C5A" w:rsidRPr="00877A03">
          <w:rPr>
            <w:rStyle w:val="Hyperlink"/>
            <w:noProof/>
          </w:rPr>
          <w:t>6.4.2</w:t>
        </w:r>
        <w:r w:rsidR="008E1C5A">
          <w:rPr>
            <w:rFonts w:asciiTheme="minorHAnsi" w:eastAsiaTheme="minorEastAsia" w:hAnsiTheme="minorHAnsi" w:cstheme="minorBidi"/>
            <w:noProof/>
            <w:spacing w:val="0"/>
            <w:szCs w:val="22"/>
            <w:lang w:eastAsia="en-AU"/>
          </w:rPr>
          <w:tab/>
        </w:r>
        <w:r w:rsidR="008E1C5A" w:rsidRPr="00877A03">
          <w:rPr>
            <w:rStyle w:val="Hyperlink"/>
            <w:noProof/>
          </w:rPr>
          <w:t>Operating Expenditure Incentive Mechanism</w:t>
        </w:r>
        <w:r w:rsidR="008E1C5A">
          <w:rPr>
            <w:noProof/>
            <w:webHidden/>
          </w:rPr>
          <w:tab/>
        </w:r>
        <w:r w:rsidR="008E1C5A">
          <w:rPr>
            <w:noProof/>
            <w:webHidden/>
          </w:rPr>
          <w:fldChar w:fldCharType="begin"/>
        </w:r>
        <w:r w:rsidR="008E1C5A">
          <w:rPr>
            <w:noProof/>
            <w:webHidden/>
          </w:rPr>
          <w:instrText xml:space="preserve"> PAGEREF _Toc469519503 \h </w:instrText>
        </w:r>
        <w:r w:rsidR="008E1C5A">
          <w:rPr>
            <w:noProof/>
            <w:webHidden/>
          </w:rPr>
        </w:r>
        <w:r w:rsidR="008E1C5A">
          <w:rPr>
            <w:noProof/>
            <w:webHidden/>
          </w:rPr>
          <w:fldChar w:fldCharType="separate"/>
        </w:r>
        <w:r w:rsidR="00EF1CDE">
          <w:rPr>
            <w:noProof/>
            <w:webHidden/>
          </w:rPr>
          <w:t>23</w:t>
        </w:r>
        <w:r w:rsidR="008E1C5A">
          <w:rPr>
            <w:noProof/>
            <w:webHidden/>
          </w:rPr>
          <w:fldChar w:fldCharType="end"/>
        </w:r>
      </w:hyperlink>
    </w:p>
    <w:p w14:paraId="6AEECA85" w14:textId="33D335D0" w:rsidR="008E1C5A" w:rsidRDefault="00412743">
      <w:pPr>
        <w:pStyle w:val="TOC3"/>
        <w:rPr>
          <w:rFonts w:asciiTheme="minorHAnsi" w:eastAsiaTheme="minorEastAsia" w:hAnsiTheme="minorHAnsi" w:cstheme="minorBidi"/>
          <w:noProof/>
          <w:spacing w:val="0"/>
          <w:szCs w:val="22"/>
          <w:lang w:eastAsia="en-AU"/>
        </w:rPr>
      </w:pPr>
      <w:hyperlink w:anchor="_Toc469519504" w:history="1">
        <w:r w:rsidR="008E1C5A" w:rsidRPr="00877A03">
          <w:rPr>
            <w:rStyle w:val="Hyperlink"/>
            <w:noProof/>
          </w:rPr>
          <w:t>6.4.3</w:t>
        </w:r>
        <w:r w:rsidR="008E1C5A">
          <w:rPr>
            <w:rFonts w:asciiTheme="minorHAnsi" w:eastAsiaTheme="minorEastAsia" w:hAnsiTheme="minorHAnsi" w:cstheme="minorBidi"/>
            <w:noProof/>
            <w:spacing w:val="0"/>
            <w:szCs w:val="22"/>
            <w:lang w:eastAsia="en-AU"/>
          </w:rPr>
          <w:tab/>
        </w:r>
        <w:r w:rsidR="008E1C5A" w:rsidRPr="00877A03">
          <w:rPr>
            <w:rStyle w:val="Hyperlink"/>
            <w:noProof/>
          </w:rPr>
          <w:t>Capital Expenditure Incentive Mechanism</w:t>
        </w:r>
        <w:r w:rsidR="008E1C5A">
          <w:rPr>
            <w:noProof/>
            <w:webHidden/>
          </w:rPr>
          <w:tab/>
        </w:r>
        <w:r w:rsidR="008E1C5A">
          <w:rPr>
            <w:noProof/>
            <w:webHidden/>
          </w:rPr>
          <w:fldChar w:fldCharType="begin"/>
        </w:r>
        <w:r w:rsidR="008E1C5A">
          <w:rPr>
            <w:noProof/>
            <w:webHidden/>
          </w:rPr>
          <w:instrText xml:space="preserve"> PAGEREF _Toc469519504 \h </w:instrText>
        </w:r>
        <w:r w:rsidR="008E1C5A">
          <w:rPr>
            <w:noProof/>
            <w:webHidden/>
          </w:rPr>
        </w:r>
        <w:r w:rsidR="008E1C5A">
          <w:rPr>
            <w:noProof/>
            <w:webHidden/>
          </w:rPr>
          <w:fldChar w:fldCharType="separate"/>
        </w:r>
        <w:r w:rsidR="00EF1CDE">
          <w:rPr>
            <w:noProof/>
            <w:webHidden/>
          </w:rPr>
          <w:t>25</w:t>
        </w:r>
        <w:r w:rsidR="008E1C5A">
          <w:rPr>
            <w:noProof/>
            <w:webHidden/>
          </w:rPr>
          <w:fldChar w:fldCharType="end"/>
        </w:r>
      </w:hyperlink>
    </w:p>
    <w:p w14:paraId="65DC455A" w14:textId="28726145" w:rsidR="008E1C5A" w:rsidRDefault="00412743">
      <w:pPr>
        <w:pStyle w:val="TOC3"/>
        <w:rPr>
          <w:rFonts w:asciiTheme="minorHAnsi" w:eastAsiaTheme="minorEastAsia" w:hAnsiTheme="minorHAnsi" w:cstheme="minorBidi"/>
          <w:noProof/>
          <w:spacing w:val="0"/>
          <w:szCs w:val="22"/>
          <w:lang w:eastAsia="en-AU"/>
        </w:rPr>
      </w:pPr>
      <w:hyperlink w:anchor="_Toc469519505" w:history="1">
        <w:r w:rsidR="008E1C5A" w:rsidRPr="00877A03">
          <w:rPr>
            <w:rStyle w:val="Hyperlink"/>
            <w:noProof/>
          </w:rPr>
          <w:t>6.4.4</w:t>
        </w:r>
        <w:r w:rsidR="008E1C5A">
          <w:rPr>
            <w:rFonts w:asciiTheme="minorHAnsi" w:eastAsiaTheme="minorEastAsia" w:hAnsiTheme="minorHAnsi" w:cstheme="minorBidi"/>
            <w:noProof/>
            <w:spacing w:val="0"/>
            <w:szCs w:val="22"/>
            <w:lang w:eastAsia="en-AU"/>
          </w:rPr>
          <w:tab/>
        </w:r>
        <w:r w:rsidR="008E1C5A" w:rsidRPr="00877A03">
          <w:rPr>
            <w:rStyle w:val="Hyperlink"/>
            <w:noProof/>
          </w:rPr>
          <w:t>Network Innovation Scheme</w:t>
        </w:r>
        <w:r w:rsidR="008E1C5A">
          <w:rPr>
            <w:noProof/>
            <w:webHidden/>
          </w:rPr>
          <w:tab/>
        </w:r>
        <w:r w:rsidR="008E1C5A">
          <w:rPr>
            <w:noProof/>
            <w:webHidden/>
          </w:rPr>
          <w:fldChar w:fldCharType="begin"/>
        </w:r>
        <w:r w:rsidR="008E1C5A">
          <w:rPr>
            <w:noProof/>
            <w:webHidden/>
          </w:rPr>
          <w:instrText xml:space="preserve"> PAGEREF _Toc469519505 \h </w:instrText>
        </w:r>
        <w:r w:rsidR="008E1C5A">
          <w:rPr>
            <w:noProof/>
            <w:webHidden/>
          </w:rPr>
        </w:r>
        <w:r w:rsidR="008E1C5A">
          <w:rPr>
            <w:noProof/>
            <w:webHidden/>
          </w:rPr>
          <w:fldChar w:fldCharType="separate"/>
        </w:r>
        <w:r w:rsidR="00EF1CDE">
          <w:rPr>
            <w:noProof/>
            <w:webHidden/>
          </w:rPr>
          <w:t>27</w:t>
        </w:r>
        <w:r w:rsidR="008E1C5A">
          <w:rPr>
            <w:noProof/>
            <w:webHidden/>
          </w:rPr>
          <w:fldChar w:fldCharType="end"/>
        </w:r>
      </w:hyperlink>
    </w:p>
    <w:p w14:paraId="4E5D8368" w14:textId="743E84F0" w:rsidR="008E1C5A" w:rsidRDefault="00412743">
      <w:pPr>
        <w:pStyle w:val="TOC1"/>
        <w:rPr>
          <w:rFonts w:asciiTheme="minorHAnsi" w:eastAsiaTheme="minorEastAsia" w:hAnsiTheme="minorHAnsi" w:cstheme="minorBidi"/>
          <w:b w:val="0"/>
          <w:szCs w:val="22"/>
          <w:lang w:eastAsia="en-AU"/>
        </w:rPr>
      </w:pPr>
      <w:hyperlink w:anchor="_Toc469519506" w:history="1">
        <w:r w:rsidR="008E1C5A" w:rsidRPr="00877A03">
          <w:rPr>
            <w:rStyle w:val="Hyperlink"/>
          </w:rPr>
          <w:t>7</w:t>
        </w:r>
        <w:r w:rsidR="008E1C5A">
          <w:rPr>
            <w:rFonts w:asciiTheme="minorHAnsi" w:eastAsiaTheme="minorEastAsia" w:hAnsiTheme="minorHAnsi" w:cstheme="minorBidi"/>
            <w:b w:val="0"/>
            <w:szCs w:val="22"/>
            <w:lang w:eastAsia="en-AU"/>
          </w:rPr>
          <w:tab/>
        </w:r>
        <w:r w:rsidR="008E1C5A" w:rsidRPr="00877A03">
          <w:rPr>
            <w:rStyle w:val="Hyperlink"/>
          </w:rPr>
          <w:t>Fixed Principles</w:t>
        </w:r>
        <w:r w:rsidR="008E1C5A">
          <w:rPr>
            <w:webHidden/>
          </w:rPr>
          <w:tab/>
        </w:r>
        <w:r w:rsidR="008E1C5A">
          <w:rPr>
            <w:webHidden/>
          </w:rPr>
          <w:fldChar w:fldCharType="begin"/>
        </w:r>
        <w:r w:rsidR="008E1C5A">
          <w:rPr>
            <w:webHidden/>
          </w:rPr>
          <w:instrText xml:space="preserve"> PAGEREF _Toc469519506 \h </w:instrText>
        </w:r>
        <w:r w:rsidR="008E1C5A">
          <w:rPr>
            <w:webHidden/>
          </w:rPr>
        </w:r>
        <w:r w:rsidR="008E1C5A">
          <w:rPr>
            <w:webHidden/>
          </w:rPr>
          <w:fldChar w:fldCharType="separate"/>
        </w:r>
        <w:r w:rsidR="00EF1CDE">
          <w:rPr>
            <w:webHidden/>
          </w:rPr>
          <w:t>28</w:t>
        </w:r>
        <w:r w:rsidR="008E1C5A">
          <w:rPr>
            <w:webHidden/>
          </w:rPr>
          <w:fldChar w:fldCharType="end"/>
        </w:r>
      </w:hyperlink>
    </w:p>
    <w:p w14:paraId="74871454" w14:textId="24C95EBD" w:rsidR="008E1C5A" w:rsidRDefault="00412743">
      <w:pPr>
        <w:pStyle w:val="TOC2"/>
        <w:rPr>
          <w:rFonts w:asciiTheme="minorHAnsi" w:eastAsiaTheme="minorEastAsia" w:hAnsiTheme="minorHAnsi" w:cstheme="minorBidi"/>
          <w:szCs w:val="22"/>
          <w:lang w:eastAsia="en-AU"/>
        </w:rPr>
      </w:pPr>
      <w:hyperlink w:anchor="_Toc469519507" w:history="1">
        <w:r w:rsidR="008E1C5A" w:rsidRPr="00877A03">
          <w:rPr>
            <w:rStyle w:val="Hyperlink"/>
          </w:rPr>
          <w:t>7.1</w:t>
        </w:r>
        <w:r w:rsidR="008E1C5A">
          <w:rPr>
            <w:rFonts w:asciiTheme="minorHAnsi" w:eastAsiaTheme="minorEastAsia" w:hAnsiTheme="minorHAnsi" w:cstheme="minorBidi"/>
            <w:szCs w:val="22"/>
            <w:lang w:eastAsia="en-AU"/>
          </w:rPr>
          <w:tab/>
        </w:r>
        <w:r w:rsidR="008E1C5A" w:rsidRPr="00877A03">
          <w:rPr>
            <w:rStyle w:val="Hyperlink"/>
          </w:rPr>
          <w:t>General</w:t>
        </w:r>
        <w:r w:rsidR="008E1C5A">
          <w:rPr>
            <w:webHidden/>
          </w:rPr>
          <w:tab/>
        </w:r>
        <w:r w:rsidR="008E1C5A">
          <w:rPr>
            <w:webHidden/>
          </w:rPr>
          <w:fldChar w:fldCharType="begin"/>
        </w:r>
        <w:r w:rsidR="008E1C5A">
          <w:rPr>
            <w:webHidden/>
          </w:rPr>
          <w:instrText xml:space="preserve"> PAGEREF _Toc469519507 \h </w:instrText>
        </w:r>
        <w:r w:rsidR="008E1C5A">
          <w:rPr>
            <w:webHidden/>
          </w:rPr>
        </w:r>
        <w:r w:rsidR="008E1C5A">
          <w:rPr>
            <w:webHidden/>
          </w:rPr>
          <w:fldChar w:fldCharType="separate"/>
        </w:r>
        <w:r w:rsidR="00EF1CDE">
          <w:rPr>
            <w:webHidden/>
          </w:rPr>
          <w:t>28</w:t>
        </w:r>
        <w:r w:rsidR="008E1C5A">
          <w:rPr>
            <w:webHidden/>
          </w:rPr>
          <w:fldChar w:fldCharType="end"/>
        </w:r>
      </w:hyperlink>
    </w:p>
    <w:p w14:paraId="7D23DBC3" w14:textId="40C81095" w:rsidR="008E1C5A" w:rsidRDefault="00412743">
      <w:pPr>
        <w:pStyle w:val="TOC2"/>
        <w:rPr>
          <w:rFonts w:asciiTheme="minorHAnsi" w:eastAsiaTheme="minorEastAsia" w:hAnsiTheme="minorHAnsi" w:cstheme="minorBidi"/>
          <w:szCs w:val="22"/>
          <w:lang w:eastAsia="en-AU"/>
        </w:rPr>
      </w:pPr>
      <w:hyperlink w:anchor="_Toc469519508" w:history="1">
        <w:r w:rsidR="008E1C5A" w:rsidRPr="00877A03">
          <w:rPr>
            <w:rStyle w:val="Hyperlink"/>
          </w:rPr>
          <w:t>7.2</w:t>
        </w:r>
        <w:r w:rsidR="008E1C5A">
          <w:rPr>
            <w:rFonts w:asciiTheme="minorHAnsi" w:eastAsiaTheme="minorEastAsia" w:hAnsiTheme="minorHAnsi" w:cstheme="minorBidi"/>
            <w:szCs w:val="22"/>
            <w:lang w:eastAsia="en-AU"/>
          </w:rPr>
          <w:tab/>
        </w:r>
        <w:r w:rsidR="008E1C5A" w:rsidRPr="00877A03">
          <w:rPr>
            <w:rStyle w:val="Hyperlink"/>
          </w:rPr>
          <w:t>Adoption of Fixed Principles</w:t>
        </w:r>
        <w:r w:rsidR="008E1C5A">
          <w:rPr>
            <w:webHidden/>
          </w:rPr>
          <w:tab/>
        </w:r>
        <w:r w:rsidR="008E1C5A">
          <w:rPr>
            <w:webHidden/>
          </w:rPr>
          <w:fldChar w:fldCharType="begin"/>
        </w:r>
        <w:r w:rsidR="008E1C5A">
          <w:rPr>
            <w:webHidden/>
          </w:rPr>
          <w:instrText xml:space="preserve"> PAGEREF _Toc469519508 \h </w:instrText>
        </w:r>
        <w:r w:rsidR="008E1C5A">
          <w:rPr>
            <w:webHidden/>
          </w:rPr>
        </w:r>
        <w:r w:rsidR="008E1C5A">
          <w:rPr>
            <w:webHidden/>
          </w:rPr>
          <w:fldChar w:fldCharType="separate"/>
        </w:r>
        <w:r w:rsidR="00EF1CDE">
          <w:rPr>
            <w:webHidden/>
          </w:rPr>
          <w:t>28</w:t>
        </w:r>
        <w:r w:rsidR="008E1C5A">
          <w:rPr>
            <w:webHidden/>
          </w:rPr>
          <w:fldChar w:fldCharType="end"/>
        </w:r>
      </w:hyperlink>
    </w:p>
    <w:p w14:paraId="63B2D4C7" w14:textId="2FEDCBE1" w:rsidR="008E1C5A" w:rsidRDefault="00412743">
      <w:pPr>
        <w:pStyle w:val="TOC1"/>
        <w:rPr>
          <w:rFonts w:asciiTheme="minorHAnsi" w:eastAsiaTheme="minorEastAsia" w:hAnsiTheme="minorHAnsi" w:cstheme="minorBidi"/>
          <w:b w:val="0"/>
          <w:szCs w:val="22"/>
          <w:lang w:eastAsia="en-AU"/>
        </w:rPr>
      </w:pPr>
      <w:hyperlink w:anchor="_Toc469519509" w:history="1">
        <w:r w:rsidR="008E1C5A" w:rsidRPr="00877A03">
          <w:rPr>
            <w:rStyle w:val="Hyperlink"/>
          </w:rPr>
          <w:t>8</w:t>
        </w:r>
        <w:r w:rsidR="008E1C5A">
          <w:rPr>
            <w:rFonts w:asciiTheme="minorHAnsi" w:eastAsiaTheme="minorEastAsia" w:hAnsiTheme="minorHAnsi" w:cstheme="minorBidi"/>
            <w:b w:val="0"/>
            <w:szCs w:val="22"/>
            <w:lang w:eastAsia="en-AU"/>
          </w:rPr>
          <w:tab/>
        </w:r>
        <w:r w:rsidR="008E1C5A" w:rsidRPr="00877A03">
          <w:rPr>
            <w:rStyle w:val="Hyperlink"/>
          </w:rPr>
          <w:t>Procedure for a Relevant Pass Through Event Variation in Reference Tariffs</w:t>
        </w:r>
        <w:r w:rsidR="008E1C5A">
          <w:rPr>
            <w:webHidden/>
          </w:rPr>
          <w:tab/>
        </w:r>
        <w:r w:rsidR="008E1C5A">
          <w:rPr>
            <w:webHidden/>
          </w:rPr>
          <w:fldChar w:fldCharType="begin"/>
        </w:r>
        <w:r w:rsidR="008E1C5A">
          <w:rPr>
            <w:webHidden/>
          </w:rPr>
          <w:instrText xml:space="preserve"> PAGEREF _Toc469519509 \h </w:instrText>
        </w:r>
        <w:r w:rsidR="008E1C5A">
          <w:rPr>
            <w:webHidden/>
          </w:rPr>
        </w:r>
        <w:r w:rsidR="008E1C5A">
          <w:rPr>
            <w:webHidden/>
          </w:rPr>
          <w:fldChar w:fldCharType="separate"/>
        </w:r>
        <w:r w:rsidR="00EF1CDE">
          <w:rPr>
            <w:webHidden/>
          </w:rPr>
          <w:t>29</w:t>
        </w:r>
        <w:r w:rsidR="008E1C5A">
          <w:rPr>
            <w:webHidden/>
          </w:rPr>
          <w:fldChar w:fldCharType="end"/>
        </w:r>
      </w:hyperlink>
    </w:p>
    <w:p w14:paraId="5E99C9C2" w14:textId="098EB64C" w:rsidR="008E1C5A" w:rsidRDefault="00412743">
      <w:pPr>
        <w:pStyle w:val="TOC1"/>
        <w:rPr>
          <w:rFonts w:asciiTheme="minorHAnsi" w:eastAsiaTheme="minorEastAsia" w:hAnsiTheme="minorHAnsi" w:cstheme="minorBidi"/>
          <w:b w:val="0"/>
          <w:szCs w:val="22"/>
          <w:lang w:eastAsia="en-AU"/>
        </w:rPr>
      </w:pPr>
      <w:hyperlink w:anchor="_Toc469519510" w:history="1">
        <w:r w:rsidR="008E1C5A" w:rsidRPr="00877A03">
          <w:rPr>
            <w:rStyle w:val="Hyperlink"/>
          </w:rPr>
          <w:t>9</w:t>
        </w:r>
        <w:r w:rsidR="008E1C5A">
          <w:rPr>
            <w:rFonts w:asciiTheme="minorHAnsi" w:eastAsiaTheme="minorEastAsia" w:hAnsiTheme="minorHAnsi" w:cstheme="minorBidi"/>
            <w:b w:val="0"/>
            <w:szCs w:val="22"/>
            <w:lang w:eastAsia="en-AU"/>
          </w:rPr>
          <w:tab/>
        </w:r>
        <w:r w:rsidR="008E1C5A" w:rsidRPr="00877A03">
          <w:rPr>
            <w:rStyle w:val="Hyperlink"/>
          </w:rPr>
          <w:t>Haulage Reference Tariffs – 1 January 2018</w:t>
        </w:r>
        <w:r w:rsidR="008E1C5A">
          <w:rPr>
            <w:webHidden/>
          </w:rPr>
          <w:tab/>
        </w:r>
        <w:r w:rsidR="008E1C5A">
          <w:rPr>
            <w:webHidden/>
          </w:rPr>
          <w:fldChar w:fldCharType="begin"/>
        </w:r>
        <w:r w:rsidR="008E1C5A">
          <w:rPr>
            <w:webHidden/>
          </w:rPr>
          <w:instrText xml:space="preserve"> PAGEREF _Toc469519510 \h </w:instrText>
        </w:r>
        <w:r w:rsidR="008E1C5A">
          <w:rPr>
            <w:webHidden/>
          </w:rPr>
        </w:r>
        <w:r w:rsidR="008E1C5A">
          <w:rPr>
            <w:webHidden/>
          </w:rPr>
          <w:fldChar w:fldCharType="separate"/>
        </w:r>
        <w:r w:rsidR="00EF1CDE">
          <w:rPr>
            <w:webHidden/>
          </w:rPr>
          <w:t>30</w:t>
        </w:r>
        <w:r w:rsidR="008E1C5A">
          <w:rPr>
            <w:webHidden/>
          </w:rPr>
          <w:fldChar w:fldCharType="end"/>
        </w:r>
      </w:hyperlink>
    </w:p>
    <w:p w14:paraId="4CDDEDCB" w14:textId="2BD0D3BF" w:rsidR="008E1C5A" w:rsidRDefault="00412743">
      <w:pPr>
        <w:pStyle w:val="TOC2"/>
        <w:rPr>
          <w:rFonts w:asciiTheme="minorHAnsi" w:eastAsiaTheme="minorEastAsia" w:hAnsiTheme="minorHAnsi" w:cstheme="minorBidi"/>
          <w:szCs w:val="22"/>
          <w:lang w:eastAsia="en-AU"/>
        </w:rPr>
      </w:pPr>
      <w:hyperlink w:anchor="_Toc469519511" w:history="1">
        <w:r w:rsidR="008E1C5A" w:rsidRPr="00877A03">
          <w:rPr>
            <w:rStyle w:val="Hyperlink"/>
          </w:rPr>
          <w:t>9.1</w:t>
        </w:r>
        <w:r w:rsidR="008E1C5A">
          <w:rPr>
            <w:rFonts w:asciiTheme="minorHAnsi" w:eastAsiaTheme="minorEastAsia" w:hAnsiTheme="minorHAnsi" w:cstheme="minorBidi"/>
            <w:szCs w:val="22"/>
            <w:lang w:eastAsia="en-AU"/>
          </w:rPr>
          <w:tab/>
        </w:r>
        <w:r w:rsidR="008E1C5A" w:rsidRPr="00877A03">
          <w:rPr>
            <w:rStyle w:val="Hyperlink"/>
          </w:rPr>
          <w:t>Central Zone</w:t>
        </w:r>
        <w:r w:rsidR="008E1C5A">
          <w:rPr>
            <w:webHidden/>
          </w:rPr>
          <w:tab/>
        </w:r>
        <w:r w:rsidR="008E1C5A">
          <w:rPr>
            <w:webHidden/>
          </w:rPr>
          <w:fldChar w:fldCharType="begin"/>
        </w:r>
        <w:r w:rsidR="008E1C5A">
          <w:rPr>
            <w:webHidden/>
          </w:rPr>
          <w:instrText xml:space="preserve"> PAGEREF _Toc469519511 \h </w:instrText>
        </w:r>
        <w:r w:rsidR="008E1C5A">
          <w:rPr>
            <w:webHidden/>
          </w:rPr>
        </w:r>
        <w:r w:rsidR="008E1C5A">
          <w:rPr>
            <w:webHidden/>
          </w:rPr>
          <w:fldChar w:fldCharType="separate"/>
        </w:r>
        <w:r w:rsidR="00EF1CDE">
          <w:rPr>
            <w:webHidden/>
          </w:rPr>
          <w:t>30</w:t>
        </w:r>
        <w:r w:rsidR="008E1C5A">
          <w:rPr>
            <w:webHidden/>
          </w:rPr>
          <w:fldChar w:fldCharType="end"/>
        </w:r>
      </w:hyperlink>
    </w:p>
    <w:p w14:paraId="78F8682C" w14:textId="1DF663FB" w:rsidR="008E1C5A" w:rsidRDefault="00412743">
      <w:pPr>
        <w:pStyle w:val="TOC2"/>
        <w:rPr>
          <w:rFonts w:asciiTheme="minorHAnsi" w:eastAsiaTheme="minorEastAsia" w:hAnsiTheme="minorHAnsi" w:cstheme="minorBidi"/>
          <w:szCs w:val="22"/>
          <w:lang w:eastAsia="en-AU"/>
        </w:rPr>
      </w:pPr>
      <w:hyperlink w:anchor="_Toc469519512" w:history="1">
        <w:r w:rsidR="008E1C5A" w:rsidRPr="00877A03">
          <w:rPr>
            <w:rStyle w:val="Hyperlink"/>
          </w:rPr>
          <w:t>9.2</w:t>
        </w:r>
        <w:r w:rsidR="008E1C5A">
          <w:rPr>
            <w:rFonts w:asciiTheme="minorHAnsi" w:eastAsiaTheme="minorEastAsia" w:hAnsiTheme="minorHAnsi" w:cstheme="minorBidi"/>
            <w:szCs w:val="22"/>
            <w:lang w:eastAsia="en-AU"/>
          </w:rPr>
          <w:tab/>
        </w:r>
        <w:r w:rsidR="008E1C5A" w:rsidRPr="00877A03">
          <w:rPr>
            <w:rStyle w:val="Hyperlink"/>
          </w:rPr>
          <w:t>West Zone</w:t>
        </w:r>
        <w:r w:rsidR="008E1C5A">
          <w:rPr>
            <w:webHidden/>
          </w:rPr>
          <w:tab/>
        </w:r>
        <w:r w:rsidR="008E1C5A">
          <w:rPr>
            <w:webHidden/>
          </w:rPr>
          <w:fldChar w:fldCharType="begin"/>
        </w:r>
        <w:r w:rsidR="008E1C5A">
          <w:rPr>
            <w:webHidden/>
          </w:rPr>
          <w:instrText xml:space="preserve"> PAGEREF _Toc469519512 \h </w:instrText>
        </w:r>
        <w:r w:rsidR="008E1C5A">
          <w:rPr>
            <w:webHidden/>
          </w:rPr>
        </w:r>
        <w:r w:rsidR="008E1C5A">
          <w:rPr>
            <w:webHidden/>
          </w:rPr>
          <w:fldChar w:fldCharType="separate"/>
        </w:r>
        <w:r w:rsidR="00EF1CDE">
          <w:rPr>
            <w:webHidden/>
          </w:rPr>
          <w:t>30</w:t>
        </w:r>
        <w:r w:rsidR="008E1C5A">
          <w:rPr>
            <w:webHidden/>
          </w:rPr>
          <w:fldChar w:fldCharType="end"/>
        </w:r>
      </w:hyperlink>
    </w:p>
    <w:p w14:paraId="6CC1619C" w14:textId="4244A89F" w:rsidR="008E1C5A" w:rsidRDefault="00412743">
      <w:pPr>
        <w:pStyle w:val="TOC2"/>
        <w:rPr>
          <w:rFonts w:asciiTheme="minorHAnsi" w:eastAsiaTheme="minorEastAsia" w:hAnsiTheme="minorHAnsi" w:cstheme="minorBidi"/>
          <w:szCs w:val="22"/>
          <w:lang w:eastAsia="en-AU"/>
        </w:rPr>
      </w:pPr>
      <w:hyperlink w:anchor="_Toc469519513" w:history="1">
        <w:r w:rsidR="008E1C5A" w:rsidRPr="00877A03">
          <w:rPr>
            <w:rStyle w:val="Hyperlink"/>
          </w:rPr>
          <w:t>9.3</w:t>
        </w:r>
        <w:r w:rsidR="008E1C5A">
          <w:rPr>
            <w:rFonts w:asciiTheme="minorHAnsi" w:eastAsiaTheme="minorEastAsia" w:hAnsiTheme="minorHAnsi" w:cstheme="minorBidi"/>
            <w:szCs w:val="22"/>
            <w:lang w:eastAsia="en-AU"/>
          </w:rPr>
          <w:tab/>
        </w:r>
        <w:r w:rsidR="008E1C5A" w:rsidRPr="00877A03">
          <w:rPr>
            <w:rStyle w:val="Hyperlink"/>
          </w:rPr>
          <w:t>Adjoining Central Zone</w:t>
        </w:r>
        <w:r w:rsidR="008E1C5A">
          <w:rPr>
            <w:webHidden/>
          </w:rPr>
          <w:tab/>
        </w:r>
        <w:r w:rsidR="008E1C5A">
          <w:rPr>
            <w:webHidden/>
          </w:rPr>
          <w:fldChar w:fldCharType="begin"/>
        </w:r>
        <w:r w:rsidR="008E1C5A">
          <w:rPr>
            <w:webHidden/>
          </w:rPr>
          <w:instrText xml:space="preserve"> PAGEREF _Toc469519513 \h </w:instrText>
        </w:r>
        <w:r w:rsidR="008E1C5A">
          <w:rPr>
            <w:webHidden/>
          </w:rPr>
        </w:r>
        <w:r w:rsidR="008E1C5A">
          <w:rPr>
            <w:webHidden/>
          </w:rPr>
          <w:fldChar w:fldCharType="separate"/>
        </w:r>
        <w:r w:rsidR="00EF1CDE">
          <w:rPr>
            <w:webHidden/>
          </w:rPr>
          <w:t>32</w:t>
        </w:r>
        <w:r w:rsidR="008E1C5A">
          <w:rPr>
            <w:webHidden/>
          </w:rPr>
          <w:fldChar w:fldCharType="end"/>
        </w:r>
      </w:hyperlink>
    </w:p>
    <w:p w14:paraId="51CA80CD" w14:textId="7A5F37BE" w:rsidR="008E1C5A" w:rsidRDefault="00412743">
      <w:pPr>
        <w:pStyle w:val="TOC2"/>
        <w:rPr>
          <w:rFonts w:asciiTheme="minorHAnsi" w:eastAsiaTheme="minorEastAsia" w:hAnsiTheme="minorHAnsi" w:cstheme="minorBidi"/>
          <w:szCs w:val="22"/>
          <w:lang w:eastAsia="en-AU"/>
        </w:rPr>
      </w:pPr>
      <w:hyperlink w:anchor="_Toc469519514" w:history="1">
        <w:r w:rsidR="008E1C5A" w:rsidRPr="00877A03">
          <w:rPr>
            <w:rStyle w:val="Hyperlink"/>
          </w:rPr>
          <w:t>9.4</w:t>
        </w:r>
        <w:r w:rsidR="008E1C5A">
          <w:rPr>
            <w:rFonts w:asciiTheme="minorHAnsi" w:eastAsiaTheme="minorEastAsia" w:hAnsiTheme="minorHAnsi" w:cstheme="minorBidi"/>
            <w:szCs w:val="22"/>
            <w:lang w:eastAsia="en-AU"/>
          </w:rPr>
          <w:tab/>
        </w:r>
        <w:r w:rsidR="008E1C5A" w:rsidRPr="00877A03">
          <w:rPr>
            <w:rStyle w:val="Hyperlink"/>
          </w:rPr>
          <w:t>Adjoining West Zone</w:t>
        </w:r>
        <w:r w:rsidR="008E1C5A">
          <w:rPr>
            <w:webHidden/>
          </w:rPr>
          <w:tab/>
        </w:r>
        <w:r w:rsidR="008E1C5A">
          <w:rPr>
            <w:webHidden/>
          </w:rPr>
          <w:fldChar w:fldCharType="begin"/>
        </w:r>
        <w:r w:rsidR="008E1C5A">
          <w:rPr>
            <w:webHidden/>
          </w:rPr>
          <w:instrText xml:space="preserve"> PAGEREF _Toc469519514 \h </w:instrText>
        </w:r>
        <w:r w:rsidR="008E1C5A">
          <w:rPr>
            <w:webHidden/>
          </w:rPr>
        </w:r>
        <w:r w:rsidR="008E1C5A">
          <w:rPr>
            <w:webHidden/>
          </w:rPr>
          <w:fldChar w:fldCharType="separate"/>
        </w:r>
        <w:r w:rsidR="00EF1CDE">
          <w:rPr>
            <w:webHidden/>
          </w:rPr>
          <w:t>32</w:t>
        </w:r>
        <w:r w:rsidR="008E1C5A">
          <w:rPr>
            <w:webHidden/>
          </w:rPr>
          <w:fldChar w:fldCharType="end"/>
        </w:r>
      </w:hyperlink>
    </w:p>
    <w:p w14:paraId="60BC1E4C" w14:textId="08601EEE" w:rsidR="008E1C5A" w:rsidRDefault="00412743">
      <w:pPr>
        <w:pStyle w:val="TOC1"/>
        <w:rPr>
          <w:rFonts w:asciiTheme="minorHAnsi" w:eastAsiaTheme="minorEastAsia" w:hAnsiTheme="minorHAnsi" w:cstheme="minorBidi"/>
          <w:b w:val="0"/>
          <w:szCs w:val="22"/>
          <w:lang w:eastAsia="en-AU"/>
        </w:rPr>
      </w:pPr>
      <w:hyperlink w:anchor="_Toc469519515" w:history="1">
        <w:r w:rsidR="008E1C5A" w:rsidRPr="00877A03">
          <w:rPr>
            <w:rStyle w:val="Hyperlink"/>
          </w:rPr>
          <w:t>10</w:t>
        </w:r>
        <w:r w:rsidR="008E1C5A">
          <w:rPr>
            <w:rFonts w:asciiTheme="minorHAnsi" w:eastAsiaTheme="minorEastAsia" w:hAnsiTheme="minorHAnsi" w:cstheme="minorBidi"/>
            <w:b w:val="0"/>
            <w:szCs w:val="22"/>
            <w:lang w:eastAsia="en-AU"/>
          </w:rPr>
          <w:tab/>
        </w:r>
        <w:r w:rsidR="008E1C5A" w:rsidRPr="00877A03">
          <w:rPr>
            <w:rStyle w:val="Hyperlink"/>
          </w:rPr>
          <w:t>Initial Ancillary Reference Tariffs – 1 January 2018</w:t>
        </w:r>
        <w:r w:rsidR="008E1C5A">
          <w:rPr>
            <w:webHidden/>
          </w:rPr>
          <w:tab/>
        </w:r>
        <w:r w:rsidR="008E1C5A">
          <w:rPr>
            <w:webHidden/>
          </w:rPr>
          <w:fldChar w:fldCharType="begin"/>
        </w:r>
        <w:r w:rsidR="008E1C5A">
          <w:rPr>
            <w:webHidden/>
          </w:rPr>
          <w:instrText xml:space="preserve"> PAGEREF _Toc469519515 \h </w:instrText>
        </w:r>
        <w:r w:rsidR="008E1C5A">
          <w:rPr>
            <w:webHidden/>
          </w:rPr>
        </w:r>
        <w:r w:rsidR="008E1C5A">
          <w:rPr>
            <w:webHidden/>
          </w:rPr>
          <w:fldChar w:fldCharType="separate"/>
        </w:r>
        <w:r w:rsidR="00EF1CDE">
          <w:rPr>
            <w:webHidden/>
          </w:rPr>
          <w:t>35</w:t>
        </w:r>
        <w:r w:rsidR="008E1C5A">
          <w:rPr>
            <w:webHidden/>
          </w:rPr>
          <w:fldChar w:fldCharType="end"/>
        </w:r>
      </w:hyperlink>
    </w:p>
    <w:p w14:paraId="2BE3440B" w14:textId="159E3AD2" w:rsidR="008E1C5A" w:rsidRDefault="00412743">
      <w:pPr>
        <w:pStyle w:val="TOC1"/>
        <w:rPr>
          <w:rFonts w:asciiTheme="minorHAnsi" w:eastAsiaTheme="minorEastAsia" w:hAnsiTheme="minorHAnsi" w:cstheme="minorBidi"/>
          <w:b w:val="0"/>
          <w:szCs w:val="22"/>
          <w:lang w:eastAsia="en-AU"/>
        </w:rPr>
      </w:pPr>
      <w:hyperlink w:anchor="_Toc469519516" w:history="1">
        <w:r w:rsidR="008E1C5A" w:rsidRPr="00877A03">
          <w:rPr>
            <w:rStyle w:val="Hyperlink"/>
          </w:rPr>
          <w:t>Annexure A – Asset Performance Index</w:t>
        </w:r>
        <w:r w:rsidR="008E1C5A">
          <w:rPr>
            <w:webHidden/>
          </w:rPr>
          <w:tab/>
        </w:r>
        <w:r w:rsidR="008E1C5A">
          <w:rPr>
            <w:webHidden/>
          </w:rPr>
          <w:fldChar w:fldCharType="begin"/>
        </w:r>
        <w:r w:rsidR="008E1C5A">
          <w:rPr>
            <w:webHidden/>
          </w:rPr>
          <w:instrText xml:space="preserve"> PAGEREF _Toc469519516 \h </w:instrText>
        </w:r>
        <w:r w:rsidR="008E1C5A">
          <w:rPr>
            <w:webHidden/>
          </w:rPr>
        </w:r>
        <w:r w:rsidR="008E1C5A">
          <w:rPr>
            <w:webHidden/>
          </w:rPr>
          <w:fldChar w:fldCharType="separate"/>
        </w:r>
        <w:r w:rsidR="00EF1CDE">
          <w:rPr>
            <w:webHidden/>
          </w:rPr>
          <w:t>36</w:t>
        </w:r>
        <w:r w:rsidR="008E1C5A">
          <w:rPr>
            <w:webHidden/>
          </w:rPr>
          <w:fldChar w:fldCharType="end"/>
        </w:r>
      </w:hyperlink>
    </w:p>
    <w:p w14:paraId="6B6C82BE" w14:textId="4084F1C5" w:rsidR="009D7ABF" w:rsidRDefault="009D7ABF">
      <w:pPr>
        <w:pStyle w:val="TOC2"/>
      </w:pPr>
      <w:r>
        <w:rPr>
          <w:rFonts w:ascii="Arial Bold" w:hAnsi="Arial Bold"/>
          <w:b/>
        </w:rPr>
        <w:fldChar w:fldCharType="end"/>
      </w:r>
    </w:p>
    <w:p w14:paraId="3CE0939B" w14:textId="77777777" w:rsidR="009D7ABF" w:rsidRDefault="009D7ABF" w:rsidP="008A599C">
      <w:pPr>
        <w:pStyle w:val="BodyText"/>
        <w:sectPr w:rsidR="009D7ABF">
          <w:pgSz w:w="11907" w:h="16840" w:code="9"/>
          <w:pgMar w:top="851" w:right="1134" w:bottom="851" w:left="1418" w:header="567" w:footer="567" w:gutter="0"/>
          <w:cols w:space="720"/>
        </w:sectPr>
      </w:pPr>
    </w:p>
    <w:p w14:paraId="0E8B8065" w14:textId="1BE098D3" w:rsidR="009D7ABF" w:rsidRDefault="009D7ABF" w:rsidP="008A599C">
      <w:pPr>
        <w:pStyle w:val="Heading1"/>
      </w:pPr>
      <w:bookmarkStart w:id="0" w:name="_Toc469519461"/>
      <w:r>
        <w:lastRenderedPageBreak/>
        <w:t>Haulage Reference Tariffs</w:t>
      </w:r>
      <w:bookmarkEnd w:id="0"/>
    </w:p>
    <w:p w14:paraId="18C9696D" w14:textId="55F10076" w:rsidR="009D7ABF" w:rsidRDefault="009D7ABF" w:rsidP="00035B92">
      <w:pPr>
        <w:pStyle w:val="Heading2"/>
      </w:pPr>
      <w:bookmarkStart w:id="1" w:name="_Toc469519462"/>
      <w:r>
        <w:t>Haulage Reference Tariffs</w:t>
      </w:r>
      <w:bookmarkEnd w:id="1"/>
    </w:p>
    <w:p w14:paraId="01DE400F" w14:textId="40952703" w:rsidR="009D7ABF" w:rsidRDefault="00CF1900" w:rsidP="00566C98">
      <w:pPr>
        <w:pStyle w:val="Heading4"/>
      </w:pPr>
      <w:r>
        <w:t>(a)</w:t>
      </w:r>
      <w:r>
        <w:tab/>
      </w:r>
      <w:r w:rsidR="009D7ABF">
        <w:t xml:space="preserve">Haulage Reference Tariffs for </w:t>
      </w:r>
      <w:r w:rsidR="00054315">
        <w:t>2018</w:t>
      </w:r>
    </w:p>
    <w:p w14:paraId="464C4189" w14:textId="175203D6" w:rsidR="009D7ABF" w:rsidRDefault="009D7ABF" w:rsidP="00C05867">
      <w:pPr>
        <w:pStyle w:val="ListParagraph"/>
      </w:pPr>
      <w:r>
        <w:t xml:space="preserve">For Calendar Year </w:t>
      </w:r>
      <w:r w:rsidR="00054315">
        <w:t>2018</w:t>
      </w:r>
      <w:r>
        <w:t>, the Haulage Reference Tariffs to apply from 1 </w:t>
      </w:r>
      <w:r w:rsidR="00054315">
        <w:t xml:space="preserve">January 2018 </w:t>
      </w:r>
      <w:r>
        <w:t xml:space="preserve">are the tariffs set out in </w:t>
      </w:r>
      <w:r w:rsidR="000A0B8A">
        <w:t>clause 9</w:t>
      </w:r>
      <w:r>
        <w:t xml:space="preserve"> adjusted to comply with the Tariff Control Formula and rebalancing control formula in clause 3 and verified by the </w:t>
      </w:r>
      <w:r w:rsidRPr="00CB15C7">
        <w:t>Regulator</w:t>
      </w:r>
      <w:r>
        <w:t xml:space="preserve"> as if clause 4 applied (but for the timing requirements of clause 4.1).</w:t>
      </w:r>
    </w:p>
    <w:p w14:paraId="767B068D" w14:textId="497CCD97" w:rsidR="009D7ABF" w:rsidRDefault="00CF1900" w:rsidP="00566C98">
      <w:pPr>
        <w:pStyle w:val="Heading4"/>
      </w:pPr>
      <w:r>
        <w:t>(b)</w:t>
      </w:r>
      <w:r>
        <w:tab/>
      </w:r>
      <w:r w:rsidR="009D7ABF" w:rsidRPr="00CF1900">
        <w:t>Introduction</w:t>
      </w:r>
      <w:r w:rsidR="009D7ABF">
        <w:t xml:space="preserve"> of </w:t>
      </w:r>
      <w:r w:rsidR="009D7ABF" w:rsidRPr="00CB15C7">
        <w:t>new</w:t>
      </w:r>
      <w:r w:rsidR="009D7ABF">
        <w:t xml:space="preserve"> Haulage Reference Tariffs</w:t>
      </w:r>
    </w:p>
    <w:p w14:paraId="68B741A3" w14:textId="77777777" w:rsidR="009D7ABF" w:rsidRPr="00711D19" w:rsidRDefault="009D7ABF" w:rsidP="00711D19">
      <w:pPr>
        <w:spacing w:afterLines="60" w:after="144"/>
        <w:ind w:left="1440" w:hanging="720"/>
      </w:pPr>
      <w:r w:rsidRPr="00711D19">
        <w:t>(1)</w:t>
      </w:r>
      <w:r w:rsidRPr="00711D19">
        <w:tab/>
        <w:t>The Service Provider may develop one or more new Haulage Reference Tariffs for application to Users in certain circumstances, providing that any new Haulage Reference Tariff is consistent with the Service Provider’s Reference Tariff Policy, as set out in clause 6.</w:t>
      </w:r>
    </w:p>
    <w:p w14:paraId="595DF224" w14:textId="77777777" w:rsidR="009D7ABF" w:rsidRPr="00711D19" w:rsidRDefault="009D7ABF" w:rsidP="00711D19">
      <w:pPr>
        <w:spacing w:afterLines="60" w:after="144"/>
        <w:ind w:left="1440" w:hanging="720"/>
      </w:pPr>
      <w:r w:rsidRPr="00711D19">
        <w:t>(2)</w:t>
      </w:r>
      <w:r w:rsidRPr="00711D19">
        <w:tab/>
        <w:t>The Service Provider is required to notify the Regulator in writing of its intent to introduce new Haulage Reference Tariffs or new Haulage Reference Tariff Components at least 60 Business Days prior to the date on which it wishes the new Haulage Reference Tariffs to commence.</w:t>
      </w:r>
    </w:p>
    <w:p w14:paraId="041F2673" w14:textId="67B0D463" w:rsidR="009D7ABF" w:rsidRPr="00CF1900" w:rsidRDefault="00CF1900" w:rsidP="00566C98">
      <w:pPr>
        <w:pStyle w:val="Heading4"/>
      </w:pPr>
      <w:r>
        <w:t>(c)</w:t>
      </w:r>
      <w:r>
        <w:tab/>
      </w:r>
      <w:r w:rsidR="009D7ABF" w:rsidRPr="00CF1900">
        <w:t>No Meter</w:t>
      </w:r>
    </w:p>
    <w:p w14:paraId="3A12B550" w14:textId="77777777" w:rsidR="009D7ABF" w:rsidRDefault="009D7ABF" w:rsidP="00C05867">
      <w:pPr>
        <w:pStyle w:val="ListParagraph"/>
      </w:pPr>
      <w:r>
        <w:t>A Distribution Supply Point which does not have a Meter is assigned to Haulage Reference Tariff V, unless otherwise agreed between the Service Provider and the relevant User to whom Reference Services are provided at that Distribution Supply Point.</w:t>
      </w:r>
    </w:p>
    <w:p w14:paraId="7AC285FE" w14:textId="5DB0BB9D" w:rsidR="009D7ABF" w:rsidRPr="00CF1900" w:rsidRDefault="00CF1900" w:rsidP="00566C98">
      <w:pPr>
        <w:pStyle w:val="Heading4"/>
      </w:pPr>
      <w:r>
        <w:t>(d)</w:t>
      </w:r>
      <w:r>
        <w:tab/>
      </w:r>
      <w:r w:rsidR="009D7ABF" w:rsidRPr="00CF1900">
        <w:t>Distribution Area</w:t>
      </w:r>
    </w:p>
    <w:p w14:paraId="139B4980" w14:textId="77777777" w:rsidR="009D7ABF" w:rsidRDefault="009D7ABF" w:rsidP="00C05867">
      <w:pPr>
        <w:pStyle w:val="ListParagraph"/>
      </w:pPr>
      <w:r>
        <w:t xml:space="preserve">The Haulage Reference Tariffs apply to the Distribution System within the Service Provider’s Distribution Area.  The Distribution Area is divided into two zones as detailed in </w:t>
      </w:r>
      <w:r w:rsidR="000A0B8A">
        <w:t>clause 9</w:t>
      </w:r>
      <w:r>
        <w:t>.</w:t>
      </w:r>
    </w:p>
    <w:p w14:paraId="475F8074" w14:textId="77777777" w:rsidR="009D7ABF" w:rsidRDefault="009D7ABF" w:rsidP="00035B92">
      <w:pPr>
        <w:pStyle w:val="Heading2"/>
      </w:pPr>
      <w:bookmarkStart w:id="2" w:name="_Toc469519463"/>
      <w:r>
        <w:t>Application of Haulage Reference Tariffs</w:t>
      </w:r>
      <w:bookmarkEnd w:id="2"/>
    </w:p>
    <w:p w14:paraId="35CFAA86" w14:textId="77777777" w:rsidR="009D7ABF" w:rsidRDefault="009D7ABF" w:rsidP="00566C98">
      <w:pPr>
        <w:pStyle w:val="Heading4"/>
        <w:ind w:left="0" w:firstLine="0"/>
      </w:pPr>
      <w:r>
        <w:t>(a)</w:t>
      </w:r>
      <w:r>
        <w:tab/>
        <w:t>Assigned Haulage Reference Tariffs</w:t>
      </w:r>
    </w:p>
    <w:p w14:paraId="7ACD9BFC" w14:textId="77777777" w:rsidR="009D7ABF" w:rsidRDefault="009D7ABF" w:rsidP="00C05867">
      <w:pPr>
        <w:pStyle w:val="ListParagraph"/>
      </w:pPr>
      <w:r>
        <w:t xml:space="preserve">Where the Service Provider is charging a particular Haulage Reference Tariff in respect of Supply at a particular Distribution Supply Point, then the User at that Distribution Supply Point is to be regarded as being “assigned” to that Haulage Reference Tariff. </w:t>
      </w:r>
    </w:p>
    <w:p w14:paraId="3CE6136D" w14:textId="77777777" w:rsidR="009D7ABF" w:rsidRDefault="009D7ABF" w:rsidP="00566C98">
      <w:pPr>
        <w:pStyle w:val="Heading4"/>
        <w:ind w:left="0" w:firstLine="0"/>
      </w:pPr>
      <w:r>
        <w:t>(b)</w:t>
      </w:r>
      <w:r>
        <w:tab/>
        <w:t xml:space="preserve">Haulage Reference Tariffs for existing Distribution </w:t>
      </w:r>
      <w:r w:rsidRPr="000E3017">
        <w:t>Supply</w:t>
      </w:r>
      <w:r>
        <w:t xml:space="preserve"> Points</w:t>
      </w:r>
    </w:p>
    <w:p w14:paraId="61840042" w14:textId="05768C3A" w:rsidR="009D7ABF" w:rsidRDefault="009D7ABF" w:rsidP="00C05867">
      <w:pPr>
        <w:pStyle w:val="ListParagraph"/>
      </w:pPr>
      <w:r>
        <w:t>Unless a new Haulage Reference Tariff has been reassigned to a Distribution Supply Point, the Haulage Reference Tariff to apply to a Distribution Supply Point from 1 </w:t>
      </w:r>
      <w:r w:rsidR="00054315">
        <w:t xml:space="preserve">January 2018 </w:t>
      </w:r>
      <w:r>
        <w:t>is deemed to be the Haulage Reference Tariff assigned to that Distribution Supply Point as at 31 December 20</w:t>
      </w:r>
      <w:r w:rsidR="000C0ABD">
        <w:t>1</w:t>
      </w:r>
      <w:r w:rsidR="00054315">
        <w:t>7</w:t>
      </w:r>
      <w:r>
        <w:t>.</w:t>
      </w:r>
    </w:p>
    <w:p w14:paraId="200ABEA4" w14:textId="77777777" w:rsidR="009D7ABF" w:rsidRDefault="009D7ABF" w:rsidP="00566C98">
      <w:pPr>
        <w:pStyle w:val="Heading4"/>
        <w:ind w:left="0" w:firstLine="0"/>
      </w:pPr>
      <w:r>
        <w:t>(c)</w:t>
      </w:r>
      <w:r>
        <w:tab/>
        <w:t xml:space="preserve">Haulage Reference Service provided at a Distribution Supply </w:t>
      </w:r>
      <w:r w:rsidRPr="000E3017">
        <w:t>Point</w:t>
      </w:r>
    </w:p>
    <w:p w14:paraId="57406B2D" w14:textId="77777777" w:rsidR="009D7ABF" w:rsidRDefault="009D7ABF" w:rsidP="00C05867">
      <w:pPr>
        <w:pStyle w:val="ListParagraph"/>
      </w:pPr>
      <w:r>
        <w:t xml:space="preserve">The Haulage Reference Service provided at a particular Distribution Supply Point is the Haulage Reference Service in respect of which there is a specified Haulage Reference Tariff which is assigned at that Distribution Supply Point. </w:t>
      </w:r>
    </w:p>
    <w:p w14:paraId="5D5C6FC4" w14:textId="77777777" w:rsidR="009D7ABF" w:rsidRDefault="009D7ABF" w:rsidP="00035B92">
      <w:pPr>
        <w:pStyle w:val="Heading2"/>
      </w:pPr>
      <w:bookmarkStart w:id="3" w:name="_Toc469519464"/>
      <w:r>
        <w:t>Assignment of New Haulage Reference Tariffs and New Haulage Reference Tariff Components</w:t>
      </w:r>
      <w:bookmarkEnd w:id="3"/>
    </w:p>
    <w:p w14:paraId="3E38AAEA" w14:textId="77777777" w:rsidR="009D7ABF" w:rsidRDefault="009D7ABF" w:rsidP="008A599C">
      <w:pPr>
        <w:pStyle w:val="BodyText"/>
      </w:pPr>
      <w:r>
        <w:t>(a)</w:t>
      </w:r>
      <w:r>
        <w:tab/>
        <w:t>Change in volume of gas consumed</w:t>
      </w:r>
    </w:p>
    <w:p w14:paraId="1F019E63" w14:textId="77777777" w:rsidR="009D7ABF" w:rsidRDefault="009D7ABF" w:rsidP="00C05867">
      <w:pPr>
        <w:pStyle w:val="ListParagraph"/>
      </w:pPr>
      <w:r>
        <w:t xml:space="preserve">If, after the initial assignment of a Haulage Reference Tariff to a Distribution Supply Point, the Service Provider becomes aware that: </w:t>
      </w:r>
    </w:p>
    <w:p w14:paraId="1C260B77" w14:textId="77777777" w:rsidR="009D7ABF" w:rsidRDefault="009D7ABF" w:rsidP="00711D19">
      <w:pPr>
        <w:spacing w:afterLines="60" w:after="144"/>
        <w:ind w:left="1440" w:hanging="720"/>
      </w:pPr>
      <w:r>
        <w:t>(1)</w:t>
      </w:r>
      <w:r>
        <w:tab/>
      </w:r>
      <w:proofErr w:type="gramStart"/>
      <w:r>
        <w:t>the</w:t>
      </w:r>
      <w:proofErr w:type="gramEnd"/>
      <w:r>
        <w:t xml:space="preserve"> Quantity of Gas withdrawn at that Distribution Supply Point has changed; or </w:t>
      </w:r>
    </w:p>
    <w:p w14:paraId="7A92A35A" w14:textId="77777777" w:rsidR="009D7ABF" w:rsidRDefault="009D7ABF" w:rsidP="00711D19">
      <w:pPr>
        <w:spacing w:afterLines="60" w:after="144"/>
        <w:ind w:left="1440" w:hanging="720"/>
      </w:pPr>
      <w:r>
        <w:t>(2)</w:t>
      </w:r>
      <w:r>
        <w:tab/>
      </w:r>
      <w:proofErr w:type="gramStart"/>
      <w:r>
        <w:t>the</w:t>
      </w:r>
      <w:proofErr w:type="gramEnd"/>
      <w:r>
        <w:t xml:space="preserve"> User’s Customer at that Distribution Supply Point has changed or will change; or</w:t>
      </w:r>
    </w:p>
    <w:p w14:paraId="6691ACB4" w14:textId="77777777" w:rsidR="009D7ABF" w:rsidRDefault="009D7ABF" w:rsidP="00711D19">
      <w:pPr>
        <w:spacing w:afterLines="60" w:after="144"/>
        <w:ind w:left="1440" w:hanging="720"/>
      </w:pPr>
      <w:r>
        <w:lastRenderedPageBreak/>
        <w:t>(3)</w:t>
      </w:r>
      <w:r>
        <w:tab/>
        <w:t xml:space="preserve">the User’s Customer at that Distribution Supply Point has changed or will change from being a </w:t>
      </w:r>
      <w:r w:rsidR="0031487E">
        <w:t xml:space="preserve">Residential </w:t>
      </w:r>
      <w:r>
        <w:t>Customer to a Commercial Customer, or</w:t>
      </w:r>
    </w:p>
    <w:p w14:paraId="7D9B5CB7" w14:textId="2FEE51DB" w:rsidR="009D7ABF" w:rsidRDefault="009D7ABF" w:rsidP="00711D19">
      <w:pPr>
        <w:spacing w:afterLines="60" w:after="144"/>
        <w:ind w:left="1440" w:hanging="720"/>
      </w:pPr>
      <w:r>
        <w:t>(4)</w:t>
      </w:r>
      <w:r>
        <w:tab/>
      </w:r>
      <w:proofErr w:type="gramStart"/>
      <w:r>
        <w:t>the</w:t>
      </w:r>
      <w:proofErr w:type="gramEnd"/>
      <w:r>
        <w:t xml:space="preserve"> User’s Customer at that Distribution Supply Point has changed or will change from being a Commercial Customer to a </w:t>
      </w:r>
      <w:r w:rsidR="00E35D1D">
        <w:t xml:space="preserve">Residential </w:t>
      </w:r>
      <w:r>
        <w:t>Customer</w:t>
      </w:r>
      <w:r w:rsidR="00682578">
        <w:t>,</w:t>
      </w:r>
    </w:p>
    <w:p w14:paraId="4C40C4D4" w14:textId="77777777" w:rsidR="009D7ABF" w:rsidRDefault="009D7ABF" w:rsidP="00C05867">
      <w:pPr>
        <w:pStyle w:val="ListParagraph"/>
      </w:pPr>
      <w:proofErr w:type="gramStart"/>
      <w:r>
        <w:t>so</w:t>
      </w:r>
      <w:proofErr w:type="gramEnd"/>
      <w:r>
        <w:t xml:space="preserve"> that the Haulage Reference Tariff should no longer be assigned to the Distribution Supply Point to which it is currently assigned, the Service Provider may reassign an alternative Haulage Reference Tariff to that Distribution Supply Point.</w:t>
      </w:r>
    </w:p>
    <w:p w14:paraId="6BCBC5AA" w14:textId="77777777" w:rsidR="009D7ABF" w:rsidRDefault="009D7ABF" w:rsidP="008A599C">
      <w:pPr>
        <w:pStyle w:val="BodyText"/>
      </w:pPr>
      <w:r>
        <w:t>(b)</w:t>
      </w:r>
      <w:r>
        <w:tab/>
        <w:t>Change in demand or Connection characteristics</w:t>
      </w:r>
    </w:p>
    <w:p w14:paraId="036B03FF" w14:textId="77777777" w:rsidR="009D7ABF" w:rsidRDefault="009D7ABF" w:rsidP="00C05867">
      <w:pPr>
        <w:pStyle w:val="ListParagraph"/>
      </w:pPr>
      <w:r>
        <w:t>If the Service Provider believes that a User’s demand characteristics or Connection characteristics (or both) have changed such that it is no longer appropriate for that User’s Distribution Supply Point to be assigned to the Haulage Reference Tariff to which the User’s Distribution Supply Point is currently assigned, then the Service Provider may reassign an alternative Haulage Reference Tariff to that Distribution Supply Point.</w:t>
      </w:r>
    </w:p>
    <w:p w14:paraId="3B84FD37" w14:textId="77777777" w:rsidR="009D7ABF" w:rsidRDefault="009D7ABF" w:rsidP="008A599C">
      <w:pPr>
        <w:pStyle w:val="BodyText"/>
      </w:pPr>
      <w:r>
        <w:t>(c)</w:t>
      </w:r>
      <w:r>
        <w:tab/>
        <w:t>Factors to be considered by the Service Provider</w:t>
      </w:r>
    </w:p>
    <w:p w14:paraId="77F30DEE" w14:textId="77777777" w:rsidR="009D7ABF" w:rsidRDefault="009D7ABF" w:rsidP="00C05867">
      <w:pPr>
        <w:pStyle w:val="ListParagraph"/>
      </w:pPr>
      <w:r>
        <w:t>In determining the assignment of a Haulage Reference Tariff to a Distribution Supply Point the Service Provider will take into account:</w:t>
      </w:r>
    </w:p>
    <w:p w14:paraId="426A5354" w14:textId="77777777" w:rsidR="009D7ABF" w:rsidRDefault="009D7ABF" w:rsidP="00711D19">
      <w:pPr>
        <w:spacing w:afterLines="60" w:after="144"/>
        <w:ind w:left="1440" w:hanging="720"/>
      </w:pPr>
      <w:r>
        <w:t>(1)</w:t>
      </w:r>
      <w:r>
        <w:tab/>
      </w:r>
      <w:proofErr w:type="gramStart"/>
      <w:r>
        <w:t>the</w:t>
      </w:r>
      <w:proofErr w:type="gramEnd"/>
      <w:r>
        <w:t xml:space="preserve"> User’s demand and Connection characteristics; and</w:t>
      </w:r>
    </w:p>
    <w:p w14:paraId="040B9EB4" w14:textId="77777777" w:rsidR="009D7ABF" w:rsidRDefault="009D7ABF" w:rsidP="00711D19">
      <w:pPr>
        <w:spacing w:afterLines="60" w:after="144"/>
        <w:ind w:left="1440" w:hanging="720"/>
      </w:pPr>
      <w:r>
        <w:t>(2)</w:t>
      </w:r>
      <w:r>
        <w:tab/>
        <w:t xml:space="preserve">Haulage Reference Tariffs assigned to Distribution Supply Points with the same or materially similar demand and Connection characteristics. </w:t>
      </w:r>
    </w:p>
    <w:p w14:paraId="4CD4030E" w14:textId="77777777" w:rsidR="009D7ABF" w:rsidRDefault="009D7ABF" w:rsidP="008A599C">
      <w:pPr>
        <w:pStyle w:val="BodyText"/>
      </w:pPr>
      <w:r>
        <w:t>(d)</w:t>
      </w:r>
      <w:r>
        <w:tab/>
        <w:t>Notification of proposed reassignment of Haulage Reference Tariff</w:t>
      </w:r>
    </w:p>
    <w:p w14:paraId="7C861B9B" w14:textId="25823D2D" w:rsidR="009D7ABF" w:rsidRDefault="009D7ABF" w:rsidP="00C05867">
      <w:pPr>
        <w:pStyle w:val="ListParagraph"/>
      </w:pPr>
      <w:r>
        <w:t>If, after 1 </w:t>
      </w:r>
      <w:r w:rsidR="00054315">
        <w:t>January 2018</w:t>
      </w:r>
      <w:r>
        <w:t xml:space="preserve">, the Service Provider becomes aware that a Haulage Reference Tariff assigned to a Distribution Supply Point should be a different Haulage Reference Tariff, the Service Provider will advise the relevant User accordingly, prior to the reassignment occurring, unless otherwise agreed. </w:t>
      </w:r>
    </w:p>
    <w:p w14:paraId="3FDDFC40" w14:textId="77777777" w:rsidR="009D7ABF" w:rsidRDefault="009D7ABF" w:rsidP="008A599C">
      <w:pPr>
        <w:pStyle w:val="BodyText"/>
      </w:pPr>
      <w:r>
        <w:t>(e)</w:t>
      </w:r>
      <w:r>
        <w:tab/>
        <w:t>Terms and Conditions for new and changed Distribution Supply Points</w:t>
      </w:r>
    </w:p>
    <w:p w14:paraId="4222EF4D" w14:textId="77777777" w:rsidR="009D7ABF" w:rsidRDefault="009D7ABF" w:rsidP="00C05867">
      <w:pPr>
        <w:pStyle w:val="ListParagraph"/>
      </w:pPr>
      <w:r>
        <w:t>If a new Haulage Reference Tariff is assigned to a Distribution Supply Point or there is a change of User at a Distribution Supply Point, the Service Provider will supply to the relevant User, as soon as practicable after a request from that User, the terms and conditions which will apply to the relevant User at that Distribution Supply Point, and the Haulage Reference Tariff that is assigned to that Distribution Supply Point.</w:t>
      </w:r>
    </w:p>
    <w:p w14:paraId="514344D3" w14:textId="77777777" w:rsidR="009D7ABF" w:rsidRDefault="009D7ABF" w:rsidP="008A599C">
      <w:pPr>
        <w:pStyle w:val="BodyText"/>
      </w:pPr>
      <w:r>
        <w:t>(f)</w:t>
      </w:r>
      <w:r>
        <w:tab/>
        <w:t>Notification by User regarding a different Haulage Reference Tariff</w:t>
      </w:r>
    </w:p>
    <w:p w14:paraId="1CB4230E" w14:textId="77777777" w:rsidR="009D7ABF" w:rsidRDefault="009D7ABF" w:rsidP="00C05867">
      <w:pPr>
        <w:pStyle w:val="ListParagraph"/>
      </w:pPr>
      <w:r>
        <w:t>Where a User receives notice under clause 1.3(d) that a Haulage Reference Tariff assigned to a Distribution Supply Point should be a different Haulage Reference Tariff, the different Haulage Reference Tariff will be assigned to that Distribution Supply Point unless the User submits a written and reasonable request to the Service Provider to remain on the original Haulage Reference Tariff and the Service Provider approves the request.</w:t>
      </w:r>
    </w:p>
    <w:p w14:paraId="45B17FBE" w14:textId="77777777" w:rsidR="009D7ABF" w:rsidRDefault="009D7ABF" w:rsidP="008A599C">
      <w:pPr>
        <w:pStyle w:val="BodyText"/>
      </w:pPr>
      <w:r>
        <w:t>(g)</w:t>
      </w:r>
      <w:r>
        <w:tab/>
        <w:t>Time period for reassignment</w:t>
      </w:r>
    </w:p>
    <w:p w14:paraId="457E6394" w14:textId="77777777" w:rsidR="009D7ABF" w:rsidRDefault="009D7ABF" w:rsidP="00C05867">
      <w:pPr>
        <w:pStyle w:val="ListParagraph"/>
      </w:pPr>
      <w:r>
        <w:t>When introducing a new Haulage Reference Tariff and/or Haulage Reference Tariff Component, the Service Provider will assign the new Haulage Reference Tariff and/or Haulage Reference Tariff Component to the relevant Distribution Supply Point within 30 Business Days of the earlier of:</w:t>
      </w:r>
    </w:p>
    <w:p w14:paraId="1CBF1084" w14:textId="77777777" w:rsidR="009D7ABF" w:rsidRDefault="009D7ABF" w:rsidP="00711D19">
      <w:pPr>
        <w:spacing w:afterLines="60" w:after="144"/>
        <w:ind w:left="1440" w:hanging="720"/>
      </w:pPr>
      <w:r>
        <w:t>(1)</w:t>
      </w:r>
      <w:r>
        <w:tab/>
        <w:t>the receipt of a written notice that the Regulator has verified the Service Provider’s proposed introduction of a new Haulage Reference Tariff and/or Haulage Reference Tariff Component; and</w:t>
      </w:r>
    </w:p>
    <w:p w14:paraId="68E95312" w14:textId="77777777" w:rsidR="009D7ABF" w:rsidRDefault="009D7ABF" w:rsidP="00711D19">
      <w:pPr>
        <w:spacing w:afterLines="60" w:after="144"/>
        <w:ind w:left="1440" w:hanging="720"/>
      </w:pPr>
      <w:r>
        <w:t>(2)</w:t>
      </w:r>
      <w:r>
        <w:tab/>
      </w:r>
      <w:proofErr w:type="gramStart"/>
      <w:r w:rsidR="00054315">
        <w:t>the</w:t>
      </w:r>
      <w:proofErr w:type="gramEnd"/>
      <w:r w:rsidR="00054315">
        <w:t xml:space="preserve"> date which is </w:t>
      </w:r>
      <w:r>
        <w:t>20 Business Days from the date on which the Regulator received the Service Provider’s notification under clause 4.1(c).</w:t>
      </w:r>
    </w:p>
    <w:p w14:paraId="5A24BF71" w14:textId="77777777" w:rsidR="009D7ABF" w:rsidRDefault="009D7ABF" w:rsidP="008A599C">
      <w:pPr>
        <w:pStyle w:val="BodyText"/>
      </w:pPr>
      <w:r>
        <w:t>(h)</w:t>
      </w:r>
      <w:r>
        <w:tab/>
        <w:t>Assignment to Haulage Reference Tariff D or Haulage Reference Tariff M</w:t>
      </w:r>
    </w:p>
    <w:p w14:paraId="4ED12D17" w14:textId="1071AB3C" w:rsidR="009D7ABF" w:rsidRDefault="009D7ABF" w:rsidP="00C05867">
      <w:pPr>
        <w:pStyle w:val="ListParagraph"/>
      </w:pPr>
      <w:r>
        <w:t xml:space="preserve">Where a Haulage Reference Tariff D or Haulage Reference Tariff M is assigned to a Distribution Supply </w:t>
      </w:r>
      <w:proofErr w:type="gramStart"/>
      <w:r>
        <w:t>Point, that</w:t>
      </w:r>
      <w:proofErr w:type="gramEnd"/>
      <w:r>
        <w:t xml:space="preserve"> Haulage </w:t>
      </w:r>
      <w:r w:rsidR="002B4D21">
        <w:t>R</w:t>
      </w:r>
      <w:r>
        <w:t xml:space="preserve">eference Tariff shall apply to that Distribution Supply Point for a minimum period of one year. </w:t>
      </w:r>
    </w:p>
    <w:p w14:paraId="49BB996E" w14:textId="77777777" w:rsidR="009D7ABF" w:rsidRDefault="009D7ABF" w:rsidP="008A599C">
      <w:pPr>
        <w:pStyle w:val="BodyText"/>
      </w:pPr>
      <w:r>
        <w:lastRenderedPageBreak/>
        <w:t>(</w:t>
      </w:r>
      <w:proofErr w:type="spellStart"/>
      <w:r>
        <w:t>i</w:t>
      </w:r>
      <w:proofErr w:type="spellEnd"/>
      <w:r>
        <w:t>)</w:t>
      </w:r>
      <w:r>
        <w:tab/>
        <w:t>Additional information required for new Haulage Reference Tariffs and new Haulage Reference Tariff Components</w:t>
      </w:r>
    </w:p>
    <w:p w14:paraId="3CF9F524" w14:textId="77777777" w:rsidR="009D7ABF" w:rsidRDefault="009D7ABF" w:rsidP="00C05867">
      <w:pPr>
        <w:pStyle w:val="ListParagraph"/>
      </w:pPr>
      <w:r>
        <w:t>Where the Service Provider is proposing to introduce a new Haulage Reference Tariff or a new Haulage Reference Tariff Component, the Service Provider will submit the following information to the Regulator, at the same time that it submits its Haulage Reference Tariff proposals, and in addition to the information required under clause 4.3:</w:t>
      </w:r>
    </w:p>
    <w:p w14:paraId="5C3E3A4C" w14:textId="77777777" w:rsidR="009D7ABF" w:rsidRDefault="009D7ABF" w:rsidP="00711D19">
      <w:pPr>
        <w:spacing w:afterLines="60" w:after="144"/>
        <w:ind w:left="1440" w:hanging="720"/>
      </w:pPr>
      <w:r>
        <w:t>(1)</w:t>
      </w:r>
      <w:r>
        <w:tab/>
      </w:r>
      <w:proofErr w:type="gramStart"/>
      <w:r>
        <w:t>a</w:t>
      </w:r>
      <w:proofErr w:type="gramEnd"/>
      <w:r>
        <w:t xml:space="preserve"> parent Haulage Reference Tariff(s), which is the Haulage Reference Tariff(s) currently assigned to those Distribution Supply Points to which the new Haulage Reference Tariff is proposed to apply;</w:t>
      </w:r>
    </w:p>
    <w:p w14:paraId="5A4F55BE" w14:textId="77777777" w:rsidR="009D7ABF" w:rsidRDefault="009D7ABF" w:rsidP="00711D19">
      <w:pPr>
        <w:spacing w:afterLines="60" w:after="144"/>
        <w:ind w:left="1440" w:hanging="720"/>
      </w:pPr>
      <w:r>
        <w:t>(2)</w:t>
      </w:r>
      <w:r>
        <w:tab/>
        <w:t>reasonable estimates of the Quantities that would have been distributed in relevant units if the new Haulage Reference Tariff Components had existed in the Calendar Year immediately prior to the current Calendar Year for each new Haulage Reference Tariff Component; and</w:t>
      </w:r>
    </w:p>
    <w:p w14:paraId="30993596" w14:textId="77777777" w:rsidR="009D7ABF" w:rsidRDefault="009D7ABF" w:rsidP="00711D19">
      <w:pPr>
        <w:spacing w:afterLines="60" w:after="144"/>
        <w:ind w:left="1440" w:hanging="720"/>
      </w:pPr>
      <w:r>
        <w:t>(3)</w:t>
      </w:r>
      <w:r>
        <w:tab/>
        <w:t>reasonable estimates of the Quantities that would have been distributed in relevant units if the new Haulage Reference Tariff Components had existed in the Calendar Year immediately prior to the current Calendar Year for each Haulage Reference Tariff Component of the parent Haulage Reference Tariff(s).</w:t>
      </w:r>
    </w:p>
    <w:p w14:paraId="00A993FD" w14:textId="77777777" w:rsidR="009D7ABF" w:rsidRDefault="009D7ABF" w:rsidP="008A599C">
      <w:pPr>
        <w:pStyle w:val="BodyText"/>
      </w:pPr>
      <w:r>
        <w:t>(j)</w:t>
      </w:r>
      <w:r>
        <w:tab/>
        <w:t>Switching rates</w:t>
      </w:r>
    </w:p>
    <w:p w14:paraId="049EF1E2" w14:textId="77777777" w:rsidR="009D7ABF" w:rsidRDefault="009D7ABF" w:rsidP="00C05867">
      <w:pPr>
        <w:pStyle w:val="ListParagraph"/>
      </w:pPr>
      <w:r>
        <w:t>Where the Service Provider submits information to the Regulator that the switching rate of Users moving from a given parent Haulage Reference Tariff to a new Haulage Reference Tariff will continue to be above zero from Calendar Year to Calendar Year, the Service Provider will also submit the following information:</w:t>
      </w:r>
    </w:p>
    <w:p w14:paraId="60B21B94" w14:textId="77777777" w:rsidR="009D7ABF" w:rsidRDefault="009D7ABF" w:rsidP="00711D19">
      <w:pPr>
        <w:spacing w:afterLines="60" w:after="144"/>
        <w:ind w:left="1440" w:hanging="720"/>
      </w:pPr>
      <w:r>
        <w:t>(1)</w:t>
      </w:r>
      <w:r>
        <w:tab/>
        <w:t>the Quantities distributed in relevant units at the relevant Distribution Supply Point where the new Haulage Reference Tariff is already assigned to that Distribution Supply Point;</w:t>
      </w:r>
    </w:p>
    <w:p w14:paraId="2BD8F61C" w14:textId="77777777" w:rsidR="009D7ABF" w:rsidRDefault="009D7ABF" w:rsidP="00711D19">
      <w:pPr>
        <w:spacing w:afterLines="60" w:after="144"/>
        <w:ind w:left="1440" w:hanging="720"/>
      </w:pPr>
      <w:r>
        <w:t>(2)</w:t>
      </w:r>
      <w:r>
        <w:tab/>
        <w:t>reasonable estimates of the Quantities distributed in relevant units at those Distribution Supply Points at which the same new Haulage Reference Tariff is expected to apply during the course of the next Calendar Year; and</w:t>
      </w:r>
    </w:p>
    <w:p w14:paraId="3D6655A2" w14:textId="77777777" w:rsidR="009D7ABF" w:rsidRDefault="009D7ABF" w:rsidP="00711D19">
      <w:pPr>
        <w:spacing w:afterLines="60" w:after="144"/>
        <w:ind w:left="1440" w:hanging="720"/>
      </w:pPr>
      <w:r>
        <w:t>(3)</w:t>
      </w:r>
      <w:r>
        <w:tab/>
      </w:r>
      <w:proofErr w:type="gramStart"/>
      <w:r>
        <w:t>the</w:t>
      </w:r>
      <w:proofErr w:type="gramEnd"/>
      <w:r>
        <w:t xml:space="preserve"> Quantities distributed in relevant units at those Distribution Supply Points at which the parent Haulage Reference Tariff continues to apply.</w:t>
      </w:r>
    </w:p>
    <w:p w14:paraId="19EFE9F1" w14:textId="77777777" w:rsidR="009D7ABF" w:rsidRDefault="009D7ABF" w:rsidP="008A599C">
      <w:pPr>
        <w:pStyle w:val="BodyText"/>
      </w:pPr>
      <w:r>
        <w:t>(k)</w:t>
      </w:r>
      <w:r>
        <w:tab/>
        <w:t>Details of estimates</w:t>
      </w:r>
    </w:p>
    <w:p w14:paraId="23EE7DF9" w14:textId="77777777" w:rsidR="009D7ABF" w:rsidRDefault="009D7ABF" w:rsidP="00C05867">
      <w:pPr>
        <w:pStyle w:val="ListParagraph"/>
      </w:pPr>
      <w:r>
        <w:t>The Service Provider will provide details of and the basis for all estimates provided under clauses 1.3(</w:t>
      </w:r>
      <w:proofErr w:type="spellStart"/>
      <w:r w:rsidR="0057547A">
        <w:t>i</w:t>
      </w:r>
      <w:proofErr w:type="spellEnd"/>
      <w:r>
        <w:t>) and (</w:t>
      </w:r>
      <w:r w:rsidR="0057547A">
        <w:t>j</w:t>
      </w:r>
      <w:r>
        <w:t>) to the Regulator, including (but not limited to) the information in clause 1.3(e).</w:t>
      </w:r>
    </w:p>
    <w:p w14:paraId="0F636E82" w14:textId="77777777" w:rsidR="009D7ABF" w:rsidRDefault="009D7ABF" w:rsidP="008A599C">
      <w:pPr>
        <w:pStyle w:val="BodyText"/>
      </w:pPr>
      <w:r>
        <w:t>(l)</w:t>
      </w:r>
      <w:r>
        <w:tab/>
        <w:t>Resubmission of estimates</w:t>
      </w:r>
    </w:p>
    <w:p w14:paraId="74933BC7" w14:textId="77777777" w:rsidR="009D7ABF" w:rsidRDefault="009D7ABF" w:rsidP="00C05867">
      <w:pPr>
        <w:pStyle w:val="ListParagraph"/>
      </w:pPr>
      <w:r>
        <w:t>The Regulator can request that the Service Provider resubmit quantity estimates provided under clauses 1.3(</w:t>
      </w:r>
      <w:proofErr w:type="spellStart"/>
      <w:r w:rsidR="0057547A">
        <w:t>i</w:t>
      </w:r>
      <w:proofErr w:type="spellEnd"/>
      <w:r>
        <w:t>) and (</w:t>
      </w:r>
      <w:r w:rsidR="0057547A">
        <w:t>j</w:t>
      </w:r>
      <w:r>
        <w:t>) where the Regulator considers the estimates to be incomplete, inconsistent or unsubstantiated.  The Regulator must provide reasons for requesting such a resubmission.</w:t>
      </w:r>
    </w:p>
    <w:p w14:paraId="4F69373B" w14:textId="77777777" w:rsidR="009D7ABF" w:rsidRDefault="009D7ABF" w:rsidP="008A599C">
      <w:pPr>
        <w:pStyle w:val="BodyText"/>
      </w:pPr>
      <w:r>
        <w:t>(m)</w:t>
      </w:r>
      <w:r>
        <w:tab/>
        <w:t>Timing of information</w:t>
      </w:r>
    </w:p>
    <w:p w14:paraId="1278A8AE" w14:textId="73C2E600" w:rsidR="009D7ABF" w:rsidRDefault="009D7ABF" w:rsidP="00C05867">
      <w:pPr>
        <w:pStyle w:val="ListParagraph"/>
      </w:pPr>
      <w:r>
        <w:t>The elapsed time between the Regulator requesting that the Service Provider provide additional information under clause 1.3(</w:t>
      </w:r>
      <w:r w:rsidR="002B4D21">
        <w:t>l</w:t>
      </w:r>
      <w:r>
        <w:t>), and the Service Provider providing that information to the Regulator does not count towards the 20 Business Days under clause 1.3(g)</w:t>
      </w:r>
      <w:r w:rsidR="00054315">
        <w:t>(2)</w:t>
      </w:r>
      <w:r>
        <w:t>.</w:t>
      </w:r>
    </w:p>
    <w:p w14:paraId="39EBD14F" w14:textId="77777777" w:rsidR="009D7ABF" w:rsidRDefault="009D7ABF" w:rsidP="00035B92">
      <w:pPr>
        <w:pStyle w:val="Heading2"/>
      </w:pPr>
      <w:bookmarkStart w:id="4" w:name="_Toc469519465"/>
      <w:r>
        <w:t>Withdrawal of Haulage Reference Tariffs</w:t>
      </w:r>
      <w:bookmarkEnd w:id="4"/>
    </w:p>
    <w:p w14:paraId="26C9A316" w14:textId="77777777" w:rsidR="009D7ABF" w:rsidRDefault="009D7ABF" w:rsidP="008A599C">
      <w:pPr>
        <w:pStyle w:val="BodyText"/>
      </w:pPr>
      <w:r>
        <w:t>(a)</w:t>
      </w:r>
      <w:r>
        <w:tab/>
        <w:t>Withdrawal of Haulage Reference Tariff</w:t>
      </w:r>
    </w:p>
    <w:p w14:paraId="20823F3D" w14:textId="77777777" w:rsidR="009D7ABF" w:rsidRDefault="009D7ABF" w:rsidP="00C05867">
      <w:pPr>
        <w:pStyle w:val="ListParagraph"/>
      </w:pPr>
      <w:r>
        <w:t>When proposing the withdrawal of an existing Haulage Reference Tariff and/or Haulage Reference Tariff Component, the Service Provider will reassign alternative Haulage Reference Tariffs to all relevant Distribution Supply Points within 30 Business Days of the earlier of:</w:t>
      </w:r>
    </w:p>
    <w:p w14:paraId="3FC0BC23" w14:textId="77777777" w:rsidR="009D7ABF" w:rsidRDefault="009D7ABF" w:rsidP="00711D19">
      <w:pPr>
        <w:spacing w:afterLines="60" w:after="144"/>
        <w:ind w:left="1440" w:hanging="720"/>
      </w:pPr>
      <w:r>
        <w:lastRenderedPageBreak/>
        <w:t>(1)</w:t>
      </w:r>
      <w:r>
        <w:tab/>
        <w:t>the receipt of a written notice that the Regulator has verified the Service Provider’s proposed withdrawal of the existing Haulage Reference Tariff and/or Haulage Reference Tariff Component; and</w:t>
      </w:r>
    </w:p>
    <w:p w14:paraId="5FFE4E4C" w14:textId="3CC1C74E" w:rsidR="009D7ABF" w:rsidRDefault="009D7ABF" w:rsidP="00711D19">
      <w:pPr>
        <w:ind w:left="1440" w:hanging="720"/>
      </w:pPr>
      <w:r>
        <w:t>(2)</w:t>
      </w:r>
      <w:r>
        <w:tab/>
      </w:r>
      <w:proofErr w:type="gramStart"/>
      <w:r w:rsidR="00412743">
        <w:t>the</w:t>
      </w:r>
      <w:proofErr w:type="gramEnd"/>
      <w:r w:rsidR="00412743">
        <w:t xml:space="preserve"> date which is </w:t>
      </w:r>
      <w:r>
        <w:t>20 Business Days from the date on which the Regulator received the Service Provider’s notification under clause 4.1(c).</w:t>
      </w:r>
    </w:p>
    <w:p w14:paraId="3A0EB3AB" w14:textId="77777777" w:rsidR="009D7ABF" w:rsidRDefault="009D7ABF" w:rsidP="008A599C">
      <w:pPr>
        <w:pStyle w:val="BodyText"/>
      </w:pPr>
      <w:r>
        <w:t>(b)</w:t>
      </w:r>
      <w:r>
        <w:tab/>
        <w:t>Notification of withdrawal of Haulage Reference Tariff</w:t>
      </w:r>
    </w:p>
    <w:p w14:paraId="610F7CD6" w14:textId="77777777" w:rsidR="009D7ABF" w:rsidRDefault="009D7ABF" w:rsidP="00C05867">
      <w:pPr>
        <w:pStyle w:val="ListParagraph"/>
      </w:pPr>
      <w:r>
        <w:t>Prior to the withdrawal of the existing Haulage Reference Tariff and/or Haulage Reference Tariff Component, the Service Provider will as soon as practicable notify all affected Users in writing.</w:t>
      </w:r>
    </w:p>
    <w:p w14:paraId="2A351627" w14:textId="77777777" w:rsidR="009D7ABF" w:rsidRDefault="009D7ABF" w:rsidP="008A599C">
      <w:pPr>
        <w:pStyle w:val="BodyText"/>
      </w:pPr>
      <w:r>
        <w:t>(c)</w:t>
      </w:r>
      <w:r>
        <w:tab/>
        <w:t>Additional information to be provided to Regulator</w:t>
      </w:r>
    </w:p>
    <w:p w14:paraId="519FAC09" w14:textId="77777777" w:rsidR="009D7ABF" w:rsidRDefault="009D7ABF" w:rsidP="00C05867">
      <w:pPr>
        <w:pStyle w:val="ListParagraph"/>
      </w:pPr>
      <w:r>
        <w:t>When the Service Provider proposes to withdraw a Haulage Reference Tariff, in addition to the information required under clause 4.3, the Service Provider will:</w:t>
      </w:r>
    </w:p>
    <w:p w14:paraId="7597B540" w14:textId="77777777" w:rsidR="009D7ABF" w:rsidRDefault="009D7ABF" w:rsidP="00711D19">
      <w:pPr>
        <w:spacing w:afterLines="60" w:after="144"/>
        <w:ind w:left="1440" w:hanging="720"/>
      </w:pPr>
      <w:r>
        <w:t>(1)</w:t>
      </w:r>
      <w:r>
        <w:tab/>
      </w:r>
      <w:proofErr w:type="gramStart"/>
      <w:r>
        <w:t>notify</w:t>
      </w:r>
      <w:proofErr w:type="gramEnd"/>
      <w:r>
        <w:t xml:space="preserve"> the Regulator in writing of the Haulage Reference Tariffs that will replace the withdrawn Haulage Reference Tariffs; </w:t>
      </w:r>
    </w:p>
    <w:p w14:paraId="58114C3D" w14:textId="77777777" w:rsidR="009D7ABF" w:rsidRDefault="009D7ABF" w:rsidP="00711D19">
      <w:pPr>
        <w:spacing w:afterLines="60" w:after="144"/>
        <w:ind w:left="1440" w:hanging="720"/>
      </w:pPr>
      <w:r>
        <w:t>(2)</w:t>
      </w:r>
      <w:r>
        <w:tab/>
        <w:t xml:space="preserve">where Haulage Reference Tariffs will be reassigned to more than one Distribution Supply Point in Calendar Year </w:t>
      </w:r>
      <w:r w:rsidRPr="00711D19">
        <w:t>t</w:t>
      </w:r>
      <w:r>
        <w:t xml:space="preserve">, provide a breakdown of the actual Quantities, in relevant units, that were distributed under each existing Haulage Reference Tariff Component to these Users under the existing parent Haulage Reference Tariffs in Calendar Year </w:t>
      </w:r>
      <w:r w:rsidRPr="00711D19">
        <w:t>t-2</w:t>
      </w:r>
      <w:r>
        <w:t>; and</w:t>
      </w:r>
    </w:p>
    <w:p w14:paraId="2AA6A0E5" w14:textId="77777777" w:rsidR="009D7ABF" w:rsidRDefault="009D7ABF" w:rsidP="00711D19">
      <w:pPr>
        <w:spacing w:afterLines="60" w:after="144"/>
        <w:ind w:left="1440" w:hanging="720"/>
      </w:pPr>
      <w:r>
        <w:t>(3)</w:t>
      </w:r>
      <w:r>
        <w:tab/>
        <w:t xml:space="preserve">where Haulage Reference Tariffs have been reassigned to more than one Distribution Supply Point in Calendar Year </w:t>
      </w:r>
      <w:r>
        <w:rPr>
          <w:rFonts w:ascii="Times New Roman" w:hAnsi="Times New Roman"/>
          <w:i/>
          <w:iCs/>
        </w:rPr>
        <w:t>t-1</w:t>
      </w:r>
      <w:r>
        <w:t xml:space="preserve">, provide a breakdown of the actual Quantities, in relevant units, that were distributed to these Users under each Haulage Reference Tariff Component which existed immediately prior to the reassignment under the parent Haulage Reference Tariffs that previously existed in Calendar Year </w:t>
      </w:r>
      <w:r>
        <w:rPr>
          <w:rFonts w:ascii="Times New Roman" w:hAnsi="Times New Roman"/>
          <w:i/>
          <w:iCs/>
        </w:rPr>
        <w:t>t-1</w:t>
      </w:r>
      <w:r>
        <w:t>.</w:t>
      </w:r>
    </w:p>
    <w:p w14:paraId="557737C6" w14:textId="116D0DD1" w:rsidR="009D7ABF" w:rsidRDefault="009D7ABF" w:rsidP="00035B92">
      <w:pPr>
        <w:pStyle w:val="Heading2"/>
      </w:pPr>
      <w:bookmarkStart w:id="5" w:name="_Toc469519466"/>
      <w:r>
        <w:t>Provision of Information on Tariffs by the Distribution Business</w:t>
      </w:r>
      <w:bookmarkEnd w:id="5"/>
    </w:p>
    <w:p w14:paraId="59A384D0" w14:textId="4FBE71BE" w:rsidR="009D7ABF" w:rsidRDefault="00D07466" w:rsidP="008A599C">
      <w:pPr>
        <w:pStyle w:val="BodyText"/>
      </w:pPr>
      <w:r>
        <w:t>(a)</w:t>
      </w:r>
      <w:r>
        <w:tab/>
      </w:r>
      <w:r w:rsidR="009D7ABF">
        <w:t>The distribution business will prepare and publish a public Tariff Report, by 1 March of each Calendar Year. The Tariff Report should contain sufficient information to enable distribution customers to understand the basis for the tariff policies adopted by the distribution business.</w:t>
      </w:r>
    </w:p>
    <w:p w14:paraId="712B1041" w14:textId="4435CB25" w:rsidR="000A0B8A" w:rsidRDefault="00D07466" w:rsidP="008A599C">
      <w:pPr>
        <w:pStyle w:val="BodyText"/>
      </w:pPr>
      <w:r>
        <w:t>(b)</w:t>
      </w:r>
      <w:r>
        <w:tab/>
      </w:r>
      <w:r w:rsidR="00DD3FBF">
        <w:t>The report</w:t>
      </w:r>
      <w:r w:rsidR="000A0B8A">
        <w:t>:</w:t>
      </w:r>
    </w:p>
    <w:p w14:paraId="1C1B6EA6" w14:textId="054862BA" w:rsidR="00DD3FBF" w:rsidRDefault="00D07466" w:rsidP="00F57D9B">
      <w:pPr>
        <w:ind w:left="1440" w:hanging="720"/>
      </w:pPr>
      <w:r>
        <w:t>(1)</w:t>
      </w:r>
      <w:r>
        <w:tab/>
      </w:r>
      <w:proofErr w:type="gramStart"/>
      <w:r w:rsidR="000426D0">
        <w:t>will</w:t>
      </w:r>
      <w:proofErr w:type="gramEnd"/>
      <w:r w:rsidR="000426D0">
        <w:t xml:space="preserve"> be submitted to the regulator 60 business days prior to the end of the </w:t>
      </w:r>
      <w:r w:rsidR="00D463AE">
        <w:t>C</w:t>
      </w:r>
      <w:r w:rsidR="000426D0">
        <w:t xml:space="preserve">alendar </w:t>
      </w:r>
      <w:r w:rsidR="00D463AE">
        <w:t>Y</w:t>
      </w:r>
      <w:r w:rsidR="000426D0">
        <w:t xml:space="preserve">ear where the </w:t>
      </w:r>
      <w:r w:rsidR="00E17807">
        <w:t>Service Provider</w:t>
      </w:r>
      <w:r w:rsidR="000426D0">
        <w:t xml:space="preserve"> proposes to introduce new tariffs or amend tariff structures in the subsequent </w:t>
      </w:r>
      <w:r w:rsidR="00D463AE">
        <w:t>C</w:t>
      </w:r>
      <w:r w:rsidR="000426D0">
        <w:t xml:space="preserve">alendar </w:t>
      </w:r>
      <w:r w:rsidR="00D463AE">
        <w:t>Y</w:t>
      </w:r>
      <w:r w:rsidR="000426D0">
        <w:t>ear</w:t>
      </w:r>
      <w:r w:rsidR="00566C98">
        <w:t>;</w:t>
      </w:r>
      <w:r w:rsidR="000426D0">
        <w:t xml:space="preserve"> </w:t>
      </w:r>
    </w:p>
    <w:p w14:paraId="63709278" w14:textId="5EF19E96" w:rsidR="000426D0" w:rsidRDefault="00D07466" w:rsidP="00F57D9B">
      <w:pPr>
        <w:ind w:left="1440" w:hanging="720"/>
      </w:pPr>
      <w:r>
        <w:t>(2)</w:t>
      </w:r>
      <w:r>
        <w:tab/>
      </w:r>
      <w:proofErr w:type="gramStart"/>
      <w:r w:rsidR="000426D0">
        <w:t>will</w:t>
      </w:r>
      <w:proofErr w:type="gramEnd"/>
      <w:r w:rsidR="000426D0">
        <w:t xml:space="preserve"> be submitted to the regulator 35 business days prior to the end of the </w:t>
      </w:r>
      <w:r w:rsidR="00D463AE">
        <w:t>C</w:t>
      </w:r>
      <w:r w:rsidR="000426D0">
        <w:t xml:space="preserve">alendar </w:t>
      </w:r>
      <w:r w:rsidR="00D463AE">
        <w:t>Y</w:t>
      </w:r>
      <w:r w:rsidR="000426D0">
        <w:t xml:space="preserve">ear where the </w:t>
      </w:r>
      <w:r w:rsidR="00E17807">
        <w:t>Service Provider</w:t>
      </w:r>
      <w:r w:rsidR="00DD3FBF">
        <w:t xml:space="preserve"> does not propose to introduce new tariffs or amend tariff structures in the subsequent </w:t>
      </w:r>
      <w:r w:rsidR="00D463AE">
        <w:t>C</w:t>
      </w:r>
      <w:r w:rsidR="00DD3FBF">
        <w:t xml:space="preserve">alendar </w:t>
      </w:r>
      <w:r w:rsidR="00D463AE">
        <w:t>Y</w:t>
      </w:r>
      <w:r w:rsidR="00DD3FBF">
        <w:t>ear</w:t>
      </w:r>
      <w:r w:rsidR="00682578">
        <w:t>.</w:t>
      </w:r>
    </w:p>
    <w:p w14:paraId="70B00053" w14:textId="55997AF5" w:rsidR="009D7ABF" w:rsidRDefault="009D7ABF" w:rsidP="008A599C">
      <w:pPr>
        <w:pStyle w:val="Heading1"/>
      </w:pPr>
      <w:bookmarkStart w:id="6" w:name="_Toc469519467"/>
      <w:r>
        <w:t>Ancillary Reference Tariffs</w:t>
      </w:r>
      <w:bookmarkEnd w:id="6"/>
    </w:p>
    <w:p w14:paraId="2B095E39" w14:textId="5B2B7CA7" w:rsidR="009D7ABF" w:rsidRDefault="009D7ABF" w:rsidP="00035B92">
      <w:pPr>
        <w:pStyle w:val="Heading2"/>
      </w:pPr>
      <w:bookmarkStart w:id="7" w:name="_Toc469519468"/>
      <w:r>
        <w:t>Existing Ancillary Reference Tariffs</w:t>
      </w:r>
      <w:bookmarkEnd w:id="7"/>
    </w:p>
    <w:p w14:paraId="2170841B" w14:textId="50535D29" w:rsidR="00035B92" w:rsidRDefault="00966759" w:rsidP="00566C98">
      <w:r w:rsidRPr="00966759">
        <w:t xml:space="preserve">The Ancillary Reference Tariffs for Ancillary Reference Services that will apply from 1 </w:t>
      </w:r>
      <w:r w:rsidR="00054315">
        <w:t>January 2018</w:t>
      </w:r>
      <w:r w:rsidRPr="00966759">
        <w:t xml:space="preserve"> are set out in </w:t>
      </w:r>
      <w:r w:rsidRPr="00D264ED">
        <w:t>clause</w:t>
      </w:r>
      <w:r w:rsidRPr="00966759">
        <w:t xml:space="preserve"> 10.</w:t>
      </w:r>
    </w:p>
    <w:p w14:paraId="10A919E1" w14:textId="77777777" w:rsidR="00035B92" w:rsidRDefault="00035B92">
      <w:pPr>
        <w:spacing w:before="0" w:after="0"/>
        <w:jc w:val="left"/>
      </w:pPr>
      <w:r>
        <w:br w:type="page"/>
      </w:r>
    </w:p>
    <w:p w14:paraId="2063C413" w14:textId="77777777" w:rsidR="009D7ABF" w:rsidRDefault="009D7ABF" w:rsidP="00566C98"/>
    <w:p w14:paraId="7488B9A6" w14:textId="6DF61D0B" w:rsidR="009D7ABF" w:rsidRDefault="009D7ABF" w:rsidP="00035B92">
      <w:pPr>
        <w:pStyle w:val="Heading2"/>
      </w:pPr>
      <w:bookmarkStart w:id="8" w:name="_Toc469519469"/>
      <w:r>
        <w:t>Adjustments to Ancillary Reference Tariffs</w:t>
      </w:r>
      <w:bookmarkEnd w:id="8"/>
    </w:p>
    <w:p w14:paraId="27C25EBC" w14:textId="42FFC7A6" w:rsidR="00412743" w:rsidRDefault="00412743" w:rsidP="00412743">
      <w:pPr>
        <w:ind w:left="720" w:hanging="720"/>
      </w:pPr>
      <w:bookmarkStart w:id="9" w:name="_Toc469519470"/>
      <w:r>
        <w:t xml:space="preserve">(a) </w:t>
      </w:r>
      <w:r>
        <w:tab/>
      </w:r>
      <w:r>
        <w:t xml:space="preserve">From January 2019 the Service Provider will make annual adjustments to the Ancillary Reference Tariffs in accordance with the formulae below.  For the avoidance of doubt, Ancillary Reference </w:t>
      </w:r>
      <w:r w:rsidRPr="00D264ED">
        <w:t>Tariffs</w:t>
      </w:r>
      <w:r>
        <w:t xml:space="preserve"> are not adjusted in accordance with the Tariff Control Formula or rebalancing control formula in clause 3.</w:t>
      </w:r>
    </w:p>
    <w:p w14:paraId="66B90C4B" w14:textId="77777777" w:rsidR="00412743" w:rsidRDefault="00412743" w:rsidP="00412743">
      <w:r>
        <w:t>(b)</w:t>
      </w:r>
      <w:r>
        <w:tab/>
      </w:r>
      <w:r w:rsidRPr="00996DBC">
        <w:t xml:space="preserve">The </w:t>
      </w:r>
      <w:r w:rsidRPr="00D264ED">
        <w:t>Ancillary</w:t>
      </w:r>
      <w:r>
        <w:t xml:space="preserve"> Reference </w:t>
      </w:r>
      <w:r w:rsidRPr="00996DBC">
        <w:t>Tariff Control Formula for the Calendar Year 201</w:t>
      </w:r>
      <w:r>
        <w:t>9 to 2022 is:</w:t>
      </w:r>
    </w:p>
    <w:p w14:paraId="64197A5A" w14:textId="77777777" w:rsidR="00412743" w:rsidRDefault="00412743" w:rsidP="00412743"/>
    <w:p w14:paraId="4077B81F" w14:textId="77777777" w:rsidR="00412743" w:rsidRDefault="00412743" w:rsidP="00412743">
      <w:pPr>
        <w:spacing w:afterLines="60" w:after="144"/>
        <w:ind w:left="1440"/>
      </w:pPr>
      <w:r>
        <w:rPr>
          <w:position w:val="-12"/>
        </w:rPr>
        <w:object w:dxaOrig="2580" w:dyaOrig="360" w14:anchorId="41D73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9pt;height:18pt" o:ole="" fillcolor="window">
            <v:imagedata r:id="rId20" o:title=""/>
          </v:shape>
          <o:OLEObject Type="Embed" ProgID="Equation.3" ShapeID="_x0000_i1077" DrawAspect="Content" ObjectID="_1543320125" r:id="rId21"/>
        </w:object>
      </w:r>
    </w:p>
    <w:p w14:paraId="4BDF468B" w14:textId="77777777" w:rsidR="00412743" w:rsidRDefault="00412743" w:rsidP="00412743">
      <w:pPr>
        <w:spacing w:afterLines="60" w:after="144"/>
        <w:ind w:left="720"/>
      </w:pPr>
      <w:proofErr w:type="gramStart"/>
      <w:r w:rsidRPr="000E3017">
        <w:t>where</w:t>
      </w:r>
      <w:proofErr w:type="gramEnd"/>
      <w:r>
        <w:t>:</w:t>
      </w:r>
    </w:p>
    <w:p w14:paraId="4FA20EB3" w14:textId="77777777" w:rsidR="00412743" w:rsidRDefault="00412743" w:rsidP="00412743">
      <w:pPr>
        <w:spacing w:afterLines="60" w:after="144"/>
        <w:ind w:left="720"/>
      </w:pPr>
      <w:r>
        <w:rPr>
          <w:position w:val="-12"/>
        </w:rPr>
        <w:object w:dxaOrig="560" w:dyaOrig="360" w14:anchorId="791D2B2A">
          <v:shape id="_x0000_i1078" type="#_x0000_t75" style="width:28.8pt;height:18pt" o:ole="" fillcolor="window">
            <v:imagedata r:id="rId22" o:title=""/>
          </v:shape>
          <o:OLEObject Type="Embed" ProgID="Equation.3" ShapeID="_x0000_i1078" DrawAspect="Content" ObjectID="_1543320126" r:id="rId23"/>
        </w:object>
      </w:r>
      <w:r>
        <w:t xml:space="preserve"> </w:t>
      </w:r>
      <w:proofErr w:type="gramStart"/>
      <w:r>
        <w:t>is</w:t>
      </w:r>
      <w:proofErr w:type="gramEnd"/>
      <w:r>
        <w:t xml:space="preserve"> the Ancillary Reference Tariff that applies in Calendar Year </w:t>
      </w:r>
      <w:r>
        <w:rPr>
          <w:rFonts w:ascii="Times New Roman" w:hAnsi="Times New Roman"/>
          <w:i/>
          <w:iCs/>
        </w:rPr>
        <w:t>t</w:t>
      </w:r>
      <w:r>
        <w:t>;</w:t>
      </w:r>
    </w:p>
    <w:p w14:paraId="171AB874" w14:textId="77777777" w:rsidR="00412743" w:rsidRDefault="00412743" w:rsidP="00412743">
      <w:pPr>
        <w:spacing w:afterLines="60" w:after="144"/>
        <w:ind w:left="720"/>
      </w:pPr>
      <w:r>
        <w:rPr>
          <w:position w:val="-12"/>
        </w:rPr>
        <w:object w:dxaOrig="700" w:dyaOrig="360" w14:anchorId="6F0DDD58">
          <v:shape id="_x0000_i1079" type="#_x0000_t75" style="width:35.4pt;height:18pt" o:ole="" fillcolor="window">
            <v:imagedata r:id="rId24" o:title=""/>
          </v:shape>
          <o:OLEObject Type="Embed" ProgID="Equation.3" ShapeID="_x0000_i1079" DrawAspect="Content" ObjectID="_1543320127" r:id="rId25"/>
        </w:object>
      </w:r>
      <w:r>
        <w:t xml:space="preserve"> </w:t>
      </w:r>
      <w:proofErr w:type="gramStart"/>
      <w:r>
        <w:t>is</w:t>
      </w:r>
      <w:proofErr w:type="gramEnd"/>
      <w:r>
        <w:t xml:space="preserve"> the Ancillary Reference Tariff that applies in Calendar Year </w:t>
      </w:r>
      <w:r>
        <w:rPr>
          <w:rFonts w:ascii="Times New Roman" w:hAnsi="Times New Roman"/>
          <w:i/>
          <w:iCs/>
        </w:rPr>
        <w:t>t-</w:t>
      </w:r>
      <w:r>
        <w:rPr>
          <w:rFonts w:ascii="Times New Roman" w:hAnsi="Times New Roman"/>
        </w:rPr>
        <w:t>1</w:t>
      </w:r>
      <w:r>
        <w:t xml:space="preserve">; </w:t>
      </w:r>
    </w:p>
    <w:p w14:paraId="7723024B" w14:textId="77777777" w:rsidR="00412743" w:rsidRDefault="00412743" w:rsidP="00412743">
      <w:pPr>
        <w:spacing w:afterLines="60" w:after="144"/>
        <w:ind w:left="720"/>
      </w:pPr>
      <w:r>
        <w:rPr>
          <w:position w:val="-12"/>
        </w:rPr>
        <w:object w:dxaOrig="520" w:dyaOrig="360" w14:anchorId="01F1792D">
          <v:shape id="_x0000_i1080" type="#_x0000_t75" style="width:26.4pt;height:18pt" o:ole="" fillcolor="window">
            <v:imagedata r:id="rId26" o:title=""/>
          </v:shape>
          <o:OLEObject Type="Embed" ProgID="Equation.3" ShapeID="_x0000_i1080" DrawAspect="Content" ObjectID="_1543320128" r:id="rId27"/>
        </w:object>
      </w:r>
      <w:r>
        <w:t xml:space="preserve"> </w:t>
      </w:r>
      <w:proofErr w:type="gramStart"/>
      <w:r>
        <w:rPr>
          <w:snapToGrid w:val="0"/>
        </w:rPr>
        <w:t>is</w:t>
      </w:r>
      <w:proofErr w:type="gramEnd"/>
      <w:r>
        <w:rPr>
          <w:snapToGrid w:val="0"/>
        </w:rPr>
        <w:t xml:space="preserve"> the </w:t>
      </w:r>
      <w:r>
        <w:rPr>
          <w:rFonts w:ascii="Times New Roman" w:hAnsi="Times New Roman"/>
          <w:i/>
          <w:snapToGrid w:val="0"/>
        </w:rPr>
        <w:t>CPI</w:t>
      </w:r>
      <w:r>
        <w:rPr>
          <w:snapToGrid w:val="0"/>
        </w:rPr>
        <w:t xml:space="preserve"> for Calendar Year </w:t>
      </w:r>
      <w:r>
        <w:rPr>
          <w:rFonts w:ascii="Times New Roman" w:hAnsi="Times New Roman"/>
          <w:i/>
          <w:snapToGrid w:val="0"/>
        </w:rPr>
        <w:t>t</w:t>
      </w:r>
      <w:r>
        <w:rPr>
          <w:snapToGrid w:val="0"/>
        </w:rPr>
        <w:t>, as defined in the Glossary</w:t>
      </w:r>
      <w:r>
        <w:t>.</w:t>
      </w:r>
    </w:p>
    <w:p w14:paraId="3C6B4175" w14:textId="39D85CFA" w:rsidR="009D7ABF" w:rsidRDefault="009D7ABF" w:rsidP="008A599C">
      <w:pPr>
        <w:pStyle w:val="Heading1"/>
      </w:pPr>
      <w:r>
        <w:t>Haulage Reference Tariff Control Formula</w:t>
      </w:r>
      <w:bookmarkEnd w:id="9"/>
    </w:p>
    <w:p w14:paraId="79BAF094" w14:textId="116BC0A0" w:rsidR="00136556" w:rsidRPr="00996DBC" w:rsidRDefault="00D07466" w:rsidP="00900D3D">
      <w:pPr>
        <w:autoSpaceDE w:val="0"/>
        <w:autoSpaceDN w:val="0"/>
        <w:adjustRightInd w:val="0"/>
        <w:spacing w:afterLines="60" w:after="144"/>
        <w:ind w:left="720" w:hanging="720"/>
        <w:rPr>
          <w:rFonts w:cs="Arial"/>
          <w:color w:val="000000"/>
          <w:szCs w:val="22"/>
        </w:rPr>
      </w:pPr>
      <w:r>
        <w:rPr>
          <w:rFonts w:cs="Arial"/>
          <w:color w:val="000000"/>
          <w:szCs w:val="22"/>
        </w:rPr>
        <w:t>(a)</w:t>
      </w:r>
      <w:r>
        <w:rPr>
          <w:rFonts w:cs="Arial"/>
          <w:color w:val="000000"/>
          <w:szCs w:val="22"/>
        </w:rPr>
        <w:tab/>
      </w:r>
      <w:r w:rsidR="00136556" w:rsidRPr="00996DBC">
        <w:rPr>
          <w:rFonts w:cs="Arial"/>
          <w:color w:val="000000"/>
          <w:szCs w:val="22"/>
        </w:rPr>
        <w:t xml:space="preserve">The Tariff Control Formula comprises the principles, procedures and formulae, which apply during the </w:t>
      </w:r>
      <w:r w:rsidR="000352B1">
        <w:rPr>
          <w:rFonts w:cs="Arial"/>
          <w:color w:val="000000"/>
          <w:szCs w:val="22"/>
        </w:rPr>
        <w:t>Fifth</w:t>
      </w:r>
      <w:r w:rsidR="000352B1" w:rsidRPr="00996DBC">
        <w:rPr>
          <w:rFonts w:cs="Arial"/>
          <w:color w:val="000000"/>
          <w:szCs w:val="22"/>
        </w:rPr>
        <w:t xml:space="preserve"> </w:t>
      </w:r>
      <w:r w:rsidR="00136556" w:rsidRPr="00996DBC">
        <w:rPr>
          <w:rFonts w:cs="Arial"/>
          <w:color w:val="000000"/>
          <w:szCs w:val="22"/>
        </w:rPr>
        <w:t>Access Arrangement Period for:</w:t>
      </w:r>
    </w:p>
    <w:p w14:paraId="13AC5E1F" w14:textId="44B83056" w:rsidR="00136556" w:rsidRPr="00F57D9B" w:rsidRDefault="00136556" w:rsidP="00F57D9B">
      <w:pPr>
        <w:spacing w:afterLines="60" w:after="144"/>
        <w:ind w:left="1440" w:hanging="720"/>
      </w:pPr>
      <w:r w:rsidRPr="00996DBC">
        <w:rPr>
          <w:rFonts w:cs="Arial"/>
          <w:color w:val="000000"/>
          <w:szCs w:val="22"/>
        </w:rPr>
        <w:t xml:space="preserve">(1) </w:t>
      </w:r>
      <w:r w:rsidR="00D07466">
        <w:rPr>
          <w:rFonts w:cs="Arial"/>
          <w:color w:val="000000"/>
          <w:szCs w:val="22"/>
        </w:rPr>
        <w:tab/>
      </w:r>
      <w:r w:rsidRPr="00F57D9B">
        <w:t>varying;</w:t>
      </w:r>
    </w:p>
    <w:p w14:paraId="56A38495" w14:textId="4C4B5F7B" w:rsidR="00136556" w:rsidRPr="00F57D9B" w:rsidRDefault="00136556" w:rsidP="00F57D9B">
      <w:pPr>
        <w:spacing w:afterLines="60" w:after="144"/>
        <w:ind w:left="1440" w:hanging="720"/>
      </w:pPr>
      <w:r w:rsidRPr="00F57D9B">
        <w:t xml:space="preserve">(2) </w:t>
      </w:r>
      <w:r w:rsidR="00D07466">
        <w:tab/>
      </w:r>
      <w:r w:rsidRPr="00F57D9B">
        <w:t>withdrawing; and</w:t>
      </w:r>
    </w:p>
    <w:p w14:paraId="5A22203E" w14:textId="7541CFF5" w:rsidR="00136556" w:rsidRPr="00996DBC" w:rsidRDefault="00136556" w:rsidP="00F57D9B">
      <w:pPr>
        <w:spacing w:afterLines="60" w:after="144"/>
        <w:ind w:left="1440" w:hanging="720"/>
        <w:rPr>
          <w:rFonts w:cs="Arial"/>
          <w:color w:val="000000"/>
          <w:szCs w:val="22"/>
        </w:rPr>
      </w:pPr>
      <w:r w:rsidRPr="00F57D9B">
        <w:t xml:space="preserve">(3) </w:t>
      </w:r>
      <w:r w:rsidR="00D07466">
        <w:tab/>
      </w:r>
      <w:r w:rsidRPr="00F57D9B">
        <w:t>introducing</w:t>
      </w:r>
      <w:r w:rsidRPr="00996DBC">
        <w:rPr>
          <w:rFonts w:cs="Arial"/>
          <w:color w:val="000000"/>
          <w:szCs w:val="22"/>
        </w:rPr>
        <w:t xml:space="preserve"> new,</w:t>
      </w:r>
    </w:p>
    <w:p w14:paraId="4F6F9AE5" w14:textId="1190B336" w:rsidR="009F27C6" w:rsidRDefault="00136556" w:rsidP="00F57D9B">
      <w:pPr>
        <w:ind w:left="720"/>
      </w:pPr>
      <w:r w:rsidRPr="00996DBC">
        <w:t xml:space="preserve">Haulage Reference </w:t>
      </w:r>
      <w:r w:rsidRPr="00682578">
        <w:t>Tariffs</w:t>
      </w:r>
      <w:r w:rsidRPr="00996DBC">
        <w:t xml:space="preserve">. </w:t>
      </w:r>
    </w:p>
    <w:p w14:paraId="6A3BDBBD" w14:textId="44FC875C" w:rsidR="00136556" w:rsidRPr="00996DBC" w:rsidRDefault="00682578" w:rsidP="00F57D9B">
      <w:pPr>
        <w:autoSpaceDE w:val="0"/>
        <w:autoSpaceDN w:val="0"/>
        <w:adjustRightInd w:val="0"/>
        <w:spacing w:afterLines="60" w:after="144"/>
        <w:ind w:left="720" w:hanging="720"/>
        <w:rPr>
          <w:rFonts w:cs="Arial"/>
          <w:color w:val="000000"/>
          <w:szCs w:val="22"/>
        </w:rPr>
      </w:pPr>
      <w:r>
        <w:rPr>
          <w:rFonts w:cs="Arial"/>
          <w:color w:val="000000"/>
          <w:szCs w:val="22"/>
        </w:rPr>
        <w:t>(b)</w:t>
      </w:r>
      <w:r>
        <w:rPr>
          <w:rFonts w:cs="Arial"/>
          <w:color w:val="000000"/>
          <w:szCs w:val="22"/>
        </w:rPr>
        <w:tab/>
      </w:r>
      <w:r w:rsidR="00136556" w:rsidRPr="00996DBC">
        <w:rPr>
          <w:rFonts w:cs="Arial"/>
          <w:color w:val="000000"/>
          <w:szCs w:val="22"/>
        </w:rPr>
        <w:t>For the avoidance of doubt, the Tariff Control Formula and the rebalancing control formulae do not apply to Ancillary Reference Tariffs.</w:t>
      </w:r>
    </w:p>
    <w:p w14:paraId="1569CD1C" w14:textId="638D7640" w:rsidR="00136556" w:rsidRPr="00996DBC" w:rsidRDefault="009F27C6" w:rsidP="00F57D9B">
      <w:pPr>
        <w:autoSpaceDE w:val="0"/>
        <w:autoSpaceDN w:val="0"/>
        <w:adjustRightInd w:val="0"/>
        <w:spacing w:afterLines="60" w:after="144"/>
        <w:ind w:left="720" w:hanging="720"/>
        <w:rPr>
          <w:rFonts w:cs="Arial"/>
          <w:color w:val="000000"/>
          <w:szCs w:val="22"/>
        </w:rPr>
      </w:pPr>
      <w:r>
        <w:rPr>
          <w:rFonts w:cs="Arial"/>
          <w:color w:val="000000"/>
          <w:szCs w:val="22"/>
        </w:rPr>
        <w:t>(c)</w:t>
      </w:r>
      <w:r>
        <w:rPr>
          <w:rFonts w:cs="Arial"/>
          <w:color w:val="000000"/>
          <w:szCs w:val="22"/>
        </w:rPr>
        <w:tab/>
      </w:r>
      <w:r w:rsidR="00136556" w:rsidRPr="00996DBC">
        <w:rPr>
          <w:rFonts w:cs="Arial"/>
          <w:color w:val="000000"/>
          <w:szCs w:val="22"/>
        </w:rPr>
        <w:t>Whenever the Service Provider proposes to vary, withdraw or introduce any new Haulage Reference Tariff, it will ensure that the proposed charge will be compliant with the relevant Tariff Control Formula set out in clause 3.1 and with the relevant rebalancing control formulae in clause 3.6 to the reasonable satisfaction of the Regulator, and it will comply with the procedures set out in clause 4.</w:t>
      </w:r>
    </w:p>
    <w:p w14:paraId="16EE70C8" w14:textId="0EFD32FA" w:rsidR="009D7ABF" w:rsidRDefault="009D7ABF" w:rsidP="00035B92">
      <w:pPr>
        <w:pStyle w:val="Heading2"/>
      </w:pPr>
      <w:bookmarkStart w:id="10" w:name="_Toc469519471"/>
      <w:r>
        <w:t>The Tariff Control Formula</w:t>
      </w:r>
      <w:bookmarkEnd w:id="10"/>
    </w:p>
    <w:p w14:paraId="229967A1" w14:textId="47E63E88" w:rsidR="00BC34B4" w:rsidRPr="005E3BA3" w:rsidRDefault="00BC34B4" w:rsidP="00F57D9B">
      <w:pPr>
        <w:pStyle w:val="Heading3"/>
      </w:pPr>
      <w:bookmarkStart w:id="11" w:name="_Toc469519472"/>
      <w:r>
        <w:t>Tariff Control Formula</w:t>
      </w:r>
      <w:bookmarkEnd w:id="11"/>
    </w:p>
    <w:p w14:paraId="546978AE" w14:textId="60AECF4A" w:rsidR="00136556" w:rsidRPr="00996DBC" w:rsidRDefault="00390FCF" w:rsidP="00711D19">
      <w:pPr>
        <w:autoSpaceDE w:val="0"/>
        <w:autoSpaceDN w:val="0"/>
        <w:adjustRightInd w:val="0"/>
        <w:spacing w:afterLines="60" w:after="144"/>
        <w:rPr>
          <w:rFonts w:cs="Arial"/>
          <w:color w:val="000000"/>
          <w:szCs w:val="22"/>
        </w:rPr>
      </w:pPr>
      <w:r>
        <w:rPr>
          <w:rFonts w:cs="Arial"/>
          <w:color w:val="000000"/>
          <w:szCs w:val="22"/>
        </w:rPr>
        <w:t>(a)</w:t>
      </w:r>
      <w:r>
        <w:rPr>
          <w:rFonts w:cs="Arial"/>
          <w:color w:val="000000"/>
          <w:szCs w:val="22"/>
        </w:rPr>
        <w:tab/>
      </w:r>
      <w:r w:rsidR="00136556" w:rsidRPr="00996DBC">
        <w:rPr>
          <w:rFonts w:cs="Arial"/>
          <w:color w:val="000000"/>
          <w:szCs w:val="22"/>
        </w:rPr>
        <w:t>The Tariff Control Formula adopted is consistent with the tariff basket form of price control.</w:t>
      </w:r>
      <w:r>
        <w:rPr>
          <w:rFonts w:cs="Arial"/>
          <w:color w:val="000000"/>
          <w:szCs w:val="22"/>
        </w:rPr>
        <w:t xml:space="preserve">  </w:t>
      </w:r>
    </w:p>
    <w:p w14:paraId="6D4784BF" w14:textId="0963EFA7" w:rsidR="00136556" w:rsidRPr="00996DBC" w:rsidRDefault="008E1C5A" w:rsidP="008E1C5A">
      <w:pPr>
        <w:autoSpaceDE w:val="0"/>
        <w:autoSpaceDN w:val="0"/>
        <w:adjustRightInd w:val="0"/>
        <w:spacing w:afterLines="60" w:after="144"/>
        <w:ind w:left="720" w:hanging="720"/>
        <w:rPr>
          <w:rFonts w:cs="Arial"/>
          <w:szCs w:val="22"/>
        </w:rPr>
      </w:pPr>
      <w:r>
        <w:rPr>
          <w:rFonts w:cs="Arial"/>
          <w:szCs w:val="22"/>
        </w:rPr>
        <w:t>(b)</w:t>
      </w:r>
      <w:r>
        <w:rPr>
          <w:rFonts w:cs="Arial"/>
          <w:szCs w:val="22"/>
        </w:rPr>
        <w:tab/>
      </w:r>
      <w:r w:rsidR="00136556" w:rsidRPr="00996DBC">
        <w:rPr>
          <w:rFonts w:cs="Arial"/>
          <w:szCs w:val="22"/>
        </w:rPr>
        <w:t>The Tariff Control Formula is:</w:t>
      </w:r>
    </w:p>
    <w:p w14:paraId="6BBC95E9" w14:textId="77777777" w:rsidR="00136556" w:rsidRPr="00996DBC" w:rsidRDefault="00136556" w:rsidP="00711D19">
      <w:pPr>
        <w:autoSpaceDE w:val="0"/>
        <w:autoSpaceDN w:val="0"/>
        <w:adjustRightInd w:val="0"/>
        <w:spacing w:afterLines="60" w:after="144"/>
        <w:jc w:val="center"/>
        <w:rPr>
          <w:rFonts w:cs="Arial"/>
          <w:szCs w:val="22"/>
        </w:rPr>
      </w:pPr>
      <w:r w:rsidRPr="00996DBC">
        <w:rPr>
          <w:rFonts w:cs="Arial"/>
          <w:color w:val="000000"/>
          <w:position w:val="-62"/>
        </w:rPr>
        <w:object w:dxaOrig="4780" w:dyaOrig="1359" w14:anchorId="2602F58E">
          <v:shape id="_x0000_i1029" type="#_x0000_t75" style="width:355.2pt;height:90.6pt" o:ole="">
            <v:imagedata r:id="rId28" o:title=""/>
          </v:shape>
          <o:OLEObject Type="Embed" ProgID="Equation.3" ShapeID="_x0000_i1029" DrawAspect="Content" ObjectID="_1543320129" r:id="rId29"/>
        </w:object>
      </w:r>
    </w:p>
    <w:p w14:paraId="3CCFF5AB" w14:textId="77777777" w:rsidR="00136556" w:rsidRPr="00996DBC" w:rsidRDefault="00136556" w:rsidP="00F57D9B">
      <w:pPr>
        <w:autoSpaceDE w:val="0"/>
        <w:autoSpaceDN w:val="0"/>
        <w:adjustRightInd w:val="0"/>
        <w:spacing w:afterLines="60" w:after="144"/>
        <w:ind w:left="720"/>
        <w:rPr>
          <w:rFonts w:cs="Arial"/>
          <w:color w:val="000000"/>
          <w:szCs w:val="22"/>
        </w:rPr>
      </w:pPr>
      <w:r w:rsidRPr="00996DBC">
        <w:rPr>
          <w:rFonts w:cs="Arial"/>
          <w:color w:val="000000"/>
          <w:szCs w:val="22"/>
        </w:rPr>
        <w:t xml:space="preserve">where the Service Provider has </w:t>
      </w:r>
      <w:r w:rsidRPr="008E1C5A">
        <w:rPr>
          <w:rFonts w:cs="Arial"/>
          <w:i/>
          <w:color w:val="000000"/>
          <w:szCs w:val="22"/>
        </w:rPr>
        <w:t>n</w:t>
      </w:r>
      <w:r w:rsidRPr="00996DBC">
        <w:rPr>
          <w:rFonts w:cs="Arial"/>
          <w:color w:val="000000"/>
          <w:szCs w:val="22"/>
        </w:rPr>
        <w:t xml:space="preserve"> Haulage Reference Tariff categories, each category having up to </w:t>
      </w:r>
      <w:r w:rsidRPr="008E1C5A">
        <w:rPr>
          <w:rFonts w:cs="Arial"/>
          <w:i/>
          <w:color w:val="000000"/>
          <w:szCs w:val="22"/>
        </w:rPr>
        <w:t>m</w:t>
      </w:r>
      <w:r w:rsidRPr="00996DBC">
        <w:rPr>
          <w:rFonts w:cs="Arial"/>
          <w:color w:val="000000"/>
          <w:szCs w:val="22"/>
        </w:rPr>
        <w:t xml:space="preserve"> Haulage Reference Tariff Components and where:</w:t>
      </w:r>
    </w:p>
    <w:p w14:paraId="11107BDD" w14:textId="77777777" w:rsidR="00136556" w:rsidRPr="00996DBC" w:rsidRDefault="00136556" w:rsidP="00F57D9B">
      <w:pPr>
        <w:autoSpaceDE w:val="0"/>
        <w:autoSpaceDN w:val="0"/>
        <w:adjustRightInd w:val="0"/>
        <w:spacing w:afterLines="60" w:after="144"/>
        <w:ind w:left="1440" w:hanging="720"/>
        <w:rPr>
          <w:rFonts w:cs="Arial"/>
          <w:color w:val="000000"/>
          <w:szCs w:val="22"/>
        </w:rPr>
      </w:pPr>
      <w:r w:rsidRPr="00996DBC">
        <w:rPr>
          <w:rFonts w:cs="Arial"/>
          <w:color w:val="000000"/>
          <w:position w:val="-12"/>
          <w:szCs w:val="22"/>
        </w:rPr>
        <w:object w:dxaOrig="320" w:dyaOrig="380" w14:anchorId="5A9310BE">
          <v:shape id="_x0000_i1030" type="#_x0000_t75" style="width:15.6pt;height:18.6pt" o:ole="">
            <v:imagedata r:id="rId30" o:title=""/>
          </v:shape>
          <o:OLEObject Type="Embed" ProgID="Equation.3" ShapeID="_x0000_i1030" DrawAspect="Content" ObjectID="_1543320130" r:id="rId31"/>
        </w:object>
      </w:r>
      <w:r w:rsidRPr="00996DBC">
        <w:rPr>
          <w:rFonts w:cs="Arial"/>
          <w:color w:val="000000"/>
          <w:szCs w:val="22"/>
        </w:rPr>
        <w:tab/>
        <w:t xml:space="preserve">is the proposed Haulage Reference Tariff for Haulage Reference Tariff </w:t>
      </w:r>
      <w:r w:rsidR="001151B6">
        <w:rPr>
          <w:rFonts w:cs="Arial"/>
          <w:color w:val="000000"/>
          <w:szCs w:val="22"/>
        </w:rPr>
        <w:t>C</w:t>
      </w:r>
      <w:r w:rsidRPr="00996DBC">
        <w:rPr>
          <w:rFonts w:cs="Arial"/>
          <w:color w:val="000000"/>
          <w:szCs w:val="22"/>
        </w:rPr>
        <w:t xml:space="preserve">omponent </w:t>
      </w:r>
      <w:r w:rsidRPr="00996DBC">
        <w:rPr>
          <w:rFonts w:cs="Arial"/>
          <w:i/>
          <w:iCs/>
          <w:color w:val="000000"/>
          <w:szCs w:val="22"/>
        </w:rPr>
        <w:t xml:space="preserve">j </w:t>
      </w:r>
      <w:r w:rsidRPr="00996DBC">
        <w:rPr>
          <w:rFonts w:cs="Arial"/>
          <w:color w:val="000000"/>
          <w:szCs w:val="22"/>
        </w:rPr>
        <w:t xml:space="preserve">of Haulage Reference Tariff </w:t>
      </w:r>
      <w:proofErr w:type="spellStart"/>
      <w:r w:rsidRPr="00996DBC">
        <w:rPr>
          <w:rFonts w:cs="Arial"/>
          <w:i/>
          <w:iCs/>
          <w:color w:val="000000"/>
          <w:szCs w:val="22"/>
        </w:rPr>
        <w:t>i</w:t>
      </w:r>
      <w:proofErr w:type="spellEnd"/>
      <w:r w:rsidRPr="00996DBC">
        <w:rPr>
          <w:rFonts w:cs="Arial"/>
          <w:i/>
          <w:iCs/>
          <w:color w:val="000000"/>
          <w:szCs w:val="22"/>
        </w:rPr>
        <w:t xml:space="preserve"> </w:t>
      </w:r>
      <w:r w:rsidRPr="00996DBC">
        <w:rPr>
          <w:rFonts w:cs="Arial"/>
          <w:color w:val="000000"/>
          <w:szCs w:val="22"/>
        </w:rPr>
        <w:t xml:space="preserve">in Calendar Year </w:t>
      </w:r>
      <w:r w:rsidRPr="00996DBC">
        <w:rPr>
          <w:rFonts w:cs="Arial"/>
          <w:i/>
          <w:iCs/>
          <w:color w:val="000000"/>
          <w:szCs w:val="22"/>
        </w:rPr>
        <w:t>t</w:t>
      </w:r>
      <w:r w:rsidRPr="00996DBC">
        <w:rPr>
          <w:rFonts w:cs="Arial"/>
          <w:color w:val="000000"/>
          <w:szCs w:val="22"/>
        </w:rPr>
        <w:t>;</w:t>
      </w:r>
    </w:p>
    <w:p w14:paraId="406C7F7D" w14:textId="77777777" w:rsidR="00136556" w:rsidRPr="00996DBC" w:rsidRDefault="00136556" w:rsidP="00F57D9B">
      <w:pPr>
        <w:autoSpaceDE w:val="0"/>
        <w:autoSpaceDN w:val="0"/>
        <w:adjustRightInd w:val="0"/>
        <w:spacing w:afterLines="60" w:after="144"/>
        <w:ind w:left="1440" w:hanging="720"/>
        <w:rPr>
          <w:rFonts w:cs="Arial"/>
          <w:color w:val="000000"/>
          <w:szCs w:val="22"/>
        </w:rPr>
      </w:pPr>
      <w:r w:rsidRPr="00996DBC">
        <w:rPr>
          <w:rFonts w:cs="Arial"/>
          <w:color w:val="000000"/>
          <w:position w:val="-12"/>
          <w:szCs w:val="22"/>
        </w:rPr>
        <w:object w:dxaOrig="420" w:dyaOrig="380" w14:anchorId="56F61FCA">
          <v:shape id="_x0000_i1031" type="#_x0000_t75" style="width:21pt;height:18.6pt" o:ole="">
            <v:imagedata r:id="rId32" o:title=""/>
          </v:shape>
          <o:OLEObject Type="Embed" ProgID="Equation.3" ShapeID="_x0000_i1031" DrawAspect="Content" ObjectID="_1543320131" r:id="rId33"/>
        </w:object>
      </w:r>
      <w:r w:rsidRPr="00996DBC">
        <w:rPr>
          <w:rFonts w:cs="Arial"/>
          <w:color w:val="000000"/>
          <w:szCs w:val="22"/>
        </w:rPr>
        <w:tab/>
      </w:r>
      <w:proofErr w:type="gramStart"/>
      <w:r w:rsidRPr="00996DBC">
        <w:rPr>
          <w:rFonts w:cs="Arial"/>
          <w:color w:val="000000"/>
          <w:szCs w:val="22"/>
        </w:rPr>
        <w:t>is</w:t>
      </w:r>
      <w:proofErr w:type="gramEnd"/>
      <w:r w:rsidRPr="00996DBC">
        <w:rPr>
          <w:rFonts w:cs="Arial"/>
          <w:color w:val="000000"/>
          <w:szCs w:val="22"/>
        </w:rPr>
        <w:t xml:space="preserve"> the Haulage Reference Tariff being charged for Haulage Reference Tariff Component </w:t>
      </w:r>
      <w:r w:rsidRPr="00996DBC">
        <w:rPr>
          <w:rFonts w:cs="Arial"/>
          <w:i/>
          <w:color w:val="000000"/>
          <w:szCs w:val="22"/>
        </w:rPr>
        <w:t>j</w:t>
      </w:r>
      <w:r w:rsidRPr="00996DBC">
        <w:rPr>
          <w:rFonts w:cs="Arial"/>
          <w:color w:val="000000"/>
          <w:szCs w:val="22"/>
        </w:rPr>
        <w:t xml:space="preserve"> of Haulage Reference Tariff </w:t>
      </w:r>
      <w:proofErr w:type="spellStart"/>
      <w:r w:rsidRPr="00996DBC">
        <w:rPr>
          <w:rFonts w:cs="Arial"/>
          <w:i/>
          <w:color w:val="000000"/>
          <w:szCs w:val="22"/>
        </w:rPr>
        <w:t>i</w:t>
      </w:r>
      <w:proofErr w:type="spellEnd"/>
      <w:r w:rsidRPr="00996DBC">
        <w:rPr>
          <w:rFonts w:cs="Arial"/>
          <w:color w:val="000000"/>
          <w:szCs w:val="22"/>
        </w:rPr>
        <w:t xml:space="preserve"> in Calendar Year </w:t>
      </w:r>
      <w:r w:rsidRPr="00996DBC">
        <w:rPr>
          <w:rFonts w:cs="Arial"/>
          <w:i/>
          <w:color w:val="000000"/>
          <w:szCs w:val="22"/>
        </w:rPr>
        <w:t>t-1</w:t>
      </w:r>
      <w:r w:rsidRPr="00996DBC">
        <w:rPr>
          <w:rFonts w:cs="Arial"/>
          <w:color w:val="000000"/>
          <w:szCs w:val="22"/>
        </w:rPr>
        <w:t>;</w:t>
      </w:r>
    </w:p>
    <w:p w14:paraId="1D63ACB6" w14:textId="77777777" w:rsidR="00136556" w:rsidRPr="00996DBC" w:rsidRDefault="00136556" w:rsidP="00F57D9B">
      <w:pPr>
        <w:autoSpaceDE w:val="0"/>
        <w:autoSpaceDN w:val="0"/>
        <w:adjustRightInd w:val="0"/>
        <w:spacing w:afterLines="60" w:after="144"/>
        <w:ind w:left="1440" w:hanging="720"/>
        <w:rPr>
          <w:rFonts w:cs="Arial"/>
          <w:color w:val="000000"/>
          <w:szCs w:val="22"/>
        </w:rPr>
      </w:pPr>
      <w:r w:rsidRPr="00996DBC">
        <w:rPr>
          <w:rFonts w:cs="Arial"/>
          <w:color w:val="000000"/>
          <w:position w:val="-12"/>
          <w:sz w:val="14"/>
          <w:szCs w:val="14"/>
        </w:rPr>
        <w:object w:dxaOrig="420" w:dyaOrig="380" w14:anchorId="3B2E6F43">
          <v:shape id="_x0000_i1032" type="#_x0000_t75" style="width:21pt;height:18.6pt" o:ole="">
            <v:imagedata r:id="rId34" o:title=""/>
          </v:shape>
          <o:OLEObject Type="Embed" ProgID="Equation.3" ShapeID="_x0000_i1032" DrawAspect="Content" ObjectID="_1543320132" r:id="rId35"/>
        </w:object>
      </w:r>
      <w:r w:rsidRPr="00996DBC">
        <w:rPr>
          <w:rFonts w:cs="Arial"/>
          <w:color w:val="000000"/>
          <w:sz w:val="14"/>
          <w:szCs w:val="14"/>
        </w:rPr>
        <w:tab/>
      </w:r>
      <w:proofErr w:type="gramStart"/>
      <w:r w:rsidRPr="00996DBC">
        <w:rPr>
          <w:rFonts w:cs="Arial"/>
          <w:color w:val="000000"/>
          <w:szCs w:val="22"/>
        </w:rPr>
        <w:t>is</w:t>
      </w:r>
      <w:proofErr w:type="gramEnd"/>
      <w:r w:rsidRPr="00996DBC">
        <w:rPr>
          <w:rFonts w:cs="Arial"/>
          <w:color w:val="000000"/>
          <w:szCs w:val="22"/>
        </w:rPr>
        <w:t xml:space="preserve"> the Quantity of Haulage Reference Tariff Component </w:t>
      </w:r>
      <w:r w:rsidRPr="00996DBC">
        <w:rPr>
          <w:rFonts w:cs="Arial"/>
          <w:i/>
          <w:iCs/>
          <w:color w:val="000000"/>
          <w:szCs w:val="22"/>
        </w:rPr>
        <w:t xml:space="preserve">j </w:t>
      </w:r>
      <w:r w:rsidRPr="00996DBC">
        <w:rPr>
          <w:rFonts w:cs="Arial"/>
          <w:color w:val="000000"/>
          <w:szCs w:val="22"/>
        </w:rPr>
        <w:t xml:space="preserve">of Haulage Reference Tariff </w:t>
      </w:r>
      <w:proofErr w:type="spellStart"/>
      <w:r w:rsidRPr="00996DBC">
        <w:rPr>
          <w:rFonts w:cs="Arial"/>
          <w:i/>
          <w:iCs/>
          <w:color w:val="000000"/>
          <w:szCs w:val="22"/>
        </w:rPr>
        <w:t>i</w:t>
      </w:r>
      <w:proofErr w:type="spellEnd"/>
      <w:r w:rsidRPr="00996DBC">
        <w:rPr>
          <w:rFonts w:cs="Arial"/>
          <w:i/>
          <w:iCs/>
          <w:color w:val="000000"/>
          <w:szCs w:val="22"/>
        </w:rPr>
        <w:t xml:space="preserve"> </w:t>
      </w:r>
      <w:r w:rsidRPr="00996DBC">
        <w:rPr>
          <w:rFonts w:cs="Arial"/>
          <w:color w:val="000000"/>
          <w:szCs w:val="22"/>
        </w:rPr>
        <w:t xml:space="preserve">that was sold in Calendar Year </w:t>
      </w:r>
      <w:r w:rsidRPr="00996DBC">
        <w:rPr>
          <w:rFonts w:cs="Arial"/>
          <w:i/>
          <w:iCs/>
          <w:color w:val="000000"/>
          <w:szCs w:val="22"/>
        </w:rPr>
        <w:t>t-2</w:t>
      </w:r>
      <w:r w:rsidRPr="00996DBC">
        <w:rPr>
          <w:rFonts w:cs="Arial"/>
          <w:color w:val="000000"/>
          <w:szCs w:val="22"/>
        </w:rPr>
        <w:t>;</w:t>
      </w:r>
    </w:p>
    <w:p w14:paraId="13E594D7" w14:textId="77777777" w:rsidR="00136556" w:rsidRPr="00996DBC" w:rsidRDefault="00136556" w:rsidP="00390FCF">
      <w:pPr>
        <w:autoSpaceDE w:val="0"/>
        <w:autoSpaceDN w:val="0"/>
        <w:adjustRightInd w:val="0"/>
        <w:spacing w:afterLines="60" w:after="144"/>
        <w:ind w:left="720"/>
        <w:rPr>
          <w:rFonts w:cs="Arial"/>
          <w:color w:val="000000"/>
          <w:szCs w:val="22"/>
        </w:rPr>
      </w:pPr>
      <w:r w:rsidRPr="00996DBC">
        <w:rPr>
          <w:rFonts w:cs="Arial"/>
          <w:i/>
          <w:iCs/>
          <w:color w:val="000000"/>
        </w:rPr>
        <w:t>CPI</w:t>
      </w:r>
      <w:r w:rsidRPr="00996DBC">
        <w:rPr>
          <w:rFonts w:cs="Arial"/>
          <w:i/>
          <w:iCs/>
          <w:color w:val="000000"/>
          <w:sz w:val="14"/>
          <w:szCs w:val="14"/>
        </w:rPr>
        <w:t xml:space="preserve">t </w:t>
      </w:r>
      <w:r w:rsidRPr="00996DBC">
        <w:rPr>
          <w:rFonts w:cs="Arial"/>
          <w:i/>
          <w:iCs/>
          <w:color w:val="000000"/>
          <w:sz w:val="14"/>
          <w:szCs w:val="14"/>
        </w:rPr>
        <w:tab/>
      </w:r>
      <w:r w:rsidRPr="00996DBC">
        <w:rPr>
          <w:rFonts w:cs="Arial"/>
          <w:color w:val="000000"/>
          <w:szCs w:val="22"/>
        </w:rPr>
        <w:t>is the CPI</w:t>
      </w:r>
      <w:r w:rsidRPr="00996DBC">
        <w:rPr>
          <w:rFonts w:cs="Arial"/>
          <w:i/>
          <w:iCs/>
          <w:color w:val="000000"/>
          <w:szCs w:val="22"/>
        </w:rPr>
        <w:t xml:space="preserve"> </w:t>
      </w:r>
      <w:r w:rsidRPr="00996DBC">
        <w:rPr>
          <w:rFonts w:cs="Arial"/>
          <w:color w:val="000000"/>
          <w:szCs w:val="22"/>
        </w:rPr>
        <w:t xml:space="preserve">for Calendar Year </w:t>
      </w:r>
      <w:r w:rsidRPr="00996DBC">
        <w:rPr>
          <w:rFonts w:cs="Arial"/>
          <w:i/>
          <w:iCs/>
          <w:color w:val="000000"/>
          <w:szCs w:val="22"/>
        </w:rPr>
        <w:t>t</w:t>
      </w:r>
      <w:r w:rsidRPr="00996DBC">
        <w:rPr>
          <w:rFonts w:cs="Arial"/>
          <w:color w:val="000000"/>
          <w:szCs w:val="22"/>
        </w:rPr>
        <w:t>, as defined in the Glossary;</w:t>
      </w:r>
    </w:p>
    <w:p w14:paraId="698BC3F6" w14:textId="3CEEA985" w:rsidR="009F54F5" w:rsidRPr="00996DBC" w:rsidRDefault="009F54F5" w:rsidP="00F57D9B">
      <w:pPr>
        <w:autoSpaceDE w:val="0"/>
        <w:autoSpaceDN w:val="0"/>
        <w:adjustRightInd w:val="0"/>
        <w:spacing w:afterLines="60" w:after="144"/>
        <w:ind w:left="1440" w:hanging="720"/>
        <w:rPr>
          <w:rFonts w:cs="Arial"/>
          <w:color w:val="000000"/>
          <w:szCs w:val="22"/>
        </w:rPr>
      </w:pPr>
      <w:r w:rsidRPr="00996DBC">
        <w:rPr>
          <w:rFonts w:cs="Arial"/>
          <w:i/>
          <w:iCs/>
          <w:color w:val="000000"/>
        </w:rPr>
        <w:t>X</w:t>
      </w:r>
      <w:r w:rsidRPr="00996DBC">
        <w:rPr>
          <w:rFonts w:cs="Arial"/>
          <w:i/>
          <w:iCs/>
          <w:color w:val="000000"/>
          <w:sz w:val="14"/>
          <w:szCs w:val="14"/>
        </w:rPr>
        <w:t>t</w:t>
      </w:r>
      <w:r w:rsidRPr="00996DBC">
        <w:rPr>
          <w:rFonts w:cs="Arial"/>
          <w:color w:val="000000"/>
          <w:szCs w:val="22"/>
        </w:rPr>
        <w:t xml:space="preserve"> </w:t>
      </w:r>
      <w:r w:rsidRPr="00996DBC">
        <w:rPr>
          <w:rFonts w:cs="Arial"/>
          <w:color w:val="000000"/>
          <w:szCs w:val="22"/>
        </w:rPr>
        <w:tab/>
      </w:r>
      <w:r>
        <w:rPr>
          <w:rFonts w:cs="Arial"/>
          <w:color w:val="000000"/>
          <w:szCs w:val="22"/>
        </w:rPr>
        <w:t>is</w:t>
      </w:r>
      <w:r w:rsidRPr="00996DBC">
        <w:rPr>
          <w:rFonts w:cs="Arial"/>
          <w:color w:val="000000"/>
          <w:szCs w:val="22"/>
        </w:rPr>
        <w:t xml:space="preserve"> </w:t>
      </w:r>
      <w:r w:rsidR="00BA446A">
        <w:rPr>
          <w:rFonts w:cs="Arial"/>
          <w:color w:val="000000"/>
          <w:szCs w:val="22"/>
        </w:rPr>
        <w:t xml:space="preserve">the X factor </w:t>
      </w:r>
      <w:r>
        <w:rPr>
          <w:rFonts w:cs="Arial"/>
          <w:szCs w:val="22"/>
        </w:rPr>
        <w:t xml:space="preserve">for Calendar Year </w:t>
      </w:r>
      <w:r w:rsidRPr="00F57D9B">
        <w:rPr>
          <w:rFonts w:cs="Arial"/>
          <w:i/>
          <w:szCs w:val="22"/>
        </w:rPr>
        <w:t>t</w:t>
      </w:r>
      <w:r w:rsidR="00BA446A">
        <w:rPr>
          <w:rFonts w:cs="Arial"/>
          <w:szCs w:val="22"/>
        </w:rPr>
        <w:t xml:space="preserve"> included in the PTRM for the price cap calculation and revised for the Return on Debt Update calculated in accordance with clause 3.1.2 below</w:t>
      </w:r>
      <w:r>
        <w:rPr>
          <w:rFonts w:cs="Arial"/>
        </w:rPr>
        <w:t>;</w:t>
      </w:r>
    </w:p>
    <w:p w14:paraId="3F086EB6" w14:textId="01D92199" w:rsidR="00136556" w:rsidRPr="00996DBC" w:rsidRDefault="00136556" w:rsidP="00390FCF">
      <w:pPr>
        <w:autoSpaceDE w:val="0"/>
        <w:autoSpaceDN w:val="0"/>
        <w:adjustRightInd w:val="0"/>
        <w:spacing w:afterLines="60" w:after="144"/>
        <w:ind w:left="720"/>
        <w:rPr>
          <w:rFonts w:cs="Arial"/>
          <w:color w:val="000000"/>
          <w:szCs w:val="22"/>
        </w:rPr>
      </w:pPr>
      <w:r w:rsidRPr="00996DBC">
        <w:rPr>
          <w:rFonts w:cs="Arial"/>
          <w:i/>
          <w:iCs/>
          <w:color w:val="000000"/>
        </w:rPr>
        <w:t>L</w:t>
      </w:r>
      <w:r w:rsidRPr="00996DBC">
        <w:rPr>
          <w:rFonts w:cs="Arial"/>
          <w:i/>
          <w:iCs/>
          <w:color w:val="000000"/>
          <w:sz w:val="14"/>
          <w:szCs w:val="14"/>
        </w:rPr>
        <w:t>t</w:t>
      </w:r>
      <w:r w:rsidRPr="00996DBC">
        <w:rPr>
          <w:rFonts w:cs="Arial"/>
          <w:i/>
          <w:iCs/>
          <w:color w:val="000000"/>
          <w:sz w:val="14"/>
          <w:szCs w:val="14"/>
        </w:rPr>
        <w:tab/>
        <w:t xml:space="preserve"> </w:t>
      </w:r>
      <w:r w:rsidRPr="00996DBC">
        <w:rPr>
          <w:rFonts w:cs="Arial"/>
          <w:color w:val="000000"/>
          <w:szCs w:val="22"/>
        </w:rPr>
        <w:t xml:space="preserve">is the Licence Fee Factor for Calendar Year </w:t>
      </w:r>
      <w:r w:rsidRPr="00996DBC">
        <w:rPr>
          <w:rFonts w:cs="Arial"/>
          <w:i/>
          <w:iCs/>
          <w:color w:val="000000"/>
          <w:szCs w:val="22"/>
        </w:rPr>
        <w:t>t</w:t>
      </w:r>
      <w:r w:rsidRPr="00996DBC">
        <w:rPr>
          <w:rFonts w:cs="Arial"/>
          <w:color w:val="000000"/>
          <w:szCs w:val="22"/>
        </w:rPr>
        <w:t xml:space="preserve">, as defined </w:t>
      </w:r>
      <w:r w:rsidR="00CF3EB4">
        <w:rPr>
          <w:rFonts w:cs="Arial"/>
          <w:color w:val="000000"/>
          <w:szCs w:val="22"/>
        </w:rPr>
        <w:t>in clause 3.1.</w:t>
      </w:r>
      <w:r w:rsidR="007D0390">
        <w:rPr>
          <w:rFonts w:cs="Arial"/>
          <w:color w:val="000000"/>
          <w:szCs w:val="22"/>
        </w:rPr>
        <w:t>3</w:t>
      </w:r>
      <w:r w:rsidR="00CF3EB4">
        <w:rPr>
          <w:rFonts w:cs="Arial"/>
          <w:color w:val="000000"/>
          <w:szCs w:val="22"/>
        </w:rPr>
        <w:t xml:space="preserve"> </w:t>
      </w:r>
      <w:r w:rsidRPr="00996DBC">
        <w:rPr>
          <w:rFonts w:cs="Arial"/>
          <w:color w:val="000000"/>
          <w:szCs w:val="22"/>
        </w:rPr>
        <w:t>below</w:t>
      </w:r>
      <w:r w:rsidR="00F235FB">
        <w:rPr>
          <w:rFonts w:cs="Arial"/>
          <w:color w:val="000000"/>
          <w:szCs w:val="22"/>
        </w:rPr>
        <w:t>; and</w:t>
      </w:r>
    </w:p>
    <w:p w14:paraId="418C0480" w14:textId="5E2441FC" w:rsidR="009D7ABF" w:rsidRDefault="00136556" w:rsidP="00900D3D">
      <w:pPr>
        <w:ind w:left="1440" w:hanging="720"/>
      </w:pPr>
      <w:r w:rsidRPr="00996DBC">
        <w:rPr>
          <w:i/>
          <w:iCs/>
        </w:rPr>
        <w:t>A</w:t>
      </w:r>
      <w:r w:rsidRPr="00996DBC">
        <w:rPr>
          <w:i/>
          <w:iCs/>
          <w:sz w:val="14"/>
          <w:szCs w:val="14"/>
        </w:rPr>
        <w:t>t</w:t>
      </w:r>
      <w:r w:rsidRPr="00996DBC">
        <w:rPr>
          <w:i/>
          <w:iCs/>
          <w:sz w:val="14"/>
          <w:szCs w:val="14"/>
        </w:rPr>
        <w:tab/>
        <w:t xml:space="preserve"> </w:t>
      </w:r>
      <w:r w:rsidRPr="00996DBC">
        <w:t xml:space="preserve">is an approved Pass Through Factor for Calendar Year </w:t>
      </w:r>
      <w:r w:rsidRPr="00996DBC">
        <w:rPr>
          <w:i/>
          <w:iCs/>
        </w:rPr>
        <w:t>t</w:t>
      </w:r>
      <w:r w:rsidRPr="00996DBC">
        <w:t xml:space="preserve">, as defined </w:t>
      </w:r>
      <w:r w:rsidR="007D0390">
        <w:t>in clause 3.1.4</w:t>
      </w:r>
      <w:r w:rsidR="00CF3EB4">
        <w:t xml:space="preserve"> </w:t>
      </w:r>
      <w:r w:rsidRPr="00996DBC">
        <w:t>below.</w:t>
      </w:r>
    </w:p>
    <w:p w14:paraId="547F7B6E" w14:textId="6ED45C79" w:rsidR="00BC34B4" w:rsidRDefault="00BC34B4" w:rsidP="00595005">
      <w:pPr>
        <w:pStyle w:val="Heading3"/>
      </w:pPr>
      <w:bookmarkStart w:id="12" w:name="_Toc469519473"/>
      <w:r>
        <w:t>Return on Debt Update</w:t>
      </w:r>
      <w:bookmarkEnd w:id="12"/>
    </w:p>
    <w:p w14:paraId="63EC883D" w14:textId="465DF33B" w:rsidR="00BC34B4" w:rsidRDefault="00BC34B4" w:rsidP="00900D3D">
      <w:pPr>
        <w:pStyle w:val="BodyText"/>
        <w:rPr>
          <w:lang w:eastAsia="en-US"/>
        </w:rPr>
      </w:pPr>
      <w:r>
        <w:rPr>
          <w:lang w:eastAsia="en-US"/>
        </w:rPr>
        <w:t>(a)</w:t>
      </w:r>
      <w:r>
        <w:rPr>
          <w:lang w:eastAsia="en-US"/>
        </w:rPr>
        <w:tab/>
      </w:r>
      <w:r w:rsidR="007D0390">
        <w:rPr>
          <w:lang w:eastAsia="en-US"/>
        </w:rPr>
        <w:t>Overview</w:t>
      </w:r>
    </w:p>
    <w:p w14:paraId="32D46DD9" w14:textId="38366E6B" w:rsidR="00E957BE" w:rsidRDefault="00BC34B4" w:rsidP="00900D3D">
      <w:pPr>
        <w:autoSpaceDE w:val="0"/>
        <w:autoSpaceDN w:val="0"/>
        <w:adjustRightInd w:val="0"/>
        <w:spacing w:afterLines="60" w:after="144"/>
        <w:ind w:left="720" w:hanging="11"/>
      </w:pPr>
      <w:r w:rsidRPr="00BC34B4">
        <w:t xml:space="preserve">The Return on Debt Update is the update to the annual return on debt component of the rate of return included in the PTRM at the time the Regulator made its final </w:t>
      </w:r>
      <w:r w:rsidR="003A1A47">
        <w:t>decision</w:t>
      </w:r>
      <w:r w:rsidRPr="00BC34B4">
        <w:t xml:space="preserve"> for the </w:t>
      </w:r>
      <w:r>
        <w:t xml:space="preserve">Fifth </w:t>
      </w:r>
      <w:r w:rsidRPr="00BC34B4">
        <w:t xml:space="preserve">Access Arrangement </w:t>
      </w:r>
      <w:r>
        <w:t>P</w:t>
      </w:r>
      <w:r w:rsidRPr="00BC34B4">
        <w:t>eriod and is determined in acco</w:t>
      </w:r>
      <w:r w:rsidR="00401B2C">
        <w:t>rdance with paragraphs (b) to (e</w:t>
      </w:r>
      <w:r w:rsidRPr="00BC34B4">
        <w:t xml:space="preserve">) </w:t>
      </w:r>
      <w:r>
        <w:t>of this clause 3.1.2</w:t>
      </w:r>
      <w:r w:rsidR="001626D5">
        <w:t xml:space="preserve">. </w:t>
      </w:r>
      <w:r w:rsidRPr="00BC34B4">
        <w:t xml:space="preserve">The Averaging Period for each Calendar year of </w:t>
      </w:r>
      <w:r>
        <w:t xml:space="preserve">the Fifth </w:t>
      </w:r>
      <w:r w:rsidRPr="00BC34B4">
        <w:t xml:space="preserve">Access Arrangement </w:t>
      </w:r>
      <w:r>
        <w:t>P</w:t>
      </w:r>
      <w:r w:rsidRPr="00BC34B4">
        <w:t>eriod must be used for the purposes of calculating the annual return on debt observation for that year.</w:t>
      </w:r>
    </w:p>
    <w:p w14:paraId="3F64B590" w14:textId="437AE3D0" w:rsidR="00BC34B4" w:rsidRDefault="00BC34B4" w:rsidP="00900D3D">
      <w:pPr>
        <w:autoSpaceDE w:val="0"/>
        <w:autoSpaceDN w:val="0"/>
        <w:adjustRightInd w:val="0"/>
        <w:spacing w:afterLines="60" w:after="144"/>
      </w:pPr>
      <w:r>
        <w:t>(b)</w:t>
      </w:r>
      <w:r>
        <w:tab/>
        <w:t>Calculating the return on debt</w:t>
      </w:r>
    </w:p>
    <w:p w14:paraId="5C8269E5" w14:textId="6953B876" w:rsidR="00BC34B4" w:rsidRDefault="00BC34B4" w:rsidP="00900D3D">
      <w:pPr>
        <w:autoSpaceDE w:val="0"/>
        <w:autoSpaceDN w:val="0"/>
        <w:adjustRightInd w:val="0"/>
        <w:spacing w:afterLines="60" w:after="144"/>
        <w:ind w:left="720"/>
        <w:rPr>
          <w:bCs/>
        </w:rPr>
      </w:pPr>
      <w:r>
        <w:t xml:space="preserve">The </w:t>
      </w:r>
      <w:r w:rsidRPr="00C808A4">
        <w:rPr>
          <w:bCs/>
        </w:rPr>
        <w:t xml:space="preserve">annual update of the return on debt component of the rate of return in each </w:t>
      </w:r>
      <w:r>
        <w:rPr>
          <w:bCs/>
        </w:rPr>
        <w:t>Calendar Year</w:t>
      </w:r>
      <w:r w:rsidR="007D0390" w:rsidRPr="007D0390">
        <w:rPr>
          <w:bCs/>
        </w:rPr>
        <w:t xml:space="preserve"> </w:t>
      </w:r>
      <w:r w:rsidR="007D0390">
        <w:rPr>
          <w:bCs/>
        </w:rPr>
        <w:t>of the Fifth Access A</w:t>
      </w:r>
      <w:r w:rsidR="007D0390" w:rsidRPr="00C808A4">
        <w:rPr>
          <w:bCs/>
        </w:rPr>
        <w:t>rrangement Period</w:t>
      </w:r>
      <w:r>
        <w:rPr>
          <w:bCs/>
        </w:rPr>
        <w:t xml:space="preserve">, starting from 1 January 2018, </w:t>
      </w:r>
      <w:r w:rsidRPr="00C808A4">
        <w:rPr>
          <w:bCs/>
        </w:rPr>
        <w:t>is to be calculated as follows</w:t>
      </w:r>
      <w:r>
        <w:rPr>
          <w:bCs/>
        </w:rPr>
        <w:t>:</w:t>
      </w:r>
    </w:p>
    <w:p w14:paraId="3993567D" w14:textId="77777777" w:rsidR="00BC34B4" w:rsidRDefault="00BC34B4" w:rsidP="00900D3D">
      <w:pPr>
        <w:tabs>
          <w:tab w:val="left" w:pos="3402"/>
        </w:tabs>
        <w:autoSpaceDE w:val="0"/>
        <w:autoSpaceDN w:val="0"/>
        <w:adjustRightInd w:val="0"/>
        <w:spacing w:afterLines="60" w:after="144"/>
        <w:ind w:left="4133" w:hanging="2693"/>
        <w:rPr>
          <w:bCs/>
        </w:rPr>
      </w:pPr>
      <w:r>
        <w:rPr>
          <w:bCs/>
        </w:rPr>
        <w:t>For 2018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2018</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R</m:t>
            </m:r>
          </m:e>
          <m:sub>
            <m:r>
              <w:rPr>
                <w:rFonts w:ascii="Cambria Math" w:hAnsi="Cambria Math"/>
                <w:sz w:val="18"/>
              </w:rPr>
              <m:t>2018</m:t>
            </m:r>
          </m:sub>
        </m:sSub>
      </m:oMath>
    </w:p>
    <w:p w14:paraId="6469D5F2" w14:textId="77777777" w:rsidR="00BC34B4" w:rsidRDefault="00BC34B4" w:rsidP="00900D3D">
      <w:pPr>
        <w:tabs>
          <w:tab w:val="left" w:pos="3402"/>
        </w:tabs>
        <w:autoSpaceDE w:val="0"/>
        <w:autoSpaceDN w:val="0"/>
        <w:adjustRightInd w:val="0"/>
        <w:spacing w:afterLines="60" w:after="144"/>
        <w:ind w:left="4133" w:hanging="2693"/>
        <w:rPr>
          <w:bCs/>
        </w:rPr>
      </w:pPr>
      <w:r>
        <w:rPr>
          <w:bCs/>
        </w:rPr>
        <w:t>For 2019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2019</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0.9∙R</m:t>
                </m:r>
              </m:e>
              <m:sub>
                <m:r>
                  <w:rPr>
                    <w:rFonts w:ascii="Cambria Math" w:hAnsi="Cambria Math"/>
                    <w:sz w:val="18"/>
                  </w:rPr>
                  <m:t>2018</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2019</m:t>
                </m:r>
              </m:sub>
            </m:sSub>
          </m:e>
        </m:d>
      </m:oMath>
    </w:p>
    <w:p w14:paraId="4B418B44" w14:textId="77777777" w:rsidR="00BC34B4" w:rsidRDefault="00BC34B4" w:rsidP="00900D3D">
      <w:pPr>
        <w:tabs>
          <w:tab w:val="left" w:pos="3402"/>
        </w:tabs>
        <w:autoSpaceDE w:val="0"/>
        <w:autoSpaceDN w:val="0"/>
        <w:adjustRightInd w:val="0"/>
        <w:spacing w:afterLines="60" w:after="144"/>
        <w:ind w:left="4133" w:hanging="2693"/>
        <w:rPr>
          <w:bCs/>
        </w:rPr>
      </w:pPr>
      <w:r>
        <w:rPr>
          <w:bCs/>
        </w:rPr>
        <w:t>For 2020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2020</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0.8∙R</m:t>
                </m:r>
              </m:e>
              <m:sub>
                <m:r>
                  <w:rPr>
                    <w:rFonts w:ascii="Cambria Math" w:hAnsi="Cambria Math"/>
                    <w:sz w:val="18"/>
                  </w:rPr>
                  <m:t>2018</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2019</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2020</m:t>
                </m:r>
              </m:sub>
            </m:sSub>
          </m:e>
        </m:d>
      </m:oMath>
    </w:p>
    <w:p w14:paraId="2C888E30" w14:textId="77777777" w:rsidR="00BC34B4" w:rsidRDefault="00BC34B4" w:rsidP="00900D3D">
      <w:pPr>
        <w:tabs>
          <w:tab w:val="left" w:pos="3402"/>
        </w:tabs>
        <w:autoSpaceDE w:val="0"/>
        <w:autoSpaceDN w:val="0"/>
        <w:adjustRightInd w:val="0"/>
        <w:spacing w:afterLines="60" w:after="144"/>
        <w:ind w:left="4133" w:hanging="2693"/>
        <w:rPr>
          <w:bCs/>
        </w:rPr>
      </w:pPr>
      <w:r>
        <w:rPr>
          <w:bCs/>
        </w:rPr>
        <w:t>For 2021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2021</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0.7∙R</m:t>
                </m:r>
              </m:e>
              <m:sub>
                <m:r>
                  <w:rPr>
                    <w:rFonts w:ascii="Cambria Math" w:hAnsi="Cambria Math"/>
                    <w:sz w:val="18"/>
                  </w:rPr>
                  <m:t>2018</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2019</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2020</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2021</m:t>
                </m:r>
              </m:sub>
            </m:sSub>
          </m:e>
        </m:d>
      </m:oMath>
    </w:p>
    <w:p w14:paraId="0DC3A327" w14:textId="77777777" w:rsidR="00BC34B4" w:rsidRDefault="00BC34B4" w:rsidP="00900D3D">
      <w:pPr>
        <w:tabs>
          <w:tab w:val="left" w:pos="3402"/>
        </w:tabs>
        <w:autoSpaceDE w:val="0"/>
        <w:autoSpaceDN w:val="0"/>
        <w:adjustRightInd w:val="0"/>
        <w:spacing w:afterLines="60" w:after="144"/>
        <w:ind w:left="4133" w:hanging="2693"/>
        <w:rPr>
          <w:bCs/>
        </w:rPr>
      </w:pPr>
      <w:r>
        <w:rPr>
          <w:bCs/>
        </w:rPr>
        <w:t>For 2022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2022</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0.6∙R</m:t>
                </m:r>
              </m:e>
              <m:sub>
                <m:r>
                  <w:rPr>
                    <w:rFonts w:ascii="Cambria Math" w:hAnsi="Cambria Math"/>
                    <w:sz w:val="18"/>
                  </w:rPr>
                  <m:t>2018</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2019</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2020</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2021</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0.1∙R</m:t>
                </m:r>
              </m:e>
              <m:sub>
                <m:r>
                  <w:rPr>
                    <w:rFonts w:ascii="Cambria Math" w:hAnsi="Cambria Math"/>
                    <w:sz w:val="18"/>
                  </w:rPr>
                  <m:t>2022</m:t>
                </m:r>
              </m:sub>
            </m:sSub>
          </m:e>
        </m:d>
      </m:oMath>
    </w:p>
    <w:p w14:paraId="0E58EFE4" w14:textId="77777777" w:rsidR="00BC34B4" w:rsidRDefault="00BC34B4" w:rsidP="00900D3D">
      <w:pPr>
        <w:tabs>
          <w:tab w:val="left" w:pos="3402"/>
        </w:tabs>
        <w:autoSpaceDE w:val="0"/>
        <w:autoSpaceDN w:val="0"/>
        <w:adjustRightInd w:val="0"/>
        <w:spacing w:afterLines="60" w:after="144"/>
        <w:ind w:left="4133" w:hanging="2693"/>
        <w:rPr>
          <w:bCs/>
        </w:rPr>
      </w:pPr>
      <w:r>
        <w:rPr>
          <w:bCs/>
        </w:rPr>
        <w:t>where:</w:t>
      </w:r>
    </w:p>
    <w:p w14:paraId="04F7AF0F" w14:textId="4A0FEE82" w:rsidR="00BC34B4" w:rsidRDefault="00412743" w:rsidP="00900D3D">
      <w:pPr>
        <w:ind w:left="2171" w:hanging="720"/>
      </w:pPr>
      <m:oMath>
        <m:sSub>
          <m:sSubPr>
            <m:ctrlPr>
              <w:rPr>
                <w:rFonts w:ascii="Cambria Math" w:hAnsi="Cambria Math"/>
                <w:bCs/>
                <w:i/>
              </w:rPr>
            </m:ctrlPr>
          </m:sSubPr>
          <m:e>
            <m:r>
              <w:rPr>
                <w:rFonts w:ascii="Cambria Math" w:hAnsi="Cambria Math"/>
              </w:rPr>
              <m:t>kd</m:t>
            </m:r>
          </m:e>
          <m:sub>
            <m:r>
              <w:rPr>
                <w:rFonts w:ascii="Cambria Math" w:hAnsi="Cambria Math"/>
              </w:rPr>
              <m:t>t</m:t>
            </m:r>
          </m:sub>
        </m:sSub>
      </m:oMath>
      <w:r w:rsidR="00BC34B4" w:rsidRPr="00996DBC">
        <w:rPr>
          <w:i/>
          <w:iCs/>
          <w:sz w:val="14"/>
          <w:szCs w:val="14"/>
        </w:rPr>
        <w:tab/>
        <w:t xml:space="preserve"> </w:t>
      </w:r>
      <w:r w:rsidR="00BC34B4" w:rsidRPr="00996DBC">
        <w:t xml:space="preserve">is </w:t>
      </w:r>
      <w:r w:rsidR="00BC34B4">
        <w:t xml:space="preserve">the annual return on debt for Calendar Year </w:t>
      </w:r>
      <w:r w:rsidR="00BC34B4" w:rsidRPr="009F049A">
        <w:rPr>
          <w:i/>
        </w:rPr>
        <w:t>t</w:t>
      </w:r>
      <w:r w:rsidR="00BC34B4">
        <w:t xml:space="preserve"> of the Fifth Access Arrangement </w:t>
      </w:r>
      <w:r w:rsidR="003A1A47">
        <w:t>Period</w:t>
      </w:r>
      <w:r w:rsidR="00BC34B4">
        <w:t>;</w:t>
      </w:r>
    </w:p>
    <w:p w14:paraId="2D0392E4" w14:textId="35B596EC" w:rsidR="00BC34B4" w:rsidRDefault="00412743" w:rsidP="00900D3D">
      <w:pPr>
        <w:ind w:left="2171" w:hanging="720"/>
      </w:pPr>
      <m:oMath>
        <m:sSub>
          <m:sSubPr>
            <m:ctrlPr>
              <w:rPr>
                <w:rFonts w:ascii="Cambria Math" w:hAnsi="Cambria Math"/>
                <w:bCs/>
                <w:i/>
              </w:rPr>
            </m:ctrlPr>
          </m:sSubPr>
          <m:e>
            <m:r>
              <w:rPr>
                <w:rFonts w:ascii="Cambria Math" w:hAnsi="Cambria Math"/>
              </w:rPr>
              <m:t>R</m:t>
            </m:r>
          </m:e>
          <m:sub>
            <m:r>
              <w:rPr>
                <w:rFonts w:ascii="Cambria Math" w:hAnsi="Cambria Math"/>
              </w:rPr>
              <m:t>t</m:t>
            </m:r>
          </m:sub>
        </m:sSub>
      </m:oMath>
      <w:r w:rsidR="00BC34B4">
        <w:tab/>
        <w:t xml:space="preserve">is the annual return on debt observation for each Calendar Year </w:t>
      </w:r>
      <w:r w:rsidR="00BC34B4" w:rsidRPr="00900D3D">
        <w:rPr>
          <w:i/>
        </w:rPr>
        <w:t>t</w:t>
      </w:r>
      <w:r w:rsidR="00BC34B4">
        <w:t xml:space="preserve"> of the Fifth Access Arrangement period calculated in accord</w:t>
      </w:r>
      <w:r w:rsidR="001626D5">
        <w:t>ance with paragraph (c) below</w:t>
      </w:r>
      <w:r w:rsidR="001626D5">
        <w:rPr>
          <w:rFonts w:cs="Arial"/>
          <w:szCs w:val="22"/>
        </w:rPr>
        <w:t xml:space="preserve">, other than </w:t>
      </w:r>
      <w:r w:rsidR="001626D5">
        <w:t xml:space="preserve">Calendar Year 2018. </w:t>
      </w:r>
      <w:r w:rsidR="00BC34B4">
        <w:t xml:space="preserve">For Calendar Year 2018, </w:t>
      </w:r>
      <m:oMath>
        <m:sSub>
          <m:sSubPr>
            <m:ctrlPr>
              <w:rPr>
                <w:rFonts w:ascii="Cambria Math" w:hAnsi="Cambria Math"/>
                <w:bCs/>
                <w:i/>
              </w:rPr>
            </m:ctrlPr>
          </m:sSubPr>
          <m:e>
            <m:r>
              <w:rPr>
                <w:rFonts w:ascii="Cambria Math" w:hAnsi="Cambria Math"/>
              </w:rPr>
              <m:t>R</m:t>
            </m:r>
          </m:e>
          <m:sub>
            <m:r>
              <w:rPr>
                <w:rFonts w:ascii="Cambria Math" w:hAnsi="Cambria Math"/>
              </w:rPr>
              <m:t>2018</m:t>
            </m:r>
          </m:sub>
        </m:sSub>
      </m:oMath>
      <w:r w:rsidR="00BC34B4">
        <w:rPr>
          <w:bCs/>
        </w:rPr>
        <w:t xml:space="preserve"> is </w:t>
      </w:r>
      <w:r w:rsidR="00BA446A">
        <w:rPr>
          <w:bCs/>
        </w:rPr>
        <w:t>4.52 per cent</w:t>
      </w:r>
      <w:r w:rsidR="00BC34B4">
        <w:rPr>
          <w:bCs/>
        </w:rPr>
        <w:t>.</w:t>
      </w:r>
    </w:p>
    <w:p w14:paraId="018690EA" w14:textId="6755162B" w:rsidR="00BC34B4" w:rsidRDefault="00BC34B4" w:rsidP="00900D3D">
      <w:pPr>
        <w:tabs>
          <w:tab w:val="left" w:pos="709"/>
        </w:tabs>
        <w:autoSpaceDE w:val="0"/>
        <w:autoSpaceDN w:val="0"/>
        <w:adjustRightInd w:val="0"/>
        <w:ind w:left="706" w:hanging="706"/>
        <w:rPr>
          <w:bCs/>
        </w:rPr>
      </w:pPr>
      <w:r>
        <w:rPr>
          <w:bCs/>
        </w:rPr>
        <w:t>(c)</w:t>
      </w:r>
      <w:r>
        <w:rPr>
          <w:bCs/>
        </w:rPr>
        <w:tab/>
      </w:r>
      <w:r w:rsidRPr="009F049A">
        <w:rPr>
          <w:bCs/>
        </w:rPr>
        <w:t>Calculation of the annual return on debt observation</w:t>
      </w:r>
    </w:p>
    <w:p w14:paraId="46405D8A" w14:textId="4AAC31DC" w:rsidR="005F286B" w:rsidRPr="009F049A" w:rsidRDefault="005F286B" w:rsidP="00900D3D">
      <w:pPr>
        <w:tabs>
          <w:tab w:val="left" w:pos="709"/>
        </w:tabs>
        <w:autoSpaceDE w:val="0"/>
        <w:autoSpaceDN w:val="0"/>
        <w:adjustRightInd w:val="0"/>
        <w:ind w:left="1412" w:hanging="706"/>
        <w:rPr>
          <w:bCs/>
        </w:rPr>
      </w:pPr>
      <w:r>
        <w:rPr>
          <w:bCs/>
        </w:rPr>
        <w:t>(1)</w:t>
      </w:r>
      <w:r>
        <w:rPr>
          <w:bCs/>
        </w:rPr>
        <w:tab/>
        <w:t>Overview</w:t>
      </w:r>
    </w:p>
    <w:p w14:paraId="22721097" w14:textId="458946F3" w:rsidR="00BC34B4" w:rsidRDefault="005F286B" w:rsidP="00900D3D">
      <w:pPr>
        <w:autoSpaceDE w:val="0"/>
        <w:autoSpaceDN w:val="0"/>
        <w:adjustRightInd w:val="0"/>
        <w:ind w:left="2160" w:hanging="748"/>
        <w:rPr>
          <w:bCs/>
        </w:rPr>
      </w:pPr>
      <w:r>
        <w:rPr>
          <w:bCs/>
        </w:rPr>
        <w:t>(A)</w:t>
      </w:r>
      <w:r>
        <w:rPr>
          <w:bCs/>
        </w:rPr>
        <w:tab/>
      </w:r>
      <w:r w:rsidR="00BC34B4">
        <w:rPr>
          <w:bCs/>
        </w:rPr>
        <w:t xml:space="preserve">The return on debt observation for each Calendar Year </w:t>
      </w:r>
      <w:r w:rsidR="007D0390">
        <w:rPr>
          <w:bCs/>
        </w:rPr>
        <w:t xml:space="preserve">is </w:t>
      </w:r>
      <w:r w:rsidR="00BC34B4">
        <w:rPr>
          <w:bCs/>
        </w:rPr>
        <w:t>calculated by automatic application of the following formula.  This requires three steps:</w:t>
      </w:r>
    </w:p>
    <w:p w14:paraId="0CF33173" w14:textId="77BCA13E" w:rsidR="00BC34B4" w:rsidRPr="005E3BA3" w:rsidRDefault="005F286B" w:rsidP="00900D3D">
      <w:pPr>
        <w:ind w:left="2160"/>
      </w:pPr>
      <w:r>
        <w:t>Step 1: C</w:t>
      </w:r>
      <w:r w:rsidRPr="00277C01">
        <w:t xml:space="preserve">alculate </w:t>
      </w:r>
      <w:r w:rsidR="00BC34B4" w:rsidRPr="005E3BA3">
        <w:t>the adjusted RBA estimate;</w:t>
      </w:r>
    </w:p>
    <w:p w14:paraId="68BCB76B" w14:textId="18798A62" w:rsidR="00BC34B4" w:rsidRPr="005E3BA3" w:rsidRDefault="00587C1E" w:rsidP="00900D3D">
      <w:pPr>
        <w:ind w:left="2160"/>
      </w:pPr>
      <w:r>
        <w:lastRenderedPageBreak/>
        <w:t>Step 2</w:t>
      </w:r>
      <w:r w:rsidR="005F286B">
        <w:t>: C</w:t>
      </w:r>
      <w:r w:rsidR="005F286B" w:rsidRPr="00277C01">
        <w:t xml:space="preserve">alculate </w:t>
      </w:r>
      <w:r w:rsidR="00BC34B4" w:rsidRPr="005E3BA3">
        <w:t>the adjusted BVAL estimate;</w:t>
      </w:r>
    </w:p>
    <w:p w14:paraId="2AD573A1" w14:textId="0C9E7424" w:rsidR="00BC34B4" w:rsidRPr="00E90306" w:rsidRDefault="005F286B" w:rsidP="00900D3D">
      <w:pPr>
        <w:ind w:left="2160"/>
      </w:pPr>
      <w:r>
        <w:t>Step 3: C</w:t>
      </w:r>
      <w:r w:rsidRPr="005E3BA3">
        <w:t>alculate</w:t>
      </w:r>
      <w:r w:rsidR="00BC34B4" w:rsidRPr="005E3BA3">
        <w:t xml:space="preserve"> </w:t>
      </w:r>
      <w:r w:rsidR="00BC34B4" w:rsidRPr="005C23C6">
        <w:t>the final estimate, where the RBA an</w:t>
      </w:r>
      <w:r w:rsidR="00BC34B4" w:rsidRPr="00E90306">
        <w:t>d BVAL estimates are combined using an arithmetic average.</w:t>
      </w:r>
    </w:p>
    <w:p w14:paraId="59C1AAEC" w14:textId="6DCF43D2" w:rsidR="00BC34B4" w:rsidRDefault="005F286B" w:rsidP="00900D3D">
      <w:pPr>
        <w:autoSpaceDE w:val="0"/>
        <w:autoSpaceDN w:val="0"/>
        <w:adjustRightInd w:val="0"/>
        <w:spacing w:afterLines="60" w:after="144"/>
        <w:ind w:left="2160" w:hanging="742"/>
        <w:rPr>
          <w:bCs/>
        </w:rPr>
      </w:pPr>
      <w:r>
        <w:rPr>
          <w:bCs/>
        </w:rPr>
        <w:t>(B)</w:t>
      </w:r>
      <w:r>
        <w:rPr>
          <w:bCs/>
        </w:rPr>
        <w:tab/>
      </w:r>
      <w:r w:rsidR="00BC34B4">
        <w:rPr>
          <w:bCs/>
        </w:rPr>
        <w:t xml:space="preserve">The steps </w:t>
      </w:r>
      <w:r w:rsidR="003A1A47">
        <w:rPr>
          <w:bCs/>
        </w:rPr>
        <w:t xml:space="preserve">in paragraph (c)(1) reflect </w:t>
      </w:r>
      <w:r w:rsidR="00BC34B4">
        <w:rPr>
          <w:bCs/>
        </w:rPr>
        <w:t xml:space="preserve">the approach used by the Regulator to determine the return on debt included in the PTRM at the time the Regulator made its final </w:t>
      </w:r>
      <w:r w:rsidR="003A1A47">
        <w:rPr>
          <w:bCs/>
        </w:rPr>
        <w:t>decision</w:t>
      </w:r>
      <w:r w:rsidR="00BC34B4">
        <w:rPr>
          <w:bCs/>
        </w:rPr>
        <w:t xml:space="preserve"> for the Fifth </w:t>
      </w:r>
      <w:r w:rsidR="00D04856">
        <w:rPr>
          <w:bCs/>
        </w:rPr>
        <w:t>Access Arrangement Period.</w:t>
      </w:r>
      <w:r w:rsidR="00BC34B4">
        <w:rPr>
          <w:bCs/>
        </w:rPr>
        <w:t xml:space="preserve"> In the event that data availability changes during the Access Arrangement </w:t>
      </w:r>
      <w:r w:rsidR="007D0390">
        <w:rPr>
          <w:bCs/>
        </w:rPr>
        <w:t>Period</w:t>
      </w:r>
      <w:r w:rsidR="00BC34B4">
        <w:rPr>
          <w:bCs/>
        </w:rPr>
        <w:t>, the formula</w:t>
      </w:r>
      <w:r w:rsidR="007D0390">
        <w:rPr>
          <w:bCs/>
        </w:rPr>
        <w:t>e</w:t>
      </w:r>
      <w:r w:rsidR="00BC34B4">
        <w:rPr>
          <w:bCs/>
        </w:rPr>
        <w:t xml:space="preserve"> below will change to reflect the contingencies set out in </w:t>
      </w:r>
      <w:r w:rsidR="00BC34B4" w:rsidRPr="00BA446A">
        <w:rPr>
          <w:bCs/>
        </w:rPr>
        <w:t xml:space="preserve">the Regulator’s final </w:t>
      </w:r>
      <w:r w:rsidR="003A1A47">
        <w:rPr>
          <w:bCs/>
        </w:rPr>
        <w:t>decision</w:t>
      </w:r>
      <w:r w:rsidR="00BC34B4">
        <w:rPr>
          <w:bCs/>
        </w:rPr>
        <w:t xml:space="preserve"> for the Fifth Access Arrangement Period.</w:t>
      </w:r>
    </w:p>
    <w:p w14:paraId="5B1C0FFC" w14:textId="6F585206" w:rsidR="00E957BE" w:rsidRPr="005E3BA3" w:rsidRDefault="00E957BE" w:rsidP="00900D3D">
      <w:pPr>
        <w:autoSpaceDE w:val="0"/>
        <w:autoSpaceDN w:val="0"/>
        <w:adjustRightInd w:val="0"/>
        <w:ind w:left="2160" w:hanging="748"/>
      </w:pPr>
      <w:r>
        <w:t>(C)</w:t>
      </w:r>
      <w:r>
        <w:tab/>
      </w:r>
      <w:r w:rsidRPr="005E3BA3">
        <w:rPr>
          <w:bCs/>
        </w:rPr>
        <w:t>For</w:t>
      </w:r>
      <w:r>
        <w:t xml:space="preserve"> the </w:t>
      </w:r>
      <w:r w:rsidRPr="00277C01">
        <w:t>purpose</w:t>
      </w:r>
      <w:r>
        <w:t xml:space="preserve"> of this clause 3.1.3(c) only, a</w:t>
      </w:r>
      <w:r w:rsidRPr="009C1368">
        <w:t xml:space="preserve"> business day means a day other than a Saturday, Sunday or a day recognised as a national public holiday or a public holiday in </w:t>
      </w:r>
      <w:r>
        <w:t>NSW.</w:t>
      </w:r>
    </w:p>
    <w:p w14:paraId="33703376" w14:textId="4E304088" w:rsidR="005F286B" w:rsidRDefault="005F286B" w:rsidP="00BC34B4">
      <w:pPr>
        <w:autoSpaceDE w:val="0"/>
        <w:autoSpaceDN w:val="0"/>
        <w:adjustRightInd w:val="0"/>
        <w:spacing w:afterLines="60" w:after="144"/>
        <w:ind w:left="709"/>
        <w:rPr>
          <w:bCs/>
        </w:rPr>
      </w:pPr>
      <w:r>
        <w:rPr>
          <w:bCs/>
        </w:rPr>
        <w:t>(2)</w:t>
      </w:r>
      <w:r>
        <w:rPr>
          <w:bCs/>
        </w:rPr>
        <w:tab/>
        <w:t>Calculating the adjusted RBA estimate</w:t>
      </w:r>
    </w:p>
    <w:p w14:paraId="75C70BDA" w14:textId="539310EB" w:rsidR="00BC34B4" w:rsidRDefault="00BC34B4" w:rsidP="00900D3D">
      <w:pPr>
        <w:autoSpaceDE w:val="0"/>
        <w:autoSpaceDN w:val="0"/>
        <w:adjustRightInd w:val="0"/>
        <w:spacing w:afterLines="60" w:after="144"/>
        <w:ind w:left="1440"/>
        <w:rPr>
          <w:bCs/>
        </w:rPr>
      </w:pPr>
      <w:r>
        <w:rPr>
          <w:bCs/>
        </w:rPr>
        <w:t xml:space="preserve">To calculate the adjusted RBA estimate in </w:t>
      </w:r>
      <w:r w:rsidR="00902FD6">
        <w:rPr>
          <w:bCs/>
        </w:rPr>
        <w:t>Step 1</w:t>
      </w:r>
      <w:r>
        <w:rPr>
          <w:bCs/>
        </w:rPr>
        <w:t>:</w:t>
      </w:r>
    </w:p>
    <w:p w14:paraId="701EAE84" w14:textId="77777777" w:rsidR="00BC34B4" w:rsidRPr="00EE3B88" w:rsidRDefault="00BC34B4" w:rsidP="00A177E8">
      <w:pPr>
        <w:pStyle w:val="ListParagraph"/>
        <w:numPr>
          <w:ilvl w:val="0"/>
          <w:numId w:val="34"/>
        </w:numPr>
        <w:autoSpaceDE w:val="0"/>
        <w:autoSpaceDN w:val="0"/>
        <w:adjustRightInd w:val="0"/>
        <w:spacing w:afterLines="60" w:after="144"/>
        <w:ind w:left="2160"/>
        <w:rPr>
          <w:bCs/>
        </w:rPr>
      </w:pPr>
      <w:r w:rsidRPr="00EE3B88">
        <w:rPr>
          <w:bCs/>
        </w:rPr>
        <w:t xml:space="preserve">Download RBA table F3—'Aggregate measures of Australian corporate bond yields' from the RBA website. </w:t>
      </w:r>
    </w:p>
    <w:p w14:paraId="6419F5C3" w14:textId="77777777" w:rsidR="00BC34B4" w:rsidRDefault="00BC34B4" w:rsidP="00900D3D">
      <w:pPr>
        <w:pStyle w:val="ListParagraph"/>
        <w:numPr>
          <w:ilvl w:val="0"/>
          <w:numId w:val="34"/>
        </w:numPr>
        <w:autoSpaceDE w:val="0"/>
        <w:autoSpaceDN w:val="0"/>
        <w:adjustRightInd w:val="0"/>
        <w:spacing w:afterLines="60" w:after="144"/>
        <w:ind w:left="2160"/>
        <w:rPr>
          <w:bCs/>
        </w:rPr>
      </w:pPr>
      <w:r w:rsidRPr="00EE3B88">
        <w:rPr>
          <w:bCs/>
        </w:rPr>
        <w:t xml:space="preserve">From this file, download the 7 and 10 year 'Non-financial corporate BBB-rated </w:t>
      </w:r>
      <w:r>
        <w:rPr>
          <w:bCs/>
        </w:rPr>
        <w:t>bonds—Yield' entries for dates:</w:t>
      </w:r>
    </w:p>
    <w:p w14:paraId="52F624C3" w14:textId="5922A84E" w:rsidR="00BC34B4" w:rsidRPr="00900D3D" w:rsidRDefault="00731AB5" w:rsidP="00900D3D">
      <w:pPr>
        <w:ind w:left="2880" w:hanging="720"/>
      </w:pPr>
      <w:r>
        <w:t>(i)</w:t>
      </w:r>
      <w:r>
        <w:tab/>
      </w:r>
      <w:r w:rsidR="00BC34B4" w:rsidRPr="005E3BA3">
        <w:t>from the most recent published RBA date prior to the commencemen</w:t>
      </w:r>
      <w:r w:rsidR="00BC34B4" w:rsidRPr="005C23C6">
        <w:t>t of the nominated Averaging P</w:t>
      </w:r>
      <w:r w:rsidR="00BC34B4" w:rsidRPr="00E90306">
        <w:t>eriod for debt;</w:t>
      </w:r>
    </w:p>
    <w:p w14:paraId="47ED2E65" w14:textId="797F8FC1" w:rsidR="00BC34B4" w:rsidRPr="00900D3D" w:rsidRDefault="00731AB5" w:rsidP="00900D3D">
      <w:pPr>
        <w:ind w:left="2880" w:hanging="720"/>
      </w:pPr>
      <w:r>
        <w:t>(ii)</w:t>
      </w:r>
      <w:r>
        <w:tab/>
      </w:r>
      <w:r w:rsidR="00BC34B4" w:rsidRPr="005E3BA3">
        <w:t xml:space="preserve">to the first published RBA date following the conclusion of the nominated Averaging </w:t>
      </w:r>
      <w:r w:rsidR="00BC34B4" w:rsidRPr="005C23C6">
        <w:t xml:space="preserve">Period for </w:t>
      </w:r>
      <w:r w:rsidR="00BC34B4" w:rsidRPr="00E90306">
        <w:t>debt; and</w:t>
      </w:r>
    </w:p>
    <w:p w14:paraId="7119C58F" w14:textId="7104579F" w:rsidR="00BC34B4" w:rsidRDefault="00731AB5" w:rsidP="00900D3D">
      <w:pPr>
        <w:ind w:left="2160"/>
      </w:pPr>
      <w:r>
        <w:t>(iii)</w:t>
      </w:r>
      <w:r>
        <w:tab/>
      </w:r>
      <w:r w:rsidR="00BC34B4" w:rsidRPr="005E3BA3">
        <w:t>all publishe</w:t>
      </w:r>
      <w:r>
        <w:t>d dates between (i) and (ii)</w:t>
      </w:r>
      <w:r w:rsidR="00BC34B4">
        <w:t>.</w:t>
      </w:r>
    </w:p>
    <w:p w14:paraId="04BCFC3C" w14:textId="77777777" w:rsidR="00BC34B4" w:rsidRDefault="00BC34B4" w:rsidP="00900D3D">
      <w:pPr>
        <w:pStyle w:val="ListParagraph"/>
        <w:numPr>
          <w:ilvl w:val="0"/>
          <w:numId w:val="34"/>
        </w:numPr>
        <w:autoSpaceDE w:val="0"/>
        <w:autoSpaceDN w:val="0"/>
        <w:adjustRightInd w:val="0"/>
        <w:spacing w:afterLines="60" w:after="144"/>
        <w:ind w:left="2160"/>
        <w:rPr>
          <w:bCs/>
        </w:rPr>
      </w:pPr>
      <w:r w:rsidRPr="00EE3B88">
        <w:rPr>
          <w:bCs/>
        </w:rPr>
        <w:t>Download, from RBA table F16—'Indicative Mid Rates of Australian Government Securities</w:t>
      </w:r>
      <w:r>
        <w:rPr>
          <w:bCs/>
        </w:rPr>
        <w:t>’</w:t>
      </w:r>
      <w:r w:rsidRPr="00EE3B88">
        <w:rPr>
          <w:bCs/>
        </w:rPr>
        <w:t>, daily yields on CGSs for dates</w:t>
      </w:r>
      <w:r>
        <w:rPr>
          <w:bCs/>
        </w:rPr>
        <w:t xml:space="preserve"> within the Service Provider's Averaging P</w:t>
      </w:r>
      <w:r w:rsidRPr="00EE3B88">
        <w:rPr>
          <w:bCs/>
        </w:rPr>
        <w:t>eriod</w:t>
      </w:r>
      <w:r>
        <w:rPr>
          <w:bCs/>
        </w:rPr>
        <w:t>.</w:t>
      </w:r>
    </w:p>
    <w:p w14:paraId="612531E2" w14:textId="69948D0E" w:rsidR="00BC34B4" w:rsidRDefault="00BC34B4" w:rsidP="00900D3D">
      <w:pPr>
        <w:pStyle w:val="ListParagraph"/>
        <w:numPr>
          <w:ilvl w:val="0"/>
          <w:numId w:val="34"/>
        </w:numPr>
        <w:autoSpaceDE w:val="0"/>
        <w:autoSpaceDN w:val="0"/>
        <w:adjustRightInd w:val="0"/>
        <w:spacing w:afterLines="60" w:after="144"/>
        <w:ind w:left="2160"/>
        <w:rPr>
          <w:bCs/>
        </w:rPr>
      </w:pPr>
      <w:r w:rsidRPr="00EE3B88">
        <w:rPr>
          <w:bCs/>
        </w:rPr>
        <w:t xml:space="preserve">Linearly interpolate between the two nearest bonds straddling 7 years remaining term to maturity, and the two nearest CGS bonds straddling 10 years remaining term to maturity. This </w:t>
      </w:r>
      <w:r w:rsidR="005F286B">
        <w:rPr>
          <w:bCs/>
        </w:rPr>
        <w:t>is to</w:t>
      </w:r>
      <w:r w:rsidRPr="00EE3B88">
        <w:rPr>
          <w:bCs/>
        </w:rPr>
        <w:t xml:space="preserve"> be done using the following formula:</w:t>
      </w:r>
    </w:p>
    <w:p w14:paraId="6AF78BC2" w14:textId="77777777" w:rsidR="00BC34B4" w:rsidRPr="009F049A" w:rsidRDefault="00412743" w:rsidP="00900D3D">
      <w:pPr>
        <w:pStyle w:val="ListParagraph"/>
        <w:autoSpaceDE w:val="0"/>
        <w:autoSpaceDN w:val="0"/>
        <w:adjustRightInd w:val="0"/>
        <w:spacing w:afterLines="60" w:after="144"/>
        <w:ind w:left="2880"/>
        <w:rPr>
          <w:bCs/>
          <w:sz w:val="18"/>
        </w:rPr>
      </w:pPr>
      <m:oMath>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interpoltated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lower straddle bond</m:t>
            </m:r>
          </m:sub>
        </m:sSub>
        <m:r>
          <w:rPr>
            <w:rFonts w:ascii="Cambria Math" w:hAnsi="Cambria Math"/>
            <w:sz w:val="18"/>
          </w:rPr>
          <m:t>+</m:t>
        </m:r>
        <m:d>
          <m:dPr>
            <m:begChr m:val="["/>
            <m:endChr m:val="]"/>
            <m:ctrlPr>
              <w:rPr>
                <w:rFonts w:ascii="Cambria Math" w:hAnsi="Cambria Math"/>
                <w:bCs/>
                <w:i/>
                <w:sz w:val="18"/>
              </w:rPr>
            </m:ctrlPr>
          </m:dPr>
          <m:e>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upper straddle bond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lower straddle bond</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Date</m:t>
                    </m:r>
                  </m:e>
                  <m:sub>
                    <m:r>
                      <w:rPr>
                        <w:rFonts w:ascii="Cambria Math" w:hAnsi="Cambria Math"/>
                        <w:sz w:val="18"/>
                      </w:rPr>
                      <m:t>10 years from interpolation d</m:t>
                    </m:r>
                    <m:r>
                      <w:rPr>
                        <w:rFonts w:ascii="Cambria Math" w:hAnsi="Cambria Math" w:cs="Cambria Math"/>
                        <w:sz w:val="18"/>
                      </w:rPr>
                      <m:t>a</m:t>
                    </m:r>
                    <m:r>
                      <w:rPr>
                        <w:rFonts w:ascii="Cambria Math" w:hAnsi="Cambria Math"/>
                        <w:sz w:val="18"/>
                      </w:rPr>
                      <m:t>te</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Maturity Date</m:t>
                    </m:r>
                  </m:e>
                  <m:sub>
                    <m:r>
                      <w:rPr>
                        <w:rFonts w:ascii="Cambria Math" w:hAnsi="Cambria Math"/>
                        <w:sz w:val="18"/>
                      </w:rPr>
                      <m:t>lower straddle bond</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Maturity Date</m:t>
                    </m:r>
                  </m:e>
                  <m:sub>
                    <m:r>
                      <w:rPr>
                        <w:rFonts w:ascii="Cambria Math" w:hAnsi="Cambria Math"/>
                        <w:sz w:val="18"/>
                      </w:rPr>
                      <m:t>upper straddle bond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Maturity Date</m:t>
                    </m:r>
                  </m:e>
                  <m:sub>
                    <m:r>
                      <w:rPr>
                        <w:rFonts w:ascii="Cambria Math" w:hAnsi="Cambria Math"/>
                        <w:sz w:val="18"/>
                      </w:rPr>
                      <m:t>lower straddle bond</m:t>
                    </m:r>
                  </m:sub>
                </m:sSub>
              </m:e>
            </m:d>
          </m:e>
        </m:d>
      </m:oMath>
      <w:r w:rsidR="00BC34B4">
        <w:rPr>
          <w:bCs/>
          <w:sz w:val="18"/>
        </w:rPr>
        <w:t>.</w:t>
      </w:r>
    </w:p>
    <w:p w14:paraId="35B97774" w14:textId="670CEC7E" w:rsidR="00BC34B4" w:rsidRDefault="00BC34B4" w:rsidP="00900D3D">
      <w:pPr>
        <w:pStyle w:val="ListParagraph"/>
        <w:numPr>
          <w:ilvl w:val="0"/>
          <w:numId w:val="34"/>
        </w:numPr>
        <w:autoSpaceDE w:val="0"/>
        <w:autoSpaceDN w:val="0"/>
        <w:adjustRightInd w:val="0"/>
        <w:spacing w:afterLines="60" w:after="144"/>
        <w:ind w:left="2160"/>
        <w:rPr>
          <w:bCs/>
        </w:rPr>
      </w:pPr>
      <w:r w:rsidRPr="00A5620C">
        <w:rPr>
          <w:bCs/>
        </w:rPr>
        <w:t>Linearly extrapolate the publishe</w:t>
      </w:r>
      <w:r>
        <w:rPr>
          <w:bCs/>
        </w:rPr>
        <w:t xml:space="preserve">d RBA 10 year yield (from </w:t>
      </w:r>
      <w:r w:rsidR="00587C1E">
        <w:rPr>
          <w:bCs/>
        </w:rPr>
        <w:t>paragraph (c)(2)(B)</w:t>
      </w:r>
      <w:r w:rsidRPr="00A5620C">
        <w:rPr>
          <w:bCs/>
        </w:rPr>
        <w:t>) from its published effective term to an effective term of 10 years using the formula below</w:t>
      </w:r>
      <w:r>
        <w:rPr>
          <w:bCs/>
        </w:rPr>
        <w:t>:</w:t>
      </w:r>
    </w:p>
    <w:p w14:paraId="27287F39" w14:textId="77777777" w:rsidR="00BC34B4" w:rsidRDefault="00412743" w:rsidP="00900D3D">
      <w:pPr>
        <w:pStyle w:val="ListParagraph"/>
        <w:autoSpaceDE w:val="0"/>
        <w:autoSpaceDN w:val="0"/>
        <w:adjustRightInd w:val="0"/>
        <w:spacing w:afterLines="60" w:after="144"/>
        <w:ind w:left="2880"/>
        <w:rPr>
          <w:bCs/>
        </w:rPr>
      </w:pPr>
      <m:oMath>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10</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10 year published</m:t>
            </m:r>
          </m:sub>
        </m:sSub>
        <m:r>
          <w:rPr>
            <w:rFonts w:ascii="Cambria Math" w:hAnsi="Cambria Math"/>
            <w:sz w:val="18"/>
          </w:rPr>
          <m:t>+</m:t>
        </m:r>
        <m:d>
          <m:dPr>
            <m:begChr m:val="["/>
            <m:endChr m:val="]"/>
            <m:ctrlPr>
              <w:rPr>
                <w:rFonts w:ascii="Cambria Math" w:hAnsi="Cambria Math"/>
                <w:bCs/>
                <w:i/>
                <w:sz w:val="18"/>
              </w:rPr>
            </m:ctrlPr>
          </m:dPr>
          <m:e>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Spread to Swap</m:t>
                    </m:r>
                  </m:e>
                  <m:sub>
                    <m:r>
                      <w:rPr>
                        <w:rFonts w:ascii="Cambria Math" w:hAnsi="Cambria Math"/>
                        <w:sz w:val="18"/>
                      </w:rPr>
                      <m:t>10 year published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Spread to Swap</m:t>
                    </m:r>
                  </m:e>
                  <m:sub>
                    <m:r>
                      <w:rPr>
                        <w:rFonts w:ascii="Cambria Math" w:hAnsi="Cambria Math"/>
                        <w:sz w:val="18"/>
                      </w:rPr>
                      <m:t>7 year published</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10 year published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7 year published</m:t>
                    </m:r>
                  </m:sub>
                </m:sSub>
              </m:e>
            </m:d>
            <m:r>
              <w:rPr>
                <w:rFonts w:ascii="Cambria Math" w:hAnsi="Cambria Math"/>
                <w:sz w:val="18"/>
              </w:rPr>
              <m:t>×</m:t>
            </m:r>
            <m:d>
              <m:dPr>
                <m:ctrlPr>
                  <w:rPr>
                    <w:rFonts w:ascii="Cambria Math" w:hAnsi="Cambria Math"/>
                    <w:bCs/>
                    <w:i/>
                    <w:sz w:val="18"/>
                  </w:rPr>
                </m:ctrlPr>
              </m:dPr>
              <m:e>
                <m:r>
                  <w:rPr>
                    <w:rFonts w:ascii="Cambria Math" w:hAnsi="Cambria Math"/>
                    <w:sz w:val="18"/>
                  </w:rPr>
                  <m:t>10-</m:t>
                </m:r>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10 year published</m:t>
                    </m:r>
                  </m:sub>
                </m:sSub>
              </m:e>
            </m:d>
          </m:e>
        </m:d>
      </m:oMath>
      <w:r w:rsidR="00BC34B4">
        <w:rPr>
          <w:bCs/>
          <w:sz w:val="18"/>
        </w:rPr>
        <w:t>.</w:t>
      </w:r>
    </w:p>
    <w:p w14:paraId="57A57EA1" w14:textId="2A56EACD" w:rsidR="00BC34B4" w:rsidRDefault="00BC34B4" w:rsidP="00900D3D">
      <w:pPr>
        <w:pStyle w:val="ListParagraph"/>
        <w:numPr>
          <w:ilvl w:val="0"/>
          <w:numId w:val="34"/>
        </w:numPr>
        <w:autoSpaceDE w:val="0"/>
        <w:autoSpaceDN w:val="0"/>
        <w:adjustRightInd w:val="0"/>
        <w:spacing w:afterLines="60" w:after="144"/>
        <w:ind w:left="2160"/>
        <w:rPr>
          <w:bCs/>
        </w:rPr>
      </w:pPr>
      <w:r w:rsidRPr="002B51D8">
        <w:rPr>
          <w:bCs/>
        </w:rPr>
        <w:t>Linearly extrapolate the publish</w:t>
      </w:r>
      <w:r>
        <w:rPr>
          <w:bCs/>
        </w:rPr>
        <w:t xml:space="preserve">ed RBA 7 year yield (from </w:t>
      </w:r>
      <w:r w:rsidR="00587C1E">
        <w:rPr>
          <w:bCs/>
        </w:rPr>
        <w:t>paragraph (c)(2)(B)</w:t>
      </w:r>
      <w:r w:rsidRPr="002B51D8">
        <w:rPr>
          <w:bCs/>
        </w:rPr>
        <w:t>) from its published effective term to an effective term of 7 years using the formula below</w:t>
      </w:r>
      <w:r>
        <w:rPr>
          <w:bCs/>
        </w:rPr>
        <w:t>:</w:t>
      </w:r>
    </w:p>
    <w:p w14:paraId="02F7C6ED" w14:textId="77777777" w:rsidR="00BC34B4" w:rsidRDefault="00412743" w:rsidP="00900D3D">
      <w:pPr>
        <w:pStyle w:val="ListParagraph"/>
        <w:autoSpaceDE w:val="0"/>
        <w:autoSpaceDN w:val="0"/>
        <w:adjustRightInd w:val="0"/>
        <w:spacing w:afterLines="60" w:after="144"/>
        <w:ind w:left="2880"/>
        <w:rPr>
          <w:bCs/>
        </w:rPr>
      </w:pPr>
      <m:oMath>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7</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Yield</m:t>
            </m:r>
          </m:e>
          <m:sub>
            <m:r>
              <w:rPr>
                <w:rFonts w:ascii="Cambria Math" w:hAnsi="Cambria Math"/>
                <w:sz w:val="18"/>
              </w:rPr>
              <m:t>7 year published</m:t>
            </m:r>
          </m:sub>
        </m:sSub>
        <m:r>
          <w:rPr>
            <w:rFonts w:ascii="Cambria Math" w:hAnsi="Cambria Math"/>
            <w:sz w:val="18"/>
          </w:rPr>
          <m:t>+</m:t>
        </m:r>
        <m:d>
          <m:dPr>
            <m:begChr m:val="["/>
            <m:endChr m:val="]"/>
            <m:ctrlPr>
              <w:rPr>
                <w:rFonts w:ascii="Cambria Math" w:hAnsi="Cambria Math"/>
                <w:bCs/>
                <w:i/>
                <w:sz w:val="18"/>
              </w:rPr>
            </m:ctrlPr>
          </m:dPr>
          <m:e>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Spread to Swap</m:t>
                    </m:r>
                  </m:e>
                  <m:sub>
                    <m:r>
                      <w:rPr>
                        <w:rFonts w:ascii="Cambria Math" w:hAnsi="Cambria Math"/>
                        <w:sz w:val="18"/>
                      </w:rPr>
                      <m:t>10 year publ</m:t>
                    </m:r>
                    <m:r>
                      <w:rPr>
                        <w:rFonts w:ascii="Cambria Math" w:hAnsi="Cambria Math" w:cs="Cambria Math"/>
                        <w:sz w:val="18"/>
                      </w:rPr>
                      <m:t>i</m:t>
                    </m:r>
                    <m:r>
                      <w:rPr>
                        <w:rFonts w:ascii="Cambria Math" w:hAnsi="Cambria Math"/>
                        <w:sz w:val="18"/>
                      </w:rPr>
                      <m:t>shed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Spread to Swap</m:t>
                    </m:r>
                  </m:e>
                  <m:sub>
                    <m:r>
                      <w:rPr>
                        <w:rFonts w:ascii="Cambria Math" w:hAnsi="Cambria Math"/>
                        <w:sz w:val="18"/>
                      </w:rPr>
                      <m:t>7 year published</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Effective T</m:t>
                    </m:r>
                    <m:r>
                      <w:rPr>
                        <w:rFonts w:ascii="Cambria Math" w:hAnsi="Cambria Math" w:cs="Cambria Math"/>
                        <w:sz w:val="18"/>
                      </w:rPr>
                      <m:t>e</m:t>
                    </m:r>
                    <m:r>
                      <w:rPr>
                        <w:rFonts w:ascii="Cambria Math" w:hAnsi="Cambria Math"/>
                        <w:sz w:val="18"/>
                      </w:rPr>
                      <m:t>rm</m:t>
                    </m:r>
                  </m:e>
                  <m:sub>
                    <m:r>
                      <w:rPr>
                        <w:rFonts w:ascii="Cambria Math" w:hAnsi="Cambria Math"/>
                        <w:sz w:val="18"/>
                      </w:rPr>
                      <m:t>10 year published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7 year published</m:t>
                    </m:r>
                  </m:sub>
                </m:sSub>
              </m:e>
            </m:d>
            <m:r>
              <w:rPr>
                <w:rFonts w:ascii="Cambria Math" w:hAnsi="Cambria Math"/>
                <w:sz w:val="18"/>
              </w:rPr>
              <m:t>×</m:t>
            </m:r>
            <m:d>
              <m:dPr>
                <m:ctrlPr>
                  <w:rPr>
                    <w:rFonts w:ascii="Cambria Math" w:hAnsi="Cambria Math"/>
                    <w:bCs/>
                    <w:i/>
                    <w:sz w:val="18"/>
                  </w:rPr>
                </m:ctrlPr>
              </m:dPr>
              <m:e>
                <m:r>
                  <w:rPr>
                    <w:rFonts w:ascii="Cambria Math" w:hAnsi="Cambria Math"/>
                    <w:sz w:val="18"/>
                  </w:rPr>
                  <m:t>7-</m:t>
                </m:r>
                <m:sSub>
                  <m:sSubPr>
                    <m:ctrlPr>
                      <w:rPr>
                        <w:rFonts w:ascii="Cambria Math" w:hAnsi="Cambria Math"/>
                        <w:bCs/>
                        <w:i/>
                        <w:sz w:val="18"/>
                      </w:rPr>
                    </m:ctrlPr>
                  </m:sSubPr>
                  <m:e>
                    <m:r>
                      <w:rPr>
                        <w:rFonts w:ascii="Cambria Math" w:hAnsi="Cambria Math"/>
                        <w:sz w:val="18"/>
                      </w:rPr>
                      <m:t>Effective Term</m:t>
                    </m:r>
                  </m:e>
                  <m:sub>
                    <m:r>
                      <w:rPr>
                        <w:rFonts w:ascii="Cambria Math" w:hAnsi="Cambria Math"/>
                        <w:sz w:val="18"/>
                      </w:rPr>
                      <m:t>7 year published</m:t>
                    </m:r>
                  </m:sub>
                </m:sSub>
              </m:e>
            </m:d>
          </m:e>
        </m:d>
      </m:oMath>
      <w:r w:rsidR="00BC34B4">
        <w:rPr>
          <w:bCs/>
          <w:sz w:val="18"/>
        </w:rPr>
        <w:t>.</w:t>
      </w:r>
    </w:p>
    <w:p w14:paraId="76971CCE" w14:textId="5AF2D9AB" w:rsidR="00BC34B4" w:rsidRDefault="00BC34B4" w:rsidP="00900D3D">
      <w:pPr>
        <w:pStyle w:val="ListParagraph"/>
        <w:numPr>
          <w:ilvl w:val="0"/>
          <w:numId w:val="34"/>
        </w:numPr>
        <w:autoSpaceDE w:val="0"/>
        <w:autoSpaceDN w:val="0"/>
        <w:adjustRightInd w:val="0"/>
        <w:spacing w:afterLines="60" w:after="144"/>
        <w:ind w:left="2160"/>
        <w:rPr>
          <w:bCs/>
        </w:rPr>
      </w:pPr>
      <w:r w:rsidRPr="002B51D8">
        <w:rPr>
          <w:bCs/>
        </w:rPr>
        <w:t xml:space="preserve">Subtract from the extrapolated 10 year RBA yield on each publication date the interpolated CGS yield on that date. For the 10 year term, use the </w:t>
      </w:r>
      <w:r w:rsidR="00587C1E">
        <w:rPr>
          <w:bCs/>
        </w:rPr>
        <w:t>RBA series as adjusted in paragraph (c)(2)(E)</w:t>
      </w:r>
      <w:r w:rsidRPr="002B51D8">
        <w:rPr>
          <w:bCs/>
        </w:rPr>
        <w:t xml:space="preserve">. These are the </w:t>
      </w:r>
      <w:r w:rsidRPr="00F57D9B">
        <w:rPr>
          <w:b/>
          <w:bCs/>
        </w:rPr>
        <w:t>adjusted RBA 10 year spreads</w:t>
      </w:r>
      <w:r>
        <w:rPr>
          <w:bCs/>
        </w:rPr>
        <w:t>.</w:t>
      </w:r>
    </w:p>
    <w:p w14:paraId="1E38F936" w14:textId="3DF9B194" w:rsidR="00BC34B4" w:rsidRDefault="00BC34B4" w:rsidP="00900D3D">
      <w:pPr>
        <w:pStyle w:val="ListParagraph"/>
        <w:numPr>
          <w:ilvl w:val="0"/>
          <w:numId w:val="34"/>
        </w:numPr>
        <w:autoSpaceDE w:val="0"/>
        <w:autoSpaceDN w:val="0"/>
        <w:adjustRightInd w:val="0"/>
        <w:spacing w:afterLines="60" w:after="144"/>
        <w:ind w:left="2160"/>
        <w:rPr>
          <w:bCs/>
        </w:rPr>
      </w:pPr>
      <w:r w:rsidRPr="002B51D8">
        <w:rPr>
          <w:bCs/>
        </w:rPr>
        <w:t xml:space="preserve">Obtain daily RBA spread estimates by linear interpolation of the adjusted RBA spreads (from </w:t>
      </w:r>
      <w:r w:rsidR="00587C1E">
        <w:rPr>
          <w:bCs/>
        </w:rPr>
        <w:t xml:space="preserve">paragraphs (c)(2)(E) </w:t>
      </w:r>
      <w:r>
        <w:rPr>
          <w:bCs/>
        </w:rPr>
        <w:t xml:space="preserve">and </w:t>
      </w:r>
      <w:r w:rsidR="00587C1E">
        <w:rPr>
          <w:bCs/>
        </w:rPr>
        <w:t>(F)</w:t>
      </w:r>
      <w:r w:rsidRPr="002B51D8">
        <w:rPr>
          <w:bCs/>
        </w:rPr>
        <w:t xml:space="preserve">) for both 7 and 10 year terms between the published dates identified in </w:t>
      </w:r>
      <w:r w:rsidR="003A1A47">
        <w:rPr>
          <w:bCs/>
        </w:rPr>
        <w:t>paragraph (c)(2)(B)</w:t>
      </w:r>
      <w:r w:rsidRPr="002B51D8">
        <w:rPr>
          <w:bCs/>
        </w:rPr>
        <w:t>. Use the adjusted RBA spread e</w:t>
      </w:r>
      <w:r>
        <w:rPr>
          <w:bCs/>
        </w:rPr>
        <w:t xml:space="preserve">stimates as calculated in </w:t>
      </w:r>
      <w:r w:rsidR="009E488B">
        <w:rPr>
          <w:bCs/>
        </w:rPr>
        <w:t>paragraph (c)(2)(D)</w:t>
      </w:r>
      <w:r w:rsidRPr="002B51D8">
        <w:rPr>
          <w:bCs/>
        </w:rPr>
        <w:t xml:space="preserve">. This </w:t>
      </w:r>
      <w:r w:rsidR="009E488B">
        <w:rPr>
          <w:bCs/>
        </w:rPr>
        <w:t>is to be</w:t>
      </w:r>
      <w:r w:rsidRPr="002B51D8">
        <w:rPr>
          <w:bCs/>
        </w:rPr>
        <w:t xml:space="preserve"> done using the following formula:</w:t>
      </w:r>
    </w:p>
    <w:p w14:paraId="0ABD4617" w14:textId="77777777" w:rsidR="00BC34B4" w:rsidRDefault="00412743" w:rsidP="00900D3D">
      <w:pPr>
        <w:pStyle w:val="ListParagraph"/>
        <w:autoSpaceDE w:val="0"/>
        <w:autoSpaceDN w:val="0"/>
        <w:adjustRightInd w:val="0"/>
        <w:spacing w:afterLines="60" w:after="144"/>
        <w:ind w:left="2160"/>
        <w:rPr>
          <w:bCs/>
        </w:rPr>
      </w:pPr>
      <m:oMathPara>
        <m:oMath>
          <m:sSub>
            <m:sSubPr>
              <m:ctrlPr>
                <w:rPr>
                  <w:rFonts w:ascii="Cambria Math" w:hAnsi="Cambria Math"/>
                  <w:bCs/>
                  <w:i/>
                  <w:sz w:val="18"/>
                </w:rPr>
              </m:ctrlPr>
            </m:sSubPr>
            <m:e>
              <m:r>
                <w:rPr>
                  <w:rFonts w:ascii="Cambria Math" w:hAnsi="Cambria Math"/>
                  <w:sz w:val="18"/>
                </w:rPr>
                <m:t>Spread</m:t>
              </m:r>
            </m:e>
            <m:sub>
              <m:r>
                <w:rPr>
                  <w:rFonts w:ascii="Cambria Math" w:hAnsi="Cambria Math"/>
                  <w:sz w:val="18"/>
                </w:rPr>
                <m:t>interpolated</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Spread</m:t>
              </m:r>
            </m:e>
            <m:sub>
              <m:r>
                <w:rPr>
                  <w:rFonts w:ascii="Cambria Math" w:hAnsi="Cambria Math"/>
                  <w:sz w:val="18"/>
                </w:rPr>
                <m:t>first straddling publication date</m:t>
              </m:r>
            </m:sub>
          </m:sSub>
          <m:r>
            <w:rPr>
              <w:rFonts w:ascii="Cambria Math" w:hAnsi="Cambria Math"/>
              <w:sz w:val="18"/>
            </w:rPr>
            <m:t>+</m:t>
          </m:r>
          <m:d>
            <m:dPr>
              <m:begChr m:val="["/>
              <m:endChr m:val="]"/>
              <m:ctrlPr>
                <w:rPr>
                  <w:rFonts w:ascii="Cambria Math" w:hAnsi="Cambria Math"/>
                  <w:bCs/>
                  <w:i/>
                  <w:sz w:val="18"/>
                </w:rPr>
              </m:ctrlPr>
            </m:dPr>
            <m:e>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Date</m:t>
                      </m:r>
                    </m:e>
                    <m:sub>
                      <m:r>
                        <w:rPr>
                          <w:rFonts w:ascii="Cambria Math" w:hAnsi="Cambria Math"/>
                          <w:sz w:val="18"/>
                        </w:rPr>
                        <m:t>interpolation</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Date</m:t>
                      </m:r>
                    </m:e>
                    <m:sub>
                      <m:r>
                        <w:rPr>
                          <w:rFonts w:ascii="Cambria Math" w:hAnsi="Cambria Math"/>
                          <w:sz w:val="18"/>
                        </w:rPr>
                        <m:t>first straddl</m:t>
                      </m:r>
                      <m:r>
                        <w:rPr>
                          <w:rFonts w:ascii="Cambria Math" w:hAnsi="Cambria Math" w:cs="Cambria Math"/>
                          <w:sz w:val="18"/>
                        </w:rPr>
                        <m:t>i</m:t>
                      </m:r>
                      <m:r>
                        <w:rPr>
                          <w:rFonts w:ascii="Cambria Math" w:hAnsi="Cambria Math"/>
                          <w:sz w:val="18"/>
                        </w:rPr>
                        <m:t>ng publication date</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Spread</m:t>
                      </m:r>
                    </m:e>
                    <m:sub>
                      <m:r>
                        <w:rPr>
                          <w:rFonts w:ascii="Cambria Math" w:hAnsi="Cambria Math"/>
                          <w:sz w:val="18"/>
                        </w:rPr>
                        <m:t>sec</m:t>
                      </m:r>
                      <m:r>
                        <w:rPr>
                          <w:rFonts w:ascii="Cambria Math" w:hAnsi="Cambria Math" w:cs="Cambria Math"/>
                          <w:sz w:val="18"/>
                        </w:rPr>
                        <m:t>o</m:t>
                      </m:r>
                      <m:r>
                        <w:rPr>
                          <w:rFonts w:ascii="Cambria Math" w:hAnsi="Cambria Math"/>
                          <w:sz w:val="18"/>
                        </w:rPr>
                        <m:t>nd straddling publication date</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Spr</m:t>
                      </m:r>
                      <m:r>
                        <w:rPr>
                          <w:rFonts w:ascii="Cambria Math" w:hAnsi="Cambria Math"/>
                          <w:sz w:val="18"/>
                        </w:rPr>
                        <m:t>ead</m:t>
                      </m:r>
                    </m:e>
                    <m:sub>
                      <m:r>
                        <w:rPr>
                          <w:rFonts w:ascii="Cambria Math" w:hAnsi="Cambria Math"/>
                          <w:sz w:val="18"/>
                        </w:rPr>
                        <m:t>first straddling publication date</m:t>
                      </m:r>
                    </m:sub>
                  </m:sSub>
                </m:e>
              </m:d>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Date</m:t>
                      </m:r>
                    </m:e>
                    <m:sub>
                      <m:r>
                        <w:rPr>
                          <w:rFonts w:ascii="Cambria Math" w:hAnsi="Cambria Math"/>
                          <w:sz w:val="18"/>
                        </w:rPr>
                        <m:t>second straddling publ</m:t>
                      </m:r>
                      <m:r>
                        <w:rPr>
                          <w:rFonts w:ascii="Cambria Math" w:hAnsi="Cambria Math" w:cs="Cambria Math"/>
                          <w:sz w:val="18"/>
                        </w:rPr>
                        <m:t>i</m:t>
                      </m:r>
                      <m:r>
                        <w:rPr>
                          <w:rFonts w:ascii="Cambria Math" w:hAnsi="Cambria Math"/>
                          <w:sz w:val="18"/>
                        </w:rPr>
                        <m:t>cation date</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Date</m:t>
                      </m:r>
                    </m:e>
                    <m:sub>
                      <m:r>
                        <w:rPr>
                          <w:rFonts w:ascii="Cambria Math" w:hAnsi="Cambria Math"/>
                          <w:sz w:val="18"/>
                        </w:rPr>
                        <m:t>first straddli</m:t>
                      </m:r>
                      <m:r>
                        <w:rPr>
                          <w:rFonts w:ascii="Cambria Math" w:hAnsi="Cambria Math" w:cs="Cambria Math"/>
                          <w:sz w:val="18"/>
                        </w:rPr>
                        <m:t>n</m:t>
                      </m:r>
                      <m:r>
                        <w:rPr>
                          <w:rFonts w:ascii="Cambria Math" w:hAnsi="Cambria Math"/>
                          <w:sz w:val="18"/>
                        </w:rPr>
                        <m:t>g publication date</m:t>
                      </m:r>
                    </m:sub>
                  </m:sSub>
                </m:e>
              </m:d>
            </m:e>
          </m:d>
        </m:oMath>
      </m:oMathPara>
    </w:p>
    <w:p w14:paraId="1A36A00C" w14:textId="77777777" w:rsidR="00BC34B4" w:rsidRDefault="00BC34B4" w:rsidP="00900D3D">
      <w:pPr>
        <w:ind w:left="2160"/>
      </w:pPr>
      <w:r w:rsidRPr="003D5162">
        <w:t>If the annual return on debt estimate must be finalised before a final published RBA month-end estimate is available, hold the last observed RBA spr</w:t>
      </w:r>
      <w:r>
        <w:t>ead constant to the end of the Averaging P</w:t>
      </w:r>
      <w:r w:rsidRPr="003D5162">
        <w:t xml:space="preserve">eriod.  </w:t>
      </w:r>
    </w:p>
    <w:p w14:paraId="3CA6AEF9" w14:textId="558343C6" w:rsidR="00BC34B4" w:rsidRDefault="00BC34B4" w:rsidP="00900D3D">
      <w:pPr>
        <w:pStyle w:val="ListParagraph"/>
        <w:numPr>
          <w:ilvl w:val="0"/>
          <w:numId w:val="34"/>
        </w:numPr>
        <w:autoSpaceDE w:val="0"/>
        <w:autoSpaceDN w:val="0"/>
        <w:adjustRightInd w:val="0"/>
        <w:spacing w:afterLines="60" w:after="144"/>
        <w:ind w:left="2160"/>
        <w:rPr>
          <w:bCs/>
        </w:rPr>
      </w:pPr>
      <w:r w:rsidRPr="003D5162">
        <w:rPr>
          <w:bCs/>
        </w:rPr>
        <w:t xml:space="preserve">Add to the daily spreads (from </w:t>
      </w:r>
      <w:r w:rsidR="009E488B">
        <w:rPr>
          <w:bCs/>
        </w:rPr>
        <w:t>paragraph (c)(2)G)</w:t>
      </w:r>
      <w:r w:rsidRPr="003D5162">
        <w:rPr>
          <w:bCs/>
        </w:rPr>
        <w:t xml:space="preserve">), daily interpolated estimates of the CGS (from </w:t>
      </w:r>
      <w:r w:rsidR="009E488B">
        <w:rPr>
          <w:bCs/>
        </w:rPr>
        <w:t>paragraph (c)(2)(D)</w:t>
      </w:r>
      <w:r>
        <w:rPr>
          <w:bCs/>
        </w:rPr>
        <w:t>) for all business days in the Service P</w:t>
      </w:r>
      <w:r w:rsidRPr="003D5162">
        <w:rPr>
          <w:bCs/>
        </w:rPr>
        <w:t>rovider</w:t>
      </w:r>
      <w:r>
        <w:rPr>
          <w:bCs/>
        </w:rPr>
        <w:t>’s Averaging P</w:t>
      </w:r>
      <w:r w:rsidRPr="003D5162">
        <w:rPr>
          <w:bCs/>
        </w:rPr>
        <w:t>eriod. Specifically</w:t>
      </w:r>
      <w:r>
        <w:rPr>
          <w:bCs/>
        </w:rPr>
        <w:t>:</w:t>
      </w:r>
    </w:p>
    <w:p w14:paraId="61934C4A" w14:textId="1F678018" w:rsidR="00BC34B4" w:rsidRPr="005E3BA3" w:rsidRDefault="009E488B" w:rsidP="00900D3D">
      <w:pPr>
        <w:ind w:left="2880" w:hanging="720"/>
      </w:pPr>
      <w:r>
        <w:t>(i)</w:t>
      </w:r>
      <w:r>
        <w:tab/>
      </w:r>
      <w:r w:rsidR="00BC34B4" w:rsidRPr="005E3BA3">
        <w:t xml:space="preserve">add the 7 year interpolated CGS estimates to the 7 year interpolated RBA spreads. These are the </w:t>
      </w:r>
      <w:r w:rsidR="00BC34B4" w:rsidRPr="00F57D9B">
        <w:rPr>
          <w:b/>
        </w:rPr>
        <w:t>interpolated RBA daily 7-year yield estimates</w:t>
      </w:r>
      <w:r w:rsidR="00BC34B4" w:rsidRPr="005E3BA3">
        <w:t>;</w:t>
      </w:r>
    </w:p>
    <w:p w14:paraId="6AE297CF" w14:textId="42F8DCDF" w:rsidR="00BC34B4" w:rsidRDefault="009E488B" w:rsidP="00900D3D">
      <w:pPr>
        <w:ind w:left="2880" w:hanging="720"/>
      </w:pPr>
      <w:r>
        <w:t>(ii)</w:t>
      </w:r>
      <w:r>
        <w:tab/>
      </w:r>
      <w:r w:rsidR="00BC34B4" w:rsidRPr="005E3BA3">
        <w:t>add</w:t>
      </w:r>
      <w:r w:rsidR="00BC34B4" w:rsidRPr="003D5162">
        <w:t xml:space="preserve"> the 10 year interpolated CGS estimate to the 10 year in</w:t>
      </w:r>
      <w:r w:rsidR="005F286B">
        <w:t xml:space="preserve">terpolated RBA spread. These  </w:t>
      </w:r>
      <w:r w:rsidR="00BC34B4" w:rsidRPr="003D5162">
        <w:t xml:space="preserve">are the </w:t>
      </w:r>
      <w:r w:rsidR="00BC34B4" w:rsidRPr="00F57D9B">
        <w:rPr>
          <w:b/>
        </w:rPr>
        <w:t>interpolated RBA daily 10-year yield estimates</w:t>
      </w:r>
      <w:r w:rsidR="00BC34B4">
        <w:t>.</w:t>
      </w:r>
    </w:p>
    <w:p w14:paraId="11E6D3BE" w14:textId="55776A1C" w:rsidR="00BC34B4" w:rsidRDefault="00BC34B4" w:rsidP="00900D3D">
      <w:pPr>
        <w:pStyle w:val="ListParagraph"/>
        <w:numPr>
          <w:ilvl w:val="0"/>
          <w:numId w:val="34"/>
        </w:numPr>
        <w:autoSpaceDE w:val="0"/>
        <w:autoSpaceDN w:val="0"/>
        <w:adjustRightInd w:val="0"/>
        <w:spacing w:afterLines="60" w:after="144"/>
        <w:ind w:left="2160"/>
        <w:rPr>
          <w:bCs/>
        </w:rPr>
      </w:pPr>
      <w:r w:rsidRPr="003D5162">
        <w:rPr>
          <w:bCs/>
        </w:rPr>
        <w:t xml:space="preserve">Convert the interpolated </w:t>
      </w:r>
      <w:r w:rsidR="005F286B">
        <w:rPr>
          <w:bCs/>
        </w:rPr>
        <w:t xml:space="preserve">RBA </w:t>
      </w:r>
      <w:r w:rsidRPr="003D5162">
        <w:rPr>
          <w:bCs/>
        </w:rPr>
        <w:t xml:space="preserve">daily </w:t>
      </w:r>
      <w:r w:rsidR="005F286B">
        <w:rPr>
          <w:bCs/>
        </w:rPr>
        <w:t xml:space="preserve">7-year </w:t>
      </w:r>
      <w:r w:rsidRPr="003D5162">
        <w:rPr>
          <w:bCs/>
        </w:rPr>
        <w:t xml:space="preserve">yield estimates </w:t>
      </w:r>
      <w:r w:rsidR="005F286B">
        <w:rPr>
          <w:bCs/>
        </w:rPr>
        <w:t xml:space="preserve">and the </w:t>
      </w:r>
      <w:r w:rsidR="005F286B" w:rsidRPr="003D5162">
        <w:rPr>
          <w:bCs/>
        </w:rPr>
        <w:t xml:space="preserve">interpolated </w:t>
      </w:r>
      <w:r w:rsidR="005F286B">
        <w:rPr>
          <w:bCs/>
        </w:rPr>
        <w:t xml:space="preserve">RBA </w:t>
      </w:r>
      <w:r w:rsidR="005F286B" w:rsidRPr="003D5162">
        <w:rPr>
          <w:bCs/>
        </w:rPr>
        <w:t xml:space="preserve">daily </w:t>
      </w:r>
      <w:r w:rsidR="005F286B">
        <w:rPr>
          <w:bCs/>
        </w:rPr>
        <w:t xml:space="preserve">10-year </w:t>
      </w:r>
      <w:r w:rsidR="005F286B" w:rsidRPr="003D5162">
        <w:rPr>
          <w:bCs/>
        </w:rPr>
        <w:t xml:space="preserve">yield estimates </w:t>
      </w:r>
      <w:r w:rsidRPr="003D5162">
        <w:rPr>
          <w:bCs/>
        </w:rPr>
        <w:t xml:space="preserve">(from </w:t>
      </w:r>
      <w:r w:rsidR="00176824">
        <w:rPr>
          <w:bCs/>
        </w:rPr>
        <w:t>paragraph (c)(2)(I)</w:t>
      </w:r>
      <w:r w:rsidRPr="003D5162">
        <w:rPr>
          <w:bCs/>
        </w:rPr>
        <w:t>) to effective annual rates, using the formula</w:t>
      </w:r>
      <w:r>
        <w:rPr>
          <w:bCs/>
        </w:rPr>
        <w:t>:</w:t>
      </w:r>
    </w:p>
    <w:p w14:paraId="5F55D718" w14:textId="77777777" w:rsidR="00BC34B4" w:rsidRDefault="00BC34B4" w:rsidP="00BC34B4">
      <w:pPr>
        <w:pStyle w:val="ListParagraph"/>
        <w:autoSpaceDE w:val="0"/>
        <w:autoSpaceDN w:val="0"/>
        <w:adjustRightInd w:val="0"/>
        <w:spacing w:afterLines="60" w:after="144"/>
        <w:ind w:left="1429"/>
        <w:rPr>
          <w:bCs/>
        </w:rPr>
      </w:pPr>
      <m:oMathPara>
        <m:oMath>
          <m:r>
            <w:rPr>
              <w:rFonts w:ascii="Cambria Math" w:hAnsi="Cambria Math"/>
              <w:sz w:val="18"/>
            </w:rPr>
            <m:t>Effective annual rate=</m:t>
          </m:r>
          <m:d>
            <m:dPr>
              <m:ctrlPr>
                <w:rPr>
                  <w:rFonts w:ascii="Cambria Math" w:hAnsi="Cambria Math"/>
                  <w:bCs/>
                  <w:i/>
                  <w:sz w:val="18"/>
                </w:rPr>
              </m:ctrlPr>
            </m:dPr>
            <m:e>
              <m:sSup>
                <m:sSupPr>
                  <m:ctrlPr>
                    <w:rPr>
                      <w:rFonts w:ascii="Cambria Math" w:hAnsi="Cambria Math"/>
                      <w:bCs/>
                      <w:i/>
                      <w:sz w:val="18"/>
                    </w:rPr>
                  </m:ctrlPr>
                </m:sSupPr>
                <m:e>
                  <m:d>
                    <m:dPr>
                      <m:ctrlPr>
                        <w:rPr>
                          <w:rFonts w:ascii="Cambria Math" w:hAnsi="Cambria Math"/>
                          <w:bCs/>
                          <w:i/>
                          <w:sz w:val="18"/>
                        </w:rPr>
                      </m:ctrlPr>
                    </m:dPr>
                    <m:e>
                      <m:r>
                        <w:rPr>
                          <w:rFonts w:ascii="Cambria Math" w:hAnsi="Cambria Math"/>
                          <w:sz w:val="18"/>
                        </w:rPr>
                        <m:t>1+</m:t>
                      </m:r>
                      <m:f>
                        <m:fPr>
                          <m:ctrlPr>
                            <w:rPr>
                              <w:rFonts w:ascii="Cambria Math" w:hAnsi="Cambria Math"/>
                              <w:bCs/>
                              <w:i/>
                              <w:sz w:val="18"/>
                            </w:rPr>
                          </m:ctrlPr>
                        </m:fPr>
                        <m:num>
                          <m:r>
                            <w:rPr>
                              <w:rFonts w:ascii="Cambria Math" w:hAnsi="Cambria Math"/>
                              <w:sz w:val="18"/>
                            </w:rPr>
                            <m:t>yield</m:t>
                          </m:r>
                        </m:num>
                        <m:den>
                          <m:r>
                            <w:rPr>
                              <w:rFonts w:ascii="Cambria Math" w:hAnsi="Cambria Math"/>
                              <w:sz w:val="18"/>
                            </w:rPr>
                            <m:t>200</m:t>
                          </m:r>
                        </m:den>
                      </m:f>
                    </m:e>
                  </m:d>
                </m:e>
                <m:sup>
                  <m:r>
                    <w:rPr>
                      <w:rFonts w:ascii="Cambria Math" w:hAnsi="Cambria Math"/>
                      <w:sz w:val="18"/>
                    </w:rPr>
                    <m:t>2</m:t>
                  </m:r>
                </m:sup>
              </m:sSup>
              <m:r>
                <w:rPr>
                  <w:rFonts w:ascii="Cambria Math" w:hAnsi="Cambria Math"/>
                  <w:sz w:val="18"/>
                </w:rPr>
                <m:t>-1</m:t>
              </m:r>
            </m:e>
          </m:d>
          <m:r>
            <w:rPr>
              <w:rFonts w:ascii="Cambria Math" w:hAnsi="Cambria Math"/>
              <w:sz w:val="18"/>
            </w:rPr>
            <m:t>∙100</m:t>
          </m:r>
        </m:oMath>
      </m:oMathPara>
    </w:p>
    <w:p w14:paraId="7B29A0F6" w14:textId="77777777" w:rsidR="00BC34B4" w:rsidRPr="009F049A" w:rsidRDefault="00BC34B4" w:rsidP="00900D3D">
      <w:pPr>
        <w:pStyle w:val="ListParagraph"/>
        <w:numPr>
          <w:ilvl w:val="0"/>
          <w:numId w:val="34"/>
        </w:numPr>
        <w:autoSpaceDE w:val="0"/>
        <w:autoSpaceDN w:val="0"/>
        <w:adjustRightInd w:val="0"/>
        <w:spacing w:afterLines="60" w:after="144"/>
        <w:ind w:left="2160"/>
        <w:rPr>
          <w:bCs/>
        </w:rPr>
      </w:pPr>
      <w:r w:rsidRPr="003D5162">
        <w:rPr>
          <w:bCs/>
        </w:rPr>
        <w:t>Average the yield estimate for the 10 year RBA yield estimate</w:t>
      </w:r>
      <w:r>
        <w:rPr>
          <w:bCs/>
        </w:rPr>
        <w:t xml:space="preserve"> over all </w:t>
      </w:r>
      <w:r w:rsidRPr="00900D3D">
        <w:rPr>
          <w:bCs/>
        </w:rPr>
        <w:t>business days</w:t>
      </w:r>
      <w:r>
        <w:rPr>
          <w:bCs/>
        </w:rPr>
        <w:t xml:space="preserve"> in the Service P</w:t>
      </w:r>
      <w:r w:rsidRPr="003D5162">
        <w:rPr>
          <w:bCs/>
        </w:rPr>
        <w:t xml:space="preserve">rovider's </w:t>
      </w:r>
      <w:r>
        <w:rPr>
          <w:bCs/>
        </w:rPr>
        <w:t>A</w:t>
      </w:r>
      <w:r w:rsidRPr="003D5162">
        <w:rPr>
          <w:bCs/>
        </w:rPr>
        <w:t xml:space="preserve">veraging </w:t>
      </w:r>
      <w:r>
        <w:rPr>
          <w:bCs/>
        </w:rPr>
        <w:t>P</w:t>
      </w:r>
      <w:r w:rsidRPr="003D5162">
        <w:rPr>
          <w:bCs/>
        </w:rPr>
        <w:t xml:space="preserve">eriod. This is </w:t>
      </w:r>
      <w:r>
        <w:rPr>
          <w:bCs/>
        </w:rPr>
        <w:t>the</w:t>
      </w:r>
      <w:r w:rsidRPr="003D5162">
        <w:rPr>
          <w:bCs/>
        </w:rPr>
        <w:t xml:space="preserve"> </w:t>
      </w:r>
      <w:r w:rsidRPr="00F57D9B">
        <w:rPr>
          <w:b/>
          <w:bCs/>
        </w:rPr>
        <w:t>adjusted RBA estimate</w:t>
      </w:r>
      <w:r>
        <w:rPr>
          <w:bCs/>
        </w:rPr>
        <w:t>.</w:t>
      </w:r>
    </w:p>
    <w:p w14:paraId="16CB1C85" w14:textId="7DEAB849" w:rsidR="00902FD6" w:rsidRPr="00902FD6" w:rsidRDefault="00902FD6" w:rsidP="00900D3D">
      <w:pPr>
        <w:ind w:left="709"/>
      </w:pPr>
      <w:r w:rsidRPr="00902FD6">
        <w:t>(</w:t>
      </w:r>
      <w:r>
        <w:t>3</w:t>
      </w:r>
      <w:r w:rsidRPr="00902FD6">
        <w:t>)</w:t>
      </w:r>
      <w:r w:rsidRPr="00902FD6">
        <w:tab/>
        <w:t xml:space="preserve">Calculating the adjusted </w:t>
      </w:r>
      <w:r w:rsidR="007D0390">
        <w:t>BVAL</w:t>
      </w:r>
      <w:r w:rsidRPr="00902FD6">
        <w:t xml:space="preserve"> estimate</w:t>
      </w:r>
    </w:p>
    <w:p w14:paraId="0710F721" w14:textId="272FDF60" w:rsidR="00BC34B4" w:rsidRDefault="00BC34B4" w:rsidP="00900D3D">
      <w:pPr>
        <w:autoSpaceDE w:val="0"/>
        <w:autoSpaceDN w:val="0"/>
        <w:adjustRightInd w:val="0"/>
        <w:spacing w:afterLines="60" w:after="144"/>
        <w:ind w:left="1429"/>
        <w:rPr>
          <w:bCs/>
        </w:rPr>
      </w:pPr>
      <w:r>
        <w:rPr>
          <w:bCs/>
        </w:rPr>
        <w:t>To calculate the ad</w:t>
      </w:r>
      <w:r w:rsidR="00902FD6">
        <w:rPr>
          <w:bCs/>
        </w:rPr>
        <w:t>justed BVAL estimate in Step 2</w:t>
      </w:r>
      <w:r>
        <w:rPr>
          <w:bCs/>
        </w:rPr>
        <w:t>:</w:t>
      </w:r>
    </w:p>
    <w:p w14:paraId="30E566E9" w14:textId="1805ECF8" w:rsidR="00BC34B4" w:rsidRDefault="00176824" w:rsidP="00900D3D">
      <w:pPr>
        <w:ind w:left="2160" w:hanging="720"/>
      </w:pPr>
      <w:r>
        <w:t>(A)</w:t>
      </w:r>
      <w:r>
        <w:tab/>
      </w:r>
      <w:r w:rsidR="00BC34B4" w:rsidRPr="009C1368">
        <w:t>For dates after 14 April 2015, download the 10 year Corporate BBB rated Australian BVAL curve (BVCSAB10). For dates before 14 April 2015, download from Bloomberg the 7 year Corporate BBB rated Australian BVAL curve (BVCSAB07 index</w:t>
      </w:r>
      <w:r w:rsidR="00BC34B4">
        <w:t xml:space="preserve">) for all </w:t>
      </w:r>
      <w:r w:rsidR="00BC34B4" w:rsidRPr="00900D3D">
        <w:rPr>
          <w:bCs/>
        </w:rPr>
        <w:t>business days</w:t>
      </w:r>
      <w:r w:rsidR="00BC34B4">
        <w:t xml:space="preserve"> in the Service P</w:t>
      </w:r>
      <w:r w:rsidR="00BC34B4" w:rsidRPr="009C1368">
        <w:t xml:space="preserve">rovider's </w:t>
      </w:r>
      <w:r w:rsidR="00BC34B4">
        <w:t>A</w:t>
      </w:r>
      <w:r w:rsidR="00BC34B4" w:rsidRPr="009C1368">
        <w:t xml:space="preserve">veraging </w:t>
      </w:r>
      <w:r w:rsidR="00BC34B4">
        <w:t>P</w:t>
      </w:r>
      <w:r w:rsidR="00BC34B4" w:rsidRPr="009C1368">
        <w:t>eriod.</w:t>
      </w:r>
    </w:p>
    <w:p w14:paraId="6BA9BBC7" w14:textId="1251FD7E" w:rsidR="00BC34B4" w:rsidRDefault="00176824" w:rsidP="00900D3D">
      <w:pPr>
        <w:ind w:left="2160" w:hanging="720"/>
        <w:rPr>
          <w:bCs/>
        </w:rPr>
      </w:pPr>
      <w:r>
        <w:rPr>
          <w:bCs/>
        </w:rPr>
        <w:t>(B)</w:t>
      </w:r>
      <w:r>
        <w:rPr>
          <w:bCs/>
        </w:rPr>
        <w:tab/>
      </w:r>
      <w:r w:rsidR="00BC34B4" w:rsidRPr="009C1368">
        <w:rPr>
          <w:bCs/>
        </w:rPr>
        <w:t xml:space="preserve">For dates before 14 April 2015, add to the 7 year yield the difference between the 7 and 10 </w:t>
      </w:r>
      <w:r w:rsidR="00BC34B4" w:rsidRPr="005E3BA3">
        <w:t>year</w:t>
      </w:r>
      <w:r w:rsidR="00BC34B4" w:rsidRPr="009C1368">
        <w:rPr>
          <w:bCs/>
        </w:rPr>
        <w:t xml:space="preserve"> daily RBA adjusted yields (as calculated in </w:t>
      </w:r>
      <w:r w:rsidR="00BC34B4">
        <w:rPr>
          <w:bCs/>
        </w:rPr>
        <w:t>viii</w:t>
      </w:r>
      <w:r w:rsidR="00BC34B4" w:rsidRPr="009C1368">
        <w:rPr>
          <w:bCs/>
        </w:rPr>
        <w:t xml:space="preserve">) of the RBA process). This is the </w:t>
      </w:r>
      <w:r w:rsidR="00BC34B4" w:rsidRPr="00F57D9B">
        <w:rPr>
          <w:b/>
          <w:bCs/>
        </w:rPr>
        <w:t>extrapolated daily estimate of the BVAL 10 year yield</w:t>
      </w:r>
      <w:r w:rsidR="00BC34B4">
        <w:rPr>
          <w:bCs/>
        </w:rPr>
        <w:t>.</w:t>
      </w:r>
    </w:p>
    <w:p w14:paraId="6995B7E7" w14:textId="715E0E85" w:rsidR="00BC34B4" w:rsidRDefault="00176824" w:rsidP="00900D3D">
      <w:pPr>
        <w:ind w:left="2160" w:hanging="720"/>
        <w:rPr>
          <w:bCs/>
        </w:rPr>
      </w:pPr>
      <w:r>
        <w:rPr>
          <w:bCs/>
        </w:rPr>
        <w:t>(C)</w:t>
      </w:r>
      <w:r>
        <w:rPr>
          <w:bCs/>
        </w:rPr>
        <w:tab/>
      </w:r>
      <w:r w:rsidR="00BC34B4" w:rsidRPr="009C1368">
        <w:rPr>
          <w:bCs/>
        </w:rPr>
        <w:t>For all dates, convert the 10 year yields into effective annual rates, using the formula:</w:t>
      </w:r>
    </w:p>
    <w:p w14:paraId="2FBD0770" w14:textId="77777777" w:rsidR="00BC34B4" w:rsidRDefault="00BC34B4" w:rsidP="00BC34B4">
      <w:pPr>
        <w:pStyle w:val="ListParagraph"/>
        <w:autoSpaceDE w:val="0"/>
        <w:autoSpaceDN w:val="0"/>
        <w:adjustRightInd w:val="0"/>
        <w:spacing w:afterLines="60" w:after="144"/>
        <w:ind w:left="1429"/>
        <w:rPr>
          <w:bCs/>
        </w:rPr>
      </w:pPr>
      <m:oMathPara>
        <m:oMath>
          <m:r>
            <w:rPr>
              <w:rFonts w:ascii="Cambria Math" w:hAnsi="Cambria Math"/>
              <w:sz w:val="18"/>
            </w:rPr>
            <w:lastRenderedPageBreak/>
            <m:t>Effective annual rate=</m:t>
          </m:r>
          <m:d>
            <m:dPr>
              <m:ctrlPr>
                <w:rPr>
                  <w:rFonts w:ascii="Cambria Math" w:hAnsi="Cambria Math"/>
                  <w:bCs/>
                  <w:i/>
                  <w:sz w:val="18"/>
                </w:rPr>
              </m:ctrlPr>
            </m:dPr>
            <m:e>
              <m:sSup>
                <m:sSupPr>
                  <m:ctrlPr>
                    <w:rPr>
                      <w:rFonts w:ascii="Cambria Math" w:hAnsi="Cambria Math"/>
                      <w:bCs/>
                      <w:i/>
                      <w:sz w:val="18"/>
                    </w:rPr>
                  </m:ctrlPr>
                </m:sSupPr>
                <m:e>
                  <m:d>
                    <m:dPr>
                      <m:ctrlPr>
                        <w:rPr>
                          <w:rFonts w:ascii="Cambria Math" w:hAnsi="Cambria Math"/>
                          <w:bCs/>
                          <w:i/>
                          <w:sz w:val="18"/>
                        </w:rPr>
                      </m:ctrlPr>
                    </m:dPr>
                    <m:e>
                      <m:r>
                        <w:rPr>
                          <w:rFonts w:ascii="Cambria Math" w:hAnsi="Cambria Math"/>
                          <w:sz w:val="18"/>
                        </w:rPr>
                        <m:t>1+</m:t>
                      </m:r>
                      <m:f>
                        <m:fPr>
                          <m:ctrlPr>
                            <w:rPr>
                              <w:rFonts w:ascii="Cambria Math" w:hAnsi="Cambria Math"/>
                              <w:bCs/>
                              <w:i/>
                              <w:sz w:val="18"/>
                            </w:rPr>
                          </m:ctrlPr>
                        </m:fPr>
                        <m:num>
                          <m:r>
                            <w:rPr>
                              <w:rFonts w:ascii="Cambria Math" w:hAnsi="Cambria Math"/>
                              <w:sz w:val="18"/>
                            </w:rPr>
                            <m:t>yield</m:t>
                          </m:r>
                        </m:num>
                        <m:den>
                          <m:r>
                            <w:rPr>
                              <w:rFonts w:ascii="Cambria Math" w:hAnsi="Cambria Math"/>
                              <w:sz w:val="18"/>
                            </w:rPr>
                            <m:t>200</m:t>
                          </m:r>
                        </m:den>
                      </m:f>
                    </m:e>
                  </m:d>
                </m:e>
                <m:sup>
                  <m:r>
                    <w:rPr>
                      <w:rFonts w:ascii="Cambria Math" w:hAnsi="Cambria Math"/>
                      <w:sz w:val="18"/>
                    </w:rPr>
                    <m:t>2</m:t>
                  </m:r>
                </m:sup>
              </m:sSup>
              <m:r>
                <w:rPr>
                  <w:rFonts w:ascii="Cambria Math" w:hAnsi="Cambria Math"/>
                  <w:sz w:val="18"/>
                </w:rPr>
                <m:t>-1</m:t>
              </m:r>
            </m:e>
          </m:d>
          <m:r>
            <w:rPr>
              <w:rFonts w:ascii="Cambria Math" w:hAnsi="Cambria Math"/>
              <w:sz w:val="18"/>
            </w:rPr>
            <m:t>∙100</m:t>
          </m:r>
        </m:oMath>
      </m:oMathPara>
    </w:p>
    <w:p w14:paraId="01D32A75" w14:textId="020AA438" w:rsidR="00BC34B4" w:rsidRPr="00EE3B88" w:rsidRDefault="00176824" w:rsidP="00900D3D">
      <w:pPr>
        <w:ind w:left="2160" w:hanging="720"/>
        <w:rPr>
          <w:bCs/>
        </w:rPr>
      </w:pPr>
      <w:r>
        <w:rPr>
          <w:bCs/>
        </w:rPr>
        <w:t>(D)</w:t>
      </w:r>
      <w:r>
        <w:rPr>
          <w:bCs/>
        </w:rPr>
        <w:tab/>
      </w:r>
      <w:r w:rsidR="00BC34B4" w:rsidRPr="009C1368">
        <w:rPr>
          <w:bCs/>
        </w:rPr>
        <w:t xml:space="preserve">Average the extrapolated daily estimates of the BVAL 10 year yield over all </w:t>
      </w:r>
      <w:r w:rsidR="00BC34B4" w:rsidRPr="00900D3D">
        <w:rPr>
          <w:bCs/>
        </w:rPr>
        <w:t>business days</w:t>
      </w:r>
      <w:r w:rsidR="00BC34B4" w:rsidRPr="009C1368">
        <w:rPr>
          <w:bCs/>
        </w:rPr>
        <w:t xml:space="preserve"> in the service provider'</w:t>
      </w:r>
      <w:r w:rsidR="00BC34B4">
        <w:rPr>
          <w:bCs/>
        </w:rPr>
        <w:t xml:space="preserve">s Averaging Period. This is the </w:t>
      </w:r>
      <w:r w:rsidR="00BC34B4" w:rsidRPr="00F57D9B">
        <w:rPr>
          <w:b/>
          <w:bCs/>
        </w:rPr>
        <w:t>adjusted BVAL estimate</w:t>
      </w:r>
      <w:r w:rsidR="00BC34B4">
        <w:rPr>
          <w:bCs/>
        </w:rPr>
        <w:t>.</w:t>
      </w:r>
    </w:p>
    <w:p w14:paraId="39BFF5E0" w14:textId="6A7F582F" w:rsidR="00902FD6" w:rsidRDefault="00902FD6" w:rsidP="00BC34B4">
      <w:pPr>
        <w:autoSpaceDE w:val="0"/>
        <w:autoSpaceDN w:val="0"/>
        <w:adjustRightInd w:val="0"/>
        <w:spacing w:afterLines="60" w:after="144"/>
        <w:ind w:left="709"/>
        <w:rPr>
          <w:bCs/>
        </w:rPr>
      </w:pPr>
      <w:r>
        <w:rPr>
          <w:bCs/>
        </w:rPr>
        <w:t>(4)</w:t>
      </w:r>
      <w:r>
        <w:rPr>
          <w:bCs/>
        </w:rPr>
        <w:tab/>
        <w:t>Calculating the annual estimate of the return on debt</w:t>
      </w:r>
    </w:p>
    <w:p w14:paraId="1D108B05" w14:textId="7F42D560" w:rsidR="00BC34B4" w:rsidRPr="009F049A" w:rsidRDefault="00BC34B4" w:rsidP="00900D3D">
      <w:pPr>
        <w:autoSpaceDE w:val="0"/>
        <w:autoSpaceDN w:val="0"/>
        <w:adjustRightInd w:val="0"/>
        <w:spacing w:afterLines="60" w:after="144"/>
        <w:ind w:left="1440"/>
        <w:rPr>
          <w:bCs/>
        </w:rPr>
      </w:pPr>
      <w:r>
        <w:rPr>
          <w:bCs/>
        </w:rPr>
        <w:t>To calcul</w:t>
      </w:r>
      <w:r w:rsidR="00902FD6">
        <w:rPr>
          <w:bCs/>
        </w:rPr>
        <w:t xml:space="preserve">ate the final estimate in Step </w:t>
      </w:r>
      <w:r>
        <w:rPr>
          <w:bCs/>
        </w:rPr>
        <w:t>3:</w:t>
      </w:r>
    </w:p>
    <w:p w14:paraId="1EB2015C" w14:textId="0D14E1FA" w:rsidR="00BC34B4" w:rsidRDefault="00176824" w:rsidP="00900D3D">
      <w:pPr>
        <w:ind w:left="2160" w:hanging="720"/>
        <w:rPr>
          <w:bCs/>
        </w:rPr>
      </w:pPr>
      <w:r>
        <w:t>(A)</w:t>
      </w:r>
      <w:r>
        <w:tab/>
      </w:r>
      <w:r w:rsidR="00BC34B4" w:rsidRPr="005E3BA3">
        <w:t>Take</w:t>
      </w:r>
      <w:r w:rsidR="00BC34B4" w:rsidRPr="009C1368">
        <w:rPr>
          <w:bCs/>
        </w:rPr>
        <w:t xml:space="preserve"> the simple average of the a</w:t>
      </w:r>
      <w:r w:rsidR="00BC34B4">
        <w:rPr>
          <w:bCs/>
        </w:rPr>
        <w:t xml:space="preserve">djusted RBA estimate (from </w:t>
      </w:r>
      <w:r>
        <w:rPr>
          <w:bCs/>
        </w:rPr>
        <w:t>paragraph (c)(2)(K)</w:t>
      </w:r>
      <w:r w:rsidR="00BC34B4" w:rsidRPr="009C1368">
        <w:rPr>
          <w:bCs/>
        </w:rPr>
        <w:t>) and the adju</w:t>
      </w:r>
      <w:r w:rsidR="00BC34B4">
        <w:rPr>
          <w:bCs/>
        </w:rPr>
        <w:t xml:space="preserve">sted BVAL estimate (from </w:t>
      </w:r>
      <w:r>
        <w:rPr>
          <w:bCs/>
        </w:rPr>
        <w:t>paragraph (c)(3)(</w:t>
      </w:r>
      <w:r w:rsidR="00E957BE">
        <w:rPr>
          <w:bCs/>
        </w:rPr>
        <w:t>D</w:t>
      </w:r>
      <w:r>
        <w:rPr>
          <w:bCs/>
        </w:rPr>
        <w:t>)</w:t>
      </w:r>
      <w:r w:rsidR="00BC34B4" w:rsidRPr="009C1368">
        <w:rPr>
          <w:bCs/>
        </w:rPr>
        <w:t xml:space="preserve">). This is the </w:t>
      </w:r>
      <w:r w:rsidR="00BC34B4" w:rsidRPr="00F57D9B">
        <w:rPr>
          <w:b/>
          <w:bCs/>
        </w:rPr>
        <w:t>annual estimate of the return on debt</w:t>
      </w:r>
      <w:r w:rsidR="00BC34B4" w:rsidRPr="009C1368">
        <w:rPr>
          <w:bCs/>
        </w:rPr>
        <w:t>.</w:t>
      </w:r>
    </w:p>
    <w:p w14:paraId="251DC515" w14:textId="04CEC076" w:rsidR="00BC34B4" w:rsidRDefault="00BC34B4" w:rsidP="00BC34B4">
      <w:pPr>
        <w:tabs>
          <w:tab w:val="left" w:pos="709"/>
        </w:tabs>
        <w:autoSpaceDE w:val="0"/>
        <w:autoSpaceDN w:val="0"/>
        <w:adjustRightInd w:val="0"/>
        <w:spacing w:afterLines="60" w:after="144"/>
        <w:ind w:left="709" w:hanging="709"/>
        <w:rPr>
          <w:bCs/>
        </w:rPr>
      </w:pPr>
      <w:r>
        <w:rPr>
          <w:bCs/>
        </w:rPr>
        <w:t>(</w:t>
      </w:r>
      <w:r w:rsidR="005F1A23">
        <w:rPr>
          <w:bCs/>
        </w:rPr>
        <w:t>d</w:t>
      </w:r>
      <w:r>
        <w:rPr>
          <w:bCs/>
        </w:rPr>
        <w:t>)</w:t>
      </w:r>
      <w:r>
        <w:rPr>
          <w:bCs/>
        </w:rPr>
        <w:tab/>
      </w:r>
      <w:r w:rsidRPr="00417415">
        <w:rPr>
          <w:bCs/>
        </w:rPr>
        <w:t>Annual return on debt observation where relevant data not available</w:t>
      </w:r>
    </w:p>
    <w:p w14:paraId="021E8442" w14:textId="689554FC" w:rsidR="00BC34B4" w:rsidRDefault="00BC34B4" w:rsidP="00BC34B4">
      <w:pPr>
        <w:autoSpaceDE w:val="0"/>
        <w:autoSpaceDN w:val="0"/>
        <w:adjustRightInd w:val="0"/>
        <w:spacing w:afterLines="60" w:after="144"/>
        <w:ind w:left="709"/>
        <w:rPr>
          <w:bCs/>
        </w:rPr>
      </w:pPr>
      <w:r w:rsidRPr="00417415">
        <w:rPr>
          <w:bCs/>
        </w:rPr>
        <w:t xml:space="preserve">For any </w:t>
      </w:r>
      <w:r>
        <w:rPr>
          <w:bCs/>
        </w:rPr>
        <w:t xml:space="preserve">Calendar Year of the </w:t>
      </w:r>
      <w:r w:rsidR="005F286B">
        <w:rPr>
          <w:bCs/>
        </w:rPr>
        <w:t xml:space="preserve">Fifth </w:t>
      </w:r>
      <w:r w:rsidRPr="00417415">
        <w:rPr>
          <w:bCs/>
        </w:rPr>
        <w:t xml:space="preserve">Access Arrangement </w:t>
      </w:r>
      <w:r>
        <w:rPr>
          <w:bCs/>
        </w:rPr>
        <w:t>p</w:t>
      </w:r>
      <w:r w:rsidRPr="00417415">
        <w:rPr>
          <w:bCs/>
        </w:rPr>
        <w:t xml:space="preserve">eriod </w:t>
      </w:r>
      <w:r w:rsidR="001626D5">
        <w:t>(other than Calendar Year 2018)</w:t>
      </w:r>
      <w:r w:rsidRPr="00417415">
        <w:rPr>
          <w:bCs/>
        </w:rPr>
        <w:t xml:space="preserve"> for which an annual return on debt observation cannot be calculated in accordance </w:t>
      </w:r>
      <w:r w:rsidR="007D0390">
        <w:rPr>
          <w:bCs/>
        </w:rPr>
        <w:t xml:space="preserve">with paragraph (c) </w:t>
      </w:r>
      <w:r w:rsidRPr="00417415">
        <w:rPr>
          <w:bCs/>
        </w:rPr>
        <w:t xml:space="preserve">above due to changes in data availability, adjust the approach in accordance with the contingencies set out in </w:t>
      </w:r>
      <w:r>
        <w:rPr>
          <w:bCs/>
        </w:rPr>
        <w:t xml:space="preserve">the Regulator’s </w:t>
      </w:r>
      <w:r w:rsidRPr="00900D3D">
        <w:rPr>
          <w:bCs/>
        </w:rPr>
        <w:t xml:space="preserve">final </w:t>
      </w:r>
      <w:r w:rsidR="003A1A47">
        <w:rPr>
          <w:bCs/>
        </w:rPr>
        <w:t>decision</w:t>
      </w:r>
      <w:r w:rsidRPr="00900D3D">
        <w:rPr>
          <w:bCs/>
        </w:rPr>
        <w:t xml:space="preserve"> for the Fifth Access Arrangement Period</w:t>
      </w:r>
      <w:r>
        <w:rPr>
          <w:bCs/>
        </w:rPr>
        <w:t>.</w:t>
      </w:r>
    </w:p>
    <w:p w14:paraId="67C49258" w14:textId="604D4552" w:rsidR="00BC34B4" w:rsidRDefault="00BC34B4" w:rsidP="00BC34B4">
      <w:pPr>
        <w:keepNext/>
        <w:tabs>
          <w:tab w:val="left" w:pos="709"/>
        </w:tabs>
        <w:autoSpaceDE w:val="0"/>
        <w:autoSpaceDN w:val="0"/>
        <w:adjustRightInd w:val="0"/>
        <w:spacing w:afterLines="60" w:after="144"/>
        <w:ind w:left="709" w:hanging="709"/>
        <w:rPr>
          <w:bCs/>
        </w:rPr>
      </w:pPr>
      <w:r>
        <w:rPr>
          <w:bCs/>
        </w:rPr>
        <w:t>(</w:t>
      </w:r>
      <w:r w:rsidR="005F1A23">
        <w:rPr>
          <w:bCs/>
        </w:rPr>
        <w:t>e</w:t>
      </w:r>
      <w:r>
        <w:rPr>
          <w:bCs/>
        </w:rPr>
        <w:t>)</w:t>
      </w:r>
      <w:r>
        <w:rPr>
          <w:bCs/>
        </w:rPr>
        <w:tab/>
        <w:t>Notification and Regulator</w:t>
      </w:r>
      <w:r w:rsidR="003A1A47">
        <w:rPr>
          <w:bCs/>
        </w:rPr>
        <w:t>’s</w:t>
      </w:r>
      <w:r>
        <w:rPr>
          <w:bCs/>
        </w:rPr>
        <w:t xml:space="preserve"> determination of the annual return on debt observation</w:t>
      </w:r>
    </w:p>
    <w:p w14:paraId="1E043A4C" w14:textId="77777777" w:rsidR="007D0390" w:rsidRPr="005E3BA3" w:rsidRDefault="007D0390" w:rsidP="007D0390">
      <w:pPr>
        <w:autoSpaceDE w:val="0"/>
        <w:autoSpaceDN w:val="0"/>
        <w:adjustRightInd w:val="0"/>
        <w:spacing w:afterLines="60" w:after="144"/>
        <w:ind w:left="1440" w:hanging="731"/>
        <w:rPr>
          <w:bCs/>
        </w:rPr>
      </w:pPr>
      <w:r>
        <w:rPr>
          <w:bCs/>
        </w:rPr>
        <w:t>(1)</w:t>
      </w:r>
      <w:r>
        <w:rPr>
          <w:bCs/>
        </w:rPr>
        <w:tab/>
      </w:r>
      <w:r w:rsidRPr="0081493F">
        <w:rPr>
          <w:bCs/>
        </w:rPr>
        <w:t xml:space="preserve">The </w:t>
      </w:r>
      <w:r>
        <w:rPr>
          <w:bCs/>
        </w:rPr>
        <w:t>Regulator</w:t>
      </w:r>
      <w:r w:rsidRPr="0081493F">
        <w:rPr>
          <w:bCs/>
        </w:rPr>
        <w:t xml:space="preserve"> will notify </w:t>
      </w:r>
      <w:r>
        <w:rPr>
          <w:bCs/>
        </w:rPr>
        <w:t>the Service Provider</w:t>
      </w:r>
      <w:r w:rsidRPr="0081493F">
        <w:rPr>
          <w:bCs/>
        </w:rPr>
        <w:t xml:space="preserve"> of the updated Return on Debt and X factor within 15 Business Days after the end of </w:t>
      </w:r>
      <w:r>
        <w:rPr>
          <w:bCs/>
        </w:rPr>
        <w:t>the Service Provider</w:t>
      </w:r>
      <w:r w:rsidRPr="0081493F">
        <w:rPr>
          <w:bCs/>
        </w:rPr>
        <w:t>’s Averaging Period</w:t>
      </w:r>
      <w:r>
        <w:rPr>
          <w:bCs/>
        </w:rPr>
        <w:t>.</w:t>
      </w:r>
    </w:p>
    <w:p w14:paraId="7B2F26EA" w14:textId="6CD52C95" w:rsidR="00BC34B4" w:rsidRDefault="007D0390" w:rsidP="007D0390">
      <w:pPr>
        <w:autoSpaceDE w:val="0"/>
        <w:autoSpaceDN w:val="0"/>
        <w:adjustRightInd w:val="0"/>
        <w:spacing w:afterLines="60" w:after="144"/>
        <w:ind w:left="1440" w:hanging="731"/>
        <w:rPr>
          <w:bCs/>
        </w:rPr>
      </w:pPr>
      <w:r>
        <w:rPr>
          <w:bCs/>
        </w:rPr>
        <w:t xml:space="preserve"> (2</w:t>
      </w:r>
      <w:r w:rsidR="00BC34B4">
        <w:rPr>
          <w:bCs/>
        </w:rPr>
        <w:t>)</w:t>
      </w:r>
      <w:r w:rsidR="00BC34B4">
        <w:rPr>
          <w:bCs/>
        </w:rPr>
        <w:tab/>
        <w:t xml:space="preserve">In the ‘PTRM input’ sheet of the PTRM, </w:t>
      </w:r>
      <w:r>
        <w:rPr>
          <w:bCs/>
        </w:rPr>
        <w:t>update t</w:t>
      </w:r>
      <w:r w:rsidR="00BC34B4">
        <w:rPr>
          <w:bCs/>
        </w:rPr>
        <w:t xml:space="preserve">he relevant cell </w:t>
      </w:r>
      <w:r>
        <w:rPr>
          <w:bCs/>
        </w:rPr>
        <w:t xml:space="preserve">for </w:t>
      </w:r>
      <w:r w:rsidR="00BC34B4">
        <w:rPr>
          <w:bCs/>
        </w:rPr>
        <w:t>the updated return on debt estimate (</w:t>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t</m:t>
            </m:r>
          </m:sub>
        </m:sSub>
      </m:oMath>
      <w:r w:rsidR="00BC34B4">
        <w:rPr>
          <w:bCs/>
        </w:rPr>
        <w:t>).  This is:</w:t>
      </w:r>
    </w:p>
    <w:p w14:paraId="5AF4D3E5" w14:textId="529B80FD" w:rsidR="00BC34B4" w:rsidRPr="00744E5C" w:rsidRDefault="00BC34B4" w:rsidP="00900D3D">
      <w:pPr>
        <w:autoSpaceDE w:val="0"/>
        <w:autoSpaceDN w:val="0"/>
        <w:adjustRightInd w:val="0"/>
        <w:spacing w:afterLines="60" w:after="144"/>
        <w:ind w:left="2160"/>
        <w:rPr>
          <w:bCs/>
          <w:sz w:val="28"/>
        </w:rPr>
      </w:pPr>
      <w:r>
        <w:rPr>
          <w:bCs/>
        </w:rPr>
        <w:t>For 2018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2018</m:t>
            </m:r>
          </m:sub>
        </m:sSub>
      </m:oMath>
      <w:r>
        <w:rPr>
          <w:bCs/>
          <w:sz w:val="18"/>
        </w:rPr>
        <w:tab/>
      </w:r>
      <w:r w:rsidRPr="00744E5C">
        <w:rPr>
          <w:bCs/>
        </w:rPr>
        <w:t>Cell G222</w:t>
      </w:r>
    </w:p>
    <w:p w14:paraId="7D71DFD0" w14:textId="7D16879E" w:rsidR="00BC34B4" w:rsidRPr="00744E5C" w:rsidRDefault="00BC34B4" w:rsidP="00900D3D">
      <w:pPr>
        <w:autoSpaceDE w:val="0"/>
        <w:autoSpaceDN w:val="0"/>
        <w:adjustRightInd w:val="0"/>
        <w:spacing w:afterLines="60" w:after="144"/>
        <w:ind w:left="2160"/>
        <w:rPr>
          <w:bCs/>
        </w:rPr>
      </w:pPr>
      <w:r w:rsidRPr="00744E5C">
        <w:rPr>
          <w:bCs/>
        </w:rPr>
        <w:t>For 2019 Calendar Year:</w:t>
      </w:r>
      <w:r w:rsidRPr="00744E5C">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2019</m:t>
            </m:r>
          </m:sub>
        </m:sSub>
      </m:oMath>
      <w:r w:rsidRPr="00744E5C">
        <w:rPr>
          <w:bCs/>
          <w:sz w:val="18"/>
        </w:rPr>
        <w:t xml:space="preserve"> </w:t>
      </w:r>
      <w:r w:rsidRPr="00744E5C">
        <w:rPr>
          <w:bCs/>
          <w:sz w:val="18"/>
        </w:rPr>
        <w:tab/>
      </w:r>
      <w:r w:rsidRPr="00744E5C">
        <w:rPr>
          <w:bCs/>
        </w:rPr>
        <w:t>Cell</w:t>
      </w:r>
      <w:r w:rsidR="00291253" w:rsidRPr="00744E5C">
        <w:rPr>
          <w:bCs/>
        </w:rPr>
        <w:t xml:space="preserve"> </w:t>
      </w:r>
      <w:r w:rsidRPr="00744E5C">
        <w:rPr>
          <w:bCs/>
        </w:rPr>
        <w:t>H222</w:t>
      </w:r>
    </w:p>
    <w:p w14:paraId="14A436C9" w14:textId="25B507BF" w:rsidR="00BC34B4" w:rsidRPr="00744E5C" w:rsidRDefault="00BC34B4" w:rsidP="00900D3D">
      <w:pPr>
        <w:autoSpaceDE w:val="0"/>
        <w:autoSpaceDN w:val="0"/>
        <w:adjustRightInd w:val="0"/>
        <w:spacing w:afterLines="60" w:after="144"/>
        <w:ind w:left="2160"/>
        <w:rPr>
          <w:bCs/>
        </w:rPr>
      </w:pPr>
      <w:r w:rsidRPr="00744E5C">
        <w:rPr>
          <w:bCs/>
        </w:rPr>
        <w:t>For 2020 Calendar Year:</w:t>
      </w:r>
      <w:r w:rsidRPr="00744E5C">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2020</m:t>
            </m:r>
          </m:sub>
        </m:sSub>
      </m:oMath>
      <w:r w:rsidRPr="00744E5C">
        <w:rPr>
          <w:bCs/>
          <w:sz w:val="18"/>
        </w:rPr>
        <w:t xml:space="preserve"> </w:t>
      </w:r>
      <w:r w:rsidRPr="00744E5C">
        <w:rPr>
          <w:bCs/>
          <w:sz w:val="18"/>
        </w:rPr>
        <w:tab/>
      </w:r>
      <w:r w:rsidRPr="00744E5C">
        <w:rPr>
          <w:bCs/>
        </w:rPr>
        <w:t>Cell I222</w:t>
      </w:r>
    </w:p>
    <w:p w14:paraId="7AD6792F" w14:textId="08BA24CE" w:rsidR="00BC34B4" w:rsidRPr="00744E5C" w:rsidRDefault="00BC34B4" w:rsidP="00900D3D">
      <w:pPr>
        <w:autoSpaceDE w:val="0"/>
        <w:autoSpaceDN w:val="0"/>
        <w:adjustRightInd w:val="0"/>
        <w:spacing w:afterLines="60" w:after="144"/>
        <w:ind w:left="2160"/>
        <w:rPr>
          <w:bCs/>
        </w:rPr>
      </w:pPr>
      <w:r w:rsidRPr="00744E5C">
        <w:rPr>
          <w:bCs/>
        </w:rPr>
        <w:t>For 2021 Calendar Year:</w:t>
      </w:r>
      <w:r w:rsidRPr="00744E5C">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2021</m:t>
            </m:r>
          </m:sub>
        </m:sSub>
      </m:oMath>
      <w:r w:rsidRPr="00744E5C">
        <w:rPr>
          <w:bCs/>
          <w:sz w:val="18"/>
        </w:rPr>
        <w:t xml:space="preserve"> </w:t>
      </w:r>
      <w:r w:rsidRPr="00744E5C">
        <w:rPr>
          <w:bCs/>
          <w:sz w:val="18"/>
        </w:rPr>
        <w:tab/>
      </w:r>
      <w:r w:rsidRPr="00744E5C">
        <w:rPr>
          <w:bCs/>
        </w:rPr>
        <w:t>Cell</w:t>
      </w:r>
      <w:r w:rsidR="00291253" w:rsidRPr="00744E5C">
        <w:rPr>
          <w:bCs/>
        </w:rPr>
        <w:t xml:space="preserve"> </w:t>
      </w:r>
      <w:r w:rsidRPr="00744E5C">
        <w:rPr>
          <w:bCs/>
        </w:rPr>
        <w:t>J222</w:t>
      </w:r>
    </w:p>
    <w:p w14:paraId="10F3FACF" w14:textId="2D92FFC8" w:rsidR="00BC34B4" w:rsidRDefault="00BC34B4" w:rsidP="00900D3D">
      <w:pPr>
        <w:autoSpaceDE w:val="0"/>
        <w:autoSpaceDN w:val="0"/>
        <w:adjustRightInd w:val="0"/>
        <w:spacing w:afterLines="60" w:after="144"/>
        <w:ind w:left="2160"/>
        <w:rPr>
          <w:bCs/>
        </w:rPr>
      </w:pPr>
      <w:r w:rsidRPr="00744E5C">
        <w:rPr>
          <w:bCs/>
        </w:rPr>
        <w:t>For 2022 Calendar Year:</w:t>
      </w:r>
      <w:r w:rsidRPr="00744E5C">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2022</m:t>
            </m:r>
          </m:sub>
        </m:sSub>
      </m:oMath>
      <w:r w:rsidRPr="00744E5C">
        <w:rPr>
          <w:bCs/>
          <w:sz w:val="18"/>
        </w:rPr>
        <w:t xml:space="preserve"> </w:t>
      </w:r>
      <w:r w:rsidRPr="00744E5C">
        <w:rPr>
          <w:bCs/>
          <w:sz w:val="18"/>
        </w:rPr>
        <w:tab/>
      </w:r>
      <w:r w:rsidRPr="00744E5C">
        <w:rPr>
          <w:bCs/>
        </w:rPr>
        <w:t>Cell K222.</w:t>
      </w:r>
    </w:p>
    <w:p w14:paraId="7AE99F0D" w14:textId="4F7E93B9" w:rsidR="00BC34B4" w:rsidRDefault="00BC34B4" w:rsidP="00900D3D">
      <w:pPr>
        <w:autoSpaceDE w:val="0"/>
        <w:autoSpaceDN w:val="0"/>
        <w:adjustRightInd w:val="0"/>
        <w:spacing w:afterLines="60" w:after="144"/>
        <w:ind w:left="1440" w:hanging="731"/>
        <w:rPr>
          <w:bCs/>
        </w:rPr>
      </w:pPr>
      <w:r>
        <w:rPr>
          <w:bCs/>
        </w:rPr>
        <w:t>(</w:t>
      </w:r>
      <w:r w:rsidR="007D0390">
        <w:rPr>
          <w:bCs/>
        </w:rPr>
        <w:t>3</w:t>
      </w:r>
      <w:r>
        <w:rPr>
          <w:bCs/>
        </w:rPr>
        <w:t>)</w:t>
      </w:r>
      <w:r>
        <w:rPr>
          <w:bCs/>
        </w:rPr>
        <w:tab/>
      </w:r>
      <w:r w:rsidRPr="0081493F">
        <w:rPr>
          <w:bCs/>
        </w:rPr>
        <w:t>On the ‘X factors’ sheet of the PTRM, update the relevant X factor</w:t>
      </w:r>
      <w:r>
        <w:rPr>
          <w:bCs/>
        </w:rPr>
        <w:t xml:space="preserve"> for the 2019–2022 Calendar Years</w:t>
      </w:r>
      <w:r w:rsidRPr="0081493F">
        <w:rPr>
          <w:bCs/>
        </w:rPr>
        <w:t xml:space="preserve"> as follows:</w:t>
      </w:r>
    </w:p>
    <w:p w14:paraId="6F87BD57" w14:textId="562D1E3C" w:rsidR="00BC34B4" w:rsidRDefault="00BC34B4" w:rsidP="00BC34B4">
      <w:pPr>
        <w:autoSpaceDE w:val="0"/>
        <w:autoSpaceDN w:val="0"/>
        <w:adjustRightInd w:val="0"/>
        <w:spacing w:afterLines="60" w:after="144"/>
        <w:ind w:left="3402" w:hanging="1242"/>
        <w:rPr>
          <w:bCs/>
        </w:rPr>
      </w:pPr>
      <w:r>
        <w:rPr>
          <w:bCs/>
        </w:rPr>
        <w:t>For 2019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2019</m:t>
            </m:r>
          </m:sub>
        </m:sSub>
      </m:oMath>
      <w:r w:rsidRPr="0081493F">
        <w:rPr>
          <w:bCs/>
          <w:sz w:val="18"/>
        </w:rPr>
        <w:t xml:space="preserve"> </w:t>
      </w:r>
      <w:r>
        <w:rPr>
          <w:bCs/>
          <w:sz w:val="18"/>
        </w:rPr>
        <w:tab/>
      </w:r>
      <w:r w:rsidR="00BA446A">
        <w:rPr>
          <w:bCs/>
        </w:rPr>
        <w:t>Select ‘</w:t>
      </w:r>
      <w:r>
        <w:rPr>
          <w:bCs/>
        </w:rPr>
        <w:t>Set X2 (price cap)’</w:t>
      </w:r>
    </w:p>
    <w:p w14:paraId="4577AA1E" w14:textId="0A110B4E" w:rsidR="00BC34B4" w:rsidRDefault="00BC34B4" w:rsidP="00BC34B4">
      <w:pPr>
        <w:autoSpaceDE w:val="0"/>
        <w:autoSpaceDN w:val="0"/>
        <w:adjustRightInd w:val="0"/>
        <w:spacing w:afterLines="60" w:after="144"/>
        <w:ind w:left="3402" w:hanging="1242"/>
        <w:rPr>
          <w:bCs/>
        </w:rPr>
      </w:pPr>
      <w:r>
        <w:rPr>
          <w:bCs/>
        </w:rPr>
        <w:t>For 2020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2020</m:t>
            </m:r>
          </m:sub>
        </m:sSub>
      </m:oMath>
      <w:r w:rsidRPr="0081493F">
        <w:rPr>
          <w:bCs/>
          <w:sz w:val="18"/>
        </w:rPr>
        <w:t xml:space="preserve"> </w:t>
      </w:r>
      <w:r>
        <w:rPr>
          <w:bCs/>
          <w:sz w:val="18"/>
        </w:rPr>
        <w:tab/>
      </w:r>
      <w:r w:rsidR="00BA446A">
        <w:rPr>
          <w:bCs/>
        </w:rPr>
        <w:t xml:space="preserve">Select </w:t>
      </w:r>
      <w:r>
        <w:rPr>
          <w:bCs/>
        </w:rPr>
        <w:t>‘Set X3 (price cap)’</w:t>
      </w:r>
    </w:p>
    <w:p w14:paraId="1AC60FF3" w14:textId="6B1DD8FF" w:rsidR="00BC34B4" w:rsidRDefault="00BC34B4" w:rsidP="00BC34B4">
      <w:pPr>
        <w:autoSpaceDE w:val="0"/>
        <w:autoSpaceDN w:val="0"/>
        <w:adjustRightInd w:val="0"/>
        <w:spacing w:afterLines="60" w:after="144"/>
        <w:ind w:left="3402" w:hanging="1242"/>
        <w:rPr>
          <w:bCs/>
        </w:rPr>
      </w:pPr>
      <w:r>
        <w:rPr>
          <w:bCs/>
        </w:rPr>
        <w:t>For 2021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2021</m:t>
            </m:r>
          </m:sub>
        </m:sSub>
      </m:oMath>
      <w:r w:rsidRPr="0081493F">
        <w:rPr>
          <w:bCs/>
          <w:sz w:val="18"/>
        </w:rPr>
        <w:t xml:space="preserve"> </w:t>
      </w:r>
      <w:r>
        <w:rPr>
          <w:bCs/>
          <w:sz w:val="18"/>
        </w:rPr>
        <w:tab/>
      </w:r>
      <w:r w:rsidR="00BA446A">
        <w:rPr>
          <w:bCs/>
        </w:rPr>
        <w:t xml:space="preserve">Select </w:t>
      </w:r>
      <w:r>
        <w:rPr>
          <w:bCs/>
        </w:rPr>
        <w:t>‘Set X4 (price cap)’</w:t>
      </w:r>
    </w:p>
    <w:p w14:paraId="3B5EA8F5" w14:textId="0820ED02" w:rsidR="00BC34B4" w:rsidRDefault="00BC34B4" w:rsidP="00BC34B4">
      <w:pPr>
        <w:autoSpaceDE w:val="0"/>
        <w:autoSpaceDN w:val="0"/>
        <w:adjustRightInd w:val="0"/>
        <w:spacing w:afterLines="60" w:after="144"/>
        <w:ind w:left="3402" w:hanging="1242"/>
        <w:rPr>
          <w:bCs/>
        </w:rPr>
      </w:pPr>
      <w:r>
        <w:rPr>
          <w:bCs/>
        </w:rPr>
        <w:t>For 2022 Calendar Year:</w:t>
      </w:r>
      <w:r>
        <w:rPr>
          <w:bCs/>
        </w:rPr>
        <w:tab/>
      </w:r>
      <m:oMath>
        <m:sSub>
          <m:sSubPr>
            <m:ctrlPr>
              <w:rPr>
                <w:rFonts w:ascii="Cambria Math" w:hAnsi="Cambria Math"/>
                <w:bCs/>
                <w:i/>
                <w:sz w:val="18"/>
              </w:rPr>
            </m:ctrlPr>
          </m:sSubPr>
          <m:e>
            <m:r>
              <w:rPr>
                <w:rFonts w:ascii="Cambria Math" w:hAnsi="Cambria Math"/>
                <w:sz w:val="18"/>
              </w:rPr>
              <m:t>kd</m:t>
            </m:r>
          </m:e>
          <m:sub>
            <m:r>
              <w:rPr>
                <w:rFonts w:ascii="Cambria Math" w:hAnsi="Cambria Math"/>
                <w:sz w:val="18"/>
              </w:rPr>
              <m:t>2022</m:t>
            </m:r>
          </m:sub>
        </m:sSub>
      </m:oMath>
      <w:r w:rsidRPr="0081493F">
        <w:rPr>
          <w:bCs/>
          <w:sz w:val="18"/>
        </w:rPr>
        <w:t xml:space="preserve"> </w:t>
      </w:r>
      <w:r>
        <w:rPr>
          <w:bCs/>
          <w:sz w:val="18"/>
        </w:rPr>
        <w:tab/>
      </w:r>
      <w:r w:rsidR="00BA446A">
        <w:rPr>
          <w:bCs/>
        </w:rPr>
        <w:t xml:space="preserve">Select </w:t>
      </w:r>
      <w:r>
        <w:rPr>
          <w:bCs/>
        </w:rPr>
        <w:t>‘Set X5 (price cap)’.</w:t>
      </w:r>
    </w:p>
    <w:p w14:paraId="339567CF" w14:textId="57F25503" w:rsidR="002E1923" w:rsidRPr="00B738B7" w:rsidRDefault="00CF3EB4" w:rsidP="00595005">
      <w:pPr>
        <w:pStyle w:val="Heading3"/>
      </w:pPr>
      <w:bookmarkStart w:id="13" w:name="_Toc469519474"/>
      <w:r w:rsidRPr="00B738B7">
        <w:t>Licence Fee Factor</w:t>
      </w:r>
      <w:bookmarkEnd w:id="13"/>
    </w:p>
    <w:p w14:paraId="238B1225" w14:textId="77777777" w:rsidR="00CF3EB4" w:rsidRDefault="00CF3EB4" w:rsidP="00711D19">
      <w:pPr>
        <w:tabs>
          <w:tab w:val="left" w:pos="709"/>
        </w:tabs>
        <w:autoSpaceDE w:val="0"/>
        <w:autoSpaceDN w:val="0"/>
        <w:adjustRightInd w:val="0"/>
        <w:spacing w:afterLines="60" w:after="144"/>
        <w:ind w:left="709" w:hanging="709"/>
        <w:rPr>
          <w:bCs/>
        </w:rPr>
      </w:pPr>
      <w:r>
        <w:rPr>
          <w:bCs/>
        </w:rPr>
        <w:t>(a)</w:t>
      </w:r>
      <w:r>
        <w:rPr>
          <w:bCs/>
        </w:rPr>
        <w:tab/>
        <w:t>Licence Fee Factor</w:t>
      </w:r>
    </w:p>
    <w:p w14:paraId="02BE5930" w14:textId="7E700F99" w:rsidR="00CF3EB4" w:rsidRDefault="009D7ABF" w:rsidP="00900D3D">
      <w:pPr>
        <w:ind w:left="709"/>
      </w:pPr>
      <w:r w:rsidRPr="00900D3D">
        <w:rPr>
          <w:bCs/>
        </w:rPr>
        <w:t>The Licence Fee Factor</w:t>
      </w:r>
      <w:r w:rsidR="00CF3EB4">
        <w:rPr>
          <w:bCs/>
        </w:rPr>
        <w:t xml:space="preserve">, </w:t>
      </w:r>
      <w:r w:rsidR="00136556" w:rsidRPr="00996DBC">
        <w:t>L</w:t>
      </w:r>
      <w:r w:rsidR="00CF3EB4">
        <w:t>,</w:t>
      </w:r>
      <w:r w:rsidR="00136556" w:rsidRPr="00996DBC">
        <w:t xml:space="preserve"> is </w:t>
      </w:r>
      <w:r w:rsidR="00136556" w:rsidRPr="00996DBC">
        <w:rPr>
          <w:color w:val="000000"/>
        </w:rPr>
        <w:t>the</w:t>
      </w:r>
      <w:r w:rsidR="00136556" w:rsidRPr="00996DBC">
        <w:t xml:space="preserve"> Licence Fee pass through adjustment to the Distribution price control in Calendar Year </w:t>
      </w:r>
      <w:r w:rsidR="00136556" w:rsidRPr="00996DBC">
        <w:rPr>
          <w:i/>
          <w:iCs/>
        </w:rPr>
        <w:t xml:space="preserve">t </w:t>
      </w:r>
      <w:r w:rsidR="00136556" w:rsidRPr="00996DBC">
        <w:t xml:space="preserve">for the Service Provider is determined </w:t>
      </w:r>
      <w:r w:rsidR="00CF3EB4">
        <w:t xml:space="preserve">in accordance with paragraph (b) </w:t>
      </w:r>
      <w:r w:rsidR="00136556" w:rsidRPr="00996DBC">
        <w:t>below</w:t>
      </w:r>
      <w:r w:rsidR="00E70767">
        <w:t>.</w:t>
      </w:r>
      <w:r w:rsidR="00E70767" w:rsidRPr="00E70767">
        <w:t xml:space="preserve"> </w:t>
      </w:r>
    </w:p>
    <w:p w14:paraId="5B70326B" w14:textId="2C134C41" w:rsidR="009D7ABF" w:rsidRDefault="00E70767" w:rsidP="00900D3D">
      <w:pPr>
        <w:autoSpaceDE w:val="0"/>
        <w:autoSpaceDN w:val="0"/>
        <w:adjustRightInd w:val="0"/>
        <w:ind w:left="709"/>
        <w:rPr>
          <w:szCs w:val="22"/>
        </w:rPr>
      </w:pPr>
      <w:r>
        <w:rPr>
          <w:szCs w:val="22"/>
        </w:rPr>
        <w:t>For the purposes of this formula Licence Fee includes distribution licence fees paid to the Essential Services Commission</w:t>
      </w:r>
      <w:r w:rsidR="00CF3EB4">
        <w:rPr>
          <w:szCs w:val="22"/>
        </w:rPr>
        <w:t>.</w:t>
      </w:r>
    </w:p>
    <w:p w14:paraId="2FC8818A" w14:textId="77777777" w:rsidR="009D7ABF" w:rsidRPr="00900D3D" w:rsidRDefault="00CF3EB4" w:rsidP="00900D3D">
      <w:pPr>
        <w:keepNext/>
        <w:autoSpaceDE w:val="0"/>
        <w:autoSpaceDN w:val="0"/>
        <w:adjustRightInd w:val="0"/>
        <w:spacing w:afterLines="60" w:after="144"/>
        <w:rPr>
          <w:rFonts w:cs="Arial"/>
          <w:bCs/>
          <w:szCs w:val="24"/>
          <w:lang w:eastAsia="en-AU"/>
        </w:rPr>
      </w:pPr>
      <w:r w:rsidRPr="00900D3D">
        <w:rPr>
          <w:rFonts w:cs="Arial"/>
          <w:bCs/>
          <w:szCs w:val="24"/>
          <w:lang w:eastAsia="en-AU"/>
        </w:rPr>
        <w:t>(b)</w:t>
      </w:r>
      <w:r w:rsidRPr="00900D3D">
        <w:rPr>
          <w:rFonts w:cs="Arial"/>
          <w:bCs/>
          <w:szCs w:val="24"/>
          <w:lang w:eastAsia="en-AU"/>
        </w:rPr>
        <w:tab/>
      </w:r>
      <w:r w:rsidR="009D7ABF" w:rsidRPr="00900D3D">
        <w:rPr>
          <w:rFonts w:cs="Arial"/>
          <w:bCs/>
          <w:szCs w:val="24"/>
          <w:lang w:eastAsia="en-AU"/>
        </w:rPr>
        <w:t>Calculation of the L</w:t>
      </w:r>
      <w:r w:rsidR="009D7ABF" w:rsidRPr="00900D3D">
        <w:rPr>
          <w:rFonts w:cs="Arial"/>
          <w:bCs/>
          <w:iCs/>
          <w:szCs w:val="24"/>
          <w:lang w:eastAsia="en-AU"/>
        </w:rPr>
        <w:t xml:space="preserve">icence Fee </w:t>
      </w:r>
      <w:r w:rsidR="009D7ABF" w:rsidRPr="00900D3D">
        <w:rPr>
          <w:rFonts w:cs="Arial"/>
          <w:bCs/>
          <w:szCs w:val="24"/>
          <w:lang w:eastAsia="en-AU"/>
        </w:rPr>
        <w:t>factor</w:t>
      </w:r>
    </w:p>
    <w:p w14:paraId="381D9846" w14:textId="77777777" w:rsidR="00136556" w:rsidRPr="00996DBC" w:rsidRDefault="00136556" w:rsidP="00900D3D">
      <w:pPr>
        <w:autoSpaceDE w:val="0"/>
        <w:autoSpaceDN w:val="0"/>
        <w:adjustRightInd w:val="0"/>
        <w:spacing w:afterLines="60" w:after="144"/>
        <w:ind w:left="720"/>
        <w:rPr>
          <w:rFonts w:cs="Arial"/>
          <w:szCs w:val="22"/>
        </w:rPr>
      </w:pPr>
      <w:r w:rsidRPr="00996DBC">
        <w:rPr>
          <w:rFonts w:cs="Arial"/>
          <w:szCs w:val="22"/>
        </w:rPr>
        <w:t>The Licence Fee Factor pass through adjustment L</w:t>
      </w:r>
      <w:r w:rsidRPr="00B47D86">
        <w:rPr>
          <w:rFonts w:cs="Arial"/>
          <w:szCs w:val="22"/>
          <w:vertAlign w:val="subscript"/>
        </w:rPr>
        <w:t>t</w:t>
      </w:r>
      <w:r w:rsidRPr="00996DBC">
        <w:rPr>
          <w:rFonts w:cs="Arial"/>
          <w:szCs w:val="22"/>
        </w:rPr>
        <w:t>, for the Service Provider is:</w:t>
      </w:r>
    </w:p>
    <w:p w14:paraId="6267763E" w14:textId="77777777" w:rsidR="00136556" w:rsidRPr="00996DBC" w:rsidRDefault="00136556" w:rsidP="00711D19">
      <w:pPr>
        <w:autoSpaceDE w:val="0"/>
        <w:autoSpaceDN w:val="0"/>
        <w:adjustRightInd w:val="0"/>
        <w:spacing w:afterLines="60" w:after="144"/>
        <w:rPr>
          <w:rFonts w:cs="Arial"/>
          <w:szCs w:val="22"/>
        </w:rPr>
      </w:pPr>
    </w:p>
    <w:p w14:paraId="363006EF" w14:textId="77777777" w:rsidR="00136556" w:rsidRPr="00996DBC" w:rsidRDefault="00136556" w:rsidP="00711D19">
      <w:pPr>
        <w:autoSpaceDE w:val="0"/>
        <w:autoSpaceDN w:val="0"/>
        <w:adjustRightInd w:val="0"/>
        <w:spacing w:afterLines="60" w:after="144"/>
        <w:jc w:val="center"/>
        <w:rPr>
          <w:rFonts w:cs="Arial"/>
          <w:szCs w:val="22"/>
        </w:rPr>
      </w:pPr>
      <w:r w:rsidRPr="00996DBC">
        <w:rPr>
          <w:rFonts w:cs="Arial"/>
          <w:position w:val="-30"/>
          <w:szCs w:val="22"/>
        </w:rPr>
        <w:object w:dxaOrig="1760" w:dyaOrig="680" w14:anchorId="7F6F1FDF">
          <v:shape id="_x0000_i1033" type="#_x0000_t75" style="width:135pt;height:52.2pt" o:ole="">
            <v:imagedata r:id="rId36" o:title=""/>
          </v:shape>
          <o:OLEObject Type="Embed" ProgID="Equation.3" ShapeID="_x0000_i1033" DrawAspect="Content" ObjectID="_1543320133" r:id="rId37"/>
        </w:object>
      </w:r>
    </w:p>
    <w:p w14:paraId="6B86D391" w14:textId="77777777" w:rsidR="00136556" w:rsidRDefault="00E30C56" w:rsidP="00900D3D">
      <w:pPr>
        <w:autoSpaceDE w:val="0"/>
        <w:autoSpaceDN w:val="0"/>
        <w:adjustRightInd w:val="0"/>
        <w:spacing w:afterLines="60" w:after="144"/>
        <w:ind w:left="720"/>
        <w:rPr>
          <w:rFonts w:cs="Arial"/>
          <w:szCs w:val="22"/>
        </w:rPr>
      </w:pPr>
      <w:r>
        <w:rPr>
          <w:rFonts w:cs="Arial"/>
          <w:szCs w:val="22"/>
        </w:rPr>
        <w:t>w</w:t>
      </w:r>
      <w:r w:rsidR="00136556" w:rsidRPr="00996DBC">
        <w:rPr>
          <w:rFonts w:cs="Arial"/>
          <w:szCs w:val="22"/>
        </w:rPr>
        <w:t>here</w:t>
      </w:r>
      <w:r>
        <w:rPr>
          <w:rFonts w:cs="Arial"/>
          <w:szCs w:val="22"/>
        </w:rPr>
        <w:t>:</w:t>
      </w:r>
    </w:p>
    <w:p w14:paraId="74F2B8DF" w14:textId="22215B17" w:rsidR="00E30C56" w:rsidRDefault="0032052F" w:rsidP="00711D19">
      <w:pPr>
        <w:autoSpaceDE w:val="0"/>
        <w:autoSpaceDN w:val="0"/>
        <w:adjustRightInd w:val="0"/>
        <w:spacing w:afterLines="60" w:after="144"/>
        <w:ind w:left="720" w:hanging="720"/>
        <w:jc w:val="center"/>
        <w:rPr>
          <w:rFonts w:cs="Arial"/>
          <w:szCs w:val="22"/>
        </w:rPr>
      </w:pPr>
      <w:r w:rsidRPr="00996DBC">
        <w:rPr>
          <w:rFonts w:cs="Arial"/>
          <w:position w:val="-62"/>
          <w:szCs w:val="22"/>
        </w:rPr>
        <w:object w:dxaOrig="4180" w:dyaOrig="1040" w14:anchorId="6526B99A">
          <v:shape id="_x0000_i1034" type="#_x0000_t75" style="width:321pt;height:79.8pt" o:ole="">
            <v:imagedata r:id="rId38" o:title=""/>
          </v:shape>
          <o:OLEObject Type="Embed" ProgID="Equation.3" ShapeID="_x0000_i1034" DrawAspect="Content" ObjectID="_1543320134" r:id="rId39"/>
        </w:object>
      </w:r>
    </w:p>
    <w:p w14:paraId="1EAB3654" w14:textId="6E6EB9DB" w:rsidR="00136556" w:rsidRPr="00996DBC" w:rsidRDefault="00136556" w:rsidP="00900D3D">
      <w:pPr>
        <w:autoSpaceDE w:val="0"/>
        <w:autoSpaceDN w:val="0"/>
        <w:adjustRightInd w:val="0"/>
        <w:spacing w:afterLines="60" w:after="144"/>
        <w:ind w:left="1440" w:hanging="720"/>
        <w:rPr>
          <w:rFonts w:cs="Arial"/>
          <w:szCs w:val="22"/>
        </w:rPr>
      </w:pPr>
      <w:r w:rsidRPr="00996DBC">
        <w:rPr>
          <w:rFonts w:cs="Arial"/>
          <w:szCs w:val="22"/>
        </w:rPr>
        <w:t>L’</w:t>
      </w:r>
      <w:r w:rsidRPr="00996DBC">
        <w:rPr>
          <w:rFonts w:cs="Arial"/>
          <w:sz w:val="14"/>
          <w:szCs w:val="14"/>
        </w:rPr>
        <w:t>t-1</w:t>
      </w:r>
      <w:r w:rsidRPr="00996DBC">
        <w:rPr>
          <w:rFonts w:cs="Arial"/>
          <w:sz w:val="14"/>
          <w:szCs w:val="14"/>
        </w:rPr>
        <w:tab/>
      </w:r>
      <w:r w:rsidRPr="00996DBC">
        <w:rPr>
          <w:rFonts w:cs="Arial"/>
          <w:szCs w:val="22"/>
        </w:rPr>
        <w:t>(a)</w:t>
      </w:r>
      <w:r w:rsidR="007D0390">
        <w:rPr>
          <w:rFonts w:cs="Arial"/>
          <w:szCs w:val="22"/>
        </w:rPr>
        <w:t xml:space="preserve"> </w:t>
      </w:r>
      <w:r w:rsidRPr="00996DBC">
        <w:rPr>
          <w:rFonts w:cs="Arial"/>
          <w:szCs w:val="22"/>
        </w:rPr>
        <w:t xml:space="preserve">if Calendar </w:t>
      </w:r>
      <w:r w:rsidRPr="00996DBC">
        <w:rPr>
          <w:rFonts w:cs="Arial"/>
          <w:color w:val="000000"/>
          <w:szCs w:val="22"/>
        </w:rPr>
        <w:t>Year</w:t>
      </w:r>
      <w:r w:rsidRPr="00996DBC">
        <w:rPr>
          <w:rFonts w:cs="Arial"/>
          <w:szCs w:val="22"/>
        </w:rPr>
        <w:t xml:space="preserve"> </w:t>
      </w:r>
      <w:r w:rsidRPr="00F57D9B">
        <w:rPr>
          <w:rFonts w:cs="Arial"/>
          <w:i/>
          <w:szCs w:val="22"/>
        </w:rPr>
        <w:t>t</w:t>
      </w:r>
      <w:r w:rsidRPr="00996DBC">
        <w:rPr>
          <w:rFonts w:cs="Arial"/>
          <w:szCs w:val="22"/>
        </w:rPr>
        <w:t xml:space="preserve"> is the Calendar Year ending 31 December </w:t>
      </w:r>
      <w:r w:rsidR="00054315">
        <w:t>2018</w:t>
      </w:r>
      <w:r w:rsidRPr="00996DBC">
        <w:rPr>
          <w:rFonts w:cs="Arial"/>
          <w:szCs w:val="22"/>
        </w:rPr>
        <w:t xml:space="preserve">, </w:t>
      </w:r>
      <w:r w:rsidR="009954D7">
        <w:rPr>
          <w:rFonts w:cs="Arial"/>
          <w:szCs w:val="22"/>
        </w:rPr>
        <w:t xml:space="preserve">the </w:t>
      </w:r>
      <w:r w:rsidR="007503D7">
        <w:rPr>
          <w:rFonts w:cs="Arial"/>
          <w:szCs w:val="22"/>
        </w:rPr>
        <w:t>L</w:t>
      </w:r>
      <w:r w:rsidR="009954D7">
        <w:rPr>
          <w:rFonts w:cs="Arial"/>
          <w:szCs w:val="22"/>
        </w:rPr>
        <w:t xml:space="preserve">icence </w:t>
      </w:r>
      <w:r w:rsidR="007503D7">
        <w:rPr>
          <w:rFonts w:cs="Arial"/>
          <w:szCs w:val="22"/>
        </w:rPr>
        <w:t>F</w:t>
      </w:r>
      <w:r w:rsidR="009954D7">
        <w:rPr>
          <w:rFonts w:cs="Arial"/>
          <w:szCs w:val="22"/>
        </w:rPr>
        <w:t>ee in the final year of the previous Access Arrangement Period</w:t>
      </w:r>
      <w:r w:rsidRPr="00996DBC">
        <w:rPr>
          <w:rFonts w:cs="Arial"/>
          <w:szCs w:val="22"/>
        </w:rPr>
        <w:t>;</w:t>
      </w:r>
      <w:r w:rsidR="00AE4D0D">
        <w:rPr>
          <w:rFonts w:cs="Arial"/>
          <w:szCs w:val="22"/>
        </w:rPr>
        <w:t xml:space="preserve"> and</w:t>
      </w:r>
    </w:p>
    <w:p w14:paraId="294FFCF9" w14:textId="412B663E" w:rsidR="00136556" w:rsidRPr="00996DBC" w:rsidRDefault="00136556" w:rsidP="00900D3D">
      <w:pPr>
        <w:autoSpaceDE w:val="0"/>
        <w:autoSpaceDN w:val="0"/>
        <w:adjustRightInd w:val="0"/>
        <w:spacing w:afterLines="60" w:after="144"/>
        <w:ind w:left="1440"/>
        <w:rPr>
          <w:rFonts w:cs="Arial"/>
          <w:szCs w:val="22"/>
        </w:rPr>
      </w:pPr>
      <w:r w:rsidRPr="00996DBC">
        <w:rPr>
          <w:rFonts w:cs="Arial"/>
          <w:szCs w:val="22"/>
        </w:rPr>
        <w:t xml:space="preserve">(b) if Calendar Year </w:t>
      </w:r>
      <w:r w:rsidRPr="00F57D9B">
        <w:rPr>
          <w:rFonts w:cs="Arial"/>
          <w:i/>
          <w:szCs w:val="22"/>
        </w:rPr>
        <w:t>t</w:t>
      </w:r>
      <w:r w:rsidRPr="00996DBC">
        <w:rPr>
          <w:rFonts w:cs="Arial"/>
          <w:szCs w:val="22"/>
        </w:rPr>
        <w:t xml:space="preserve"> is after the Calendar Year ending 31 December </w:t>
      </w:r>
      <w:r w:rsidR="00054315">
        <w:t>2018</w:t>
      </w:r>
      <w:r w:rsidRPr="00996DBC">
        <w:rPr>
          <w:rFonts w:cs="Arial"/>
          <w:szCs w:val="22"/>
        </w:rPr>
        <w:t>, is the value of L'</w:t>
      </w:r>
      <w:r w:rsidRPr="00996DBC">
        <w:rPr>
          <w:rFonts w:cs="Arial"/>
          <w:sz w:val="14"/>
          <w:szCs w:val="14"/>
        </w:rPr>
        <w:t xml:space="preserve">t </w:t>
      </w:r>
      <w:r w:rsidRPr="00996DBC">
        <w:rPr>
          <w:rFonts w:cs="Arial"/>
          <w:szCs w:val="22"/>
        </w:rPr>
        <w:t xml:space="preserve">determined in the Calendar Year </w:t>
      </w:r>
      <w:r w:rsidRPr="00996DBC">
        <w:rPr>
          <w:rFonts w:cs="Arial"/>
          <w:i/>
          <w:iCs/>
          <w:szCs w:val="22"/>
        </w:rPr>
        <w:t xml:space="preserve">t </w:t>
      </w:r>
      <w:r w:rsidRPr="00996DBC">
        <w:rPr>
          <w:rFonts w:cs="Arial"/>
          <w:szCs w:val="22"/>
        </w:rPr>
        <w:t>- 1;</w:t>
      </w:r>
    </w:p>
    <w:p w14:paraId="7CA8A8BB" w14:textId="77777777" w:rsidR="00136556" w:rsidRPr="00996DBC" w:rsidRDefault="00136556" w:rsidP="00900D3D">
      <w:pPr>
        <w:autoSpaceDE w:val="0"/>
        <w:autoSpaceDN w:val="0"/>
        <w:adjustRightInd w:val="0"/>
        <w:spacing w:afterLines="60" w:after="144"/>
        <w:ind w:left="1440" w:hanging="720"/>
        <w:rPr>
          <w:rFonts w:cs="Arial"/>
          <w:szCs w:val="22"/>
        </w:rPr>
      </w:pPr>
      <w:r w:rsidRPr="00996DBC">
        <w:rPr>
          <w:rFonts w:cs="Arial"/>
          <w:i/>
          <w:iCs/>
        </w:rPr>
        <w:t>lf</w:t>
      </w:r>
      <w:r w:rsidRPr="00996DBC">
        <w:rPr>
          <w:rFonts w:cs="Arial"/>
          <w:i/>
          <w:iCs/>
          <w:sz w:val="14"/>
          <w:szCs w:val="14"/>
        </w:rPr>
        <w:t xml:space="preserve">t </w:t>
      </w:r>
      <w:r w:rsidRPr="00996DBC">
        <w:rPr>
          <w:rFonts w:eastAsia="SymbolMT" w:cs="Arial"/>
          <w:sz w:val="14"/>
          <w:szCs w:val="14"/>
        </w:rPr>
        <w:t xml:space="preserve">− </w:t>
      </w:r>
      <w:r w:rsidRPr="00996DBC">
        <w:rPr>
          <w:rFonts w:cs="Arial"/>
          <w:sz w:val="14"/>
          <w:szCs w:val="14"/>
        </w:rPr>
        <w:t>1</w:t>
      </w:r>
      <w:r w:rsidRPr="00996DBC">
        <w:rPr>
          <w:rFonts w:cs="Arial"/>
          <w:sz w:val="14"/>
          <w:szCs w:val="14"/>
        </w:rPr>
        <w:tab/>
      </w:r>
      <w:r w:rsidRPr="00996DBC">
        <w:rPr>
          <w:rFonts w:cs="Arial"/>
          <w:szCs w:val="22"/>
        </w:rPr>
        <w:t xml:space="preserve">is the Licence Fee paid by the Service Provider for the Financial Year ending in June of the Calendar Year </w:t>
      </w:r>
      <w:r w:rsidRPr="00996DBC">
        <w:rPr>
          <w:rFonts w:cs="Arial"/>
          <w:i/>
          <w:iCs/>
          <w:szCs w:val="22"/>
        </w:rPr>
        <w:t xml:space="preserve">t </w:t>
      </w:r>
      <w:r w:rsidRPr="00996DBC">
        <w:rPr>
          <w:rFonts w:cs="Arial"/>
          <w:szCs w:val="22"/>
        </w:rPr>
        <w:t>-1;</w:t>
      </w:r>
    </w:p>
    <w:p w14:paraId="6D5E0AB0" w14:textId="77777777" w:rsidR="00136556" w:rsidRPr="00996DBC" w:rsidRDefault="00136556" w:rsidP="00900D3D">
      <w:pPr>
        <w:autoSpaceDE w:val="0"/>
        <w:autoSpaceDN w:val="0"/>
        <w:adjustRightInd w:val="0"/>
        <w:spacing w:afterLines="60" w:after="144"/>
        <w:ind w:left="1440" w:hanging="720"/>
        <w:rPr>
          <w:rFonts w:cs="Arial"/>
          <w:szCs w:val="22"/>
        </w:rPr>
      </w:pPr>
      <w:r w:rsidRPr="00996DBC">
        <w:rPr>
          <w:rFonts w:cs="Arial"/>
          <w:i/>
          <w:szCs w:val="22"/>
        </w:rPr>
        <w:t>CPI</w:t>
      </w:r>
      <w:r w:rsidRPr="00996DBC">
        <w:rPr>
          <w:rFonts w:cs="Arial"/>
          <w:i/>
          <w:sz w:val="14"/>
          <w:szCs w:val="14"/>
        </w:rPr>
        <w:t>t</w:t>
      </w:r>
      <w:r w:rsidRPr="00996DBC">
        <w:rPr>
          <w:rFonts w:cs="Arial"/>
          <w:sz w:val="14"/>
          <w:szCs w:val="14"/>
        </w:rPr>
        <w:tab/>
      </w:r>
      <w:r w:rsidRPr="00996DBC">
        <w:rPr>
          <w:rFonts w:cs="Arial"/>
          <w:szCs w:val="22"/>
        </w:rPr>
        <w:t xml:space="preserve">is the CPI for Calendar Year </w:t>
      </w:r>
      <w:r w:rsidRPr="00996DBC">
        <w:rPr>
          <w:rFonts w:cs="Arial"/>
          <w:i/>
          <w:iCs/>
          <w:szCs w:val="22"/>
        </w:rPr>
        <w:t>t</w:t>
      </w:r>
      <w:r w:rsidRPr="00996DBC">
        <w:rPr>
          <w:rFonts w:cs="Arial"/>
          <w:szCs w:val="22"/>
        </w:rPr>
        <w:t>, as defined in the Glossary;</w:t>
      </w:r>
    </w:p>
    <w:p w14:paraId="4BCCEC69" w14:textId="3B7FD6E2" w:rsidR="003C4C56" w:rsidRPr="00996DBC" w:rsidRDefault="003C4C56" w:rsidP="00900D3D">
      <w:pPr>
        <w:autoSpaceDE w:val="0"/>
        <w:autoSpaceDN w:val="0"/>
        <w:adjustRightInd w:val="0"/>
        <w:spacing w:afterLines="60" w:after="144"/>
        <w:ind w:left="1440" w:hanging="720"/>
        <w:rPr>
          <w:rFonts w:cs="Arial"/>
          <w:color w:val="000000"/>
          <w:szCs w:val="22"/>
        </w:rPr>
      </w:pPr>
      <w:r w:rsidRPr="00996DBC">
        <w:rPr>
          <w:rFonts w:cs="Arial"/>
          <w:i/>
          <w:iCs/>
          <w:color w:val="000000"/>
        </w:rPr>
        <w:t>X</w:t>
      </w:r>
      <w:r w:rsidRPr="00996DBC">
        <w:rPr>
          <w:rFonts w:cs="Arial"/>
          <w:i/>
          <w:iCs/>
          <w:color w:val="000000"/>
          <w:sz w:val="14"/>
          <w:szCs w:val="14"/>
        </w:rPr>
        <w:t>t</w:t>
      </w:r>
      <w:r w:rsidRPr="00996DBC">
        <w:rPr>
          <w:rFonts w:cs="Arial"/>
          <w:color w:val="000000"/>
          <w:szCs w:val="22"/>
        </w:rPr>
        <w:t xml:space="preserve"> </w:t>
      </w:r>
      <w:r w:rsidRPr="00996DBC">
        <w:rPr>
          <w:rFonts w:cs="Arial"/>
          <w:color w:val="000000"/>
          <w:szCs w:val="22"/>
        </w:rPr>
        <w:tab/>
      </w:r>
      <w:r>
        <w:rPr>
          <w:rFonts w:cs="Arial"/>
          <w:color w:val="000000"/>
          <w:szCs w:val="22"/>
        </w:rPr>
        <w:t>is</w:t>
      </w:r>
      <w:r w:rsidRPr="00996DBC">
        <w:rPr>
          <w:rFonts w:cs="Arial"/>
          <w:color w:val="000000"/>
          <w:szCs w:val="22"/>
        </w:rPr>
        <w:t xml:space="preserve"> </w:t>
      </w:r>
      <w:r w:rsidR="00BA446A">
        <w:rPr>
          <w:rFonts w:cs="Arial"/>
          <w:color w:val="000000"/>
          <w:szCs w:val="22"/>
        </w:rPr>
        <w:t>the X factor</w:t>
      </w:r>
      <w:r>
        <w:rPr>
          <w:rFonts w:cs="Arial"/>
        </w:rPr>
        <w:t xml:space="preserve"> </w:t>
      </w:r>
      <w:r>
        <w:rPr>
          <w:rFonts w:cs="Arial"/>
          <w:szCs w:val="22"/>
        </w:rPr>
        <w:t xml:space="preserve">for Calendar Year </w:t>
      </w:r>
      <w:r w:rsidRPr="0032052F">
        <w:rPr>
          <w:rFonts w:cs="Arial"/>
          <w:i/>
          <w:szCs w:val="22"/>
        </w:rPr>
        <w:t>t</w:t>
      </w:r>
      <w:r w:rsidR="00BA446A">
        <w:rPr>
          <w:rFonts w:cs="Arial"/>
          <w:szCs w:val="22"/>
        </w:rPr>
        <w:t xml:space="preserve"> </w:t>
      </w:r>
      <w:r w:rsidR="0032052F">
        <w:rPr>
          <w:rFonts w:cs="Arial"/>
          <w:szCs w:val="22"/>
        </w:rPr>
        <w:t>i</w:t>
      </w:r>
      <w:r w:rsidR="00BA446A">
        <w:rPr>
          <w:rFonts w:cs="Arial"/>
          <w:szCs w:val="22"/>
        </w:rPr>
        <w:t>ncluded in the PTRM for the price cap calculation and revised for the Return on Debt Update calculated in accordance with clause 3.1.2</w:t>
      </w:r>
      <w:r>
        <w:rPr>
          <w:rFonts w:cs="Arial"/>
        </w:rPr>
        <w:t>;</w:t>
      </w:r>
    </w:p>
    <w:p w14:paraId="3627E149" w14:textId="77777777" w:rsidR="00136556" w:rsidRPr="00996DBC" w:rsidRDefault="00136556" w:rsidP="00900D3D">
      <w:pPr>
        <w:autoSpaceDE w:val="0"/>
        <w:autoSpaceDN w:val="0"/>
        <w:adjustRightInd w:val="0"/>
        <w:spacing w:afterLines="60" w:after="144"/>
        <w:ind w:left="1440" w:hanging="720"/>
        <w:rPr>
          <w:rFonts w:cs="Arial"/>
          <w:szCs w:val="22"/>
        </w:rPr>
      </w:pPr>
      <w:r w:rsidRPr="00996DBC">
        <w:rPr>
          <w:rFonts w:cs="Arial"/>
          <w:position w:val="-12"/>
        </w:rPr>
        <w:object w:dxaOrig="420" w:dyaOrig="380" w14:anchorId="19AB3213">
          <v:shape id="_x0000_i1035" type="#_x0000_t75" style="width:21pt;height:18.6pt" o:ole="">
            <v:imagedata r:id="rId40" o:title=""/>
          </v:shape>
          <o:OLEObject Type="Embed" ProgID="Equation.3" ShapeID="_x0000_i1035" DrawAspect="Content" ObjectID="_1543320135" r:id="rId41"/>
        </w:object>
      </w:r>
      <w:r w:rsidRPr="00996DBC">
        <w:rPr>
          <w:rFonts w:cs="Arial"/>
        </w:rPr>
        <w:tab/>
      </w:r>
      <w:proofErr w:type="gramStart"/>
      <w:r w:rsidRPr="00996DBC">
        <w:rPr>
          <w:rFonts w:cs="Arial"/>
          <w:szCs w:val="22"/>
        </w:rPr>
        <w:t>is</w:t>
      </w:r>
      <w:proofErr w:type="gramEnd"/>
      <w:r w:rsidRPr="00996DBC">
        <w:rPr>
          <w:rFonts w:cs="Arial"/>
          <w:szCs w:val="22"/>
        </w:rPr>
        <w:t xml:space="preserve"> the Haulage Reference Tariff being charged for Haulage Reference Tariff Component </w:t>
      </w:r>
      <w:r w:rsidRPr="00996DBC">
        <w:rPr>
          <w:rFonts w:cs="Arial"/>
          <w:i/>
          <w:iCs/>
          <w:szCs w:val="22"/>
        </w:rPr>
        <w:t xml:space="preserve">j </w:t>
      </w:r>
      <w:r w:rsidRPr="00996DBC">
        <w:rPr>
          <w:rFonts w:cs="Arial"/>
          <w:szCs w:val="22"/>
        </w:rPr>
        <w:t xml:space="preserve">of Haulage Reference Tariff </w:t>
      </w:r>
      <w:proofErr w:type="spellStart"/>
      <w:r w:rsidRPr="00996DBC">
        <w:rPr>
          <w:rFonts w:cs="Arial"/>
          <w:i/>
          <w:iCs/>
          <w:szCs w:val="22"/>
        </w:rPr>
        <w:t>i</w:t>
      </w:r>
      <w:proofErr w:type="spellEnd"/>
      <w:r w:rsidRPr="00996DBC">
        <w:rPr>
          <w:rFonts w:cs="Arial"/>
          <w:i/>
          <w:iCs/>
          <w:szCs w:val="22"/>
        </w:rPr>
        <w:t xml:space="preserve"> </w:t>
      </w:r>
      <w:r w:rsidRPr="00996DBC">
        <w:rPr>
          <w:rFonts w:cs="Arial"/>
          <w:szCs w:val="22"/>
        </w:rPr>
        <w:t xml:space="preserve">in Calendar Year </w:t>
      </w:r>
      <w:r w:rsidRPr="00996DBC">
        <w:rPr>
          <w:rFonts w:cs="Arial"/>
          <w:i/>
          <w:iCs/>
        </w:rPr>
        <w:t xml:space="preserve">t </w:t>
      </w:r>
      <w:r w:rsidRPr="00996DBC">
        <w:rPr>
          <w:rFonts w:eastAsia="SymbolMT" w:cs="Arial"/>
        </w:rPr>
        <w:t>−</w:t>
      </w:r>
      <w:r w:rsidRPr="00996DBC">
        <w:rPr>
          <w:rFonts w:cs="Arial"/>
        </w:rPr>
        <w:t>1</w:t>
      </w:r>
      <w:r w:rsidRPr="00996DBC">
        <w:rPr>
          <w:rFonts w:cs="Arial"/>
          <w:szCs w:val="22"/>
        </w:rPr>
        <w:t>;</w:t>
      </w:r>
    </w:p>
    <w:p w14:paraId="32FA6CD6" w14:textId="77777777" w:rsidR="00136556" w:rsidRDefault="00136556" w:rsidP="00900D3D">
      <w:pPr>
        <w:autoSpaceDE w:val="0"/>
        <w:autoSpaceDN w:val="0"/>
        <w:adjustRightInd w:val="0"/>
        <w:spacing w:afterLines="60" w:after="144"/>
        <w:ind w:left="1440" w:hanging="720"/>
        <w:rPr>
          <w:rFonts w:cs="Arial"/>
          <w:szCs w:val="22"/>
        </w:rPr>
      </w:pPr>
      <w:r w:rsidRPr="00996DBC">
        <w:rPr>
          <w:rFonts w:cs="Arial"/>
          <w:position w:val="-12"/>
        </w:rPr>
        <w:object w:dxaOrig="400" w:dyaOrig="380" w14:anchorId="57ACB04F">
          <v:shape id="_x0000_i1036" type="#_x0000_t75" style="width:20.4pt;height:18.6pt" o:ole="">
            <v:imagedata r:id="rId42" o:title=""/>
          </v:shape>
          <o:OLEObject Type="Embed" ProgID="Equation.3" ShapeID="_x0000_i1036" DrawAspect="Content" ObjectID="_1543320136" r:id="rId43"/>
        </w:object>
      </w:r>
      <w:r w:rsidRPr="00996DBC">
        <w:rPr>
          <w:rFonts w:cs="Arial"/>
        </w:rPr>
        <w:tab/>
      </w:r>
      <w:proofErr w:type="gramStart"/>
      <w:r w:rsidRPr="00996DBC">
        <w:rPr>
          <w:rFonts w:cs="Arial"/>
          <w:szCs w:val="22"/>
        </w:rPr>
        <w:t>is</w:t>
      </w:r>
      <w:proofErr w:type="gramEnd"/>
      <w:r w:rsidRPr="00996DBC">
        <w:rPr>
          <w:rFonts w:cs="Arial"/>
          <w:szCs w:val="22"/>
        </w:rPr>
        <w:t xml:space="preserve"> the Quantity of Haulage Reference Tariff Component </w:t>
      </w:r>
      <w:r w:rsidRPr="00996DBC">
        <w:rPr>
          <w:rFonts w:cs="Arial"/>
          <w:i/>
          <w:iCs/>
        </w:rPr>
        <w:t xml:space="preserve">j </w:t>
      </w:r>
      <w:r w:rsidRPr="00996DBC">
        <w:rPr>
          <w:rFonts w:cs="Arial"/>
          <w:szCs w:val="22"/>
        </w:rPr>
        <w:t xml:space="preserve">of Haulage Reference Tariff </w:t>
      </w:r>
      <w:proofErr w:type="spellStart"/>
      <w:r w:rsidRPr="00996DBC">
        <w:rPr>
          <w:rFonts w:cs="Arial"/>
          <w:i/>
          <w:iCs/>
        </w:rPr>
        <w:t>i</w:t>
      </w:r>
      <w:proofErr w:type="spellEnd"/>
      <w:r w:rsidRPr="00996DBC">
        <w:rPr>
          <w:rFonts w:cs="Arial"/>
          <w:i/>
          <w:iCs/>
        </w:rPr>
        <w:t xml:space="preserve"> </w:t>
      </w:r>
      <w:r w:rsidRPr="00996DBC">
        <w:rPr>
          <w:rFonts w:cs="Arial"/>
          <w:szCs w:val="22"/>
        </w:rPr>
        <w:t xml:space="preserve">that was sold in Calendar Year </w:t>
      </w:r>
      <w:r w:rsidRPr="00996DBC">
        <w:rPr>
          <w:rFonts w:cs="Arial"/>
          <w:i/>
          <w:iCs/>
        </w:rPr>
        <w:t xml:space="preserve">t </w:t>
      </w:r>
      <w:r w:rsidRPr="00996DBC">
        <w:rPr>
          <w:rFonts w:eastAsia="SymbolMT" w:cs="Arial"/>
        </w:rPr>
        <w:t xml:space="preserve">− </w:t>
      </w:r>
      <w:r w:rsidRPr="00996DBC">
        <w:rPr>
          <w:rFonts w:cs="Arial"/>
        </w:rPr>
        <w:t>2</w:t>
      </w:r>
      <w:r w:rsidRPr="00996DBC">
        <w:rPr>
          <w:rFonts w:cs="Arial"/>
          <w:szCs w:val="22"/>
        </w:rPr>
        <w:t>;</w:t>
      </w:r>
    </w:p>
    <w:p w14:paraId="4C2E13E0" w14:textId="77777777" w:rsidR="00136556" w:rsidRPr="00275821" w:rsidRDefault="00136556" w:rsidP="00900D3D">
      <w:pPr>
        <w:autoSpaceDE w:val="0"/>
        <w:autoSpaceDN w:val="0"/>
        <w:adjustRightInd w:val="0"/>
        <w:spacing w:afterLines="60" w:after="144"/>
        <w:ind w:left="1440" w:hanging="720"/>
        <w:rPr>
          <w:rFonts w:cs="Arial"/>
          <w:color w:val="000000"/>
          <w:szCs w:val="22"/>
        </w:rPr>
      </w:pPr>
      <w:r w:rsidRPr="00996DBC">
        <w:rPr>
          <w:rFonts w:cs="Arial"/>
          <w:i/>
          <w:iCs/>
          <w:color w:val="000000"/>
        </w:rPr>
        <w:t>A</w:t>
      </w:r>
      <w:r w:rsidRPr="00996DBC">
        <w:rPr>
          <w:rFonts w:cs="Arial"/>
          <w:i/>
          <w:iCs/>
          <w:color w:val="000000"/>
          <w:sz w:val="14"/>
          <w:szCs w:val="14"/>
        </w:rPr>
        <w:t>t</w:t>
      </w:r>
      <w:r w:rsidRPr="00996DBC">
        <w:rPr>
          <w:rFonts w:cs="Arial"/>
          <w:i/>
          <w:iCs/>
          <w:color w:val="000000"/>
          <w:sz w:val="14"/>
          <w:szCs w:val="14"/>
        </w:rPr>
        <w:tab/>
        <w:t xml:space="preserve"> </w:t>
      </w:r>
      <w:r w:rsidRPr="00996DBC">
        <w:rPr>
          <w:rFonts w:cs="Arial"/>
          <w:color w:val="000000"/>
          <w:szCs w:val="22"/>
        </w:rPr>
        <w:t xml:space="preserve">is an approved Pass Through Factor for Calendar Year </w:t>
      </w:r>
      <w:r w:rsidRPr="00996DBC">
        <w:rPr>
          <w:rFonts w:cs="Arial"/>
          <w:i/>
          <w:iCs/>
          <w:color w:val="000000"/>
          <w:szCs w:val="22"/>
        </w:rPr>
        <w:t>t</w:t>
      </w:r>
      <w:r w:rsidRPr="00996DBC">
        <w:rPr>
          <w:rFonts w:cs="Arial"/>
          <w:color w:val="000000"/>
          <w:szCs w:val="22"/>
        </w:rPr>
        <w:t xml:space="preserve">, as defined </w:t>
      </w:r>
      <w:r w:rsidR="00CF3EB4">
        <w:rPr>
          <w:rFonts w:cs="Arial"/>
          <w:color w:val="000000"/>
          <w:szCs w:val="22"/>
        </w:rPr>
        <w:t xml:space="preserve">in clause 3.1.2 </w:t>
      </w:r>
      <w:r w:rsidRPr="00996DBC">
        <w:rPr>
          <w:rFonts w:cs="Arial"/>
          <w:color w:val="000000"/>
          <w:szCs w:val="22"/>
        </w:rPr>
        <w:t>below</w:t>
      </w:r>
      <w:r w:rsidR="00E30C56">
        <w:rPr>
          <w:rFonts w:cs="Arial"/>
          <w:color w:val="000000"/>
          <w:szCs w:val="22"/>
        </w:rPr>
        <w:t>;</w:t>
      </w:r>
      <w:r w:rsidR="003C4C56">
        <w:rPr>
          <w:rFonts w:cs="Arial"/>
          <w:color w:val="000000"/>
          <w:szCs w:val="22"/>
        </w:rPr>
        <w:t xml:space="preserve"> </w:t>
      </w:r>
      <w:r w:rsidR="00AE4D0D">
        <w:rPr>
          <w:rFonts w:cs="Arial"/>
          <w:color w:val="000000"/>
          <w:szCs w:val="22"/>
        </w:rPr>
        <w:t>and</w:t>
      </w:r>
    </w:p>
    <w:p w14:paraId="1EBD52D1" w14:textId="27FFD289" w:rsidR="009D7ABF" w:rsidRPr="00054315" w:rsidRDefault="00BA446A" w:rsidP="00F57D9B">
      <w:pPr>
        <w:tabs>
          <w:tab w:val="left" w:pos="0"/>
        </w:tabs>
        <w:spacing w:afterLines="60" w:after="144"/>
        <w:ind w:left="1440" w:hanging="720"/>
        <w:rPr>
          <w:rFonts w:cs="Arial"/>
          <w:szCs w:val="22"/>
        </w:rPr>
      </w:pPr>
      <w:r>
        <w:rPr>
          <w:rFonts w:cs="Arial"/>
          <w:i/>
          <w:szCs w:val="22"/>
        </w:rPr>
        <w:t>real</w:t>
      </w:r>
      <w:r w:rsidR="00136556" w:rsidRPr="00AE4D0D">
        <w:rPr>
          <w:rFonts w:cs="Arial"/>
          <w:i/>
          <w:szCs w:val="22"/>
        </w:rPr>
        <w:t>WACC</w:t>
      </w:r>
      <w:r w:rsidRPr="00065651">
        <w:rPr>
          <w:rFonts w:cs="Arial"/>
          <w:i/>
          <w:szCs w:val="22"/>
          <w:vertAlign w:val="subscript"/>
        </w:rPr>
        <w:t>t</w:t>
      </w:r>
      <w:r w:rsidR="00136556" w:rsidRPr="00996DBC">
        <w:rPr>
          <w:rFonts w:cs="Arial"/>
          <w:sz w:val="16"/>
          <w:szCs w:val="16"/>
        </w:rPr>
        <w:t xml:space="preserve"> </w:t>
      </w:r>
      <w:r w:rsidR="00136556" w:rsidRPr="00996DBC">
        <w:rPr>
          <w:rFonts w:cs="Arial"/>
          <w:szCs w:val="22"/>
        </w:rPr>
        <w:t xml:space="preserve">is </w:t>
      </w:r>
      <w:r>
        <w:rPr>
          <w:rFonts w:cs="Arial"/>
          <w:szCs w:val="22"/>
        </w:rPr>
        <w:t>the real vanilla weighted average cost of capital as set out in the Regulator’s final decision for the Fifth Access Arrangement Period and updated annually in the PTRM in accordance with clause 3.1.2</w:t>
      </w:r>
      <w:r w:rsidR="001626D5">
        <w:rPr>
          <w:rFonts w:cs="Arial"/>
          <w:szCs w:val="22"/>
        </w:rPr>
        <w:t xml:space="preserve">, other than </w:t>
      </w:r>
      <w:r w:rsidR="001626D5">
        <w:t>Calendar Year 2018</w:t>
      </w:r>
      <w:r>
        <w:rPr>
          <w:rFonts w:cs="Arial"/>
          <w:szCs w:val="22"/>
        </w:rPr>
        <w:t>. For Calendar Year 2018</w:t>
      </w:r>
      <w:r w:rsidR="007D0390">
        <w:rPr>
          <w:rFonts w:cs="Arial"/>
          <w:szCs w:val="22"/>
        </w:rPr>
        <w:t>,</w:t>
      </w:r>
      <w:r>
        <w:rPr>
          <w:rFonts w:cs="Arial"/>
          <w:szCs w:val="22"/>
        </w:rPr>
        <w:t xml:space="preserve"> </w:t>
      </w:r>
      <w:r w:rsidRPr="00BA446A">
        <w:rPr>
          <w:rFonts w:cs="Arial"/>
          <w:i/>
          <w:szCs w:val="22"/>
        </w:rPr>
        <w:t>realWACC</w:t>
      </w:r>
      <w:r w:rsidRPr="00F57D9B">
        <w:rPr>
          <w:rFonts w:cs="Arial"/>
          <w:i/>
          <w:szCs w:val="22"/>
          <w:vertAlign w:val="subscript"/>
        </w:rPr>
        <w:t>2018</w:t>
      </w:r>
      <w:r>
        <w:rPr>
          <w:rFonts w:cs="Arial"/>
          <w:szCs w:val="22"/>
        </w:rPr>
        <w:t xml:space="preserve"> is 3.92 per cent.</w:t>
      </w:r>
    </w:p>
    <w:p w14:paraId="1A69042F" w14:textId="49B36605" w:rsidR="00B86763" w:rsidRPr="00B738B7" w:rsidRDefault="00B86763" w:rsidP="00F57D9B">
      <w:pPr>
        <w:pStyle w:val="Heading3"/>
      </w:pPr>
      <w:bookmarkStart w:id="14" w:name="_Toc469519475"/>
      <w:r w:rsidRPr="00B738B7">
        <w:t>Adjustment Factor</w:t>
      </w:r>
      <w:bookmarkEnd w:id="14"/>
    </w:p>
    <w:p w14:paraId="49D2504C" w14:textId="77777777" w:rsidR="00CF3EB4" w:rsidRPr="00F57D9B" w:rsidRDefault="00CF3EB4" w:rsidP="00711D19">
      <w:pPr>
        <w:autoSpaceDE w:val="0"/>
        <w:autoSpaceDN w:val="0"/>
        <w:adjustRightInd w:val="0"/>
        <w:spacing w:afterLines="60" w:after="144"/>
        <w:rPr>
          <w:rFonts w:cs="Arial"/>
        </w:rPr>
      </w:pPr>
      <w:r>
        <w:rPr>
          <w:rFonts w:cs="Arial"/>
        </w:rPr>
        <w:t>(a)</w:t>
      </w:r>
      <w:r>
        <w:rPr>
          <w:rFonts w:cs="Arial"/>
        </w:rPr>
        <w:tab/>
        <w:t>Adjustment Factor</w:t>
      </w:r>
    </w:p>
    <w:p w14:paraId="245F498E" w14:textId="77777777" w:rsidR="00B86763" w:rsidRDefault="00B86763" w:rsidP="00900D3D">
      <w:pPr>
        <w:autoSpaceDE w:val="0"/>
        <w:autoSpaceDN w:val="0"/>
        <w:adjustRightInd w:val="0"/>
        <w:spacing w:afterLines="60" w:after="144"/>
        <w:ind w:left="720"/>
        <w:rPr>
          <w:rFonts w:cs="Arial"/>
        </w:rPr>
      </w:pPr>
      <w:r w:rsidRPr="00B86763">
        <w:rPr>
          <w:rFonts w:cs="Arial"/>
          <w:i/>
        </w:rPr>
        <w:t>A</w:t>
      </w:r>
      <w:r w:rsidRPr="00B86763">
        <w:rPr>
          <w:rFonts w:cs="Arial"/>
          <w:i/>
          <w:vertAlign w:val="subscript"/>
        </w:rPr>
        <w:t>t</w:t>
      </w:r>
      <w:r w:rsidRPr="00B86763">
        <w:rPr>
          <w:rFonts w:cs="Arial"/>
        </w:rPr>
        <w:t xml:space="preserve"> is the adjustment to the Distribution price control in Calendar Year </w:t>
      </w:r>
      <w:r w:rsidRPr="00B86763">
        <w:rPr>
          <w:rFonts w:cs="Arial"/>
          <w:i/>
          <w:iCs/>
        </w:rPr>
        <w:t xml:space="preserve">t </w:t>
      </w:r>
      <w:r w:rsidRPr="00B86763">
        <w:rPr>
          <w:rFonts w:cs="Arial"/>
        </w:rPr>
        <w:t xml:space="preserve">for the Service Provider and is determined </w:t>
      </w:r>
      <w:r w:rsidR="00CF3EB4">
        <w:rPr>
          <w:rFonts w:cs="Arial"/>
        </w:rPr>
        <w:t xml:space="preserve">in accordance with paragraph (b) </w:t>
      </w:r>
      <w:r w:rsidRPr="00B86763">
        <w:rPr>
          <w:rFonts w:cs="Arial"/>
        </w:rPr>
        <w:t>below:</w:t>
      </w:r>
    </w:p>
    <w:p w14:paraId="76958D2C" w14:textId="77777777" w:rsidR="00CF3EB4" w:rsidRPr="00B86763" w:rsidRDefault="00CF3EB4" w:rsidP="00711D19">
      <w:pPr>
        <w:autoSpaceDE w:val="0"/>
        <w:autoSpaceDN w:val="0"/>
        <w:adjustRightInd w:val="0"/>
        <w:spacing w:afterLines="60" w:after="144"/>
        <w:rPr>
          <w:rFonts w:cs="Arial"/>
        </w:rPr>
      </w:pPr>
      <w:r>
        <w:rPr>
          <w:rFonts w:cs="Arial"/>
        </w:rPr>
        <w:t>(b)</w:t>
      </w:r>
      <w:r>
        <w:rPr>
          <w:rFonts w:cs="Arial"/>
        </w:rPr>
        <w:tab/>
        <w:t>Calculation of the Adjustment Factor</w:t>
      </w:r>
    </w:p>
    <w:p w14:paraId="6255C0DA" w14:textId="77777777" w:rsidR="00B86763" w:rsidRPr="00B86763" w:rsidRDefault="00B86763" w:rsidP="00711D19">
      <w:pPr>
        <w:autoSpaceDE w:val="0"/>
        <w:autoSpaceDN w:val="0"/>
        <w:adjustRightInd w:val="0"/>
        <w:spacing w:afterLines="60" w:after="144"/>
        <w:jc w:val="center"/>
        <w:rPr>
          <w:rFonts w:cs="Arial"/>
        </w:rPr>
      </w:pPr>
      <w:r w:rsidRPr="00B86763">
        <w:rPr>
          <w:rFonts w:eastAsia="Calibri" w:cs="Arial"/>
          <w:position w:val="-30"/>
        </w:rPr>
        <w:object w:dxaOrig="1800" w:dyaOrig="680" w14:anchorId="16F4A363">
          <v:shape id="_x0000_i1037" type="#_x0000_t75" style="width:138pt;height:52.2pt" o:ole="">
            <v:imagedata r:id="rId44" o:title=""/>
          </v:shape>
          <o:OLEObject Type="Embed" ProgID="Equation.3" ShapeID="_x0000_i1037" DrawAspect="Content" ObjectID="_1543320137" r:id="rId45"/>
        </w:object>
      </w:r>
    </w:p>
    <w:p w14:paraId="0ED44C61" w14:textId="77777777" w:rsidR="00B86763" w:rsidRPr="00B86763" w:rsidRDefault="00B86763" w:rsidP="00900D3D">
      <w:pPr>
        <w:autoSpaceDE w:val="0"/>
        <w:autoSpaceDN w:val="0"/>
        <w:adjustRightInd w:val="0"/>
        <w:spacing w:afterLines="60" w:after="144"/>
        <w:ind w:left="720"/>
        <w:rPr>
          <w:rFonts w:cs="Arial"/>
        </w:rPr>
      </w:pPr>
      <w:r w:rsidRPr="00B86763">
        <w:rPr>
          <w:rFonts w:cs="Arial"/>
        </w:rPr>
        <w:t>where</w:t>
      </w:r>
      <w:r w:rsidR="009368A6">
        <w:rPr>
          <w:rFonts w:cs="Arial"/>
        </w:rPr>
        <w:t>:</w:t>
      </w:r>
    </w:p>
    <w:p w14:paraId="0182EF46" w14:textId="025DA1AA" w:rsidR="00B86763" w:rsidRPr="00B86763" w:rsidRDefault="00B86763" w:rsidP="00900D3D">
      <w:pPr>
        <w:autoSpaceDE w:val="0"/>
        <w:autoSpaceDN w:val="0"/>
        <w:adjustRightInd w:val="0"/>
        <w:spacing w:afterLines="60" w:after="144"/>
        <w:ind w:left="1440" w:hanging="720"/>
        <w:rPr>
          <w:rFonts w:cs="Arial"/>
        </w:rPr>
      </w:pPr>
      <w:r w:rsidRPr="00B86763">
        <w:rPr>
          <w:rFonts w:eastAsia="Calibri" w:cs="Arial"/>
          <w:position w:val="-12"/>
        </w:rPr>
        <w:object w:dxaOrig="460" w:dyaOrig="360" w14:anchorId="422CDAE4">
          <v:shape id="_x0000_i1038" type="#_x0000_t75" style="width:22.2pt;height:18pt" o:ole="">
            <v:imagedata r:id="rId46" o:title=""/>
          </v:shape>
          <o:OLEObject Type="Embed" ProgID="Equation.3" ShapeID="_x0000_i1038" DrawAspect="Content" ObjectID="_1543320138" r:id="rId47"/>
        </w:object>
      </w:r>
      <w:r w:rsidRPr="00B86763">
        <w:rPr>
          <w:rFonts w:cs="Arial"/>
        </w:rPr>
        <w:tab/>
        <w:t>(a)</w:t>
      </w:r>
      <w:r w:rsidR="005203D3">
        <w:rPr>
          <w:rFonts w:cs="Arial"/>
        </w:rPr>
        <w:tab/>
      </w:r>
      <w:proofErr w:type="gramStart"/>
      <w:r w:rsidRPr="00B86763">
        <w:rPr>
          <w:rFonts w:cs="Arial"/>
        </w:rPr>
        <w:t>if</w:t>
      </w:r>
      <w:proofErr w:type="gramEnd"/>
      <w:r w:rsidRPr="00B86763">
        <w:rPr>
          <w:rFonts w:cs="Arial"/>
        </w:rPr>
        <w:t xml:space="preserve"> Calendar Year </w:t>
      </w:r>
      <w:r w:rsidRPr="00B86763">
        <w:rPr>
          <w:rFonts w:cs="Arial"/>
          <w:i/>
        </w:rPr>
        <w:t>t</w:t>
      </w:r>
      <w:r w:rsidRPr="00B86763">
        <w:rPr>
          <w:rFonts w:cs="Arial"/>
        </w:rPr>
        <w:t xml:space="preserve"> is the Calendar Year ending 31 December </w:t>
      </w:r>
      <w:r w:rsidR="00054315">
        <w:rPr>
          <w:rFonts w:cs="Arial"/>
        </w:rPr>
        <w:t>2018</w:t>
      </w:r>
      <w:r w:rsidRPr="00B86763">
        <w:rPr>
          <w:rFonts w:cs="Arial"/>
        </w:rPr>
        <w:t>, is zero;</w:t>
      </w:r>
    </w:p>
    <w:p w14:paraId="1721EF3A" w14:textId="77777777" w:rsidR="00B86763" w:rsidRPr="00B86763" w:rsidRDefault="00B86763" w:rsidP="00900D3D">
      <w:pPr>
        <w:autoSpaceDE w:val="0"/>
        <w:autoSpaceDN w:val="0"/>
        <w:adjustRightInd w:val="0"/>
        <w:spacing w:afterLines="60" w:after="144"/>
        <w:ind w:left="2160" w:hanging="720"/>
        <w:rPr>
          <w:rFonts w:cs="Arial"/>
        </w:rPr>
      </w:pPr>
      <w:r w:rsidRPr="00B86763">
        <w:rPr>
          <w:rFonts w:cs="Arial"/>
        </w:rPr>
        <w:lastRenderedPageBreak/>
        <w:t>(b)</w:t>
      </w:r>
      <w:r w:rsidR="005203D3">
        <w:rPr>
          <w:rFonts w:cs="Arial"/>
        </w:rPr>
        <w:tab/>
      </w:r>
      <w:r w:rsidRPr="00B86763">
        <w:rPr>
          <w:rFonts w:cs="Arial"/>
        </w:rPr>
        <w:t xml:space="preserve">if Calendar Year t is after the Calendar Year ending 31 December 2013, is the value of A't determined in the Calendar Year </w:t>
      </w:r>
      <w:r w:rsidRPr="00B86763">
        <w:rPr>
          <w:rFonts w:cs="Arial"/>
          <w:i/>
          <w:iCs/>
        </w:rPr>
        <w:t xml:space="preserve">t </w:t>
      </w:r>
      <w:r w:rsidRPr="00B86763">
        <w:rPr>
          <w:rFonts w:cs="Arial"/>
        </w:rPr>
        <w:t>- 1;</w:t>
      </w:r>
    </w:p>
    <w:p w14:paraId="0BE350A7" w14:textId="77777777" w:rsidR="00B86763" w:rsidRPr="00B86763" w:rsidRDefault="00DC1773" w:rsidP="00711D19">
      <w:pPr>
        <w:autoSpaceDE w:val="0"/>
        <w:autoSpaceDN w:val="0"/>
        <w:adjustRightInd w:val="0"/>
        <w:spacing w:afterLines="60" w:after="144"/>
        <w:ind w:left="720" w:hanging="720"/>
        <w:jc w:val="center"/>
        <w:rPr>
          <w:rFonts w:cs="Arial"/>
        </w:rPr>
      </w:pPr>
      <w:r w:rsidRPr="00DC1773">
        <w:rPr>
          <w:rFonts w:eastAsia="Calibri" w:cs="Arial"/>
          <w:position w:val="-62"/>
        </w:rPr>
        <w:object w:dxaOrig="3500" w:dyaOrig="999" w14:anchorId="4DD63312">
          <v:shape id="_x0000_i1039" type="#_x0000_t75" style="width:266.4pt;height:75.6pt" o:ole="">
            <v:imagedata r:id="rId48" o:title=""/>
          </v:shape>
          <o:OLEObject Type="Embed" ProgID="Equation.3" ShapeID="_x0000_i1039" DrawAspect="Content" ObjectID="_1543320139" r:id="rId49"/>
        </w:object>
      </w:r>
    </w:p>
    <w:p w14:paraId="2A99C7B6" w14:textId="77777777" w:rsidR="00B86763" w:rsidRPr="00B86763" w:rsidRDefault="00B86763" w:rsidP="00900D3D">
      <w:pPr>
        <w:overflowPunct w:val="0"/>
        <w:autoSpaceDE w:val="0"/>
        <w:autoSpaceDN w:val="0"/>
        <w:adjustRightInd w:val="0"/>
        <w:spacing w:afterLines="60" w:after="144"/>
        <w:ind w:left="1418" w:hanging="709"/>
        <w:textAlignment w:val="baseline"/>
        <w:rPr>
          <w:rFonts w:cs="Arial"/>
        </w:rPr>
      </w:pPr>
      <w:r w:rsidRPr="00B86763">
        <w:rPr>
          <w:rFonts w:cs="Arial"/>
        </w:rPr>
        <w:t>where:</w:t>
      </w:r>
    </w:p>
    <w:p w14:paraId="688F5350" w14:textId="77777777" w:rsidR="00B86763" w:rsidRDefault="00B86763" w:rsidP="00900D3D">
      <w:pPr>
        <w:overflowPunct w:val="0"/>
        <w:autoSpaceDE w:val="0"/>
        <w:autoSpaceDN w:val="0"/>
        <w:adjustRightInd w:val="0"/>
        <w:spacing w:afterLines="60" w:after="144"/>
        <w:ind w:left="1418" w:hanging="709"/>
        <w:textAlignment w:val="baseline"/>
        <w:rPr>
          <w:rFonts w:cs="Arial"/>
        </w:rPr>
      </w:pPr>
      <w:r w:rsidRPr="00B86763">
        <w:rPr>
          <w:rFonts w:eastAsia="Calibri" w:cs="Arial"/>
          <w:position w:val="-12"/>
        </w:rPr>
        <w:object w:dxaOrig="400" w:dyaOrig="360" w14:anchorId="2D721601">
          <v:shape id="_x0000_i1040" type="#_x0000_t75" style="width:19.8pt;height:18pt" o:ole="">
            <v:imagedata r:id="rId50" o:title=""/>
          </v:shape>
          <o:OLEObject Type="Embed" ProgID="Equation.3" ShapeID="_x0000_i1040" DrawAspect="Content" ObjectID="_1543320140" r:id="rId51"/>
        </w:object>
      </w:r>
      <w:r w:rsidR="009368A6">
        <w:rPr>
          <w:rFonts w:cs="Arial"/>
        </w:rPr>
        <w:tab/>
      </w:r>
      <w:proofErr w:type="gramStart"/>
      <w:r w:rsidRPr="00B86763">
        <w:rPr>
          <w:rFonts w:cs="Arial"/>
        </w:rPr>
        <w:t>is</w:t>
      </w:r>
      <w:proofErr w:type="gramEnd"/>
      <w:r w:rsidRPr="00B86763">
        <w:rPr>
          <w:rFonts w:cs="Arial"/>
        </w:rPr>
        <w:t xml:space="preserve"> the approved pass through to apply to the Distribution price control in Calendar Year </w:t>
      </w:r>
      <w:r w:rsidRPr="00B86763">
        <w:rPr>
          <w:rFonts w:cs="Arial"/>
          <w:i/>
          <w:iCs/>
        </w:rPr>
        <w:t xml:space="preserve">t </w:t>
      </w:r>
      <w:r w:rsidRPr="00B86763">
        <w:rPr>
          <w:rFonts w:cs="Arial"/>
        </w:rPr>
        <w:t xml:space="preserve">for the Service Provider </w:t>
      </w:r>
      <w:r>
        <w:rPr>
          <w:rFonts w:cs="Arial"/>
        </w:rPr>
        <w:t>a</w:t>
      </w:r>
      <w:r w:rsidRPr="00B86763">
        <w:rPr>
          <w:rFonts w:cs="Arial"/>
        </w:rPr>
        <w:t>s determined below</w:t>
      </w:r>
      <w:r>
        <w:rPr>
          <w:rFonts w:cs="Arial"/>
        </w:rPr>
        <w:t xml:space="preserve">; </w:t>
      </w:r>
    </w:p>
    <w:p w14:paraId="5D7C237A" w14:textId="77777777" w:rsidR="00B71E72" w:rsidRPr="00996DBC" w:rsidRDefault="00B71E72" w:rsidP="00900D3D">
      <w:pPr>
        <w:autoSpaceDE w:val="0"/>
        <w:autoSpaceDN w:val="0"/>
        <w:adjustRightInd w:val="0"/>
        <w:spacing w:afterLines="60" w:after="144"/>
        <w:ind w:left="1429" w:hanging="720"/>
        <w:rPr>
          <w:rFonts w:cs="Arial"/>
          <w:szCs w:val="22"/>
        </w:rPr>
      </w:pPr>
      <w:r w:rsidRPr="00996DBC">
        <w:rPr>
          <w:rFonts w:cs="Arial"/>
          <w:i/>
          <w:szCs w:val="22"/>
        </w:rPr>
        <w:t>CPI</w:t>
      </w:r>
      <w:r w:rsidRPr="00996DBC">
        <w:rPr>
          <w:rFonts w:cs="Arial"/>
          <w:i/>
          <w:sz w:val="14"/>
          <w:szCs w:val="14"/>
        </w:rPr>
        <w:t>t</w:t>
      </w:r>
      <w:r w:rsidRPr="00996DBC">
        <w:rPr>
          <w:rFonts w:cs="Arial"/>
          <w:sz w:val="14"/>
          <w:szCs w:val="14"/>
        </w:rPr>
        <w:tab/>
      </w:r>
      <w:r w:rsidRPr="00996DBC">
        <w:rPr>
          <w:rFonts w:cs="Arial"/>
          <w:szCs w:val="22"/>
        </w:rPr>
        <w:t xml:space="preserve">is the CPI for Calendar Year </w:t>
      </w:r>
      <w:r w:rsidRPr="00996DBC">
        <w:rPr>
          <w:rFonts w:cs="Arial"/>
          <w:i/>
          <w:iCs/>
          <w:szCs w:val="22"/>
        </w:rPr>
        <w:t>t</w:t>
      </w:r>
      <w:r w:rsidRPr="00996DBC">
        <w:rPr>
          <w:rFonts w:cs="Arial"/>
          <w:szCs w:val="22"/>
        </w:rPr>
        <w:t>, as defined in the Glossary;</w:t>
      </w:r>
    </w:p>
    <w:p w14:paraId="7E69E7C4" w14:textId="376DF1A2" w:rsidR="003C4C56" w:rsidRPr="00996DBC" w:rsidRDefault="003C4C56" w:rsidP="00900D3D">
      <w:pPr>
        <w:autoSpaceDE w:val="0"/>
        <w:autoSpaceDN w:val="0"/>
        <w:adjustRightInd w:val="0"/>
        <w:spacing w:afterLines="60" w:after="144"/>
        <w:ind w:left="1429" w:hanging="720"/>
        <w:rPr>
          <w:rFonts w:cs="Arial"/>
          <w:color w:val="000000"/>
          <w:szCs w:val="22"/>
        </w:rPr>
      </w:pPr>
      <w:r w:rsidRPr="00996DBC">
        <w:rPr>
          <w:rFonts w:cs="Arial"/>
          <w:i/>
          <w:iCs/>
          <w:color w:val="000000"/>
        </w:rPr>
        <w:t>X</w:t>
      </w:r>
      <w:r w:rsidRPr="00996DBC">
        <w:rPr>
          <w:rFonts w:cs="Arial"/>
          <w:i/>
          <w:iCs/>
          <w:color w:val="000000"/>
          <w:sz w:val="14"/>
          <w:szCs w:val="14"/>
        </w:rPr>
        <w:t>t</w:t>
      </w:r>
      <w:r w:rsidRPr="00996DBC">
        <w:rPr>
          <w:rFonts w:cs="Arial"/>
          <w:color w:val="000000"/>
          <w:szCs w:val="22"/>
        </w:rPr>
        <w:t xml:space="preserve"> </w:t>
      </w:r>
      <w:r w:rsidRPr="00996DBC">
        <w:rPr>
          <w:rFonts w:cs="Arial"/>
          <w:color w:val="000000"/>
          <w:szCs w:val="22"/>
        </w:rPr>
        <w:tab/>
      </w:r>
      <w:r>
        <w:rPr>
          <w:rFonts w:cs="Arial"/>
          <w:color w:val="000000"/>
          <w:szCs w:val="22"/>
        </w:rPr>
        <w:t>is</w:t>
      </w:r>
      <w:r w:rsidRPr="00996DBC">
        <w:rPr>
          <w:rFonts w:cs="Arial"/>
          <w:color w:val="000000"/>
          <w:szCs w:val="22"/>
        </w:rPr>
        <w:t xml:space="preserve"> </w:t>
      </w:r>
      <w:r w:rsidR="00291253">
        <w:rPr>
          <w:rFonts w:cs="Arial"/>
          <w:color w:val="000000"/>
          <w:szCs w:val="22"/>
        </w:rPr>
        <w:t xml:space="preserve">the X factor </w:t>
      </w:r>
      <w:r>
        <w:rPr>
          <w:rFonts w:cs="Arial"/>
          <w:szCs w:val="22"/>
        </w:rPr>
        <w:t xml:space="preserve">for Calendar Year </w:t>
      </w:r>
      <w:r w:rsidRPr="00900D3D">
        <w:rPr>
          <w:rFonts w:cs="Arial"/>
          <w:i/>
          <w:szCs w:val="22"/>
        </w:rPr>
        <w:t>t</w:t>
      </w:r>
      <w:r>
        <w:rPr>
          <w:rFonts w:cs="Arial"/>
          <w:szCs w:val="22"/>
        </w:rPr>
        <w:t xml:space="preserve"> </w:t>
      </w:r>
      <w:r w:rsidR="00291253">
        <w:rPr>
          <w:rFonts w:cs="Arial"/>
          <w:szCs w:val="22"/>
        </w:rPr>
        <w:t>included in the PTRM for the price cap calculation and revised for the Return on Debt Update calculated in accordance with clause 3.1.2</w:t>
      </w:r>
      <w:r>
        <w:rPr>
          <w:rFonts w:cs="Arial"/>
        </w:rPr>
        <w:t>;</w:t>
      </w:r>
    </w:p>
    <w:p w14:paraId="77888F03" w14:textId="77777777" w:rsidR="00B71E72" w:rsidRPr="00996DBC" w:rsidRDefault="00B71E72" w:rsidP="00900D3D">
      <w:pPr>
        <w:autoSpaceDE w:val="0"/>
        <w:autoSpaceDN w:val="0"/>
        <w:adjustRightInd w:val="0"/>
        <w:spacing w:afterLines="60" w:after="144"/>
        <w:ind w:left="1429" w:hanging="720"/>
        <w:rPr>
          <w:rFonts w:cs="Arial"/>
          <w:szCs w:val="22"/>
        </w:rPr>
      </w:pPr>
      <w:r w:rsidRPr="00996DBC">
        <w:rPr>
          <w:rFonts w:cs="Arial"/>
          <w:position w:val="-12"/>
        </w:rPr>
        <w:object w:dxaOrig="420" w:dyaOrig="380" w14:anchorId="0CC2DD63">
          <v:shape id="_x0000_i1041" type="#_x0000_t75" style="width:21pt;height:18.6pt" o:ole="">
            <v:imagedata r:id="rId40" o:title=""/>
          </v:shape>
          <o:OLEObject Type="Embed" ProgID="Equation.3" ShapeID="_x0000_i1041" DrawAspect="Content" ObjectID="_1543320141" r:id="rId52"/>
        </w:object>
      </w:r>
      <w:r w:rsidRPr="00996DBC">
        <w:rPr>
          <w:rFonts w:cs="Arial"/>
        </w:rPr>
        <w:tab/>
      </w:r>
      <w:proofErr w:type="gramStart"/>
      <w:r w:rsidRPr="00996DBC">
        <w:rPr>
          <w:rFonts w:cs="Arial"/>
          <w:szCs w:val="22"/>
        </w:rPr>
        <w:t>is</w:t>
      </w:r>
      <w:proofErr w:type="gramEnd"/>
      <w:r w:rsidRPr="00996DBC">
        <w:rPr>
          <w:rFonts w:cs="Arial"/>
          <w:szCs w:val="22"/>
        </w:rPr>
        <w:t xml:space="preserve"> the Haulage Reference Tariff being charged for Haulage Reference Tariff Component </w:t>
      </w:r>
      <w:r w:rsidRPr="00996DBC">
        <w:rPr>
          <w:rFonts w:cs="Arial"/>
          <w:i/>
          <w:iCs/>
          <w:szCs w:val="22"/>
        </w:rPr>
        <w:t xml:space="preserve">j </w:t>
      </w:r>
      <w:r w:rsidRPr="00996DBC">
        <w:rPr>
          <w:rFonts w:cs="Arial"/>
          <w:szCs w:val="22"/>
        </w:rPr>
        <w:t xml:space="preserve">of Haulage Reference Tariff </w:t>
      </w:r>
      <w:proofErr w:type="spellStart"/>
      <w:r w:rsidRPr="00996DBC">
        <w:rPr>
          <w:rFonts w:cs="Arial"/>
          <w:i/>
          <w:iCs/>
          <w:szCs w:val="22"/>
        </w:rPr>
        <w:t>i</w:t>
      </w:r>
      <w:proofErr w:type="spellEnd"/>
      <w:r w:rsidRPr="00996DBC">
        <w:rPr>
          <w:rFonts w:cs="Arial"/>
          <w:i/>
          <w:iCs/>
          <w:szCs w:val="22"/>
        </w:rPr>
        <w:t xml:space="preserve"> </w:t>
      </w:r>
      <w:r w:rsidRPr="00996DBC">
        <w:rPr>
          <w:rFonts w:cs="Arial"/>
          <w:szCs w:val="22"/>
        </w:rPr>
        <w:t xml:space="preserve">in Calendar Year </w:t>
      </w:r>
      <w:r w:rsidRPr="00996DBC">
        <w:rPr>
          <w:rFonts w:cs="Arial"/>
          <w:i/>
          <w:iCs/>
        </w:rPr>
        <w:t xml:space="preserve">t </w:t>
      </w:r>
      <w:r w:rsidRPr="00996DBC">
        <w:rPr>
          <w:rFonts w:eastAsia="SymbolMT" w:cs="Arial"/>
        </w:rPr>
        <w:t>−</w:t>
      </w:r>
      <w:r w:rsidRPr="00996DBC">
        <w:rPr>
          <w:rFonts w:cs="Arial"/>
        </w:rPr>
        <w:t>1</w:t>
      </w:r>
      <w:r w:rsidRPr="00996DBC">
        <w:rPr>
          <w:rFonts w:cs="Arial"/>
          <w:szCs w:val="22"/>
        </w:rPr>
        <w:t>;</w:t>
      </w:r>
    </w:p>
    <w:p w14:paraId="4CE362FF" w14:textId="77777777" w:rsidR="00B71E72" w:rsidRDefault="00B71E72" w:rsidP="00900D3D">
      <w:pPr>
        <w:autoSpaceDE w:val="0"/>
        <w:autoSpaceDN w:val="0"/>
        <w:adjustRightInd w:val="0"/>
        <w:spacing w:afterLines="60" w:after="144"/>
        <w:ind w:left="1429" w:hanging="720"/>
        <w:rPr>
          <w:rFonts w:cs="Arial"/>
          <w:szCs w:val="22"/>
        </w:rPr>
      </w:pPr>
      <w:r w:rsidRPr="00996DBC">
        <w:rPr>
          <w:rFonts w:cs="Arial"/>
          <w:position w:val="-12"/>
        </w:rPr>
        <w:object w:dxaOrig="400" w:dyaOrig="380" w14:anchorId="2AB3DB35">
          <v:shape id="_x0000_i1042" type="#_x0000_t75" style="width:20.4pt;height:18.6pt" o:ole="">
            <v:imagedata r:id="rId42" o:title=""/>
          </v:shape>
          <o:OLEObject Type="Embed" ProgID="Equation.3" ShapeID="_x0000_i1042" DrawAspect="Content" ObjectID="_1543320142" r:id="rId53"/>
        </w:object>
      </w:r>
      <w:r w:rsidRPr="00996DBC">
        <w:rPr>
          <w:rFonts w:cs="Arial"/>
        </w:rPr>
        <w:tab/>
      </w:r>
      <w:proofErr w:type="gramStart"/>
      <w:r w:rsidRPr="00996DBC">
        <w:rPr>
          <w:rFonts w:cs="Arial"/>
          <w:szCs w:val="22"/>
        </w:rPr>
        <w:t>is</w:t>
      </w:r>
      <w:proofErr w:type="gramEnd"/>
      <w:r w:rsidRPr="00996DBC">
        <w:rPr>
          <w:rFonts w:cs="Arial"/>
          <w:szCs w:val="22"/>
        </w:rPr>
        <w:t xml:space="preserve"> the Quantity of Haulage Reference Tariff Component </w:t>
      </w:r>
      <w:r w:rsidRPr="00996DBC">
        <w:rPr>
          <w:rFonts w:cs="Arial"/>
          <w:i/>
          <w:iCs/>
        </w:rPr>
        <w:t xml:space="preserve">j </w:t>
      </w:r>
      <w:r w:rsidRPr="00996DBC">
        <w:rPr>
          <w:rFonts w:cs="Arial"/>
          <w:szCs w:val="22"/>
        </w:rPr>
        <w:t xml:space="preserve">of Haulage Reference Tariff </w:t>
      </w:r>
      <w:proofErr w:type="spellStart"/>
      <w:r w:rsidRPr="00996DBC">
        <w:rPr>
          <w:rFonts w:cs="Arial"/>
          <w:i/>
          <w:iCs/>
        </w:rPr>
        <w:t>i</w:t>
      </w:r>
      <w:proofErr w:type="spellEnd"/>
      <w:r w:rsidRPr="00996DBC">
        <w:rPr>
          <w:rFonts w:cs="Arial"/>
          <w:i/>
          <w:iCs/>
        </w:rPr>
        <w:t xml:space="preserve"> </w:t>
      </w:r>
      <w:r w:rsidRPr="00996DBC">
        <w:rPr>
          <w:rFonts w:cs="Arial"/>
          <w:szCs w:val="22"/>
        </w:rPr>
        <w:t xml:space="preserve">that was sold in Calendar Year </w:t>
      </w:r>
      <w:r w:rsidRPr="00996DBC">
        <w:rPr>
          <w:rFonts w:cs="Arial"/>
          <w:i/>
          <w:iCs/>
        </w:rPr>
        <w:t xml:space="preserve">t </w:t>
      </w:r>
      <w:r w:rsidRPr="00996DBC">
        <w:rPr>
          <w:rFonts w:eastAsia="SymbolMT" w:cs="Arial"/>
        </w:rPr>
        <w:t xml:space="preserve">− </w:t>
      </w:r>
      <w:r w:rsidRPr="00996DBC">
        <w:rPr>
          <w:rFonts w:cs="Arial"/>
        </w:rPr>
        <w:t>2</w:t>
      </w:r>
      <w:r w:rsidRPr="00996DBC">
        <w:rPr>
          <w:rFonts w:cs="Arial"/>
          <w:szCs w:val="22"/>
        </w:rPr>
        <w:t>;</w:t>
      </w:r>
    </w:p>
    <w:p w14:paraId="6BC2E971" w14:textId="6D320AC2" w:rsidR="00CF3EB4" w:rsidRPr="00B738B7" w:rsidRDefault="00B86763" w:rsidP="00595005">
      <w:pPr>
        <w:pStyle w:val="Heading3"/>
      </w:pPr>
      <w:bookmarkStart w:id="15" w:name="_Toc468981895"/>
      <w:bookmarkStart w:id="16" w:name="_Toc469481256"/>
      <w:bookmarkStart w:id="17" w:name="_Toc469519476"/>
      <w:bookmarkStart w:id="18" w:name="_Ref319425499"/>
      <w:bookmarkStart w:id="19" w:name="_Toc469519477"/>
      <w:bookmarkEnd w:id="15"/>
      <w:bookmarkEnd w:id="16"/>
      <w:bookmarkEnd w:id="17"/>
      <w:r w:rsidRPr="00B738B7">
        <w:t>Approved pass through</w:t>
      </w:r>
      <w:bookmarkEnd w:id="18"/>
      <w:bookmarkEnd w:id="19"/>
    </w:p>
    <w:p w14:paraId="2F827409" w14:textId="01EA8C14" w:rsidR="00B86763" w:rsidRPr="00900D3D" w:rsidRDefault="007A7018" w:rsidP="00900D3D">
      <w:pPr>
        <w:autoSpaceDE w:val="0"/>
        <w:autoSpaceDN w:val="0"/>
        <w:adjustRightInd w:val="0"/>
        <w:spacing w:afterLines="60" w:after="144"/>
        <w:rPr>
          <w:rFonts w:cs="Arial"/>
        </w:rPr>
      </w:pPr>
      <w:r>
        <w:rPr>
          <w:rFonts w:cs="Arial"/>
        </w:rPr>
        <w:t>The approved pass through amount is calculated as:</w:t>
      </w:r>
    </w:p>
    <w:p w14:paraId="3AAA4AF9" w14:textId="76BD0965" w:rsidR="00B86763" w:rsidRPr="00B86763" w:rsidRDefault="00B25670" w:rsidP="00711D19">
      <w:pPr>
        <w:overflowPunct w:val="0"/>
        <w:autoSpaceDE w:val="0"/>
        <w:autoSpaceDN w:val="0"/>
        <w:adjustRightInd w:val="0"/>
        <w:spacing w:afterLines="60" w:after="144"/>
        <w:ind w:left="709" w:hanging="709"/>
        <w:jc w:val="center"/>
        <w:textAlignment w:val="baseline"/>
        <w:rPr>
          <w:rFonts w:ascii="Times New Roman" w:hAnsi="Times New Roman" w:cs="Arial"/>
        </w:rPr>
      </w:pPr>
      <w:r w:rsidRPr="00B86763">
        <w:rPr>
          <w:rFonts w:ascii="Times New Roman" w:eastAsia="Calibri" w:hAnsi="Times New Roman" w:cs="Arial"/>
          <w:position w:val="-12"/>
        </w:rPr>
        <w:object w:dxaOrig="4120" w:dyaOrig="380" w14:anchorId="50ED5B97">
          <v:shape id="_x0000_i1043" type="#_x0000_t75" style="width:321pt;height:30.6pt" o:ole="">
            <v:imagedata r:id="rId54" o:title=""/>
          </v:shape>
          <o:OLEObject Type="Embed" ProgID="Equation.3" ShapeID="_x0000_i1043" DrawAspect="Content" ObjectID="_1543320143" r:id="rId55"/>
        </w:object>
      </w:r>
    </w:p>
    <w:p w14:paraId="320AF3CC" w14:textId="77777777" w:rsidR="00B86763" w:rsidRDefault="00B86763" w:rsidP="00900D3D">
      <w:pPr>
        <w:autoSpaceDE w:val="0"/>
        <w:autoSpaceDN w:val="0"/>
        <w:adjustRightInd w:val="0"/>
        <w:spacing w:afterLines="60" w:after="144"/>
        <w:ind w:left="1429" w:hanging="720"/>
        <w:rPr>
          <w:rFonts w:eastAsia="Calibri"/>
          <w:position w:val="-12"/>
        </w:rPr>
      </w:pPr>
      <w:r>
        <w:rPr>
          <w:rFonts w:eastAsia="Calibri"/>
          <w:position w:val="-12"/>
        </w:rPr>
        <w:t>where:</w:t>
      </w:r>
    </w:p>
    <w:p w14:paraId="69379B92" w14:textId="77777777" w:rsidR="00B86763" w:rsidRPr="00B86763" w:rsidRDefault="00B86763" w:rsidP="00F50F12">
      <w:pPr>
        <w:autoSpaceDE w:val="0"/>
        <w:autoSpaceDN w:val="0"/>
        <w:adjustRightInd w:val="0"/>
        <w:spacing w:afterLines="60" w:after="144"/>
        <w:ind w:left="2250" w:hanging="1541"/>
        <w:rPr>
          <w:rFonts w:cs="Arial"/>
        </w:rPr>
      </w:pPr>
      <w:r w:rsidRPr="00B86763">
        <w:rPr>
          <w:rFonts w:eastAsia="Calibri"/>
          <w:position w:val="-12"/>
        </w:rPr>
        <w:object w:dxaOrig="499" w:dyaOrig="360" w14:anchorId="3CDF99CE">
          <v:shape id="_x0000_i1044" type="#_x0000_t75" style="width:25.2pt;height:18pt" o:ole="">
            <v:imagedata r:id="rId56" o:title=""/>
          </v:shape>
          <o:OLEObject Type="Embed" ProgID="Equation.3" ShapeID="_x0000_i1044" DrawAspect="Content" ObjectID="_1543320144" r:id="rId57"/>
        </w:object>
      </w:r>
      <w:r w:rsidRPr="00B86763">
        <w:rPr>
          <w:rFonts w:cs="Arial"/>
        </w:rPr>
        <w:tab/>
        <w:t xml:space="preserve"> </w:t>
      </w:r>
      <w:proofErr w:type="gramStart"/>
      <w:r w:rsidRPr="00B86763">
        <w:rPr>
          <w:rFonts w:cs="Arial"/>
        </w:rPr>
        <w:t>is</w:t>
      </w:r>
      <w:proofErr w:type="gramEnd"/>
      <w:r w:rsidRPr="00B86763">
        <w:rPr>
          <w:rFonts w:cs="Arial"/>
        </w:rPr>
        <w:t xml:space="preserve"> the amount of any </w:t>
      </w:r>
      <w:r w:rsidRPr="00F50F12">
        <w:t>approved</w:t>
      </w:r>
      <w:r w:rsidRPr="00B86763">
        <w:rPr>
          <w:rFonts w:cs="Arial"/>
        </w:rPr>
        <w:t xml:space="preserve"> Pass</w:t>
      </w:r>
      <w:r>
        <w:rPr>
          <w:rFonts w:cs="Arial"/>
        </w:rPr>
        <w:t xml:space="preserve"> T</w:t>
      </w:r>
      <w:r w:rsidRPr="00B86763">
        <w:rPr>
          <w:rFonts w:cs="Arial"/>
        </w:rPr>
        <w:t xml:space="preserve">hrough for the Calendar Year </w:t>
      </w:r>
      <w:proofErr w:type="spellStart"/>
      <w:r w:rsidRPr="00B86763">
        <w:rPr>
          <w:rFonts w:cs="Arial"/>
          <w:i/>
          <w:iCs/>
        </w:rPr>
        <w:t>t</w:t>
      </w:r>
      <w:proofErr w:type="spellEnd"/>
      <w:r w:rsidRPr="00B86763">
        <w:rPr>
          <w:rFonts w:cs="Arial"/>
          <w:i/>
          <w:iCs/>
        </w:rPr>
        <w:t xml:space="preserve"> </w:t>
      </w:r>
      <w:r w:rsidRPr="00B86763">
        <w:rPr>
          <w:rFonts w:cs="Arial"/>
        </w:rPr>
        <w:t>-1</w:t>
      </w:r>
      <w:r>
        <w:rPr>
          <w:rFonts w:cs="Arial"/>
        </w:rPr>
        <w:t>; and</w:t>
      </w:r>
    </w:p>
    <w:p w14:paraId="15580E4D" w14:textId="2A324107" w:rsidR="00B86763" w:rsidRPr="00B86763" w:rsidRDefault="00B25670" w:rsidP="00F50F12">
      <w:pPr>
        <w:autoSpaceDE w:val="0"/>
        <w:autoSpaceDN w:val="0"/>
        <w:adjustRightInd w:val="0"/>
        <w:spacing w:afterLines="60" w:after="144"/>
        <w:ind w:left="2250" w:hanging="1541"/>
      </w:pPr>
      <w:r w:rsidRPr="00F50F12">
        <w:rPr>
          <w:rFonts w:eastAsia="Calibri" w:cs="Arial"/>
          <w:position w:val="-12"/>
        </w:rPr>
        <w:object w:dxaOrig="1180" w:dyaOrig="360" w14:anchorId="691C4787">
          <v:shape id="_x0000_i1045" type="#_x0000_t75" style="width:59.4pt;height:18pt" o:ole="">
            <v:imagedata r:id="rId58" o:title=""/>
          </v:shape>
          <o:OLEObject Type="Embed" ProgID="Equation.3" ShapeID="_x0000_i1045" DrawAspect="Content" ObjectID="_1543320145" r:id="rId59"/>
        </w:object>
      </w:r>
      <w:r w:rsidR="00F50F12">
        <w:tab/>
      </w:r>
      <w:proofErr w:type="gramStart"/>
      <w:r w:rsidR="00B86763" w:rsidRPr="00B86763">
        <w:t>is</w:t>
      </w:r>
      <w:proofErr w:type="gramEnd"/>
      <w:r w:rsidR="00B86763" w:rsidRPr="00B86763">
        <w:t xml:space="preserve"> </w:t>
      </w:r>
      <w:r w:rsidR="00F50F12">
        <w:t>the real vanilla weighted average cost of capital as set out in the Regulator’s final decision for the Fifth Access Arrangement Period and updated annually in the PTRM in accordance with clause 3.1.2</w:t>
      </w:r>
      <w:r w:rsidR="001626D5">
        <w:rPr>
          <w:rFonts w:cs="Arial"/>
          <w:szCs w:val="22"/>
        </w:rPr>
        <w:t xml:space="preserve">, other than </w:t>
      </w:r>
      <w:r w:rsidR="001626D5">
        <w:t>Calendar Year 2018</w:t>
      </w:r>
      <w:r w:rsidR="00F50F12">
        <w:t xml:space="preserve">. For </w:t>
      </w:r>
      <w:r w:rsidR="001626D5">
        <w:t>Calendar Year 2018</w:t>
      </w:r>
      <w:r w:rsidR="007D0390">
        <w:t>,</w:t>
      </w:r>
      <w:r w:rsidR="00F50F12">
        <w:t xml:space="preserve"> </w:t>
      </w:r>
      <w:r w:rsidR="00F50F12" w:rsidRPr="00F50F12">
        <w:rPr>
          <w:i/>
        </w:rPr>
        <w:t>realWACC</w:t>
      </w:r>
      <w:r w:rsidR="00F50F12" w:rsidRPr="00F50F12">
        <w:rPr>
          <w:i/>
          <w:vertAlign w:val="subscript"/>
        </w:rPr>
        <w:t>2018</w:t>
      </w:r>
      <w:r w:rsidR="00F50F12">
        <w:t xml:space="preserve"> is 3.92 per cent</w:t>
      </w:r>
      <w:r w:rsidR="00B86763" w:rsidRPr="00B86763">
        <w:t>.</w:t>
      </w:r>
    </w:p>
    <w:p w14:paraId="6E2966C7" w14:textId="77777777" w:rsidR="009D7ABF" w:rsidRDefault="009D7ABF" w:rsidP="00035B92">
      <w:pPr>
        <w:pStyle w:val="Heading2"/>
      </w:pPr>
      <w:bookmarkStart w:id="20" w:name="_Toc469519478"/>
      <w:r>
        <w:t>New Haulage Reference Tariffs</w:t>
      </w:r>
      <w:bookmarkEnd w:id="20"/>
    </w:p>
    <w:p w14:paraId="4558D315" w14:textId="77777777" w:rsidR="009D7ABF" w:rsidRDefault="009D7ABF" w:rsidP="008A599C">
      <w:pPr>
        <w:pStyle w:val="BodyText"/>
      </w:pPr>
      <w:r>
        <w:t>(a)</w:t>
      </w:r>
      <w:r>
        <w:tab/>
        <w:t xml:space="preserve">Where the Service Provider is proposing to introduce new Haulage Reference Tariffs and/or new Haulage Reference Tariff Components the </w:t>
      </w:r>
      <w:r>
        <w:rPr>
          <w:position w:val="-12"/>
        </w:rPr>
        <w:object w:dxaOrig="400" w:dyaOrig="380" w14:anchorId="7CF1021F">
          <v:shape id="_x0000_i1046" type="#_x0000_t75" style="width:20.4pt;height:18.6pt" o:ole="" fillcolor="window">
            <v:imagedata r:id="rId60" o:title=""/>
          </v:shape>
          <o:OLEObject Type="Embed" ProgID="Equation.3" ShapeID="_x0000_i1046" DrawAspect="Content" ObjectID="_1543320146" r:id="rId61"/>
        </w:object>
      </w:r>
      <w:r>
        <w:t xml:space="preserve"> term in clause 3.1 will be interpreted in relation to: </w:t>
      </w:r>
    </w:p>
    <w:p w14:paraId="7BA6B0F4" w14:textId="77777777" w:rsidR="009D7ABF" w:rsidRDefault="009D7ABF" w:rsidP="00900D3D">
      <w:pPr>
        <w:spacing w:afterLines="60" w:after="144"/>
        <w:ind w:left="1440" w:hanging="720"/>
      </w:pPr>
      <w:r>
        <w:t>(1)</w:t>
      </w:r>
      <w:r>
        <w:tab/>
        <w:t xml:space="preserve">the reasonable estimates of the quantities that would have been distributed, in relevant units, if the Haulage Reference Tariff Components had existed in Calendar Year </w:t>
      </w:r>
      <w:r>
        <w:rPr>
          <w:rFonts w:ascii="Times New Roman" w:hAnsi="Times New Roman"/>
          <w:i/>
          <w:iCs/>
        </w:rPr>
        <w:t>t</w:t>
      </w:r>
      <w:r>
        <w:t>-</w:t>
      </w:r>
      <w:r>
        <w:rPr>
          <w:rFonts w:ascii="Times New Roman" w:hAnsi="Times New Roman"/>
        </w:rPr>
        <w:t>2</w:t>
      </w:r>
      <w:r>
        <w:t xml:space="preserve"> as provided by the Service Provider, in accordance with clause 1.3(</w:t>
      </w:r>
      <w:r w:rsidR="0057547A">
        <w:t>i</w:t>
      </w:r>
      <w:r>
        <w:t>); and</w:t>
      </w:r>
    </w:p>
    <w:p w14:paraId="44DF8929" w14:textId="77777777" w:rsidR="009D7ABF" w:rsidRDefault="009D7ABF" w:rsidP="00900D3D">
      <w:pPr>
        <w:spacing w:afterLines="60" w:after="144"/>
        <w:ind w:left="1440" w:hanging="720"/>
      </w:pPr>
      <w:r>
        <w:t>(2)</w:t>
      </w:r>
      <w:r>
        <w:tab/>
        <w:t xml:space="preserve">the Haulage Reference Tariff Components of the parent Haulage Reference Tariff in Calendar Year </w:t>
      </w:r>
      <w:r>
        <w:rPr>
          <w:rFonts w:ascii="Times New Roman" w:hAnsi="Times New Roman"/>
          <w:i/>
          <w:iCs/>
        </w:rPr>
        <w:t>t</w:t>
      </w:r>
      <w:r>
        <w:t>-2 as provided by the Service Provider in accordance with clause 1.3(</w:t>
      </w:r>
      <w:r w:rsidR="0057547A">
        <w:t>i</w:t>
      </w:r>
      <w:r>
        <w:t>).</w:t>
      </w:r>
    </w:p>
    <w:p w14:paraId="4E9DC1EF" w14:textId="77777777" w:rsidR="009D7ABF" w:rsidRDefault="009D7ABF" w:rsidP="008A599C">
      <w:pPr>
        <w:pStyle w:val="BodyText"/>
      </w:pPr>
      <w:r>
        <w:lastRenderedPageBreak/>
        <w:t>(b)</w:t>
      </w:r>
      <w:r>
        <w:tab/>
        <w:t xml:space="preserve">Where the Service Provider has introduced new Haulage Reference Tariffs and/or new Haulage Reference Tariff Components in Calendar Year t-1, the </w:t>
      </w:r>
      <w:r>
        <w:object w:dxaOrig="420" w:dyaOrig="380" w14:anchorId="44EB57AC">
          <v:shape id="_x0000_i1047" type="#_x0000_t75" style="width:21pt;height:18.6pt" o:ole="" fillcolor="window">
            <v:imagedata r:id="rId62" o:title=""/>
          </v:shape>
          <o:OLEObject Type="Embed" ProgID="Equation.3" ShapeID="_x0000_i1047" DrawAspect="Content" ObjectID="_1543320147" r:id="rId63"/>
        </w:object>
      </w:r>
      <w:r>
        <w:t xml:space="preserve"> term in clause 3.1 will be interpreted in relation to the reasonable estimates of the Quantities that would have been distributed, in relevant units, if the Haulage Reference Tariff Components had existed in Calendar Year t-2, as provided by the Service Provider in accordance with clause 1.3(</w:t>
      </w:r>
      <w:r w:rsidR="0057547A">
        <w:t>i</w:t>
      </w:r>
      <w:r>
        <w:t>).</w:t>
      </w:r>
    </w:p>
    <w:p w14:paraId="1525D813" w14:textId="0C51CE92" w:rsidR="009D7ABF" w:rsidRDefault="009D7ABF" w:rsidP="00035B92">
      <w:pPr>
        <w:pStyle w:val="Heading2"/>
      </w:pPr>
      <w:bookmarkStart w:id="21" w:name="_Toc469519479"/>
      <w:r>
        <w:t>Withdrawal of Haulage Reference Tariffs</w:t>
      </w:r>
      <w:bookmarkEnd w:id="21"/>
    </w:p>
    <w:p w14:paraId="67DF1A1B" w14:textId="77777777" w:rsidR="009D7ABF" w:rsidRDefault="009D7ABF" w:rsidP="008A599C">
      <w:pPr>
        <w:pStyle w:val="BodyText"/>
      </w:pPr>
      <w:r>
        <w:t>(a)</w:t>
      </w:r>
      <w:r>
        <w:tab/>
        <w:t xml:space="preserve">Where the Service Provider is proposing to withdraw a Haulage Reference Tariff and to reassign only one other Haulage Reference Tariff to the Distribution Supply Point to which the Haulage Reference Tariff to be withdrawn applied, the </w:t>
      </w:r>
      <w:r>
        <w:rPr>
          <w:snapToGrid w:val="0"/>
          <w:position w:val="-12"/>
        </w:rPr>
        <w:object w:dxaOrig="340" w:dyaOrig="380" w14:anchorId="138F376E">
          <v:shape id="_x0000_i1048" type="#_x0000_t75" style="width:17.4pt;height:18.6pt" o:ole="" fillcolor="window">
            <v:imagedata r:id="rId64" o:title=""/>
          </v:shape>
          <o:OLEObject Type="Embed" ProgID="Equation.3" ShapeID="_x0000_i1048" DrawAspect="Content" ObjectID="_1543320148" r:id="rId65"/>
        </w:object>
      </w:r>
      <w:r>
        <w:t xml:space="preserve"> term in clause 3.1 for the Haulage Reference Tariff that is proposed to be withdrawn will be interpreted in relation to the Haulage Reference Tariff Components of the Haulage Reference Tariff which will be reassigned to that Distribution Supply Point in Calendar Year </w:t>
      </w:r>
      <w:r>
        <w:rPr>
          <w:rFonts w:ascii="Times New Roman" w:hAnsi="Times New Roman"/>
          <w:i/>
          <w:iCs/>
        </w:rPr>
        <w:t>t</w:t>
      </w:r>
      <w:r>
        <w:t xml:space="preserve">, in accordance with information submitted under clause 1.4. </w:t>
      </w:r>
    </w:p>
    <w:p w14:paraId="74F96967" w14:textId="77777777" w:rsidR="009D7ABF" w:rsidRDefault="009D7ABF" w:rsidP="008A599C">
      <w:pPr>
        <w:pStyle w:val="BodyText"/>
      </w:pPr>
      <w:r>
        <w:t>(b)</w:t>
      </w:r>
      <w:r>
        <w:tab/>
        <w:t>Where the Service Provider is proposing to withdraw a Haulage Reference Tariff and to reassign more than one other Haulage Reference Tariff to the Distribution Supply Point to which the Haulage Reference Tariff to be withdrawn applied:</w:t>
      </w:r>
    </w:p>
    <w:p w14:paraId="1F4D8E54" w14:textId="77777777" w:rsidR="009D7ABF" w:rsidRDefault="009D7ABF" w:rsidP="00900D3D">
      <w:pPr>
        <w:spacing w:afterLines="60" w:after="144"/>
        <w:ind w:left="1440" w:hanging="720"/>
      </w:pPr>
      <w:r>
        <w:t>(1)</w:t>
      </w:r>
      <w:r>
        <w:tab/>
        <w:t xml:space="preserve">the </w:t>
      </w:r>
      <w:r>
        <w:rPr>
          <w:snapToGrid w:val="0"/>
          <w:position w:val="-12"/>
        </w:rPr>
        <w:object w:dxaOrig="340" w:dyaOrig="380" w14:anchorId="784E378C">
          <v:shape id="_x0000_i1049" type="#_x0000_t75" style="width:17.4pt;height:18.6pt" o:ole="" fillcolor="window">
            <v:imagedata r:id="rId66" o:title=""/>
          </v:shape>
          <o:OLEObject Type="Embed" ProgID="Equation.3" ShapeID="_x0000_i1049" DrawAspect="Content" ObjectID="_1543320149" r:id="rId67"/>
        </w:object>
      </w:r>
      <w:r>
        <w:t xml:space="preserve"> term in clause 3.1 for the Haulage Reference Tariff that is proposed to be withdrawn will be interpreted separately in relation to the Haulage Reference Tariff Components of each of the Haulage Reference Tariffs which will be reassigned to those Distribution Supply Points in Calendar Year </w:t>
      </w:r>
      <w:r>
        <w:rPr>
          <w:rFonts w:ascii="Times New Roman" w:hAnsi="Times New Roman"/>
          <w:i/>
          <w:iCs/>
        </w:rPr>
        <w:t>t</w:t>
      </w:r>
      <w:r>
        <w:t>, in accordance with information submitted under clause 1.4; and</w:t>
      </w:r>
    </w:p>
    <w:p w14:paraId="7D59F45E" w14:textId="77777777" w:rsidR="009D7ABF" w:rsidRDefault="009D7ABF" w:rsidP="00900D3D">
      <w:pPr>
        <w:spacing w:afterLines="60" w:after="144"/>
        <w:ind w:left="1440" w:hanging="720"/>
      </w:pPr>
      <w:r>
        <w:t>(2)</w:t>
      </w:r>
      <w:r>
        <w:tab/>
        <w:t xml:space="preserve">the </w:t>
      </w:r>
      <w:r>
        <w:rPr>
          <w:snapToGrid w:val="0"/>
          <w:position w:val="-12"/>
        </w:rPr>
        <w:object w:dxaOrig="420" w:dyaOrig="380" w14:anchorId="6BB5E5BA">
          <v:shape id="_x0000_i1050" type="#_x0000_t75" style="width:21pt;height:18.6pt" o:ole="" fillcolor="window">
            <v:imagedata r:id="rId68" o:title=""/>
          </v:shape>
          <o:OLEObject Type="Embed" ProgID="Equation.3" ShapeID="_x0000_i1050" DrawAspect="Content" ObjectID="_1543320150" r:id="rId69"/>
        </w:object>
      </w:r>
      <w:r>
        <w:t xml:space="preserve"> term in clause 3.1 for the Haulage Reference Tariff that is proposed to be withdrawn in Calendar Year </w:t>
      </w:r>
      <w:r>
        <w:rPr>
          <w:rFonts w:ascii="Times New Roman" w:hAnsi="Times New Roman"/>
          <w:i/>
          <w:iCs/>
        </w:rPr>
        <w:t>t</w:t>
      </w:r>
      <w:r>
        <w:t xml:space="preserve"> will be the actual Quantities, in relevant units, of each Haulage Reference Tariff Component that were distributed under the parent Haulage Reference Tariff at those Distribution Supply Points to which the same Haulage Reference Tariff has been assigned in Calendar Year </w:t>
      </w:r>
      <w:r>
        <w:rPr>
          <w:rFonts w:ascii="Times New Roman" w:hAnsi="Times New Roman"/>
          <w:i/>
          <w:iCs/>
        </w:rPr>
        <w:t>t</w:t>
      </w:r>
      <w:r>
        <w:t xml:space="preserve">, in accordance with information submitted under clause 1.4; and </w:t>
      </w:r>
    </w:p>
    <w:p w14:paraId="7F00C1C4" w14:textId="77777777" w:rsidR="009D7ABF" w:rsidRDefault="009D7ABF" w:rsidP="00F57D9B">
      <w:pPr>
        <w:pStyle w:val="BodyText"/>
        <w:ind w:left="1440"/>
      </w:pPr>
      <w:r>
        <w:t>(3)</w:t>
      </w:r>
      <w:r>
        <w:tab/>
        <w:t xml:space="preserve">the </w:t>
      </w:r>
      <w:r>
        <w:rPr>
          <w:snapToGrid w:val="0"/>
          <w:position w:val="-12"/>
        </w:rPr>
        <w:object w:dxaOrig="420" w:dyaOrig="380" w14:anchorId="3C3AF1C1">
          <v:shape id="_x0000_i1051" type="#_x0000_t75" style="width:21pt;height:18.6pt" o:ole="" fillcolor="window">
            <v:imagedata r:id="rId70" o:title=""/>
          </v:shape>
          <o:OLEObject Type="Embed" ProgID="Equation.3" ShapeID="_x0000_i1051" DrawAspect="Content" ObjectID="_1543320151" r:id="rId71"/>
        </w:object>
      </w:r>
      <w:r>
        <w:t xml:space="preserve"> term in clause 3.1 for the Haulage Reference Tariff that has been withdrawn in Calendar Year </w:t>
      </w:r>
      <w:r>
        <w:rPr>
          <w:rFonts w:ascii="Times New Roman" w:hAnsi="Times New Roman"/>
          <w:i/>
          <w:iCs/>
        </w:rPr>
        <w:t>t</w:t>
      </w:r>
      <w:r>
        <w:t>-</w:t>
      </w:r>
      <w:r>
        <w:rPr>
          <w:rFonts w:ascii="Times New Roman" w:hAnsi="Times New Roman"/>
        </w:rPr>
        <w:t>1</w:t>
      </w:r>
      <w:r>
        <w:t xml:space="preserve">, will be the actual quantities, in relevant units, of each Haulage Reference Tariff Component that were distributed under the parent Haulage Reference Tariff at those Distribution Supply Points to which the same Haulage Reference Tariff has been assigned in Calendar Year </w:t>
      </w:r>
      <w:r>
        <w:rPr>
          <w:rFonts w:ascii="Times New Roman" w:hAnsi="Times New Roman"/>
          <w:i/>
          <w:iCs/>
        </w:rPr>
        <w:t>t</w:t>
      </w:r>
      <w:r>
        <w:t xml:space="preserve">-1, in accordance with information submitted under clause 1.4. </w:t>
      </w:r>
    </w:p>
    <w:p w14:paraId="5B1673B6" w14:textId="56941008" w:rsidR="009D7ABF" w:rsidRDefault="009D7ABF" w:rsidP="00035B92">
      <w:pPr>
        <w:pStyle w:val="Heading2"/>
      </w:pPr>
      <w:bookmarkStart w:id="22" w:name="_Toc469519480"/>
      <w:r>
        <w:t>Haulage Reference Tariff information</w:t>
      </w:r>
      <w:bookmarkEnd w:id="22"/>
    </w:p>
    <w:p w14:paraId="07620289" w14:textId="77777777" w:rsidR="009D7ABF" w:rsidRDefault="009D7ABF" w:rsidP="00900D3D">
      <w:r>
        <w:t>Where the Service Provider submits information in accordance with clause 1.3(k) that switching rates of Users moving from a given parent Haulage Reference Tariff to a proposed new Haulage Reference Tariff will continue to be above zero from Calendar Year to Calendar Year, application of the Tariff Control Formula in clause 3.1 will distinguish between:</w:t>
      </w:r>
    </w:p>
    <w:p w14:paraId="5607E715" w14:textId="77777777" w:rsidR="009D7ABF" w:rsidRDefault="009D7ABF" w:rsidP="00900D3D">
      <w:pPr>
        <w:ind w:left="720" w:hanging="720"/>
      </w:pPr>
      <w:r>
        <w:t>(a)</w:t>
      </w:r>
      <w:r>
        <w:tab/>
        <w:t xml:space="preserve">Distribution Supply Points to which the new Haulage Reference Tariff has already been assigned, in which case </w:t>
      </w:r>
      <w:r>
        <w:rPr>
          <w:snapToGrid w:val="0"/>
          <w:position w:val="-12"/>
        </w:rPr>
        <w:object w:dxaOrig="400" w:dyaOrig="380" w14:anchorId="3C594338">
          <v:shape id="_x0000_i1052" type="#_x0000_t75" style="width:20.4pt;height:18.6pt" o:ole="" fillcolor="window">
            <v:imagedata r:id="rId72" o:title=""/>
          </v:shape>
          <o:OLEObject Type="Embed" ProgID="Equation.3" ShapeID="_x0000_i1052" DrawAspect="Content" ObjectID="_1543320152" r:id="rId73"/>
        </w:object>
      </w:r>
      <w:r>
        <w:t xml:space="preserve"> will be based </w:t>
      </w:r>
      <w:r w:rsidRPr="00D264ED">
        <w:t>on</w:t>
      </w:r>
      <w:r>
        <w:t xml:space="preserve"> the actual Quantities distributed, in relevant units, at those Distribution Supply Points to which the new Haulage Reference Tariff has already been assigned and </w:t>
      </w:r>
      <w:r>
        <w:rPr>
          <w:snapToGrid w:val="0"/>
          <w:position w:val="-12"/>
        </w:rPr>
        <w:object w:dxaOrig="320" w:dyaOrig="380" w14:anchorId="47748779">
          <v:shape id="_x0000_i1053" type="#_x0000_t75" style="width:15.6pt;height:18.6pt" o:ole="" fillcolor="window">
            <v:imagedata r:id="rId74" o:title=""/>
          </v:shape>
          <o:OLEObject Type="Embed" ProgID="Equation.3" ShapeID="_x0000_i1053" DrawAspect="Content" ObjectID="_1543320153" r:id="rId75"/>
        </w:object>
      </w:r>
      <w:r>
        <w:t xml:space="preserve"> is the new Haulage Reference Tariff; and</w:t>
      </w:r>
    </w:p>
    <w:p w14:paraId="0838FC01" w14:textId="77777777" w:rsidR="009D7ABF" w:rsidRDefault="009D7ABF" w:rsidP="00900D3D">
      <w:pPr>
        <w:ind w:left="720" w:hanging="720"/>
      </w:pPr>
      <w:r>
        <w:t>(b)</w:t>
      </w:r>
      <w:r>
        <w:tab/>
        <w:t xml:space="preserve">Distribution Supply Points to which the new Haulage Reference Tariff is expected to be assigned during Calendar Year </w:t>
      </w:r>
      <w:r>
        <w:rPr>
          <w:rFonts w:ascii="Times New Roman" w:hAnsi="Times New Roman"/>
          <w:i/>
          <w:iCs/>
        </w:rPr>
        <w:t>t</w:t>
      </w:r>
      <w:r>
        <w:t xml:space="preserve">, in which case </w:t>
      </w:r>
      <w:r>
        <w:rPr>
          <w:snapToGrid w:val="0"/>
          <w:position w:val="-12"/>
        </w:rPr>
        <w:object w:dxaOrig="420" w:dyaOrig="380" w14:anchorId="5C7DF569">
          <v:shape id="_x0000_i1054" type="#_x0000_t75" style="width:21pt;height:18.6pt" o:ole="" fillcolor="window">
            <v:imagedata r:id="rId76" o:title=""/>
          </v:shape>
          <o:OLEObject Type="Embed" ProgID="Equation.3" ShapeID="_x0000_i1054" DrawAspect="Content" ObjectID="_1543320154" r:id="rId77"/>
        </w:object>
      </w:r>
      <w:r>
        <w:t xml:space="preserve"> will be based on the </w:t>
      </w:r>
      <w:r w:rsidRPr="00D264ED">
        <w:t>reasonable</w:t>
      </w:r>
      <w:r>
        <w:t xml:space="preserve"> estimates of the Quantities which would have been distributed at those Distribution Supply Points, as submitted by the Service Provider in accordance with clause 1.3(</w:t>
      </w:r>
      <w:proofErr w:type="spellStart"/>
      <w:r>
        <w:t>i</w:t>
      </w:r>
      <w:proofErr w:type="spellEnd"/>
      <w:r>
        <w:t xml:space="preserve">), and </w:t>
      </w:r>
      <w:r>
        <w:rPr>
          <w:snapToGrid w:val="0"/>
          <w:position w:val="-12"/>
        </w:rPr>
        <w:object w:dxaOrig="320" w:dyaOrig="380" w14:anchorId="673CAFC8">
          <v:shape id="_x0000_i1055" type="#_x0000_t75" style="width:15.6pt;height:18.6pt" o:ole="" fillcolor="window">
            <v:imagedata r:id="rId78" o:title=""/>
          </v:shape>
          <o:OLEObject Type="Embed" ProgID="Equation.3" ShapeID="_x0000_i1055" DrawAspect="Content" ObjectID="_1543320155" r:id="rId79"/>
        </w:object>
      </w:r>
      <w:r>
        <w:t xml:space="preserve"> is the new Haulage Reference Tariff. </w:t>
      </w:r>
    </w:p>
    <w:p w14:paraId="0D287102" w14:textId="4C763D5C" w:rsidR="009D7ABF" w:rsidRDefault="009D7ABF" w:rsidP="00035B92">
      <w:pPr>
        <w:pStyle w:val="Heading2"/>
      </w:pPr>
      <w:bookmarkStart w:id="23" w:name="_Toc469519481"/>
      <w:r>
        <w:lastRenderedPageBreak/>
        <w:t>Rebalancing Controls on Haulage Reference Tariffs</w:t>
      </w:r>
      <w:bookmarkEnd w:id="23"/>
    </w:p>
    <w:p w14:paraId="63840782" w14:textId="77777777" w:rsidR="00136556" w:rsidRPr="00996DBC" w:rsidRDefault="00136556" w:rsidP="00711D19">
      <w:pPr>
        <w:autoSpaceDE w:val="0"/>
        <w:autoSpaceDN w:val="0"/>
        <w:adjustRightInd w:val="0"/>
        <w:spacing w:afterLines="60" w:after="144"/>
        <w:rPr>
          <w:rFonts w:cs="Arial"/>
          <w:color w:val="000000"/>
          <w:szCs w:val="22"/>
        </w:rPr>
      </w:pPr>
      <w:r w:rsidRPr="00996DBC">
        <w:rPr>
          <w:rFonts w:cs="Arial"/>
          <w:color w:val="000000"/>
          <w:szCs w:val="22"/>
        </w:rPr>
        <w:t>(a)</w:t>
      </w:r>
      <w:r w:rsidR="004E0DAA">
        <w:rPr>
          <w:rFonts w:cs="Arial"/>
          <w:color w:val="000000"/>
          <w:szCs w:val="22"/>
        </w:rPr>
        <w:tab/>
      </w:r>
      <w:r w:rsidRPr="00996DBC">
        <w:rPr>
          <w:rFonts w:cs="Arial"/>
          <w:color w:val="000000"/>
          <w:szCs w:val="22"/>
        </w:rPr>
        <w:t>The Service Provider will maintain Haulage Reference Tariffs between:</w:t>
      </w:r>
    </w:p>
    <w:p w14:paraId="5B20DF64" w14:textId="77777777" w:rsidR="00136556" w:rsidRPr="00711D19" w:rsidRDefault="00136556" w:rsidP="00711D19">
      <w:pPr>
        <w:spacing w:afterLines="60" w:after="144"/>
        <w:ind w:left="1440" w:hanging="720"/>
      </w:pPr>
      <w:r w:rsidRPr="00996DBC">
        <w:rPr>
          <w:rFonts w:cs="Arial"/>
          <w:color w:val="000000"/>
          <w:szCs w:val="22"/>
        </w:rPr>
        <w:t>(1)</w:t>
      </w:r>
      <w:r w:rsidR="004E0DAA">
        <w:rPr>
          <w:rFonts w:cs="Arial"/>
          <w:color w:val="000000"/>
          <w:szCs w:val="22"/>
        </w:rPr>
        <w:tab/>
      </w:r>
      <w:r w:rsidRPr="00996DBC">
        <w:rPr>
          <w:rFonts w:cs="Arial"/>
          <w:color w:val="000000"/>
          <w:szCs w:val="22"/>
        </w:rPr>
        <w:t xml:space="preserve">an upper </w:t>
      </w:r>
      <w:r w:rsidRPr="00711D19">
        <w:t>limit of the cost to bypass the network; and</w:t>
      </w:r>
    </w:p>
    <w:p w14:paraId="1726DF04" w14:textId="77777777" w:rsidR="00136556" w:rsidRPr="00996DBC" w:rsidRDefault="00136556" w:rsidP="00711D19">
      <w:pPr>
        <w:spacing w:afterLines="60" w:after="144"/>
        <w:ind w:left="1440" w:hanging="720"/>
        <w:rPr>
          <w:rFonts w:cs="Arial"/>
          <w:color w:val="000000"/>
          <w:szCs w:val="22"/>
        </w:rPr>
      </w:pPr>
      <w:r w:rsidRPr="00711D19">
        <w:t>(2)</w:t>
      </w:r>
      <w:r w:rsidR="004E0DAA" w:rsidRPr="00711D19">
        <w:tab/>
      </w:r>
      <w:r w:rsidRPr="00711D19">
        <w:t>a lower limit</w:t>
      </w:r>
      <w:r w:rsidRPr="00996DBC">
        <w:rPr>
          <w:rFonts w:cs="Arial"/>
          <w:color w:val="000000"/>
          <w:szCs w:val="22"/>
        </w:rPr>
        <w:t xml:space="preserve"> of the marginal cost of supply.</w:t>
      </w:r>
    </w:p>
    <w:p w14:paraId="49464E35" w14:textId="259A2268" w:rsidR="009D7ABF" w:rsidRDefault="00136556" w:rsidP="00711D19">
      <w:pPr>
        <w:autoSpaceDE w:val="0"/>
        <w:autoSpaceDN w:val="0"/>
        <w:adjustRightInd w:val="0"/>
        <w:spacing w:afterLines="60" w:after="144"/>
        <w:ind w:left="720" w:hanging="720"/>
        <w:rPr>
          <w:rFonts w:cs="Arial"/>
          <w:color w:val="000000"/>
          <w:szCs w:val="22"/>
        </w:rPr>
      </w:pPr>
      <w:r w:rsidRPr="00996DBC">
        <w:rPr>
          <w:rFonts w:cs="Arial"/>
          <w:color w:val="000000"/>
          <w:szCs w:val="22"/>
        </w:rPr>
        <w:t>(b)</w:t>
      </w:r>
      <w:r w:rsidR="004E0DAA">
        <w:rPr>
          <w:rFonts w:cs="Arial"/>
          <w:color w:val="000000"/>
          <w:szCs w:val="22"/>
        </w:rPr>
        <w:tab/>
      </w:r>
      <w:r w:rsidRPr="00996DBC">
        <w:rPr>
          <w:rFonts w:cs="Arial"/>
          <w:color w:val="000000"/>
          <w:szCs w:val="22"/>
        </w:rPr>
        <w:t xml:space="preserve">In undertaking any rebalancing, the Service Provider will ensure that the proposed Haulage Reference </w:t>
      </w:r>
      <w:r w:rsidR="007C4842">
        <w:rPr>
          <w:rFonts w:cs="Arial"/>
          <w:color w:val="000000"/>
          <w:szCs w:val="22"/>
        </w:rPr>
        <w:t>Tariff</w:t>
      </w:r>
      <w:r w:rsidRPr="00996DBC">
        <w:rPr>
          <w:rFonts w:cs="Arial"/>
          <w:color w:val="000000"/>
          <w:szCs w:val="22"/>
        </w:rPr>
        <w:t>s comply with the relevant Rebalancing Control Formula as set out in this clause 3.5</w:t>
      </w:r>
      <w:r w:rsidR="005863E8">
        <w:rPr>
          <w:rFonts w:cs="Arial"/>
          <w:color w:val="000000"/>
          <w:szCs w:val="22"/>
        </w:rPr>
        <w:t>.</w:t>
      </w:r>
    </w:p>
    <w:p w14:paraId="704D8695" w14:textId="2972EA04" w:rsidR="00136556" w:rsidRPr="00B738B7" w:rsidRDefault="00136556" w:rsidP="00595005">
      <w:pPr>
        <w:pStyle w:val="Heading3"/>
      </w:pPr>
      <w:bookmarkStart w:id="24" w:name="_Toc468981901"/>
      <w:bookmarkStart w:id="25" w:name="_Toc469481262"/>
      <w:bookmarkStart w:id="26" w:name="_Toc469519482"/>
      <w:bookmarkStart w:id="27" w:name="_Toc469519483"/>
      <w:bookmarkEnd w:id="24"/>
      <w:bookmarkEnd w:id="25"/>
      <w:bookmarkEnd w:id="26"/>
      <w:r w:rsidRPr="00B738B7">
        <w:t>Rebalancing Control Formula</w:t>
      </w:r>
      <w:bookmarkEnd w:id="27"/>
    </w:p>
    <w:p w14:paraId="6930F883" w14:textId="31E30003" w:rsidR="00DC1773" w:rsidRDefault="00792C41" w:rsidP="00711D19">
      <w:pPr>
        <w:autoSpaceDE w:val="0"/>
        <w:autoSpaceDN w:val="0"/>
        <w:adjustRightInd w:val="0"/>
        <w:spacing w:afterLines="60" w:after="144"/>
        <w:rPr>
          <w:rFonts w:cs="Arial"/>
          <w:bCs/>
          <w:color w:val="000000"/>
          <w:szCs w:val="22"/>
        </w:rPr>
      </w:pPr>
      <w:r>
        <w:rPr>
          <w:rFonts w:cs="Arial"/>
          <w:bCs/>
          <w:color w:val="000000"/>
          <w:szCs w:val="22"/>
        </w:rPr>
        <w:t>The Rebalancing Control Formula is:</w:t>
      </w:r>
    </w:p>
    <w:p w14:paraId="16BAB97F" w14:textId="77777777" w:rsidR="00136556" w:rsidRPr="00996DBC" w:rsidRDefault="00136556" w:rsidP="00711D19">
      <w:pPr>
        <w:autoSpaceDE w:val="0"/>
        <w:autoSpaceDN w:val="0"/>
        <w:adjustRightInd w:val="0"/>
        <w:spacing w:afterLines="60" w:after="144"/>
        <w:rPr>
          <w:rFonts w:cs="Arial"/>
          <w:iCs/>
          <w:color w:val="000000"/>
        </w:rPr>
      </w:pPr>
    </w:p>
    <w:p w14:paraId="146AF2F0" w14:textId="77777777" w:rsidR="00136556" w:rsidRPr="00996DBC" w:rsidRDefault="00136556" w:rsidP="00711D19">
      <w:pPr>
        <w:autoSpaceDE w:val="0"/>
        <w:autoSpaceDN w:val="0"/>
        <w:adjustRightInd w:val="0"/>
        <w:spacing w:afterLines="60" w:after="144"/>
        <w:rPr>
          <w:rFonts w:cs="Arial"/>
          <w:iCs/>
          <w:color w:val="000000"/>
        </w:rPr>
      </w:pPr>
      <w:r w:rsidRPr="00996DBC">
        <w:rPr>
          <w:rFonts w:cs="Arial"/>
          <w:color w:val="000000"/>
          <w:position w:val="-62"/>
        </w:rPr>
        <w:object w:dxaOrig="6259" w:dyaOrig="1359" w14:anchorId="1E30886A">
          <v:shape id="_x0000_i1056" type="#_x0000_t75" style="width:465pt;height:90.6pt" o:ole="">
            <v:imagedata r:id="rId80" o:title=""/>
          </v:shape>
          <o:OLEObject Type="Embed" ProgID="Equation.3" ShapeID="_x0000_i1056" DrawAspect="Content" ObjectID="_1543320156" r:id="rId81"/>
        </w:object>
      </w:r>
    </w:p>
    <w:p w14:paraId="65F6A4B2" w14:textId="77777777" w:rsidR="00136556" w:rsidRPr="00996DBC" w:rsidRDefault="00136556" w:rsidP="00711D19">
      <w:pPr>
        <w:autoSpaceDE w:val="0"/>
        <w:autoSpaceDN w:val="0"/>
        <w:adjustRightInd w:val="0"/>
        <w:spacing w:afterLines="60" w:after="144"/>
        <w:rPr>
          <w:rFonts w:cs="Arial"/>
          <w:color w:val="000000"/>
          <w:szCs w:val="22"/>
        </w:rPr>
      </w:pPr>
      <w:r w:rsidRPr="00996DBC">
        <w:rPr>
          <w:rFonts w:cs="Arial"/>
          <w:color w:val="000000"/>
          <w:szCs w:val="22"/>
        </w:rPr>
        <w:t>where:</w:t>
      </w:r>
    </w:p>
    <w:p w14:paraId="421933C1" w14:textId="77777777" w:rsidR="00136556" w:rsidRPr="00996DBC" w:rsidRDefault="00136556" w:rsidP="00711D19">
      <w:pPr>
        <w:autoSpaceDE w:val="0"/>
        <w:autoSpaceDN w:val="0"/>
        <w:adjustRightInd w:val="0"/>
        <w:spacing w:afterLines="60" w:after="144"/>
        <w:ind w:left="720" w:hanging="720"/>
        <w:rPr>
          <w:rFonts w:cs="Arial"/>
          <w:color w:val="000000"/>
          <w:szCs w:val="22"/>
        </w:rPr>
      </w:pPr>
      <w:r w:rsidRPr="00996DBC">
        <w:rPr>
          <w:rFonts w:cs="Arial"/>
          <w:position w:val="-12"/>
        </w:rPr>
        <w:object w:dxaOrig="320" w:dyaOrig="380" w14:anchorId="46EE0E8B">
          <v:shape id="_x0000_i1057" type="#_x0000_t75" style="width:15.6pt;height:18.6pt" o:ole="">
            <v:imagedata r:id="rId82" o:title=""/>
          </v:shape>
          <o:OLEObject Type="Embed" ProgID="Equation.3" ShapeID="_x0000_i1057" DrawAspect="Content" ObjectID="_1543320157" r:id="rId83"/>
        </w:object>
      </w:r>
      <w:r w:rsidRPr="00996DBC">
        <w:rPr>
          <w:rFonts w:cs="Arial"/>
        </w:rPr>
        <w:tab/>
      </w:r>
      <w:proofErr w:type="gramStart"/>
      <w:r w:rsidRPr="00996DBC">
        <w:rPr>
          <w:rFonts w:cs="Arial"/>
          <w:color w:val="000000"/>
          <w:szCs w:val="22"/>
        </w:rPr>
        <w:t>is</w:t>
      </w:r>
      <w:proofErr w:type="gramEnd"/>
      <w:r w:rsidRPr="00996DBC">
        <w:rPr>
          <w:rFonts w:cs="Arial"/>
          <w:color w:val="000000"/>
          <w:szCs w:val="22"/>
        </w:rPr>
        <w:t xml:space="preserve"> the proposed Haulage Reference Tariff </w:t>
      </w:r>
      <w:r w:rsidR="002852E7">
        <w:rPr>
          <w:rFonts w:cs="Arial"/>
          <w:color w:val="000000"/>
          <w:szCs w:val="22"/>
        </w:rPr>
        <w:t>C</w:t>
      </w:r>
      <w:r w:rsidRPr="00996DBC">
        <w:rPr>
          <w:rFonts w:cs="Arial"/>
          <w:color w:val="000000"/>
          <w:szCs w:val="22"/>
        </w:rPr>
        <w:t xml:space="preserve">omponent </w:t>
      </w:r>
      <w:r w:rsidRPr="00996DBC">
        <w:rPr>
          <w:rFonts w:cs="Arial"/>
          <w:i/>
          <w:color w:val="000000"/>
          <w:szCs w:val="22"/>
        </w:rPr>
        <w:t>j</w:t>
      </w:r>
      <w:r w:rsidRPr="00996DBC">
        <w:rPr>
          <w:rFonts w:cs="Arial"/>
          <w:color w:val="000000"/>
          <w:szCs w:val="22"/>
        </w:rPr>
        <w:t xml:space="preserve"> for Haulage Reference Tariff </w:t>
      </w:r>
      <w:proofErr w:type="spellStart"/>
      <w:r w:rsidRPr="00996DBC">
        <w:rPr>
          <w:rFonts w:cs="Arial"/>
          <w:i/>
          <w:iCs/>
          <w:color w:val="000000"/>
          <w:szCs w:val="22"/>
        </w:rPr>
        <w:t>i</w:t>
      </w:r>
      <w:proofErr w:type="spellEnd"/>
      <w:r w:rsidRPr="00996DBC">
        <w:rPr>
          <w:rFonts w:cs="Arial"/>
          <w:i/>
          <w:iCs/>
          <w:color w:val="000000"/>
          <w:szCs w:val="22"/>
        </w:rPr>
        <w:t xml:space="preserve"> </w:t>
      </w:r>
      <w:r w:rsidRPr="00996DBC">
        <w:rPr>
          <w:rFonts w:cs="Arial"/>
          <w:color w:val="000000"/>
          <w:szCs w:val="22"/>
        </w:rPr>
        <w:t xml:space="preserve">in Calendar Year </w:t>
      </w:r>
      <w:r w:rsidRPr="00996DBC">
        <w:rPr>
          <w:rFonts w:cs="Arial"/>
          <w:i/>
          <w:color w:val="000000"/>
          <w:szCs w:val="22"/>
        </w:rPr>
        <w:t>t</w:t>
      </w:r>
      <w:r w:rsidRPr="00996DBC">
        <w:rPr>
          <w:rFonts w:cs="Arial"/>
          <w:color w:val="000000"/>
          <w:szCs w:val="22"/>
        </w:rPr>
        <w:t>;</w:t>
      </w:r>
    </w:p>
    <w:p w14:paraId="5BE34CF3" w14:textId="77777777" w:rsidR="00136556" w:rsidRDefault="00136556" w:rsidP="00711D19">
      <w:pPr>
        <w:autoSpaceDE w:val="0"/>
        <w:autoSpaceDN w:val="0"/>
        <w:adjustRightInd w:val="0"/>
        <w:spacing w:afterLines="60" w:after="144"/>
        <w:ind w:left="720" w:hanging="720"/>
        <w:rPr>
          <w:rFonts w:cs="Arial"/>
          <w:color w:val="000000"/>
          <w:szCs w:val="22"/>
        </w:rPr>
      </w:pPr>
      <w:r w:rsidRPr="00996DBC">
        <w:rPr>
          <w:rFonts w:cs="Arial"/>
          <w:position w:val="-12"/>
        </w:rPr>
        <w:object w:dxaOrig="420" w:dyaOrig="380" w14:anchorId="35B0C1A3">
          <v:shape id="_x0000_i1058" type="#_x0000_t75" style="width:21pt;height:18.6pt" o:ole="">
            <v:imagedata r:id="rId84" o:title=""/>
          </v:shape>
          <o:OLEObject Type="Embed" ProgID="Equation.3" ShapeID="_x0000_i1058" DrawAspect="Content" ObjectID="_1543320158" r:id="rId85"/>
        </w:object>
      </w:r>
      <w:r w:rsidRPr="00996DBC">
        <w:rPr>
          <w:rFonts w:cs="Arial"/>
        </w:rPr>
        <w:tab/>
      </w:r>
      <w:proofErr w:type="gramStart"/>
      <w:r w:rsidRPr="00996DBC">
        <w:rPr>
          <w:rFonts w:cs="Arial"/>
          <w:color w:val="000000"/>
          <w:szCs w:val="22"/>
        </w:rPr>
        <w:t>is</w:t>
      </w:r>
      <w:proofErr w:type="gramEnd"/>
      <w:r w:rsidRPr="00996DBC">
        <w:rPr>
          <w:rFonts w:cs="Arial"/>
          <w:color w:val="000000"/>
          <w:szCs w:val="22"/>
        </w:rPr>
        <w:t xml:space="preserve"> the Haulage Reference Tariff </w:t>
      </w:r>
      <w:r w:rsidR="002852E7">
        <w:rPr>
          <w:rFonts w:cs="Arial"/>
          <w:color w:val="000000"/>
          <w:szCs w:val="22"/>
        </w:rPr>
        <w:t>C</w:t>
      </w:r>
      <w:r w:rsidRPr="00996DBC">
        <w:rPr>
          <w:rFonts w:cs="Arial"/>
          <w:color w:val="000000"/>
          <w:szCs w:val="22"/>
        </w:rPr>
        <w:t xml:space="preserve">omponent </w:t>
      </w:r>
      <w:r w:rsidRPr="00996DBC">
        <w:rPr>
          <w:rFonts w:cs="Arial"/>
          <w:i/>
          <w:color w:val="000000"/>
          <w:szCs w:val="22"/>
        </w:rPr>
        <w:t>j</w:t>
      </w:r>
      <w:r w:rsidRPr="00996DBC">
        <w:rPr>
          <w:rFonts w:cs="Arial"/>
          <w:color w:val="000000"/>
          <w:szCs w:val="22"/>
        </w:rPr>
        <w:t xml:space="preserve"> being Charged for Haulage Reference Tariff </w:t>
      </w:r>
      <w:proofErr w:type="spellStart"/>
      <w:r w:rsidRPr="00996DBC">
        <w:rPr>
          <w:rFonts w:cs="Arial"/>
          <w:i/>
          <w:iCs/>
          <w:color w:val="000000"/>
          <w:szCs w:val="22"/>
        </w:rPr>
        <w:t>i</w:t>
      </w:r>
      <w:proofErr w:type="spellEnd"/>
      <w:r w:rsidRPr="00996DBC">
        <w:rPr>
          <w:rFonts w:cs="Arial"/>
          <w:i/>
          <w:iCs/>
          <w:color w:val="000000"/>
          <w:szCs w:val="22"/>
        </w:rPr>
        <w:t xml:space="preserve"> </w:t>
      </w:r>
      <w:r w:rsidRPr="00996DBC">
        <w:rPr>
          <w:rFonts w:cs="Arial"/>
          <w:color w:val="000000"/>
          <w:szCs w:val="22"/>
        </w:rPr>
        <w:t xml:space="preserve">in Calendar Year </w:t>
      </w:r>
      <w:r w:rsidRPr="00996DBC">
        <w:rPr>
          <w:rFonts w:cs="Arial"/>
          <w:i/>
          <w:color w:val="000000"/>
          <w:szCs w:val="22"/>
        </w:rPr>
        <w:t>t-1</w:t>
      </w:r>
      <w:r w:rsidRPr="00996DBC">
        <w:rPr>
          <w:rFonts w:cs="Arial"/>
          <w:color w:val="000000"/>
          <w:szCs w:val="22"/>
        </w:rPr>
        <w:t>;</w:t>
      </w:r>
    </w:p>
    <w:p w14:paraId="3A0BFE50" w14:textId="77777777" w:rsidR="0017088D" w:rsidRPr="00996DBC" w:rsidRDefault="0017088D" w:rsidP="00711D19">
      <w:pPr>
        <w:autoSpaceDE w:val="0"/>
        <w:autoSpaceDN w:val="0"/>
        <w:adjustRightInd w:val="0"/>
        <w:spacing w:afterLines="60" w:after="144"/>
        <w:ind w:left="720" w:hanging="720"/>
        <w:rPr>
          <w:rFonts w:cs="Arial"/>
          <w:color w:val="000000"/>
          <w:szCs w:val="22"/>
        </w:rPr>
      </w:pPr>
      <w:r w:rsidRPr="00996DBC">
        <w:rPr>
          <w:rFonts w:cs="Arial"/>
          <w:position w:val="-12"/>
        </w:rPr>
        <w:object w:dxaOrig="400" w:dyaOrig="380" w14:anchorId="59016D92">
          <v:shape id="_x0000_i1059" type="#_x0000_t75" style="width:20.4pt;height:18.6pt" o:ole="">
            <v:imagedata r:id="rId42" o:title=""/>
          </v:shape>
          <o:OLEObject Type="Embed" ProgID="Equation.3" ShapeID="_x0000_i1059" DrawAspect="Content" ObjectID="_1543320159" r:id="rId86"/>
        </w:object>
      </w:r>
      <w:r w:rsidRPr="00996DBC">
        <w:rPr>
          <w:rFonts w:cs="Arial"/>
        </w:rPr>
        <w:tab/>
      </w:r>
      <w:proofErr w:type="gramStart"/>
      <w:r w:rsidRPr="00996DBC">
        <w:rPr>
          <w:rFonts w:cs="Arial"/>
          <w:szCs w:val="22"/>
        </w:rPr>
        <w:t>is</w:t>
      </w:r>
      <w:proofErr w:type="gramEnd"/>
      <w:r w:rsidRPr="00996DBC">
        <w:rPr>
          <w:rFonts w:cs="Arial"/>
          <w:szCs w:val="22"/>
        </w:rPr>
        <w:t xml:space="preserve"> the Quantity of Haulage Reference Tariff Component </w:t>
      </w:r>
      <w:r w:rsidRPr="00996DBC">
        <w:rPr>
          <w:rFonts w:cs="Arial"/>
          <w:i/>
          <w:iCs/>
        </w:rPr>
        <w:t xml:space="preserve">j </w:t>
      </w:r>
      <w:r w:rsidRPr="00996DBC">
        <w:rPr>
          <w:rFonts w:cs="Arial"/>
          <w:szCs w:val="22"/>
        </w:rPr>
        <w:t xml:space="preserve">of Haulage Reference Tariff </w:t>
      </w:r>
      <w:proofErr w:type="spellStart"/>
      <w:r w:rsidRPr="00996DBC">
        <w:rPr>
          <w:rFonts w:cs="Arial"/>
          <w:i/>
          <w:iCs/>
        </w:rPr>
        <w:t>i</w:t>
      </w:r>
      <w:proofErr w:type="spellEnd"/>
      <w:r w:rsidRPr="00996DBC">
        <w:rPr>
          <w:rFonts w:cs="Arial"/>
          <w:i/>
          <w:iCs/>
        </w:rPr>
        <w:t xml:space="preserve"> </w:t>
      </w:r>
      <w:r w:rsidRPr="00996DBC">
        <w:rPr>
          <w:rFonts w:cs="Arial"/>
          <w:szCs w:val="22"/>
        </w:rPr>
        <w:t xml:space="preserve">that was sold in Calendar Year </w:t>
      </w:r>
      <w:r w:rsidRPr="00996DBC">
        <w:rPr>
          <w:rFonts w:cs="Arial"/>
          <w:i/>
          <w:iCs/>
        </w:rPr>
        <w:t xml:space="preserve">t </w:t>
      </w:r>
      <w:r w:rsidRPr="00996DBC">
        <w:rPr>
          <w:rFonts w:eastAsia="SymbolMT" w:cs="Arial"/>
        </w:rPr>
        <w:t xml:space="preserve">− </w:t>
      </w:r>
      <w:r w:rsidRPr="00996DBC">
        <w:rPr>
          <w:rFonts w:cs="Arial"/>
        </w:rPr>
        <w:t>2</w:t>
      </w:r>
      <w:r w:rsidRPr="00996DBC">
        <w:rPr>
          <w:rFonts w:cs="Arial"/>
          <w:szCs w:val="22"/>
        </w:rPr>
        <w:t>;</w:t>
      </w:r>
    </w:p>
    <w:p w14:paraId="79281C73" w14:textId="77777777" w:rsidR="00136556" w:rsidRPr="00996DBC" w:rsidRDefault="00136556" w:rsidP="00711D19">
      <w:pPr>
        <w:autoSpaceDE w:val="0"/>
        <w:autoSpaceDN w:val="0"/>
        <w:adjustRightInd w:val="0"/>
        <w:spacing w:afterLines="60" w:after="144"/>
        <w:ind w:left="720" w:hanging="720"/>
        <w:rPr>
          <w:rFonts w:cs="Arial"/>
          <w:szCs w:val="22"/>
        </w:rPr>
      </w:pPr>
      <w:r w:rsidRPr="00D04856">
        <w:rPr>
          <w:rFonts w:cs="Arial"/>
          <w:i/>
          <w:szCs w:val="22"/>
        </w:rPr>
        <w:t>CPI</w:t>
      </w:r>
      <w:r w:rsidRPr="00D04856">
        <w:rPr>
          <w:rFonts w:cs="Arial"/>
          <w:i/>
          <w:sz w:val="14"/>
          <w:szCs w:val="14"/>
        </w:rPr>
        <w:t>t</w:t>
      </w:r>
      <w:r w:rsidRPr="00996DBC">
        <w:rPr>
          <w:rFonts w:cs="Arial"/>
          <w:sz w:val="14"/>
          <w:szCs w:val="14"/>
        </w:rPr>
        <w:tab/>
      </w:r>
      <w:r w:rsidRPr="00996DBC">
        <w:rPr>
          <w:rFonts w:cs="Arial"/>
          <w:szCs w:val="22"/>
        </w:rPr>
        <w:t xml:space="preserve">is the CPI for Calendar Year </w:t>
      </w:r>
      <w:r w:rsidRPr="00996DBC">
        <w:rPr>
          <w:rFonts w:cs="Arial"/>
          <w:i/>
          <w:iCs/>
          <w:szCs w:val="22"/>
        </w:rPr>
        <w:t>t</w:t>
      </w:r>
      <w:r w:rsidRPr="00996DBC">
        <w:rPr>
          <w:rFonts w:cs="Arial"/>
          <w:szCs w:val="22"/>
        </w:rPr>
        <w:t>, as defined in the Glossary;</w:t>
      </w:r>
    </w:p>
    <w:p w14:paraId="12D85C5E" w14:textId="6F5149A8" w:rsidR="00DC1773" w:rsidRDefault="00DC1773" w:rsidP="00711D19">
      <w:pPr>
        <w:autoSpaceDE w:val="0"/>
        <w:autoSpaceDN w:val="0"/>
        <w:adjustRightInd w:val="0"/>
        <w:spacing w:afterLines="60" w:after="144"/>
        <w:ind w:left="720" w:hanging="720"/>
        <w:rPr>
          <w:rFonts w:cs="Arial"/>
        </w:rPr>
      </w:pPr>
      <w:r w:rsidRPr="00996DBC">
        <w:rPr>
          <w:rFonts w:cs="Arial"/>
          <w:i/>
          <w:iCs/>
          <w:color w:val="000000"/>
        </w:rPr>
        <w:t>X</w:t>
      </w:r>
      <w:r w:rsidRPr="00996DBC">
        <w:rPr>
          <w:rFonts w:cs="Arial"/>
          <w:i/>
          <w:iCs/>
          <w:color w:val="000000"/>
          <w:sz w:val="14"/>
          <w:szCs w:val="14"/>
        </w:rPr>
        <w:t>t</w:t>
      </w:r>
      <w:r w:rsidRPr="00996DBC">
        <w:rPr>
          <w:rFonts w:cs="Arial"/>
          <w:color w:val="000000"/>
          <w:szCs w:val="22"/>
        </w:rPr>
        <w:t xml:space="preserve"> </w:t>
      </w:r>
      <w:r w:rsidRPr="00996DBC">
        <w:rPr>
          <w:rFonts w:cs="Arial"/>
          <w:color w:val="000000"/>
          <w:szCs w:val="22"/>
        </w:rPr>
        <w:tab/>
      </w:r>
      <w:r>
        <w:rPr>
          <w:rFonts w:cs="Arial"/>
          <w:color w:val="000000"/>
          <w:szCs w:val="22"/>
        </w:rPr>
        <w:t>is</w:t>
      </w:r>
      <w:r w:rsidRPr="00996DBC">
        <w:rPr>
          <w:rFonts w:cs="Arial"/>
          <w:color w:val="000000"/>
          <w:szCs w:val="22"/>
        </w:rPr>
        <w:t xml:space="preserve"> </w:t>
      </w:r>
      <w:r w:rsidR="00B25670">
        <w:rPr>
          <w:rFonts w:cs="Arial"/>
          <w:color w:val="000000"/>
          <w:szCs w:val="22"/>
        </w:rPr>
        <w:t xml:space="preserve">the X factor </w:t>
      </w:r>
      <w:r>
        <w:rPr>
          <w:rFonts w:cs="Arial"/>
          <w:szCs w:val="22"/>
        </w:rPr>
        <w:t xml:space="preserve">for Calendar Year </w:t>
      </w:r>
      <w:r w:rsidRPr="00D04856">
        <w:rPr>
          <w:rFonts w:cs="Arial"/>
          <w:i/>
          <w:szCs w:val="22"/>
        </w:rPr>
        <w:t>t</w:t>
      </w:r>
      <w:r w:rsidR="00B25670">
        <w:rPr>
          <w:rFonts w:cs="Arial"/>
          <w:szCs w:val="22"/>
        </w:rPr>
        <w:t xml:space="preserve"> included in the PTRM for the price cap calculation and revised for the Return on Debt Update calculated in accordance with clause 3.1.2</w:t>
      </w:r>
      <w:r>
        <w:rPr>
          <w:rFonts w:cs="Arial"/>
        </w:rPr>
        <w:t>;</w:t>
      </w:r>
    </w:p>
    <w:p w14:paraId="1654C96D" w14:textId="77777777" w:rsidR="00136556" w:rsidRPr="00996DBC" w:rsidRDefault="00136556" w:rsidP="00711D19">
      <w:pPr>
        <w:autoSpaceDE w:val="0"/>
        <w:autoSpaceDN w:val="0"/>
        <w:adjustRightInd w:val="0"/>
        <w:spacing w:afterLines="60" w:after="144"/>
        <w:ind w:left="720" w:hanging="720"/>
        <w:rPr>
          <w:rFonts w:cs="Arial"/>
          <w:i/>
          <w:iCs/>
          <w:sz w:val="14"/>
          <w:szCs w:val="14"/>
        </w:rPr>
      </w:pPr>
      <w:r w:rsidRPr="00996DBC">
        <w:rPr>
          <w:rFonts w:cs="Arial"/>
          <w:position w:val="-12"/>
        </w:rPr>
        <w:object w:dxaOrig="240" w:dyaOrig="360" w14:anchorId="26D54E56">
          <v:shape id="_x0000_i1060" type="#_x0000_t75" style="width:12pt;height:18pt" o:ole="">
            <v:imagedata r:id="rId87" o:title=""/>
          </v:shape>
          <o:OLEObject Type="Embed" ProgID="Equation.3" ShapeID="_x0000_i1060" DrawAspect="Content" ObjectID="_1543320160" r:id="rId88"/>
        </w:object>
      </w:r>
      <w:r w:rsidRPr="00996DBC">
        <w:rPr>
          <w:rFonts w:cs="Arial"/>
        </w:rPr>
        <w:tab/>
      </w:r>
      <w:proofErr w:type="gramStart"/>
      <w:r w:rsidRPr="00996DBC">
        <w:rPr>
          <w:rFonts w:cs="Arial"/>
          <w:color w:val="000000"/>
          <w:szCs w:val="22"/>
        </w:rPr>
        <w:t>is</w:t>
      </w:r>
      <w:proofErr w:type="gramEnd"/>
      <w:r w:rsidRPr="00996DBC">
        <w:rPr>
          <w:rFonts w:cs="Arial"/>
          <w:color w:val="000000"/>
          <w:szCs w:val="22"/>
        </w:rPr>
        <w:t xml:space="preserve"> equal to 0.0</w:t>
      </w:r>
      <w:r w:rsidR="00387084">
        <w:rPr>
          <w:rFonts w:cs="Arial"/>
          <w:color w:val="000000"/>
          <w:szCs w:val="22"/>
        </w:rPr>
        <w:t>2</w:t>
      </w:r>
      <w:r w:rsidRPr="00996DBC">
        <w:rPr>
          <w:rFonts w:cs="Arial"/>
          <w:color w:val="000000"/>
          <w:szCs w:val="22"/>
        </w:rPr>
        <w:t>;</w:t>
      </w:r>
    </w:p>
    <w:p w14:paraId="4DC009E0" w14:textId="77777777" w:rsidR="00136556" w:rsidRPr="00996DBC" w:rsidRDefault="00136556" w:rsidP="00711D19">
      <w:pPr>
        <w:autoSpaceDE w:val="0"/>
        <w:autoSpaceDN w:val="0"/>
        <w:adjustRightInd w:val="0"/>
        <w:spacing w:afterLines="60" w:after="144"/>
        <w:rPr>
          <w:rFonts w:cs="Arial"/>
          <w:szCs w:val="22"/>
        </w:rPr>
      </w:pPr>
      <w:r w:rsidRPr="00996DBC">
        <w:rPr>
          <w:rFonts w:cs="Arial"/>
          <w:position w:val="-12"/>
        </w:rPr>
        <w:object w:dxaOrig="260" w:dyaOrig="360" w14:anchorId="602AF9FB">
          <v:shape id="_x0000_i1061" type="#_x0000_t75" style="width:12.6pt;height:18pt" o:ole="">
            <v:imagedata r:id="rId89" o:title=""/>
          </v:shape>
          <o:OLEObject Type="Embed" ProgID="Equation.3" ShapeID="_x0000_i1061" DrawAspect="Content" ObjectID="_1543320161" r:id="rId90"/>
        </w:object>
      </w:r>
      <w:r w:rsidRPr="00996DBC">
        <w:rPr>
          <w:rFonts w:cs="Arial"/>
          <w:i/>
          <w:iCs/>
        </w:rPr>
        <w:tab/>
      </w:r>
      <w:proofErr w:type="gramStart"/>
      <w:r w:rsidRPr="00996DBC">
        <w:rPr>
          <w:rFonts w:cs="Arial"/>
          <w:szCs w:val="22"/>
        </w:rPr>
        <w:t>is</w:t>
      </w:r>
      <w:proofErr w:type="gramEnd"/>
      <w:r w:rsidRPr="00996DBC">
        <w:rPr>
          <w:rFonts w:cs="Arial"/>
          <w:szCs w:val="22"/>
        </w:rPr>
        <w:t xml:space="preserve"> the Licence Fee factor as defined in clause 3.1.</w:t>
      </w:r>
      <w:r>
        <w:rPr>
          <w:rFonts w:cs="Arial"/>
          <w:szCs w:val="22"/>
        </w:rPr>
        <w:t xml:space="preserve"> </w:t>
      </w:r>
      <w:r w:rsidRPr="00996DBC">
        <w:rPr>
          <w:rFonts w:cs="Arial"/>
          <w:szCs w:val="22"/>
        </w:rPr>
        <w:t xml:space="preserve">If </w:t>
      </w:r>
      <w:r w:rsidRPr="00996DBC">
        <w:rPr>
          <w:rFonts w:cs="Arial"/>
          <w:position w:val="-12"/>
        </w:rPr>
        <w:object w:dxaOrig="260" w:dyaOrig="360" w14:anchorId="6BC4E99F">
          <v:shape id="_x0000_i1062" type="#_x0000_t75" style="width:12.6pt;height:18pt" o:ole="">
            <v:imagedata r:id="rId89" o:title=""/>
          </v:shape>
          <o:OLEObject Type="Embed" ProgID="Equation.3" ShapeID="_x0000_i1062" DrawAspect="Content" ObjectID="_1543320162" r:id="rId91"/>
        </w:object>
      </w:r>
      <w:r w:rsidRPr="00996DBC">
        <w:rPr>
          <w:rFonts w:cs="Arial"/>
          <w:i/>
          <w:iCs/>
        </w:rPr>
        <w:t xml:space="preserve"> </w:t>
      </w:r>
      <w:r w:rsidRPr="00996DBC">
        <w:rPr>
          <w:rFonts w:cs="Arial"/>
          <w:szCs w:val="22"/>
        </w:rPr>
        <w:t>&lt;0, then (1+</w:t>
      </w:r>
      <w:r w:rsidRPr="00996DBC">
        <w:rPr>
          <w:rFonts w:cs="Arial"/>
          <w:position w:val="-12"/>
        </w:rPr>
        <w:object w:dxaOrig="260" w:dyaOrig="360" w14:anchorId="7C4377FD">
          <v:shape id="_x0000_i1063" type="#_x0000_t75" style="width:12.6pt;height:18pt" o:ole="">
            <v:imagedata r:id="rId89" o:title=""/>
          </v:shape>
          <o:OLEObject Type="Embed" ProgID="Equation.3" ShapeID="_x0000_i1063" DrawAspect="Content" ObjectID="_1543320163" r:id="rId92"/>
        </w:object>
      </w:r>
      <w:r w:rsidRPr="00996DBC">
        <w:rPr>
          <w:rFonts w:cs="Arial"/>
          <w:i/>
          <w:iCs/>
        </w:rPr>
        <w:t xml:space="preserve"> </w:t>
      </w:r>
      <w:r w:rsidRPr="00996DBC">
        <w:rPr>
          <w:rFonts w:cs="Arial"/>
          <w:szCs w:val="22"/>
        </w:rPr>
        <w:t>) = 1</w:t>
      </w:r>
      <w:r w:rsidR="007D4E17">
        <w:rPr>
          <w:rFonts w:cs="Arial"/>
          <w:szCs w:val="22"/>
        </w:rPr>
        <w:t>; and</w:t>
      </w:r>
    </w:p>
    <w:p w14:paraId="5B47C7D1" w14:textId="77777777" w:rsidR="00136556" w:rsidRDefault="00136556" w:rsidP="00711D19">
      <w:pPr>
        <w:spacing w:afterLines="60" w:after="144"/>
        <w:rPr>
          <w:szCs w:val="22"/>
        </w:rPr>
      </w:pPr>
      <w:r w:rsidRPr="00996DBC">
        <w:rPr>
          <w:i/>
          <w:iCs/>
          <w:color w:val="000000"/>
        </w:rPr>
        <w:t>A</w:t>
      </w:r>
      <w:r w:rsidRPr="00996DBC">
        <w:rPr>
          <w:i/>
          <w:iCs/>
          <w:color w:val="000000"/>
          <w:sz w:val="14"/>
          <w:szCs w:val="14"/>
        </w:rPr>
        <w:t>t</w:t>
      </w:r>
      <w:r w:rsidRPr="00996DBC">
        <w:rPr>
          <w:i/>
          <w:iCs/>
          <w:color w:val="000000"/>
          <w:sz w:val="14"/>
          <w:szCs w:val="14"/>
        </w:rPr>
        <w:tab/>
      </w:r>
      <w:r w:rsidRPr="00996DBC">
        <w:rPr>
          <w:color w:val="000000"/>
          <w:szCs w:val="22"/>
        </w:rPr>
        <w:t xml:space="preserve">is an approved Pass Through Factor for Calendar Year </w:t>
      </w:r>
      <w:r w:rsidRPr="00996DBC">
        <w:rPr>
          <w:i/>
          <w:iCs/>
          <w:color w:val="000000"/>
          <w:szCs w:val="22"/>
        </w:rPr>
        <w:t>t</w:t>
      </w:r>
      <w:r w:rsidRPr="00996DBC">
        <w:rPr>
          <w:color w:val="000000"/>
          <w:szCs w:val="22"/>
        </w:rPr>
        <w:t>.</w:t>
      </w:r>
      <w:r w:rsidRPr="00996DBC">
        <w:rPr>
          <w:szCs w:val="22"/>
        </w:rPr>
        <w:t xml:space="preserve"> If </w:t>
      </w:r>
      <w:r w:rsidRPr="00996DBC">
        <w:rPr>
          <w:position w:val="-12"/>
        </w:rPr>
        <w:object w:dxaOrig="279" w:dyaOrig="360" w14:anchorId="435F0F3C">
          <v:shape id="_x0000_i1064" type="#_x0000_t75" style="width:14.4pt;height:18pt" o:ole="">
            <v:imagedata r:id="rId93" o:title=""/>
          </v:shape>
          <o:OLEObject Type="Embed" ProgID="Equation.3" ShapeID="_x0000_i1064" DrawAspect="Content" ObjectID="_1543320164" r:id="rId94"/>
        </w:object>
      </w:r>
      <w:r w:rsidRPr="00996DBC">
        <w:rPr>
          <w:i/>
          <w:iCs/>
        </w:rPr>
        <w:t xml:space="preserve"> </w:t>
      </w:r>
      <w:r w:rsidRPr="00996DBC">
        <w:rPr>
          <w:szCs w:val="22"/>
        </w:rPr>
        <w:t>&lt;0, then (1+</w:t>
      </w:r>
      <w:r w:rsidRPr="00996DBC">
        <w:rPr>
          <w:position w:val="-12"/>
        </w:rPr>
        <w:object w:dxaOrig="279" w:dyaOrig="360" w14:anchorId="30D8410C">
          <v:shape id="_x0000_i1065" type="#_x0000_t75" style="width:14.4pt;height:18pt" o:ole="">
            <v:imagedata r:id="rId95" o:title=""/>
          </v:shape>
          <o:OLEObject Type="Embed" ProgID="Equation.3" ShapeID="_x0000_i1065" DrawAspect="Content" ObjectID="_1543320165" r:id="rId96"/>
        </w:object>
      </w:r>
      <w:r w:rsidRPr="00996DBC">
        <w:rPr>
          <w:szCs w:val="22"/>
        </w:rPr>
        <w:t>) = 1.</w:t>
      </w:r>
    </w:p>
    <w:p w14:paraId="6BC976EA" w14:textId="77777777" w:rsidR="00136556" w:rsidRDefault="00136556" w:rsidP="00711D19">
      <w:pPr>
        <w:spacing w:afterLines="60" w:after="144"/>
        <w:rPr>
          <w:szCs w:val="22"/>
        </w:rPr>
      </w:pPr>
    </w:p>
    <w:p w14:paraId="2AE3CE9E" w14:textId="77777777" w:rsidR="009D7ABF" w:rsidRDefault="009D7ABF" w:rsidP="00035B92">
      <w:pPr>
        <w:pStyle w:val="Heading2"/>
      </w:pPr>
      <w:bookmarkStart w:id="28" w:name="_Toc469519484"/>
      <w:r>
        <w:t>Rebalancing Controls for New and Withdrawn Haulage Reference Tariffs</w:t>
      </w:r>
      <w:bookmarkEnd w:id="28"/>
    </w:p>
    <w:p w14:paraId="007A548D" w14:textId="5A381FE9" w:rsidR="00136556" w:rsidRPr="00996DBC" w:rsidRDefault="00136556" w:rsidP="00711D19">
      <w:pPr>
        <w:autoSpaceDE w:val="0"/>
        <w:autoSpaceDN w:val="0"/>
        <w:adjustRightInd w:val="0"/>
        <w:spacing w:afterLines="60" w:after="144"/>
        <w:rPr>
          <w:rFonts w:cs="Arial"/>
          <w:color w:val="000000"/>
          <w:szCs w:val="22"/>
        </w:rPr>
      </w:pPr>
      <w:r w:rsidRPr="00996DBC">
        <w:rPr>
          <w:rFonts w:cs="Arial"/>
          <w:color w:val="000000"/>
          <w:szCs w:val="22"/>
        </w:rPr>
        <w:t xml:space="preserve">For the purposes of the application of the rebalancing control formulae as set out in </w:t>
      </w:r>
      <w:r w:rsidR="00507C39" w:rsidRPr="00996DBC">
        <w:rPr>
          <w:rFonts w:cs="Arial"/>
          <w:color w:val="000000"/>
          <w:szCs w:val="22"/>
        </w:rPr>
        <w:t xml:space="preserve">clause </w:t>
      </w:r>
      <w:r w:rsidR="00E70B7E">
        <w:rPr>
          <w:rFonts w:cs="Arial"/>
          <w:color w:val="000000"/>
          <w:szCs w:val="22"/>
        </w:rPr>
        <w:t>3.5</w:t>
      </w:r>
      <w:r w:rsidRPr="00996DBC">
        <w:rPr>
          <w:rFonts w:cs="Arial"/>
          <w:color w:val="000000"/>
          <w:szCs w:val="22"/>
        </w:rPr>
        <w:t>:</w:t>
      </w:r>
    </w:p>
    <w:p w14:paraId="700A4DD5" w14:textId="77777777" w:rsidR="00136556" w:rsidRPr="00996DBC" w:rsidRDefault="00136556" w:rsidP="00711D19">
      <w:pPr>
        <w:autoSpaceDE w:val="0"/>
        <w:autoSpaceDN w:val="0"/>
        <w:adjustRightInd w:val="0"/>
        <w:spacing w:afterLines="60" w:after="144"/>
        <w:ind w:left="720" w:hanging="720"/>
        <w:rPr>
          <w:rFonts w:cs="Arial"/>
          <w:color w:val="000000"/>
          <w:szCs w:val="22"/>
        </w:rPr>
      </w:pPr>
      <w:r w:rsidRPr="00996DBC">
        <w:rPr>
          <w:rFonts w:cs="Arial"/>
          <w:color w:val="000000"/>
          <w:szCs w:val="22"/>
        </w:rPr>
        <w:t>(a)</w:t>
      </w:r>
      <w:r w:rsidRPr="00996DBC">
        <w:rPr>
          <w:rFonts w:cs="Arial"/>
          <w:color w:val="000000"/>
          <w:szCs w:val="22"/>
        </w:rPr>
        <w:tab/>
        <w:t xml:space="preserve">where the Service Provider proposed to introduce a new Haulage Reference Tariff and/or new </w:t>
      </w:r>
      <w:r w:rsidR="00E70B7E">
        <w:rPr>
          <w:rFonts w:cs="Arial"/>
          <w:color w:val="000000"/>
          <w:szCs w:val="22"/>
        </w:rPr>
        <w:t>H</w:t>
      </w:r>
      <w:r w:rsidRPr="00996DBC">
        <w:rPr>
          <w:rFonts w:cs="Arial"/>
          <w:color w:val="000000"/>
          <w:szCs w:val="22"/>
        </w:rPr>
        <w:t>aulage Reference Tariff Components:</w:t>
      </w:r>
    </w:p>
    <w:p w14:paraId="5658CF74" w14:textId="77777777" w:rsidR="00136556" w:rsidRPr="00996DBC" w:rsidRDefault="00136556" w:rsidP="00711D19">
      <w:pPr>
        <w:spacing w:afterLines="60" w:after="144"/>
        <w:ind w:left="1440" w:hanging="720"/>
        <w:rPr>
          <w:rFonts w:cs="Arial"/>
          <w:color w:val="000000"/>
          <w:szCs w:val="22"/>
        </w:rPr>
      </w:pPr>
      <w:r w:rsidRPr="00996DBC">
        <w:rPr>
          <w:rFonts w:cs="Arial"/>
          <w:color w:val="000000"/>
          <w:szCs w:val="22"/>
        </w:rPr>
        <w:t>(1)</w:t>
      </w:r>
      <w:r w:rsidRPr="00996DBC">
        <w:rPr>
          <w:rFonts w:cs="Arial"/>
          <w:color w:val="000000"/>
          <w:szCs w:val="22"/>
        </w:rPr>
        <w:tab/>
        <w:t xml:space="preserve">the term </w:t>
      </w:r>
      <w:r w:rsidRPr="00996DBC">
        <w:rPr>
          <w:rFonts w:cs="Arial"/>
          <w:position w:val="-12"/>
        </w:rPr>
        <w:object w:dxaOrig="420" w:dyaOrig="380" w14:anchorId="73443170">
          <v:shape id="_x0000_i1066" type="#_x0000_t75" style="width:21pt;height:18.6pt" o:ole="">
            <v:imagedata r:id="rId97" o:title=""/>
          </v:shape>
          <o:OLEObject Type="Embed" ProgID="Equation.3" ShapeID="_x0000_i1066" DrawAspect="Content" ObjectID="_1543320166" r:id="rId98"/>
        </w:object>
      </w:r>
      <w:r w:rsidRPr="00996DBC">
        <w:rPr>
          <w:rFonts w:cs="Arial"/>
          <w:color w:val="000000"/>
          <w:sz w:val="14"/>
          <w:szCs w:val="14"/>
        </w:rPr>
        <w:t xml:space="preserve"> </w:t>
      </w:r>
      <w:r w:rsidRPr="00996DBC">
        <w:rPr>
          <w:rFonts w:cs="Arial"/>
          <w:color w:val="000000"/>
          <w:szCs w:val="22"/>
        </w:rPr>
        <w:t xml:space="preserve">in the rebalancing control will be interpreted in relation to the reasonable estimates of the Quantities </w:t>
      </w:r>
      <w:r w:rsidRPr="00711D19">
        <w:t>that</w:t>
      </w:r>
      <w:r w:rsidRPr="00996DBC">
        <w:rPr>
          <w:rFonts w:cs="Arial"/>
          <w:color w:val="000000"/>
          <w:szCs w:val="22"/>
        </w:rPr>
        <w:t xml:space="preserve"> would have been sold, in relevant units, if the Haulage </w:t>
      </w:r>
      <w:r w:rsidR="00E70B7E">
        <w:rPr>
          <w:rFonts w:cs="Arial"/>
          <w:color w:val="000000"/>
          <w:szCs w:val="22"/>
        </w:rPr>
        <w:t>R</w:t>
      </w:r>
      <w:r w:rsidRPr="00996DBC">
        <w:rPr>
          <w:rFonts w:cs="Arial"/>
          <w:color w:val="000000"/>
          <w:szCs w:val="22"/>
        </w:rPr>
        <w:t xml:space="preserve">eference Tariff Components existed in Calendar Year </w:t>
      </w:r>
      <w:r w:rsidRPr="00996DBC">
        <w:rPr>
          <w:rFonts w:cs="Arial"/>
          <w:i/>
          <w:iCs/>
          <w:color w:val="000000"/>
          <w:szCs w:val="22"/>
        </w:rPr>
        <w:t>t</w:t>
      </w:r>
      <w:r w:rsidRPr="00996DBC">
        <w:rPr>
          <w:rFonts w:cs="Arial"/>
          <w:color w:val="000000"/>
          <w:szCs w:val="22"/>
        </w:rPr>
        <w:t>-2; and</w:t>
      </w:r>
    </w:p>
    <w:p w14:paraId="281B69E3" w14:textId="77777777" w:rsidR="00136556" w:rsidRPr="00996DBC" w:rsidRDefault="00136556" w:rsidP="00711D19">
      <w:pPr>
        <w:spacing w:afterLines="60" w:after="144"/>
        <w:ind w:left="1440" w:hanging="720"/>
        <w:rPr>
          <w:rFonts w:cs="Arial"/>
          <w:color w:val="000000"/>
          <w:szCs w:val="22"/>
        </w:rPr>
      </w:pPr>
      <w:r w:rsidRPr="00996DBC">
        <w:rPr>
          <w:rFonts w:cs="Arial"/>
          <w:color w:val="000000"/>
          <w:szCs w:val="22"/>
        </w:rPr>
        <w:lastRenderedPageBreak/>
        <w:t>(2)</w:t>
      </w:r>
      <w:r w:rsidRPr="00996DBC">
        <w:rPr>
          <w:rFonts w:cs="Arial"/>
          <w:color w:val="000000"/>
          <w:szCs w:val="22"/>
        </w:rPr>
        <w:tab/>
      </w:r>
      <w:proofErr w:type="gramStart"/>
      <w:r w:rsidRPr="00996DBC">
        <w:rPr>
          <w:rFonts w:cs="Arial"/>
          <w:color w:val="000000"/>
          <w:szCs w:val="22"/>
        </w:rPr>
        <w:t>the</w:t>
      </w:r>
      <w:proofErr w:type="gramEnd"/>
      <w:r w:rsidRPr="00996DBC">
        <w:rPr>
          <w:rFonts w:cs="Arial"/>
          <w:color w:val="000000"/>
          <w:szCs w:val="22"/>
        </w:rPr>
        <w:t xml:space="preserve"> term </w:t>
      </w:r>
      <w:r w:rsidRPr="00996DBC">
        <w:rPr>
          <w:rFonts w:cs="Arial"/>
          <w:position w:val="-12"/>
        </w:rPr>
        <w:object w:dxaOrig="320" w:dyaOrig="380" w14:anchorId="1A298BDA">
          <v:shape id="_x0000_i1067" type="#_x0000_t75" style="width:15.6pt;height:18.6pt" o:ole="">
            <v:imagedata r:id="rId99" o:title=""/>
          </v:shape>
          <o:OLEObject Type="Embed" ProgID="Equation.3" ShapeID="_x0000_i1067" DrawAspect="Content" ObjectID="_1543320167" r:id="rId100"/>
        </w:object>
      </w:r>
      <w:r w:rsidRPr="00996DBC">
        <w:rPr>
          <w:rFonts w:cs="Arial"/>
        </w:rPr>
        <w:t xml:space="preserve"> </w:t>
      </w:r>
      <w:r w:rsidRPr="00996DBC">
        <w:rPr>
          <w:rFonts w:cs="Arial"/>
          <w:color w:val="000000"/>
          <w:szCs w:val="22"/>
        </w:rPr>
        <w:t xml:space="preserve">in the </w:t>
      </w:r>
      <w:r w:rsidRPr="00711D19">
        <w:t>rebalancing</w:t>
      </w:r>
      <w:r w:rsidRPr="00996DBC">
        <w:rPr>
          <w:rFonts w:cs="Arial"/>
          <w:color w:val="000000"/>
          <w:szCs w:val="22"/>
        </w:rPr>
        <w:t xml:space="preserve"> control will be interpreted in relation to the Haulage Reference Tariff Components of the parent Haulage Reference Tariff in Calendar Year </w:t>
      </w:r>
      <w:r w:rsidRPr="00996DBC">
        <w:rPr>
          <w:rFonts w:cs="Arial"/>
          <w:i/>
          <w:iCs/>
          <w:color w:val="000000"/>
          <w:szCs w:val="22"/>
        </w:rPr>
        <w:t>t</w:t>
      </w:r>
      <w:r w:rsidRPr="00996DBC">
        <w:rPr>
          <w:rFonts w:cs="Arial"/>
          <w:color w:val="000000"/>
          <w:szCs w:val="22"/>
        </w:rPr>
        <w:t>-2.</w:t>
      </w:r>
    </w:p>
    <w:p w14:paraId="3EB9EDA6" w14:textId="77777777" w:rsidR="00136556" w:rsidRPr="00996DBC" w:rsidRDefault="00136556" w:rsidP="00711D19">
      <w:pPr>
        <w:autoSpaceDE w:val="0"/>
        <w:autoSpaceDN w:val="0"/>
        <w:adjustRightInd w:val="0"/>
        <w:spacing w:afterLines="60" w:after="144"/>
        <w:ind w:left="720" w:hanging="720"/>
        <w:rPr>
          <w:rFonts w:cs="Arial"/>
          <w:color w:val="000000"/>
          <w:szCs w:val="22"/>
        </w:rPr>
      </w:pPr>
      <w:r w:rsidRPr="00996DBC">
        <w:rPr>
          <w:rFonts w:cs="Arial"/>
          <w:color w:val="000000"/>
          <w:szCs w:val="22"/>
        </w:rPr>
        <w:t>(b)</w:t>
      </w:r>
      <w:r w:rsidRPr="00996DBC">
        <w:rPr>
          <w:rFonts w:cs="Arial"/>
          <w:color w:val="000000"/>
          <w:szCs w:val="22"/>
        </w:rPr>
        <w:tab/>
      </w:r>
      <w:proofErr w:type="gramStart"/>
      <w:r w:rsidRPr="00996DBC">
        <w:rPr>
          <w:rFonts w:cs="Arial"/>
          <w:color w:val="000000"/>
          <w:szCs w:val="22"/>
        </w:rPr>
        <w:t>where</w:t>
      </w:r>
      <w:proofErr w:type="gramEnd"/>
      <w:r w:rsidRPr="00996DBC">
        <w:rPr>
          <w:rFonts w:cs="Arial"/>
          <w:color w:val="000000"/>
          <w:szCs w:val="22"/>
        </w:rPr>
        <w:t xml:space="preserve"> the Service Provider has introduced new Haulage Reference Tariffs and/or new Haulage Reference Tariff Components in Calendar Year </w:t>
      </w:r>
      <w:r w:rsidRPr="00996DBC">
        <w:rPr>
          <w:rFonts w:cs="Arial"/>
          <w:i/>
          <w:iCs/>
          <w:color w:val="000000"/>
          <w:szCs w:val="22"/>
        </w:rPr>
        <w:t>t</w:t>
      </w:r>
      <w:r w:rsidRPr="00996DBC">
        <w:rPr>
          <w:rFonts w:cs="Arial"/>
          <w:color w:val="000000"/>
          <w:szCs w:val="22"/>
        </w:rPr>
        <w:t xml:space="preserve">-1, the </w:t>
      </w:r>
      <w:r w:rsidRPr="00996DBC">
        <w:rPr>
          <w:rFonts w:cs="Arial"/>
          <w:position w:val="-12"/>
        </w:rPr>
        <w:object w:dxaOrig="420" w:dyaOrig="380" w14:anchorId="46E6EEE8">
          <v:shape id="_x0000_i1068" type="#_x0000_t75" style="width:21pt;height:18.6pt" o:ole="">
            <v:imagedata r:id="rId101" o:title=""/>
          </v:shape>
          <o:OLEObject Type="Embed" ProgID="Equation.3" ShapeID="_x0000_i1068" DrawAspect="Content" ObjectID="_1543320168" r:id="rId102"/>
        </w:object>
      </w:r>
      <w:r w:rsidRPr="00996DBC">
        <w:rPr>
          <w:rFonts w:cs="Arial"/>
          <w:color w:val="000000"/>
          <w:sz w:val="14"/>
          <w:szCs w:val="14"/>
        </w:rPr>
        <w:t xml:space="preserve"> </w:t>
      </w:r>
      <w:r w:rsidRPr="00996DBC">
        <w:rPr>
          <w:rFonts w:cs="Arial"/>
          <w:color w:val="000000"/>
          <w:szCs w:val="22"/>
        </w:rPr>
        <w:t xml:space="preserve">term of the rebalancing control will be in relation to the reasonable estimates of the Quantities that would have been sold, in relevant units, if the Haulage Reference Tariff Components had existed in Calendar Year </w:t>
      </w:r>
      <w:r w:rsidRPr="00996DBC">
        <w:rPr>
          <w:rFonts w:cs="Arial"/>
          <w:i/>
          <w:iCs/>
          <w:color w:val="000000"/>
          <w:szCs w:val="22"/>
        </w:rPr>
        <w:t>t</w:t>
      </w:r>
      <w:r w:rsidRPr="00996DBC">
        <w:rPr>
          <w:rFonts w:cs="Arial"/>
          <w:color w:val="000000"/>
          <w:szCs w:val="22"/>
        </w:rPr>
        <w:t>-2.</w:t>
      </w:r>
    </w:p>
    <w:p w14:paraId="7DDEDE61" w14:textId="77777777" w:rsidR="00136556" w:rsidRPr="00996DBC" w:rsidRDefault="00136556" w:rsidP="00711D19">
      <w:pPr>
        <w:autoSpaceDE w:val="0"/>
        <w:autoSpaceDN w:val="0"/>
        <w:adjustRightInd w:val="0"/>
        <w:spacing w:afterLines="60" w:after="144"/>
        <w:ind w:left="720" w:hanging="720"/>
        <w:rPr>
          <w:rFonts w:cs="Arial"/>
          <w:color w:val="000000"/>
          <w:szCs w:val="22"/>
        </w:rPr>
      </w:pPr>
      <w:r w:rsidRPr="00996DBC">
        <w:rPr>
          <w:rFonts w:cs="Arial"/>
          <w:color w:val="000000"/>
          <w:szCs w:val="22"/>
        </w:rPr>
        <w:t>(c)</w:t>
      </w:r>
      <w:r w:rsidRPr="00996DBC">
        <w:rPr>
          <w:rFonts w:cs="Arial"/>
          <w:color w:val="000000"/>
          <w:szCs w:val="22"/>
        </w:rPr>
        <w:tab/>
        <w:t>where the Service Provider proposes to withdraw a Haulage Reference Tariff and reassign those Distribution Supply Points to another Haulage Reference Tariff:</w:t>
      </w:r>
    </w:p>
    <w:p w14:paraId="6A0630B6" w14:textId="77777777" w:rsidR="00136556" w:rsidRPr="00996DBC" w:rsidRDefault="00136556" w:rsidP="00711D19">
      <w:pPr>
        <w:spacing w:afterLines="60" w:after="144"/>
        <w:ind w:left="1440" w:hanging="720"/>
        <w:rPr>
          <w:rFonts w:cs="Arial"/>
          <w:color w:val="000000"/>
          <w:szCs w:val="22"/>
        </w:rPr>
      </w:pPr>
      <w:r w:rsidRPr="00996DBC">
        <w:rPr>
          <w:rFonts w:cs="Arial"/>
          <w:color w:val="000000"/>
          <w:szCs w:val="22"/>
        </w:rPr>
        <w:t>(1)</w:t>
      </w:r>
      <w:r w:rsidRPr="00996DBC">
        <w:rPr>
          <w:rFonts w:cs="Arial"/>
          <w:color w:val="000000"/>
          <w:szCs w:val="22"/>
        </w:rPr>
        <w:tab/>
        <w:t xml:space="preserve">the </w:t>
      </w:r>
      <w:r w:rsidRPr="00996DBC">
        <w:rPr>
          <w:rFonts w:cs="Arial"/>
          <w:position w:val="-12"/>
        </w:rPr>
        <w:object w:dxaOrig="320" w:dyaOrig="380" w14:anchorId="2468036A">
          <v:shape id="_x0000_i1069" type="#_x0000_t75" style="width:15.6pt;height:18.6pt" o:ole="">
            <v:imagedata r:id="rId99" o:title=""/>
          </v:shape>
          <o:OLEObject Type="Embed" ProgID="Equation.3" ShapeID="_x0000_i1069" DrawAspect="Content" ObjectID="_1543320169" r:id="rId103"/>
        </w:object>
      </w:r>
      <w:r w:rsidRPr="00996DBC">
        <w:rPr>
          <w:rFonts w:cs="Arial"/>
        </w:rPr>
        <w:t xml:space="preserve"> </w:t>
      </w:r>
      <w:r w:rsidRPr="00996DBC">
        <w:rPr>
          <w:rFonts w:cs="Arial"/>
          <w:color w:val="000000"/>
          <w:szCs w:val="22"/>
        </w:rPr>
        <w:t xml:space="preserve">term in the rebalancing control for the Haulage Reference Tariff that is proposed to be withdrawn will be interpreted in relation to the Haulage Reference Tariff Components of the </w:t>
      </w:r>
      <w:r w:rsidRPr="00711D19">
        <w:t>Haulage</w:t>
      </w:r>
      <w:r w:rsidRPr="00996DBC">
        <w:rPr>
          <w:rFonts w:cs="Arial"/>
          <w:color w:val="000000"/>
          <w:szCs w:val="22"/>
        </w:rPr>
        <w:t xml:space="preserve"> Reference Tariff that those existing Distribution Supply Points will be reassigned to in Calendar Year </w:t>
      </w:r>
      <w:r w:rsidRPr="00996DBC">
        <w:rPr>
          <w:rFonts w:cs="Arial"/>
          <w:i/>
          <w:iCs/>
          <w:color w:val="000000"/>
          <w:szCs w:val="22"/>
        </w:rPr>
        <w:t>t</w:t>
      </w:r>
      <w:r w:rsidRPr="00996DBC">
        <w:rPr>
          <w:rFonts w:cs="Arial"/>
          <w:color w:val="000000"/>
          <w:szCs w:val="22"/>
        </w:rPr>
        <w:t>;</w:t>
      </w:r>
    </w:p>
    <w:p w14:paraId="0A87B187" w14:textId="77777777" w:rsidR="00136556" w:rsidRPr="00996DBC" w:rsidRDefault="00136556" w:rsidP="00711D19">
      <w:pPr>
        <w:spacing w:afterLines="60" w:after="144"/>
        <w:ind w:left="1440" w:hanging="720"/>
        <w:rPr>
          <w:rFonts w:cs="Arial"/>
          <w:color w:val="000000"/>
          <w:szCs w:val="22"/>
        </w:rPr>
      </w:pPr>
      <w:r w:rsidRPr="00996DBC">
        <w:rPr>
          <w:rFonts w:cs="Arial"/>
          <w:color w:val="000000"/>
          <w:szCs w:val="22"/>
        </w:rPr>
        <w:t>(2)</w:t>
      </w:r>
      <w:r w:rsidRPr="00996DBC">
        <w:rPr>
          <w:rFonts w:cs="Arial"/>
          <w:color w:val="000000"/>
          <w:szCs w:val="22"/>
        </w:rPr>
        <w:tab/>
        <w:t xml:space="preserve">the rebalancing control on Haulage Reference Tariffs will be applied separately in relation to each </w:t>
      </w:r>
      <w:r w:rsidRPr="00711D19">
        <w:t>of</w:t>
      </w:r>
      <w:r w:rsidRPr="00996DBC">
        <w:rPr>
          <w:rFonts w:cs="Arial"/>
          <w:color w:val="000000"/>
          <w:szCs w:val="22"/>
        </w:rPr>
        <w:t xml:space="preserve"> the Haulage Reference Tariffs Distribution Supply Points are reassigned to, and:</w:t>
      </w:r>
    </w:p>
    <w:p w14:paraId="12B241BE" w14:textId="77777777" w:rsidR="00136556" w:rsidRPr="00996DBC" w:rsidRDefault="00136556" w:rsidP="00043128">
      <w:pPr>
        <w:autoSpaceDE w:val="0"/>
        <w:autoSpaceDN w:val="0"/>
        <w:adjustRightInd w:val="0"/>
        <w:spacing w:afterLines="60" w:after="144"/>
        <w:ind w:left="2160" w:hanging="720"/>
        <w:rPr>
          <w:rFonts w:cs="Arial"/>
          <w:color w:val="000000"/>
          <w:szCs w:val="22"/>
        </w:rPr>
      </w:pPr>
      <w:r w:rsidRPr="00996DBC">
        <w:rPr>
          <w:rFonts w:cs="Arial"/>
          <w:color w:val="000000"/>
          <w:szCs w:val="22"/>
        </w:rPr>
        <w:t>(A)</w:t>
      </w:r>
      <w:r w:rsidRPr="00996DBC">
        <w:rPr>
          <w:rFonts w:cs="Arial"/>
          <w:color w:val="000000"/>
          <w:szCs w:val="22"/>
        </w:rPr>
        <w:tab/>
        <w:t xml:space="preserve">the </w:t>
      </w:r>
      <w:r w:rsidRPr="00996DBC">
        <w:rPr>
          <w:rFonts w:cs="Arial"/>
          <w:position w:val="-12"/>
        </w:rPr>
        <w:object w:dxaOrig="320" w:dyaOrig="380" w14:anchorId="4557B7C6">
          <v:shape id="_x0000_i1070" type="#_x0000_t75" style="width:15.6pt;height:18.6pt" o:ole="">
            <v:imagedata r:id="rId99" o:title=""/>
          </v:shape>
          <o:OLEObject Type="Embed" ProgID="Equation.3" ShapeID="_x0000_i1070" DrawAspect="Content" ObjectID="_1543320170" r:id="rId104"/>
        </w:object>
      </w:r>
      <w:r w:rsidRPr="00996DBC">
        <w:rPr>
          <w:rFonts w:cs="Arial"/>
          <w:color w:val="000000"/>
          <w:szCs w:val="22"/>
        </w:rPr>
        <w:t xml:space="preserve">term in the rebalancing control for the Haulage Reference Tariff that is proposed is to be withdrawn will be interpreted in relation to the Haulage Reference Tariff Components of each of the Haulage Reference Tariffs that those existing Distribution Supply Points will be reassigned to in Calendar Year </w:t>
      </w:r>
      <w:r w:rsidRPr="00996DBC">
        <w:rPr>
          <w:rFonts w:cs="Arial"/>
          <w:i/>
          <w:iCs/>
          <w:color w:val="000000"/>
          <w:szCs w:val="22"/>
        </w:rPr>
        <w:t>t</w:t>
      </w:r>
      <w:r w:rsidRPr="00996DBC">
        <w:rPr>
          <w:rFonts w:cs="Arial"/>
          <w:color w:val="000000"/>
          <w:szCs w:val="22"/>
        </w:rPr>
        <w:t>; and</w:t>
      </w:r>
    </w:p>
    <w:p w14:paraId="5B90C441" w14:textId="77777777" w:rsidR="00136556" w:rsidRDefault="00136556" w:rsidP="00900D3D">
      <w:pPr>
        <w:autoSpaceDE w:val="0"/>
        <w:autoSpaceDN w:val="0"/>
        <w:adjustRightInd w:val="0"/>
        <w:spacing w:afterLines="60" w:after="144"/>
        <w:ind w:left="2160" w:hanging="720"/>
      </w:pPr>
      <w:r w:rsidRPr="00996DBC">
        <w:t>(B)</w:t>
      </w:r>
      <w:r w:rsidRPr="00996DBC">
        <w:tab/>
        <w:t xml:space="preserve">the </w:t>
      </w:r>
      <w:r w:rsidRPr="00996DBC">
        <w:rPr>
          <w:position w:val="-12"/>
        </w:rPr>
        <w:object w:dxaOrig="420" w:dyaOrig="380" w14:anchorId="5131FE98">
          <v:shape id="_x0000_i1071" type="#_x0000_t75" style="width:21pt;height:18.6pt" o:ole="">
            <v:imagedata r:id="rId101" o:title=""/>
          </v:shape>
          <o:OLEObject Type="Embed" ProgID="Equation.3" ShapeID="_x0000_i1071" DrawAspect="Content" ObjectID="_1543320171" r:id="rId105"/>
        </w:object>
      </w:r>
      <w:r w:rsidRPr="00996DBC">
        <w:rPr>
          <w:sz w:val="14"/>
          <w:szCs w:val="14"/>
        </w:rPr>
        <w:t xml:space="preserve"> </w:t>
      </w:r>
      <w:r w:rsidRPr="00D264ED">
        <w:t>term</w:t>
      </w:r>
      <w:r w:rsidRPr="00996DBC">
        <w:t xml:space="preserve"> in the rebalancing control for the Haulage Reference Tariff that is proposed to be withdrawn will be the </w:t>
      </w:r>
      <w:r w:rsidRPr="00900D3D">
        <w:rPr>
          <w:rFonts w:cs="Arial"/>
          <w:color w:val="000000"/>
          <w:szCs w:val="22"/>
        </w:rPr>
        <w:t>breakdown</w:t>
      </w:r>
      <w:r w:rsidRPr="00996DBC">
        <w:t xml:space="preserve"> of the actual Quantities, in relevant units, that were sold under each Haulage Reference Tariff Component of the parent Haulage Reference Tariffs to each Distribution Supply Point reassigned to the same Haulage Reference Tariff.</w:t>
      </w:r>
    </w:p>
    <w:p w14:paraId="0CFE25A9" w14:textId="60BFB9A3" w:rsidR="009D7ABF" w:rsidRDefault="009D7ABF" w:rsidP="008A599C">
      <w:pPr>
        <w:pStyle w:val="Heading1"/>
      </w:pPr>
      <w:bookmarkStart w:id="29" w:name="_Toc468981906"/>
      <w:bookmarkStart w:id="30" w:name="_Toc469481267"/>
      <w:bookmarkStart w:id="31" w:name="_Toc468981907"/>
      <w:bookmarkStart w:id="32" w:name="_Toc469481268"/>
      <w:bookmarkStart w:id="33" w:name="_Toc468981910"/>
      <w:bookmarkStart w:id="34" w:name="_Toc469481271"/>
      <w:bookmarkStart w:id="35" w:name="_Toc468981912"/>
      <w:bookmarkStart w:id="36" w:name="_Toc469481273"/>
      <w:bookmarkStart w:id="37" w:name="_Toc468981914"/>
      <w:bookmarkStart w:id="38" w:name="_Toc469481275"/>
      <w:bookmarkStart w:id="39" w:name="_Toc468981915"/>
      <w:bookmarkStart w:id="40" w:name="_Toc469481276"/>
      <w:bookmarkStart w:id="41" w:name="_Toc468981916"/>
      <w:bookmarkStart w:id="42" w:name="_Toc469481277"/>
      <w:bookmarkStart w:id="43" w:name="_Toc468981918"/>
      <w:bookmarkStart w:id="44" w:name="_Toc469481279"/>
      <w:bookmarkStart w:id="45" w:name="_Toc468981919"/>
      <w:bookmarkStart w:id="46" w:name="_Toc469481280"/>
      <w:bookmarkStart w:id="47" w:name="_Toc468981920"/>
      <w:bookmarkStart w:id="48" w:name="_Toc469481281"/>
      <w:bookmarkStart w:id="49" w:name="_Toc468981921"/>
      <w:bookmarkStart w:id="50" w:name="_Toc469481282"/>
      <w:bookmarkStart w:id="51" w:name="_Toc468981922"/>
      <w:bookmarkStart w:id="52" w:name="_Toc469481283"/>
      <w:bookmarkStart w:id="53" w:name="_Toc468981924"/>
      <w:bookmarkStart w:id="54" w:name="_Toc469481285"/>
      <w:bookmarkStart w:id="55" w:name="_Toc468981925"/>
      <w:bookmarkStart w:id="56" w:name="_Toc469481286"/>
      <w:bookmarkStart w:id="57" w:name="_Toc468981926"/>
      <w:bookmarkStart w:id="58" w:name="_Toc469481287"/>
      <w:bookmarkStart w:id="59" w:name="_Toc468981928"/>
      <w:bookmarkStart w:id="60" w:name="_Toc469481289"/>
      <w:bookmarkStart w:id="61" w:name="_Toc468981930"/>
      <w:bookmarkStart w:id="62" w:name="_Toc469481291"/>
      <w:bookmarkStart w:id="63" w:name="_Toc468981931"/>
      <w:bookmarkStart w:id="64" w:name="_Toc469481292"/>
      <w:bookmarkStart w:id="65" w:name="_Toc468981933"/>
      <w:bookmarkStart w:id="66" w:name="_Toc469481294"/>
      <w:bookmarkStart w:id="67" w:name="_Toc468981935"/>
      <w:bookmarkStart w:id="68" w:name="_Toc469481296"/>
      <w:bookmarkStart w:id="69" w:name="_Toc468981937"/>
      <w:bookmarkStart w:id="70" w:name="_Toc469481298"/>
      <w:bookmarkStart w:id="71" w:name="_Toc468981939"/>
      <w:bookmarkStart w:id="72" w:name="_Toc469481300"/>
      <w:bookmarkStart w:id="73" w:name="_Toc468981941"/>
      <w:bookmarkStart w:id="74" w:name="_Toc469481302"/>
      <w:bookmarkStart w:id="75" w:name="_Toc468981942"/>
      <w:bookmarkStart w:id="76" w:name="_Toc469481303"/>
      <w:bookmarkStart w:id="77" w:name="_Toc468981943"/>
      <w:bookmarkStart w:id="78" w:name="_Toc469481304"/>
      <w:bookmarkStart w:id="79" w:name="_Toc468981944"/>
      <w:bookmarkStart w:id="80" w:name="_Toc469481305"/>
      <w:bookmarkStart w:id="81" w:name="_Toc468981945"/>
      <w:bookmarkStart w:id="82" w:name="_Toc469481306"/>
      <w:bookmarkStart w:id="83" w:name="_Toc468981946"/>
      <w:bookmarkStart w:id="84" w:name="_Toc469481307"/>
      <w:bookmarkStart w:id="85" w:name="_Toc468981947"/>
      <w:bookmarkStart w:id="86" w:name="_Toc469481308"/>
      <w:bookmarkStart w:id="87" w:name="_Toc468981948"/>
      <w:bookmarkStart w:id="88" w:name="_Toc469481309"/>
      <w:bookmarkStart w:id="89" w:name="_Toc468981949"/>
      <w:bookmarkStart w:id="90" w:name="_Toc469481310"/>
      <w:bookmarkStart w:id="91" w:name="_Toc468981950"/>
      <w:bookmarkStart w:id="92" w:name="_Toc469481311"/>
      <w:bookmarkStart w:id="93" w:name="_Toc468981951"/>
      <w:bookmarkStart w:id="94" w:name="_Toc469481312"/>
      <w:bookmarkStart w:id="95" w:name="_Toc468981952"/>
      <w:bookmarkStart w:id="96" w:name="_Toc469481313"/>
      <w:bookmarkStart w:id="97" w:name="_Toc468981953"/>
      <w:bookmarkStart w:id="98" w:name="_Toc469481314"/>
      <w:bookmarkStart w:id="99" w:name="_Toc468981954"/>
      <w:bookmarkStart w:id="100" w:name="_Toc469481315"/>
      <w:bookmarkStart w:id="101" w:name="_Toc468981956"/>
      <w:bookmarkStart w:id="102" w:name="_Toc469481317"/>
      <w:bookmarkStart w:id="103" w:name="_Toc468981957"/>
      <w:bookmarkStart w:id="104" w:name="_Toc469481318"/>
      <w:bookmarkStart w:id="105" w:name="_Toc468981958"/>
      <w:bookmarkStart w:id="106" w:name="_Toc469481319"/>
      <w:bookmarkStart w:id="107" w:name="_Toc468981960"/>
      <w:bookmarkStart w:id="108" w:name="_Toc469481321"/>
      <w:bookmarkStart w:id="109" w:name="_Toc468981961"/>
      <w:bookmarkStart w:id="110" w:name="_Toc469481322"/>
      <w:bookmarkStart w:id="111" w:name="_Toc468981962"/>
      <w:bookmarkStart w:id="112" w:name="_Toc469481323"/>
      <w:bookmarkStart w:id="113" w:name="_Toc468981964"/>
      <w:bookmarkStart w:id="114" w:name="_Toc469481325"/>
      <w:bookmarkStart w:id="115" w:name="_Toc468981965"/>
      <w:bookmarkStart w:id="116" w:name="_Toc469481326"/>
      <w:bookmarkStart w:id="117" w:name="_Toc468981966"/>
      <w:bookmarkStart w:id="118" w:name="_Toc469481327"/>
      <w:bookmarkStart w:id="119" w:name="_Toc468981967"/>
      <w:bookmarkStart w:id="120" w:name="_Toc469481328"/>
      <w:bookmarkStart w:id="121" w:name="_Toc468981968"/>
      <w:bookmarkStart w:id="122" w:name="_Toc469481329"/>
      <w:bookmarkStart w:id="123" w:name="_Toc468981969"/>
      <w:bookmarkStart w:id="124" w:name="_Toc469481330"/>
      <w:bookmarkStart w:id="125" w:name="_Toc468981970"/>
      <w:bookmarkStart w:id="126" w:name="_Toc469481331"/>
      <w:bookmarkStart w:id="127" w:name="_Toc468981972"/>
      <w:bookmarkStart w:id="128" w:name="_Toc469481333"/>
      <w:bookmarkStart w:id="129" w:name="_Toc468981974"/>
      <w:bookmarkStart w:id="130" w:name="_Toc469481335"/>
      <w:bookmarkStart w:id="131" w:name="_Toc468981975"/>
      <w:bookmarkStart w:id="132" w:name="_Toc469481336"/>
      <w:bookmarkStart w:id="133" w:name="_Toc46951948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Approval of Annual and Within-Year Variations to Haulage Reference Tariffs and New Haulage Reference Tariffs</w:t>
      </w:r>
      <w:bookmarkEnd w:id="133"/>
    </w:p>
    <w:p w14:paraId="0CF78E2A" w14:textId="0D3815DB" w:rsidR="009D7ABF" w:rsidRDefault="009D7ABF" w:rsidP="00035B92">
      <w:pPr>
        <w:pStyle w:val="Heading2"/>
      </w:pPr>
      <w:bookmarkStart w:id="134" w:name="_Toc469519487"/>
      <w:r>
        <w:t>Submission to the Regulator</w:t>
      </w:r>
      <w:bookmarkEnd w:id="134"/>
    </w:p>
    <w:p w14:paraId="1015A136" w14:textId="77777777" w:rsidR="009D7ABF" w:rsidRDefault="009D7ABF" w:rsidP="008A599C">
      <w:pPr>
        <w:pStyle w:val="BodyText"/>
      </w:pPr>
      <w:r>
        <w:t>(a)</w:t>
      </w:r>
      <w:r>
        <w:tab/>
        <w:t xml:space="preserve">The Service Provider will, at least </w:t>
      </w:r>
      <w:r w:rsidR="00F072E4">
        <w:t xml:space="preserve">50 </w:t>
      </w:r>
      <w:r>
        <w:t>Business Days prior to the commencement of the next Calendar Year, submit proposed Haulage Reference Tariffs to apply from the start of the next Calendar Year for verification of compliance by the Regulator, in accordance with clauses 4.2(a), (b), (c) and (d).</w:t>
      </w:r>
    </w:p>
    <w:p w14:paraId="28D65C70" w14:textId="77777777" w:rsidR="009D7ABF" w:rsidRDefault="009D7ABF" w:rsidP="008A599C">
      <w:pPr>
        <w:pStyle w:val="BodyText"/>
      </w:pPr>
      <w:r>
        <w:t>(b)</w:t>
      </w:r>
      <w:r>
        <w:tab/>
        <w:t>Where the Service Provider proposes to change a Haulage Reference Tariff within a Calendar Year, it will submit the proposed Haulage Reference Tariff change for verification of compliance by the Regulator, in accordance with clauses 4.2(a), (b) and (c).</w:t>
      </w:r>
    </w:p>
    <w:p w14:paraId="42A4FF47" w14:textId="77777777" w:rsidR="009D7ABF" w:rsidRDefault="009D7ABF" w:rsidP="008A599C">
      <w:pPr>
        <w:pStyle w:val="BodyText"/>
      </w:pPr>
      <w:r>
        <w:t>(c)</w:t>
      </w:r>
      <w:r>
        <w:tab/>
        <w:t>Where the Service Provider proposes to introduce a new Haulage Reference Tariff or new Haulage Reference Tariff Component or withdraw an existing Haulage Reference Tariff or existing Haulage Reference Tariff Component within a Calendar Year it will submit the proposal for verification of compliance by the Regulator, in accordance with clauses 4.2(a), (b), (c) and (d).</w:t>
      </w:r>
    </w:p>
    <w:p w14:paraId="4EE22D08" w14:textId="77777777" w:rsidR="009D7ABF" w:rsidRDefault="009D7ABF" w:rsidP="008A599C">
      <w:pPr>
        <w:pStyle w:val="BodyText"/>
      </w:pPr>
      <w:r>
        <w:t>(d)</w:t>
      </w:r>
      <w:r>
        <w:tab/>
        <w:t>The Service Provider will ensure its proposed Haulage Reference Tariffs or proposed changes to Haulage Reference Tariffs submitted under clauses 4.1(a), (b) or (c) comply with the Tariff Control Formula and rebalancing control formulae in clause 3.</w:t>
      </w:r>
    </w:p>
    <w:p w14:paraId="55E67328" w14:textId="28972A1E" w:rsidR="009D7ABF" w:rsidRDefault="009D7ABF" w:rsidP="00035B92">
      <w:pPr>
        <w:pStyle w:val="Heading2"/>
      </w:pPr>
      <w:bookmarkStart w:id="135" w:name="_Toc469519488"/>
      <w:r>
        <w:lastRenderedPageBreak/>
        <w:t>Assessment by the Regulator</w:t>
      </w:r>
      <w:bookmarkEnd w:id="135"/>
    </w:p>
    <w:p w14:paraId="04DCAAEA" w14:textId="77777777" w:rsidR="009D7ABF" w:rsidRDefault="009D7ABF" w:rsidP="008A599C">
      <w:pPr>
        <w:pStyle w:val="BodyText"/>
      </w:pPr>
      <w:r>
        <w:t>(a)</w:t>
      </w:r>
      <w:r>
        <w:tab/>
        <w:t>The Regulator will provide the Service Provider with written notice of whether or not it has verified the Haulage Reference Tariffs proposed by the Service Provider and submitted under clauses 4.1(a), (b) or (c) as compliant with the Tariff Control Formula and the rebalancing control formulae.  If the Regulator declines to verify the proposed Haulage Reference Tariffs as compliant, the Regulator must provide a written statement of reasons for that decision.</w:t>
      </w:r>
    </w:p>
    <w:p w14:paraId="20957D45" w14:textId="3498A92C" w:rsidR="009D7ABF" w:rsidRDefault="009D7ABF" w:rsidP="008A599C">
      <w:pPr>
        <w:pStyle w:val="BodyText"/>
      </w:pPr>
      <w:r>
        <w:t>(b)</w:t>
      </w:r>
      <w:r>
        <w:tab/>
        <w:t xml:space="preserve">The proposed Haulage Reference Tariffs will be deemed to have been verified as compliant in writing by the Regulator by the end of </w:t>
      </w:r>
      <w:r w:rsidR="00F072E4">
        <w:t xml:space="preserve">30 </w:t>
      </w:r>
      <w:r>
        <w:t>Business Days from the date on which the Regulator received the Service Provider’s notification under clauses 4.1(a), (b) or (c) unless the Regulator has notified the Service Provider in writing that it has declined to verify the proposed Haulage Reference Tariffs as compliant.</w:t>
      </w:r>
      <w:r w:rsidR="009657F9">
        <w:t xml:space="preserve"> </w:t>
      </w:r>
      <w:r w:rsidR="009657F9" w:rsidRPr="009657F9">
        <w:t xml:space="preserve">The </w:t>
      </w:r>
      <w:r w:rsidR="00F31C59">
        <w:t xml:space="preserve">Regulator </w:t>
      </w:r>
      <w:r w:rsidR="009657F9" w:rsidRPr="009657F9">
        <w:t xml:space="preserve">may require an extension of a specified duration. The </w:t>
      </w:r>
      <w:r w:rsidR="00F31C59">
        <w:t>Regulator</w:t>
      </w:r>
      <w:r w:rsidR="00F31C59" w:rsidRPr="009657F9">
        <w:t xml:space="preserve"> </w:t>
      </w:r>
      <w:r w:rsidR="009657F9" w:rsidRPr="009657F9">
        <w:t xml:space="preserve">will notify </w:t>
      </w:r>
      <w:r w:rsidR="00F31C59">
        <w:t xml:space="preserve">the Service Provider </w:t>
      </w:r>
      <w:r w:rsidR="009657F9" w:rsidRPr="009657F9">
        <w:t xml:space="preserve">of the extension and its duration within 30 </w:t>
      </w:r>
      <w:r w:rsidR="00146A27">
        <w:t>B</w:t>
      </w:r>
      <w:r w:rsidR="009657F9" w:rsidRPr="009657F9">
        <w:t xml:space="preserve">usiness </w:t>
      </w:r>
      <w:r w:rsidR="00146A27">
        <w:t>D</w:t>
      </w:r>
      <w:r w:rsidR="009657F9" w:rsidRPr="009657F9">
        <w:t xml:space="preserve">ays of receiving a notification from </w:t>
      </w:r>
      <w:r w:rsidR="00F31C59">
        <w:t>the Service Provider</w:t>
      </w:r>
      <w:r w:rsidR="009657F9" w:rsidRPr="009657F9">
        <w:t>.</w:t>
      </w:r>
    </w:p>
    <w:p w14:paraId="21F384A1" w14:textId="77777777" w:rsidR="009D7ABF" w:rsidRDefault="009D7ABF" w:rsidP="008A599C">
      <w:pPr>
        <w:pStyle w:val="BodyText"/>
      </w:pPr>
      <w:r>
        <w:t>(c)</w:t>
      </w:r>
      <w:r>
        <w:tab/>
        <w:t xml:space="preserve">If the Regulator issues a written notice to the Service Provider that it has declined to verify proposed Haulage Reference Tariffs and/or Haulage Reference Tariff Components (including but not limited to any new Haulage Reference Tariff and/or any new Haulage Reference Tariff Component) as compliant for a Calendar Year </w:t>
      </w:r>
      <w:r>
        <w:rPr>
          <w:rFonts w:ascii="Times New Roman" w:hAnsi="Times New Roman"/>
        </w:rPr>
        <w:t>t</w:t>
      </w:r>
      <w:r>
        <w:t>, then:</w:t>
      </w:r>
    </w:p>
    <w:p w14:paraId="1633CFAF" w14:textId="77777777" w:rsidR="009D7ABF" w:rsidRDefault="009D7ABF" w:rsidP="00711D19">
      <w:pPr>
        <w:spacing w:afterLines="60" w:after="144"/>
        <w:ind w:left="1440" w:hanging="720"/>
      </w:pPr>
      <w:r>
        <w:t>(1)</w:t>
      </w:r>
      <w:r>
        <w:tab/>
        <w:t xml:space="preserve">if the relevant left-hand side of the price control formula set out in clause 3.1 is &gt;1 then the Haulage Reference Tariffs applying in Calendar Year </w:t>
      </w:r>
      <w:r>
        <w:rPr>
          <w:rFonts w:ascii="Times New Roman" w:hAnsi="Times New Roman"/>
        </w:rPr>
        <w:t>t-1</w:t>
      </w:r>
      <w:r>
        <w:t xml:space="preserve"> are scaled up by the relevant left-hand side of the price control formula set out in clause 3.1; or</w:t>
      </w:r>
    </w:p>
    <w:p w14:paraId="5CB33315" w14:textId="77777777" w:rsidR="009D7ABF" w:rsidRDefault="009D7ABF" w:rsidP="00711D19">
      <w:pPr>
        <w:spacing w:afterLines="60" w:after="144"/>
        <w:ind w:left="1440" w:hanging="720"/>
      </w:pPr>
      <w:r>
        <w:t>(2)</w:t>
      </w:r>
      <w:r>
        <w:tab/>
        <w:t>if the relevant left-hand side of the price control formula set out in clause 3.1 is &lt;1 then the Haulage Reference Tariffs applying in Calendar Year t-1 are scaled down by the relevant left-hand side of the price control formula set out in clause 3.1.</w:t>
      </w:r>
    </w:p>
    <w:p w14:paraId="61BB838B" w14:textId="77777777" w:rsidR="009D7ABF" w:rsidRDefault="009D7ABF" w:rsidP="008A599C">
      <w:pPr>
        <w:pStyle w:val="BodyText"/>
      </w:pPr>
      <w:r>
        <w:t>(d)</w:t>
      </w:r>
      <w:r>
        <w:tab/>
        <w:t xml:space="preserve">If the Regulator has notified the Service Provider in writing that it has declined to verify as compliant the withdrawal of any existing Haulage Reference Tariffs and/or the withdrawal of any existing Haulage Reference Tariff Components proposed for Calendar Year </w:t>
      </w:r>
      <w:r>
        <w:rPr>
          <w:rFonts w:ascii="Times New Roman" w:hAnsi="Times New Roman"/>
          <w:i/>
          <w:iCs/>
        </w:rPr>
        <w:t>t</w:t>
      </w:r>
      <w:r>
        <w:t>, then:</w:t>
      </w:r>
    </w:p>
    <w:p w14:paraId="71B2604E" w14:textId="77777777" w:rsidR="009D7ABF" w:rsidRDefault="009D7ABF" w:rsidP="00711D19">
      <w:pPr>
        <w:spacing w:afterLines="60" w:after="144"/>
        <w:ind w:left="1440" w:hanging="720"/>
      </w:pPr>
      <w:r>
        <w:t>(1)</w:t>
      </w:r>
      <w:r>
        <w:tab/>
        <w:t>if the relevant left-hand side of the price control formula set out in clause 3.1 is &gt;1 then the Haulage Reference Tariffs applying in Calendar Year t-1 are scaled up by the relevant left-hand side of the price control formula set out in clause 3.1; or</w:t>
      </w:r>
    </w:p>
    <w:p w14:paraId="6325975B" w14:textId="77777777" w:rsidR="009D7ABF" w:rsidRDefault="009D7ABF" w:rsidP="00711D19">
      <w:pPr>
        <w:spacing w:afterLines="60" w:after="144"/>
        <w:ind w:left="1440" w:hanging="720"/>
      </w:pPr>
      <w:r>
        <w:t>(2)</w:t>
      </w:r>
      <w:r>
        <w:tab/>
        <w:t>if the relevant left-hand side of the price control formula set out in clause 3.1 is &lt;1 then the Haulage Reference Tariffs applying in Calendar Year t-1 are scaled down by the relevant left-hand side of the price control formula set out in clause 3.1.</w:t>
      </w:r>
    </w:p>
    <w:p w14:paraId="342C6430" w14:textId="77777777" w:rsidR="009D7ABF" w:rsidRDefault="009D7ABF" w:rsidP="008A599C">
      <w:pPr>
        <w:pStyle w:val="BodyText"/>
      </w:pPr>
      <w:r>
        <w:t>(e)</w:t>
      </w:r>
      <w:r>
        <w:tab/>
        <w:t>The Service Provider may provide additional information and resubmit or revise its proposed Haulage Reference Tariffs in accordance with clauses 4.1(a), (b) or (c) if the Regulator declines to verify as compliant proposed Haulage Reference Tariffs under clause 4.2(a) provided that if, in a Calendar Year, changes to Haulage Reference Tariffs have been verified as compliant by the Regulator, the Service Provider will notify in writing all Users affected by the changes as soon as practicable.</w:t>
      </w:r>
    </w:p>
    <w:p w14:paraId="260C4F05" w14:textId="180E4E1B" w:rsidR="009D7ABF" w:rsidRDefault="009D7ABF" w:rsidP="00035B92">
      <w:pPr>
        <w:pStyle w:val="Heading2"/>
      </w:pPr>
      <w:bookmarkStart w:id="136" w:name="_Toc469519489"/>
      <w:r>
        <w:t>Information Required from the Service Provider</w:t>
      </w:r>
      <w:bookmarkEnd w:id="136"/>
    </w:p>
    <w:p w14:paraId="41403487" w14:textId="4075425B" w:rsidR="009D7ABF" w:rsidRDefault="0061662E" w:rsidP="00900D3D">
      <w:pPr>
        <w:ind w:left="720" w:hanging="720"/>
      </w:pPr>
      <w:r>
        <w:t>(a)</w:t>
      </w:r>
      <w:r>
        <w:tab/>
      </w:r>
      <w:r w:rsidR="009D7ABF">
        <w:t>At the same time as submitting proposed Haulage Reference Tariffs to the Regulator, the Service Provider will also provide to the Regulator, information demonstrating that the proposed Haulage Reference Tariffs are, to the extent relevant, consistent with the Tariff Control Formula and rebalancing control formulae in clause 3.</w:t>
      </w:r>
    </w:p>
    <w:p w14:paraId="572C0458" w14:textId="1D8D42D2" w:rsidR="00387084" w:rsidRDefault="0061662E" w:rsidP="00900D3D">
      <w:pPr>
        <w:ind w:left="720" w:hanging="720"/>
      </w:pPr>
      <w:r>
        <w:t>(b)</w:t>
      </w:r>
      <w:r>
        <w:tab/>
      </w:r>
      <w:r w:rsidR="00387084" w:rsidRPr="00387084">
        <w:t xml:space="preserve">In respect of the annual variations of </w:t>
      </w:r>
      <w:r w:rsidR="00387084">
        <w:t>R</w:t>
      </w:r>
      <w:r w:rsidR="00387084" w:rsidRPr="00387084">
        <w:t xml:space="preserve">eference </w:t>
      </w:r>
      <w:r w:rsidR="00387084">
        <w:t>T</w:t>
      </w:r>
      <w:r w:rsidR="00387084" w:rsidRPr="00387084">
        <w:t>ariffs, the Service Provider will include a statement to support the gas quantity inputs in the tariff variation formula. The statement will be independently audited or verified and the quantity input will reflect the most recent actual annual quantities available at the time of tariff variation assessment.</w:t>
      </w:r>
    </w:p>
    <w:p w14:paraId="36504BB5" w14:textId="4C861B63" w:rsidR="009D7ABF" w:rsidRDefault="009D7ABF" w:rsidP="00035B92">
      <w:pPr>
        <w:pStyle w:val="Heading2"/>
      </w:pPr>
      <w:bookmarkStart w:id="137" w:name="_Toc468981982"/>
      <w:bookmarkStart w:id="138" w:name="_Toc469481343"/>
      <w:bookmarkStart w:id="139" w:name="_Toc468981983"/>
      <w:bookmarkStart w:id="140" w:name="_Toc469481344"/>
      <w:bookmarkStart w:id="141" w:name="_Toc468981984"/>
      <w:bookmarkStart w:id="142" w:name="_Toc469481345"/>
      <w:bookmarkStart w:id="143" w:name="_Toc468981985"/>
      <w:bookmarkStart w:id="144" w:name="_Toc469481346"/>
      <w:bookmarkStart w:id="145" w:name="_Toc468981986"/>
      <w:bookmarkStart w:id="146" w:name="_Toc469481347"/>
      <w:bookmarkStart w:id="147" w:name="_Toc468981987"/>
      <w:bookmarkStart w:id="148" w:name="_Toc469481348"/>
      <w:bookmarkStart w:id="149" w:name="_Toc468981989"/>
      <w:bookmarkStart w:id="150" w:name="_Toc469481350"/>
      <w:bookmarkStart w:id="151" w:name="_Toc46951949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lastRenderedPageBreak/>
        <w:t>Default Haulage Reference Tariffs for new Calendar Year t</w:t>
      </w:r>
      <w:bookmarkEnd w:id="151"/>
    </w:p>
    <w:p w14:paraId="417534EC" w14:textId="545E90C7" w:rsidR="009D7ABF" w:rsidRDefault="00E349D3" w:rsidP="008A599C">
      <w:pPr>
        <w:pStyle w:val="BodyText"/>
      </w:pPr>
      <w:r>
        <w:t>(a)</w:t>
      </w:r>
      <w:r>
        <w:tab/>
      </w:r>
      <w:r w:rsidR="009D7ABF">
        <w:t xml:space="preserve">If the Service Provider does not, at least </w:t>
      </w:r>
      <w:r w:rsidR="00F072E4">
        <w:t xml:space="preserve">50 </w:t>
      </w:r>
      <w:r w:rsidR="009D7ABF">
        <w:t xml:space="preserve">Business Days prior to the commencement of the next Calendar Year </w:t>
      </w:r>
      <w:r w:rsidR="009D7ABF">
        <w:rPr>
          <w:rFonts w:ascii="Times New Roman" w:hAnsi="Times New Roman"/>
          <w:i/>
          <w:iCs/>
        </w:rPr>
        <w:t>t</w:t>
      </w:r>
      <w:r w:rsidR="009D7ABF">
        <w:t xml:space="preserve"> submit proposed Haulage Reference Tariffs to apply from the start of the next Calendar Year </w:t>
      </w:r>
      <w:r w:rsidR="009D7ABF">
        <w:rPr>
          <w:rFonts w:ascii="Times New Roman" w:hAnsi="Times New Roman"/>
          <w:i/>
          <w:iCs/>
        </w:rPr>
        <w:t>t</w:t>
      </w:r>
      <w:r w:rsidR="009D7ABF">
        <w:t xml:space="preserve"> in accordance with clause 4.1(a) then:</w:t>
      </w:r>
    </w:p>
    <w:p w14:paraId="487C173A" w14:textId="7031635C" w:rsidR="009D7ABF" w:rsidRPr="001C7ABC" w:rsidRDefault="009D7ABF" w:rsidP="00900D3D">
      <w:pPr>
        <w:ind w:left="1440" w:hanging="720"/>
      </w:pPr>
      <w:r>
        <w:t>(</w:t>
      </w:r>
      <w:r w:rsidR="00E349D3">
        <w:t>1</w:t>
      </w:r>
      <w:r>
        <w:t>)</w:t>
      </w:r>
      <w:r>
        <w:tab/>
      </w:r>
      <w:r w:rsidRPr="001C7ABC">
        <w:t xml:space="preserve">where the left-hand side of the Tariff Control Formula to be applied for Calendar Year </w:t>
      </w:r>
      <w:r w:rsidRPr="001C7ABC">
        <w:rPr>
          <w:rFonts w:ascii="Times New Roman" w:hAnsi="Times New Roman"/>
          <w:i/>
          <w:iCs/>
        </w:rPr>
        <w:t xml:space="preserve">t </w:t>
      </w:r>
      <w:r w:rsidRPr="001C7ABC">
        <w:t xml:space="preserve">is greater </w:t>
      </w:r>
      <w:r w:rsidRPr="00D264ED">
        <w:t>than</w:t>
      </w:r>
      <w:r w:rsidRPr="001C7ABC">
        <w:t xml:space="preserve"> one, the Haulage Reference Tariffs applying in Calendar Year </w:t>
      </w:r>
      <w:r w:rsidRPr="001C7ABC">
        <w:rPr>
          <w:rFonts w:ascii="Times New Roman" w:hAnsi="Times New Roman"/>
          <w:i/>
          <w:iCs/>
        </w:rPr>
        <w:t>t</w:t>
      </w:r>
      <w:r w:rsidRPr="001C7ABC">
        <w:t>-</w:t>
      </w:r>
      <w:r w:rsidRPr="001C7ABC">
        <w:rPr>
          <w:rFonts w:ascii="Times New Roman" w:hAnsi="Times New Roman"/>
        </w:rPr>
        <w:t xml:space="preserve">1 </w:t>
      </w:r>
      <w:r w:rsidRPr="001C7ABC">
        <w:t xml:space="preserve">will be </w:t>
      </w:r>
      <w:r w:rsidR="00E0557C" w:rsidRPr="001C7ABC">
        <w:t xml:space="preserve">scaled up by the left-hand side of the Tariff Control Formula to be applied for Calendar Year </w:t>
      </w:r>
      <w:r w:rsidR="00E0557C" w:rsidRPr="001C7ABC">
        <w:rPr>
          <w:rFonts w:ascii="Times New Roman" w:hAnsi="Times New Roman"/>
          <w:i/>
          <w:iCs/>
        </w:rPr>
        <w:t xml:space="preserve">t </w:t>
      </w:r>
      <w:r w:rsidR="00E0557C" w:rsidRPr="001C7ABC">
        <w:t xml:space="preserve">and will apply for Calendar Year </w:t>
      </w:r>
      <w:r w:rsidR="00E0557C" w:rsidRPr="001C7ABC">
        <w:rPr>
          <w:rFonts w:ascii="Times New Roman" w:hAnsi="Times New Roman"/>
          <w:i/>
          <w:iCs/>
        </w:rPr>
        <w:t xml:space="preserve">t </w:t>
      </w:r>
      <w:r w:rsidR="00E0557C" w:rsidRPr="001C7ABC">
        <w:t xml:space="preserve">and the Haulage Reference Tariff Components applying in Calendar Year </w:t>
      </w:r>
      <w:r w:rsidR="00E0557C" w:rsidRPr="001C7ABC">
        <w:rPr>
          <w:rFonts w:ascii="Times New Roman" w:hAnsi="Times New Roman"/>
          <w:i/>
          <w:iCs/>
        </w:rPr>
        <w:t>t</w:t>
      </w:r>
      <w:r w:rsidR="00E0557C" w:rsidRPr="001C7ABC">
        <w:t>-</w:t>
      </w:r>
      <w:r w:rsidR="00E0557C" w:rsidRPr="001C7ABC">
        <w:rPr>
          <w:rFonts w:ascii="Times New Roman" w:hAnsi="Times New Roman"/>
        </w:rPr>
        <w:t xml:space="preserve">1 </w:t>
      </w:r>
      <w:r w:rsidR="00E0557C" w:rsidRPr="001C7ABC">
        <w:t xml:space="preserve">will be scaled up </w:t>
      </w:r>
      <w:r w:rsidR="006C6386" w:rsidRPr="001C7ABC">
        <w:t>and applied accordingly</w:t>
      </w:r>
      <w:r w:rsidRPr="001C7ABC">
        <w:t>; and</w:t>
      </w:r>
    </w:p>
    <w:p w14:paraId="5B93EF93" w14:textId="31BDB53C" w:rsidR="009D7ABF" w:rsidRPr="001C7ABC" w:rsidRDefault="009D7ABF" w:rsidP="00900D3D">
      <w:pPr>
        <w:ind w:left="1440" w:hanging="720"/>
      </w:pPr>
      <w:r w:rsidRPr="001C7ABC">
        <w:t>(</w:t>
      </w:r>
      <w:r w:rsidR="00E349D3">
        <w:t>2</w:t>
      </w:r>
      <w:r w:rsidRPr="001C7ABC">
        <w:t>)</w:t>
      </w:r>
      <w:r w:rsidRPr="001C7ABC">
        <w:tab/>
        <w:t xml:space="preserve">where the left-hand side of the Tariff Control Formula to be applied for Calendar Year </w:t>
      </w:r>
      <w:r w:rsidRPr="001C7ABC">
        <w:rPr>
          <w:rFonts w:ascii="Times New Roman" w:hAnsi="Times New Roman"/>
          <w:i/>
          <w:iCs/>
        </w:rPr>
        <w:t xml:space="preserve">t </w:t>
      </w:r>
      <w:r w:rsidRPr="001C7ABC">
        <w:t xml:space="preserve">is less than one, the Haulage Reference Tariffs applying in Calendar Year </w:t>
      </w:r>
      <w:r w:rsidRPr="001C7ABC">
        <w:rPr>
          <w:rFonts w:ascii="Times New Roman" w:hAnsi="Times New Roman"/>
          <w:i/>
          <w:iCs/>
        </w:rPr>
        <w:t>t</w:t>
      </w:r>
      <w:r w:rsidRPr="001C7ABC">
        <w:t>-</w:t>
      </w:r>
      <w:r w:rsidRPr="001C7ABC">
        <w:rPr>
          <w:rFonts w:ascii="Times New Roman" w:hAnsi="Times New Roman"/>
        </w:rPr>
        <w:t xml:space="preserve">1 </w:t>
      </w:r>
      <w:r w:rsidRPr="001C7ABC">
        <w:t xml:space="preserve">will be scaled down by the left-hand side of </w:t>
      </w:r>
      <w:r w:rsidRPr="00D264ED">
        <w:t>the</w:t>
      </w:r>
      <w:r w:rsidRPr="001C7ABC">
        <w:t xml:space="preserve"> Tariff Control Formula to be applied for Calendar Year </w:t>
      </w:r>
      <w:r w:rsidRPr="001C7ABC">
        <w:rPr>
          <w:rFonts w:ascii="Times New Roman" w:hAnsi="Times New Roman"/>
          <w:i/>
          <w:iCs/>
        </w:rPr>
        <w:t xml:space="preserve">t </w:t>
      </w:r>
      <w:r w:rsidRPr="001C7ABC">
        <w:t xml:space="preserve">and will apply for Calendar Year </w:t>
      </w:r>
      <w:r w:rsidRPr="001C7ABC">
        <w:rPr>
          <w:rFonts w:ascii="Times New Roman" w:hAnsi="Times New Roman"/>
          <w:i/>
          <w:iCs/>
        </w:rPr>
        <w:t xml:space="preserve">t </w:t>
      </w:r>
      <w:r w:rsidRPr="001C7ABC">
        <w:t xml:space="preserve">and the Haulage Reference Tariff Components applying in Calendar Year </w:t>
      </w:r>
      <w:r w:rsidRPr="001C7ABC">
        <w:rPr>
          <w:rFonts w:ascii="Times New Roman" w:hAnsi="Times New Roman"/>
          <w:i/>
          <w:iCs/>
        </w:rPr>
        <w:t>t</w:t>
      </w:r>
      <w:r w:rsidRPr="001C7ABC">
        <w:t>-</w:t>
      </w:r>
      <w:r w:rsidRPr="001C7ABC">
        <w:rPr>
          <w:rFonts w:ascii="Times New Roman" w:hAnsi="Times New Roman"/>
        </w:rPr>
        <w:t xml:space="preserve">1 </w:t>
      </w:r>
      <w:r w:rsidRPr="001C7ABC">
        <w:t>will be scaled down and applied accordingly.</w:t>
      </w:r>
      <w:r w:rsidR="00EC714B" w:rsidRPr="001C7ABC">
        <w:t xml:space="preserve"> </w:t>
      </w:r>
    </w:p>
    <w:p w14:paraId="555ABCA2" w14:textId="24FC3847" w:rsidR="009D7ABF" w:rsidRDefault="00E349D3" w:rsidP="008A599C">
      <w:pPr>
        <w:pStyle w:val="BodyText"/>
      </w:pPr>
      <w:r>
        <w:t>(b)</w:t>
      </w:r>
      <w:r>
        <w:tab/>
      </w:r>
      <w:r w:rsidR="009D7ABF">
        <w:t>Until such time as the Regulator has, or been deemed to have, verified Haulage Reference Tariffs and/or Haulage Reference Tariff Components for Calendar Year t as compliant in response to a submission by the Service Provider.</w:t>
      </w:r>
    </w:p>
    <w:p w14:paraId="150371B7" w14:textId="31C1C6E9" w:rsidR="009D7ABF" w:rsidRDefault="009D7ABF" w:rsidP="008A599C">
      <w:pPr>
        <w:pStyle w:val="Heading1"/>
      </w:pPr>
      <w:bookmarkStart w:id="152" w:name="_Toc469519491"/>
      <w:r>
        <w:t>Calculation of Charges for Haulage Reference Tariffs</w:t>
      </w:r>
      <w:bookmarkEnd w:id="152"/>
    </w:p>
    <w:p w14:paraId="402E2B4F" w14:textId="77777777" w:rsidR="009D7ABF" w:rsidRDefault="009D7ABF" w:rsidP="008A599C">
      <w:pPr>
        <w:pStyle w:val="BodyText"/>
      </w:pPr>
      <w:r>
        <w:t>Haulage Reference Tariffs are charged in accordance with the calculations described below:</w:t>
      </w:r>
    </w:p>
    <w:p w14:paraId="46404785" w14:textId="6F59A5AB" w:rsidR="009D7ABF" w:rsidRDefault="009D7ABF" w:rsidP="00035B92">
      <w:pPr>
        <w:pStyle w:val="Heading2"/>
      </w:pPr>
      <w:bookmarkStart w:id="153" w:name="_Toc469519492"/>
      <w:r>
        <w:t>Distribution Fixed Tariff Components</w:t>
      </w:r>
      <w:bookmarkEnd w:id="153"/>
    </w:p>
    <w:p w14:paraId="2B04A0A5" w14:textId="77777777" w:rsidR="009D7ABF" w:rsidRDefault="009D7ABF" w:rsidP="00900D3D">
      <w:r>
        <w:t xml:space="preserve">The Distribution Fixed Tariff Components and consumption ranges shown in </w:t>
      </w:r>
      <w:r w:rsidR="005C44D0">
        <w:t>clause 9</w:t>
      </w:r>
      <w:r>
        <w:t xml:space="preserve">, as applicable, are daily amounts.  The Distribution Fixed Tariff Component or consumption range applied to calculate a Charge for a billing period in Calendar Year </w:t>
      </w:r>
      <w:r w:rsidRPr="00F57D9B">
        <w:rPr>
          <w:i/>
        </w:rPr>
        <w:t>t</w:t>
      </w:r>
      <w:r>
        <w:t xml:space="preserve"> shall be the Distribution Fixed Tariff Component applying in Calendar Year </w:t>
      </w:r>
      <w:r w:rsidRPr="00F57D9B">
        <w:rPr>
          <w:i/>
        </w:rPr>
        <w:t>t</w:t>
      </w:r>
      <w:r>
        <w:t xml:space="preserve"> or consumption range shown in </w:t>
      </w:r>
      <w:r w:rsidR="005C44D0">
        <w:t>clause 9</w:t>
      </w:r>
      <w:r>
        <w:t>, as applicable, multiplied by the number of days in the billing period.</w:t>
      </w:r>
    </w:p>
    <w:p w14:paraId="6B939FEC" w14:textId="26B8CEFB" w:rsidR="009D7ABF" w:rsidRDefault="009D7ABF" w:rsidP="00035B92">
      <w:pPr>
        <w:pStyle w:val="Heading2"/>
      </w:pPr>
      <w:bookmarkStart w:id="154" w:name="_Toc469519493"/>
      <w:r>
        <w:t>Distribution Volume Tariff Components</w:t>
      </w:r>
      <w:bookmarkEnd w:id="154"/>
    </w:p>
    <w:p w14:paraId="196B139A" w14:textId="77777777" w:rsidR="009D7ABF" w:rsidRDefault="009D7ABF" w:rsidP="008A599C">
      <w:pPr>
        <w:pStyle w:val="BodyText"/>
      </w:pPr>
      <w:r>
        <w:t>(a)</w:t>
      </w:r>
      <w:r>
        <w:tab/>
        <w:t>Distribution Volume Tariff Components are Charged according to the actual GJs of Gas withdrawn in the billing period, or an estimate of the GJs of Gas withdrawn in the billing period which is acceptable to the Service Provider.</w:t>
      </w:r>
    </w:p>
    <w:p w14:paraId="785FD8A4" w14:textId="589AEAFD" w:rsidR="009D7ABF" w:rsidRDefault="009D7ABF" w:rsidP="008A599C">
      <w:pPr>
        <w:pStyle w:val="BodyText"/>
      </w:pPr>
      <w:r>
        <w:t>(b)</w:t>
      </w:r>
      <w:r>
        <w:tab/>
        <w:t>Where some of the days in the billing period are in the Peak Period</w:t>
      </w:r>
      <w:r w:rsidR="00CA4F24">
        <w:t xml:space="preserve">, the </w:t>
      </w:r>
      <w:r>
        <w:t>GJs of Gas withdrawn in the Peak Period are:</w:t>
      </w:r>
    </w:p>
    <w:p w14:paraId="10070617" w14:textId="77777777" w:rsidR="009D7ABF" w:rsidRDefault="009D7ABF" w:rsidP="006664FC">
      <w:pPr>
        <w:ind w:left="1440"/>
      </w:pPr>
      <w:r>
        <w:t xml:space="preserve">GPP = TAG x </w:t>
      </w:r>
      <w:r>
        <w:rPr>
          <w:position w:val="-24"/>
        </w:rPr>
        <w:object w:dxaOrig="720" w:dyaOrig="620" w14:anchorId="199DB0C5">
          <v:shape id="_x0000_i1072" type="#_x0000_t75" style="width:36pt;height:30.6pt" o:ole="" fillcolor="window">
            <v:imagedata r:id="rId106" o:title=""/>
          </v:shape>
          <o:OLEObject Type="Embed" ProgID="Equation.3" ShapeID="_x0000_i1072" DrawAspect="Content" ObjectID="_1543320172" r:id="rId107"/>
        </w:object>
      </w:r>
    </w:p>
    <w:p w14:paraId="7881533B" w14:textId="77777777" w:rsidR="009D7ABF" w:rsidRDefault="009D7ABF" w:rsidP="006664FC">
      <w:pPr>
        <w:spacing w:afterLines="60" w:after="144"/>
        <w:ind w:left="720"/>
      </w:pPr>
      <w:r>
        <w:t xml:space="preserve">where: </w:t>
      </w:r>
    </w:p>
    <w:p w14:paraId="1462E517" w14:textId="77777777" w:rsidR="009D7ABF" w:rsidRDefault="009D7ABF" w:rsidP="006664FC">
      <w:pPr>
        <w:spacing w:afterLines="60" w:after="144"/>
        <w:ind w:left="720"/>
      </w:pPr>
      <w:r>
        <w:rPr>
          <w:rFonts w:ascii="Times New Roman" w:hAnsi="Times New Roman"/>
          <w:i/>
          <w:iCs/>
          <w:sz w:val="24"/>
        </w:rPr>
        <w:t>GPP</w:t>
      </w:r>
      <w:r>
        <w:tab/>
        <w:t>is defined as the GJs of Gas withdrawn in the Peak Period;</w:t>
      </w:r>
    </w:p>
    <w:p w14:paraId="30FB5123" w14:textId="77777777" w:rsidR="009D7ABF" w:rsidRDefault="009D7ABF" w:rsidP="006664FC">
      <w:pPr>
        <w:spacing w:afterLines="60" w:after="144"/>
        <w:ind w:left="1440" w:hanging="720"/>
      </w:pPr>
      <w:r>
        <w:rPr>
          <w:rFonts w:ascii="Times New Roman" w:hAnsi="Times New Roman"/>
          <w:i/>
          <w:iCs/>
          <w:sz w:val="24"/>
        </w:rPr>
        <w:t>TAG</w:t>
      </w:r>
      <w:r>
        <w:rPr>
          <w:rFonts w:ascii="Times New Roman" w:hAnsi="Times New Roman"/>
          <w:i/>
          <w:iCs/>
          <w:sz w:val="24"/>
        </w:rPr>
        <w:tab/>
      </w:r>
      <w:r>
        <w:t>is defined as the total actual GJs of Gas withdrawn in the billing period, or an estimate of the total GJs of Gas withdrawn in the billing period which is acceptable to the Service Provider;</w:t>
      </w:r>
    </w:p>
    <w:p w14:paraId="346484E1" w14:textId="77777777" w:rsidR="009D7ABF" w:rsidRDefault="009D7ABF" w:rsidP="006664FC">
      <w:pPr>
        <w:spacing w:afterLines="60" w:after="144"/>
        <w:ind w:left="1440" w:hanging="720"/>
      </w:pPr>
      <w:r>
        <w:rPr>
          <w:rFonts w:ascii="Times New Roman" w:hAnsi="Times New Roman"/>
          <w:i/>
          <w:iCs/>
          <w:sz w:val="24"/>
        </w:rPr>
        <w:t>PPBP</w:t>
      </w:r>
      <w:r>
        <w:tab/>
        <w:t>is defined as the number of days in the billing period which are in the Peak Period; and</w:t>
      </w:r>
    </w:p>
    <w:p w14:paraId="0F4A8B6D" w14:textId="77777777" w:rsidR="009D7ABF" w:rsidRDefault="009D7ABF" w:rsidP="006664FC">
      <w:pPr>
        <w:spacing w:afterLines="60" w:after="144"/>
        <w:ind w:left="720"/>
      </w:pPr>
      <w:r>
        <w:rPr>
          <w:rFonts w:ascii="Times New Roman" w:hAnsi="Times New Roman"/>
          <w:i/>
          <w:iCs/>
          <w:sz w:val="24"/>
        </w:rPr>
        <w:t>TBP</w:t>
      </w:r>
      <w:r>
        <w:t xml:space="preserve"> </w:t>
      </w:r>
      <w:r>
        <w:tab/>
        <w:t>is defined as the total number of days in the billing period.</w:t>
      </w:r>
    </w:p>
    <w:p w14:paraId="39D3865A" w14:textId="6336B1B3" w:rsidR="009D7ABF" w:rsidRDefault="009D7ABF" w:rsidP="00035B92">
      <w:pPr>
        <w:pStyle w:val="Heading2"/>
      </w:pPr>
      <w:bookmarkStart w:id="155" w:name="_Toc469519494"/>
      <w:r>
        <w:lastRenderedPageBreak/>
        <w:t>Distribution Demand Tariff Components</w:t>
      </w:r>
      <w:bookmarkEnd w:id="155"/>
    </w:p>
    <w:p w14:paraId="02D5F58E" w14:textId="4A220F72" w:rsidR="009D7ABF" w:rsidRDefault="009F760E" w:rsidP="006664FC">
      <w:r>
        <w:t>(a)</w:t>
      </w:r>
      <w:r>
        <w:tab/>
      </w:r>
      <w:r w:rsidR="009D7ABF">
        <w:t xml:space="preserve">Distribution Demand Tariff </w:t>
      </w:r>
      <w:r w:rsidR="009D7ABF" w:rsidRPr="00B75833">
        <w:t>Components</w:t>
      </w:r>
      <w:r w:rsidR="009D7ABF">
        <w:t xml:space="preserve"> are charged according to the following formula:</w:t>
      </w:r>
    </w:p>
    <w:p w14:paraId="6539E74E" w14:textId="77777777" w:rsidR="003722D4" w:rsidRDefault="003722D4" w:rsidP="008A599C">
      <w:pPr>
        <w:pStyle w:val="BodyText"/>
      </w:pPr>
    </w:p>
    <w:p w14:paraId="796B874F" w14:textId="77777777" w:rsidR="009D7ABF" w:rsidRDefault="009D7ABF" w:rsidP="00711D19">
      <w:pPr>
        <w:spacing w:afterLines="60" w:after="144"/>
        <w:ind w:left="3545" w:hanging="709"/>
        <w:jc w:val="left"/>
        <w:rPr>
          <w:rFonts w:ascii="Times New Roman" w:hAnsi="Times New Roman"/>
          <w:i/>
          <w:iCs/>
          <w:sz w:val="24"/>
        </w:rPr>
      </w:pPr>
      <w:r>
        <w:rPr>
          <w:rFonts w:ascii="Times New Roman" w:hAnsi="Times New Roman"/>
          <w:i/>
          <w:iCs/>
          <w:sz w:val="24"/>
        </w:rPr>
        <w:t xml:space="preserve">MC = </w:t>
      </w:r>
      <w:r>
        <w:rPr>
          <w:rFonts w:ascii="Times New Roman" w:hAnsi="Times New Roman"/>
          <w:i/>
          <w:iCs/>
          <w:sz w:val="24"/>
          <w:u w:val="single"/>
        </w:rPr>
        <w:t>EAC - CBTD</w:t>
      </w:r>
      <w:r>
        <w:rPr>
          <w:rFonts w:ascii="Times New Roman" w:hAnsi="Times New Roman"/>
          <w:i/>
          <w:iCs/>
          <w:sz w:val="24"/>
          <w:u w:val="single"/>
        </w:rPr>
        <w:br/>
      </w:r>
      <w:r>
        <w:rPr>
          <w:rFonts w:ascii="Times New Roman" w:hAnsi="Times New Roman"/>
          <w:i/>
          <w:iCs/>
          <w:sz w:val="24"/>
        </w:rPr>
        <w:t>RBP</w:t>
      </w:r>
    </w:p>
    <w:p w14:paraId="2D32C8BA" w14:textId="77777777" w:rsidR="009D7ABF" w:rsidRPr="00B75833" w:rsidRDefault="009D7ABF" w:rsidP="006664FC">
      <w:pPr>
        <w:spacing w:afterLines="60" w:after="144"/>
        <w:ind w:left="720"/>
      </w:pPr>
      <w:r w:rsidRPr="00B75833">
        <w:t>where:</w:t>
      </w:r>
    </w:p>
    <w:p w14:paraId="104B581F" w14:textId="77777777" w:rsidR="009D7ABF" w:rsidRPr="00B75833" w:rsidRDefault="009D7ABF" w:rsidP="006664FC">
      <w:pPr>
        <w:spacing w:afterLines="60" w:after="144"/>
        <w:ind w:left="720"/>
      </w:pPr>
      <w:r w:rsidRPr="006664FC">
        <w:rPr>
          <w:i/>
        </w:rPr>
        <w:t>MC</w:t>
      </w:r>
      <w:r w:rsidRPr="00F57D9B">
        <w:tab/>
      </w:r>
      <w:r w:rsidRPr="00B75833">
        <w:t>is the charge for a particular month in Regulatory Year “t”.</w:t>
      </w:r>
    </w:p>
    <w:p w14:paraId="35805ADB" w14:textId="77777777" w:rsidR="009D7ABF" w:rsidRPr="004B17B3" w:rsidRDefault="009D7ABF" w:rsidP="006664FC">
      <w:pPr>
        <w:spacing w:afterLines="60" w:after="144"/>
        <w:ind w:left="1440" w:hanging="720"/>
      </w:pPr>
      <w:r w:rsidRPr="006664FC">
        <w:rPr>
          <w:i/>
        </w:rPr>
        <w:t>EAC</w:t>
      </w:r>
      <w:r w:rsidRPr="00F57D9B">
        <w:tab/>
      </w:r>
      <w:r w:rsidRPr="00B75833">
        <w:t>is the estimated annual charge calculated by applying the relevant Haulage Reference Tariff Components to EAD;</w:t>
      </w:r>
    </w:p>
    <w:p w14:paraId="182A42E0" w14:textId="77777777" w:rsidR="009D7ABF" w:rsidRPr="00B75833" w:rsidRDefault="009D7ABF" w:rsidP="006664FC">
      <w:pPr>
        <w:spacing w:afterLines="60" w:after="144"/>
        <w:ind w:left="720"/>
      </w:pPr>
      <w:r w:rsidRPr="006664FC">
        <w:rPr>
          <w:i/>
        </w:rPr>
        <w:t>CBTD</w:t>
      </w:r>
      <w:r w:rsidRPr="00F57D9B">
        <w:tab/>
      </w:r>
      <w:r w:rsidRPr="00B75833">
        <w:t>is the sum of the charges for all prior billing periods of Regulatory Year “t”;</w:t>
      </w:r>
    </w:p>
    <w:p w14:paraId="28545182" w14:textId="77777777" w:rsidR="009D7ABF" w:rsidRDefault="009D7ABF" w:rsidP="006664FC">
      <w:pPr>
        <w:spacing w:afterLines="60" w:after="144"/>
        <w:ind w:left="720"/>
      </w:pPr>
      <w:r w:rsidRPr="006664FC">
        <w:rPr>
          <w:i/>
        </w:rPr>
        <w:t>RBP</w:t>
      </w:r>
      <w:r>
        <w:rPr>
          <w:rFonts w:ascii="Times New Roman" w:hAnsi="Times New Roman"/>
          <w:i/>
          <w:iCs/>
          <w:sz w:val="24"/>
        </w:rPr>
        <w:tab/>
      </w:r>
      <w:r>
        <w:t>is the remaining billing periods in Regulatory Year “t”, as set out below:</w:t>
      </w:r>
    </w:p>
    <w:p w14:paraId="45C7C2AA" w14:textId="77777777" w:rsidR="004C7704" w:rsidRPr="004C7704" w:rsidRDefault="004C7704" w:rsidP="008A599C">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122"/>
      </w:tblGrid>
      <w:tr w:rsidR="009D7ABF" w:rsidRPr="004C7704" w14:paraId="1D16CF8F" w14:textId="77777777" w:rsidTr="00060F5C">
        <w:trPr>
          <w:cantSplit/>
          <w:trHeight w:val="284"/>
          <w:jc w:val="center"/>
        </w:trPr>
        <w:tc>
          <w:tcPr>
            <w:tcW w:w="1365" w:type="dxa"/>
            <w:shd w:val="clear" w:color="auto" w:fill="E0E0E0"/>
          </w:tcPr>
          <w:p w14:paraId="1B83D6D1" w14:textId="77777777" w:rsidR="009D7ABF" w:rsidRPr="004A34B7" w:rsidRDefault="009D7ABF" w:rsidP="008A599C">
            <w:pPr>
              <w:pStyle w:val="BodyText"/>
            </w:pPr>
            <w:r w:rsidRPr="004A34B7">
              <w:t>Month</w:t>
            </w:r>
          </w:p>
        </w:tc>
        <w:tc>
          <w:tcPr>
            <w:tcW w:w="1122" w:type="dxa"/>
            <w:shd w:val="clear" w:color="auto" w:fill="E0E0E0"/>
          </w:tcPr>
          <w:p w14:paraId="2BD4C859" w14:textId="77777777" w:rsidR="009D7ABF" w:rsidRPr="004A34B7" w:rsidRDefault="009D7ABF" w:rsidP="008A599C">
            <w:pPr>
              <w:pStyle w:val="BodyText"/>
            </w:pPr>
            <w:r w:rsidRPr="004A34B7">
              <w:t>RBP</w:t>
            </w:r>
          </w:p>
        </w:tc>
      </w:tr>
      <w:tr w:rsidR="009D7ABF" w14:paraId="017DCD25" w14:textId="77777777" w:rsidTr="00060F5C">
        <w:trPr>
          <w:cantSplit/>
          <w:trHeight w:val="284"/>
          <w:jc w:val="center"/>
        </w:trPr>
        <w:tc>
          <w:tcPr>
            <w:tcW w:w="1365" w:type="dxa"/>
          </w:tcPr>
          <w:p w14:paraId="0F255088" w14:textId="77777777" w:rsidR="009D7ABF" w:rsidRDefault="009D7ABF" w:rsidP="008A599C">
            <w:pPr>
              <w:pStyle w:val="BodyText"/>
            </w:pPr>
            <w:r>
              <w:t>January</w:t>
            </w:r>
          </w:p>
        </w:tc>
        <w:tc>
          <w:tcPr>
            <w:tcW w:w="1122" w:type="dxa"/>
          </w:tcPr>
          <w:p w14:paraId="258F31FF" w14:textId="77777777" w:rsidR="009D7ABF" w:rsidRDefault="009D7ABF" w:rsidP="008A599C">
            <w:pPr>
              <w:pStyle w:val="BodyText"/>
            </w:pPr>
            <w:r>
              <w:t>12</w:t>
            </w:r>
          </w:p>
        </w:tc>
      </w:tr>
      <w:tr w:rsidR="009D7ABF" w14:paraId="273B9E3F" w14:textId="77777777" w:rsidTr="00060F5C">
        <w:trPr>
          <w:cantSplit/>
          <w:trHeight w:val="284"/>
          <w:jc w:val="center"/>
        </w:trPr>
        <w:tc>
          <w:tcPr>
            <w:tcW w:w="1365" w:type="dxa"/>
          </w:tcPr>
          <w:p w14:paraId="5233BF2F" w14:textId="77777777" w:rsidR="009D7ABF" w:rsidRDefault="009D7ABF" w:rsidP="008A599C">
            <w:pPr>
              <w:pStyle w:val="BodyText"/>
            </w:pPr>
            <w:r>
              <w:t>February</w:t>
            </w:r>
          </w:p>
        </w:tc>
        <w:tc>
          <w:tcPr>
            <w:tcW w:w="1122" w:type="dxa"/>
          </w:tcPr>
          <w:p w14:paraId="263A5780" w14:textId="77777777" w:rsidR="009D7ABF" w:rsidRDefault="009D7ABF" w:rsidP="008A599C">
            <w:pPr>
              <w:pStyle w:val="BodyText"/>
            </w:pPr>
            <w:r>
              <w:t>11</w:t>
            </w:r>
          </w:p>
        </w:tc>
      </w:tr>
      <w:tr w:rsidR="009D7ABF" w14:paraId="06631684" w14:textId="77777777" w:rsidTr="00060F5C">
        <w:trPr>
          <w:cantSplit/>
          <w:trHeight w:val="284"/>
          <w:jc w:val="center"/>
        </w:trPr>
        <w:tc>
          <w:tcPr>
            <w:tcW w:w="1365" w:type="dxa"/>
          </w:tcPr>
          <w:p w14:paraId="35329B13" w14:textId="77777777" w:rsidR="009D7ABF" w:rsidRDefault="009D7ABF" w:rsidP="008A599C">
            <w:pPr>
              <w:pStyle w:val="BodyText"/>
            </w:pPr>
            <w:r>
              <w:t>March</w:t>
            </w:r>
          </w:p>
        </w:tc>
        <w:tc>
          <w:tcPr>
            <w:tcW w:w="1122" w:type="dxa"/>
          </w:tcPr>
          <w:p w14:paraId="7173E69D" w14:textId="77777777" w:rsidR="009D7ABF" w:rsidRDefault="009D7ABF" w:rsidP="008A599C">
            <w:pPr>
              <w:pStyle w:val="BodyText"/>
            </w:pPr>
            <w:r>
              <w:t>10</w:t>
            </w:r>
          </w:p>
        </w:tc>
      </w:tr>
      <w:tr w:rsidR="009D7ABF" w14:paraId="740CA13C" w14:textId="77777777" w:rsidTr="00060F5C">
        <w:trPr>
          <w:cantSplit/>
          <w:trHeight w:val="284"/>
          <w:jc w:val="center"/>
        </w:trPr>
        <w:tc>
          <w:tcPr>
            <w:tcW w:w="1365" w:type="dxa"/>
          </w:tcPr>
          <w:p w14:paraId="226374A3" w14:textId="77777777" w:rsidR="009D7ABF" w:rsidRDefault="009D7ABF" w:rsidP="008A599C">
            <w:pPr>
              <w:pStyle w:val="BodyText"/>
            </w:pPr>
            <w:r>
              <w:t>April</w:t>
            </w:r>
          </w:p>
        </w:tc>
        <w:tc>
          <w:tcPr>
            <w:tcW w:w="1122" w:type="dxa"/>
          </w:tcPr>
          <w:p w14:paraId="5C7E4AE9" w14:textId="77777777" w:rsidR="009D7ABF" w:rsidRDefault="009D7ABF" w:rsidP="008A599C">
            <w:pPr>
              <w:pStyle w:val="BodyText"/>
            </w:pPr>
            <w:r>
              <w:t>9</w:t>
            </w:r>
          </w:p>
        </w:tc>
      </w:tr>
      <w:tr w:rsidR="009D7ABF" w14:paraId="1DD36DD5" w14:textId="77777777" w:rsidTr="00060F5C">
        <w:trPr>
          <w:cantSplit/>
          <w:trHeight w:val="284"/>
          <w:jc w:val="center"/>
        </w:trPr>
        <w:tc>
          <w:tcPr>
            <w:tcW w:w="1365" w:type="dxa"/>
          </w:tcPr>
          <w:p w14:paraId="23927DC6" w14:textId="77777777" w:rsidR="009D7ABF" w:rsidRDefault="009D7ABF" w:rsidP="008A599C">
            <w:pPr>
              <w:pStyle w:val="BodyText"/>
            </w:pPr>
            <w:r>
              <w:t>May</w:t>
            </w:r>
          </w:p>
        </w:tc>
        <w:tc>
          <w:tcPr>
            <w:tcW w:w="1122" w:type="dxa"/>
          </w:tcPr>
          <w:p w14:paraId="45EFDBE3" w14:textId="77777777" w:rsidR="009D7ABF" w:rsidRDefault="009D7ABF" w:rsidP="008A599C">
            <w:pPr>
              <w:pStyle w:val="BodyText"/>
            </w:pPr>
            <w:r>
              <w:t>8</w:t>
            </w:r>
          </w:p>
        </w:tc>
      </w:tr>
      <w:tr w:rsidR="009D7ABF" w14:paraId="6F137F8A" w14:textId="77777777" w:rsidTr="00060F5C">
        <w:trPr>
          <w:cantSplit/>
          <w:trHeight w:val="284"/>
          <w:jc w:val="center"/>
        </w:trPr>
        <w:tc>
          <w:tcPr>
            <w:tcW w:w="1365" w:type="dxa"/>
          </w:tcPr>
          <w:p w14:paraId="53293A1A" w14:textId="77777777" w:rsidR="009D7ABF" w:rsidRDefault="009D7ABF" w:rsidP="008A599C">
            <w:pPr>
              <w:pStyle w:val="BodyText"/>
            </w:pPr>
            <w:r>
              <w:t>June</w:t>
            </w:r>
          </w:p>
        </w:tc>
        <w:tc>
          <w:tcPr>
            <w:tcW w:w="1122" w:type="dxa"/>
          </w:tcPr>
          <w:p w14:paraId="6FA6DA59" w14:textId="77777777" w:rsidR="009D7ABF" w:rsidRDefault="009D7ABF" w:rsidP="008A599C">
            <w:pPr>
              <w:pStyle w:val="BodyText"/>
            </w:pPr>
            <w:r>
              <w:t>7</w:t>
            </w:r>
          </w:p>
        </w:tc>
      </w:tr>
      <w:tr w:rsidR="009D7ABF" w14:paraId="1BA89FB5" w14:textId="77777777" w:rsidTr="00060F5C">
        <w:trPr>
          <w:cantSplit/>
          <w:trHeight w:val="284"/>
          <w:jc w:val="center"/>
        </w:trPr>
        <w:tc>
          <w:tcPr>
            <w:tcW w:w="1365" w:type="dxa"/>
          </w:tcPr>
          <w:p w14:paraId="5A10D109" w14:textId="77777777" w:rsidR="009D7ABF" w:rsidRDefault="009D7ABF" w:rsidP="008A599C">
            <w:pPr>
              <w:pStyle w:val="BodyText"/>
            </w:pPr>
            <w:r>
              <w:t>July</w:t>
            </w:r>
          </w:p>
        </w:tc>
        <w:tc>
          <w:tcPr>
            <w:tcW w:w="1122" w:type="dxa"/>
          </w:tcPr>
          <w:p w14:paraId="52302281" w14:textId="77777777" w:rsidR="009D7ABF" w:rsidRDefault="009D7ABF" w:rsidP="008A599C">
            <w:pPr>
              <w:pStyle w:val="BodyText"/>
            </w:pPr>
            <w:r>
              <w:t>6</w:t>
            </w:r>
          </w:p>
        </w:tc>
      </w:tr>
      <w:tr w:rsidR="009D7ABF" w14:paraId="1C24B55E" w14:textId="77777777" w:rsidTr="00060F5C">
        <w:trPr>
          <w:cantSplit/>
          <w:trHeight w:val="284"/>
          <w:jc w:val="center"/>
        </w:trPr>
        <w:tc>
          <w:tcPr>
            <w:tcW w:w="1365" w:type="dxa"/>
          </w:tcPr>
          <w:p w14:paraId="2F03AB5C" w14:textId="77777777" w:rsidR="009D7ABF" w:rsidRDefault="009D7ABF" w:rsidP="008A599C">
            <w:pPr>
              <w:pStyle w:val="BodyText"/>
            </w:pPr>
            <w:r>
              <w:t>August</w:t>
            </w:r>
          </w:p>
        </w:tc>
        <w:tc>
          <w:tcPr>
            <w:tcW w:w="1122" w:type="dxa"/>
          </w:tcPr>
          <w:p w14:paraId="3AD1C2A3" w14:textId="77777777" w:rsidR="009D7ABF" w:rsidRDefault="009D7ABF" w:rsidP="008A599C">
            <w:pPr>
              <w:pStyle w:val="BodyText"/>
            </w:pPr>
            <w:r>
              <w:t>5</w:t>
            </w:r>
          </w:p>
        </w:tc>
      </w:tr>
      <w:tr w:rsidR="009D7ABF" w14:paraId="5DC1113E" w14:textId="77777777" w:rsidTr="00060F5C">
        <w:trPr>
          <w:cantSplit/>
          <w:trHeight w:val="284"/>
          <w:jc w:val="center"/>
        </w:trPr>
        <w:tc>
          <w:tcPr>
            <w:tcW w:w="1365" w:type="dxa"/>
          </w:tcPr>
          <w:p w14:paraId="474E9BEF" w14:textId="77777777" w:rsidR="009D7ABF" w:rsidRDefault="009D7ABF" w:rsidP="008A599C">
            <w:pPr>
              <w:pStyle w:val="BodyText"/>
            </w:pPr>
            <w:r>
              <w:t>September</w:t>
            </w:r>
          </w:p>
        </w:tc>
        <w:tc>
          <w:tcPr>
            <w:tcW w:w="1122" w:type="dxa"/>
          </w:tcPr>
          <w:p w14:paraId="2DC0EFED" w14:textId="77777777" w:rsidR="009D7ABF" w:rsidRDefault="009D7ABF" w:rsidP="008A599C">
            <w:pPr>
              <w:pStyle w:val="BodyText"/>
            </w:pPr>
            <w:r>
              <w:t>4</w:t>
            </w:r>
          </w:p>
        </w:tc>
      </w:tr>
      <w:tr w:rsidR="009D7ABF" w14:paraId="3BE62A85" w14:textId="77777777" w:rsidTr="00060F5C">
        <w:trPr>
          <w:cantSplit/>
          <w:trHeight w:val="284"/>
          <w:jc w:val="center"/>
        </w:trPr>
        <w:tc>
          <w:tcPr>
            <w:tcW w:w="1365" w:type="dxa"/>
          </w:tcPr>
          <w:p w14:paraId="52BF4F90" w14:textId="77777777" w:rsidR="009D7ABF" w:rsidRDefault="009D7ABF" w:rsidP="008A599C">
            <w:pPr>
              <w:pStyle w:val="BodyText"/>
            </w:pPr>
            <w:r>
              <w:t>October</w:t>
            </w:r>
          </w:p>
        </w:tc>
        <w:tc>
          <w:tcPr>
            <w:tcW w:w="1122" w:type="dxa"/>
          </w:tcPr>
          <w:p w14:paraId="105C3190" w14:textId="77777777" w:rsidR="009D7ABF" w:rsidRDefault="009D7ABF" w:rsidP="008A599C">
            <w:pPr>
              <w:pStyle w:val="BodyText"/>
            </w:pPr>
            <w:r>
              <w:t>3</w:t>
            </w:r>
          </w:p>
        </w:tc>
      </w:tr>
      <w:tr w:rsidR="009D7ABF" w14:paraId="18DA4E5A" w14:textId="77777777" w:rsidTr="00060F5C">
        <w:trPr>
          <w:cantSplit/>
          <w:trHeight w:val="284"/>
          <w:jc w:val="center"/>
        </w:trPr>
        <w:tc>
          <w:tcPr>
            <w:tcW w:w="1365" w:type="dxa"/>
          </w:tcPr>
          <w:p w14:paraId="07F9F58E" w14:textId="77777777" w:rsidR="009D7ABF" w:rsidRDefault="009D7ABF" w:rsidP="008A599C">
            <w:pPr>
              <w:pStyle w:val="BodyText"/>
            </w:pPr>
            <w:r>
              <w:t xml:space="preserve">November </w:t>
            </w:r>
          </w:p>
        </w:tc>
        <w:tc>
          <w:tcPr>
            <w:tcW w:w="1122" w:type="dxa"/>
          </w:tcPr>
          <w:p w14:paraId="1B4DF5C5" w14:textId="77777777" w:rsidR="009D7ABF" w:rsidRDefault="009D7ABF" w:rsidP="008A599C">
            <w:pPr>
              <w:pStyle w:val="BodyText"/>
            </w:pPr>
            <w:r>
              <w:t>2</w:t>
            </w:r>
          </w:p>
        </w:tc>
      </w:tr>
      <w:tr w:rsidR="009D7ABF" w14:paraId="28A2DCC4" w14:textId="77777777" w:rsidTr="00060F5C">
        <w:trPr>
          <w:cantSplit/>
          <w:trHeight w:val="284"/>
          <w:jc w:val="center"/>
        </w:trPr>
        <w:tc>
          <w:tcPr>
            <w:tcW w:w="1365" w:type="dxa"/>
          </w:tcPr>
          <w:p w14:paraId="09FC86A0" w14:textId="77777777" w:rsidR="009D7ABF" w:rsidRDefault="009D7ABF" w:rsidP="008A599C">
            <w:pPr>
              <w:pStyle w:val="BodyText"/>
            </w:pPr>
            <w:r>
              <w:t>December</w:t>
            </w:r>
          </w:p>
        </w:tc>
        <w:tc>
          <w:tcPr>
            <w:tcW w:w="1122" w:type="dxa"/>
          </w:tcPr>
          <w:p w14:paraId="37C556E2" w14:textId="77777777" w:rsidR="009D7ABF" w:rsidRDefault="009D7ABF" w:rsidP="008A599C">
            <w:pPr>
              <w:pStyle w:val="BodyText"/>
            </w:pPr>
            <w:r>
              <w:t>1</w:t>
            </w:r>
          </w:p>
        </w:tc>
      </w:tr>
    </w:tbl>
    <w:p w14:paraId="7CA8205B" w14:textId="6C471F96" w:rsidR="0080012C" w:rsidRPr="0080012C" w:rsidRDefault="0080012C" w:rsidP="006664FC">
      <w:pPr>
        <w:ind w:left="720"/>
      </w:pPr>
      <w:r>
        <w:rPr>
          <w:i/>
        </w:rPr>
        <w:t>EAD</w:t>
      </w:r>
      <w:r>
        <w:t xml:space="preserve"> is:</w:t>
      </w:r>
    </w:p>
    <w:p w14:paraId="04BE98D6" w14:textId="4A35C9CC" w:rsidR="009D7ABF" w:rsidRDefault="009D7ABF" w:rsidP="006664FC">
      <w:pPr>
        <w:ind w:left="720"/>
      </w:pPr>
      <w:r>
        <w:t>(</w:t>
      </w:r>
      <w:r w:rsidR="009F760E">
        <w:t>1</w:t>
      </w:r>
      <w:r>
        <w:t>)</w:t>
      </w:r>
      <w:r>
        <w:tab/>
        <w:t>for billing periods between January and September, the higher of:</w:t>
      </w:r>
    </w:p>
    <w:p w14:paraId="1EFA0D2E" w14:textId="0C8B6171" w:rsidR="009D7ABF" w:rsidRDefault="00E35D1D" w:rsidP="006664FC">
      <w:pPr>
        <w:ind w:left="1440"/>
      </w:pPr>
      <w:r>
        <w:t>(</w:t>
      </w:r>
      <w:r w:rsidR="00D17D83">
        <w:t>A</w:t>
      </w:r>
      <w:r>
        <w:t>)</w:t>
      </w:r>
      <w:r w:rsidDel="00E35D1D">
        <w:t xml:space="preserve"> </w:t>
      </w:r>
      <w:r w:rsidR="009D7ABF">
        <w:tab/>
        <w:t>the forecast Annual MHQ for Regulatory Year “</w:t>
      </w:r>
      <w:r w:rsidR="009D7ABF">
        <w:rPr>
          <w:rFonts w:ascii="Times New Roman" w:hAnsi="Times New Roman"/>
          <w:i/>
          <w:iCs/>
          <w:sz w:val="24"/>
        </w:rPr>
        <w:t>t</w:t>
      </w:r>
      <w:r w:rsidR="009D7ABF">
        <w:t>”; and</w:t>
      </w:r>
    </w:p>
    <w:p w14:paraId="79D86377" w14:textId="5A25E6B8" w:rsidR="009D7ABF" w:rsidRDefault="009D7ABF" w:rsidP="006664FC">
      <w:pPr>
        <w:ind w:left="1440"/>
      </w:pPr>
      <w:r>
        <w:t>(</w:t>
      </w:r>
      <w:r w:rsidR="00D17D83">
        <w:t>B</w:t>
      </w:r>
      <w:r>
        <w:t>)</w:t>
      </w:r>
      <w:r>
        <w:tab/>
        <w:t>the Annual MHQ, as measured to date during Regulatory Year “</w:t>
      </w:r>
      <w:r>
        <w:rPr>
          <w:rFonts w:ascii="Times New Roman" w:hAnsi="Times New Roman"/>
          <w:i/>
          <w:iCs/>
          <w:sz w:val="24"/>
        </w:rPr>
        <w:t>t</w:t>
      </w:r>
      <w:r>
        <w:t>”,</w:t>
      </w:r>
    </w:p>
    <w:p w14:paraId="7D6CD08D" w14:textId="77777777" w:rsidR="009D7ABF" w:rsidRDefault="009D7ABF" w:rsidP="006664FC">
      <w:pPr>
        <w:ind w:left="1440"/>
      </w:pPr>
      <w:r>
        <w:t xml:space="preserve">where </w:t>
      </w:r>
      <w:r w:rsidRPr="00B75833">
        <w:t>the</w:t>
      </w:r>
      <w:r>
        <w:t xml:space="preserve"> forecast Annual MHQ for Regulatory Year “</w:t>
      </w:r>
      <w:r>
        <w:rPr>
          <w:rFonts w:ascii="Times New Roman" w:hAnsi="Times New Roman"/>
          <w:i/>
          <w:iCs/>
        </w:rPr>
        <w:t>t</w:t>
      </w:r>
      <w:r>
        <w:t>” is either:</w:t>
      </w:r>
    </w:p>
    <w:p w14:paraId="5289A908" w14:textId="7B11034C" w:rsidR="009D7ABF" w:rsidRPr="00B75833" w:rsidRDefault="009D7ABF" w:rsidP="006664FC">
      <w:pPr>
        <w:ind w:left="1440"/>
      </w:pPr>
      <w:r>
        <w:t>(</w:t>
      </w:r>
      <w:r w:rsidR="00D17D83">
        <w:t>C</w:t>
      </w:r>
      <w:r w:rsidRPr="00B75833">
        <w:t>)</w:t>
      </w:r>
      <w:r w:rsidRPr="00B75833">
        <w:tab/>
        <w:t>the actual Annual MHQ for Regulatory Year “</w:t>
      </w:r>
      <w:r w:rsidRPr="006664FC">
        <w:t>t</w:t>
      </w:r>
      <w:r w:rsidRPr="00B75833">
        <w:t>-1”; or</w:t>
      </w:r>
    </w:p>
    <w:p w14:paraId="062682D5" w14:textId="7C6F24C6" w:rsidR="009D7ABF" w:rsidRDefault="009D7ABF" w:rsidP="006664FC">
      <w:pPr>
        <w:ind w:left="1440"/>
      </w:pPr>
      <w:r w:rsidRPr="004B17B3">
        <w:t>(</w:t>
      </w:r>
      <w:r w:rsidR="00D17D83" w:rsidRPr="004B17B3">
        <w:t>D</w:t>
      </w:r>
      <w:r>
        <w:t>)</w:t>
      </w:r>
      <w:r>
        <w:tab/>
        <w:t>a Quantity agreed between the Service Provider and the User</w:t>
      </w:r>
      <w:r w:rsidR="00EB54F1">
        <w:t>;</w:t>
      </w:r>
    </w:p>
    <w:p w14:paraId="0E75E093" w14:textId="4EE2C035" w:rsidR="009D7ABF" w:rsidRDefault="009D7ABF" w:rsidP="006664FC">
      <w:pPr>
        <w:ind w:left="1440" w:hanging="720"/>
      </w:pPr>
      <w:r>
        <w:t>(</w:t>
      </w:r>
      <w:r w:rsidR="00D17D83">
        <w:t>2</w:t>
      </w:r>
      <w:r>
        <w:t>)</w:t>
      </w:r>
      <w:r>
        <w:tab/>
        <w:t>for billing periods between October and December, the actual Annual MHQ for Regulatory Year “</w:t>
      </w:r>
      <w:r>
        <w:rPr>
          <w:rFonts w:ascii="Times New Roman" w:hAnsi="Times New Roman"/>
          <w:i/>
          <w:iCs/>
          <w:sz w:val="24"/>
        </w:rPr>
        <w:t>t</w:t>
      </w:r>
      <w:r>
        <w:t>”.</w:t>
      </w:r>
    </w:p>
    <w:p w14:paraId="5B352DE9" w14:textId="6BF489E4" w:rsidR="009D7ABF" w:rsidRDefault="009D7ABF" w:rsidP="008A599C">
      <w:pPr>
        <w:pStyle w:val="BodyText"/>
      </w:pPr>
      <w:r>
        <w:t>(</w:t>
      </w:r>
      <w:r w:rsidR="009F760E">
        <w:t>b</w:t>
      </w:r>
      <w:r>
        <w:t>)</w:t>
      </w:r>
      <w:r>
        <w:tab/>
        <w:t>Where a User’s Customer withdraws Gas at a Distribution Supply Point and ceases to withdraw Gas at that Distribution Supply Point in a month:</w:t>
      </w:r>
    </w:p>
    <w:p w14:paraId="222F1A90" w14:textId="1F5AEB76" w:rsidR="009D7ABF" w:rsidRPr="00B75833" w:rsidRDefault="009D7ABF" w:rsidP="006664FC">
      <w:pPr>
        <w:ind w:left="1440" w:hanging="720"/>
      </w:pPr>
      <w:r>
        <w:t>(</w:t>
      </w:r>
      <w:r w:rsidR="009F760E">
        <w:t>1</w:t>
      </w:r>
      <w:r>
        <w:t>)</w:t>
      </w:r>
      <w:r>
        <w:tab/>
        <w:t xml:space="preserve">the Service Provider may charge the User in respect of that Distribution Supply Point, for the whole </w:t>
      </w:r>
      <w:r w:rsidRPr="00B75833">
        <w:t>of the month in which the Customer ceased withdrawal of Gas;</w:t>
      </w:r>
    </w:p>
    <w:p w14:paraId="041AD4C4" w14:textId="7E07DC9D" w:rsidR="009D7ABF" w:rsidRPr="004B17B3" w:rsidRDefault="009D7ABF" w:rsidP="006664FC">
      <w:pPr>
        <w:ind w:left="1440" w:hanging="720"/>
      </w:pPr>
      <w:r w:rsidRPr="00B75833">
        <w:t>(</w:t>
      </w:r>
      <w:r w:rsidR="009F760E">
        <w:t>2</w:t>
      </w:r>
      <w:r w:rsidRPr="00B75833">
        <w:t>)</w:t>
      </w:r>
      <w:r w:rsidRPr="00B75833">
        <w:tab/>
        <w:t>the Service Provider will not charge the User in respect of that Distribution Supply Point, for any month after the month in which the Customer ceased withdrawal of Gas; and</w:t>
      </w:r>
    </w:p>
    <w:p w14:paraId="14611D80" w14:textId="0EA76F92" w:rsidR="009D7ABF" w:rsidRPr="00D37A39" w:rsidRDefault="009D7ABF" w:rsidP="006664FC">
      <w:pPr>
        <w:ind w:left="1440" w:hanging="720"/>
      </w:pPr>
      <w:r w:rsidRPr="000E3017">
        <w:lastRenderedPageBreak/>
        <w:t>(</w:t>
      </w:r>
      <w:r w:rsidR="009F760E">
        <w:t>3</w:t>
      </w:r>
      <w:r w:rsidRPr="00B75833">
        <w:t>)</w:t>
      </w:r>
      <w:r w:rsidRPr="00B75833">
        <w:tab/>
        <w:t xml:space="preserve">where another Customer starts to withdraw Gas at that Distribution Supply Point, the Quantity of forecast highest MHQ for the year for that Distribution Supply </w:t>
      </w:r>
      <w:r w:rsidRPr="004B17B3">
        <w:t xml:space="preserve">Point must be agreed between the Service Provider and the </w:t>
      </w:r>
      <w:r w:rsidRPr="000E3017">
        <w:t>relevant User in respect of that Distribution Supply Point.</w:t>
      </w:r>
    </w:p>
    <w:p w14:paraId="6CB5771D" w14:textId="486FE352" w:rsidR="009D7ABF" w:rsidRDefault="009D7ABF" w:rsidP="008A599C">
      <w:pPr>
        <w:pStyle w:val="BodyText"/>
      </w:pPr>
      <w:r>
        <w:t>(</w:t>
      </w:r>
      <w:r w:rsidR="009F760E">
        <w:t>c</w:t>
      </w:r>
      <w:r>
        <w:t>)</w:t>
      </w:r>
      <w:r>
        <w:tab/>
        <w:t>Where a User’s Customer withdraws Gas at a Distribution Supply Point and ceases to be a Customer of that User during a month and becomes:</w:t>
      </w:r>
    </w:p>
    <w:p w14:paraId="08A7758C" w14:textId="07708BDF" w:rsidR="009D7ABF" w:rsidRPr="00B75833" w:rsidRDefault="009D7ABF" w:rsidP="006664FC">
      <w:pPr>
        <w:ind w:left="720"/>
      </w:pPr>
      <w:r w:rsidRPr="00B75833">
        <w:t>(</w:t>
      </w:r>
      <w:r w:rsidR="009F760E">
        <w:t>1</w:t>
      </w:r>
      <w:r w:rsidRPr="00B75833">
        <w:t>)</w:t>
      </w:r>
      <w:r w:rsidRPr="00B75833">
        <w:tab/>
        <w:t>a Customer of another User; or</w:t>
      </w:r>
    </w:p>
    <w:p w14:paraId="1B551F74" w14:textId="03B29DA4" w:rsidR="009D7ABF" w:rsidRPr="00B75833" w:rsidRDefault="009D7ABF" w:rsidP="006664FC">
      <w:pPr>
        <w:ind w:left="720"/>
      </w:pPr>
      <w:r w:rsidRPr="00B75833">
        <w:t>(</w:t>
      </w:r>
      <w:r w:rsidR="009F760E">
        <w:t>2</w:t>
      </w:r>
      <w:r w:rsidRPr="00B75833">
        <w:t>)</w:t>
      </w:r>
      <w:r w:rsidRPr="00B75833">
        <w:tab/>
        <w:t xml:space="preserve">a User, </w:t>
      </w:r>
    </w:p>
    <w:p w14:paraId="2BA46355" w14:textId="77777777" w:rsidR="009D7ABF" w:rsidRPr="004B17B3" w:rsidRDefault="009D7ABF" w:rsidP="006664FC">
      <w:pPr>
        <w:ind w:left="720"/>
      </w:pPr>
      <w:r w:rsidRPr="004B17B3">
        <w:t xml:space="preserve">the Service Provider will charge: </w:t>
      </w:r>
    </w:p>
    <w:p w14:paraId="5C838493" w14:textId="765655D2" w:rsidR="009D7ABF" w:rsidRPr="004B17B3" w:rsidRDefault="009D7ABF" w:rsidP="006664FC">
      <w:pPr>
        <w:ind w:left="1440" w:hanging="720"/>
      </w:pPr>
      <w:r w:rsidRPr="000E3017">
        <w:t>(</w:t>
      </w:r>
      <w:r w:rsidR="009F760E">
        <w:t>3</w:t>
      </w:r>
      <w:r w:rsidRPr="00B75833">
        <w:t>)</w:t>
      </w:r>
      <w:r w:rsidRPr="00B75833">
        <w:tab/>
        <w:t>the User from whom the Customer purchases its Gas at that Distribution Supply Point in that month; or</w:t>
      </w:r>
    </w:p>
    <w:p w14:paraId="3C81ED4B" w14:textId="692750CC" w:rsidR="009D7ABF" w:rsidRPr="00B75833" w:rsidRDefault="009D7ABF" w:rsidP="006664FC">
      <w:pPr>
        <w:ind w:left="720"/>
      </w:pPr>
      <w:r w:rsidRPr="004B17B3">
        <w:t>(</w:t>
      </w:r>
      <w:r w:rsidR="009F760E">
        <w:t>4</w:t>
      </w:r>
      <w:r w:rsidRPr="00B75833">
        <w:t>)</w:t>
      </w:r>
      <w:r w:rsidRPr="00B75833">
        <w:tab/>
        <w:t xml:space="preserve">the Customer as a User in that month, </w:t>
      </w:r>
    </w:p>
    <w:p w14:paraId="5F7933AE" w14:textId="77777777" w:rsidR="009D7ABF" w:rsidRPr="000E3017" w:rsidRDefault="009D7ABF" w:rsidP="006664FC">
      <w:pPr>
        <w:ind w:left="720"/>
      </w:pPr>
      <w:r w:rsidRPr="004B17B3">
        <w:t>respectively, for that month.</w:t>
      </w:r>
    </w:p>
    <w:p w14:paraId="47C08775" w14:textId="1A86DFC2" w:rsidR="009D7ABF" w:rsidRDefault="009D7ABF" w:rsidP="00035B92">
      <w:pPr>
        <w:pStyle w:val="Heading2"/>
      </w:pPr>
      <w:bookmarkStart w:id="156" w:name="_Toc469519495"/>
      <w:r>
        <w:t>Unmetered Haulage Reference Tariff Components</w:t>
      </w:r>
      <w:bookmarkEnd w:id="156"/>
    </w:p>
    <w:p w14:paraId="401966E6" w14:textId="77777777" w:rsidR="009D7ABF" w:rsidRPr="006664FC" w:rsidRDefault="009D7ABF" w:rsidP="006664FC">
      <w:r w:rsidRPr="006664FC">
        <w:t>Where Haulage Reference Tariff V has been assigned to a Distribution Supply Point under clause 1.1(c) because it is an unmetered Distribution Supply Point, there is deemed to be no withdrawal of Gas at the Distribution Supply Point for charging purposes.  For the avoidance of doubt, in such circumstances, Commercial Haulage Reference Tariff V is deemed to apply and any applicable fixed Haulage Reference Tariff Component may be charged as a fixed charge.</w:t>
      </w:r>
    </w:p>
    <w:p w14:paraId="298D65C4" w14:textId="2033BBF2" w:rsidR="009D7ABF" w:rsidRDefault="009D7ABF" w:rsidP="00035B92">
      <w:pPr>
        <w:pStyle w:val="Heading2"/>
      </w:pPr>
      <w:bookmarkStart w:id="157" w:name="_Toc469519496"/>
      <w:r>
        <w:t>Natural Gas Extension Project Haulage Reference Tariffs</w:t>
      </w:r>
      <w:bookmarkEnd w:id="157"/>
    </w:p>
    <w:p w14:paraId="3085CC5F" w14:textId="77777777" w:rsidR="009D7ABF" w:rsidRDefault="009D7ABF" w:rsidP="008A599C">
      <w:pPr>
        <w:pStyle w:val="BodyText"/>
      </w:pPr>
      <w:r>
        <w:t xml:space="preserve">Tariffs apply to </w:t>
      </w:r>
      <w:r w:rsidR="006166C2">
        <w:t xml:space="preserve">Distribution </w:t>
      </w:r>
      <w:r>
        <w:t xml:space="preserve">Supply Points where the Distribution Zone is as listed in </w:t>
      </w:r>
      <w:r w:rsidR="002A5F28">
        <w:t>clause 9</w:t>
      </w:r>
      <w:r>
        <w:t>.</w:t>
      </w:r>
    </w:p>
    <w:p w14:paraId="17FE2CE2" w14:textId="1A0D6DCB" w:rsidR="009D7ABF" w:rsidRDefault="009D7ABF" w:rsidP="008A599C">
      <w:pPr>
        <w:pStyle w:val="Heading1"/>
      </w:pPr>
      <w:bookmarkStart w:id="158" w:name="_Toc469519497"/>
      <w:r>
        <w:t>Reference Tariff Policy</w:t>
      </w:r>
      <w:bookmarkEnd w:id="158"/>
    </w:p>
    <w:p w14:paraId="0D0CA1D0" w14:textId="77777777" w:rsidR="009D7ABF" w:rsidRDefault="00424F50" w:rsidP="006664FC">
      <w:r>
        <w:t xml:space="preserve">This clause 6 sets </w:t>
      </w:r>
      <w:r w:rsidRPr="00B75833">
        <w:t>out</w:t>
      </w:r>
      <w:r w:rsidR="009D7ABF">
        <w:t xml:space="preserve"> the principles that are to be used to determine a Reference Tariff (a R</w:t>
      </w:r>
      <w:r w:rsidR="00533F4D">
        <w:t xml:space="preserve">eference Tariff Policy). </w:t>
      </w:r>
    </w:p>
    <w:p w14:paraId="38A85585" w14:textId="282002DA" w:rsidR="009D7ABF" w:rsidRDefault="009D7ABF" w:rsidP="00035B92">
      <w:pPr>
        <w:pStyle w:val="Heading2"/>
      </w:pPr>
      <w:bookmarkStart w:id="159" w:name="_Toc469519498"/>
      <w:r>
        <w:t>CPI - X Price Path</w:t>
      </w:r>
      <w:bookmarkEnd w:id="159"/>
    </w:p>
    <w:p w14:paraId="2CE5A88F" w14:textId="77777777" w:rsidR="009D7ABF" w:rsidRDefault="009D7ABF" w:rsidP="006664FC">
      <w:r>
        <w:t xml:space="preserve">The CPI - X price path approach is consistent with </w:t>
      </w:r>
      <w:r w:rsidR="002A5F28">
        <w:t>the fixed principle in clause 7.2(a)(1)</w:t>
      </w:r>
      <w:r>
        <w:t xml:space="preserve">.  The Service Provider adopts this </w:t>
      </w:r>
      <w:r w:rsidRPr="00B75833">
        <w:t>approach</w:t>
      </w:r>
      <w:r>
        <w:t>.</w:t>
      </w:r>
    </w:p>
    <w:p w14:paraId="0180363E" w14:textId="1E84EC24" w:rsidR="009D7ABF" w:rsidRDefault="009D7ABF" w:rsidP="00035B92">
      <w:pPr>
        <w:pStyle w:val="Heading2"/>
      </w:pPr>
      <w:bookmarkStart w:id="160" w:name="_Toc469519499"/>
      <w:r>
        <w:t>New Facilities Investment</w:t>
      </w:r>
      <w:bookmarkEnd w:id="160"/>
    </w:p>
    <w:p w14:paraId="2EAD9628" w14:textId="53B59BF9" w:rsidR="009D7ABF" w:rsidRPr="00D37A39" w:rsidRDefault="00442D63" w:rsidP="006664FC">
      <w:pPr>
        <w:ind w:left="720" w:hanging="720"/>
      </w:pPr>
      <w:r>
        <w:t>(a)</w:t>
      </w:r>
      <w:r>
        <w:tab/>
      </w:r>
      <w:r w:rsidR="009D7ABF" w:rsidRPr="00B75833">
        <w:t xml:space="preserve">The Service Provider may at its discretion undertake </w:t>
      </w:r>
      <w:r w:rsidR="00BD666B" w:rsidRPr="00B75833">
        <w:t>Capital Expenditure</w:t>
      </w:r>
      <w:r w:rsidR="009D7ABF" w:rsidRPr="00B75833">
        <w:t xml:space="preserve"> that does not satisfy the requirements of </w:t>
      </w:r>
      <w:r w:rsidR="00072CE3" w:rsidRPr="004B17B3">
        <w:t>the New Capital Expenditure Criteria under</w:t>
      </w:r>
      <w:r w:rsidR="00BD666B" w:rsidRPr="004B17B3">
        <w:t xml:space="preserve"> the National Gas Rules</w:t>
      </w:r>
      <w:r w:rsidR="009D7ABF" w:rsidRPr="000E3017">
        <w:t xml:space="preserve">.  The Extensions / Expansions Policy in clause 5.6 of Part A of this Access Arrangement explains how </w:t>
      </w:r>
      <w:r w:rsidR="00BD666B" w:rsidRPr="00D37A39">
        <w:t>Capital Expenditure</w:t>
      </w:r>
      <w:r w:rsidR="009D7ABF" w:rsidRPr="00D37A39">
        <w:t xml:space="preserve"> in relation to a New Facility which is to be treated as part of the Covered Pipeline will affect Reference Tariffs.</w:t>
      </w:r>
    </w:p>
    <w:p w14:paraId="546647C2" w14:textId="38D3FDF3" w:rsidR="009D7ABF" w:rsidRPr="00D37A39" w:rsidRDefault="00442D63" w:rsidP="006664FC">
      <w:pPr>
        <w:ind w:left="720" w:hanging="720"/>
      </w:pPr>
      <w:r>
        <w:t>(b)</w:t>
      </w:r>
      <w:r>
        <w:tab/>
      </w:r>
      <w:r w:rsidR="009D7ABF" w:rsidRPr="00B75833">
        <w:t xml:space="preserve">Clause 6.3 below sets out the principles of a Speculative </w:t>
      </w:r>
      <w:r w:rsidR="00BD666B" w:rsidRPr="00B75833">
        <w:t>Capital Investment Account</w:t>
      </w:r>
      <w:r w:rsidR="009D7ABF" w:rsidRPr="00B75833">
        <w:t xml:space="preserve"> which the Service Provider may opera</w:t>
      </w:r>
      <w:r w:rsidR="009D7ABF" w:rsidRPr="004B17B3">
        <w:t xml:space="preserve">te in relation to </w:t>
      </w:r>
      <w:r w:rsidR="00BD666B" w:rsidRPr="004B17B3">
        <w:t>Capital Expenditure</w:t>
      </w:r>
      <w:r w:rsidR="009D7ABF" w:rsidRPr="000E3017">
        <w:t xml:space="preserve"> that does not satisfy the requirements of </w:t>
      </w:r>
      <w:r w:rsidR="00072CE3" w:rsidRPr="00D37A39">
        <w:t>the New Capital Expenditure Criteria</w:t>
      </w:r>
      <w:r w:rsidR="009D7ABF" w:rsidRPr="00D37A39">
        <w:t xml:space="preserve"> </w:t>
      </w:r>
      <w:r w:rsidR="00072CE3" w:rsidRPr="00D37A39">
        <w:t>under</w:t>
      </w:r>
      <w:r w:rsidR="009D7ABF" w:rsidRPr="00D37A39">
        <w:t xml:space="preserve"> the </w:t>
      </w:r>
      <w:r w:rsidR="00BD666B" w:rsidRPr="00D37A39">
        <w:t>National Gas Rules</w:t>
      </w:r>
      <w:r w:rsidR="009D7ABF" w:rsidRPr="00D37A39">
        <w:t xml:space="preserve">. </w:t>
      </w:r>
    </w:p>
    <w:p w14:paraId="72DBD0E7" w14:textId="53AB56B5" w:rsidR="009D7ABF" w:rsidRDefault="009D7ABF" w:rsidP="00035B92">
      <w:pPr>
        <w:pStyle w:val="Heading2"/>
      </w:pPr>
      <w:bookmarkStart w:id="161" w:name="_Toc469519500"/>
      <w:r>
        <w:t xml:space="preserve">Speculative </w:t>
      </w:r>
      <w:r w:rsidR="00FA4025">
        <w:t>Capital Expenditure Account</w:t>
      </w:r>
      <w:bookmarkEnd w:id="161"/>
    </w:p>
    <w:p w14:paraId="75EA13F8" w14:textId="24539786" w:rsidR="009D7ABF" w:rsidRDefault="009D7ABF" w:rsidP="006664FC">
      <w:r>
        <w:t xml:space="preserve">In accordance with </w:t>
      </w:r>
      <w:r w:rsidR="00442D63">
        <w:t>r</w:t>
      </w:r>
      <w:r w:rsidR="002C5F9F">
        <w:t>ule 84</w:t>
      </w:r>
      <w:r>
        <w:t xml:space="preserve"> of the </w:t>
      </w:r>
      <w:r w:rsidR="002C5F9F">
        <w:t>National Gas Rules</w:t>
      </w:r>
      <w:r>
        <w:t xml:space="preserve">, the amount of the Speculative </w:t>
      </w:r>
      <w:r w:rsidR="002C5F9F">
        <w:t>Capital Expenditure Account</w:t>
      </w:r>
      <w:r>
        <w:t xml:space="preserve"> for the Service Provider at any time is equal to:</w:t>
      </w:r>
    </w:p>
    <w:p w14:paraId="300CFA38" w14:textId="77777777" w:rsidR="009D7ABF" w:rsidRDefault="009D7ABF" w:rsidP="008A599C">
      <w:pPr>
        <w:pStyle w:val="BodyText"/>
      </w:pPr>
      <w:r>
        <w:t>(a)</w:t>
      </w:r>
      <w:r>
        <w:tab/>
        <w:t xml:space="preserve">the difference between the </w:t>
      </w:r>
      <w:r w:rsidR="002C5F9F">
        <w:t>Capital Expenditure</w:t>
      </w:r>
      <w:r>
        <w:t xml:space="preserve"> and the amount which satisfies </w:t>
      </w:r>
      <w:r w:rsidR="002C5F9F">
        <w:t>the requirements of the New Capital Expenditure Criteria under the National Gas Rules</w:t>
      </w:r>
      <w:r>
        <w:t xml:space="preserve">, less any amount the Service Provider notifies the Regulator (at the time the expenditure is incurred) that it has elected to recover through a </w:t>
      </w:r>
      <w:r w:rsidR="00272628">
        <w:t>s</w:t>
      </w:r>
      <w:r>
        <w:t xml:space="preserve">urcharge under </w:t>
      </w:r>
      <w:r w:rsidR="002C5F9F">
        <w:t>Rule 83</w:t>
      </w:r>
      <w:r>
        <w:t xml:space="preserve"> of the </w:t>
      </w:r>
      <w:r w:rsidR="002C5F9F">
        <w:t>National Gas Rules</w:t>
      </w:r>
      <w:r>
        <w:t>; plus</w:t>
      </w:r>
    </w:p>
    <w:p w14:paraId="7CE80A2F" w14:textId="77777777" w:rsidR="009D7ABF" w:rsidRDefault="009D7ABF" w:rsidP="008A599C">
      <w:pPr>
        <w:pStyle w:val="BodyText"/>
      </w:pPr>
      <w:r>
        <w:lastRenderedPageBreak/>
        <w:t>(b)</w:t>
      </w:r>
      <w:r>
        <w:tab/>
        <w:t xml:space="preserve">an annual increase in that amount calculated on a compounded basis at a risk adjusted </w:t>
      </w:r>
      <w:r w:rsidR="00F047DF">
        <w:t>r</w:t>
      </w:r>
      <w:r>
        <w:t xml:space="preserve">ate of </w:t>
      </w:r>
      <w:r w:rsidR="00F047DF">
        <w:t>r</w:t>
      </w:r>
      <w:r>
        <w:t>eturn approved by the Regulator; less</w:t>
      </w:r>
    </w:p>
    <w:p w14:paraId="6CDBB717" w14:textId="77777777" w:rsidR="009D7ABF" w:rsidRDefault="009D7ABF" w:rsidP="008A599C">
      <w:pPr>
        <w:pStyle w:val="BodyText"/>
      </w:pPr>
      <w:r>
        <w:t>(c)</w:t>
      </w:r>
      <w:r>
        <w:tab/>
        <w:t xml:space="preserve">any part of the Speculative </w:t>
      </w:r>
      <w:r w:rsidR="00F047DF">
        <w:t>Capital Expenditure Account</w:t>
      </w:r>
      <w:r>
        <w:t xml:space="preserve"> previously added to the Capital Base due to the type and volume of services provided using the increase in Capacity attributable to the New Facility change such that any part of the Speculative </w:t>
      </w:r>
      <w:r w:rsidR="00F047DF">
        <w:t>Capital Expenditure Account</w:t>
      </w:r>
      <w:r>
        <w:t xml:space="preserve"> would then satisfy the requirements of </w:t>
      </w:r>
      <w:r w:rsidR="00F047DF">
        <w:t>the New Capital Expenditure Criteria under the National Gas Rules</w:t>
      </w:r>
      <w:r>
        <w:t>.</w:t>
      </w:r>
    </w:p>
    <w:p w14:paraId="440BDDAC" w14:textId="3C687D6E" w:rsidR="009D7ABF" w:rsidRDefault="009D7ABF" w:rsidP="00035B92">
      <w:pPr>
        <w:pStyle w:val="Heading2"/>
      </w:pPr>
      <w:bookmarkStart w:id="162" w:name="_Toc469519501"/>
      <w:r>
        <w:t>Incentive Mechanism</w:t>
      </w:r>
      <w:r w:rsidR="003D2487">
        <w:t>s</w:t>
      </w:r>
      <w:bookmarkEnd w:id="162"/>
    </w:p>
    <w:p w14:paraId="1643F41E" w14:textId="1EA9B382" w:rsidR="009D7ABF" w:rsidRDefault="00713A1C" w:rsidP="006664FC">
      <w:r>
        <w:t>Rule 98</w:t>
      </w:r>
      <w:r w:rsidR="009D7ABF">
        <w:t xml:space="preserve"> of the </w:t>
      </w:r>
      <w:r>
        <w:t>National Gas Rules</w:t>
      </w:r>
      <w:r w:rsidR="009D7ABF">
        <w:t xml:space="preserve"> provides for a</w:t>
      </w:r>
      <w:r>
        <w:t>n Access Arrangement</w:t>
      </w:r>
      <w:r w:rsidR="009D7ABF">
        <w:t xml:space="preserve"> to include an incentive mechanism </w:t>
      </w:r>
      <w:r>
        <w:t>to encourage efficiency in the provision of services by the Service Provider</w:t>
      </w:r>
      <w:r w:rsidR="009D7ABF">
        <w:t>.</w:t>
      </w:r>
      <w:r>
        <w:t xml:space="preserve">  An incentive mechanism may provide for carrying over increments for efficiency gains and decrements for losses of efficiency from one Access Arrangement Period to the next and must be consistent with the revenue and pricing principles. </w:t>
      </w:r>
    </w:p>
    <w:p w14:paraId="47F8D433" w14:textId="39767B4D" w:rsidR="009D7ABF" w:rsidRPr="00B738B7" w:rsidRDefault="009D7ABF" w:rsidP="00595005">
      <w:pPr>
        <w:pStyle w:val="Heading3"/>
      </w:pPr>
      <w:bookmarkStart w:id="163" w:name="_Toc469519502"/>
      <w:r w:rsidRPr="00B738B7">
        <w:t>General principles</w:t>
      </w:r>
      <w:bookmarkEnd w:id="163"/>
    </w:p>
    <w:p w14:paraId="2FF1964C" w14:textId="54DA4CB6" w:rsidR="009D7ABF" w:rsidRDefault="009D7ABF" w:rsidP="006664FC">
      <w:pPr>
        <w:spacing w:afterLines="60" w:after="144"/>
        <w:ind w:left="720" w:hanging="720"/>
      </w:pPr>
      <w:r>
        <w:t>(</w:t>
      </w:r>
      <w:r w:rsidR="00E2213F">
        <w:t>a</w:t>
      </w:r>
      <w:r>
        <w:t>)</w:t>
      </w:r>
      <w:r>
        <w:tab/>
        <w:t>The incentive arrangements that are to apply to cost-related efficiencies achieved by</w:t>
      </w:r>
      <w:r w:rsidR="003A1A47">
        <w:t>,</w:t>
      </w:r>
      <w:r>
        <w:t xml:space="preserve"> </w:t>
      </w:r>
      <w:r w:rsidR="003A1A47">
        <w:t xml:space="preserve">and innovation initiatives sought by, </w:t>
      </w:r>
      <w:r>
        <w:t>the Service Provider, and the adjustment to preserve the incentive to meet efficient growth in demand are a combination of:</w:t>
      </w:r>
    </w:p>
    <w:p w14:paraId="621FBF6B" w14:textId="55BDB55D" w:rsidR="009D7ABF" w:rsidRPr="00B75833" w:rsidRDefault="00E2213F" w:rsidP="006664FC">
      <w:pPr>
        <w:ind w:left="720"/>
      </w:pPr>
      <w:r>
        <w:t>(1</w:t>
      </w:r>
      <w:r w:rsidR="00915B96">
        <w:t>)</w:t>
      </w:r>
      <w:r w:rsidR="00915B96">
        <w:tab/>
      </w:r>
      <w:r w:rsidR="009D7ABF">
        <w:t xml:space="preserve">a tariff basket </w:t>
      </w:r>
      <w:r w:rsidR="009D7ABF" w:rsidRPr="00B75833">
        <w:t>form of price control;</w:t>
      </w:r>
    </w:p>
    <w:p w14:paraId="5869616C" w14:textId="20B04C3F" w:rsidR="003A1A47" w:rsidRDefault="00E2213F" w:rsidP="006664FC">
      <w:pPr>
        <w:ind w:left="1440" w:hanging="720"/>
      </w:pPr>
      <w:r>
        <w:t>(2</w:t>
      </w:r>
      <w:r w:rsidR="00915B96">
        <w:t>)</w:t>
      </w:r>
      <w:r w:rsidR="00915B96">
        <w:tab/>
      </w:r>
      <w:r w:rsidR="009D7ABF" w:rsidRPr="00B75833">
        <w:t>the carryover that would result in the Service Provider retaining the reward associated with an efficiency</w:t>
      </w:r>
      <w:r w:rsidR="009D7ABF">
        <w:t xml:space="preserve">-improving initiative for </w:t>
      </w:r>
      <w:r w:rsidR="00530087">
        <w:t>five</w:t>
      </w:r>
      <w:r w:rsidR="009D7ABF">
        <w:t xml:space="preserve"> years (for improvements made in Years 1</w:t>
      </w:r>
      <w:r w:rsidR="008F6BB2">
        <w:t>–</w:t>
      </w:r>
      <w:r w:rsidR="009D7ABF">
        <w:t xml:space="preserve">4 of the </w:t>
      </w:r>
      <w:r w:rsidR="000352B1">
        <w:t xml:space="preserve">Fifth </w:t>
      </w:r>
      <w:r w:rsidR="009D7ABF">
        <w:t xml:space="preserve">Access Arrangement Period) after the year in which the gain was achieved, i.e. a reward (being the net amount of the efficiency gains (or losses) relating to capital and operating expenditure) in one year of an Access Arrangement Period would be added to the Total Revenue and carried forward into the </w:t>
      </w:r>
      <w:r w:rsidR="003A1A47">
        <w:t xml:space="preserve">Sixth </w:t>
      </w:r>
      <w:r w:rsidR="009D7ABF">
        <w:t xml:space="preserve">Access Arrangement Period if necessary, until it has been retained by the Service Provider for a period of a full </w:t>
      </w:r>
      <w:r w:rsidR="00530087">
        <w:t>five</w:t>
      </w:r>
      <w:r w:rsidR="009D7ABF">
        <w:t xml:space="preserve"> years (for improvements made in Years 1</w:t>
      </w:r>
      <w:r w:rsidR="008F6BB2">
        <w:t>–</w:t>
      </w:r>
      <w:r w:rsidR="009D7ABF">
        <w:t xml:space="preserve">4 of the </w:t>
      </w:r>
      <w:r w:rsidR="00713A1C">
        <w:t>Fourth</w:t>
      </w:r>
      <w:r w:rsidR="009D7ABF">
        <w:t xml:space="preserve"> Access Arrangement Period)</w:t>
      </w:r>
      <w:r w:rsidR="003A1A47">
        <w:t>;</w:t>
      </w:r>
    </w:p>
    <w:p w14:paraId="71F4A9AC" w14:textId="77777777" w:rsidR="003A1A47" w:rsidRDefault="003A1A47" w:rsidP="006664FC">
      <w:pPr>
        <w:ind w:left="1440" w:hanging="720"/>
      </w:pPr>
      <w:r>
        <w:t>(3)</w:t>
      </w:r>
      <w:r>
        <w:tab/>
        <w:t>the carryover that would result from the Service Provider retaining into the Sixth Access Arrangement Period, 30 percent of the Net Present Value (NPV) of any capital expenditure efficiencies gains or losses realised during the Fifth Access Arrangement Period; and</w:t>
      </w:r>
    </w:p>
    <w:p w14:paraId="76FF5598" w14:textId="240DA03F" w:rsidR="009D7ABF" w:rsidRDefault="003A1A47" w:rsidP="006664FC">
      <w:pPr>
        <w:ind w:left="1440" w:hanging="720"/>
      </w:pPr>
      <w:r>
        <w:t>(4)</w:t>
      </w:r>
      <w:r>
        <w:tab/>
        <w:t xml:space="preserve">the additional revenue to be provided in the Sixth Access Arrangement Period to recover </w:t>
      </w:r>
      <w:r w:rsidRPr="006A3CF3">
        <w:t>Allowable NIS Expenditure</w:t>
      </w:r>
      <w:r>
        <w:t xml:space="preserve"> incurred during the Fifth Access Arrangement Period and approved by the Regulator</w:t>
      </w:r>
      <w:r w:rsidR="009D7ABF">
        <w:t>.</w:t>
      </w:r>
    </w:p>
    <w:p w14:paraId="3C838D5F" w14:textId="5D103A91" w:rsidR="009D7ABF" w:rsidRDefault="009D7ABF" w:rsidP="0057167E">
      <w:pPr>
        <w:ind w:left="720" w:hanging="720"/>
      </w:pPr>
      <w:r>
        <w:t>(</w:t>
      </w:r>
      <w:r w:rsidR="00E2213F">
        <w:t>b</w:t>
      </w:r>
      <w:r>
        <w:t>)</w:t>
      </w:r>
      <w:r>
        <w:tab/>
        <w:t xml:space="preserve">There would be no claw-back of gains that have already been made (or losses that have been incurred) during the </w:t>
      </w:r>
      <w:r w:rsidR="001B1278">
        <w:t xml:space="preserve">Fifth </w:t>
      </w:r>
      <w:r>
        <w:t>Access Arrangement Period.</w:t>
      </w:r>
    </w:p>
    <w:p w14:paraId="1DD357BF" w14:textId="51ED251E" w:rsidR="00790BDB" w:rsidRPr="00B738B7" w:rsidRDefault="00790BDB" w:rsidP="00F57D9B">
      <w:pPr>
        <w:pStyle w:val="Heading3"/>
      </w:pPr>
      <w:bookmarkStart w:id="164" w:name="_Toc469519503"/>
      <w:r w:rsidRPr="00B738B7">
        <w:t>Ope</w:t>
      </w:r>
      <w:r w:rsidR="00D37A39" w:rsidRPr="00B738B7">
        <w:t>rating E</w:t>
      </w:r>
      <w:r w:rsidRPr="00B738B7">
        <w:t>x</w:t>
      </w:r>
      <w:r w:rsidR="00D37A39" w:rsidRPr="00B738B7">
        <w:t>penditure</w:t>
      </w:r>
      <w:r w:rsidRPr="00B738B7">
        <w:t xml:space="preserve"> Incentive Mechanism</w:t>
      </w:r>
      <w:bookmarkEnd w:id="164"/>
      <w:r w:rsidRPr="00B738B7">
        <w:t xml:space="preserve"> </w:t>
      </w:r>
    </w:p>
    <w:p w14:paraId="4FD9F2E2" w14:textId="5A524274" w:rsidR="003E2CEC" w:rsidRPr="003E2CEC" w:rsidRDefault="000E03A8" w:rsidP="0057167E">
      <w:pPr>
        <w:pStyle w:val="Heading4"/>
      </w:pPr>
      <w:r>
        <w:t>(a)</w:t>
      </w:r>
      <w:r>
        <w:tab/>
      </w:r>
      <w:r w:rsidR="003E2CEC" w:rsidRPr="003E2CEC">
        <w:t xml:space="preserve">The operating expenditure annual efficiency gain (or loss) for </w:t>
      </w:r>
      <w:r w:rsidR="00054315">
        <w:t>2018</w:t>
      </w:r>
      <w:r w:rsidR="00054315" w:rsidRPr="003E2CEC">
        <w:t xml:space="preserve"> </w:t>
      </w:r>
      <w:r w:rsidR="003E2CEC" w:rsidRPr="003E2CEC">
        <w:t>will be calculated as:</w:t>
      </w:r>
    </w:p>
    <w:p w14:paraId="7747A04A" w14:textId="24B4776D" w:rsidR="003E2CEC" w:rsidRPr="00D37A39" w:rsidRDefault="003E2CEC" w:rsidP="0057167E">
      <w:pPr>
        <w:spacing w:afterLines="60" w:after="144"/>
        <w:ind w:left="1440"/>
      </w:pPr>
      <w:r w:rsidRPr="003E2CEC">
        <w:t>E</w:t>
      </w:r>
      <w:r w:rsidRPr="003E2CEC">
        <w:rPr>
          <w:vertAlign w:val="subscript"/>
        </w:rPr>
        <w:t>201</w:t>
      </w:r>
      <w:r w:rsidR="00054315">
        <w:rPr>
          <w:vertAlign w:val="subscript"/>
        </w:rPr>
        <w:t>8</w:t>
      </w:r>
      <w:r w:rsidRPr="003E2CEC">
        <w:t xml:space="preserve"> = (F</w:t>
      </w:r>
      <w:r w:rsidRPr="003E2CEC">
        <w:rPr>
          <w:vertAlign w:val="subscript"/>
        </w:rPr>
        <w:t>201</w:t>
      </w:r>
      <w:r w:rsidR="00054315">
        <w:rPr>
          <w:vertAlign w:val="subscript"/>
        </w:rPr>
        <w:t>8</w:t>
      </w:r>
      <w:r w:rsidRPr="003E2CEC">
        <w:t xml:space="preserve"> – A</w:t>
      </w:r>
      <w:r w:rsidRPr="003E2CEC">
        <w:rPr>
          <w:vertAlign w:val="subscript"/>
        </w:rPr>
        <w:t>201</w:t>
      </w:r>
      <w:r w:rsidR="00054315">
        <w:rPr>
          <w:vertAlign w:val="subscript"/>
        </w:rPr>
        <w:t>8</w:t>
      </w:r>
      <w:r w:rsidRPr="003E2CEC">
        <w:t>) – (F</w:t>
      </w:r>
      <w:r w:rsidRPr="003E2CEC">
        <w:rPr>
          <w:vertAlign w:val="subscript"/>
        </w:rPr>
        <w:t>201</w:t>
      </w:r>
      <w:r w:rsidR="00054315">
        <w:rPr>
          <w:vertAlign w:val="subscript"/>
        </w:rPr>
        <w:t>7</w:t>
      </w:r>
      <w:r w:rsidRPr="003E2CEC">
        <w:t xml:space="preserve"> – A</w:t>
      </w:r>
      <w:r w:rsidRPr="003E2CEC">
        <w:rPr>
          <w:vertAlign w:val="subscript"/>
        </w:rPr>
        <w:t>201</w:t>
      </w:r>
      <w:r w:rsidR="00054315">
        <w:rPr>
          <w:vertAlign w:val="subscript"/>
        </w:rPr>
        <w:t>7</w:t>
      </w:r>
      <w:r w:rsidRPr="003E2CEC">
        <w:t>) + (F</w:t>
      </w:r>
      <w:r w:rsidRPr="003E2CEC">
        <w:rPr>
          <w:vertAlign w:val="subscript"/>
        </w:rPr>
        <w:t>201</w:t>
      </w:r>
      <w:r w:rsidR="00054315">
        <w:rPr>
          <w:vertAlign w:val="subscript"/>
        </w:rPr>
        <w:t>6</w:t>
      </w:r>
      <w:r w:rsidRPr="003E2CEC">
        <w:t xml:space="preserve"> – A</w:t>
      </w:r>
      <w:r w:rsidRPr="003E2CEC">
        <w:rPr>
          <w:vertAlign w:val="subscript"/>
        </w:rPr>
        <w:t>201</w:t>
      </w:r>
      <w:r w:rsidR="00054315">
        <w:rPr>
          <w:vertAlign w:val="subscript"/>
        </w:rPr>
        <w:t>6</w:t>
      </w:r>
      <w:r w:rsidRPr="003E2CEC">
        <w:t>)</w:t>
      </w:r>
    </w:p>
    <w:p w14:paraId="11DD2F12" w14:textId="77777777" w:rsidR="003E2CEC" w:rsidRPr="00D37A39" w:rsidRDefault="003E2CEC" w:rsidP="0057167E">
      <w:pPr>
        <w:spacing w:afterLines="60" w:after="144"/>
        <w:ind w:left="720"/>
      </w:pPr>
      <w:r w:rsidRPr="003E2CEC">
        <w:t>where:</w:t>
      </w:r>
    </w:p>
    <w:p w14:paraId="6D638680" w14:textId="1E66B192" w:rsidR="003E2CEC" w:rsidRPr="003E2CEC" w:rsidRDefault="003E2CEC" w:rsidP="0057167E">
      <w:pPr>
        <w:spacing w:afterLines="60" w:after="144"/>
        <w:ind w:left="720"/>
      </w:pPr>
      <w:r w:rsidRPr="00F57D9B">
        <w:rPr>
          <w:i/>
        </w:rPr>
        <w:t>E</w:t>
      </w:r>
      <w:r w:rsidRPr="00F57D9B">
        <w:rPr>
          <w:i/>
          <w:vertAlign w:val="subscript"/>
        </w:rPr>
        <w:t>201</w:t>
      </w:r>
      <w:r w:rsidR="00054315" w:rsidRPr="00F57D9B">
        <w:rPr>
          <w:i/>
          <w:vertAlign w:val="subscript"/>
        </w:rPr>
        <w:t>8</w:t>
      </w:r>
      <w:r w:rsidRPr="003E2CEC">
        <w:t xml:space="preserve"> is the efficiency </w:t>
      </w:r>
      <w:r w:rsidRPr="00D37A39">
        <w:t>gain</w:t>
      </w:r>
      <w:r w:rsidRPr="003E2CEC">
        <w:t xml:space="preserve"> in </w:t>
      </w:r>
      <w:r w:rsidR="00054315">
        <w:t>2018</w:t>
      </w:r>
    </w:p>
    <w:p w14:paraId="1E2BC8D9" w14:textId="5A716E88" w:rsidR="003E2CEC" w:rsidRPr="003E2CEC" w:rsidRDefault="003E2CEC" w:rsidP="0057167E">
      <w:pPr>
        <w:spacing w:afterLines="60" w:after="144"/>
        <w:ind w:left="720"/>
      </w:pPr>
      <w:r w:rsidRPr="00F57D9B">
        <w:rPr>
          <w:i/>
        </w:rPr>
        <w:t>F</w:t>
      </w:r>
      <w:r w:rsidRPr="00F57D9B">
        <w:rPr>
          <w:i/>
          <w:vertAlign w:val="subscript"/>
        </w:rPr>
        <w:t>201</w:t>
      </w:r>
      <w:r w:rsidR="00054315" w:rsidRPr="00F57D9B">
        <w:rPr>
          <w:i/>
          <w:vertAlign w:val="subscript"/>
        </w:rPr>
        <w:t>8</w:t>
      </w:r>
      <w:r w:rsidRPr="003E2CEC">
        <w:t xml:space="preserve"> is the forecast opex for </w:t>
      </w:r>
      <w:r w:rsidR="00054315">
        <w:t>2018</w:t>
      </w:r>
    </w:p>
    <w:p w14:paraId="10C4F97D" w14:textId="3C23E209" w:rsidR="003E2CEC" w:rsidRPr="003E2CEC" w:rsidRDefault="003E2CEC" w:rsidP="0057167E">
      <w:pPr>
        <w:ind w:left="720"/>
      </w:pPr>
      <w:r w:rsidRPr="00F57D9B">
        <w:rPr>
          <w:i/>
        </w:rPr>
        <w:t>A</w:t>
      </w:r>
      <w:r w:rsidRPr="00F57D9B">
        <w:rPr>
          <w:i/>
          <w:vertAlign w:val="subscript"/>
        </w:rPr>
        <w:t>201</w:t>
      </w:r>
      <w:r w:rsidR="00054315" w:rsidRPr="00F57D9B">
        <w:rPr>
          <w:i/>
          <w:vertAlign w:val="subscript"/>
        </w:rPr>
        <w:t>8</w:t>
      </w:r>
      <w:r w:rsidRPr="003E2CEC">
        <w:t xml:space="preserve"> is the actual opex for </w:t>
      </w:r>
      <w:r w:rsidR="00054315">
        <w:t>2018</w:t>
      </w:r>
    </w:p>
    <w:p w14:paraId="6FA3DCEA" w14:textId="5FD4B134" w:rsidR="003E2CEC" w:rsidRPr="00D37A39" w:rsidRDefault="003E2CEC" w:rsidP="0057167E">
      <w:pPr>
        <w:spacing w:afterLines="60" w:after="144"/>
        <w:ind w:left="720"/>
      </w:pPr>
      <w:r w:rsidRPr="00F57D9B">
        <w:rPr>
          <w:i/>
        </w:rPr>
        <w:t>F</w:t>
      </w:r>
      <w:r w:rsidRPr="00F57D9B">
        <w:rPr>
          <w:i/>
          <w:vertAlign w:val="subscript"/>
        </w:rPr>
        <w:t>201</w:t>
      </w:r>
      <w:r w:rsidR="00054315" w:rsidRPr="00F57D9B">
        <w:rPr>
          <w:i/>
          <w:vertAlign w:val="subscript"/>
        </w:rPr>
        <w:t>7</w:t>
      </w:r>
      <w:r w:rsidRPr="003E2CEC">
        <w:t xml:space="preserve"> is the forecast opex for </w:t>
      </w:r>
      <w:r w:rsidR="00054315">
        <w:t>2017</w:t>
      </w:r>
    </w:p>
    <w:p w14:paraId="7C5EF929" w14:textId="5783CF65" w:rsidR="003E2CEC" w:rsidRPr="003E2CEC" w:rsidRDefault="003E2CEC" w:rsidP="0057167E">
      <w:pPr>
        <w:spacing w:afterLines="60" w:after="144"/>
        <w:ind w:left="720"/>
      </w:pPr>
      <w:r w:rsidRPr="00F57D9B">
        <w:rPr>
          <w:i/>
        </w:rPr>
        <w:t>A</w:t>
      </w:r>
      <w:r w:rsidRPr="00F57D9B">
        <w:rPr>
          <w:i/>
          <w:vertAlign w:val="subscript"/>
        </w:rPr>
        <w:t>201</w:t>
      </w:r>
      <w:r w:rsidR="00054315" w:rsidRPr="00F57D9B">
        <w:rPr>
          <w:i/>
          <w:vertAlign w:val="subscript"/>
        </w:rPr>
        <w:t>7</w:t>
      </w:r>
      <w:r w:rsidRPr="003E2CEC">
        <w:t xml:space="preserve"> is the actual opex for 201</w:t>
      </w:r>
      <w:r w:rsidR="00054315">
        <w:t>7</w:t>
      </w:r>
    </w:p>
    <w:p w14:paraId="62899959" w14:textId="152C2D40" w:rsidR="003E2CEC" w:rsidRPr="003E2CEC" w:rsidRDefault="003E2CEC" w:rsidP="0057167E">
      <w:pPr>
        <w:spacing w:afterLines="60" w:after="144"/>
        <w:ind w:left="720"/>
      </w:pPr>
      <w:r w:rsidRPr="00F57D9B">
        <w:rPr>
          <w:i/>
        </w:rPr>
        <w:lastRenderedPageBreak/>
        <w:t>F</w:t>
      </w:r>
      <w:r w:rsidRPr="00F57D9B">
        <w:rPr>
          <w:i/>
          <w:vertAlign w:val="subscript"/>
        </w:rPr>
        <w:t>201</w:t>
      </w:r>
      <w:r w:rsidR="00054315" w:rsidRPr="00F57D9B">
        <w:rPr>
          <w:i/>
          <w:vertAlign w:val="subscript"/>
        </w:rPr>
        <w:t>6</w:t>
      </w:r>
      <w:r w:rsidRPr="003E2CEC">
        <w:t xml:space="preserve"> is the forecast opex for </w:t>
      </w:r>
      <w:r w:rsidRPr="00D37A39">
        <w:t>201</w:t>
      </w:r>
      <w:r w:rsidR="00054315" w:rsidRPr="00D37A39">
        <w:t>6</w:t>
      </w:r>
    </w:p>
    <w:p w14:paraId="53CCC41F" w14:textId="13424FEF" w:rsidR="003E2CEC" w:rsidRPr="003E2CEC" w:rsidRDefault="003E2CEC" w:rsidP="0057167E">
      <w:pPr>
        <w:spacing w:afterLines="60" w:after="144"/>
        <w:ind w:left="720"/>
      </w:pPr>
      <w:r w:rsidRPr="00F57D9B">
        <w:rPr>
          <w:i/>
        </w:rPr>
        <w:t>A</w:t>
      </w:r>
      <w:r w:rsidRPr="00F57D9B">
        <w:rPr>
          <w:i/>
          <w:vertAlign w:val="subscript"/>
        </w:rPr>
        <w:t>201</w:t>
      </w:r>
      <w:r w:rsidR="00054315" w:rsidRPr="00F57D9B">
        <w:rPr>
          <w:i/>
          <w:vertAlign w:val="subscript"/>
        </w:rPr>
        <w:t>6</w:t>
      </w:r>
      <w:r w:rsidRPr="003E2CEC">
        <w:t xml:space="preserve"> is the actual opex for 201</w:t>
      </w:r>
      <w:r w:rsidR="00054315">
        <w:t>6</w:t>
      </w:r>
    </w:p>
    <w:p w14:paraId="718CBC77" w14:textId="58E7F8EB" w:rsidR="003E2CEC" w:rsidRPr="003E2CEC" w:rsidRDefault="003E2CEC" w:rsidP="00F57D9B">
      <w:pPr>
        <w:spacing w:afterLines="60" w:after="144"/>
        <w:ind w:left="720" w:hanging="720"/>
      </w:pPr>
      <w:r>
        <w:t>(</w:t>
      </w:r>
      <w:r w:rsidR="00E2213F">
        <w:t>b</w:t>
      </w:r>
      <w:r>
        <w:t>)</w:t>
      </w:r>
      <w:r>
        <w:tab/>
      </w:r>
      <w:r w:rsidRPr="003E2CEC">
        <w:t xml:space="preserve">The operating expenditure annual </w:t>
      </w:r>
      <w:r w:rsidRPr="00B75833">
        <w:t>efficiency</w:t>
      </w:r>
      <w:r w:rsidRPr="003E2CEC">
        <w:t xml:space="preserve"> gain (or loss) for </w:t>
      </w:r>
      <w:r w:rsidR="00054315">
        <w:t>2019</w:t>
      </w:r>
      <w:r w:rsidR="00054315" w:rsidRPr="003E2CEC">
        <w:t xml:space="preserve"> </w:t>
      </w:r>
      <w:r w:rsidRPr="003E2CEC">
        <w:t xml:space="preserve">to </w:t>
      </w:r>
      <w:r w:rsidR="00054315">
        <w:t xml:space="preserve">2022 </w:t>
      </w:r>
      <w:r w:rsidRPr="003E2CEC">
        <w:t>will be calculated as:</w:t>
      </w:r>
    </w:p>
    <w:p w14:paraId="3F270DF4" w14:textId="77777777" w:rsidR="003E2CEC" w:rsidRPr="003E2CEC" w:rsidRDefault="003E2CEC" w:rsidP="00F57D9B">
      <w:pPr>
        <w:spacing w:afterLines="60" w:after="144"/>
        <w:ind w:left="1440"/>
      </w:pPr>
      <w:r w:rsidRPr="003E2CEC">
        <w:t>E</w:t>
      </w:r>
      <w:r w:rsidRPr="003E2CEC">
        <w:rPr>
          <w:vertAlign w:val="subscript"/>
        </w:rPr>
        <w:t>i</w:t>
      </w:r>
      <w:r w:rsidRPr="003E2CEC">
        <w:t xml:space="preserve"> = (F</w:t>
      </w:r>
      <w:r w:rsidRPr="003E2CEC">
        <w:rPr>
          <w:vertAlign w:val="subscript"/>
        </w:rPr>
        <w:t>i</w:t>
      </w:r>
      <w:r w:rsidRPr="003E2CEC">
        <w:t xml:space="preserve"> – A</w:t>
      </w:r>
      <w:r w:rsidRPr="003E2CEC">
        <w:rPr>
          <w:vertAlign w:val="subscript"/>
        </w:rPr>
        <w:t>i</w:t>
      </w:r>
      <w:r w:rsidRPr="003E2CEC">
        <w:t>) – (F</w:t>
      </w:r>
      <w:r w:rsidRPr="003E2CEC">
        <w:rPr>
          <w:vertAlign w:val="subscript"/>
        </w:rPr>
        <w:t>i-1</w:t>
      </w:r>
      <w:r w:rsidRPr="003E2CEC">
        <w:t xml:space="preserve"> – A</w:t>
      </w:r>
      <w:r w:rsidRPr="003E2CEC">
        <w:rPr>
          <w:vertAlign w:val="subscript"/>
        </w:rPr>
        <w:t>i-1</w:t>
      </w:r>
      <w:r w:rsidRPr="003E2CEC">
        <w:t>)</w:t>
      </w:r>
    </w:p>
    <w:p w14:paraId="584F12B2" w14:textId="77777777" w:rsidR="003E2CEC" w:rsidRPr="003E2CEC" w:rsidRDefault="003E2CEC" w:rsidP="00F57D9B">
      <w:pPr>
        <w:spacing w:afterLines="60" w:after="144"/>
        <w:ind w:left="720"/>
      </w:pPr>
      <w:r w:rsidRPr="00D37A39">
        <w:t>where</w:t>
      </w:r>
      <w:r w:rsidRPr="003E2CEC">
        <w:t>:</w:t>
      </w:r>
    </w:p>
    <w:p w14:paraId="6C8D1452" w14:textId="4D98E5D2" w:rsidR="003E2CEC" w:rsidRPr="003E2CEC" w:rsidRDefault="003E2CEC" w:rsidP="00F57D9B">
      <w:pPr>
        <w:spacing w:afterLines="60" w:after="144"/>
        <w:ind w:left="720"/>
      </w:pPr>
      <w:r w:rsidRPr="00F57D9B">
        <w:rPr>
          <w:i/>
        </w:rPr>
        <w:t>E</w:t>
      </w:r>
      <w:r w:rsidRPr="00F57D9B">
        <w:rPr>
          <w:i/>
          <w:vertAlign w:val="subscript"/>
        </w:rPr>
        <w:t>i</w:t>
      </w:r>
      <w:r w:rsidRPr="003E2CEC">
        <w:t xml:space="preserve"> is the efficiency gain in year </w:t>
      </w:r>
      <w:r w:rsidRPr="00507C39">
        <w:rPr>
          <w:i/>
        </w:rPr>
        <w:t>i</w:t>
      </w:r>
      <w:r w:rsidRPr="003E2CEC">
        <w:t xml:space="preserve"> of the access arrangement period</w:t>
      </w:r>
    </w:p>
    <w:p w14:paraId="7B518FF0" w14:textId="77777777" w:rsidR="003E2CEC" w:rsidRPr="003E2CEC" w:rsidRDefault="003E2CEC" w:rsidP="00F57D9B">
      <w:pPr>
        <w:spacing w:afterLines="60" w:after="144"/>
        <w:ind w:left="720"/>
      </w:pPr>
      <w:r w:rsidRPr="00F57D9B">
        <w:rPr>
          <w:i/>
        </w:rPr>
        <w:t>F</w:t>
      </w:r>
      <w:r w:rsidRPr="00F57D9B">
        <w:rPr>
          <w:i/>
          <w:vertAlign w:val="subscript"/>
        </w:rPr>
        <w:t>i</w:t>
      </w:r>
      <w:r w:rsidRPr="003E2CEC">
        <w:t xml:space="preserve"> is the forecast opex in year </w:t>
      </w:r>
      <w:r w:rsidRPr="00507C39">
        <w:rPr>
          <w:i/>
        </w:rPr>
        <w:t>i</w:t>
      </w:r>
      <w:r w:rsidRPr="003E2CEC">
        <w:t xml:space="preserve"> of the access arrangement period</w:t>
      </w:r>
    </w:p>
    <w:p w14:paraId="030BD7A9" w14:textId="77777777" w:rsidR="003E2CEC" w:rsidRPr="003E2CEC" w:rsidRDefault="003E2CEC" w:rsidP="00F57D9B">
      <w:pPr>
        <w:spacing w:afterLines="60" w:after="144"/>
        <w:ind w:left="720"/>
      </w:pPr>
      <w:r w:rsidRPr="00F57D9B">
        <w:rPr>
          <w:i/>
        </w:rPr>
        <w:t>A</w:t>
      </w:r>
      <w:r w:rsidRPr="00F57D9B">
        <w:rPr>
          <w:i/>
          <w:vertAlign w:val="subscript"/>
        </w:rPr>
        <w:t>i</w:t>
      </w:r>
      <w:r w:rsidRPr="003E2CEC">
        <w:t xml:space="preserve"> is the actual opex in year </w:t>
      </w:r>
      <w:r w:rsidRPr="00507C39">
        <w:rPr>
          <w:i/>
        </w:rPr>
        <w:t>i</w:t>
      </w:r>
      <w:r w:rsidRPr="003E2CEC">
        <w:t xml:space="preserve"> of the access arrangement period</w:t>
      </w:r>
    </w:p>
    <w:p w14:paraId="785D3067" w14:textId="77777777" w:rsidR="003E2CEC" w:rsidRPr="003E2CEC" w:rsidRDefault="003E2CEC" w:rsidP="00F57D9B">
      <w:pPr>
        <w:spacing w:afterLines="60" w:after="144"/>
        <w:ind w:left="720"/>
      </w:pPr>
      <w:r w:rsidRPr="00F57D9B">
        <w:rPr>
          <w:i/>
        </w:rPr>
        <w:t>F</w:t>
      </w:r>
      <w:r w:rsidRPr="00F57D9B">
        <w:rPr>
          <w:i/>
          <w:vertAlign w:val="subscript"/>
        </w:rPr>
        <w:t>i</w:t>
      </w:r>
      <w:r w:rsidRPr="003E2CEC">
        <w:rPr>
          <w:vertAlign w:val="subscript"/>
        </w:rPr>
        <w:t>-1</w:t>
      </w:r>
      <w:r w:rsidRPr="003E2CEC">
        <w:t xml:space="preserve"> is the forecast opex in year </w:t>
      </w:r>
      <w:r w:rsidRPr="00507C39">
        <w:rPr>
          <w:i/>
        </w:rPr>
        <w:t>i</w:t>
      </w:r>
      <w:r w:rsidRPr="003E2CEC">
        <w:t>–1 of the access arrangement period</w:t>
      </w:r>
    </w:p>
    <w:p w14:paraId="2A16E099" w14:textId="77777777" w:rsidR="003E2CEC" w:rsidRPr="003E2CEC" w:rsidRDefault="003E2CEC" w:rsidP="00F57D9B">
      <w:pPr>
        <w:spacing w:afterLines="60" w:after="144"/>
        <w:ind w:left="720"/>
      </w:pPr>
      <w:r w:rsidRPr="00F57D9B">
        <w:rPr>
          <w:i/>
        </w:rPr>
        <w:t>A</w:t>
      </w:r>
      <w:r w:rsidRPr="00F57D9B">
        <w:rPr>
          <w:i/>
          <w:vertAlign w:val="subscript"/>
        </w:rPr>
        <w:t>i-1</w:t>
      </w:r>
      <w:r w:rsidRPr="003E2CEC">
        <w:t xml:space="preserve"> is the forecast opex in year </w:t>
      </w:r>
      <w:r w:rsidRPr="00507C39">
        <w:rPr>
          <w:i/>
        </w:rPr>
        <w:t>i</w:t>
      </w:r>
      <w:r w:rsidRPr="003E2CEC">
        <w:t>–1 of the access arrangement period</w:t>
      </w:r>
    </w:p>
    <w:p w14:paraId="4AB31DD4" w14:textId="3A194273" w:rsidR="003E2CEC" w:rsidRPr="003E2CEC" w:rsidRDefault="003E2CEC" w:rsidP="0057167E">
      <w:bookmarkStart w:id="165" w:name="_Ref330977342"/>
      <w:r>
        <w:t>(</w:t>
      </w:r>
      <w:r w:rsidR="00E2213F">
        <w:t>c</w:t>
      </w:r>
      <w:r>
        <w:t>)</w:t>
      </w:r>
      <w:r>
        <w:tab/>
      </w:r>
      <w:r w:rsidRPr="00B75833">
        <w:t>Opex</w:t>
      </w:r>
      <w:r w:rsidRPr="003E2CEC">
        <w:t xml:space="preserve"> in </w:t>
      </w:r>
      <w:r w:rsidR="00054315">
        <w:t>2022</w:t>
      </w:r>
      <w:r w:rsidR="00054315" w:rsidRPr="003E2CEC">
        <w:t xml:space="preserve"> </w:t>
      </w:r>
      <w:r w:rsidRPr="003E2CEC">
        <w:t>is to be estimated using the following equation:</w:t>
      </w:r>
      <w:bookmarkEnd w:id="165"/>
      <w:r w:rsidRPr="003E2CEC">
        <w:t xml:space="preserve"> </w:t>
      </w:r>
    </w:p>
    <w:p w14:paraId="548C3C76" w14:textId="7A7388B1" w:rsidR="003E2CEC" w:rsidRPr="003E2CEC" w:rsidRDefault="003E2CEC" w:rsidP="00F57D9B">
      <w:pPr>
        <w:spacing w:afterLines="60" w:after="144"/>
        <w:ind w:left="1440"/>
      </w:pPr>
      <w:r w:rsidRPr="003E2CEC">
        <w:t>A</w:t>
      </w:r>
      <w:r w:rsidRPr="003E2CEC">
        <w:rPr>
          <w:vertAlign w:val="subscript"/>
        </w:rPr>
        <w:t>20</w:t>
      </w:r>
      <w:r w:rsidR="00054315">
        <w:rPr>
          <w:vertAlign w:val="subscript"/>
        </w:rPr>
        <w:t>22</w:t>
      </w:r>
      <w:r w:rsidRPr="003E2CEC">
        <w:t>* = A</w:t>
      </w:r>
      <w:r w:rsidRPr="003E2CEC">
        <w:rPr>
          <w:vertAlign w:val="subscript"/>
        </w:rPr>
        <w:t>20</w:t>
      </w:r>
      <w:r w:rsidR="00054315">
        <w:rPr>
          <w:vertAlign w:val="subscript"/>
        </w:rPr>
        <w:t>2</w:t>
      </w:r>
      <w:r w:rsidRPr="003E2CEC">
        <w:rPr>
          <w:vertAlign w:val="subscript"/>
        </w:rPr>
        <w:t>1</w:t>
      </w:r>
      <w:r w:rsidRPr="003E2CEC">
        <w:t xml:space="preserve"> + F</w:t>
      </w:r>
      <w:r w:rsidRPr="003E2CEC">
        <w:rPr>
          <w:vertAlign w:val="subscript"/>
        </w:rPr>
        <w:t>20</w:t>
      </w:r>
      <w:r w:rsidR="00054315">
        <w:rPr>
          <w:vertAlign w:val="subscript"/>
        </w:rPr>
        <w:t>22</w:t>
      </w:r>
      <w:r w:rsidRPr="003E2CEC">
        <w:t xml:space="preserve"> – F</w:t>
      </w:r>
      <w:r w:rsidRPr="003E2CEC">
        <w:rPr>
          <w:vertAlign w:val="subscript"/>
        </w:rPr>
        <w:t>20</w:t>
      </w:r>
      <w:r w:rsidR="00054315">
        <w:rPr>
          <w:vertAlign w:val="subscript"/>
        </w:rPr>
        <w:t>21</w:t>
      </w:r>
    </w:p>
    <w:p w14:paraId="22F84AAB" w14:textId="77777777" w:rsidR="003E2CEC" w:rsidRPr="003E2CEC" w:rsidRDefault="003E2CEC" w:rsidP="00F57D9B">
      <w:pPr>
        <w:spacing w:afterLines="60" w:after="144"/>
        <w:ind w:left="720"/>
      </w:pPr>
      <w:r w:rsidRPr="003E2CEC">
        <w:t>where:</w:t>
      </w:r>
    </w:p>
    <w:p w14:paraId="2A5546C2" w14:textId="3B97FDFA" w:rsidR="003E2CEC" w:rsidRPr="003E2CEC" w:rsidRDefault="003E2CEC" w:rsidP="00F57D9B">
      <w:pPr>
        <w:spacing w:afterLines="60" w:after="144"/>
        <w:ind w:left="720"/>
      </w:pPr>
      <w:r w:rsidRPr="00F57D9B">
        <w:rPr>
          <w:i/>
        </w:rPr>
        <w:t>A</w:t>
      </w:r>
      <w:r w:rsidRPr="00F57D9B">
        <w:rPr>
          <w:i/>
          <w:vertAlign w:val="subscript"/>
        </w:rPr>
        <w:t>20</w:t>
      </w:r>
      <w:r w:rsidR="00054315" w:rsidRPr="00F57D9B">
        <w:rPr>
          <w:i/>
          <w:vertAlign w:val="subscript"/>
        </w:rPr>
        <w:t>22</w:t>
      </w:r>
      <w:r w:rsidRPr="00F57D9B">
        <w:rPr>
          <w:i/>
        </w:rPr>
        <w:t>*</w:t>
      </w:r>
      <w:r w:rsidRPr="003E2CEC">
        <w:t xml:space="preserve"> is the estimate of opex for 20</w:t>
      </w:r>
      <w:r w:rsidR="00054315">
        <w:t>22</w:t>
      </w:r>
    </w:p>
    <w:p w14:paraId="248842A4" w14:textId="36C241B3" w:rsidR="003E2CEC" w:rsidRPr="003E2CEC" w:rsidRDefault="003E2CEC" w:rsidP="00F57D9B">
      <w:pPr>
        <w:spacing w:afterLines="60" w:after="144"/>
        <w:ind w:left="720"/>
      </w:pPr>
      <w:r w:rsidRPr="003D2487">
        <w:rPr>
          <w:i/>
        </w:rPr>
        <w:t>F</w:t>
      </w:r>
      <w:r w:rsidRPr="003D2487">
        <w:rPr>
          <w:i/>
          <w:vertAlign w:val="subscript"/>
        </w:rPr>
        <w:t>20</w:t>
      </w:r>
      <w:r w:rsidR="00054315" w:rsidRPr="003D2487">
        <w:rPr>
          <w:i/>
          <w:vertAlign w:val="subscript"/>
        </w:rPr>
        <w:t>22</w:t>
      </w:r>
      <w:r w:rsidRPr="003E2CEC">
        <w:t xml:space="preserve"> is the forecast opex for 20</w:t>
      </w:r>
      <w:r w:rsidR="00054315">
        <w:t>22</w:t>
      </w:r>
    </w:p>
    <w:p w14:paraId="1A714FF8" w14:textId="3FC1E7F0" w:rsidR="003E2CEC" w:rsidRPr="003E2CEC" w:rsidRDefault="003E2CEC" w:rsidP="00F57D9B">
      <w:pPr>
        <w:spacing w:afterLines="60" w:after="144"/>
        <w:ind w:left="720"/>
      </w:pPr>
      <w:r w:rsidRPr="003D2487">
        <w:rPr>
          <w:i/>
        </w:rPr>
        <w:t>F</w:t>
      </w:r>
      <w:r w:rsidRPr="003D2487">
        <w:rPr>
          <w:i/>
          <w:vertAlign w:val="subscript"/>
        </w:rPr>
        <w:t>20</w:t>
      </w:r>
      <w:r w:rsidR="00054315" w:rsidRPr="003D2487">
        <w:rPr>
          <w:i/>
          <w:vertAlign w:val="subscript"/>
        </w:rPr>
        <w:t>21</w:t>
      </w:r>
      <w:r w:rsidRPr="003E2CEC">
        <w:t xml:space="preserve"> is the forecast opex for 20</w:t>
      </w:r>
      <w:r w:rsidR="00054315">
        <w:t>21</w:t>
      </w:r>
    </w:p>
    <w:p w14:paraId="08158E07" w14:textId="4AE106FB" w:rsidR="003E2CEC" w:rsidRPr="003E2CEC" w:rsidRDefault="003E2CEC" w:rsidP="00F57D9B">
      <w:pPr>
        <w:spacing w:afterLines="60" w:after="144"/>
        <w:ind w:left="720"/>
      </w:pPr>
      <w:r w:rsidRPr="003D2487">
        <w:rPr>
          <w:i/>
        </w:rPr>
        <w:t>A</w:t>
      </w:r>
      <w:r w:rsidRPr="003D2487">
        <w:rPr>
          <w:i/>
          <w:vertAlign w:val="subscript"/>
        </w:rPr>
        <w:t>20</w:t>
      </w:r>
      <w:r w:rsidR="00054315" w:rsidRPr="003D2487">
        <w:rPr>
          <w:i/>
          <w:vertAlign w:val="subscript"/>
        </w:rPr>
        <w:t>21</w:t>
      </w:r>
      <w:r w:rsidRPr="003E2CEC">
        <w:t xml:space="preserve"> is the actual opex for 20</w:t>
      </w:r>
      <w:r w:rsidR="00054315">
        <w:t>21</w:t>
      </w:r>
    </w:p>
    <w:p w14:paraId="3DF6471C" w14:textId="61E634CE" w:rsidR="003E2CEC" w:rsidRPr="003E2CEC" w:rsidRDefault="003E2CEC" w:rsidP="00F57D9B">
      <w:pPr>
        <w:spacing w:afterLines="60" w:after="144"/>
        <w:ind w:left="720" w:hanging="720"/>
      </w:pPr>
      <w:r>
        <w:t>(</w:t>
      </w:r>
      <w:r w:rsidR="00E2213F">
        <w:t>d</w:t>
      </w:r>
      <w:r>
        <w:t>)</w:t>
      </w:r>
      <w:r>
        <w:tab/>
      </w:r>
      <w:r w:rsidRPr="003E2CEC">
        <w:t xml:space="preserve">For the avoidance of doubt, the operating expenditure annual efficiency gain (or loss) for </w:t>
      </w:r>
      <w:r w:rsidR="00054315">
        <w:t>2022</w:t>
      </w:r>
      <w:r w:rsidR="00054315" w:rsidRPr="003E2CEC">
        <w:t xml:space="preserve"> </w:t>
      </w:r>
      <w:r w:rsidRPr="003E2CEC">
        <w:t xml:space="preserve">will be assumed to equal zero.  </w:t>
      </w:r>
    </w:p>
    <w:p w14:paraId="2C12C93A" w14:textId="1F54A60F" w:rsidR="003E2CEC" w:rsidRPr="003E2CEC" w:rsidRDefault="003E2CEC" w:rsidP="00F57D9B">
      <w:pPr>
        <w:spacing w:afterLines="60" w:after="144"/>
        <w:ind w:left="720" w:hanging="720"/>
      </w:pPr>
      <w:r>
        <w:t>(</w:t>
      </w:r>
      <w:r w:rsidR="00E2213F">
        <w:t>e</w:t>
      </w:r>
      <w:r>
        <w:t>)</w:t>
      </w:r>
      <w:r>
        <w:tab/>
      </w:r>
      <w:r w:rsidRPr="003E2CEC">
        <w:t xml:space="preserve">The annual efficiency gain or loss will be added to </w:t>
      </w:r>
      <w:r w:rsidR="0090080B">
        <w:t>the Service Provide</w:t>
      </w:r>
      <w:r w:rsidR="00E2213F">
        <w:t>r’</w:t>
      </w:r>
      <w:r w:rsidRPr="003E2CEC">
        <w:t xml:space="preserve">s Total Revenue for five years after the year in which the efficiency gain (or loss) was achieved. If necessary, the annual efficiency gain or loss will be carried forward into the </w:t>
      </w:r>
      <w:r w:rsidR="00E53972">
        <w:t>Fifth A</w:t>
      </w:r>
      <w:r w:rsidRPr="003E2CEC">
        <w:t xml:space="preserve">ccess </w:t>
      </w:r>
      <w:r w:rsidR="00E53972">
        <w:t>A</w:t>
      </w:r>
      <w:r w:rsidRPr="003E2CEC">
        <w:t xml:space="preserve">rrangement </w:t>
      </w:r>
      <w:r w:rsidR="00E53972">
        <w:t>P</w:t>
      </w:r>
      <w:r w:rsidRPr="003E2CEC">
        <w:t xml:space="preserve">eriod until it has been retained by </w:t>
      </w:r>
      <w:r w:rsidR="0090080B">
        <w:t>the Service Provider</w:t>
      </w:r>
      <w:r w:rsidR="0090080B" w:rsidRPr="003E2CEC">
        <w:t xml:space="preserve"> </w:t>
      </w:r>
      <w:r w:rsidRPr="003E2CEC">
        <w:t>for a period of five years.</w:t>
      </w:r>
    </w:p>
    <w:p w14:paraId="67BE778E" w14:textId="522AEADB" w:rsidR="003E2CEC" w:rsidRPr="003E2CEC" w:rsidRDefault="003E2CEC" w:rsidP="00F57D9B">
      <w:pPr>
        <w:spacing w:afterLines="60" w:after="144"/>
        <w:ind w:left="720" w:hanging="720"/>
      </w:pPr>
      <w:r>
        <w:t>(</w:t>
      </w:r>
      <w:r w:rsidR="00E2213F">
        <w:t>f</w:t>
      </w:r>
      <w:r>
        <w:t>)</w:t>
      </w:r>
      <w:r>
        <w:tab/>
      </w:r>
      <w:r w:rsidRPr="003E2CEC">
        <w:t xml:space="preserve">To ensure efficiency gains or losses made in </w:t>
      </w:r>
      <w:r w:rsidR="00054315">
        <w:t>2022</w:t>
      </w:r>
      <w:r w:rsidR="00054315" w:rsidRPr="003E2CEC">
        <w:t xml:space="preserve"> </w:t>
      </w:r>
      <w:r w:rsidRPr="003E2CEC">
        <w:t xml:space="preserve">are retained for five years, opex for the </w:t>
      </w:r>
      <w:r w:rsidR="00054315">
        <w:t xml:space="preserve">Sixth </w:t>
      </w:r>
      <w:r w:rsidR="00CF3C53">
        <w:t>A</w:t>
      </w:r>
      <w:r w:rsidRPr="003E2CEC">
        <w:t xml:space="preserve">ccess </w:t>
      </w:r>
      <w:r w:rsidR="00CF3C53">
        <w:t>A</w:t>
      </w:r>
      <w:r w:rsidRPr="003E2CEC">
        <w:t xml:space="preserve">rrangement </w:t>
      </w:r>
      <w:r w:rsidR="00CF3C53">
        <w:t>P</w:t>
      </w:r>
      <w:r w:rsidRPr="003E2CEC">
        <w:t xml:space="preserve">eriod should be forecast in a manner consistent with the estimate for opex in </w:t>
      </w:r>
      <w:r w:rsidR="00054315">
        <w:t>2022</w:t>
      </w:r>
      <w:r w:rsidRPr="003E2CEC">
        <w:t>, A</w:t>
      </w:r>
      <w:r w:rsidRPr="003E2CEC">
        <w:rPr>
          <w:vertAlign w:val="subscript"/>
        </w:rPr>
        <w:t>20</w:t>
      </w:r>
      <w:r w:rsidR="00054315">
        <w:rPr>
          <w:vertAlign w:val="subscript"/>
        </w:rPr>
        <w:t>22</w:t>
      </w:r>
      <w:r w:rsidRPr="003E2CEC">
        <w:t xml:space="preserve">*, in </w:t>
      </w:r>
      <w:r w:rsidR="006D4312">
        <w:t xml:space="preserve">paragraph </w:t>
      </w:r>
      <w:r w:rsidR="00915B96">
        <w:t>(</w:t>
      </w:r>
      <w:r w:rsidR="0046606A">
        <w:t>c</w:t>
      </w:r>
      <w:r w:rsidR="00915B96">
        <w:t>)</w:t>
      </w:r>
      <w:r w:rsidR="006D4312">
        <w:t xml:space="preserve"> above</w:t>
      </w:r>
      <w:r w:rsidRPr="003E2CEC">
        <w:t xml:space="preserve">. This provides </w:t>
      </w:r>
      <w:r w:rsidR="0090080B">
        <w:t>the Service Provider</w:t>
      </w:r>
      <w:r w:rsidR="0090080B" w:rsidRPr="003E2CEC">
        <w:t xml:space="preserve"> </w:t>
      </w:r>
      <w:r w:rsidRPr="003E2CEC">
        <w:t xml:space="preserve">the same reward had the expenditure level in </w:t>
      </w:r>
      <w:r w:rsidR="00054315">
        <w:t xml:space="preserve">2022 </w:t>
      </w:r>
      <w:r w:rsidRPr="003E2CEC">
        <w:t>been known.</w:t>
      </w:r>
    </w:p>
    <w:p w14:paraId="10FD795A" w14:textId="5380B33E" w:rsidR="003E2CEC" w:rsidRPr="003E2CEC" w:rsidRDefault="003E2CEC" w:rsidP="00F57D9B">
      <w:pPr>
        <w:spacing w:afterLines="60" w:after="144"/>
        <w:ind w:left="720" w:hanging="720"/>
      </w:pPr>
      <w:r>
        <w:t>(</w:t>
      </w:r>
      <w:r w:rsidR="00E2213F">
        <w:t>g</w:t>
      </w:r>
      <w:r>
        <w:t>)</w:t>
      </w:r>
      <w:r>
        <w:tab/>
      </w:r>
      <w:r w:rsidRPr="003E2CEC">
        <w:t xml:space="preserve">Increments or decrements from the summation of annual efficiency gains or losses calculated in accordance with the approved incentive mechanism in the Access Arrangement Period will give rise to an additional ‘building block’ in the calculation of the Total Revenue amounts. </w:t>
      </w:r>
    </w:p>
    <w:p w14:paraId="67252159" w14:textId="0B6929A5" w:rsidR="003E2CEC" w:rsidRPr="003E2CEC" w:rsidRDefault="003E2CEC" w:rsidP="00F57D9B">
      <w:pPr>
        <w:spacing w:afterLines="60" w:after="144"/>
        <w:ind w:left="720" w:hanging="720"/>
      </w:pPr>
      <w:r>
        <w:t>(</w:t>
      </w:r>
      <w:r w:rsidR="00E2213F">
        <w:t>h</w:t>
      </w:r>
      <w:r>
        <w:t>)</w:t>
      </w:r>
      <w:r>
        <w:tab/>
      </w:r>
      <w:r w:rsidRPr="003E2CEC">
        <w:t>The following costs will be excluded from the operation of the efficiency carryover mechanism:</w:t>
      </w:r>
    </w:p>
    <w:p w14:paraId="167D4141" w14:textId="5C6F436E" w:rsidR="003E2CEC" w:rsidRPr="00B75833" w:rsidRDefault="003E2CEC" w:rsidP="00F57D9B">
      <w:pPr>
        <w:ind w:left="720"/>
      </w:pPr>
      <w:r>
        <w:t>(</w:t>
      </w:r>
      <w:r w:rsidR="00E2213F">
        <w:t>1</w:t>
      </w:r>
      <w:r>
        <w:t>)</w:t>
      </w:r>
      <w:r>
        <w:tab/>
      </w:r>
      <w:r w:rsidRPr="003E2CEC">
        <w:t xml:space="preserve">costs </w:t>
      </w:r>
      <w:r w:rsidRPr="00B75833">
        <w:t>associated with complying with any retailer of last resort requirements;</w:t>
      </w:r>
    </w:p>
    <w:p w14:paraId="0DA86816" w14:textId="06E787C2" w:rsidR="000807CF" w:rsidRPr="00D37A39" w:rsidRDefault="003E2CEC" w:rsidP="00F57D9B">
      <w:pPr>
        <w:ind w:left="720"/>
      </w:pPr>
      <w:r w:rsidRPr="004B17B3">
        <w:t>(</w:t>
      </w:r>
      <w:r w:rsidR="00E2213F">
        <w:t>2</w:t>
      </w:r>
      <w:r w:rsidRPr="000E3017">
        <w:t>)</w:t>
      </w:r>
      <w:r w:rsidRPr="000E3017">
        <w:tab/>
      </w:r>
      <w:r w:rsidRPr="00D37A39">
        <w:t>amounts for approved Cost Pass Through Events;</w:t>
      </w:r>
    </w:p>
    <w:p w14:paraId="6A015B1E" w14:textId="3E976341" w:rsidR="003E2CEC" w:rsidRPr="00D37A39" w:rsidRDefault="00E2213F" w:rsidP="00F57D9B">
      <w:pPr>
        <w:ind w:left="720"/>
      </w:pPr>
      <w:r>
        <w:t>(3</w:t>
      </w:r>
      <w:r w:rsidR="003E2CEC" w:rsidRPr="00D37A39">
        <w:t>)</w:t>
      </w:r>
      <w:r w:rsidR="003E2CEC" w:rsidRPr="00D37A39">
        <w:tab/>
        <w:t>unaccounted for gas expenses;</w:t>
      </w:r>
    </w:p>
    <w:p w14:paraId="511173CD" w14:textId="130CC5AD" w:rsidR="003E2CEC" w:rsidRPr="00D37A39" w:rsidRDefault="003E2CEC" w:rsidP="00F57D9B">
      <w:pPr>
        <w:ind w:left="720"/>
      </w:pPr>
      <w:r w:rsidRPr="00D37A39">
        <w:t>(</w:t>
      </w:r>
      <w:r w:rsidR="00E2213F">
        <w:t>4</w:t>
      </w:r>
      <w:r w:rsidRPr="00D37A39">
        <w:t>)</w:t>
      </w:r>
      <w:r w:rsidRPr="00D37A39">
        <w:tab/>
        <w:t>licence fe</w:t>
      </w:r>
      <w:r w:rsidR="000807CF">
        <w:t>es;</w:t>
      </w:r>
    </w:p>
    <w:p w14:paraId="25945A83" w14:textId="6C084673" w:rsidR="003E2CEC" w:rsidRPr="00D37A39" w:rsidRDefault="003E2CEC" w:rsidP="00F57D9B">
      <w:pPr>
        <w:ind w:left="720"/>
      </w:pPr>
      <w:r w:rsidRPr="00D37A39">
        <w:t>(</w:t>
      </w:r>
      <w:r w:rsidR="00E2213F">
        <w:t>5</w:t>
      </w:r>
      <w:r w:rsidRPr="00D37A39">
        <w:t>)</w:t>
      </w:r>
      <w:r w:rsidRPr="00D37A39">
        <w:tab/>
        <w:t>debt raising costs;</w:t>
      </w:r>
    </w:p>
    <w:p w14:paraId="6187B5F5" w14:textId="1483AA5B" w:rsidR="00D37A39" w:rsidRDefault="003E2CEC" w:rsidP="00F57D9B">
      <w:pPr>
        <w:ind w:left="720"/>
      </w:pPr>
      <w:r w:rsidRPr="00D37A39">
        <w:t>(</w:t>
      </w:r>
      <w:r w:rsidR="00E2213F">
        <w:t>6</w:t>
      </w:r>
      <w:r w:rsidRPr="00D37A39">
        <w:t>)</w:t>
      </w:r>
      <w:r w:rsidRPr="00D37A39">
        <w:tab/>
        <w:t xml:space="preserve">movements in provisions; </w:t>
      </w:r>
    </w:p>
    <w:p w14:paraId="476121AA" w14:textId="1D9740DF" w:rsidR="003E2CEC" w:rsidRPr="00D37A39" w:rsidRDefault="00E2213F" w:rsidP="00F57D9B">
      <w:pPr>
        <w:ind w:left="720"/>
      </w:pPr>
      <w:r>
        <w:t>(7</w:t>
      </w:r>
      <w:r w:rsidR="00D37A39">
        <w:t>)</w:t>
      </w:r>
      <w:r w:rsidR="00D37A39">
        <w:tab/>
        <w:t xml:space="preserve">allowable NIS expenditure amounts; </w:t>
      </w:r>
      <w:r w:rsidR="003E2CEC" w:rsidRPr="00D37A39">
        <w:t>and</w:t>
      </w:r>
    </w:p>
    <w:p w14:paraId="74555AEF" w14:textId="1A2B3336" w:rsidR="003E2CEC" w:rsidRPr="003E2CEC" w:rsidRDefault="003E2CEC" w:rsidP="0057167E">
      <w:pPr>
        <w:ind w:left="1440" w:hanging="720"/>
      </w:pPr>
      <w:r w:rsidRPr="00D37A39">
        <w:t>(</w:t>
      </w:r>
      <w:r w:rsidR="00E2213F">
        <w:t>8</w:t>
      </w:r>
      <w:r w:rsidRPr="00D37A39">
        <w:t>)</w:t>
      </w:r>
      <w:r w:rsidRPr="00D37A39">
        <w:tab/>
        <w:t>any ot</w:t>
      </w:r>
      <w:r w:rsidRPr="003E2CEC">
        <w:t xml:space="preserve">her activity that </w:t>
      </w:r>
      <w:r w:rsidR="0090080B">
        <w:t>the Service Provider</w:t>
      </w:r>
      <w:r w:rsidR="0090080B" w:rsidRPr="003E2CEC">
        <w:t xml:space="preserve"> </w:t>
      </w:r>
      <w:r w:rsidRPr="003E2CEC">
        <w:t xml:space="preserve">and the Regulator agree to exclude from the operation of the efficiency carryover mechanism. </w:t>
      </w:r>
    </w:p>
    <w:p w14:paraId="098E7D69" w14:textId="06586368" w:rsidR="003E2CEC" w:rsidRPr="003E2CEC" w:rsidRDefault="00454371" w:rsidP="0057167E">
      <w:pPr>
        <w:spacing w:afterLines="60" w:after="144"/>
        <w:ind w:left="720" w:hanging="720"/>
      </w:pPr>
      <w:r>
        <w:lastRenderedPageBreak/>
        <w:t>(</w:t>
      </w:r>
      <w:r w:rsidR="00E2213F">
        <w:t>i</w:t>
      </w:r>
      <w:r>
        <w:t>)</w:t>
      </w:r>
      <w:r>
        <w:tab/>
      </w:r>
      <w:r w:rsidR="003E2CEC" w:rsidRPr="003E2CEC">
        <w:t>For the avoidance of doubt, the forecast expenditure amounts that are used as the basis for measuring efficiencies are equal to the forecast operating cost for that year as shown in</w:t>
      </w:r>
      <w:r w:rsidR="00C527A6">
        <w:t xml:space="preserve"> the</w:t>
      </w:r>
      <w:r w:rsidR="003E2CEC" w:rsidRPr="003E2CEC">
        <w:t xml:space="preserve"> table </w:t>
      </w:r>
      <w:r w:rsidR="00C527A6">
        <w:t>below</w:t>
      </w:r>
      <w:r w:rsidR="003E2CEC" w:rsidRPr="003E2CEC">
        <w:t>, with the following exception:</w:t>
      </w:r>
    </w:p>
    <w:p w14:paraId="3A6DDEEA" w14:textId="07EA3685" w:rsidR="003E2CEC" w:rsidRPr="003E2CEC" w:rsidRDefault="00C527A6" w:rsidP="0057167E">
      <w:pPr>
        <w:ind w:left="1440" w:hanging="720"/>
      </w:pPr>
      <w:r>
        <w:t>(</w:t>
      </w:r>
      <w:r w:rsidR="00E2213F">
        <w:t>1</w:t>
      </w:r>
      <w:r>
        <w:t>)</w:t>
      </w:r>
      <w:r>
        <w:tab/>
      </w:r>
      <w:r w:rsidR="003E2CEC" w:rsidRPr="003E2CEC">
        <w:t xml:space="preserve">the carryover of cost-related efficiency gains will be calculated in a manner that takes account of any </w:t>
      </w:r>
      <w:r w:rsidR="003E2CEC" w:rsidRPr="00B75833">
        <w:t>change</w:t>
      </w:r>
      <w:r w:rsidR="003E2CEC" w:rsidRPr="003E2CEC">
        <w:t xml:space="preserve"> in the scale of the activities which form the basis of the determination of the original benchmarks. </w:t>
      </w:r>
      <w:r w:rsidR="00060F5C">
        <w:t xml:space="preserve"> </w:t>
      </w:r>
      <w:r w:rsidR="003E2CEC" w:rsidRPr="003E2CEC">
        <w:t xml:space="preserve">The opex benchmarks will be adjusted consistent with the way in which the benchmark was determined. </w:t>
      </w:r>
    </w:p>
    <w:p w14:paraId="240D9292" w14:textId="3F3A4676" w:rsidR="003E2CEC" w:rsidRPr="003E2CEC" w:rsidRDefault="00C527A6" w:rsidP="0057167E">
      <w:pPr>
        <w:spacing w:afterLines="60" w:after="144"/>
        <w:ind w:left="720" w:hanging="720"/>
      </w:pPr>
      <w:r>
        <w:t>(</w:t>
      </w:r>
      <w:r w:rsidR="00E2213F">
        <w:t>j</w:t>
      </w:r>
      <w:r>
        <w:t>)</w:t>
      </w:r>
      <w:r>
        <w:tab/>
      </w:r>
      <w:r w:rsidR="003E2CEC" w:rsidRPr="003E2CEC">
        <w:t xml:space="preserve">Where </w:t>
      </w:r>
      <w:r w:rsidR="0090080B">
        <w:t>the Service Provider</w:t>
      </w:r>
      <w:r w:rsidR="0090080B" w:rsidRPr="003E2CEC">
        <w:t xml:space="preserve"> </w:t>
      </w:r>
      <w:r w:rsidR="003E2CEC" w:rsidRPr="003E2CEC">
        <w:t xml:space="preserve">changes its approach to classifying costs as either capex or opex during the </w:t>
      </w:r>
      <w:r w:rsidR="00CF3C53">
        <w:t>A</w:t>
      </w:r>
      <w:r w:rsidR="003E2CEC" w:rsidRPr="003E2CEC">
        <w:t xml:space="preserve">ccess </w:t>
      </w:r>
      <w:r w:rsidR="00CF3C53">
        <w:t>A</w:t>
      </w:r>
      <w:r w:rsidR="003E2CEC" w:rsidRPr="003E2CEC">
        <w:t xml:space="preserve">rrangement </w:t>
      </w:r>
      <w:r w:rsidR="00CF3C53">
        <w:t>P</w:t>
      </w:r>
      <w:r w:rsidR="003E2CEC" w:rsidRPr="003E2CEC">
        <w:t xml:space="preserve">eriod, </w:t>
      </w:r>
      <w:r w:rsidR="0090080B">
        <w:t>the Service Provider</w:t>
      </w:r>
      <w:r w:rsidR="0090080B" w:rsidRPr="003E2CEC">
        <w:t xml:space="preserve"> </w:t>
      </w:r>
      <w:r w:rsidR="003E2CEC" w:rsidRPr="003E2CEC">
        <w:t xml:space="preserve">will adjust the forecast opex in </w:t>
      </w:r>
      <w:r w:rsidR="0090080B">
        <w:t xml:space="preserve">the </w:t>
      </w:r>
      <w:r w:rsidR="003E2CEC" w:rsidRPr="003E2CEC">
        <w:t xml:space="preserve">table </w:t>
      </w:r>
      <w:r w:rsidR="0090080B">
        <w:t xml:space="preserve">below </w:t>
      </w:r>
      <w:r w:rsidR="003E2CEC" w:rsidRPr="003E2CEC">
        <w:t>so that the forecast expenditures are consistent with the capitalisation policy changes.</w:t>
      </w:r>
    </w:p>
    <w:p w14:paraId="37BCC388" w14:textId="61995287" w:rsidR="003E2CEC" w:rsidRDefault="00C527A6" w:rsidP="0057167E">
      <w:pPr>
        <w:spacing w:afterLines="60" w:after="144"/>
        <w:ind w:left="720" w:hanging="720"/>
      </w:pPr>
      <w:r>
        <w:t>(</w:t>
      </w:r>
      <w:r w:rsidR="00E2213F">
        <w:t>k</w:t>
      </w:r>
      <w:r>
        <w:t>)</w:t>
      </w:r>
      <w:r>
        <w:tab/>
      </w:r>
      <w:r w:rsidR="003E2CEC" w:rsidRPr="003E2CEC">
        <w:t xml:space="preserve">If there is a change in </w:t>
      </w:r>
      <w:r w:rsidR="0090080B">
        <w:t>the Service Provider</w:t>
      </w:r>
      <w:r w:rsidR="003E2CEC" w:rsidRPr="003E2CEC">
        <w:t xml:space="preserve">’s approach to classifying costs as either capex or opex, </w:t>
      </w:r>
      <w:r w:rsidR="0090080B">
        <w:t>the Service Provider</w:t>
      </w:r>
      <w:r w:rsidR="0090080B" w:rsidRPr="003E2CEC">
        <w:t xml:space="preserve"> </w:t>
      </w:r>
      <w:r w:rsidR="003E2CEC" w:rsidRPr="003E2CEC">
        <w:t xml:space="preserve">must provide to the </w:t>
      </w:r>
      <w:r w:rsidR="00F31C59">
        <w:t xml:space="preserve">Regulator </w:t>
      </w:r>
      <w:r w:rsidR="003E2CEC" w:rsidRPr="003E2CEC">
        <w:t xml:space="preserve">a detailed description of the change and a calculation of its impact on forecast and actual opex.  </w:t>
      </w:r>
    </w:p>
    <w:p w14:paraId="5FA5FFBD" w14:textId="24B1FB24" w:rsidR="00A1421C" w:rsidRPr="004A34B7" w:rsidRDefault="004975E7" w:rsidP="00D37A39">
      <w:r>
        <w:t>(l)</w:t>
      </w:r>
      <w:r>
        <w:tab/>
      </w:r>
      <w:r w:rsidR="00A1421C" w:rsidRPr="004A34B7">
        <w:t>Opex Benchmarks: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925"/>
        <w:gridCol w:w="925"/>
        <w:gridCol w:w="925"/>
        <w:gridCol w:w="925"/>
        <w:gridCol w:w="925"/>
        <w:gridCol w:w="925"/>
        <w:gridCol w:w="925"/>
      </w:tblGrid>
      <w:tr w:rsidR="00F7668E" w14:paraId="2815BFA2" w14:textId="77777777" w:rsidTr="004A34B7">
        <w:tc>
          <w:tcPr>
            <w:tcW w:w="2172" w:type="dxa"/>
            <w:shd w:val="pct20" w:color="auto" w:fill="auto"/>
          </w:tcPr>
          <w:p w14:paraId="7E50CC80" w14:textId="77777777" w:rsidR="00F7668E" w:rsidRPr="00F7668E" w:rsidRDefault="00F7668E" w:rsidP="008A599C">
            <w:pPr>
              <w:pStyle w:val="BodyText"/>
            </w:pPr>
          </w:p>
        </w:tc>
        <w:tc>
          <w:tcPr>
            <w:tcW w:w="925" w:type="dxa"/>
            <w:shd w:val="pct20" w:color="auto" w:fill="auto"/>
            <w:vAlign w:val="center"/>
          </w:tcPr>
          <w:p w14:paraId="7CC23857" w14:textId="6357F044" w:rsidR="00F7668E" w:rsidRPr="00060F5C" w:rsidRDefault="00054315" w:rsidP="008A599C">
            <w:pPr>
              <w:pStyle w:val="BodyText"/>
            </w:pPr>
            <w:r>
              <w:rPr>
                <w:rStyle w:val="AERtextbold"/>
              </w:rPr>
              <w:t>2016</w:t>
            </w:r>
          </w:p>
        </w:tc>
        <w:tc>
          <w:tcPr>
            <w:tcW w:w="925" w:type="dxa"/>
            <w:shd w:val="pct20" w:color="auto" w:fill="auto"/>
            <w:vAlign w:val="center"/>
          </w:tcPr>
          <w:p w14:paraId="41F86CE6" w14:textId="5F0600D1" w:rsidR="00F7668E" w:rsidRPr="00060F5C" w:rsidRDefault="00054315" w:rsidP="008A599C">
            <w:pPr>
              <w:pStyle w:val="BodyText"/>
            </w:pPr>
            <w:r>
              <w:rPr>
                <w:rStyle w:val="AERtextbold"/>
              </w:rPr>
              <w:t>2017</w:t>
            </w:r>
          </w:p>
        </w:tc>
        <w:tc>
          <w:tcPr>
            <w:tcW w:w="925" w:type="dxa"/>
            <w:shd w:val="pct20" w:color="auto" w:fill="auto"/>
            <w:vAlign w:val="center"/>
          </w:tcPr>
          <w:p w14:paraId="727680CE" w14:textId="125F0F1A" w:rsidR="00F7668E" w:rsidRPr="00060F5C" w:rsidRDefault="00054315" w:rsidP="008A599C">
            <w:pPr>
              <w:pStyle w:val="BodyText"/>
            </w:pPr>
            <w:r>
              <w:rPr>
                <w:rStyle w:val="AERtextbold"/>
              </w:rPr>
              <w:t>2018</w:t>
            </w:r>
          </w:p>
        </w:tc>
        <w:tc>
          <w:tcPr>
            <w:tcW w:w="925" w:type="dxa"/>
            <w:shd w:val="pct20" w:color="auto" w:fill="auto"/>
            <w:vAlign w:val="center"/>
          </w:tcPr>
          <w:p w14:paraId="47384317" w14:textId="347717A5" w:rsidR="00F7668E" w:rsidRPr="00060F5C" w:rsidRDefault="00054315" w:rsidP="008A599C">
            <w:pPr>
              <w:pStyle w:val="BodyText"/>
            </w:pPr>
            <w:r>
              <w:rPr>
                <w:rStyle w:val="AERtextbold"/>
              </w:rPr>
              <w:t>2019</w:t>
            </w:r>
          </w:p>
        </w:tc>
        <w:tc>
          <w:tcPr>
            <w:tcW w:w="925" w:type="dxa"/>
            <w:shd w:val="pct20" w:color="auto" w:fill="auto"/>
            <w:vAlign w:val="center"/>
          </w:tcPr>
          <w:p w14:paraId="5472A4B1" w14:textId="5297FAE5" w:rsidR="00F7668E" w:rsidRPr="00060F5C" w:rsidRDefault="00054315" w:rsidP="008A599C">
            <w:pPr>
              <w:pStyle w:val="BodyText"/>
            </w:pPr>
            <w:r>
              <w:rPr>
                <w:rStyle w:val="AERtextbold"/>
              </w:rPr>
              <w:t>2020</w:t>
            </w:r>
          </w:p>
        </w:tc>
        <w:tc>
          <w:tcPr>
            <w:tcW w:w="925" w:type="dxa"/>
            <w:shd w:val="pct20" w:color="auto" w:fill="auto"/>
            <w:vAlign w:val="center"/>
          </w:tcPr>
          <w:p w14:paraId="4D250440" w14:textId="11354E07" w:rsidR="00F7668E" w:rsidRPr="00060F5C" w:rsidRDefault="00054315" w:rsidP="008A599C">
            <w:pPr>
              <w:pStyle w:val="BodyText"/>
            </w:pPr>
            <w:r>
              <w:rPr>
                <w:rStyle w:val="AERtextbold"/>
              </w:rPr>
              <w:t>2021</w:t>
            </w:r>
          </w:p>
        </w:tc>
        <w:tc>
          <w:tcPr>
            <w:tcW w:w="925" w:type="dxa"/>
            <w:shd w:val="pct20" w:color="auto" w:fill="auto"/>
            <w:vAlign w:val="center"/>
          </w:tcPr>
          <w:p w14:paraId="2020DEF2" w14:textId="07B4DE3C" w:rsidR="00F7668E" w:rsidRPr="00060F5C" w:rsidRDefault="00054315" w:rsidP="008A599C">
            <w:pPr>
              <w:pStyle w:val="BodyText"/>
            </w:pPr>
            <w:r>
              <w:rPr>
                <w:rStyle w:val="AERtextbold"/>
              </w:rPr>
              <w:t>2022</w:t>
            </w:r>
          </w:p>
        </w:tc>
      </w:tr>
      <w:tr w:rsidR="005318E6" w14:paraId="1032B544" w14:textId="77777777" w:rsidTr="005318E6">
        <w:tc>
          <w:tcPr>
            <w:tcW w:w="2172" w:type="dxa"/>
            <w:shd w:val="clear" w:color="auto" w:fill="auto"/>
          </w:tcPr>
          <w:p w14:paraId="65657BE5" w14:textId="40BE6044" w:rsidR="005318E6" w:rsidRDefault="005318E6" w:rsidP="0057167E">
            <w:pPr>
              <w:jc w:val="left"/>
            </w:pPr>
            <w:r>
              <w:t xml:space="preserve">Forecast opex </w:t>
            </w:r>
            <w:r w:rsidRPr="008F6BB2">
              <w:t>($</w:t>
            </w:r>
            <w:r w:rsidRPr="00B75833">
              <w:t>million</w:t>
            </w:r>
            <w:r w:rsidRPr="008F6BB2">
              <w:t>, 201</w:t>
            </w:r>
            <w:r>
              <w:t>7</w:t>
            </w:r>
            <w:r w:rsidRPr="008F6BB2">
              <w:t>)</w:t>
            </w:r>
          </w:p>
        </w:tc>
        <w:tc>
          <w:tcPr>
            <w:tcW w:w="925" w:type="dxa"/>
            <w:shd w:val="clear" w:color="auto" w:fill="auto"/>
            <w:vAlign w:val="center"/>
          </w:tcPr>
          <w:p w14:paraId="014EFC6D" w14:textId="51B2624C" w:rsidR="005318E6" w:rsidRDefault="005318E6" w:rsidP="005318E6">
            <w:pPr>
              <w:jc w:val="right"/>
            </w:pPr>
            <w:r w:rsidRPr="005318E6">
              <w:t>51.5</w:t>
            </w:r>
          </w:p>
        </w:tc>
        <w:tc>
          <w:tcPr>
            <w:tcW w:w="925" w:type="dxa"/>
            <w:shd w:val="clear" w:color="auto" w:fill="auto"/>
            <w:vAlign w:val="center"/>
          </w:tcPr>
          <w:p w14:paraId="4E369B38" w14:textId="0379D066" w:rsidR="005318E6" w:rsidRDefault="005318E6" w:rsidP="005318E6">
            <w:pPr>
              <w:jc w:val="right"/>
            </w:pPr>
            <w:r w:rsidRPr="005318E6">
              <w:t>52.2</w:t>
            </w:r>
          </w:p>
        </w:tc>
        <w:tc>
          <w:tcPr>
            <w:tcW w:w="925" w:type="dxa"/>
            <w:shd w:val="clear" w:color="auto" w:fill="auto"/>
            <w:vAlign w:val="center"/>
          </w:tcPr>
          <w:p w14:paraId="1FED80F9" w14:textId="74F38E8F" w:rsidR="005318E6" w:rsidRDefault="005318E6" w:rsidP="005318E6">
            <w:pPr>
              <w:jc w:val="right"/>
            </w:pPr>
            <w:r w:rsidRPr="005318E6">
              <w:t>57.5</w:t>
            </w:r>
          </w:p>
        </w:tc>
        <w:tc>
          <w:tcPr>
            <w:tcW w:w="925" w:type="dxa"/>
            <w:shd w:val="clear" w:color="auto" w:fill="auto"/>
            <w:vAlign w:val="center"/>
          </w:tcPr>
          <w:p w14:paraId="7579964A" w14:textId="256F7B25" w:rsidR="005318E6" w:rsidRDefault="005318E6" w:rsidP="005318E6">
            <w:pPr>
              <w:jc w:val="right"/>
            </w:pPr>
            <w:r w:rsidRPr="005318E6">
              <w:t>58.7</w:t>
            </w:r>
          </w:p>
        </w:tc>
        <w:tc>
          <w:tcPr>
            <w:tcW w:w="925" w:type="dxa"/>
            <w:shd w:val="clear" w:color="auto" w:fill="auto"/>
            <w:vAlign w:val="center"/>
          </w:tcPr>
          <w:p w14:paraId="548779CF" w14:textId="1FED646E" w:rsidR="005318E6" w:rsidRDefault="005318E6" w:rsidP="005318E6">
            <w:pPr>
              <w:jc w:val="right"/>
            </w:pPr>
            <w:r w:rsidRPr="005318E6">
              <w:t>60.0</w:t>
            </w:r>
          </w:p>
        </w:tc>
        <w:tc>
          <w:tcPr>
            <w:tcW w:w="925" w:type="dxa"/>
            <w:shd w:val="clear" w:color="auto" w:fill="auto"/>
            <w:vAlign w:val="center"/>
          </w:tcPr>
          <w:p w14:paraId="6C58EDD0" w14:textId="3C2537A0" w:rsidR="005318E6" w:rsidRDefault="005318E6" w:rsidP="005318E6">
            <w:pPr>
              <w:jc w:val="right"/>
            </w:pPr>
            <w:r w:rsidRPr="005318E6">
              <w:t>61.7</w:t>
            </w:r>
          </w:p>
        </w:tc>
        <w:tc>
          <w:tcPr>
            <w:tcW w:w="925" w:type="dxa"/>
            <w:shd w:val="clear" w:color="auto" w:fill="auto"/>
            <w:vAlign w:val="center"/>
          </w:tcPr>
          <w:p w14:paraId="2AA828D1" w14:textId="287E8503" w:rsidR="005318E6" w:rsidRDefault="005318E6" w:rsidP="005318E6">
            <w:pPr>
              <w:jc w:val="right"/>
            </w:pPr>
            <w:r w:rsidRPr="005318E6">
              <w:t>62.5</w:t>
            </w:r>
          </w:p>
        </w:tc>
      </w:tr>
    </w:tbl>
    <w:p w14:paraId="30D62E95" w14:textId="789F8D12" w:rsidR="00D37A39" w:rsidRPr="00B738B7" w:rsidRDefault="00D37A39" w:rsidP="00F57D9B">
      <w:pPr>
        <w:pStyle w:val="Heading3"/>
      </w:pPr>
      <w:bookmarkStart w:id="166" w:name="_Toc469519504"/>
      <w:r w:rsidRPr="00B738B7">
        <w:t>Capital Expenditure Incentive Mechanism</w:t>
      </w:r>
      <w:bookmarkEnd w:id="166"/>
      <w:r w:rsidRPr="00B738B7">
        <w:t xml:space="preserve"> </w:t>
      </w:r>
    </w:p>
    <w:p w14:paraId="0F0FCAF1" w14:textId="4BB56A6B" w:rsidR="00D37A39" w:rsidRDefault="00D37A39" w:rsidP="004975E7">
      <w:r>
        <w:t>The Capital Expenditure Sharing Scheme (</w:t>
      </w:r>
      <w:r w:rsidRPr="00B738B7">
        <w:rPr>
          <w:b/>
        </w:rPr>
        <w:t>CESS</w:t>
      </w:r>
      <w:r>
        <w:t xml:space="preserve">) </w:t>
      </w:r>
      <w:r w:rsidR="00DD02A9">
        <w:t xml:space="preserve">operates </w:t>
      </w:r>
      <w:r>
        <w:t>as</w:t>
      </w:r>
      <w:r w:rsidR="00DD02A9">
        <w:t xml:space="preserve"> follows</w:t>
      </w:r>
      <w:r>
        <w:t>:</w:t>
      </w:r>
    </w:p>
    <w:p w14:paraId="1F12829F" w14:textId="67AF8AD6" w:rsidR="00D37A39" w:rsidRDefault="00D37A39" w:rsidP="00F57D9B">
      <w:pPr>
        <w:ind w:left="720" w:hanging="720"/>
      </w:pPr>
      <w:r>
        <w:t>(</w:t>
      </w:r>
      <w:r w:rsidR="0022539B">
        <w:t>a</w:t>
      </w:r>
      <w:r>
        <w:t>)</w:t>
      </w:r>
      <w:r>
        <w:tab/>
        <w:t xml:space="preserve">The annual efficiency gain or loss under the scheme will be calculated by subtracting the Service Provider’s actual capex from the approved capex allowance in each year of </w:t>
      </w:r>
      <w:r w:rsidR="00DD02A9">
        <w:t xml:space="preserve">the </w:t>
      </w:r>
      <w:r>
        <w:t>Access Arrangement</w:t>
      </w:r>
      <w:r w:rsidR="00DD02A9">
        <w:t xml:space="preserve"> Period</w:t>
      </w:r>
      <w:r>
        <w:t>. For the final year (and in some instances the penultimate year) an estimate of actual capex will be used.</w:t>
      </w:r>
    </w:p>
    <w:p w14:paraId="2429BE8B" w14:textId="48BABA94" w:rsidR="00D37A39" w:rsidRDefault="00D37A39" w:rsidP="00F57D9B">
      <w:pPr>
        <w:ind w:left="720" w:hanging="720"/>
      </w:pPr>
      <w:r>
        <w:t>(</w:t>
      </w:r>
      <w:r w:rsidR="00D7141F">
        <w:t>b</w:t>
      </w:r>
      <w:r>
        <w:t>)</w:t>
      </w:r>
      <w:r>
        <w:tab/>
        <w:t>For the purpose of calculating the annual efficiency gain or loss</w:t>
      </w:r>
      <w:r w:rsidR="00DD02A9">
        <w:t>,</w:t>
      </w:r>
      <w:r>
        <w:t xml:space="preserve"> the approved capex allowance is to be adjusted to take into account a change in </w:t>
      </w:r>
      <w:r w:rsidR="00DD02A9">
        <w:t xml:space="preserve">the </w:t>
      </w:r>
      <w:r>
        <w:t xml:space="preserve">scope of activities in accordance with the approach outlined below </w:t>
      </w:r>
      <w:r w:rsidR="00DD02A9">
        <w:t xml:space="preserve">in </w:t>
      </w:r>
      <w:r w:rsidR="00D7141F">
        <w:t>paragraph (p</w:t>
      </w:r>
      <w:r w:rsidR="001B1278">
        <w:t xml:space="preserve">) </w:t>
      </w:r>
      <w:r w:rsidR="00DD02A9">
        <w:t xml:space="preserve">below </w:t>
      </w:r>
      <w:r>
        <w:t xml:space="preserve">or </w:t>
      </w:r>
      <w:r w:rsidR="001B1278">
        <w:t xml:space="preserve">for </w:t>
      </w:r>
      <w:r>
        <w:t>an</w:t>
      </w:r>
      <w:r w:rsidR="001B1278">
        <w:t>y</w:t>
      </w:r>
      <w:r>
        <w:t xml:space="preserve"> approved cost pass-through event.</w:t>
      </w:r>
    </w:p>
    <w:p w14:paraId="707F977C" w14:textId="640785CE" w:rsidR="00D37A39" w:rsidRDefault="00D37A39" w:rsidP="00F57D9B">
      <w:pPr>
        <w:ind w:left="720" w:hanging="720"/>
      </w:pPr>
      <w:r>
        <w:t>(</w:t>
      </w:r>
      <w:r w:rsidR="00D7141F">
        <w:t>c</w:t>
      </w:r>
      <w:r>
        <w:t>)</w:t>
      </w:r>
      <w:r>
        <w:tab/>
        <w:t>The efficiency gain for year one is calculated as:</w:t>
      </w:r>
    </w:p>
    <w:p w14:paraId="69E36AB4" w14:textId="693FDA38" w:rsidR="00D37A39" w:rsidRPr="00F57D9B" w:rsidRDefault="00D37A39" w:rsidP="00F57D9B">
      <w:pPr>
        <w:spacing w:before="120" w:after="120"/>
        <w:ind w:left="2160" w:hanging="720"/>
        <w:rPr>
          <w:i/>
        </w:rPr>
      </w:pPr>
      <w:r w:rsidRPr="00F57D9B">
        <w:rPr>
          <w:i/>
        </w:rPr>
        <w:t xml:space="preserve">Year 1 efficiency gain = capex allowance for </w:t>
      </w:r>
      <w:r w:rsidR="00DD02A9" w:rsidRPr="00DD02A9">
        <w:rPr>
          <w:i/>
        </w:rPr>
        <w:t xml:space="preserve">Year </w:t>
      </w:r>
      <w:r w:rsidRPr="00F57D9B">
        <w:rPr>
          <w:i/>
        </w:rPr>
        <w:t xml:space="preserve">1 – actual capex in </w:t>
      </w:r>
      <w:r w:rsidR="00DD02A9" w:rsidRPr="00DD02A9">
        <w:rPr>
          <w:i/>
        </w:rPr>
        <w:t xml:space="preserve">Year </w:t>
      </w:r>
      <w:r w:rsidRPr="00F57D9B">
        <w:rPr>
          <w:i/>
        </w:rPr>
        <w:t>1</w:t>
      </w:r>
    </w:p>
    <w:p w14:paraId="595B8276" w14:textId="58CB71D0" w:rsidR="00D37A39" w:rsidRDefault="00D37A39" w:rsidP="00F57D9B">
      <w:pPr>
        <w:ind w:left="720" w:hanging="720"/>
      </w:pPr>
      <w:r>
        <w:t>(</w:t>
      </w:r>
      <w:r w:rsidR="00D7141F">
        <w:t>d</w:t>
      </w:r>
      <w:r>
        <w:t>)</w:t>
      </w:r>
      <w:r>
        <w:tab/>
        <w:t xml:space="preserve">The efficiency gain for each year will be discounted into its Net Present Value (NPV) at the end of the Access Arrangement </w:t>
      </w:r>
      <w:r w:rsidR="00DD02A9">
        <w:t>Period</w:t>
      </w:r>
      <w:r>
        <w:t>.  In doing so</w:t>
      </w:r>
      <w:r w:rsidR="00DD02A9">
        <w:t>,</w:t>
      </w:r>
      <w:r>
        <w:t xml:space="preserve"> it is assumed that capex occurred in the middle of the year.  To calculate the total efficiency gain the annual efficiency gains in NPV terms are added</w:t>
      </w:r>
      <w:r w:rsidR="00DD02A9">
        <w:t>:</w:t>
      </w:r>
    </w:p>
    <w:p w14:paraId="23C5D80E" w14:textId="2839FEF6" w:rsidR="00D37A39" w:rsidRDefault="00D37A39" w:rsidP="00F57D9B">
      <w:pPr>
        <w:spacing w:before="120" w:after="120"/>
        <w:ind w:left="1440"/>
      </w:pPr>
      <w:r w:rsidRPr="00F57D9B">
        <w:rPr>
          <w:i/>
        </w:rPr>
        <w:t>Total efficiency gain = NPV year 1 efficiency gain + NPV year 2 efficiency gain + NPV year 3 efficiency gain + NPV year 4 efficiency gain + NPV year 5 efficiency gain</w:t>
      </w:r>
      <w:r>
        <w:t>.</w:t>
      </w:r>
    </w:p>
    <w:p w14:paraId="53F6FDBB" w14:textId="0E3D2082" w:rsidR="00D37A39" w:rsidRDefault="00D37A39" w:rsidP="00F57D9B">
      <w:pPr>
        <w:ind w:left="720" w:hanging="720"/>
      </w:pPr>
      <w:r>
        <w:t>(</w:t>
      </w:r>
      <w:r w:rsidR="00D7141F">
        <w:t>e</w:t>
      </w:r>
      <w:r>
        <w:t>)</w:t>
      </w:r>
      <w:r>
        <w:tab/>
        <w:t xml:space="preserve">The </w:t>
      </w:r>
      <w:r w:rsidRPr="002E70E7">
        <w:t xml:space="preserve">calculations </w:t>
      </w:r>
      <w:r>
        <w:t>referred to in sub-paragraphs (</w:t>
      </w:r>
      <w:r w:rsidR="00D7141F">
        <w:t>c</w:t>
      </w:r>
      <w:r>
        <w:t>) and (</w:t>
      </w:r>
      <w:r w:rsidR="00D7141F">
        <w:t>d</w:t>
      </w:r>
      <w:r>
        <w:t xml:space="preserve">) above </w:t>
      </w:r>
      <w:r w:rsidRPr="002E70E7">
        <w:t>are represented by the following equation:</w:t>
      </w:r>
    </w:p>
    <w:p w14:paraId="1A3649FF" w14:textId="77777777" w:rsidR="00D37A39" w:rsidRPr="002E70E7" w:rsidRDefault="00D37A39" w:rsidP="00F57D9B">
      <w:pPr>
        <w:ind w:left="2160"/>
        <w:jc w:val="center"/>
        <w:rPr>
          <w:rFonts w:cs="Arial"/>
        </w:rPr>
      </w:pPr>
      <w:r w:rsidRPr="002E70E7">
        <w:rPr>
          <w:rFonts w:cs="Arial"/>
          <w:noProof/>
          <w:lang w:eastAsia="en-AU"/>
        </w:rPr>
        <w:drawing>
          <wp:inline distT="0" distB="0" distL="0" distR="0" wp14:anchorId="2FC16DEA" wp14:editId="2AA27F47">
            <wp:extent cx="4648200"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4648200" cy="590550"/>
                    </a:xfrm>
                    <a:prstGeom prst="rect">
                      <a:avLst/>
                    </a:prstGeom>
                  </pic:spPr>
                </pic:pic>
              </a:graphicData>
            </a:graphic>
          </wp:inline>
        </w:drawing>
      </w:r>
    </w:p>
    <w:p w14:paraId="361BC9FD" w14:textId="73CD7F1D" w:rsidR="00D37A39" w:rsidRDefault="00D37A39" w:rsidP="00F57D9B">
      <w:pPr>
        <w:ind w:left="3600" w:hanging="720"/>
      </w:pPr>
    </w:p>
    <w:p w14:paraId="2D928208" w14:textId="323877C5" w:rsidR="00D37A39" w:rsidRDefault="00D37A39" w:rsidP="00F57D9B">
      <w:pPr>
        <w:ind w:left="2160" w:hanging="720"/>
      </w:pPr>
      <w:r>
        <w:t>where:</w:t>
      </w:r>
    </w:p>
    <w:p w14:paraId="319934F7" w14:textId="7083ABA8" w:rsidR="00D37A39" w:rsidRPr="002E70E7" w:rsidRDefault="00D37A39" w:rsidP="00F57D9B">
      <w:pPr>
        <w:ind w:left="1440"/>
        <w:rPr>
          <w:rFonts w:cs="Arial"/>
        </w:rPr>
      </w:pPr>
      <w:r w:rsidRPr="002E70E7">
        <w:rPr>
          <w:rFonts w:cs="Arial"/>
          <w:i/>
        </w:rPr>
        <w:t>n</w:t>
      </w:r>
      <w:r w:rsidRPr="002E70E7">
        <w:rPr>
          <w:rFonts w:cs="Arial"/>
        </w:rPr>
        <w:t xml:space="preserve"> is the Access Arrangement year</w:t>
      </w:r>
      <w:r>
        <w:rPr>
          <w:rFonts w:cs="Arial"/>
        </w:rPr>
        <w:t>;</w:t>
      </w:r>
    </w:p>
    <w:p w14:paraId="5D91BF2C" w14:textId="25BDE759" w:rsidR="00D37A39" w:rsidRPr="002E70E7" w:rsidRDefault="00D37A39" w:rsidP="00F57D9B">
      <w:pPr>
        <w:ind w:left="1440"/>
        <w:rPr>
          <w:rFonts w:cs="Arial"/>
        </w:rPr>
      </w:pPr>
      <w:r w:rsidRPr="002E70E7">
        <w:rPr>
          <w:rFonts w:cs="Arial"/>
          <w:i/>
        </w:rPr>
        <w:t>WACC</w:t>
      </w:r>
      <w:r w:rsidRPr="002E70E7">
        <w:rPr>
          <w:rFonts w:cs="Arial"/>
        </w:rPr>
        <w:t xml:space="preserve"> is the average of the nominal weighted average cost of capital that are applied during each year of the Access Arrangement </w:t>
      </w:r>
      <w:r w:rsidR="00FD3000" w:rsidRPr="002E70E7">
        <w:rPr>
          <w:rFonts w:cs="Arial"/>
        </w:rPr>
        <w:t>Period</w:t>
      </w:r>
      <w:r>
        <w:rPr>
          <w:rFonts w:cs="Arial"/>
        </w:rPr>
        <w:t>;</w:t>
      </w:r>
    </w:p>
    <w:p w14:paraId="3B5FD3DA" w14:textId="253D9BCC" w:rsidR="00D37A39" w:rsidRPr="002E70E7" w:rsidRDefault="00D37A39" w:rsidP="00F57D9B">
      <w:pPr>
        <w:ind w:left="1440"/>
        <w:rPr>
          <w:rFonts w:cs="Arial"/>
        </w:rPr>
      </w:pPr>
      <w:r w:rsidRPr="002E70E7">
        <w:rPr>
          <w:rFonts w:cs="Arial"/>
          <w:i/>
        </w:rPr>
        <w:lastRenderedPageBreak/>
        <w:t>p</w:t>
      </w:r>
      <w:r w:rsidRPr="002E70E7">
        <w:rPr>
          <w:rFonts w:cs="Arial"/>
        </w:rPr>
        <w:t xml:space="preserve"> is the length of the Access Arrangement </w:t>
      </w:r>
      <w:r w:rsidR="00FD3000" w:rsidRPr="002E70E7">
        <w:rPr>
          <w:rFonts w:cs="Arial"/>
        </w:rPr>
        <w:t>Period</w:t>
      </w:r>
      <w:r>
        <w:rPr>
          <w:rFonts w:cs="Arial"/>
        </w:rPr>
        <w:t>;</w:t>
      </w:r>
    </w:p>
    <w:p w14:paraId="664F1601" w14:textId="601F4990" w:rsidR="00D37A39" w:rsidRPr="002E70E7" w:rsidRDefault="00D37A39" w:rsidP="00F57D9B">
      <w:pPr>
        <w:ind w:left="1440"/>
        <w:rPr>
          <w:rFonts w:cs="Arial"/>
        </w:rPr>
      </w:pPr>
      <w:r w:rsidRPr="002E70E7">
        <w:rPr>
          <w:rFonts w:cs="Arial"/>
          <w:i/>
        </w:rPr>
        <w:t>F</w:t>
      </w:r>
      <w:r w:rsidRPr="002E70E7">
        <w:rPr>
          <w:rFonts w:cs="Arial"/>
          <w:i/>
          <w:vertAlign w:val="subscript"/>
        </w:rPr>
        <w:t>n</w:t>
      </w:r>
      <w:r w:rsidRPr="002E70E7">
        <w:rPr>
          <w:rFonts w:cs="Arial"/>
        </w:rPr>
        <w:t xml:space="preserve"> is the capex allowance for year </w:t>
      </w:r>
      <w:r w:rsidRPr="00F57D9B">
        <w:rPr>
          <w:rFonts w:cs="Arial"/>
          <w:i/>
        </w:rPr>
        <w:t>n</w:t>
      </w:r>
      <w:r>
        <w:rPr>
          <w:rFonts w:cs="Arial"/>
        </w:rPr>
        <w:t>;</w:t>
      </w:r>
    </w:p>
    <w:p w14:paraId="030C0CF8" w14:textId="77777777" w:rsidR="00D37A39" w:rsidRPr="002E70E7" w:rsidRDefault="00D37A39" w:rsidP="00F57D9B">
      <w:pPr>
        <w:ind w:left="1440"/>
        <w:rPr>
          <w:rFonts w:cs="Arial"/>
        </w:rPr>
      </w:pPr>
      <w:r w:rsidRPr="002E70E7">
        <w:rPr>
          <w:rFonts w:cs="Arial"/>
          <w:i/>
        </w:rPr>
        <w:t>A</w:t>
      </w:r>
      <w:r w:rsidRPr="002E70E7">
        <w:rPr>
          <w:rFonts w:cs="Arial"/>
          <w:i/>
          <w:vertAlign w:val="subscript"/>
        </w:rPr>
        <w:t>n</w:t>
      </w:r>
      <w:r w:rsidRPr="002E70E7">
        <w:rPr>
          <w:rFonts w:cs="Arial"/>
        </w:rPr>
        <w:t xml:space="preserve"> is the actual capex for year </w:t>
      </w:r>
      <w:r w:rsidRPr="00F57D9B">
        <w:rPr>
          <w:rFonts w:cs="Arial"/>
          <w:i/>
        </w:rPr>
        <w:t>n</w:t>
      </w:r>
      <w:r w:rsidRPr="002E70E7">
        <w:rPr>
          <w:rFonts w:cs="Arial"/>
        </w:rPr>
        <w:t>.</w:t>
      </w:r>
    </w:p>
    <w:p w14:paraId="6D56B01A" w14:textId="761594DB" w:rsidR="00D37A39" w:rsidRDefault="00D7141F" w:rsidP="00F57D9B">
      <w:pPr>
        <w:ind w:left="720" w:hanging="720"/>
      </w:pPr>
      <w:r>
        <w:t>(f</w:t>
      </w:r>
      <w:r w:rsidR="00E2213F">
        <w:t>)</w:t>
      </w:r>
      <w:r w:rsidR="00E2213F">
        <w:tab/>
      </w:r>
      <w:r w:rsidR="00E2213F" w:rsidRPr="00E2213F">
        <w:t xml:space="preserve">A sharing factor 30 per cent will apply to the total efficiency gain/loss. </w:t>
      </w:r>
      <w:r w:rsidR="00E2213F">
        <w:t xml:space="preserve"> </w:t>
      </w:r>
      <w:r w:rsidR="00E2213F" w:rsidRPr="00E2213F">
        <w:t xml:space="preserve">This means the Service Provider will bear 30 per cent of any loss and will retain 30 per cent of any gain. </w:t>
      </w:r>
      <w:r w:rsidR="00E2213F">
        <w:t xml:space="preserve"> </w:t>
      </w:r>
      <w:r w:rsidR="00E2213F" w:rsidRPr="00E2213F">
        <w:t xml:space="preserve">The remaining 70 per cent will </w:t>
      </w:r>
      <w:r w:rsidR="00E2213F">
        <w:t xml:space="preserve">be returned </w:t>
      </w:r>
      <w:r w:rsidR="00E2213F" w:rsidRPr="00E2213F">
        <w:t>to gas pipeline users.</w:t>
      </w:r>
    </w:p>
    <w:p w14:paraId="3B93C976" w14:textId="712CC061" w:rsidR="00E2213F" w:rsidRDefault="00E2213F" w:rsidP="00F57D9B">
      <w:pPr>
        <w:ind w:left="720" w:hanging="720"/>
      </w:pPr>
      <w:r>
        <w:t>(</w:t>
      </w:r>
      <w:r w:rsidR="00D7141F">
        <w:t>g</w:t>
      </w:r>
      <w:r>
        <w:t>)</w:t>
      </w:r>
      <w:r>
        <w:tab/>
      </w:r>
      <w:r w:rsidRPr="002E70E7">
        <w:t xml:space="preserve">The CESS takes into account benefits or costs that have already accrued to </w:t>
      </w:r>
      <w:r>
        <w:t>the Service Provider</w:t>
      </w:r>
      <w:r w:rsidRPr="002E70E7">
        <w:t xml:space="preserve"> during the Access Arrangement Period in order to ensure that the power of the incentive is the same in each </w:t>
      </w:r>
      <w:r w:rsidR="00FD3000">
        <w:t xml:space="preserve">regulatory </w:t>
      </w:r>
      <w:r w:rsidRPr="002E70E7">
        <w:t>year. This is the financing benefit of any underspend and the financing cost of any overspend</w:t>
      </w:r>
      <w:r>
        <w:t>.</w:t>
      </w:r>
    </w:p>
    <w:p w14:paraId="1486B26E" w14:textId="6F0CE548" w:rsidR="00E2213F" w:rsidRDefault="00E2213F" w:rsidP="00F57D9B">
      <w:pPr>
        <w:ind w:left="720" w:hanging="720"/>
      </w:pPr>
      <w:r>
        <w:t>(</w:t>
      </w:r>
      <w:r w:rsidR="00D7141F">
        <w:t>h</w:t>
      </w:r>
      <w:r>
        <w:t>)</w:t>
      </w:r>
      <w:r>
        <w:tab/>
      </w:r>
      <w:r w:rsidRPr="002E70E7">
        <w:t xml:space="preserve">Capex is assumed to be incurred in the middle of each </w:t>
      </w:r>
      <w:r w:rsidR="00FD3000">
        <w:t xml:space="preserve">regulatory </w:t>
      </w:r>
      <w:r w:rsidRPr="002E70E7">
        <w:t xml:space="preserve">year. In the year of the underspend, </w:t>
      </w:r>
      <w:r>
        <w:t>the Service Provider</w:t>
      </w:r>
      <w:r w:rsidRPr="002E70E7">
        <w:t xml:space="preserve"> will recover only half a year of benefit. In the following years, </w:t>
      </w:r>
      <w:r>
        <w:t>the Service Provider</w:t>
      </w:r>
      <w:r w:rsidRPr="002E70E7">
        <w:t xml:space="preserve"> will retain a full year of benefit calculated as the underspend multiplied by the WACC. This is represented in the following equation</w:t>
      </w:r>
      <w:r>
        <w:t>:</w:t>
      </w:r>
    </w:p>
    <w:p w14:paraId="5B683E4C" w14:textId="77777777" w:rsidR="00E2213F" w:rsidRPr="002E70E7" w:rsidRDefault="00E2213F" w:rsidP="00F57D9B">
      <w:pPr>
        <w:jc w:val="right"/>
        <w:rPr>
          <w:rFonts w:cs="Arial"/>
        </w:rPr>
      </w:pPr>
      <w:r w:rsidRPr="002E70E7">
        <w:rPr>
          <w:rFonts w:cs="Arial"/>
          <w:noProof/>
          <w:lang w:eastAsia="en-AU"/>
        </w:rPr>
        <w:drawing>
          <wp:inline distT="0" distB="0" distL="0" distR="0" wp14:anchorId="492ACB04" wp14:editId="09BB3764">
            <wp:extent cx="57150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5715000" cy="533400"/>
                    </a:xfrm>
                    <a:prstGeom prst="rect">
                      <a:avLst/>
                    </a:prstGeom>
                  </pic:spPr>
                </pic:pic>
              </a:graphicData>
            </a:graphic>
          </wp:inline>
        </w:drawing>
      </w:r>
    </w:p>
    <w:p w14:paraId="354B5F75" w14:textId="01BC8C7F" w:rsidR="00E2213F" w:rsidRDefault="00E2213F" w:rsidP="00F57D9B">
      <w:pPr>
        <w:ind w:left="2160" w:hanging="720"/>
      </w:pPr>
      <w:r>
        <w:t>where:</w:t>
      </w:r>
    </w:p>
    <w:p w14:paraId="25C52463" w14:textId="77777777" w:rsidR="00E2213F" w:rsidRPr="002E70E7" w:rsidRDefault="00E2213F" w:rsidP="00F57D9B">
      <w:pPr>
        <w:ind w:left="1440"/>
      </w:pPr>
      <w:r w:rsidRPr="002E70E7">
        <w:rPr>
          <w:i/>
        </w:rPr>
        <w:t>j</w:t>
      </w:r>
      <w:r w:rsidRPr="002E70E7">
        <w:t xml:space="preserve"> is a regulatory year in the current Access Arrangement prior to year </w:t>
      </w:r>
      <w:r w:rsidRPr="00F57D9B">
        <w:rPr>
          <w:i/>
        </w:rPr>
        <w:t>n</w:t>
      </w:r>
    </w:p>
    <w:p w14:paraId="1711C083" w14:textId="77777777" w:rsidR="00E2213F" w:rsidRPr="00F57D9B" w:rsidRDefault="00E2213F" w:rsidP="00F57D9B">
      <w:pPr>
        <w:ind w:left="1440"/>
        <w:rPr>
          <w:i/>
        </w:rPr>
      </w:pPr>
      <w:r w:rsidRPr="002E70E7">
        <w:rPr>
          <w:i/>
        </w:rPr>
        <w:t>F</w:t>
      </w:r>
      <w:r w:rsidRPr="002E70E7">
        <w:rPr>
          <w:i/>
          <w:vertAlign w:val="subscript"/>
        </w:rPr>
        <w:t>j</w:t>
      </w:r>
      <w:r w:rsidRPr="002E70E7">
        <w:t xml:space="preserve"> is the </w:t>
      </w:r>
      <w:r w:rsidRPr="00F57D9B">
        <w:rPr>
          <w:i/>
        </w:rPr>
        <w:t>capex</w:t>
      </w:r>
      <w:r w:rsidRPr="002E70E7">
        <w:t xml:space="preserve"> </w:t>
      </w:r>
      <w:r w:rsidRPr="00F57D9B">
        <w:rPr>
          <w:i/>
        </w:rPr>
        <w:t>allowance for year j</w:t>
      </w:r>
    </w:p>
    <w:p w14:paraId="1F130D33" w14:textId="77777777" w:rsidR="00E2213F" w:rsidRPr="002E70E7" w:rsidRDefault="00E2213F" w:rsidP="00F57D9B">
      <w:pPr>
        <w:ind w:left="1440"/>
      </w:pPr>
      <w:r w:rsidRPr="002E70E7">
        <w:rPr>
          <w:i/>
        </w:rPr>
        <w:t>A</w:t>
      </w:r>
      <w:r w:rsidRPr="00F57D9B">
        <w:rPr>
          <w:i/>
        </w:rPr>
        <w:t>j is actual capex for year j</w:t>
      </w:r>
    </w:p>
    <w:p w14:paraId="39668D93" w14:textId="30559E5C" w:rsidR="00E2213F" w:rsidRDefault="00D7141F" w:rsidP="00F57D9B">
      <w:pPr>
        <w:ind w:left="720" w:hanging="720"/>
      </w:pPr>
      <w:r>
        <w:t>(i)</w:t>
      </w:r>
      <w:r>
        <w:tab/>
      </w:r>
      <w:r w:rsidR="00E2213F" w:rsidRPr="00E2213F">
        <w:t xml:space="preserve">A discount factor is applied to the benefits from each year to put the financing benefits into constant terms. The discount rate is calculated on the basis that financing benefits accrue at the end of each year. The discounted financing benefits from each year </w:t>
      </w:r>
      <w:r w:rsidR="00467127">
        <w:t xml:space="preserve">are </w:t>
      </w:r>
      <w:r w:rsidR="00E2213F" w:rsidRPr="00E2213F">
        <w:t>then summed to get a net financing benefit for the Access Arrangement</w:t>
      </w:r>
      <w:r w:rsidR="00467127">
        <w:t xml:space="preserve"> Period</w:t>
      </w:r>
      <w:r w:rsidR="00E2213F" w:rsidRPr="00E2213F">
        <w:t>. This is calculated using the following equation:</w:t>
      </w:r>
    </w:p>
    <w:p w14:paraId="4C1F9ADD" w14:textId="77777777" w:rsidR="00E2213F" w:rsidRPr="00D37A39" w:rsidRDefault="00E2213F" w:rsidP="00F57D9B">
      <w:pPr>
        <w:ind w:left="2160" w:hanging="720"/>
      </w:pPr>
    </w:p>
    <w:p w14:paraId="134D207C" w14:textId="77777777" w:rsidR="00E2213F" w:rsidRPr="002E70E7" w:rsidRDefault="00E2213F" w:rsidP="00F57D9B">
      <w:pPr>
        <w:ind w:left="720"/>
        <w:jc w:val="center"/>
        <w:rPr>
          <w:rFonts w:cs="Arial"/>
        </w:rPr>
      </w:pPr>
      <w:r w:rsidRPr="002E70E7">
        <w:rPr>
          <w:rFonts w:cs="Arial"/>
          <w:noProof/>
          <w:lang w:eastAsia="en-AU"/>
        </w:rPr>
        <w:drawing>
          <wp:inline distT="0" distB="0" distL="0" distR="0" wp14:anchorId="4BE6DAE9" wp14:editId="7268F26F">
            <wp:extent cx="45624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4562475" cy="561975"/>
                    </a:xfrm>
                    <a:prstGeom prst="rect">
                      <a:avLst/>
                    </a:prstGeom>
                  </pic:spPr>
                </pic:pic>
              </a:graphicData>
            </a:graphic>
          </wp:inline>
        </w:drawing>
      </w:r>
    </w:p>
    <w:p w14:paraId="10E3FB08" w14:textId="295AA9BE" w:rsidR="00E2213F" w:rsidRPr="002E70E7" w:rsidRDefault="00D7141F" w:rsidP="00D7141F">
      <w:pPr>
        <w:keepNext/>
        <w:ind w:left="720" w:hanging="720"/>
      </w:pPr>
      <w:r>
        <w:t>(j)</w:t>
      </w:r>
      <w:r>
        <w:tab/>
      </w:r>
      <w:r w:rsidR="00E2213F" w:rsidRPr="002E70E7">
        <w:t xml:space="preserve">The CESS reward or penalty payable to </w:t>
      </w:r>
      <w:r w:rsidR="00E2213F">
        <w:t>the Service Provider</w:t>
      </w:r>
      <w:r w:rsidR="00E2213F" w:rsidRPr="002E70E7">
        <w:t xml:space="preserve"> is calculated by subtracting the net financing benefit from the Service Provider’s share of</w:t>
      </w:r>
      <w:r w:rsidR="008624FC">
        <w:t xml:space="preserve"> the cumulative efficiency gain:</w:t>
      </w:r>
    </w:p>
    <w:p w14:paraId="175E5E77" w14:textId="12C5982C" w:rsidR="002A772B" w:rsidRPr="00F57D9B" w:rsidRDefault="002A772B" w:rsidP="00480CAA">
      <w:pPr>
        <w:spacing w:before="120" w:after="120"/>
        <w:ind w:left="1440"/>
        <w:rPr>
          <w:i/>
        </w:rPr>
      </w:pPr>
      <w:r w:rsidRPr="00F57D9B">
        <w:rPr>
          <w:i/>
        </w:rPr>
        <w:t>CESS reward = (Service Provider share – net financing benefit) x CPF</w:t>
      </w:r>
    </w:p>
    <w:p w14:paraId="5B5B3714" w14:textId="39694A91" w:rsidR="00E2213F" w:rsidRPr="002A772B" w:rsidRDefault="002A772B" w:rsidP="00BA375C">
      <w:pPr>
        <w:ind w:left="1440"/>
      </w:pPr>
      <w:r w:rsidRPr="002A772B">
        <w:t>where</w:t>
      </w:r>
      <w:r w:rsidR="00E2213F" w:rsidRPr="002A772B">
        <w:t>:</w:t>
      </w:r>
    </w:p>
    <w:p w14:paraId="555CD84D" w14:textId="77777777" w:rsidR="00E2213F" w:rsidRPr="002A772B" w:rsidRDefault="00E2213F" w:rsidP="00BA375C">
      <w:pPr>
        <w:ind w:left="1440"/>
      </w:pPr>
      <w:r w:rsidRPr="00F57D9B">
        <w:rPr>
          <w:i/>
        </w:rPr>
        <w:t>CPF</w:t>
      </w:r>
      <w:r w:rsidRPr="002A772B">
        <w:t xml:space="preserve"> is the Contingent Payment Factor calculated as:</w:t>
      </w:r>
    </w:p>
    <w:p w14:paraId="65E2DA3C" w14:textId="78AF7EA0" w:rsidR="00E2213F" w:rsidRPr="002A772B" w:rsidRDefault="002A772B" w:rsidP="00BA375C">
      <w:pPr>
        <w:ind w:left="1440"/>
      </w:pPr>
      <w:r>
        <w:t>(</w:t>
      </w:r>
      <w:r w:rsidR="00480CAA">
        <w:t>1</w:t>
      </w:r>
      <w:r>
        <w:t>)</w:t>
      </w:r>
      <w:r>
        <w:tab/>
      </w:r>
      <w:r w:rsidRPr="002A772B">
        <w:t xml:space="preserve">if </w:t>
      </w:r>
      <w:r w:rsidR="00467127">
        <w:t>the Service Provider’s</w:t>
      </w:r>
      <w:r w:rsidR="00E2213F" w:rsidRPr="002A772B">
        <w:t xml:space="preserve"> share &gt; net financing benefit, and</w:t>
      </w:r>
    </w:p>
    <w:p w14:paraId="4ADB2EF3" w14:textId="638F34EE" w:rsidR="00E2213F" w:rsidRPr="00D11CAA" w:rsidRDefault="002A772B" w:rsidP="00BA375C">
      <w:pPr>
        <w:ind w:left="2160"/>
      </w:pPr>
      <w:r>
        <w:t>(</w:t>
      </w:r>
      <w:r w:rsidR="00480CAA">
        <w:t>A</w:t>
      </w:r>
      <w:r>
        <w:t>)</w:t>
      </w:r>
      <w:r>
        <w:tab/>
      </w:r>
      <w:r w:rsidR="00E2213F" w:rsidRPr="002A772B">
        <w:t>if the asset performance index (</w:t>
      </w:r>
      <w:r w:rsidR="00E2213F" w:rsidRPr="001C0E9E">
        <w:t>API) &gt; 96.146</w:t>
      </w:r>
      <w:r w:rsidR="00E2213F" w:rsidRPr="00D11CAA">
        <w:t>, = 1</w:t>
      </w:r>
      <w:r w:rsidR="00467127" w:rsidRPr="00D11CAA">
        <w:t>;</w:t>
      </w:r>
    </w:p>
    <w:p w14:paraId="55A5037B" w14:textId="3ACD6040" w:rsidR="00E2213F" w:rsidRPr="00D11CAA" w:rsidRDefault="00480CAA" w:rsidP="00F57D9B">
      <w:pPr>
        <w:ind w:left="2880" w:hanging="720"/>
      </w:pPr>
      <w:r>
        <w:t>(B</w:t>
      </w:r>
      <w:r w:rsidR="002A772B" w:rsidRPr="00D11CAA">
        <w:t>)</w:t>
      </w:r>
      <w:r w:rsidR="002A772B" w:rsidRPr="00D11CAA">
        <w:tab/>
      </w:r>
      <w:r w:rsidR="00E2213F" w:rsidRPr="00D11CAA">
        <w:t>if 74.977 &lt; API &lt; 96.146, CPF = (AP</w:t>
      </w:r>
      <w:r w:rsidR="00467127" w:rsidRPr="00D11CAA">
        <w:t>I – 74.977) / (96.146 – 79.278);</w:t>
      </w:r>
      <w:r w:rsidR="00E2213F" w:rsidRPr="00D11CAA">
        <w:t xml:space="preserve"> and</w:t>
      </w:r>
    </w:p>
    <w:p w14:paraId="36837268" w14:textId="271D4C52" w:rsidR="00E2213F" w:rsidRPr="002A772B" w:rsidRDefault="00480CAA" w:rsidP="00BA375C">
      <w:pPr>
        <w:ind w:left="2160"/>
      </w:pPr>
      <w:r>
        <w:t>(C</w:t>
      </w:r>
      <w:r w:rsidR="002A772B" w:rsidRPr="00D11CAA">
        <w:t>)</w:t>
      </w:r>
      <w:r w:rsidR="002A772B" w:rsidRPr="00D11CAA">
        <w:tab/>
      </w:r>
      <w:r w:rsidR="00E2213F" w:rsidRPr="00D11CAA">
        <w:t>if API &lt; 74.977, CPF = 0, or</w:t>
      </w:r>
    </w:p>
    <w:p w14:paraId="6BC8C8C2" w14:textId="5D8671DE" w:rsidR="00E2213F" w:rsidRPr="002A772B" w:rsidRDefault="00480CAA" w:rsidP="00BA375C">
      <w:pPr>
        <w:ind w:left="1440"/>
      </w:pPr>
      <w:r>
        <w:t>(2</w:t>
      </w:r>
      <w:r w:rsidR="002A772B">
        <w:t>)</w:t>
      </w:r>
      <w:r w:rsidR="002A772B">
        <w:tab/>
        <w:t>i</w:t>
      </w:r>
      <w:r w:rsidR="00E2213F" w:rsidRPr="002A772B">
        <w:t xml:space="preserve">f </w:t>
      </w:r>
      <w:r w:rsidR="00467127">
        <w:t>the Service Provider’s</w:t>
      </w:r>
      <w:r w:rsidR="00E2213F" w:rsidRPr="002A772B">
        <w:t xml:space="preserve"> share is </w:t>
      </w:r>
      <w:r w:rsidR="00E2213F" w:rsidRPr="00F57D9B">
        <w:t>&lt;</w:t>
      </w:r>
      <w:r w:rsidR="0055110E">
        <w:t xml:space="preserve"> net financing benefit, CPF = 1;</w:t>
      </w:r>
    </w:p>
    <w:p w14:paraId="10CAB789" w14:textId="0E312DAD" w:rsidR="00E2213F" w:rsidRPr="002A772B" w:rsidRDefault="00E2213F" w:rsidP="00F57D9B">
      <w:pPr>
        <w:ind w:left="2160" w:hanging="720"/>
      </w:pPr>
      <w:r w:rsidRPr="00F57D9B">
        <w:rPr>
          <w:i/>
        </w:rPr>
        <w:t>API</w:t>
      </w:r>
      <w:r w:rsidR="00480CAA">
        <w:rPr>
          <w:i/>
        </w:rPr>
        <w:tab/>
      </w:r>
      <w:r w:rsidRPr="002A772B">
        <w:t xml:space="preserve"> is the Asset Performance Index calculated </w:t>
      </w:r>
      <w:r w:rsidR="001B1278">
        <w:t xml:space="preserve">for the Fifth Access Arrangement Period </w:t>
      </w:r>
      <w:r w:rsidRPr="002A772B">
        <w:t xml:space="preserve">in accordance with Annexure </w:t>
      </w:r>
      <w:r w:rsidR="001B1278">
        <w:t>A.</w:t>
      </w:r>
    </w:p>
    <w:p w14:paraId="471B15F4" w14:textId="6A0CC4CA" w:rsidR="00E2213F" w:rsidRPr="00006B0F" w:rsidRDefault="00D7141F" w:rsidP="00006B0F">
      <w:pPr>
        <w:ind w:left="720" w:hanging="720"/>
      </w:pPr>
      <w:r w:rsidRPr="00006B0F">
        <w:t>(k)</w:t>
      </w:r>
      <w:r w:rsidRPr="00006B0F">
        <w:tab/>
      </w:r>
      <w:r w:rsidR="00E2213F" w:rsidRPr="00006B0F">
        <w:t xml:space="preserve">The CESS reward or penalty will be applied as an additional building block adjustment to </w:t>
      </w:r>
      <w:r w:rsidR="00467127" w:rsidRPr="00006B0F">
        <w:t>the Service Provider’s</w:t>
      </w:r>
      <w:r w:rsidR="00E2213F" w:rsidRPr="00006B0F">
        <w:t xml:space="preserve"> revenue </w:t>
      </w:r>
      <w:r w:rsidR="00467127" w:rsidRPr="00006B0F">
        <w:t xml:space="preserve">during </w:t>
      </w:r>
      <w:r w:rsidR="00E2213F" w:rsidRPr="00006B0F">
        <w:t xml:space="preserve">the </w:t>
      </w:r>
      <w:r w:rsidR="00467127" w:rsidRPr="00006B0F">
        <w:t xml:space="preserve">Fifth </w:t>
      </w:r>
      <w:r w:rsidR="00E2213F" w:rsidRPr="00006B0F">
        <w:t>Access Arrangement</w:t>
      </w:r>
      <w:r w:rsidR="00467127" w:rsidRPr="00006B0F">
        <w:t xml:space="preserve"> Period</w:t>
      </w:r>
      <w:r w:rsidR="00E2213F" w:rsidRPr="00006B0F">
        <w:t>.</w:t>
      </w:r>
    </w:p>
    <w:p w14:paraId="7526125F" w14:textId="33A4DF9F" w:rsidR="00E2213F" w:rsidRPr="00006B0F" w:rsidRDefault="00D7141F" w:rsidP="00006B0F">
      <w:pPr>
        <w:ind w:left="720" w:hanging="720"/>
      </w:pPr>
      <w:r w:rsidRPr="00006B0F">
        <w:t>(l)</w:t>
      </w:r>
      <w:r w:rsidRPr="00006B0F">
        <w:tab/>
      </w:r>
      <w:r w:rsidR="00E2213F" w:rsidRPr="00006B0F">
        <w:t xml:space="preserve">Actual capex for the final year of the </w:t>
      </w:r>
      <w:r w:rsidR="00467127" w:rsidRPr="00006B0F">
        <w:t xml:space="preserve">Fifth </w:t>
      </w:r>
      <w:r w:rsidR="00E2213F" w:rsidRPr="00006B0F">
        <w:t xml:space="preserve">Access Arrangement </w:t>
      </w:r>
      <w:r w:rsidR="00467127" w:rsidRPr="00006B0F">
        <w:t xml:space="preserve">Period </w:t>
      </w:r>
      <w:r w:rsidR="00E2213F" w:rsidRPr="00006B0F">
        <w:t>will not be available when the rewards or penalties for the CESS are calculated for the upcoming Access Arrangement. Instead, an estimate of capex will be used to calculate the efficiency gains or losses for the final year.</w:t>
      </w:r>
    </w:p>
    <w:p w14:paraId="509BB375" w14:textId="61FA6066" w:rsidR="00E2213F" w:rsidRPr="00006B0F" w:rsidRDefault="00D7141F" w:rsidP="00006B0F">
      <w:pPr>
        <w:ind w:left="720" w:hanging="720"/>
      </w:pPr>
      <w:r w:rsidRPr="00006B0F">
        <w:lastRenderedPageBreak/>
        <w:t>(m)</w:t>
      </w:r>
      <w:r w:rsidRPr="00006B0F">
        <w:tab/>
      </w:r>
      <w:r w:rsidR="00D87C91" w:rsidRPr="00006B0F">
        <w:t>By the review submission date</w:t>
      </w:r>
      <w:r w:rsidR="00467127" w:rsidRPr="00006B0F">
        <w:t>,</w:t>
      </w:r>
      <w:r w:rsidR="00E2213F" w:rsidRPr="00006B0F">
        <w:t xml:space="preserve"> actual capex data will be available for </w:t>
      </w:r>
      <w:r w:rsidR="00467127" w:rsidRPr="00006B0F">
        <w:t>the final year</w:t>
      </w:r>
      <w:r w:rsidR="00D87C91" w:rsidRPr="00006B0F">
        <w:t xml:space="preserve"> of the Fifth Access Arrangement Period</w:t>
      </w:r>
      <w:r w:rsidR="00E2213F" w:rsidRPr="00006B0F">
        <w:t xml:space="preserve">. Where the Service Provider’s actual capex differs from the capex estimate used to calculate the CESS, an adjustment will be made to account for the difference. </w:t>
      </w:r>
      <w:r w:rsidR="002A772B" w:rsidRPr="00006B0F">
        <w:t xml:space="preserve"> </w:t>
      </w:r>
      <w:r w:rsidR="00E2213F" w:rsidRPr="00006B0F">
        <w:t xml:space="preserve">The adjustment for the final year of the </w:t>
      </w:r>
      <w:r w:rsidR="008624FC">
        <w:t xml:space="preserve">Fifth </w:t>
      </w:r>
      <w:r w:rsidR="00E2213F" w:rsidRPr="00006B0F">
        <w:t>Access Arrangement Period will be:</w:t>
      </w:r>
    </w:p>
    <w:p w14:paraId="00406D8B" w14:textId="77777777" w:rsidR="00E2213F" w:rsidRPr="002E70E7" w:rsidRDefault="00E2213F" w:rsidP="00E2213F">
      <w:pPr>
        <w:jc w:val="center"/>
        <w:rPr>
          <w:rFonts w:cs="Arial"/>
        </w:rPr>
      </w:pPr>
      <w:r w:rsidRPr="002E70E7">
        <w:rPr>
          <w:rFonts w:cs="Arial"/>
          <w:noProof/>
          <w:lang w:eastAsia="en-AU"/>
        </w:rPr>
        <w:drawing>
          <wp:inline distT="0" distB="0" distL="0" distR="0" wp14:anchorId="3F298BB4" wp14:editId="37E14A23">
            <wp:extent cx="4514850" cy="619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4514850" cy="619125"/>
                    </a:xfrm>
                    <a:prstGeom prst="rect">
                      <a:avLst/>
                    </a:prstGeom>
                  </pic:spPr>
                </pic:pic>
              </a:graphicData>
            </a:graphic>
          </wp:inline>
        </w:drawing>
      </w:r>
    </w:p>
    <w:p w14:paraId="42B71F66" w14:textId="20EF6DDC" w:rsidR="00E2213F" w:rsidRPr="002E70E7" w:rsidRDefault="006A3CF3" w:rsidP="00F57D9B">
      <w:pPr>
        <w:ind w:left="1440"/>
      </w:pPr>
      <w:r w:rsidRPr="002E70E7">
        <w:t>where</w:t>
      </w:r>
      <w:r w:rsidR="00E2213F" w:rsidRPr="002E70E7">
        <w:t>:</w:t>
      </w:r>
    </w:p>
    <w:p w14:paraId="063C64DA" w14:textId="7934D8FC" w:rsidR="00E2213F" w:rsidRPr="002E70E7" w:rsidRDefault="00E2213F" w:rsidP="00E2213F">
      <w:pPr>
        <w:ind w:left="1446"/>
        <w:rPr>
          <w:rFonts w:cs="Arial"/>
        </w:rPr>
      </w:pPr>
      <w:r w:rsidRPr="00F57D9B">
        <w:rPr>
          <w:rFonts w:ascii="Cambria Math" w:hAnsi="Cambria Math" w:cs="Cambria Math"/>
          <w:i/>
        </w:rPr>
        <w:t>𝐴</w:t>
      </w:r>
      <w:r w:rsidRPr="00F57D9B">
        <w:rPr>
          <w:rFonts w:ascii="Cambria Math" w:hAnsi="Cambria Math" w:cs="Cambria Math"/>
          <w:i/>
          <w:vertAlign w:val="subscript"/>
        </w:rPr>
        <w:t>𝑝</w:t>
      </w:r>
      <w:r w:rsidRPr="00F57D9B">
        <w:rPr>
          <w:rFonts w:ascii="Cambria Math" w:hAnsi="Cambria Math" w:cs="Cambria Math"/>
          <w:i/>
          <w:vertAlign w:val="superscript"/>
        </w:rPr>
        <w:t>∗</w:t>
      </w:r>
      <w:r w:rsidRPr="002E70E7">
        <w:rPr>
          <w:rFonts w:cs="Arial"/>
        </w:rPr>
        <w:t xml:space="preserve"> is the estimate of actual capex in the final year of the Access Arrangement </w:t>
      </w:r>
      <w:r w:rsidR="00467127">
        <w:rPr>
          <w:rFonts w:cs="Arial"/>
        </w:rPr>
        <w:t xml:space="preserve">Period </w:t>
      </w:r>
      <w:r w:rsidRPr="002E70E7">
        <w:rPr>
          <w:rFonts w:cs="Arial"/>
        </w:rPr>
        <w:t>that has been used to initially calculate the CESS rewards or penalties</w:t>
      </w:r>
      <w:r w:rsidR="002A772B">
        <w:rPr>
          <w:rFonts w:cs="Arial"/>
        </w:rPr>
        <w:t>;</w:t>
      </w:r>
    </w:p>
    <w:p w14:paraId="55F5A40F" w14:textId="53FEE43F" w:rsidR="00E2213F" w:rsidRPr="002E70E7" w:rsidRDefault="00E2213F" w:rsidP="00E2213F">
      <w:pPr>
        <w:ind w:left="1446"/>
        <w:rPr>
          <w:rFonts w:cs="Arial"/>
        </w:rPr>
      </w:pPr>
      <w:r w:rsidRPr="00F57D9B">
        <w:rPr>
          <w:rFonts w:ascii="Cambria Math" w:hAnsi="Cambria Math" w:cs="Cambria Math"/>
          <w:i/>
        </w:rPr>
        <w:t>𝐴</w:t>
      </w:r>
      <w:r w:rsidRPr="00F57D9B">
        <w:rPr>
          <w:rFonts w:ascii="Cambria Math" w:hAnsi="Cambria Math" w:cs="Cambria Math"/>
          <w:i/>
          <w:vertAlign w:val="subscript"/>
        </w:rPr>
        <w:t>𝑝</w:t>
      </w:r>
      <w:r w:rsidRPr="002E70E7">
        <w:rPr>
          <w:rFonts w:cs="Arial"/>
        </w:rPr>
        <w:t xml:space="preserve"> is actual capex in the final year of the Access Arrangement</w:t>
      </w:r>
      <w:r w:rsidR="00467127">
        <w:rPr>
          <w:rFonts w:cs="Arial"/>
        </w:rPr>
        <w:t xml:space="preserve"> Period</w:t>
      </w:r>
      <w:r w:rsidR="002A772B">
        <w:rPr>
          <w:rFonts w:cs="Arial"/>
        </w:rPr>
        <w:t>.</w:t>
      </w:r>
    </w:p>
    <w:p w14:paraId="4BA3BB60" w14:textId="0751DAA4" w:rsidR="00E2213F" w:rsidRPr="00006B0F" w:rsidRDefault="00D7141F" w:rsidP="00006B0F">
      <w:pPr>
        <w:ind w:left="720" w:hanging="720"/>
      </w:pPr>
      <w:r w:rsidRPr="00006B0F">
        <w:t>(n)</w:t>
      </w:r>
      <w:r w:rsidRPr="00006B0F">
        <w:tab/>
      </w:r>
      <w:r w:rsidR="00E2213F" w:rsidRPr="00006B0F">
        <w:t>There will be no adjustment to the original expenditure benchmarks against which the assessment of the efficiency gains in excess of the forecast would be measured.</w:t>
      </w:r>
    </w:p>
    <w:p w14:paraId="6358293D" w14:textId="7D810F0E" w:rsidR="00E2213F" w:rsidRPr="00006B0F" w:rsidRDefault="00D7141F" w:rsidP="00006B0F">
      <w:pPr>
        <w:ind w:left="720" w:hanging="720"/>
      </w:pPr>
      <w:r w:rsidRPr="00006B0F">
        <w:t>(o)</w:t>
      </w:r>
      <w:r w:rsidRPr="00006B0F">
        <w:tab/>
      </w:r>
      <w:r w:rsidR="00E2213F" w:rsidRPr="00006B0F">
        <w:t>A discount rate will be applied to account for the time value of money. This adjustment will also be required for the penultimate year of the Access Arrangement where finalised actual capex figures are not available before finalising the regulatory determination.</w:t>
      </w:r>
    </w:p>
    <w:p w14:paraId="2C9F06B3" w14:textId="0CC8B727" w:rsidR="001B1278" w:rsidRPr="00006B0F" w:rsidRDefault="00D7141F" w:rsidP="00006B0F">
      <w:pPr>
        <w:ind w:left="720" w:hanging="720"/>
      </w:pPr>
      <w:r w:rsidRPr="00006B0F">
        <w:t>(p)</w:t>
      </w:r>
      <w:r w:rsidRPr="00006B0F">
        <w:tab/>
      </w:r>
      <w:r w:rsidR="001B1278" w:rsidRPr="00006B0F">
        <w:t>For the avoidance of doubt, the forecast expenditure amounts that are used as the basis for measuring efficiencies are equal to the real forecast capital expenditure for that year as shown in the table below, adjusted for actual inflation, with the following exception:</w:t>
      </w:r>
    </w:p>
    <w:p w14:paraId="4E9499C0" w14:textId="2D9D54AF" w:rsidR="001B1278" w:rsidRDefault="001B1278" w:rsidP="00F57D9B">
      <w:pPr>
        <w:ind w:left="1440" w:hanging="720"/>
      </w:pPr>
      <w:r>
        <w:t>(</w:t>
      </w:r>
      <w:r w:rsidR="00D7141F">
        <w:t>1</w:t>
      </w:r>
      <w:r>
        <w:t>)</w:t>
      </w:r>
      <w:r>
        <w:tab/>
      </w:r>
      <w:r w:rsidRPr="003E2CEC">
        <w:t xml:space="preserve">The carryover of cost-related efficiency gains will be calculated in a manner that takes account of any </w:t>
      </w:r>
      <w:r w:rsidRPr="00B75833">
        <w:t>change</w:t>
      </w:r>
      <w:r w:rsidRPr="003E2CEC">
        <w:t xml:space="preserve"> in the scale of the activities which form the basis of the determination of the original benchmarks. </w:t>
      </w:r>
      <w:r>
        <w:t xml:space="preserve"> </w:t>
      </w:r>
      <w:r w:rsidRPr="003E2CEC">
        <w:t xml:space="preserve">The </w:t>
      </w:r>
      <w:r>
        <w:t>ca</w:t>
      </w:r>
      <w:r w:rsidRPr="003E2CEC">
        <w:t xml:space="preserve">pex benchmarks will be adjusted consistent with the way in which the </w:t>
      </w:r>
      <w:r w:rsidRPr="0035628B">
        <w:t>benchmark</w:t>
      </w:r>
      <w:r w:rsidRPr="003E2CEC">
        <w:t xml:space="preserve"> was determined</w:t>
      </w:r>
      <w:r>
        <w:t>.</w:t>
      </w:r>
    </w:p>
    <w:p w14:paraId="128A0319" w14:textId="3B8FFAC8" w:rsidR="001B1278" w:rsidRDefault="00D7141F" w:rsidP="00F57D9B">
      <w:r>
        <w:t>(q)</w:t>
      </w:r>
      <w:r>
        <w:tab/>
      </w:r>
      <w:r w:rsidR="001B1278">
        <w:t>Capex allowance (F) is: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925"/>
        <w:gridCol w:w="925"/>
        <w:gridCol w:w="925"/>
        <w:gridCol w:w="925"/>
        <w:gridCol w:w="925"/>
        <w:gridCol w:w="925"/>
        <w:gridCol w:w="925"/>
      </w:tblGrid>
      <w:tr w:rsidR="001B1278" w14:paraId="16DAC78F" w14:textId="77777777" w:rsidTr="001B1278">
        <w:tc>
          <w:tcPr>
            <w:tcW w:w="2172" w:type="dxa"/>
            <w:shd w:val="pct20" w:color="auto" w:fill="auto"/>
          </w:tcPr>
          <w:p w14:paraId="53A66CD0" w14:textId="77777777" w:rsidR="001B1278" w:rsidRPr="00F7668E" w:rsidRDefault="001B1278" w:rsidP="006664FC">
            <w:pPr>
              <w:pStyle w:val="BodyText"/>
            </w:pPr>
          </w:p>
        </w:tc>
        <w:tc>
          <w:tcPr>
            <w:tcW w:w="925" w:type="dxa"/>
            <w:shd w:val="pct20" w:color="auto" w:fill="auto"/>
            <w:vAlign w:val="center"/>
          </w:tcPr>
          <w:p w14:paraId="32A95914" w14:textId="77777777" w:rsidR="001B1278" w:rsidRPr="00060F5C" w:rsidRDefault="001B1278" w:rsidP="006664FC">
            <w:pPr>
              <w:pStyle w:val="BodyText"/>
            </w:pPr>
            <w:r>
              <w:rPr>
                <w:rStyle w:val="AERtextbold"/>
              </w:rPr>
              <w:t>2016</w:t>
            </w:r>
          </w:p>
        </w:tc>
        <w:tc>
          <w:tcPr>
            <w:tcW w:w="925" w:type="dxa"/>
            <w:shd w:val="pct20" w:color="auto" w:fill="auto"/>
            <w:vAlign w:val="center"/>
          </w:tcPr>
          <w:p w14:paraId="25CB353A" w14:textId="77777777" w:rsidR="001B1278" w:rsidRPr="00060F5C" w:rsidRDefault="001B1278" w:rsidP="006664FC">
            <w:pPr>
              <w:pStyle w:val="BodyText"/>
            </w:pPr>
            <w:r>
              <w:rPr>
                <w:rStyle w:val="AERtextbold"/>
              </w:rPr>
              <w:t>2017</w:t>
            </w:r>
          </w:p>
        </w:tc>
        <w:tc>
          <w:tcPr>
            <w:tcW w:w="925" w:type="dxa"/>
            <w:shd w:val="pct20" w:color="auto" w:fill="auto"/>
            <w:vAlign w:val="center"/>
          </w:tcPr>
          <w:p w14:paraId="7FC5A731" w14:textId="77777777" w:rsidR="001B1278" w:rsidRPr="00060F5C" w:rsidRDefault="001B1278" w:rsidP="006664FC">
            <w:pPr>
              <w:pStyle w:val="BodyText"/>
            </w:pPr>
            <w:r>
              <w:rPr>
                <w:rStyle w:val="AERtextbold"/>
              </w:rPr>
              <w:t>2018</w:t>
            </w:r>
          </w:p>
        </w:tc>
        <w:tc>
          <w:tcPr>
            <w:tcW w:w="925" w:type="dxa"/>
            <w:shd w:val="pct20" w:color="auto" w:fill="auto"/>
            <w:vAlign w:val="center"/>
          </w:tcPr>
          <w:p w14:paraId="5CABFAAF" w14:textId="77777777" w:rsidR="001B1278" w:rsidRPr="00060F5C" w:rsidRDefault="001B1278" w:rsidP="006664FC">
            <w:pPr>
              <w:pStyle w:val="BodyText"/>
            </w:pPr>
            <w:r>
              <w:rPr>
                <w:rStyle w:val="AERtextbold"/>
              </w:rPr>
              <w:t>2019</w:t>
            </w:r>
          </w:p>
        </w:tc>
        <w:tc>
          <w:tcPr>
            <w:tcW w:w="925" w:type="dxa"/>
            <w:shd w:val="pct20" w:color="auto" w:fill="auto"/>
            <w:vAlign w:val="center"/>
          </w:tcPr>
          <w:p w14:paraId="4CBCFD64" w14:textId="77777777" w:rsidR="001B1278" w:rsidRPr="00060F5C" w:rsidRDefault="001B1278" w:rsidP="006664FC">
            <w:pPr>
              <w:pStyle w:val="BodyText"/>
            </w:pPr>
            <w:r>
              <w:rPr>
                <w:rStyle w:val="AERtextbold"/>
              </w:rPr>
              <w:t>2020</w:t>
            </w:r>
          </w:p>
        </w:tc>
        <w:tc>
          <w:tcPr>
            <w:tcW w:w="925" w:type="dxa"/>
            <w:shd w:val="pct20" w:color="auto" w:fill="auto"/>
            <w:vAlign w:val="center"/>
          </w:tcPr>
          <w:p w14:paraId="0951BBCD" w14:textId="77777777" w:rsidR="001B1278" w:rsidRPr="00060F5C" w:rsidRDefault="001B1278" w:rsidP="006664FC">
            <w:pPr>
              <w:pStyle w:val="BodyText"/>
            </w:pPr>
            <w:r>
              <w:rPr>
                <w:rStyle w:val="AERtextbold"/>
              </w:rPr>
              <w:t>2021</w:t>
            </w:r>
          </w:p>
        </w:tc>
        <w:tc>
          <w:tcPr>
            <w:tcW w:w="925" w:type="dxa"/>
            <w:shd w:val="pct20" w:color="auto" w:fill="auto"/>
            <w:vAlign w:val="center"/>
          </w:tcPr>
          <w:p w14:paraId="1F9E4C1D" w14:textId="77777777" w:rsidR="001B1278" w:rsidRPr="00060F5C" w:rsidRDefault="001B1278" w:rsidP="006664FC">
            <w:pPr>
              <w:pStyle w:val="BodyText"/>
            </w:pPr>
            <w:r>
              <w:rPr>
                <w:rStyle w:val="AERtextbold"/>
              </w:rPr>
              <w:t>2022</w:t>
            </w:r>
          </w:p>
        </w:tc>
      </w:tr>
      <w:tr w:rsidR="005318E6" w14:paraId="50E2AD32" w14:textId="77777777" w:rsidTr="005318E6">
        <w:tc>
          <w:tcPr>
            <w:tcW w:w="2172" w:type="dxa"/>
            <w:shd w:val="clear" w:color="auto" w:fill="auto"/>
          </w:tcPr>
          <w:p w14:paraId="62267650" w14:textId="77777777" w:rsidR="005318E6" w:rsidRDefault="005318E6" w:rsidP="001B1278">
            <w:pPr>
              <w:ind w:left="-15"/>
              <w:jc w:val="left"/>
            </w:pPr>
            <w:r>
              <w:t xml:space="preserve">Forecast capex </w:t>
            </w:r>
            <w:r w:rsidRPr="008F6BB2">
              <w:t>($</w:t>
            </w:r>
            <w:r w:rsidRPr="00B75833">
              <w:t>million</w:t>
            </w:r>
            <w:r w:rsidRPr="008F6BB2">
              <w:t>, 201</w:t>
            </w:r>
            <w:r>
              <w:t>7</w:t>
            </w:r>
            <w:r w:rsidRPr="008F6BB2">
              <w:t>)</w:t>
            </w:r>
          </w:p>
        </w:tc>
        <w:tc>
          <w:tcPr>
            <w:tcW w:w="925" w:type="dxa"/>
            <w:shd w:val="clear" w:color="auto" w:fill="auto"/>
            <w:vAlign w:val="center"/>
          </w:tcPr>
          <w:p w14:paraId="7895D232" w14:textId="6322D1C6" w:rsidR="005318E6" w:rsidRDefault="005318E6" w:rsidP="005318E6">
            <w:pPr>
              <w:ind w:left="-15"/>
              <w:jc w:val="right"/>
            </w:pPr>
            <w:r w:rsidRPr="005318E6">
              <w:t>83.0</w:t>
            </w:r>
          </w:p>
        </w:tc>
        <w:tc>
          <w:tcPr>
            <w:tcW w:w="925" w:type="dxa"/>
            <w:shd w:val="clear" w:color="auto" w:fill="auto"/>
            <w:vAlign w:val="center"/>
          </w:tcPr>
          <w:p w14:paraId="26ADC106" w14:textId="49D67444" w:rsidR="005318E6" w:rsidRDefault="005318E6" w:rsidP="005318E6">
            <w:pPr>
              <w:ind w:left="-15"/>
              <w:jc w:val="right"/>
            </w:pPr>
            <w:r w:rsidRPr="005318E6">
              <w:t>97.6</w:t>
            </w:r>
          </w:p>
        </w:tc>
        <w:tc>
          <w:tcPr>
            <w:tcW w:w="925" w:type="dxa"/>
            <w:shd w:val="clear" w:color="auto" w:fill="auto"/>
            <w:vAlign w:val="center"/>
          </w:tcPr>
          <w:p w14:paraId="72D2DC91" w14:textId="43373EA7" w:rsidR="005318E6" w:rsidRDefault="005318E6" w:rsidP="005318E6">
            <w:pPr>
              <w:ind w:left="-15"/>
              <w:jc w:val="right"/>
            </w:pPr>
            <w:r w:rsidRPr="005318E6">
              <w:t>105.2</w:t>
            </w:r>
          </w:p>
        </w:tc>
        <w:tc>
          <w:tcPr>
            <w:tcW w:w="925" w:type="dxa"/>
            <w:shd w:val="clear" w:color="auto" w:fill="auto"/>
            <w:vAlign w:val="center"/>
          </w:tcPr>
          <w:p w14:paraId="1E649B44" w14:textId="396B605D" w:rsidR="005318E6" w:rsidRDefault="005318E6" w:rsidP="005318E6">
            <w:pPr>
              <w:ind w:left="-15"/>
              <w:jc w:val="right"/>
            </w:pPr>
            <w:r w:rsidRPr="005318E6">
              <w:t>101.6</w:t>
            </w:r>
          </w:p>
        </w:tc>
        <w:tc>
          <w:tcPr>
            <w:tcW w:w="925" w:type="dxa"/>
            <w:shd w:val="clear" w:color="auto" w:fill="auto"/>
            <w:vAlign w:val="center"/>
          </w:tcPr>
          <w:p w14:paraId="14A54B75" w14:textId="675CA580" w:rsidR="005318E6" w:rsidRDefault="005318E6" w:rsidP="005318E6">
            <w:pPr>
              <w:ind w:left="-15"/>
              <w:jc w:val="right"/>
            </w:pPr>
            <w:r w:rsidRPr="005318E6">
              <w:t>98.9</w:t>
            </w:r>
          </w:p>
        </w:tc>
        <w:tc>
          <w:tcPr>
            <w:tcW w:w="925" w:type="dxa"/>
            <w:shd w:val="clear" w:color="auto" w:fill="auto"/>
            <w:vAlign w:val="center"/>
          </w:tcPr>
          <w:p w14:paraId="244C937C" w14:textId="684617E8" w:rsidR="005318E6" w:rsidRDefault="005318E6" w:rsidP="005318E6">
            <w:pPr>
              <w:ind w:left="-15"/>
              <w:jc w:val="right"/>
            </w:pPr>
            <w:r w:rsidRPr="005318E6">
              <w:t>92.5</w:t>
            </w:r>
          </w:p>
        </w:tc>
        <w:tc>
          <w:tcPr>
            <w:tcW w:w="925" w:type="dxa"/>
            <w:shd w:val="clear" w:color="auto" w:fill="auto"/>
            <w:vAlign w:val="center"/>
          </w:tcPr>
          <w:p w14:paraId="28C2B691" w14:textId="64101B83" w:rsidR="005318E6" w:rsidRDefault="005318E6" w:rsidP="005318E6">
            <w:pPr>
              <w:ind w:left="-15"/>
              <w:jc w:val="right"/>
            </w:pPr>
            <w:r w:rsidRPr="005318E6">
              <w:t>88.4</w:t>
            </w:r>
          </w:p>
        </w:tc>
      </w:tr>
    </w:tbl>
    <w:p w14:paraId="4895E60B" w14:textId="77777777" w:rsidR="001B1278" w:rsidRPr="002E70E7" w:rsidRDefault="001B1278" w:rsidP="00F57D9B"/>
    <w:p w14:paraId="67CA542A" w14:textId="762C6B24" w:rsidR="00E2213F" w:rsidRPr="00B738B7" w:rsidRDefault="00E2213F" w:rsidP="00F57D9B">
      <w:pPr>
        <w:pStyle w:val="Heading3"/>
      </w:pPr>
      <w:bookmarkStart w:id="167" w:name="_Toc469519505"/>
      <w:r w:rsidRPr="00B738B7">
        <w:t>Network Innovation Scheme</w:t>
      </w:r>
      <w:bookmarkEnd w:id="167"/>
    </w:p>
    <w:p w14:paraId="21172C4E" w14:textId="678B6187" w:rsidR="006A3CF3" w:rsidRDefault="006A3CF3" w:rsidP="008A599C">
      <w:pPr>
        <w:pStyle w:val="BodyText"/>
      </w:pPr>
      <w:r>
        <w:t>(a)</w:t>
      </w:r>
      <w:r>
        <w:tab/>
      </w:r>
      <w:r w:rsidRPr="006A3CF3">
        <w:t>The Network Innovation Scheme (</w:t>
      </w:r>
      <w:r w:rsidRPr="00B738B7">
        <w:rPr>
          <w:b/>
        </w:rPr>
        <w:t>NIS</w:t>
      </w:r>
      <w:r w:rsidRPr="006A3CF3">
        <w:t xml:space="preserve">), subject to approval from the Regulator in accordance with </w:t>
      </w:r>
      <w:r w:rsidR="00467127">
        <w:rPr>
          <w:rFonts w:cs="Times New Roman"/>
          <w:szCs w:val="20"/>
        </w:rPr>
        <w:t>clause</w:t>
      </w:r>
      <w:r w:rsidRPr="006A3CF3">
        <w:t xml:space="preserve"> </w:t>
      </w:r>
      <w:r w:rsidR="007D0390">
        <w:t>6.4.4(g</w:t>
      </w:r>
      <w:r w:rsidR="00E2474F">
        <w:t>)</w:t>
      </w:r>
      <w:r w:rsidRPr="006A3CF3">
        <w:t>, is to adjust tariffs to provide for revenue in addition to the building block allowance in order for the Service Provider to fund innovation</w:t>
      </w:r>
      <w:r>
        <w:t>.</w:t>
      </w:r>
    </w:p>
    <w:p w14:paraId="3C41D34A" w14:textId="66AF6CDD" w:rsidR="006A3CF3" w:rsidRPr="006A3CF3" w:rsidRDefault="006A3CF3" w:rsidP="008A599C">
      <w:pPr>
        <w:pStyle w:val="BodyText"/>
      </w:pPr>
      <w:r>
        <w:t>(b)</w:t>
      </w:r>
      <w:r>
        <w:tab/>
        <w:t xml:space="preserve">Expenditure incurred by the Service Provider may only be recovered </w:t>
      </w:r>
      <w:r w:rsidR="00490D8A" w:rsidRPr="006A3CF3">
        <w:t>under the NIS if it is Allowable NIS Expenditure. Expenditure incurred is Allowable NIS Expenditure where</w:t>
      </w:r>
      <w:r>
        <w:t>:</w:t>
      </w:r>
    </w:p>
    <w:p w14:paraId="6E4A3182" w14:textId="56F75B71" w:rsidR="00E2213F" w:rsidRPr="006A3CF3" w:rsidRDefault="00490D8A" w:rsidP="00490D8A">
      <w:pPr>
        <w:ind w:left="1440" w:hanging="720"/>
      </w:pPr>
      <w:r>
        <w:t>(1)</w:t>
      </w:r>
      <w:r>
        <w:tab/>
      </w:r>
      <w:r w:rsidR="00467127">
        <w:t>e</w:t>
      </w:r>
      <w:r w:rsidR="00E2213F" w:rsidRPr="006A3CF3">
        <w:t>xpenditure actually incurred on a specific initiative is below $1 million per annum and meets the NIS Criteria; or</w:t>
      </w:r>
    </w:p>
    <w:p w14:paraId="2F5A3805" w14:textId="6483855A" w:rsidR="00E2213F" w:rsidRPr="006A3CF3" w:rsidRDefault="00490D8A" w:rsidP="00490D8A">
      <w:pPr>
        <w:ind w:left="1440" w:hanging="720"/>
      </w:pPr>
      <w:r>
        <w:t>(2)</w:t>
      </w:r>
      <w:r>
        <w:tab/>
      </w:r>
      <w:r w:rsidR="00467127">
        <w:t>e</w:t>
      </w:r>
      <w:r w:rsidR="00E2213F" w:rsidRPr="006A3CF3">
        <w:t xml:space="preserve">xpenditure for a specific initiative is expected to exceed $1 million per annum and has been deemed by the AER to meet the NIS Criteria. </w:t>
      </w:r>
    </w:p>
    <w:p w14:paraId="3323F1F5" w14:textId="6ABA6F7E" w:rsidR="00E2213F" w:rsidRPr="006A3CF3" w:rsidRDefault="00490D8A" w:rsidP="00F57D9B">
      <w:pPr>
        <w:ind w:left="720" w:hanging="720"/>
      </w:pPr>
      <w:r>
        <w:t>(c)</w:t>
      </w:r>
      <w:r>
        <w:tab/>
      </w:r>
      <w:r w:rsidR="00626EDB">
        <w:t xml:space="preserve">Allowable </w:t>
      </w:r>
      <w:r w:rsidR="00E2213F" w:rsidRPr="006A3CF3">
        <w:t xml:space="preserve">NIS Expenditure is to be recovered </w:t>
      </w:r>
      <w:r w:rsidR="00626EDB">
        <w:t>by adding the approved expenditure to the Total Revenue for the Sixth Access Arrangement Period</w:t>
      </w:r>
      <w:r w:rsidR="00E2213F" w:rsidRPr="006A3CF3">
        <w:t>.</w:t>
      </w:r>
    </w:p>
    <w:p w14:paraId="05060B31" w14:textId="5859BBEC" w:rsidR="00E2213F" w:rsidRDefault="00490D8A" w:rsidP="00490D8A">
      <w:r>
        <w:t>(d)</w:t>
      </w:r>
      <w:r>
        <w:tab/>
      </w:r>
      <w:r w:rsidR="00E2213F" w:rsidRPr="006A3CF3">
        <w:t>The NIS Criteria are as follows:</w:t>
      </w:r>
    </w:p>
    <w:p w14:paraId="058B387C" w14:textId="3493A525" w:rsidR="00490D8A" w:rsidRPr="006A3CF3" w:rsidRDefault="00490D8A" w:rsidP="00F57D9B">
      <w:pPr>
        <w:ind w:left="1440" w:hanging="720"/>
      </w:pPr>
      <w:r>
        <w:t>(1)</w:t>
      </w:r>
      <w:r>
        <w:tab/>
        <w:t xml:space="preserve">The </w:t>
      </w:r>
      <w:r w:rsidR="00CD3756">
        <w:t>NIS</w:t>
      </w:r>
      <w:r w:rsidRPr="006A3CF3">
        <w:t xml:space="preserve"> project must have the potential to have a direct impact on </w:t>
      </w:r>
      <w:r w:rsidR="00467127">
        <w:t xml:space="preserve">a Service Provider’s </w:t>
      </w:r>
      <w:r w:rsidRPr="006A3CF3">
        <w:t>network or the operations of the network and involve the research, development and demonstration of at least one of the following</w:t>
      </w:r>
      <w:r>
        <w:t>:</w:t>
      </w:r>
    </w:p>
    <w:p w14:paraId="055574B2" w14:textId="1A87CCEF" w:rsidR="00E2213F" w:rsidRPr="006A3CF3" w:rsidRDefault="00490D8A" w:rsidP="00490D8A">
      <w:pPr>
        <w:ind w:left="1440"/>
      </w:pPr>
      <w:r>
        <w:t>(A)</w:t>
      </w:r>
      <w:r>
        <w:tab/>
      </w:r>
      <w:r w:rsidR="00E2213F" w:rsidRPr="006A3CF3">
        <w:t>A specific piece of new equipment in Australia (unproven in Australia);</w:t>
      </w:r>
    </w:p>
    <w:p w14:paraId="3A6A8E55" w14:textId="4AC4750E" w:rsidR="00E2213F" w:rsidRDefault="00490D8A" w:rsidP="00490D8A">
      <w:pPr>
        <w:ind w:left="1440"/>
      </w:pPr>
      <w:r>
        <w:t>(B)</w:t>
      </w:r>
      <w:r>
        <w:tab/>
      </w:r>
      <w:r w:rsidR="00E2213F" w:rsidRPr="006A3CF3">
        <w:t>A specific novel arrangement or application of existing equipment;</w:t>
      </w:r>
    </w:p>
    <w:p w14:paraId="6B761A96" w14:textId="757B8CD2" w:rsidR="00490D8A" w:rsidRDefault="00490D8A" w:rsidP="00F57D9B">
      <w:pPr>
        <w:ind w:left="2160" w:hanging="720"/>
      </w:pPr>
      <w:r>
        <w:t>(C)</w:t>
      </w:r>
      <w:r>
        <w:tab/>
        <w:t>A special novel operational practice directly in relation to the operation of the Australian gas transportation system; or</w:t>
      </w:r>
    </w:p>
    <w:p w14:paraId="37492245" w14:textId="4395DE03" w:rsidR="00E2213F" w:rsidRPr="006A3CF3" w:rsidRDefault="00490D8A" w:rsidP="00490D8A">
      <w:pPr>
        <w:ind w:left="1440"/>
      </w:pPr>
      <w:r>
        <w:lastRenderedPageBreak/>
        <w:t>(D)</w:t>
      </w:r>
      <w:r>
        <w:tab/>
      </w:r>
      <w:r w:rsidR="00E2213F" w:rsidRPr="006A3CF3">
        <w:t>A specific novel commercial arrangement.</w:t>
      </w:r>
    </w:p>
    <w:p w14:paraId="0BB48BE2" w14:textId="0C9ACF41" w:rsidR="00E2213F" w:rsidRPr="00D23939" w:rsidRDefault="007D0390" w:rsidP="00F57D9B">
      <w:pPr>
        <w:ind w:left="1440" w:hanging="720"/>
      </w:pPr>
      <w:r>
        <w:t>(2</w:t>
      </w:r>
      <w:r w:rsidR="00D23939">
        <w:t>)</w:t>
      </w:r>
      <w:r w:rsidR="00D23939">
        <w:tab/>
      </w:r>
      <w:r w:rsidR="00E2213F" w:rsidRPr="00D23939">
        <w:t>The NI</w:t>
      </w:r>
      <w:r w:rsidR="00CD3756">
        <w:t>S</w:t>
      </w:r>
      <w:r w:rsidR="00E2213F" w:rsidRPr="00D23939">
        <w:t xml:space="preserve"> project has the potential to develop learning that can be applied by all relevant </w:t>
      </w:r>
      <w:r w:rsidR="00D23939">
        <w:t>Service Providers</w:t>
      </w:r>
      <w:r w:rsidR="00E2213F" w:rsidRPr="00D23939">
        <w:t>.</w:t>
      </w:r>
    </w:p>
    <w:p w14:paraId="28671646" w14:textId="37814659" w:rsidR="00E2213F" w:rsidRPr="00D23939" w:rsidRDefault="00D23939" w:rsidP="00F57D9B">
      <w:pPr>
        <w:ind w:left="720"/>
      </w:pPr>
      <w:r>
        <w:t>(</w:t>
      </w:r>
      <w:r w:rsidR="007D0390">
        <w:t>3</w:t>
      </w:r>
      <w:r>
        <w:t>)</w:t>
      </w:r>
      <w:r>
        <w:tab/>
      </w:r>
      <w:r w:rsidR="00E2213F" w:rsidRPr="00D23939">
        <w:t>The NI</w:t>
      </w:r>
      <w:r w:rsidR="00CD3756">
        <w:t>S</w:t>
      </w:r>
      <w:r w:rsidR="00E2213F" w:rsidRPr="00D23939">
        <w:t xml:space="preserve"> project has the potential to deliver net financial benef</w:t>
      </w:r>
      <w:r>
        <w:t>i</w:t>
      </w:r>
      <w:r w:rsidR="00E2213F" w:rsidRPr="00D23939">
        <w:t>ts to gas customers.</w:t>
      </w:r>
    </w:p>
    <w:p w14:paraId="15CE459D" w14:textId="7B2C131A" w:rsidR="00E2213F" w:rsidRPr="00D23939" w:rsidRDefault="00D23939" w:rsidP="00F57D9B">
      <w:pPr>
        <w:ind w:left="720"/>
      </w:pPr>
      <w:r>
        <w:t>(</w:t>
      </w:r>
      <w:r w:rsidR="007D0390">
        <w:t>4</w:t>
      </w:r>
      <w:r>
        <w:t>)</w:t>
      </w:r>
      <w:r>
        <w:tab/>
      </w:r>
      <w:r w:rsidR="008A599C">
        <w:t>C</w:t>
      </w:r>
      <w:r w:rsidR="00E2213F" w:rsidRPr="00D23939">
        <w:t xml:space="preserve">osts recovered under the NIS: </w:t>
      </w:r>
    </w:p>
    <w:p w14:paraId="255144C5" w14:textId="20B9C790" w:rsidR="00E2213F" w:rsidRPr="00D23939" w:rsidRDefault="00D23939" w:rsidP="00F57D9B">
      <w:pPr>
        <w:ind w:left="1440"/>
      </w:pPr>
      <w:r>
        <w:t>(</w:t>
      </w:r>
      <w:r w:rsidR="007D0390">
        <w:t>A</w:t>
      </w:r>
      <w:r>
        <w:t>)</w:t>
      </w:r>
      <w:r>
        <w:tab/>
      </w:r>
      <w:r w:rsidR="00E2213F" w:rsidRPr="00D23939">
        <w:t>must not be recoverable under any other jurisdictional incentive scheme</w:t>
      </w:r>
      <w:r w:rsidR="008A599C">
        <w:t>;</w:t>
      </w:r>
      <w:r w:rsidR="00E2213F" w:rsidRPr="00D23939">
        <w:t xml:space="preserve"> </w:t>
      </w:r>
    </w:p>
    <w:p w14:paraId="39C7FDE7" w14:textId="5718CB0D" w:rsidR="00E2213F" w:rsidRPr="00D23939" w:rsidRDefault="00D23939" w:rsidP="00F57D9B">
      <w:pPr>
        <w:ind w:left="2160" w:hanging="720"/>
      </w:pPr>
      <w:r>
        <w:t>(</w:t>
      </w:r>
      <w:r w:rsidR="007D0390">
        <w:t>B</w:t>
      </w:r>
      <w:r>
        <w:t>)</w:t>
      </w:r>
      <w:r>
        <w:tab/>
      </w:r>
      <w:r w:rsidR="00E2213F" w:rsidRPr="00D23939">
        <w:t>must not be recoverable under any other Commonwealth or State/Territory Government scheme</w:t>
      </w:r>
      <w:r w:rsidR="008A599C">
        <w:t>;</w:t>
      </w:r>
      <w:r w:rsidR="00E2213F" w:rsidRPr="00D23939">
        <w:t xml:space="preserve"> and </w:t>
      </w:r>
    </w:p>
    <w:p w14:paraId="48645392" w14:textId="160BA528" w:rsidR="00E2213F" w:rsidRDefault="00D23939" w:rsidP="00F57D9B">
      <w:pPr>
        <w:ind w:left="2160" w:hanging="720"/>
      </w:pPr>
      <w:r>
        <w:t>(</w:t>
      </w:r>
      <w:r w:rsidR="007D0390">
        <w:t>C</w:t>
      </w:r>
      <w:r>
        <w:t>)</w:t>
      </w:r>
      <w:r>
        <w:tab/>
      </w:r>
      <w:r w:rsidR="00E2213F" w:rsidRPr="00D23939">
        <w:t xml:space="preserve">must not be included in forecast capital or operating expenditure approved in the </w:t>
      </w:r>
      <w:r w:rsidR="00467127">
        <w:t xml:space="preserve">access arrangement </w:t>
      </w:r>
      <w:r w:rsidR="00DB4B29">
        <w:t>decision</w:t>
      </w:r>
      <w:r w:rsidR="00E2213F" w:rsidRPr="00D23939">
        <w:t xml:space="preserve"> for the </w:t>
      </w:r>
      <w:r w:rsidR="00467127">
        <w:t>access arrangement</w:t>
      </w:r>
      <w:r w:rsidR="00E2213F" w:rsidRPr="00D23939">
        <w:t xml:space="preserve"> period under which the NIS applies, or under any other incentive scheme in that </w:t>
      </w:r>
      <w:r w:rsidR="00DB4B29">
        <w:t>decision</w:t>
      </w:r>
      <w:r w:rsidR="00E2213F" w:rsidRPr="00D23939">
        <w:t>.</w:t>
      </w:r>
    </w:p>
    <w:p w14:paraId="24219A25" w14:textId="15B3F227" w:rsidR="008A599C" w:rsidRDefault="008A599C" w:rsidP="008A599C">
      <w:pPr>
        <w:pStyle w:val="BodyText"/>
      </w:pPr>
      <w:r>
        <w:t>(</w:t>
      </w:r>
      <w:r w:rsidR="007D0390">
        <w:t>e</w:t>
      </w:r>
      <w:r>
        <w:t>)</w:t>
      </w:r>
      <w:r>
        <w:tab/>
        <w:t>Where the Service Provider elects to use the NIS, the Service Provider will provide to the Regulator a NIS application as part of its Access Arrangement revision proposal for the Sixth Access Arrangement Period.</w:t>
      </w:r>
    </w:p>
    <w:p w14:paraId="38235196" w14:textId="36F5443B" w:rsidR="008A599C" w:rsidRDefault="007D0390" w:rsidP="00DE7D71">
      <w:pPr>
        <w:ind w:left="720" w:hanging="720"/>
      </w:pPr>
      <w:r>
        <w:t>(f</w:t>
      </w:r>
      <w:r w:rsidR="008A599C">
        <w:t>)</w:t>
      </w:r>
      <w:r w:rsidR="008A599C">
        <w:tab/>
        <w:t xml:space="preserve">The NIS application will explain how the proposed Allowable NIS Expenditure meets the expenditure requirements and NIS criteria set out in clause 6.4.4(d). </w:t>
      </w:r>
    </w:p>
    <w:p w14:paraId="3DFDC0A8" w14:textId="56810E6B" w:rsidR="008A599C" w:rsidRDefault="008A599C" w:rsidP="00DE7D71">
      <w:pPr>
        <w:ind w:left="720" w:hanging="720"/>
      </w:pPr>
      <w:r>
        <w:t>(</w:t>
      </w:r>
      <w:r w:rsidR="007D0390">
        <w:t>g</w:t>
      </w:r>
      <w:r>
        <w:t>)</w:t>
      </w:r>
      <w:r>
        <w:tab/>
        <w:t xml:space="preserve">The Regulator must notify the Service Provider of its decision to approve or reject the proposed Allowable NIS Expenditure as part of its access arrangement decision process.  Any approved </w:t>
      </w:r>
      <w:r w:rsidR="00CD7032">
        <w:t xml:space="preserve">Allowable </w:t>
      </w:r>
      <w:r>
        <w:t xml:space="preserve">NIS </w:t>
      </w:r>
      <w:r w:rsidR="00CD7032">
        <w:t xml:space="preserve">Expenditure </w:t>
      </w:r>
      <w:r>
        <w:t>will be added to the building block revenue requirement for the Sixth Access Arrangement Period with adjustment for financing costs.</w:t>
      </w:r>
    </w:p>
    <w:p w14:paraId="0460B54B" w14:textId="27EE3B72" w:rsidR="009D7ABF" w:rsidRDefault="009D7ABF" w:rsidP="008A599C">
      <w:pPr>
        <w:pStyle w:val="Heading1"/>
      </w:pPr>
      <w:bookmarkStart w:id="168" w:name="_Toc469519506"/>
      <w:r>
        <w:t>Fixed Principles</w:t>
      </w:r>
      <w:bookmarkEnd w:id="168"/>
    </w:p>
    <w:p w14:paraId="0D17AB95" w14:textId="529B33B5" w:rsidR="009D7ABF" w:rsidRDefault="009D7ABF" w:rsidP="00035B92">
      <w:pPr>
        <w:pStyle w:val="Heading2"/>
      </w:pPr>
      <w:bookmarkStart w:id="169" w:name="_Toc469519507"/>
      <w:r>
        <w:t>General</w:t>
      </w:r>
      <w:bookmarkEnd w:id="169"/>
    </w:p>
    <w:p w14:paraId="601E227B" w14:textId="77777777" w:rsidR="009D7ABF" w:rsidRDefault="009D7ABF" w:rsidP="008A599C">
      <w:pPr>
        <w:pStyle w:val="BodyText"/>
      </w:pPr>
      <w:r>
        <w:t>(a)</w:t>
      </w:r>
      <w:r>
        <w:tab/>
      </w:r>
      <w:r w:rsidR="00726B69">
        <w:t>Rule 99</w:t>
      </w:r>
      <w:r>
        <w:t xml:space="preserve"> of the </w:t>
      </w:r>
      <w:r w:rsidR="00726B69">
        <w:t>National Gas Rules</w:t>
      </w:r>
      <w:r>
        <w:t xml:space="preserve"> provides that a </w:t>
      </w:r>
      <w:r w:rsidR="00726B69">
        <w:t>Full Access Arrangement</w:t>
      </w:r>
      <w:r>
        <w:t xml:space="preserve"> </w:t>
      </w:r>
      <w:r w:rsidR="00726B69">
        <w:t>may</w:t>
      </w:r>
      <w:r>
        <w:t xml:space="preserve"> include certain </w:t>
      </w:r>
      <w:r w:rsidR="00726B69">
        <w:t>principles that may be fixed for a stated period</w:t>
      </w:r>
      <w:r w:rsidR="00DD71C8">
        <w:t xml:space="preserve">.  </w:t>
      </w:r>
      <w:r>
        <w:t xml:space="preserve"> </w:t>
      </w:r>
    </w:p>
    <w:p w14:paraId="7F1DC117" w14:textId="77777777" w:rsidR="009D7ABF" w:rsidRDefault="009D7ABF" w:rsidP="008A599C">
      <w:pPr>
        <w:pStyle w:val="BodyText"/>
      </w:pPr>
      <w:r>
        <w:t>(b)</w:t>
      </w:r>
      <w:r>
        <w:tab/>
      </w:r>
      <w:r w:rsidR="00DD71C8">
        <w:t>A fixed principle approved before the commencement of the National Gas Rules or approved by the Regulator under the National Gas Rules is binding on the Regulator and the Service Provider for the period for which the principle is fixed</w:t>
      </w:r>
      <w:r>
        <w:t>.</w:t>
      </w:r>
      <w:r w:rsidR="00DD71C8">
        <w:t xml:space="preserve">  The Regulator may vary or revoke a fixed principle at any time with the Service Provider’s consent. </w:t>
      </w:r>
      <w:r>
        <w:t xml:space="preserve"> </w:t>
      </w:r>
    </w:p>
    <w:p w14:paraId="33858B96" w14:textId="77777777" w:rsidR="009D7ABF" w:rsidRDefault="009D7ABF" w:rsidP="008A599C">
      <w:pPr>
        <w:pStyle w:val="BodyText"/>
      </w:pPr>
      <w:r>
        <w:t>(c)</w:t>
      </w:r>
      <w:r>
        <w:tab/>
        <w:t xml:space="preserve">Each </w:t>
      </w:r>
      <w:r w:rsidR="00CC181C">
        <w:t>f</w:t>
      </w:r>
      <w:r>
        <w:t xml:space="preserve">ixed </w:t>
      </w:r>
      <w:r w:rsidR="00CC181C">
        <w:t>p</w:t>
      </w:r>
      <w:r>
        <w:t>rinciple will apply for different periods as described in this clause 7.</w:t>
      </w:r>
    </w:p>
    <w:p w14:paraId="2548D9A1" w14:textId="77777777" w:rsidR="009D7ABF" w:rsidRDefault="009D7ABF" w:rsidP="008A599C">
      <w:pPr>
        <w:pStyle w:val="BodyText"/>
      </w:pPr>
      <w:r>
        <w:t>(d)</w:t>
      </w:r>
      <w:r>
        <w:tab/>
        <w:t xml:space="preserve">The period during which each </w:t>
      </w:r>
      <w:r w:rsidR="00CC181C">
        <w:t>f</w:t>
      </w:r>
      <w:r>
        <w:t xml:space="preserve">ixed </w:t>
      </w:r>
      <w:r w:rsidR="00CC181C">
        <w:t>p</w:t>
      </w:r>
      <w:r>
        <w:t>rinciple may not be changed is the Fixed Period (</w:t>
      </w:r>
      <w:r>
        <w:rPr>
          <w:b/>
          <w:bCs/>
        </w:rPr>
        <w:t>Fixed Period</w:t>
      </w:r>
      <w:r>
        <w:t>).</w:t>
      </w:r>
    </w:p>
    <w:p w14:paraId="76D1AAAF" w14:textId="5165850E" w:rsidR="009D7ABF" w:rsidRDefault="009D7ABF" w:rsidP="00035B92">
      <w:pPr>
        <w:pStyle w:val="Heading2"/>
      </w:pPr>
      <w:bookmarkStart w:id="170" w:name="_Toc469519508"/>
      <w:r>
        <w:t>Adoption of Fixed Principles</w:t>
      </w:r>
      <w:bookmarkEnd w:id="170"/>
    </w:p>
    <w:p w14:paraId="648DFA6D" w14:textId="39FA6BE6" w:rsidR="009D7ABF" w:rsidRDefault="009D7ABF" w:rsidP="00DE76E5">
      <w:pPr>
        <w:pStyle w:val="BodyTextIndent3"/>
        <w:ind w:left="0"/>
      </w:pPr>
      <w:r>
        <w:t>In approving revisions to this Access Arrangement</w:t>
      </w:r>
      <w:r w:rsidR="00CA4F9F">
        <w:t xml:space="preserve"> </w:t>
      </w:r>
      <w:r>
        <w:t xml:space="preserve">the Regulator is to adopt the </w:t>
      </w:r>
      <w:r w:rsidR="00B66BE8">
        <w:t>f</w:t>
      </w:r>
      <w:r>
        <w:t xml:space="preserve">ixed </w:t>
      </w:r>
      <w:r w:rsidR="00B66BE8">
        <w:t>p</w:t>
      </w:r>
      <w:r>
        <w:t>rinciples as set out below:</w:t>
      </w:r>
    </w:p>
    <w:p w14:paraId="35CD155E" w14:textId="570A303E" w:rsidR="009D7ABF" w:rsidRDefault="009D7ABF" w:rsidP="00FA405D">
      <w:pPr>
        <w:ind w:left="720" w:hanging="720"/>
      </w:pPr>
      <w:r>
        <w:t>(</w:t>
      </w:r>
      <w:r w:rsidR="00DE76E5">
        <w:t>a</w:t>
      </w:r>
      <w:r>
        <w:t>)</w:t>
      </w:r>
      <w:r>
        <w:tab/>
        <w:t>The Regulator will use incentive based regulation adopting a CPI - X approach and not rate of return regulation.</w:t>
      </w:r>
    </w:p>
    <w:p w14:paraId="17B994F6" w14:textId="6A5D4964" w:rsidR="009D7ABF" w:rsidRDefault="009D7ABF" w:rsidP="00FA405D">
      <w:pPr>
        <w:ind w:left="720"/>
      </w:pPr>
      <w:r>
        <w:t xml:space="preserve">This </w:t>
      </w:r>
      <w:r w:rsidR="00B66BE8">
        <w:t>f</w:t>
      </w:r>
      <w:r>
        <w:t xml:space="preserve">ixed </w:t>
      </w:r>
      <w:r w:rsidR="00B66BE8">
        <w:t>p</w:t>
      </w:r>
      <w:r>
        <w:t xml:space="preserve">rinciple </w:t>
      </w:r>
      <w:r w:rsidRPr="00B75833">
        <w:t>will</w:t>
      </w:r>
      <w:r>
        <w:t xml:space="preserve"> apply until the end of the </w:t>
      </w:r>
      <w:r w:rsidR="006111DF">
        <w:t xml:space="preserve">Sixth </w:t>
      </w:r>
      <w:r>
        <w:t>Access Arrangement Period.</w:t>
      </w:r>
    </w:p>
    <w:p w14:paraId="459464BA" w14:textId="2002BDA4" w:rsidR="009D7ABF" w:rsidRDefault="009D7ABF" w:rsidP="00FA405D">
      <w:pPr>
        <w:ind w:left="720" w:hanging="720"/>
      </w:pPr>
      <w:r>
        <w:t>(</w:t>
      </w:r>
      <w:r w:rsidR="00DE76E5">
        <w:t>b</w:t>
      </w:r>
      <w:r>
        <w:t>)</w:t>
      </w:r>
      <w:r>
        <w:tab/>
        <w:t xml:space="preserve">To the extent that the Capital Base is relevant to the determination of Reference Tariffs, the value of the Capital Base at the start of the </w:t>
      </w:r>
      <w:r w:rsidR="00B807AF">
        <w:t xml:space="preserve">Sixth </w:t>
      </w:r>
      <w:r>
        <w:t xml:space="preserve">Access Arrangement Period will be adjusted </w:t>
      </w:r>
      <w:r w:rsidR="002A5F28">
        <w:t xml:space="preserve">in </w:t>
      </w:r>
      <w:r w:rsidR="00B926C8">
        <w:t>accordance with</w:t>
      </w:r>
      <w:r w:rsidR="002A5F28">
        <w:t xml:space="preserve"> the National Gas Rules</w:t>
      </w:r>
      <w:r w:rsidR="004D43AC">
        <w:t xml:space="preserve">, using </w:t>
      </w:r>
      <w:r w:rsidR="000112E2">
        <w:t xml:space="preserve">forecast </w:t>
      </w:r>
      <w:r w:rsidR="004D43AC">
        <w:t>depreciation (as opposed to actual</w:t>
      </w:r>
      <w:r w:rsidR="00BF1476">
        <w:t xml:space="preserve"> depreciation</w:t>
      </w:r>
      <w:r w:rsidR="004D43AC">
        <w:t xml:space="preserve">) determined by the </w:t>
      </w:r>
      <w:r w:rsidR="00F31C59">
        <w:t xml:space="preserve">Regulator </w:t>
      </w:r>
      <w:r w:rsidR="004D43AC">
        <w:t xml:space="preserve">for </w:t>
      </w:r>
      <w:r w:rsidR="00B807AF">
        <w:t xml:space="preserve">Fifth </w:t>
      </w:r>
      <w:r w:rsidR="004D43AC">
        <w:t>Access Arrangement Period</w:t>
      </w:r>
      <w:r w:rsidR="0017088D">
        <w:t>.</w:t>
      </w:r>
    </w:p>
    <w:p w14:paraId="68E918B9" w14:textId="2E3453D5" w:rsidR="007F0FD0" w:rsidRDefault="009D7ABF" w:rsidP="00FA405D">
      <w:pPr>
        <w:ind w:left="720"/>
      </w:pPr>
      <w:r>
        <w:t xml:space="preserve">This </w:t>
      </w:r>
      <w:r w:rsidR="00B66BE8">
        <w:t>f</w:t>
      </w:r>
      <w:r>
        <w:t xml:space="preserve">ixed </w:t>
      </w:r>
      <w:r w:rsidR="00B66BE8">
        <w:t>p</w:t>
      </w:r>
      <w:r>
        <w:t xml:space="preserve">rinciple will apply until the end of the </w:t>
      </w:r>
      <w:r w:rsidR="006111DF">
        <w:t xml:space="preserve">Sixth </w:t>
      </w:r>
      <w:r>
        <w:t xml:space="preserve">Access </w:t>
      </w:r>
      <w:r w:rsidRPr="00B75833">
        <w:t>Arrangement</w:t>
      </w:r>
      <w:r>
        <w:t xml:space="preserve"> Period.</w:t>
      </w:r>
    </w:p>
    <w:p w14:paraId="5166534A" w14:textId="36A0264A" w:rsidR="009D7ABF" w:rsidRDefault="009D7ABF" w:rsidP="00FA405D">
      <w:pPr>
        <w:ind w:left="720" w:hanging="720"/>
      </w:pPr>
      <w:bookmarkStart w:id="171" w:name="_Toc2660057"/>
      <w:r>
        <w:t>(</w:t>
      </w:r>
      <w:r w:rsidR="00DE76E5">
        <w:t>c</w:t>
      </w:r>
      <w:r>
        <w:t>)</w:t>
      </w:r>
      <w:r>
        <w:tab/>
      </w:r>
      <w:r w:rsidR="00124339">
        <w:t xml:space="preserve">In accordance with clause 6.4.2 and to </w:t>
      </w:r>
      <w:r>
        <w:t xml:space="preserve">the extent that the application of </w:t>
      </w:r>
      <w:r w:rsidR="00124339">
        <w:t xml:space="preserve">that </w:t>
      </w:r>
      <w:r>
        <w:t xml:space="preserve">clause results in a positive efficiency carryover at the end of the </w:t>
      </w:r>
      <w:r w:rsidR="00493807">
        <w:t xml:space="preserve">Fifth </w:t>
      </w:r>
      <w:r>
        <w:t xml:space="preserve">Access Arrangement Period, the reward earned in the </w:t>
      </w:r>
      <w:r w:rsidR="00493807">
        <w:t xml:space="preserve">Fifth </w:t>
      </w:r>
      <w:r>
        <w:t xml:space="preserve">Access Arrangement Period is to be added to the Total Revenue and carried forward into the </w:t>
      </w:r>
      <w:r w:rsidR="00124339">
        <w:t xml:space="preserve">Sixth </w:t>
      </w:r>
      <w:r>
        <w:t xml:space="preserve">Access Arrangement Period, until it has been retained by the </w:t>
      </w:r>
      <w:r>
        <w:lastRenderedPageBreak/>
        <w:t xml:space="preserve">Service Provider for a period of a full six years </w:t>
      </w:r>
      <w:r w:rsidR="008624FC">
        <w:t xml:space="preserve">in the case of rewards earned in </w:t>
      </w:r>
      <w:r>
        <w:t xml:space="preserve">Years 1-4 and five years </w:t>
      </w:r>
      <w:r w:rsidR="008624FC">
        <w:t xml:space="preserve">in the case of a reward earned in </w:t>
      </w:r>
      <w:r>
        <w:t>Year 5</w:t>
      </w:r>
      <w:r w:rsidR="00FA405D">
        <w:t>.</w:t>
      </w:r>
    </w:p>
    <w:p w14:paraId="5D960ECE" w14:textId="51353F6B" w:rsidR="009D7ABF" w:rsidRDefault="009D7ABF" w:rsidP="00FA405D">
      <w:pPr>
        <w:ind w:left="720"/>
      </w:pPr>
      <w:r>
        <w:t xml:space="preserve">This </w:t>
      </w:r>
      <w:r w:rsidR="00B66BE8">
        <w:t>f</w:t>
      </w:r>
      <w:r>
        <w:t xml:space="preserve">ixed </w:t>
      </w:r>
      <w:r w:rsidR="00B66BE8">
        <w:t>p</w:t>
      </w:r>
      <w:r>
        <w:t xml:space="preserve">rinciple will apply until the end of the </w:t>
      </w:r>
      <w:r w:rsidR="006111DF">
        <w:t xml:space="preserve">Sixth </w:t>
      </w:r>
      <w:r>
        <w:t xml:space="preserve">Access </w:t>
      </w:r>
      <w:r w:rsidRPr="00B75833">
        <w:t>Arrangement</w:t>
      </w:r>
      <w:r>
        <w:t xml:space="preserve"> Period.</w:t>
      </w:r>
    </w:p>
    <w:p w14:paraId="710F5A1A" w14:textId="6A47DED9" w:rsidR="006111DF" w:rsidRDefault="006111DF" w:rsidP="00FA405D">
      <w:pPr>
        <w:ind w:left="720" w:hanging="720"/>
      </w:pPr>
      <w:r>
        <w:t>(d)</w:t>
      </w:r>
      <w:r>
        <w:tab/>
      </w:r>
      <w:r w:rsidR="00124339">
        <w:t xml:space="preserve">In accordance with clause 6.4.3 and </w:t>
      </w:r>
      <w:r w:rsidR="00124339" w:rsidRPr="00FA0EF2">
        <w:t xml:space="preserve">to </w:t>
      </w:r>
      <w:r w:rsidRPr="00FA0EF2">
        <w:t xml:space="preserve">the extent that the application of </w:t>
      </w:r>
      <w:r w:rsidR="00124339">
        <w:t xml:space="preserve">that </w:t>
      </w:r>
      <w:r w:rsidRPr="00FA0EF2">
        <w:t>clause results in a</w:t>
      </w:r>
      <w:r>
        <w:t xml:space="preserve"> CESS</w:t>
      </w:r>
      <w:r w:rsidRPr="00FA0EF2">
        <w:t xml:space="preserve"> efficiency carryover at the end of the </w:t>
      </w:r>
      <w:r>
        <w:t>Fifth</w:t>
      </w:r>
      <w:r w:rsidRPr="00FA0EF2">
        <w:t xml:space="preserve"> Access Arrangement Period, the reward </w:t>
      </w:r>
      <w:r>
        <w:t xml:space="preserve">or penalty </w:t>
      </w:r>
      <w:r w:rsidRPr="00FA0EF2">
        <w:t xml:space="preserve">earned in the </w:t>
      </w:r>
      <w:r>
        <w:t>Fifth</w:t>
      </w:r>
      <w:r w:rsidRPr="00FA0EF2">
        <w:t xml:space="preserve"> Access Arrangement Period is to be added to the Total Revenue and carried forward into the </w:t>
      </w:r>
      <w:r>
        <w:t>Sixth</w:t>
      </w:r>
      <w:r w:rsidRPr="00FA0EF2">
        <w:t xml:space="preserve"> Access Arrangement Period</w:t>
      </w:r>
      <w:r>
        <w:t>.</w:t>
      </w:r>
    </w:p>
    <w:p w14:paraId="4F3497D8" w14:textId="32817EA5" w:rsidR="006111DF" w:rsidRDefault="006111DF" w:rsidP="00FA405D">
      <w:pPr>
        <w:ind w:left="1440" w:hanging="720"/>
      </w:pPr>
      <w:r>
        <w:t>This fixed principle will apply until the end of the Sixth Access Arrangement Period.</w:t>
      </w:r>
    </w:p>
    <w:p w14:paraId="60C2D544" w14:textId="2D0A7138" w:rsidR="00736088" w:rsidRDefault="00736088" w:rsidP="00FA405D">
      <w:pPr>
        <w:ind w:left="720" w:hanging="720"/>
      </w:pPr>
      <w:r>
        <w:t>(</w:t>
      </w:r>
      <w:r w:rsidR="006111DF">
        <w:t>e</w:t>
      </w:r>
      <w:r>
        <w:t>)</w:t>
      </w:r>
      <w:r>
        <w:tab/>
        <w:t xml:space="preserve">The Regulator will ensure that any mechanism for varying or adjusting the Haulage Reference Tariffs approved for the </w:t>
      </w:r>
      <w:r w:rsidR="008A4E79">
        <w:t xml:space="preserve">Fifth </w:t>
      </w:r>
      <w:r>
        <w:t xml:space="preserve">Access Arrangement Period will, to the extent required to give full effect to such variation or adjustment, be carried forward into the </w:t>
      </w:r>
      <w:r w:rsidR="008A4E79">
        <w:t xml:space="preserve">Sixth </w:t>
      </w:r>
      <w:r>
        <w:t>Access Arrangement Period.</w:t>
      </w:r>
    </w:p>
    <w:p w14:paraId="2D7C8924" w14:textId="336677F4" w:rsidR="00736088" w:rsidRDefault="00736088" w:rsidP="00FA405D">
      <w:pPr>
        <w:ind w:left="720"/>
      </w:pPr>
      <w:r>
        <w:t xml:space="preserve">This </w:t>
      </w:r>
      <w:r w:rsidR="00B66BE8">
        <w:t>f</w:t>
      </w:r>
      <w:r>
        <w:t xml:space="preserve">ixed </w:t>
      </w:r>
      <w:r w:rsidR="00B66BE8">
        <w:t>p</w:t>
      </w:r>
      <w:r>
        <w:t xml:space="preserve">rinciple will apply until the end of the </w:t>
      </w:r>
      <w:r w:rsidR="006111DF">
        <w:t xml:space="preserve">Sixth </w:t>
      </w:r>
      <w:r>
        <w:t>Access Arrangement Period.</w:t>
      </w:r>
    </w:p>
    <w:p w14:paraId="63D3727D" w14:textId="1CA21ECC" w:rsidR="00272998" w:rsidRDefault="00272998" w:rsidP="00FA405D">
      <w:pPr>
        <w:ind w:left="720" w:hanging="720"/>
      </w:pPr>
      <w:r>
        <w:t>(</w:t>
      </w:r>
      <w:r w:rsidR="00DE76E5">
        <w:t>f</w:t>
      </w:r>
      <w:r>
        <w:t>)</w:t>
      </w:r>
      <w:r>
        <w:tab/>
      </w:r>
      <w:r w:rsidR="00C70ABD">
        <w:t>In accordance with clause 6.4.4 and t</w:t>
      </w:r>
      <w:r w:rsidRPr="00FA0EF2">
        <w:t xml:space="preserve">o the extent that the application of </w:t>
      </w:r>
      <w:r w:rsidR="00C70ABD">
        <w:t xml:space="preserve">that </w:t>
      </w:r>
      <w:r w:rsidRPr="00FA0EF2">
        <w:t xml:space="preserve">clause results in </w:t>
      </w:r>
      <w:r>
        <w:t xml:space="preserve">approved </w:t>
      </w:r>
      <w:r w:rsidR="00C70ABD">
        <w:t>Allowable NIS Expenditure</w:t>
      </w:r>
      <w:r w:rsidRPr="00FA0EF2">
        <w:t xml:space="preserve"> at the end of the </w:t>
      </w:r>
      <w:r>
        <w:t>Fifth</w:t>
      </w:r>
      <w:r w:rsidRPr="00FA0EF2">
        <w:t xml:space="preserve"> Access Arrangement Period, the </w:t>
      </w:r>
      <w:r w:rsidR="00C70ABD">
        <w:t xml:space="preserve">amount </w:t>
      </w:r>
      <w:r>
        <w:t>approved from the</w:t>
      </w:r>
      <w:r w:rsidRPr="00FA0EF2">
        <w:t xml:space="preserve"> </w:t>
      </w:r>
      <w:r>
        <w:t>Fi</w:t>
      </w:r>
      <w:r w:rsidR="008A599C">
        <w:t>f</w:t>
      </w:r>
      <w:r>
        <w:t>th</w:t>
      </w:r>
      <w:r w:rsidRPr="00FA0EF2">
        <w:t xml:space="preserve"> Access Arrangement Period is to be added to the Total Revenue and carried forward into the </w:t>
      </w:r>
      <w:r>
        <w:t>Sixth</w:t>
      </w:r>
      <w:r w:rsidRPr="00FA0EF2">
        <w:t xml:space="preserve"> Access Arrangement Period</w:t>
      </w:r>
      <w:r w:rsidR="00C70ABD">
        <w:t xml:space="preserve">, with such </w:t>
      </w:r>
      <w:r>
        <w:t>adjustment</w:t>
      </w:r>
      <w:r w:rsidR="00C70ABD">
        <w:t>s as are necessary to provide</w:t>
      </w:r>
      <w:r>
        <w:t xml:space="preserve"> for financing costs.</w:t>
      </w:r>
    </w:p>
    <w:p w14:paraId="793DD225" w14:textId="7D3331E0" w:rsidR="00272998" w:rsidRDefault="00272998" w:rsidP="00FA405D">
      <w:pPr>
        <w:ind w:left="1440" w:hanging="720"/>
      </w:pPr>
      <w:r>
        <w:t>This fixed principle will apply until the end of the Sixth Access Arrangement Period.</w:t>
      </w:r>
    </w:p>
    <w:p w14:paraId="1DA5F216" w14:textId="0C14DB19" w:rsidR="009D7ABF" w:rsidRDefault="00817B46" w:rsidP="008A599C">
      <w:pPr>
        <w:pStyle w:val="Heading1"/>
      </w:pPr>
      <w:bookmarkStart w:id="172" w:name="_Toc2660060"/>
      <w:bookmarkStart w:id="173" w:name="_Toc5074254"/>
      <w:bookmarkStart w:id="174" w:name="_Toc469519509"/>
      <w:bookmarkEnd w:id="171"/>
      <w:r>
        <w:t>Procedure</w:t>
      </w:r>
      <w:r w:rsidR="009D7ABF">
        <w:t xml:space="preserve"> for a Relevant Pass Through</w:t>
      </w:r>
      <w:bookmarkEnd w:id="172"/>
      <w:bookmarkEnd w:id="173"/>
      <w:r w:rsidR="009D7ABF">
        <w:t xml:space="preserve"> Event</w:t>
      </w:r>
      <w:r w:rsidR="004F74CF">
        <w:t xml:space="preserve"> Variation in Reference Tariffs</w:t>
      </w:r>
      <w:bookmarkEnd w:id="174"/>
    </w:p>
    <w:p w14:paraId="0244FED4" w14:textId="6552B3EC" w:rsidR="00AA13C3" w:rsidRDefault="00B75833" w:rsidP="006111DF">
      <w:pPr>
        <w:spacing w:afterLines="60" w:after="144"/>
        <w:ind w:left="720" w:hanging="720"/>
        <w:rPr>
          <w:rFonts w:cs="Arial"/>
          <w:szCs w:val="22"/>
        </w:rPr>
      </w:pPr>
      <w:bookmarkStart w:id="175" w:name="_Toc2660061"/>
      <w:r>
        <w:rPr>
          <w:rFonts w:cs="Arial"/>
          <w:szCs w:val="22"/>
        </w:rPr>
        <w:t>(a)</w:t>
      </w:r>
      <w:r>
        <w:rPr>
          <w:rFonts w:cs="Arial"/>
          <w:szCs w:val="22"/>
        </w:rPr>
        <w:tab/>
      </w:r>
      <w:r w:rsidR="00AA13C3">
        <w:rPr>
          <w:rFonts w:cs="Arial"/>
          <w:szCs w:val="22"/>
        </w:rPr>
        <w:t>The Service Provider</w:t>
      </w:r>
      <w:r w:rsidR="00AA13C3" w:rsidRPr="00296A7F">
        <w:rPr>
          <w:rFonts w:cs="Arial"/>
          <w:szCs w:val="22"/>
        </w:rPr>
        <w:t xml:space="preserve"> </w:t>
      </w:r>
      <w:r w:rsidR="00AA13C3">
        <w:rPr>
          <w:rFonts w:cs="Arial"/>
          <w:szCs w:val="22"/>
        </w:rPr>
        <w:t>may</w:t>
      </w:r>
      <w:r w:rsidR="00AA13C3" w:rsidRPr="00296A7F">
        <w:rPr>
          <w:rFonts w:cs="Arial"/>
          <w:szCs w:val="22"/>
        </w:rPr>
        <w:t xml:space="preserve"> notify the </w:t>
      </w:r>
      <w:r w:rsidR="00F31C59">
        <w:rPr>
          <w:rFonts w:cs="Arial"/>
          <w:szCs w:val="22"/>
        </w:rPr>
        <w:t xml:space="preserve">Regulator </w:t>
      </w:r>
      <w:r w:rsidR="00AA13C3" w:rsidRPr="00296A7F">
        <w:rPr>
          <w:rFonts w:cs="Arial"/>
          <w:szCs w:val="22"/>
        </w:rPr>
        <w:t xml:space="preserve">of </w:t>
      </w:r>
      <w:r w:rsidR="00AA13C3">
        <w:rPr>
          <w:rFonts w:cs="Arial"/>
          <w:szCs w:val="22"/>
        </w:rPr>
        <w:t xml:space="preserve">a </w:t>
      </w:r>
      <w:r w:rsidR="00AA13C3" w:rsidRPr="00296A7F">
        <w:rPr>
          <w:rFonts w:cs="Arial"/>
          <w:szCs w:val="22"/>
        </w:rPr>
        <w:t xml:space="preserve">Relevant Pass Through Event within 90 </w:t>
      </w:r>
      <w:r w:rsidR="00AA13C3">
        <w:rPr>
          <w:rFonts w:cs="Arial"/>
          <w:szCs w:val="22"/>
        </w:rPr>
        <w:t>B</w:t>
      </w:r>
      <w:r w:rsidR="00AA13C3" w:rsidRPr="00296A7F">
        <w:rPr>
          <w:rFonts w:cs="Arial"/>
          <w:szCs w:val="22"/>
        </w:rPr>
        <w:t xml:space="preserve">usiness </w:t>
      </w:r>
      <w:r w:rsidR="00AA13C3">
        <w:rPr>
          <w:rFonts w:cs="Arial"/>
          <w:szCs w:val="22"/>
        </w:rPr>
        <w:t>D</w:t>
      </w:r>
      <w:r w:rsidR="00AA13C3" w:rsidRPr="00296A7F">
        <w:rPr>
          <w:rFonts w:cs="Arial"/>
          <w:szCs w:val="22"/>
        </w:rPr>
        <w:t xml:space="preserve">ays of the </w:t>
      </w:r>
      <w:r w:rsidR="00AA13C3">
        <w:rPr>
          <w:rFonts w:cs="Arial"/>
          <w:szCs w:val="22"/>
        </w:rPr>
        <w:t>R</w:t>
      </w:r>
      <w:r w:rsidR="00AA13C3" w:rsidRPr="00296A7F">
        <w:rPr>
          <w:rFonts w:cs="Arial"/>
          <w:szCs w:val="22"/>
        </w:rPr>
        <w:t xml:space="preserve">elevant </w:t>
      </w:r>
      <w:r w:rsidR="00AA13C3">
        <w:rPr>
          <w:rFonts w:cs="Arial"/>
          <w:szCs w:val="22"/>
        </w:rPr>
        <w:t>P</w:t>
      </w:r>
      <w:r w:rsidR="00AA13C3" w:rsidRPr="00296A7F">
        <w:rPr>
          <w:rFonts w:cs="Arial"/>
          <w:szCs w:val="22"/>
        </w:rPr>
        <w:t xml:space="preserve">ass </w:t>
      </w:r>
      <w:r w:rsidR="00AA13C3">
        <w:rPr>
          <w:rFonts w:cs="Arial"/>
          <w:szCs w:val="22"/>
        </w:rPr>
        <w:t>T</w:t>
      </w:r>
      <w:r w:rsidR="00AA13C3" w:rsidRPr="00296A7F">
        <w:rPr>
          <w:rFonts w:cs="Arial"/>
          <w:szCs w:val="22"/>
        </w:rPr>
        <w:t xml:space="preserve">hrough </w:t>
      </w:r>
      <w:r w:rsidR="00AA13C3">
        <w:rPr>
          <w:rFonts w:cs="Arial"/>
          <w:szCs w:val="22"/>
        </w:rPr>
        <w:t>E</w:t>
      </w:r>
      <w:r w:rsidR="00AA13C3" w:rsidRPr="00296A7F">
        <w:rPr>
          <w:rFonts w:cs="Arial"/>
          <w:szCs w:val="22"/>
        </w:rPr>
        <w:t>vent occurring</w:t>
      </w:r>
      <w:r w:rsidR="00AA13C3">
        <w:rPr>
          <w:rFonts w:cs="Arial"/>
          <w:szCs w:val="22"/>
        </w:rPr>
        <w:t xml:space="preserve"> where the costs would lead to a Positive Pass Through Amount and must notify the </w:t>
      </w:r>
      <w:r w:rsidR="00F31C59">
        <w:rPr>
          <w:rFonts w:cs="Arial"/>
          <w:szCs w:val="22"/>
        </w:rPr>
        <w:t xml:space="preserve">Regulator </w:t>
      </w:r>
      <w:r w:rsidR="00AA13C3">
        <w:rPr>
          <w:rFonts w:cs="Arial"/>
          <w:szCs w:val="22"/>
        </w:rPr>
        <w:t xml:space="preserve">of a </w:t>
      </w:r>
      <w:r w:rsidR="00477D0D">
        <w:rPr>
          <w:rFonts w:cs="Arial"/>
          <w:szCs w:val="22"/>
        </w:rPr>
        <w:t>Relevant</w:t>
      </w:r>
      <w:r w:rsidR="00AA13C3">
        <w:rPr>
          <w:rFonts w:cs="Arial"/>
          <w:szCs w:val="22"/>
        </w:rPr>
        <w:t xml:space="preserve"> Pass Through Event within 90 Business Days of the Relevant Pass Through Event occurring where the costs would lead to a Negative Pass Through Amount</w:t>
      </w:r>
      <w:r w:rsidR="00AA13C3" w:rsidRPr="00296A7F">
        <w:rPr>
          <w:rFonts w:cs="Arial"/>
          <w:szCs w:val="22"/>
        </w:rPr>
        <w:t xml:space="preserve">. </w:t>
      </w:r>
    </w:p>
    <w:p w14:paraId="4B3956EF" w14:textId="30CD4338" w:rsidR="00AA13C3" w:rsidRDefault="00B75833" w:rsidP="006111DF">
      <w:pPr>
        <w:spacing w:afterLines="60" w:after="144"/>
        <w:ind w:left="720" w:hanging="720"/>
        <w:rPr>
          <w:rFonts w:cs="Arial"/>
          <w:szCs w:val="22"/>
        </w:rPr>
      </w:pPr>
      <w:r>
        <w:rPr>
          <w:rFonts w:cs="Arial"/>
          <w:szCs w:val="22"/>
        </w:rPr>
        <w:t>(b)</w:t>
      </w:r>
      <w:r>
        <w:rPr>
          <w:rFonts w:cs="Arial"/>
          <w:szCs w:val="22"/>
        </w:rPr>
        <w:tab/>
      </w:r>
      <w:r w:rsidR="00AA13C3">
        <w:rPr>
          <w:rFonts w:cs="Arial"/>
          <w:szCs w:val="22"/>
        </w:rPr>
        <w:t>If the Service Provider gives such a notice the</w:t>
      </w:r>
      <w:r w:rsidR="0077656F">
        <w:rPr>
          <w:rFonts w:cs="Arial"/>
          <w:szCs w:val="22"/>
        </w:rPr>
        <w:t>n</w:t>
      </w:r>
      <w:r w:rsidR="00AA13C3">
        <w:rPr>
          <w:rFonts w:cs="Arial"/>
          <w:szCs w:val="22"/>
        </w:rPr>
        <w:t>, w</w:t>
      </w:r>
      <w:r w:rsidR="00AA13C3" w:rsidRPr="00296A7F">
        <w:rPr>
          <w:rFonts w:cs="Arial"/>
          <w:szCs w:val="22"/>
        </w:rPr>
        <w:t xml:space="preserve">hen the costs of the </w:t>
      </w:r>
      <w:r w:rsidR="00AA13C3">
        <w:rPr>
          <w:rFonts w:cs="Arial"/>
          <w:szCs w:val="22"/>
        </w:rPr>
        <w:t>Relevant</w:t>
      </w:r>
      <w:r w:rsidR="00AA13C3" w:rsidRPr="00296A7F">
        <w:rPr>
          <w:rFonts w:cs="Arial"/>
          <w:szCs w:val="22"/>
        </w:rPr>
        <w:t xml:space="preserve"> Pass Through Event incurred are known (or able to be estimated to a reasonable extent), then those costs shall be notified to the AER. When making a notification to the AER, </w:t>
      </w:r>
      <w:r w:rsidR="00AA13C3">
        <w:rPr>
          <w:rFonts w:cs="Arial"/>
          <w:szCs w:val="22"/>
        </w:rPr>
        <w:t>the Service Provider</w:t>
      </w:r>
      <w:r w:rsidR="00AA13C3" w:rsidRPr="00296A7F">
        <w:rPr>
          <w:rFonts w:cs="Arial"/>
          <w:szCs w:val="22"/>
        </w:rPr>
        <w:t xml:space="preserve"> will provide the </w:t>
      </w:r>
      <w:r w:rsidR="00F31C59">
        <w:rPr>
          <w:rFonts w:cs="Arial"/>
          <w:szCs w:val="22"/>
        </w:rPr>
        <w:t xml:space="preserve">Regulator </w:t>
      </w:r>
      <w:r w:rsidR="00AA13C3" w:rsidRPr="00296A7F">
        <w:rPr>
          <w:rFonts w:cs="Arial"/>
          <w:szCs w:val="22"/>
        </w:rPr>
        <w:t xml:space="preserve">with a statement, signed by an authorised officer of </w:t>
      </w:r>
      <w:r w:rsidR="00AA13C3">
        <w:rPr>
          <w:rFonts w:cs="Arial"/>
          <w:szCs w:val="22"/>
        </w:rPr>
        <w:t>the Service Provider</w:t>
      </w:r>
      <w:r w:rsidR="00AA13C3" w:rsidRPr="00296A7F">
        <w:rPr>
          <w:rFonts w:cs="Arial"/>
          <w:szCs w:val="22"/>
        </w:rPr>
        <w:t xml:space="preserve">, verifying that the costs of </w:t>
      </w:r>
      <w:r w:rsidR="00AA13C3">
        <w:rPr>
          <w:rFonts w:cs="Arial"/>
          <w:szCs w:val="22"/>
        </w:rPr>
        <w:t>the</w:t>
      </w:r>
      <w:r w:rsidR="00AA13C3" w:rsidRPr="00296A7F">
        <w:rPr>
          <w:rFonts w:cs="Arial"/>
          <w:szCs w:val="22"/>
        </w:rPr>
        <w:t xml:space="preserve"> </w:t>
      </w:r>
      <w:r w:rsidR="00AA13C3">
        <w:rPr>
          <w:rFonts w:cs="Arial"/>
          <w:szCs w:val="22"/>
        </w:rPr>
        <w:t>Relevant P</w:t>
      </w:r>
      <w:r w:rsidR="00AA13C3" w:rsidRPr="00296A7F">
        <w:rPr>
          <w:rFonts w:cs="Arial"/>
          <w:szCs w:val="22"/>
        </w:rPr>
        <w:t xml:space="preserve">ass </w:t>
      </w:r>
      <w:r w:rsidR="00AA13C3">
        <w:rPr>
          <w:rFonts w:cs="Arial"/>
          <w:szCs w:val="22"/>
        </w:rPr>
        <w:t>T</w:t>
      </w:r>
      <w:r w:rsidR="00AA13C3" w:rsidRPr="00296A7F">
        <w:rPr>
          <w:rFonts w:cs="Arial"/>
          <w:szCs w:val="22"/>
        </w:rPr>
        <w:t xml:space="preserve">hrough </w:t>
      </w:r>
      <w:r w:rsidR="00AA13C3">
        <w:rPr>
          <w:rFonts w:cs="Arial"/>
          <w:szCs w:val="22"/>
        </w:rPr>
        <w:t>E</w:t>
      </w:r>
      <w:r w:rsidR="00AA13C3" w:rsidRPr="00296A7F">
        <w:rPr>
          <w:rFonts w:cs="Arial"/>
          <w:szCs w:val="22"/>
        </w:rPr>
        <w:t>vent are net of any payments made by an insurer or third party which partially or wholly offsets the financial impact of that event (including self insurance).</w:t>
      </w:r>
      <w:r w:rsidR="00CF5A5A" w:rsidRPr="00CF5A5A">
        <w:rPr>
          <w:rFonts w:cs="Arial"/>
          <w:szCs w:val="22"/>
        </w:rPr>
        <w:t xml:space="preserve"> </w:t>
      </w:r>
    </w:p>
    <w:p w14:paraId="44086E21" w14:textId="39FA2E1A" w:rsidR="00F75A1F" w:rsidRDefault="00B75833" w:rsidP="006111DF">
      <w:pPr>
        <w:spacing w:afterLines="60" w:after="144"/>
        <w:ind w:left="720" w:hanging="720"/>
        <w:rPr>
          <w:rFonts w:cs="Arial"/>
          <w:szCs w:val="22"/>
        </w:rPr>
      </w:pPr>
      <w:r>
        <w:rPr>
          <w:rFonts w:cs="Arial"/>
          <w:szCs w:val="22"/>
        </w:rPr>
        <w:t>(c)</w:t>
      </w:r>
      <w:r>
        <w:rPr>
          <w:rFonts w:cs="Arial"/>
          <w:szCs w:val="22"/>
        </w:rPr>
        <w:tab/>
      </w:r>
      <w:r w:rsidR="00AA13C3" w:rsidRPr="00296A7F">
        <w:rPr>
          <w:rFonts w:cs="Arial"/>
          <w:szCs w:val="22"/>
        </w:rPr>
        <w:t xml:space="preserve">The </w:t>
      </w:r>
      <w:r w:rsidR="00F31C59">
        <w:rPr>
          <w:rFonts w:cs="Arial"/>
          <w:szCs w:val="22"/>
        </w:rPr>
        <w:t xml:space="preserve">Regulator </w:t>
      </w:r>
      <w:r w:rsidR="00AA13C3" w:rsidRPr="00296A7F">
        <w:rPr>
          <w:rFonts w:cs="Arial"/>
          <w:szCs w:val="22"/>
        </w:rPr>
        <w:t xml:space="preserve">must notify </w:t>
      </w:r>
      <w:r w:rsidR="00AA13C3">
        <w:rPr>
          <w:rFonts w:cs="Arial"/>
          <w:szCs w:val="22"/>
        </w:rPr>
        <w:t>the Service Provider</w:t>
      </w:r>
      <w:r w:rsidR="00AA13C3" w:rsidRPr="00296A7F">
        <w:rPr>
          <w:rFonts w:cs="Arial"/>
          <w:szCs w:val="22"/>
        </w:rPr>
        <w:t xml:space="preserve"> of its decision to approve or reject the proposed variations </w:t>
      </w:r>
      <w:r w:rsidR="00AA13C3">
        <w:rPr>
          <w:rFonts w:cs="Arial"/>
          <w:szCs w:val="22"/>
        </w:rPr>
        <w:t xml:space="preserve">to its Reference Tariffs </w:t>
      </w:r>
      <w:r w:rsidR="00AA13C3" w:rsidRPr="00296A7F">
        <w:rPr>
          <w:rFonts w:cs="Arial"/>
          <w:szCs w:val="22"/>
        </w:rPr>
        <w:t xml:space="preserve">within </w:t>
      </w:r>
      <w:r w:rsidR="00FA7284">
        <w:rPr>
          <w:rFonts w:cs="Arial"/>
          <w:szCs w:val="22"/>
        </w:rPr>
        <w:t>90</w:t>
      </w:r>
      <w:r w:rsidR="00FA7284" w:rsidRPr="00296A7F">
        <w:rPr>
          <w:rFonts w:cs="Arial"/>
          <w:szCs w:val="22"/>
        </w:rPr>
        <w:t xml:space="preserve"> </w:t>
      </w:r>
      <w:r w:rsidR="00AA13C3" w:rsidRPr="00296A7F">
        <w:rPr>
          <w:rFonts w:cs="Arial"/>
          <w:szCs w:val="22"/>
        </w:rPr>
        <w:t xml:space="preserve">Business Days </w:t>
      </w:r>
      <w:r w:rsidR="00C51A6D">
        <w:rPr>
          <w:rFonts w:cs="Arial"/>
          <w:szCs w:val="22"/>
        </w:rPr>
        <w:t xml:space="preserve">from the later </w:t>
      </w:r>
      <w:r w:rsidR="00AA13C3" w:rsidRPr="00296A7F">
        <w:rPr>
          <w:rFonts w:cs="Arial"/>
          <w:szCs w:val="22"/>
        </w:rPr>
        <w:t xml:space="preserve">of </w:t>
      </w:r>
      <w:r w:rsidR="00C51A6D">
        <w:rPr>
          <w:rFonts w:cs="Arial"/>
          <w:szCs w:val="22"/>
        </w:rPr>
        <w:t>the</w:t>
      </w:r>
      <w:r w:rsidR="00AA13C3" w:rsidRPr="00296A7F">
        <w:rPr>
          <w:rFonts w:cs="Arial"/>
          <w:szCs w:val="22"/>
        </w:rPr>
        <w:t xml:space="preserve"> </w:t>
      </w:r>
      <w:r w:rsidR="00C51A6D" w:rsidRPr="00C51A6D">
        <w:rPr>
          <w:rFonts w:cs="Arial"/>
          <w:szCs w:val="22"/>
        </w:rPr>
        <w:t xml:space="preserve">date it receives the </w:t>
      </w:r>
      <w:r w:rsidR="00C51A6D" w:rsidRPr="00C51A6D">
        <w:rPr>
          <w:rFonts w:cs="Arial"/>
          <w:iCs/>
          <w:szCs w:val="22"/>
        </w:rPr>
        <w:t xml:space="preserve">Service Provider’s </w:t>
      </w:r>
      <w:r w:rsidR="00C51A6D">
        <w:rPr>
          <w:rFonts w:cs="Arial"/>
          <w:iCs/>
          <w:szCs w:val="22"/>
        </w:rPr>
        <w:t>st</w:t>
      </w:r>
      <w:r w:rsidR="00C51A6D" w:rsidRPr="00C51A6D">
        <w:rPr>
          <w:rFonts w:cs="Arial"/>
          <w:szCs w:val="22"/>
        </w:rPr>
        <w:t xml:space="preserve">atement </w:t>
      </w:r>
      <w:r w:rsidR="00C51A6D">
        <w:rPr>
          <w:rFonts w:cs="Arial"/>
          <w:szCs w:val="22"/>
        </w:rPr>
        <w:t>above</w:t>
      </w:r>
      <w:r w:rsidR="00C51A6D" w:rsidRPr="00C51A6D">
        <w:rPr>
          <w:rFonts w:cs="Arial"/>
          <w:szCs w:val="22"/>
        </w:rPr>
        <w:t xml:space="preserve">, and the date it receives any additional information required </w:t>
      </w:r>
      <w:r w:rsidR="00C51A6D">
        <w:rPr>
          <w:rFonts w:cs="Arial"/>
          <w:szCs w:val="22"/>
        </w:rPr>
        <w:t xml:space="preserve">by the </w:t>
      </w:r>
      <w:r w:rsidR="00F31C59">
        <w:rPr>
          <w:rFonts w:cs="Arial"/>
          <w:szCs w:val="22"/>
        </w:rPr>
        <w:t>Regulator</w:t>
      </w:r>
      <w:r w:rsidR="00C51A6D">
        <w:rPr>
          <w:rFonts w:cs="Arial"/>
          <w:szCs w:val="22"/>
        </w:rPr>
        <w:t>.</w:t>
      </w:r>
      <w:r w:rsidR="00F75A1F" w:rsidRPr="00F75A1F">
        <w:rPr>
          <w:rFonts w:cs="Arial"/>
          <w:szCs w:val="22"/>
        </w:rPr>
        <w:t xml:space="preserve"> </w:t>
      </w:r>
      <w:r w:rsidR="00F75A1F">
        <w:rPr>
          <w:rFonts w:cs="Arial"/>
          <w:szCs w:val="22"/>
        </w:rPr>
        <w:t xml:space="preserve">The Service Provider </w:t>
      </w:r>
      <w:r w:rsidR="00F75A1F" w:rsidRPr="00C51A6D">
        <w:rPr>
          <w:rFonts w:cs="Arial"/>
          <w:szCs w:val="22"/>
        </w:rPr>
        <w:t xml:space="preserve">must provide the </w:t>
      </w:r>
      <w:r w:rsidR="00F31C59">
        <w:rPr>
          <w:rFonts w:cs="Arial"/>
          <w:szCs w:val="22"/>
        </w:rPr>
        <w:t xml:space="preserve">Regulator </w:t>
      </w:r>
      <w:r w:rsidR="00F75A1F" w:rsidRPr="00C51A6D">
        <w:rPr>
          <w:rFonts w:cs="Arial"/>
          <w:szCs w:val="22"/>
        </w:rPr>
        <w:t xml:space="preserve">with such additional information as the </w:t>
      </w:r>
      <w:r w:rsidR="00F31C59">
        <w:rPr>
          <w:rFonts w:cs="Arial"/>
          <w:szCs w:val="22"/>
        </w:rPr>
        <w:t xml:space="preserve">Regulator </w:t>
      </w:r>
      <w:r w:rsidR="00F75A1F">
        <w:rPr>
          <w:rFonts w:cs="Arial"/>
          <w:iCs/>
          <w:szCs w:val="22"/>
        </w:rPr>
        <w:t>reasonably</w:t>
      </w:r>
      <w:r w:rsidR="00F75A1F" w:rsidRPr="00C51A6D">
        <w:rPr>
          <w:rFonts w:cs="Arial"/>
          <w:i/>
          <w:iCs/>
          <w:szCs w:val="22"/>
        </w:rPr>
        <w:t xml:space="preserve"> </w:t>
      </w:r>
      <w:r w:rsidR="00F75A1F" w:rsidRPr="00C51A6D">
        <w:rPr>
          <w:rFonts w:cs="Arial"/>
          <w:szCs w:val="22"/>
        </w:rPr>
        <w:t xml:space="preserve">requires for the purpose of making a determination under </w:t>
      </w:r>
      <w:r w:rsidR="00F75A1F">
        <w:rPr>
          <w:rFonts w:cs="Arial"/>
          <w:szCs w:val="22"/>
        </w:rPr>
        <w:t>this clause 8</w:t>
      </w:r>
      <w:r w:rsidR="00F75A1F" w:rsidRPr="00C51A6D">
        <w:rPr>
          <w:rFonts w:cs="Arial"/>
          <w:szCs w:val="22"/>
        </w:rPr>
        <w:t xml:space="preserve"> within the time </w:t>
      </w:r>
      <w:r w:rsidR="00133A37">
        <w:rPr>
          <w:rFonts w:cs="Arial"/>
          <w:szCs w:val="22"/>
        </w:rPr>
        <w:t xml:space="preserve">reasonably </w:t>
      </w:r>
      <w:r w:rsidR="00F75A1F" w:rsidRPr="00C51A6D">
        <w:rPr>
          <w:rFonts w:cs="Arial"/>
          <w:szCs w:val="22"/>
        </w:rPr>
        <w:t xml:space="preserve">specified by the </w:t>
      </w:r>
      <w:r w:rsidR="00F31C59">
        <w:rPr>
          <w:rFonts w:cs="Arial"/>
          <w:szCs w:val="22"/>
        </w:rPr>
        <w:t xml:space="preserve">Regulator </w:t>
      </w:r>
      <w:r w:rsidR="00F75A1F" w:rsidRPr="00C51A6D">
        <w:rPr>
          <w:rFonts w:cs="Arial"/>
          <w:szCs w:val="22"/>
        </w:rPr>
        <w:t>in a notice provided to the</w:t>
      </w:r>
      <w:r w:rsidR="00F75A1F">
        <w:rPr>
          <w:rFonts w:cs="Arial"/>
          <w:szCs w:val="22"/>
        </w:rPr>
        <w:t xml:space="preserve"> Service Provider </w:t>
      </w:r>
      <w:r w:rsidR="00F75A1F" w:rsidRPr="00C51A6D">
        <w:rPr>
          <w:rFonts w:cs="Arial"/>
          <w:szCs w:val="22"/>
        </w:rPr>
        <w:t xml:space="preserve">by the </w:t>
      </w:r>
      <w:r w:rsidR="00F31C59">
        <w:rPr>
          <w:rFonts w:cs="Arial"/>
          <w:szCs w:val="22"/>
        </w:rPr>
        <w:t xml:space="preserve">Regulator </w:t>
      </w:r>
      <w:r w:rsidR="00F75A1F" w:rsidRPr="00C51A6D">
        <w:rPr>
          <w:rFonts w:cs="Arial"/>
          <w:szCs w:val="22"/>
        </w:rPr>
        <w:t xml:space="preserve">for that purpose. </w:t>
      </w:r>
      <w:r w:rsidR="00F75A1F">
        <w:rPr>
          <w:rFonts w:cs="Arial"/>
          <w:szCs w:val="22"/>
        </w:rPr>
        <w:t xml:space="preserve"> </w:t>
      </w:r>
    </w:p>
    <w:p w14:paraId="48384F1B" w14:textId="1CDF2331" w:rsidR="00C51A6D" w:rsidRDefault="00B75833" w:rsidP="006111DF">
      <w:pPr>
        <w:spacing w:afterLines="60" w:after="144"/>
        <w:ind w:left="720" w:hanging="720"/>
        <w:rPr>
          <w:rFonts w:cs="Arial"/>
          <w:szCs w:val="22"/>
        </w:rPr>
      </w:pPr>
      <w:r>
        <w:rPr>
          <w:rFonts w:cs="Arial"/>
          <w:szCs w:val="22"/>
        </w:rPr>
        <w:t>(d)</w:t>
      </w:r>
      <w:r>
        <w:rPr>
          <w:rFonts w:cs="Arial"/>
          <w:szCs w:val="22"/>
        </w:rPr>
        <w:tab/>
      </w:r>
      <w:r w:rsidR="009C4083" w:rsidRPr="009C4083">
        <w:rPr>
          <w:rFonts w:cs="Arial"/>
          <w:szCs w:val="22"/>
        </w:rPr>
        <w:t>If the</w:t>
      </w:r>
      <w:r w:rsidR="009C4083">
        <w:rPr>
          <w:rFonts w:cs="Arial"/>
          <w:szCs w:val="22"/>
        </w:rPr>
        <w:t xml:space="preserve"> </w:t>
      </w:r>
      <w:r w:rsidR="00F31C59">
        <w:rPr>
          <w:rFonts w:cs="Arial"/>
          <w:szCs w:val="22"/>
        </w:rPr>
        <w:t xml:space="preserve">Regulator </w:t>
      </w:r>
      <w:r w:rsidR="009C4083" w:rsidRPr="009C4083">
        <w:rPr>
          <w:rFonts w:cs="Arial"/>
          <w:szCs w:val="22"/>
        </w:rPr>
        <w:t xml:space="preserve">is satisfied that the making of a determination </w:t>
      </w:r>
      <w:r w:rsidR="00F75A1F">
        <w:rPr>
          <w:rFonts w:cs="Arial"/>
          <w:szCs w:val="22"/>
        </w:rPr>
        <w:t xml:space="preserve">in respect of a Relevant Pass Through Event </w:t>
      </w:r>
      <w:r w:rsidR="009C4083" w:rsidRPr="009C4083">
        <w:rPr>
          <w:rFonts w:cs="Arial"/>
          <w:szCs w:val="22"/>
        </w:rPr>
        <w:t xml:space="preserve">involves issues of such complexity or difficulty that the </w:t>
      </w:r>
      <w:r w:rsidR="009C4083">
        <w:rPr>
          <w:rFonts w:cs="Arial"/>
          <w:szCs w:val="22"/>
        </w:rPr>
        <w:t xml:space="preserve">40 Business Day </w:t>
      </w:r>
      <w:r w:rsidR="009C4083" w:rsidRPr="009C4083">
        <w:rPr>
          <w:rFonts w:cs="Arial"/>
          <w:szCs w:val="22"/>
        </w:rPr>
        <w:t xml:space="preserve">time limit should be extended, </w:t>
      </w:r>
      <w:r w:rsidR="009C4083">
        <w:rPr>
          <w:rFonts w:cs="Arial"/>
          <w:szCs w:val="22"/>
        </w:rPr>
        <w:t>t</w:t>
      </w:r>
      <w:r w:rsidR="00AA13C3" w:rsidRPr="00234138">
        <w:rPr>
          <w:rFonts w:cs="Arial"/>
          <w:szCs w:val="22"/>
        </w:rPr>
        <w:t xml:space="preserve">he </w:t>
      </w:r>
      <w:r w:rsidR="00F31C59">
        <w:rPr>
          <w:rFonts w:cs="Arial"/>
          <w:szCs w:val="22"/>
        </w:rPr>
        <w:t xml:space="preserve">Regulator </w:t>
      </w:r>
      <w:r w:rsidR="00AA13C3">
        <w:rPr>
          <w:rFonts w:cs="Arial"/>
          <w:szCs w:val="22"/>
        </w:rPr>
        <w:t>may</w:t>
      </w:r>
      <w:r w:rsidR="00AA13C3" w:rsidRPr="00234138">
        <w:rPr>
          <w:rFonts w:cs="Arial"/>
          <w:szCs w:val="22"/>
        </w:rPr>
        <w:t xml:space="preserve">, by written notice to </w:t>
      </w:r>
      <w:r w:rsidR="00AA13C3">
        <w:rPr>
          <w:rFonts w:cs="Arial"/>
          <w:szCs w:val="22"/>
        </w:rPr>
        <w:t>the Service Provider,</w:t>
      </w:r>
      <w:r w:rsidR="00AA13C3" w:rsidRPr="00234138">
        <w:rPr>
          <w:rFonts w:cs="Arial"/>
          <w:szCs w:val="22"/>
        </w:rPr>
        <w:t xml:space="preserve"> extend </w:t>
      </w:r>
      <w:r w:rsidR="00AA13C3">
        <w:rPr>
          <w:rFonts w:cs="Arial"/>
          <w:szCs w:val="22"/>
        </w:rPr>
        <w:t>the</w:t>
      </w:r>
      <w:r w:rsidR="00AA13C3" w:rsidRPr="00234138">
        <w:rPr>
          <w:rFonts w:cs="Arial"/>
          <w:szCs w:val="22"/>
        </w:rPr>
        <w:t xml:space="preserve"> time limit </w:t>
      </w:r>
      <w:r w:rsidR="009C4083" w:rsidRPr="009C4083">
        <w:rPr>
          <w:rFonts w:cs="Arial"/>
          <w:szCs w:val="22"/>
        </w:rPr>
        <w:t xml:space="preserve">by a further period of up to 60 </w:t>
      </w:r>
      <w:r w:rsidR="009C4083">
        <w:rPr>
          <w:rFonts w:cs="Arial"/>
          <w:szCs w:val="22"/>
        </w:rPr>
        <w:t>Business Days</w:t>
      </w:r>
      <w:r w:rsidR="00AA13C3" w:rsidRPr="00234138">
        <w:rPr>
          <w:rFonts w:cs="Arial"/>
          <w:szCs w:val="22"/>
        </w:rPr>
        <w:t xml:space="preserve">. </w:t>
      </w:r>
      <w:r w:rsidR="00AA13C3" w:rsidRPr="00296A7F">
        <w:rPr>
          <w:rFonts w:cs="Arial"/>
          <w:szCs w:val="22"/>
        </w:rPr>
        <w:t xml:space="preserve"> </w:t>
      </w:r>
      <w:r w:rsidR="00AA13C3">
        <w:rPr>
          <w:rFonts w:cs="Arial"/>
          <w:szCs w:val="22"/>
        </w:rPr>
        <w:t xml:space="preserve">The </w:t>
      </w:r>
      <w:r w:rsidR="00F31C59">
        <w:rPr>
          <w:rFonts w:cs="Arial"/>
          <w:szCs w:val="22"/>
        </w:rPr>
        <w:t xml:space="preserve">Regulator </w:t>
      </w:r>
      <w:r w:rsidR="009C4083">
        <w:rPr>
          <w:rFonts w:cs="Arial"/>
          <w:szCs w:val="22"/>
        </w:rPr>
        <w:t xml:space="preserve">must </w:t>
      </w:r>
      <w:r w:rsidR="009C4083" w:rsidRPr="009C4083">
        <w:rPr>
          <w:rFonts w:cs="Arial"/>
          <w:szCs w:val="22"/>
        </w:rPr>
        <w:t xml:space="preserve">give written notice to the </w:t>
      </w:r>
      <w:r w:rsidR="009C4083" w:rsidRPr="009C4083">
        <w:rPr>
          <w:rFonts w:cs="Arial"/>
          <w:iCs/>
          <w:szCs w:val="22"/>
        </w:rPr>
        <w:t>Service Provider</w:t>
      </w:r>
      <w:r w:rsidR="009C4083" w:rsidRPr="009C4083">
        <w:rPr>
          <w:rFonts w:cs="Arial"/>
          <w:i/>
          <w:iCs/>
          <w:szCs w:val="22"/>
        </w:rPr>
        <w:t xml:space="preserve"> </w:t>
      </w:r>
      <w:r w:rsidR="009C4083" w:rsidRPr="009C4083">
        <w:rPr>
          <w:rFonts w:cs="Arial"/>
          <w:szCs w:val="22"/>
        </w:rPr>
        <w:t xml:space="preserve">of that extension not later than 10 </w:t>
      </w:r>
      <w:r w:rsidR="009C4083">
        <w:rPr>
          <w:rFonts w:cs="Arial"/>
          <w:szCs w:val="22"/>
        </w:rPr>
        <w:t>Business Days b</w:t>
      </w:r>
      <w:r w:rsidR="009C4083" w:rsidRPr="009C4083">
        <w:rPr>
          <w:rFonts w:cs="Arial"/>
          <w:szCs w:val="22"/>
        </w:rPr>
        <w:t>efore the expiry of th</w:t>
      </w:r>
      <w:r w:rsidR="009C4083">
        <w:rPr>
          <w:rFonts w:cs="Arial"/>
          <w:szCs w:val="22"/>
        </w:rPr>
        <w:t>e 40 Business Day</w:t>
      </w:r>
      <w:r w:rsidR="009C4083" w:rsidRPr="009C4083">
        <w:rPr>
          <w:rFonts w:cs="Arial"/>
          <w:szCs w:val="22"/>
        </w:rPr>
        <w:t xml:space="preserve"> time limit</w:t>
      </w:r>
      <w:r w:rsidR="009C4083">
        <w:rPr>
          <w:rFonts w:cs="Arial"/>
          <w:szCs w:val="22"/>
        </w:rPr>
        <w:t xml:space="preserve"> a</w:t>
      </w:r>
      <w:r w:rsidR="00F75A1F">
        <w:rPr>
          <w:rFonts w:cs="Arial"/>
          <w:szCs w:val="22"/>
        </w:rPr>
        <w:t>n</w:t>
      </w:r>
      <w:r w:rsidR="009C4083">
        <w:rPr>
          <w:rFonts w:cs="Arial"/>
          <w:szCs w:val="22"/>
        </w:rPr>
        <w:t xml:space="preserve">d such notice must </w:t>
      </w:r>
      <w:r w:rsidR="00AA13C3" w:rsidRPr="00411F8C">
        <w:rPr>
          <w:rFonts w:cs="Arial"/>
          <w:szCs w:val="22"/>
        </w:rPr>
        <w:t>set out the length of the extension and the reason the extension is required.</w:t>
      </w:r>
      <w:r w:rsidR="00AA13C3">
        <w:rPr>
          <w:rFonts w:cs="Arial"/>
          <w:szCs w:val="22"/>
        </w:rPr>
        <w:t xml:space="preserve"> </w:t>
      </w:r>
    </w:p>
    <w:p w14:paraId="287139C2" w14:textId="3755CC8B" w:rsidR="00AA13C3" w:rsidRDefault="00B75833" w:rsidP="006111DF">
      <w:pPr>
        <w:spacing w:afterLines="60" w:after="144"/>
        <w:ind w:left="720" w:hanging="720"/>
        <w:rPr>
          <w:rFonts w:cs="Arial"/>
          <w:szCs w:val="22"/>
        </w:rPr>
      </w:pPr>
      <w:r>
        <w:rPr>
          <w:rFonts w:cs="Arial"/>
          <w:szCs w:val="22"/>
        </w:rPr>
        <w:t>(e)</w:t>
      </w:r>
      <w:r>
        <w:rPr>
          <w:rFonts w:cs="Arial"/>
          <w:szCs w:val="22"/>
        </w:rPr>
        <w:tab/>
      </w:r>
      <w:r w:rsidR="00AA13C3" w:rsidRPr="00296A7F">
        <w:rPr>
          <w:rFonts w:cs="Arial"/>
          <w:szCs w:val="22"/>
        </w:rPr>
        <w:t xml:space="preserve">Subject to the approval of the </w:t>
      </w:r>
      <w:r w:rsidR="00F31C59">
        <w:rPr>
          <w:rFonts w:cs="Arial"/>
          <w:szCs w:val="22"/>
        </w:rPr>
        <w:t xml:space="preserve">Regulator </w:t>
      </w:r>
      <w:r w:rsidR="00AA13C3" w:rsidRPr="00296A7F">
        <w:rPr>
          <w:rFonts w:cs="Arial"/>
          <w:szCs w:val="22"/>
        </w:rPr>
        <w:t>under the NGR, Reference Tariffs may be varied after one or more Relevant Pass Through Event</w:t>
      </w:r>
      <w:r w:rsidR="00AA13C3">
        <w:rPr>
          <w:rFonts w:cs="Arial"/>
          <w:szCs w:val="22"/>
        </w:rPr>
        <w:t>(</w:t>
      </w:r>
      <w:r w:rsidR="00AA13C3" w:rsidRPr="00296A7F">
        <w:rPr>
          <w:rFonts w:cs="Arial"/>
          <w:szCs w:val="22"/>
        </w:rPr>
        <w:t>s</w:t>
      </w:r>
      <w:r w:rsidR="00AA13C3">
        <w:rPr>
          <w:rFonts w:cs="Arial"/>
          <w:szCs w:val="22"/>
        </w:rPr>
        <w:t>)</w:t>
      </w:r>
      <w:r w:rsidR="00AA13C3" w:rsidRPr="00296A7F">
        <w:rPr>
          <w:rFonts w:cs="Arial"/>
          <w:szCs w:val="22"/>
        </w:rPr>
        <w:t xml:space="preserve"> occurs. </w:t>
      </w:r>
    </w:p>
    <w:p w14:paraId="696E4C19" w14:textId="72402CA3" w:rsidR="00AA13C3" w:rsidRPr="00296A7F" w:rsidRDefault="00B75833" w:rsidP="00744E5C">
      <w:pPr>
        <w:spacing w:afterLines="60" w:after="144"/>
        <w:ind w:left="720" w:hanging="720"/>
      </w:pPr>
      <w:r>
        <w:lastRenderedPageBreak/>
        <w:t>(f)</w:t>
      </w:r>
      <w:r>
        <w:tab/>
      </w:r>
      <w:r w:rsidR="00AA13C3" w:rsidRPr="00296A7F">
        <w:t xml:space="preserve">Any such variation will take effect from the next 1 January. In making its decision on whether to approve the </w:t>
      </w:r>
      <w:r w:rsidR="00AA13C3" w:rsidRPr="00744E5C">
        <w:rPr>
          <w:rFonts w:cs="Arial"/>
          <w:szCs w:val="22"/>
        </w:rPr>
        <w:t>proposed</w:t>
      </w:r>
      <w:r w:rsidR="00AA13C3" w:rsidRPr="00296A7F">
        <w:t xml:space="preserve"> Relevant Pass Through Event variation, the </w:t>
      </w:r>
      <w:r w:rsidR="00F31C59">
        <w:t xml:space="preserve">Regulator </w:t>
      </w:r>
      <w:r w:rsidR="00AA13C3" w:rsidRPr="00296A7F">
        <w:t>must take into account the following:</w:t>
      </w:r>
    </w:p>
    <w:p w14:paraId="51CA8467" w14:textId="22FD6AEB" w:rsidR="00AA13C3" w:rsidRPr="00B75833" w:rsidRDefault="00AA13C3" w:rsidP="00DE7D71">
      <w:pPr>
        <w:ind w:left="1440" w:hanging="720"/>
      </w:pPr>
      <w:r w:rsidRPr="00296A7F">
        <w:t>(</w:t>
      </w:r>
      <w:r w:rsidR="00B75833">
        <w:t>1</w:t>
      </w:r>
      <w:r w:rsidRPr="00296A7F">
        <w:t>)</w:t>
      </w:r>
      <w:r>
        <w:tab/>
      </w:r>
      <w:r w:rsidRPr="00B75833">
        <w:t>whether the costs to be passed through are for the delivery of Pipeline Services;</w:t>
      </w:r>
    </w:p>
    <w:p w14:paraId="61B0FBBB" w14:textId="6EFB7D07" w:rsidR="00AA13C3" w:rsidRPr="00B75833" w:rsidRDefault="00AA13C3" w:rsidP="00DE7D71">
      <w:pPr>
        <w:ind w:left="1440" w:hanging="720"/>
      </w:pPr>
      <w:r w:rsidRPr="00B75833">
        <w:t>(</w:t>
      </w:r>
      <w:r w:rsidR="00B75833">
        <w:t>2</w:t>
      </w:r>
      <w:r w:rsidRPr="00B75833">
        <w:t>)</w:t>
      </w:r>
      <w:r w:rsidRPr="00B75833">
        <w:tab/>
        <w:t>whether the costs are incremental to costs already allowed for in Reference Tariffs;</w:t>
      </w:r>
    </w:p>
    <w:p w14:paraId="2C4A94A3" w14:textId="40F87692" w:rsidR="00AA13C3" w:rsidRPr="000E3017" w:rsidRDefault="00AA13C3" w:rsidP="00DE7D71">
      <w:pPr>
        <w:ind w:left="1440" w:hanging="720"/>
      </w:pPr>
      <w:r w:rsidRPr="00B75833">
        <w:t>(</w:t>
      </w:r>
      <w:r w:rsidR="00B75833">
        <w:t>3</w:t>
      </w:r>
      <w:r w:rsidRPr="00B75833">
        <w:t>)</w:t>
      </w:r>
      <w:r w:rsidRPr="00B75833">
        <w:tab/>
        <w:t xml:space="preserve">whether the costs to be passed through meet the relevant National Gas Rules criteria for determining the building block for total revenue in determining Reference </w:t>
      </w:r>
      <w:r w:rsidRPr="004B17B3">
        <w:t>Services;</w:t>
      </w:r>
    </w:p>
    <w:p w14:paraId="4115B3D8" w14:textId="16E990CA" w:rsidR="00AA13C3" w:rsidRPr="00D37A39" w:rsidRDefault="00AA13C3" w:rsidP="00DE7D71">
      <w:pPr>
        <w:ind w:left="1440" w:hanging="720"/>
      </w:pPr>
      <w:r w:rsidRPr="00D37A39">
        <w:t>(</w:t>
      </w:r>
      <w:r w:rsidR="00B75833">
        <w:t>4</w:t>
      </w:r>
      <w:r w:rsidRPr="00B75833">
        <w:t>)</w:t>
      </w:r>
      <w:r w:rsidRPr="00B75833">
        <w:tab/>
        <w:t>the efficiency of the Service Provider’s decisions and actions in relation to the risk of the Relevant Pass Through Event occurring, including whether the Service Provider has failed to t</w:t>
      </w:r>
      <w:r w:rsidRPr="004B17B3">
        <w:t xml:space="preserve">ake any action that could reasonably be taken to reduce the magnitude of the costs incurred as a result of the Relevant Pass Through Event and whether </w:t>
      </w:r>
      <w:r w:rsidRPr="000E3017">
        <w:t>the Service Provider</w:t>
      </w:r>
      <w:r w:rsidRPr="00D37A39">
        <w:t xml:space="preserve"> has taken or omitted to take any action where such action or omission has increased the magnitude of the costs; </w:t>
      </w:r>
      <w:r w:rsidR="00FA7284" w:rsidRPr="00D37A39">
        <w:t>and</w:t>
      </w:r>
    </w:p>
    <w:p w14:paraId="5F22F30E" w14:textId="38460658" w:rsidR="00AA13C3" w:rsidRDefault="00AA13C3" w:rsidP="00DE7D71">
      <w:pPr>
        <w:ind w:left="1440" w:hanging="720"/>
      </w:pPr>
      <w:r w:rsidRPr="00D37A39">
        <w:t>(</w:t>
      </w:r>
      <w:r w:rsidR="00B75833">
        <w:t>5</w:t>
      </w:r>
      <w:r w:rsidRPr="00B75833">
        <w:t>)</w:t>
      </w:r>
      <w:r w:rsidRPr="00B75833">
        <w:tab/>
        <w:t>any other</w:t>
      </w:r>
      <w:r w:rsidRPr="00296A7F">
        <w:t xml:space="preserve"> factors the </w:t>
      </w:r>
      <w:r w:rsidR="00F31C59">
        <w:t xml:space="preserve">Regulator </w:t>
      </w:r>
      <w:r w:rsidRPr="00296A7F">
        <w:t xml:space="preserve">considers relevant and consistent with the NGR and NGL. </w:t>
      </w:r>
    </w:p>
    <w:p w14:paraId="78F6D600" w14:textId="77777777" w:rsidR="00AA13C3" w:rsidRPr="00296A7F" w:rsidRDefault="00AA13C3" w:rsidP="00711D19">
      <w:pPr>
        <w:spacing w:afterLines="60" w:after="144"/>
        <w:rPr>
          <w:rFonts w:cs="Arial"/>
          <w:szCs w:val="22"/>
        </w:rPr>
      </w:pPr>
    </w:p>
    <w:bookmarkEnd w:id="175"/>
    <w:p w14:paraId="12A67482" w14:textId="77777777" w:rsidR="003D2487" w:rsidRPr="003D2487" w:rsidRDefault="003D2487" w:rsidP="008A599C">
      <w:pPr>
        <w:pStyle w:val="BodyText"/>
        <w:sectPr w:rsidR="003D2487" w:rsidRPr="003D2487">
          <w:pgSz w:w="11907" w:h="16840" w:code="9"/>
          <w:pgMar w:top="851" w:right="1134" w:bottom="851" w:left="1418" w:header="567" w:footer="567" w:gutter="0"/>
          <w:cols w:space="720"/>
        </w:sectPr>
      </w:pPr>
    </w:p>
    <w:p w14:paraId="3D855808" w14:textId="11461FF8" w:rsidR="009D7ABF" w:rsidRDefault="009D7ABF" w:rsidP="008A599C">
      <w:pPr>
        <w:pStyle w:val="Heading1"/>
      </w:pPr>
      <w:bookmarkStart w:id="176" w:name="_Toc3971534"/>
      <w:bookmarkStart w:id="177" w:name="_Toc469519510"/>
      <w:r>
        <w:lastRenderedPageBreak/>
        <w:t>Haulage Reference Tariffs</w:t>
      </w:r>
      <w:r w:rsidR="003D539F">
        <w:t xml:space="preserve"> – 1 </w:t>
      </w:r>
      <w:bookmarkEnd w:id="176"/>
      <w:r w:rsidR="002F79F6">
        <w:t>January 2018</w:t>
      </w:r>
      <w:bookmarkEnd w:id="177"/>
    </w:p>
    <w:p w14:paraId="3F8F129B" w14:textId="221708B5" w:rsidR="004574EF" w:rsidRPr="004574EF" w:rsidRDefault="00963914" w:rsidP="004574EF">
      <w:pPr>
        <w:pStyle w:val="BodyTextIndent3"/>
        <w:ind w:left="0"/>
      </w:pPr>
      <w:r w:rsidRPr="00963914">
        <w:t xml:space="preserve">The structures and proposed indicative tariff levels for each tariff for the period commencing 1 </w:t>
      </w:r>
      <w:r w:rsidR="004F3D50">
        <w:t>January</w:t>
      </w:r>
      <w:r w:rsidR="00BA375C">
        <w:t xml:space="preserve"> 2018</w:t>
      </w:r>
      <w:r w:rsidRPr="00963914">
        <w:t xml:space="preserve"> are outlined in the following tables.  </w:t>
      </w:r>
      <w:r w:rsidR="00412743">
        <w:t>The Service Provider</w:t>
      </w:r>
      <w:r w:rsidR="00412743" w:rsidRPr="00963914">
        <w:t xml:space="preserve"> reserves the right to revise these tables for the period 1 </w:t>
      </w:r>
      <w:r w:rsidR="00412743">
        <w:t>January 2018</w:t>
      </w:r>
      <w:r w:rsidR="00412743" w:rsidRPr="00963914">
        <w:t xml:space="preserve"> to 31 December </w:t>
      </w:r>
      <w:r w:rsidR="00412743">
        <w:t xml:space="preserve">2018 </w:t>
      </w:r>
      <w:r w:rsidR="00412743" w:rsidRPr="00963914">
        <w:t xml:space="preserve">in accordance with the </w:t>
      </w:r>
      <w:r w:rsidR="00412743">
        <w:t xml:space="preserve">Regulator’s </w:t>
      </w:r>
      <w:r w:rsidR="00412743" w:rsidRPr="00963914">
        <w:t>f</w:t>
      </w:r>
      <w:bookmarkStart w:id="178" w:name="_GoBack"/>
      <w:bookmarkEnd w:id="178"/>
      <w:r w:rsidR="00412743" w:rsidRPr="00963914">
        <w:t>inal decision.</w:t>
      </w:r>
    </w:p>
    <w:p w14:paraId="6EC9AD21" w14:textId="77777777" w:rsidR="009D7ABF" w:rsidRDefault="009D7ABF" w:rsidP="00035B92">
      <w:pPr>
        <w:pStyle w:val="Heading2"/>
      </w:pPr>
      <w:bookmarkStart w:id="179" w:name="_Toc469519511"/>
      <w:r>
        <w:t>Central Zone</w:t>
      </w:r>
      <w:bookmarkEnd w:id="179"/>
    </w:p>
    <w:p w14:paraId="4A03CF9C" w14:textId="77777777" w:rsidR="009D7ABF" w:rsidRDefault="009D7ABF" w:rsidP="00711D19">
      <w:pPr>
        <w:spacing w:afterLines="60" w:after="144"/>
        <w:ind w:left="1134" w:hanging="1134"/>
        <w:rPr>
          <w:rFonts w:cs="Arial"/>
          <w:color w:val="000000"/>
          <w:sz w:val="16"/>
          <w:lang w:val="en-US"/>
        </w:rPr>
      </w:pPr>
      <w:r>
        <w:rPr>
          <w:rFonts w:cs="Arial"/>
          <w:sz w:val="16"/>
        </w:rPr>
        <w:t>Postcodes:</w:t>
      </w:r>
      <w:r>
        <w:rPr>
          <w:rFonts w:cs="Arial"/>
          <w:sz w:val="16"/>
        </w:rPr>
        <w:tab/>
      </w:r>
      <w:r w:rsidR="0002660B" w:rsidRPr="006377FB">
        <w:rPr>
          <w:rFonts w:cs="Arial"/>
          <w:sz w:val="16"/>
          <w:szCs w:val="16"/>
        </w:rPr>
        <w:t>3000, 3008, 3011, 3012, 3013, 3015, 3016, 3018, 3019, 3020, 3021, 3022, 3023, 3024, 3025, 3026, 3027, 3028, 3029, 3030, 3031, 3032, 3033, 3034, 3036, 3037, 3038, 3039, 3040, 3041, 3042, 3043, 3044, 3045, 3046, 3047, 3048, 3049, 3055, 3058, 3059, 3060, 3061, 3062, 3063, 3064, 3073, 3211, 3212, 3214, 3215, 3216, 3217, 3218, 3219, 3220, 3221, 3222, 3223, 3224, 3225, 3226, 3228, 3335, 3337, 3338, 3427, 3428, 3429,</w:t>
      </w:r>
    </w:p>
    <w:p w14:paraId="0F4080FF" w14:textId="77777777" w:rsidR="009D7ABF" w:rsidRDefault="009D7ABF" w:rsidP="008A599C">
      <w:pPr>
        <w:pStyle w:val="BodyText"/>
      </w:pPr>
      <w:r>
        <w:t xml:space="preserve">Tariff </w:t>
      </w:r>
      <w:r w:rsidR="00AB7B51">
        <w:t xml:space="preserve">V Residential </w:t>
      </w:r>
      <w:r>
        <w:t>(</w:t>
      </w:r>
      <w:r>
        <w:rPr>
          <w:color w:val="000000"/>
          <w:lang w:val="en-US"/>
        </w:rPr>
        <w:t>TNVDC)</w:t>
      </w:r>
      <w:r>
        <w:rPr>
          <w:color w:val="000000"/>
          <w:lang w:val="en-US"/>
        </w:rPr>
        <w:tab/>
      </w:r>
      <w:r w:rsidR="00AB7B51">
        <w:rPr>
          <w:color w:val="000000"/>
          <w:lang w:val="en-US"/>
        </w:rPr>
        <w:tab/>
      </w:r>
      <w:r w:rsidR="00AB7B51">
        <w:rPr>
          <w:color w:val="000000"/>
          <w:lang w:val="en-US"/>
        </w:rPr>
        <w:tab/>
      </w:r>
      <w:r w:rsidR="00AB7B51">
        <w:rPr>
          <w:color w:val="000000"/>
          <w:lang w:val="en-US"/>
        </w:rPr>
        <w:tab/>
      </w:r>
      <w:r>
        <w:t xml:space="preserve">Tariff V Non </w:t>
      </w:r>
      <w:r w:rsidR="00AB7B51">
        <w:t>Residential</w:t>
      </w:r>
      <w:r>
        <w:t xml:space="preserve"> (</w:t>
      </w:r>
      <w:r>
        <w:rPr>
          <w:color w:val="000000"/>
          <w:lang w:val="en-US"/>
        </w:rPr>
        <w:t>TNVNC)</w:t>
      </w:r>
    </w:p>
    <w:tbl>
      <w:tblPr>
        <w:tblW w:w="9386" w:type="dxa"/>
        <w:tblLayout w:type="fixed"/>
        <w:tblCellMar>
          <w:left w:w="30" w:type="dxa"/>
          <w:right w:w="30" w:type="dxa"/>
        </w:tblCellMar>
        <w:tblLook w:val="0000" w:firstRow="0" w:lastRow="0" w:firstColumn="0" w:lastColumn="0" w:noHBand="0" w:noVBand="0"/>
      </w:tblPr>
      <w:tblGrid>
        <w:gridCol w:w="1590"/>
        <w:gridCol w:w="1701"/>
        <w:gridCol w:w="1695"/>
        <w:gridCol w:w="147"/>
        <w:gridCol w:w="1560"/>
        <w:gridCol w:w="1417"/>
        <w:gridCol w:w="1276"/>
      </w:tblGrid>
      <w:tr w:rsidR="0002660B" w14:paraId="4C3A5259" w14:textId="77777777" w:rsidTr="00F67895">
        <w:trPr>
          <w:trHeight w:val="311"/>
        </w:trPr>
        <w:tc>
          <w:tcPr>
            <w:tcW w:w="3291" w:type="dxa"/>
            <w:gridSpan w:val="2"/>
            <w:tcBorders>
              <w:top w:val="single" w:sz="6" w:space="0" w:color="auto"/>
              <w:left w:val="single" w:sz="6" w:space="0" w:color="auto"/>
              <w:bottom w:val="single" w:sz="6" w:space="0" w:color="auto"/>
            </w:tcBorders>
            <w:vAlign w:val="center"/>
          </w:tcPr>
          <w:p w14:paraId="38A16AA3" w14:textId="77777777" w:rsidR="0002660B" w:rsidRDefault="0002660B" w:rsidP="00711D19">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695" w:type="dxa"/>
            <w:tcBorders>
              <w:top w:val="single" w:sz="6" w:space="0" w:color="auto"/>
              <w:bottom w:val="single" w:sz="6" w:space="0" w:color="auto"/>
              <w:right w:val="single" w:sz="6" w:space="0" w:color="auto"/>
            </w:tcBorders>
            <w:vAlign w:val="bottom"/>
          </w:tcPr>
          <w:p w14:paraId="2384CB4E" w14:textId="2AD5596B" w:rsidR="0002660B" w:rsidRDefault="00F072E4" w:rsidP="00711D19">
            <w:pPr>
              <w:autoSpaceDE w:val="0"/>
              <w:autoSpaceDN w:val="0"/>
              <w:adjustRightInd w:val="0"/>
              <w:spacing w:afterLines="60" w:after="144"/>
              <w:jc w:val="right"/>
              <w:rPr>
                <w:rFonts w:cs="Arial"/>
                <w:color w:val="000000"/>
                <w:sz w:val="16"/>
                <w:szCs w:val="16"/>
                <w:lang w:val="en-US"/>
              </w:rPr>
            </w:pPr>
            <w:r w:rsidRPr="009A1DFC">
              <w:rPr>
                <w:sz w:val="16"/>
              </w:rPr>
              <w:t>$0.</w:t>
            </w:r>
            <w:r w:rsidR="004D1BD1" w:rsidRPr="009A1DFC" w:rsidDel="004D1BD1">
              <w:rPr>
                <w:sz w:val="16"/>
              </w:rPr>
              <w:t xml:space="preserve"> </w:t>
            </w:r>
            <w:r w:rsidR="00DD1D73">
              <w:rPr>
                <w:sz w:val="16"/>
              </w:rPr>
              <w:t>31</w:t>
            </w:r>
            <w:r w:rsidR="00DD1D73" w:rsidRPr="009A1DFC">
              <w:rPr>
                <w:sz w:val="16"/>
              </w:rPr>
              <w:t>77</w:t>
            </w:r>
            <w:r w:rsidRPr="009A1DFC">
              <w:rPr>
                <w:sz w:val="16"/>
              </w:rPr>
              <w:t>/day</w:t>
            </w:r>
          </w:p>
        </w:tc>
        <w:tc>
          <w:tcPr>
            <w:tcW w:w="147" w:type="dxa"/>
            <w:tcBorders>
              <w:left w:val="single" w:sz="6" w:space="0" w:color="auto"/>
              <w:right w:val="single" w:sz="6" w:space="0" w:color="auto"/>
            </w:tcBorders>
            <w:vAlign w:val="center"/>
          </w:tcPr>
          <w:p w14:paraId="38782BE1" w14:textId="77777777" w:rsidR="0002660B" w:rsidRDefault="0002660B">
            <w:pPr>
              <w:autoSpaceDE w:val="0"/>
              <w:autoSpaceDN w:val="0"/>
              <w:adjustRightInd w:val="0"/>
              <w:rPr>
                <w:rFonts w:cs="Arial"/>
                <w:color w:val="000000"/>
                <w:szCs w:val="24"/>
                <w:lang w:val="en-US"/>
              </w:rPr>
            </w:pPr>
          </w:p>
        </w:tc>
        <w:tc>
          <w:tcPr>
            <w:tcW w:w="2977" w:type="dxa"/>
            <w:gridSpan w:val="2"/>
            <w:tcBorders>
              <w:top w:val="single" w:sz="6" w:space="0" w:color="auto"/>
              <w:left w:val="single" w:sz="6" w:space="0" w:color="auto"/>
              <w:bottom w:val="single" w:sz="6" w:space="0" w:color="auto"/>
            </w:tcBorders>
            <w:vAlign w:val="center"/>
          </w:tcPr>
          <w:p w14:paraId="75382795" w14:textId="77777777" w:rsidR="0002660B" w:rsidRDefault="0002660B" w:rsidP="00711D19">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276" w:type="dxa"/>
            <w:tcBorders>
              <w:top w:val="single" w:sz="6" w:space="0" w:color="auto"/>
              <w:bottom w:val="single" w:sz="6" w:space="0" w:color="auto"/>
              <w:right w:val="single" w:sz="6" w:space="0" w:color="auto"/>
            </w:tcBorders>
            <w:vAlign w:val="bottom"/>
          </w:tcPr>
          <w:p w14:paraId="06537EF6" w14:textId="55D438E8" w:rsidR="0002660B" w:rsidRDefault="00F072E4" w:rsidP="00711D19">
            <w:pPr>
              <w:autoSpaceDE w:val="0"/>
              <w:autoSpaceDN w:val="0"/>
              <w:adjustRightInd w:val="0"/>
              <w:spacing w:afterLines="60" w:after="144"/>
              <w:jc w:val="right"/>
              <w:rPr>
                <w:rFonts w:cs="Arial"/>
                <w:color w:val="000000"/>
                <w:sz w:val="16"/>
                <w:szCs w:val="16"/>
                <w:lang w:val="en-US"/>
              </w:rPr>
            </w:pPr>
            <w:r w:rsidRPr="009A1DFC">
              <w:rPr>
                <w:sz w:val="16"/>
              </w:rPr>
              <w:t>$0.</w:t>
            </w:r>
            <w:r w:rsidR="004D1BD1" w:rsidRPr="009A1DFC" w:rsidDel="004D1BD1">
              <w:rPr>
                <w:sz w:val="16"/>
              </w:rPr>
              <w:t xml:space="preserve"> </w:t>
            </w:r>
            <w:r w:rsidR="00DD1D73">
              <w:rPr>
                <w:sz w:val="16"/>
              </w:rPr>
              <w:t>3345</w:t>
            </w:r>
            <w:r w:rsidRPr="009A1DFC">
              <w:rPr>
                <w:sz w:val="16"/>
              </w:rPr>
              <w:t>/day</w:t>
            </w:r>
          </w:p>
        </w:tc>
      </w:tr>
      <w:tr w:rsidR="0002660B" w14:paraId="0A5AE0AD" w14:textId="77777777">
        <w:trPr>
          <w:cantSplit/>
          <w:trHeight w:val="434"/>
        </w:trPr>
        <w:tc>
          <w:tcPr>
            <w:tcW w:w="159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7475F5E6" w14:textId="77777777" w:rsidR="0002660B" w:rsidRPr="00060F5C" w:rsidRDefault="0002660B" w:rsidP="00711D19">
            <w:pPr>
              <w:autoSpaceDE w:val="0"/>
              <w:autoSpaceDN w:val="0"/>
              <w:adjustRightInd w:val="0"/>
              <w:spacing w:afterLines="60" w:after="144"/>
              <w:rPr>
                <w:rFonts w:cs="Arial"/>
                <w:b/>
                <w:color w:val="000000"/>
                <w:sz w:val="16"/>
                <w:szCs w:val="16"/>
                <w:lang w:val="en-US"/>
              </w:rPr>
            </w:pPr>
            <w:r w:rsidRPr="00060F5C">
              <w:rPr>
                <w:rFonts w:cs="Arial"/>
                <w:b/>
                <w:color w:val="000000"/>
                <w:sz w:val="16"/>
                <w:szCs w:val="16"/>
                <w:lang w:val="en-US"/>
              </w:rPr>
              <w:t>Consumption Range</w:t>
            </w:r>
          </w:p>
          <w:p w14:paraId="6C676307"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3396"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554EE1BA"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c>
          <w:tcPr>
            <w:tcW w:w="147" w:type="dxa"/>
            <w:tcBorders>
              <w:left w:val="single" w:sz="6" w:space="0" w:color="auto"/>
              <w:right w:val="single" w:sz="6" w:space="0" w:color="auto"/>
            </w:tcBorders>
            <w:vAlign w:val="center"/>
          </w:tcPr>
          <w:p w14:paraId="4E3682D9" w14:textId="77777777" w:rsidR="0002660B" w:rsidRPr="00060F5C" w:rsidRDefault="0002660B">
            <w:pPr>
              <w:autoSpaceDE w:val="0"/>
              <w:autoSpaceDN w:val="0"/>
              <w:adjustRightInd w:val="0"/>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1C46965A" w14:textId="77777777" w:rsidR="0002660B" w:rsidRPr="00060F5C" w:rsidRDefault="0002660B" w:rsidP="00711D19">
            <w:pPr>
              <w:autoSpaceDE w:val="0"/>
              <w:autoSpaceDN w:val="0"/>
              <w:adjustRightInd w:val="0"/>
              <w:spacing w:afterLines="60" w:after="144"/>
              <w:rPr>
                <w:rFonts w:cs="Arial"/>
                <w:b/>
                <w:color w:val="000000"/>
                <w:sz w:val="16"/>
                <w:szCs w:val="16"/>
                <w:lang w:val="en-US"/>
              </w:rPr>
            </w:pPr>
            <w:r w:rsidRPr="00060F5C">
              <w:rPr>
                <w:rFonts w:cs="Arial"/>
                <w:b/>
                <w:color w:val="000000"/>
                <w:sz w:val="16"/>
                <w:szCs w:val="16"/>
                <w:lang w:val="en-US"/>
              </w:rPr>
              <w:t>Consumption Range</w:t>
            </w:r>
          </w:p>
          <w:p w14:paraId="5B02B42A"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2693"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1C69550"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r>
      <w:tr w:rsidR="0002660B" w14:paraId="2CD199D1" w14:textId="77777777">
        <w:trPr>
          <w:cantSplit/>
          <w:trHeight w:val="378"/>
        </w:trPr>
        <w:tc>
          <w:tcPr>
            <w:tcW w:w="1590" w:type="dxa"/>
            <w:vMerge/>
            <w:tcBorders>
              <w:left w:val="single" w:sz="6" w:space="0" w:color="auto"/>
              <w:bottom w:val="single" w:sz="6" w:space="0" w:color="auto"/>
              <w:right w:val="single" w:sz="6" w:space="0" w:color="auto"/>
            </w:tcBorders>
            <w:shd w:val="clear" w:color="auto" w:fill="E0E0E0"/>
          </w:tcPr>
          <w:p w14:paraId="5B6A12AE" w14:textId="77777777" w:rsidR="0002660B" w:rsidRPr="00060F5C" w:rsidRDefault="0002660B">
            <w:pPr>
              <w:autoSpaceDE w:val="0"/>
              <w:autoSpaceDN w:val="0"/>
              <w:adjustRightInd w:val="0"/>
              <w:rPr>
                <w:rFonts w:cs="Arial"/>
                <w:b/>
                <w:color w:val="000000"/>
                <w:sz w:val="16"/>
                <w:szCs w:val="16"/>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0F5B8225"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449C6C41"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695" w:type="dxa"/>
            <w:tcBorders>
              <w:top w:val="single" w:sz="6" w:space="0" w:color="auto"/>
              <w:left w:val="single" w:sz="6" w:space="0" w:color="auto"/>
              <w:bottom w:val="single" w:sz="6" w:space="0" w:color="auto"/>
              <w:right w:val="single" w:sz="6" w:space="0" w:color="auto"/>
            </w:tcBorders>
            <w:shd w:val="clear" w:color="auto" w:fill="E0E0E0"/>
            <w:vAlign w:val="center"/>
          </w:tcPr>
          <w:p w14:paraId="3FF1D6E6"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3BCE14DD"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7" w:type="dxa"/>
            <w:tcBorders>
              <w:left w:val="single" w:sz="6" w:space="0" w:color="auto"/>
              <w:bottom w:val="nil"/>
              <w:right w:val="single" w:sz="6" w:space="0" w:color="auto"/>
            </w:tcBorders>
          </w:tcPr>
          <w:p w14:paraId="6C033DEC" w14:textId="77777777" w:rsidR="0002660B" w:rsidRPr="00060F5C" w:rsidRDefault="0002660B">
            <w:pPr>
              <w:autoSpaceDE w:val="0"/>
              <w:autoSpaceDN w:val="0"/>
              <w:adjustRightInd w:val="0"/>
              <w:jc w:val="right"/>
              <w:rPr>
                <w:rFonts w:cs="Arial"/>
                <w:b/>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tcPr>
          <w:p w14:paraId="536B6631" w14:textId="77777777" w:rsidR="0002660B" w:rsidRPr="00060F5C" w:rsidRDefault="0002660B">
            <w:pPr>
              <w:autoSpaceDE w:val="0"/>
              <w:autoSpaceDN w:val="0"/>
              <w:adjustRightInd w:val="0"/>
              <w:rPr>
                <w:rFonts w:cs="Arial"/>
                <w:b/>
                <w:color w:val="000000"/>
                <w:sz w:val="16"/>
                <w:szCs w:val="16"/>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E0E0E0"/>
            <w:vAlign w:val="center"/>
          </w:tcPr>
          <w:p w14:paraId="5A3C4F86"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56C3ACD5"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276" w:type="dxa"/>
            <w:tcBorders>
              <w:top w:val="single" w:sz="6" w:space="0" w:color="auto"/>
              <w:left w:val="single" w:sz="6" w:space="0" w:color="auto"/>
              <w:bottom w:val="single" w:sz="6" w:space="0" w:color="auto"/>
              <w:right w:val="single" w:sz="6" w:space="0" w:color="auto"/>
            </w:tcBorders>
            <w:shd w:val="clear" w:color="auto" w:fill="E0E0E0"/>
            <w:vAlign w:val="center"/>
          </w:tcPr>
          <w:p w14:paraId="2BCA4976"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0A7104CB" w14:textId="77777777" w:rsidR="0002660B" w:rsidRPr="00060F5C" w:rsidRDefault="0002660B"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r>
      <w:tr w:rsidR="00720FF9" w14:paraId="1E298ECA"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0006B801"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701" w:type="dxa"/>
            <w:tcBorders>
              <w:top w:val="single" w:sz="6" w:space="0" w:color="auto"/>
              <w:left w:val="single" w:sz="6" w:space="0" w:color="auto"/>
              <w:bottom w:val="single" w:sz="6" w:space="0" w:color="auto"/>
              <w:right w:val="single" w:sz="6" w:space="0" w:color="auto"/>
            </w:tcBorders>
          </w:tcPr>
          <w:p w14:paraId="1CCDA002" w14:textId="69C64705" w:rsidR="00720FF9" w:rsidRDefault="00DD1D73" w:rsidP="00711D19">
            <w:pPr>
              <w:autoSpaceDE w:val="0"/>
              <w:autoSpaceDN w:val="0"/>
              <w:adjustRightInd w:val="0"/>
              <w:spacing w:afterLines="60" w:after="144"/>
              <w:jc w:val="center"/>
              <w:rPr>
                <w:rFonts w:cs="Arial"/>
                <w:color w:val="000000"/>
                <w:sz w:val="16"/>
                <w:szCs w:val="16"/>
                <w:lang w:val="en-US"/>
              </w:rPr>
            </w:pPr>
            <w:r>
              <w:rPr>
                <w:sz w:val="16"/>
              </w:rPr>
              <w:t>9.050</w:t>
            </w:r>
          </w:p>
        </w:tc>
        <w:tc>
          <w:tcPr>
            <w:tcW w:w="1695" w:type="dxa"/>
            <w:tcBorders>
              <w:top w:val="single" w:sz="6" w:space="0" w:color="auto"/>
              <w:left w:val="single" w:sz="6" w:space="0" w:color="auto"/>
              <w:bottom w:val="single" w:sz="6" w:space="0" w:color="auto"/>
              <w:right w:val="single" w:sz="6" w:space="0" w:color="auto"/>
            </w:tcBorders>
          </w:tcPr>
          <w:p w14:paraId="17803590" w14:textId="60CD7A30"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szCs w:val="16"/>
              </w:rPr>
              <w:t xml:space="preserve"> </w:t>
            </w:r>
            <w:r w:rsidR="00407CAE" w:rsidRPr="00B71D60">
              <w:rPr>
                <w:sz w:val="16"/>
                <w:szCs w:val="16"/>
              </w:rPr>
              <w:t>2.3731</w:t>
            </w:r>
          </w:p>
        </w:tc>
        <w:tc>
          <w:tcPr>
            <w:tcW w:w="147" w:type="dxa"/>
            <w:tcBorders>
              <w:left w:val="single" w:sz="6" w:space="0" w:color="auto"/>
              <w:right w:val="single" w:sz="6" w:space="0" w:color="auto"/>
            </w:tcBorders>
            <w:vAlign w:val="center"/>
          </w:tcPr>
          <w:p w14:paraId="2C938558"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26F4501"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417" w:type="dxa"/>
            <w:tcBorders>
              <w:top w:val="single" w:sz="6" w:space="0" w:color="auto"/>
              <w:left w:val="single" w:sz="6" w:space="0" w:color="auto"/>
              <w:bottom w:val="single" w:sz="6" w:space="0" w:color="auto"/>
              <w:right w:val="single" w:sz="6" w:space="0" w:color="auto"/>
            </w:tcBorders>
          </w:tcPr>
          <w:p w14:paraId="71B70E81" w14:textId="45D55F13" w:rsidR="00720FF9" w:rsidRDefault="00464987" w:rsidP="00711D19">
            <w:pPr>
              <w:autoSpaceDE w:val="0"/>
              <w:autoSpaceDN w:val="0"/>
              <w:adjustRightInd w:val="0"/>
              <w:spacing w:afterLines="60" w:after="144"/>
              <w:jc w:val="center"/>
              <w:rPr>
                <w:rFonts w:cs="Arial"/>
                <w:color w:val="000000"/>
                <w:sz w:val="16"/>
                <w:szCs w:val="16"/>
                <w:lang w:val="en-US"/>
              </w:rPr>
            </w:pPr>
            <w:r>
              <w:rPr>
                <w:sz w:val="16"/>
              </w:rPr>
              <w:t>1.5393</w:t>
            </w:r>
          </w:p>
        </w:tc>
        <w:tc>
          <w:tcPr>
            <w:tcW w:w="1276" w:type="dxa"/>
            <w:tcBorders>
              <w:top w:val="single" w:sz="6" w:space="0" w:color="auto"/>
              <w:left w:val="single" w:sz="6" w:space="0" w:color="auto"/>
              <w:bottom w:val="single" w:sz="6" w:space="0" w:color="auto"/>
              <w:right w:val="single" w:sz="6" w:space="0" w:color="auto"/>
            </w:tcBorders>
          </w:tcPr>
          <w:p w14:paraId="16B44E39" w14:textId="01CB2200"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F57D9B">
              <w:rPr>
                <w:sz w:val="16"/>
              </w:rPr>
              <w:t>1.4613</w:t>
            </w:r>
          </w:p>
        </w:tc>
      </w:tr>
      <w:tr w:rsidR="00720FF9" w14:paraId="566EFC8A"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3B57AA0F"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701" w:type="dxa"/>
            <w:tcBorders>
              <w:top w:val="single" w:sz="6" w:space="0" w:color="auto"/>
              <w:left w:val="single" w:sz="6" w:space="0" w:color="auto"/>
              <w:bottom w:val="single" w:sz="6" w:space="0" w:color="auto"/>
              <w:right w:val="single" w:sz="6" w:space="0" w:color="auto"/>
            </w:tcBorders>
          </w:tcPr>
          <w:p w14:paraId="2D23D0A6" w14:textId="68E40ADA" w:rsidR="00720FF9" w:rsidRPr="00720FF9" w:rsidRDefault="00DD1D73" w:rsidP="00711D19">
            <w:pPr>
              <w:autoSpaceDE w:val="0"/>
              <w:autoSpaceDN w:val="0"/>
              <w:adjustRightInd w:val="0"/>
              <w:spacing w:afterLines="60" w:after="144"/>
              <w:jc w:val="center"/>
              <w:rPr>
                <w:rFonts w:cs="Arial"/>
                <w:color w:val="000000"/>
                <w:sz w:val="16"/>
                <w:szCs w:val="16"/>
                <w:lang w:val="en-US"/>
              </w:rPr>
            </w:pPr>
            <w:r>
              <w:rPr>
                <w:sz w:val="16"/>
              </w:rPr>
              <w:t>5.4294</w:t>
            </w:r>
          </w:p>
        </w:tc>
        <w:tc>
          <w:tcPr>
            <w:tcW w:w="1695" w:type="dxa"/>
            <w:tcBorders>
              <w:top w:val="single" w:sz="6" w:space="0" w:color="auto"/>
              <w:left w:val="single" w:sz="6" w:space="0" w:color="auto"/>
              <w:bottom w:val="single" w:sz="6" w:space="0" w:color="auto"/>
              <w:right w:val="single" w:sz="6" w:space="0" w:color="auto"/>
            </w:tcBorders>
          </w:tcPr>
          <w:p w14:paraId="520849EB" w14:textId="0F813786"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szCs w:val="16"/>
              </w:rPr>
              <w:t xml:space="preserve"> </w:t>
            </w:r>
            <w:r w:rsidR="00407CAE" w:rsidRPr="00B71D60">
              <w:rPr>
                <w:sz w:val="16"/>
                <w:szCs w:val="16"/>
              </w:rPr>
              <w:t>1.9680</w:t>
            </w:r>
          </w:p>
        </w:tc>
        <w:tc>
          <w:tcPr>
            <w:tcW w:w="147" w:type="dxa"/>
            <w:tcBorders>
              <w:left w:val="single" w:sz="6" w:space="0" w:color="auto"/>
              <w:right w:val="single" w:sz="6" w:space="0" w:color="auto"/>
            </w:tcBorders>
            <w:vAlign w:val="center"/>
          </w:tcPr>
          <w:p w14:paraId="23089F81"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1CDBD741"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417" w:type="dxa"/>
            <w:tcBorders>
              <w:top w:val="single" w:sz="6" w:space="0" w:color="auto"/>
              <w:left w:val="single" w:sz="6" w:space="0" w:color="auto"/>
              <w:bottom w:val="single" w:sz="6" w:space="0" w:color="auto"/>
              <w:right w:val="single" w:sz="6" w:space="0" w:color="auto"/>
            </w:tcBorders>
          </w:tcPr>
          <w:p w14:paraId="38DDA5B7" w14:textId="6B3BD07E"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1.4658</w:t>
            </w:r>
          </w:p>
        </w:tc>
        <w:tc>
          <w:tcPr>
            <w:tcW w:w="1276" w:type="dxa"/>
            <w:tcBorders>
              <w:top w:val="single" w:sz="6" w:space="0" w:color="auto"/>
              <w:left w:val="single" w:sz="6" w:space="0" w:color="auto"/>
              <w:bottom w:val="single" w:sz="6" w:space="0" w:color="auto"/>
              <w:right w:val="single" w:sz="6" w:space="0" w:color="auto"/>
            </w:tcBorders>
          </w:tcPr>
          <w:p w14:paraId="2A2B33CD" w14:textId="70BA502E"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1.0220</w:t>
            </w:r>
          </w:p>
        </w:tc>
      </w:tr>
      <w:tr w:rsidR="00720FF9" w14:paraId="4122C047" w14:textId="77777777" w:rsidTr="00F072E4">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7ADB1564"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701" w:type="dxa"/>
            <w:tcBorders>
              <w:top w:val="single" w:sz="6" w:space="0" w:color="auto"/>
              <w:left w:val="single" w:sz="6" w:space="0" w:color="auto"/>
              <w:bottom w:val="single" w:sz="6" w:space="0" w:color="auto"/>
              <w:right w:val="single" w:sz="6" w:space="0" w:color="auto"/>
            </w:tcBorders>
          </w:tcPr>
          <w:p w14:paraId="41D0A6AC" w14:textId="36A2EFD2" w:rsidR="00720FF9" w:rsidRPr="00720FF9" w:rsidRDefault="00DD1D73" w:rsidP="00711D19">
            <w:pPr>
              <w:autoSpaceDE w:val="0"/>
              <w:autoSpaceDN w:val="0"/>
              <w:adjustRightInd w:val="0"/>
              <w:spacing w:afterLines="60" w:after="144"/>
              <w:jc w:val="center"/>
              <w:rPr>
                <w:rFonts w:cs="Arial"/>
                <w:color w:val="000000"/>
                <w:sz w:val="16"/>
                <w:szCs w:val="16"/>
                <w:lang w:val="en-US"/>
              </w:rPr>
            </w:pPr>
            <w:r>
              <w:rPr>
                <w:sz w:val="16"/>
              </w:rPr>
              <w:t>0.9494</w:t>
            </w:r>
          </w:p>
        </w:tc>
        <w:tc>
          <w:tcPr>
            <w:tcW w:w="1695" w:type="dxa"/>
            <w:tcBorders>
              <w:top w:val="single" w:sz="6" w:space="0" w:color="auto"/>
              <w:left w:val="single" w:sz="6" w:space="0" w:color="auto"/>
              <w:bottom w:val="single" w:sz="6" w:space="0" w:color="auto"/>
              <w:right w:val="single" w:sz="6" w:space="0" w:color="auto"/>
            </w:tcBorders>
          </w:tcPr>
          <w:p w14:paraId="7C96EC5F" w14:textId="23D70F8D"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szCs w:val="16"/>
              </w:rPr>
              <w:t xml:space="preserve"> </w:t>
            </w:r>
            <w:r w:rsidR="00407CAE" w:rsidRPr="00B71D60">
              <w:rPr>
                <w:sz w:val="16"/>
                <w:szCs w:val="16"/>
              </w:rPr>
              <w:t>0.9030</w:t>
            </w:r>
          </w:p>
        </w:tc>
        <w:tc>
          <w:tcPr>
            <w:tcW w:w="147" w:type="dxa"/>
            <w:tcBorders>
              <w:left w:val="single" w:sz="6" w:space="0" w:color="auto"/>
              <w:right w:val="single" w:sz="6" w:space="0" w:color="auto"/>
            </w:tcBorders>
            <w:vAlign w:val="center"/>
          </w:tcPr>
          <w:p w14:paraId="44F6FB30"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520F31E2"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417" w:type="dxa"/>
            <w:tcBorders>
              <w:top w:val="single" w:sz="6" w:space="0" w:color="auto"/>
              <w:left w:val="single" w:sz="6" w:space="0" w:color="auto"/>
              <w:bottom w:val="single" w:sz="6" w:space="0" w:color="auto"/>
              <w:right w:val="single" w:sz="6" w:space="0" w:color="auto"/>
            </w:tcBorders>
          </w:tcPr>
          <w:p w14:paraId="2BF995F3" w14:textId="0C7C59E9"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1.3110</w:t>
            </w:r>
          </w:p>
        </w:tc>
        <w:tc>
          <w:tcPr>
            <w:tcW w:w="1276" w:type="dxa"/>
            <w:tcBorders>
              <w:top w:val="single" w:sz="6" w:space="0" w:color="auto"/>
              <w:left w:val="single" w:sz="6" w:space="0" w:color="auto"/>
              <w:bottom w:val="single" w:sz="6" w:space="0" w:color="auto"/>
              <w:right w:val="single" w:sz="6" w:space="0" w:color="auto"/>
            </w:tcBorders>
          </w:tcPr>
          <w:p w14:paraId="20FA65DE" w14:textId="1991F047"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0.8446</w:t>
            </w:r>
          </w:p>
        </w:tc>
      </w:tr>
      <w:tr w:rsidR="00720FF9" w14:paraId="2BC891EA" w14:textId="77777777" w:rsidTr="00F072E4">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6D373A55"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701" w:type="dxa"/>
            <w:tcBorders>
              <w:top w:val="single" w:sz="6" w:space="0" w:color="auto"/>
              <w:left w:val="single" w:sz="6" w:space="0" w:color="auto"/>
              <w:bottom w:val="single" w:sz="6" w:space="0" w:color="auto"/>
              <w:right w:val="single" w:sz="6" w:space="0" w:color="auto"/>
            </w:tcBorders>
          </w:tcPr>
          <w:p w14:paraId="7AC5C736" w14:textId="0EBB82DA" w:rsidR="00720FF9" w:rsidRPr="00720FF9" w:rsidRDefault="00DD1D73" w:rsidP="00711D19">
            <w:pPr>
              <w:autoSpaceDE w:val="0"/>
              <w:autoSpaceDN w:val="0"/>
              <w:adjustRightInd w:val="0"/>
              <w:spacing w:afterLines="60" w:after="144"/>
              <w:jc w:val="center"/>
              <w:rPr>
                <w:rFonts w:cs="Arial"/>
                <w:color w:val="000000"/>
                <w:sz w:val="16"/>
                <w:szCs w:val="16"/>
                <w:lang w:val="en-US"/>
              </w:rPr>
            </w:pPr>
            <w:r>
              <w:rPr>
                <w:sz w:val="16"/>
              </w:rPr>
              <w:t>0.7452</w:t>
            </w:r>
          </w:p>
        </w:tc>
        <w:tc>
          <w:tcPr>
            <w:tcW w:w="1695" w:type="dxa"/>
            <w:tcBorders>
              <w:top w:val="single" w:sz="6" w:space="0" w:color="auto"/>
              <w:left w:val="single" w:sz="6" w:space="0" w:color="auto"/>
              <w:bottom w:val="single" w:sz="6" w:space="0" w:color="auto"/>
              <w:right w:val="single" w:sz="6" w:space="0" w:color="auto"/>
            </w:tcBorders>
          </w:tcPr>
          <w:p w14:paraId="10785808" w14:textId="4A979B5E"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szCs w:val="16"/>
              </w:rPr>
              <w:t xml:space="preserve"> </w:t>
            </w:r>
            <w:r w:rsidR="00407CAE" w:rsidRPr="00B71D60">
              <w:rPr>
                <w:sz w:val="16"/>
                <w:szCs w:val="16"/>
              </w:rPr>
              <w:t>0.3106</w:t>
            </w:r>
          </w:p>
        </w:tc>
        <w:tc>
          <w:tcPr>
            <w:tcW w:w="147" w:type="dxa"/>
            <w:tcBorders>
              <w:left w:val="single" w:sz="6" w:space="0" w:color="auto"/>
              <w:right w:val="single" w:sz="6" w:space="0" w:color="auto"/>
            </w:tcBorders>
            <w:vAlign w:val="center"/>
          </w:tcPr>
          <w:p w14:paraId="73D5F6A8"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2647D5E"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417" w:type="dxa"/>
            <w:tcBorders>
              <w:top w:val="single" w:sz="6" w:space="0" w:color="auto"/>
              <w:left w:val="single" w:sz="6" w:space="0" w:color="auto"/>
              <w:bottom w:val="single" w:sz="6" w:space="0" w:color="auto"/>
              <w:right w:val="single" w:sz="6" w:space="0" w:color="auto"/>
            </w:tcBorders>
          </w:tcPr>
          <w:p w14:paraId="142A868C" w14:textId="35304B80" w:rsidR="00720FF9" w:rsidRPr="00720FF9" w:rsidRDefault="00464987" w:rsidP="00711D19">
            <w:pPr>
              <w:autoSpaceDE w:val="0"/>
              <w:autoSpaceDN w:val="0"/>
              <w:adjustRightInd w:val="0"/>
              <w:spacing w:afterLines="60" w:after="144"/>
              <w:jc w:val="center"/>
              <w:rPr>
                <w:rFonts w:cs="Arial"/>
                <w:color w:val="000000"/>
                <w:sz w:val="16"/>
                <w:szCs w:val="16"/>
                <w:lang w:val="en-US"/>
              </w:rPr>
            </w:pPr>
            <w:r w:rsidRPr="00B71D60">
              <w:rPr>
                <w:sz w:val="16"/>
              </w:rPr>
              <w:t xml:space="preserve"> 0.9838</w:t>
            </w:r>
          </w:p>
        </w:tc>
        <w:tc>
          <w:tcPr>
            <w:tcW w:w="1276" w:type="dxa"/>
            <w:tcBorders>
              <w:top w:val="single" w:sz="6" w:space="0" w:color="auto"/>
              <w:left w:val="single" w:sz="6" w:space="0" w:color="auto"/>
              <w:bottom w:val="single" w:sz="6" w:space="0" w:color="auto"/>
              <w:right w:val="single" w:sz="6" w:space="0" w:color="auto"/>
            </w:tcBorders>
          </w:tcPr>
          <w:p w14:paraId="3E786507" w14:textId="18CD4BFD"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0.8040</w:t>
            </w:r>
          </w:p>
        </w:tc>
      </w:tr>
    </w:tbl>
    <w:p w14:paraId="489285B7" w14:textId="77777777" w:rsidR="009D7ABF" w:rsidRDefault="009D7ABF" w:rsidP="008A599C">
      <w:pPr>
        <w:pStyle w:val="BodyText"/>
      </w:pPr>
      <w:r>
        <w:t>Tariff M (TNMC)</w:t>
      </w:r>
      <w:r>
        <w:tab/>
      </w:r>
      <w:r w:rsidR="002B7647">
        <w:tab/>
      </w:r>
      <w:r w:rsidR="002B7647">
        <w:tab/>
      </w:r>
      <w:r w:rsidR="002B7647">
        <w:tab/>
      </w:r>
      <w:r w:rsidR="002B7647">
        <w:tab/>
      </w:r>
      <w:r>
        <w:t>Tariff D (D)</w:t>
      </w:r>
    </w:p>
    <w:tbl>
      <w:tblPr>
        <w:tblW w:w="9386" w:type="dxa"/>
        <w:tblLayout w:type="fixed"/>
        <w:tblCellMar>
          <w:left w:w="30" w:type="dxa"/>
          <w:right w:w="30" w:type="dxa"/>
        </w:tblCellMar>
        <w:tblLook w:val="0000" w:firstRow="0" w:lastRow="0" w:firstColumn="0" w:lastColumn="0" w:noHBand="0" w:noVBand="0"/>
      </w:tblPr>
      <w:tblGrid>
        <w:gridCol w:w="2157"/>
        <w:gridCol w:w="2835"/>
        <w:gridCol w:w="141"/>
        <w:gridCol w:w="1560"/>
        <w:gridCol w:w="2693"/>
      </w:tblGrid>
      <w:tr w:rsidR="009D7ABF" w14:paraId="489AAD43" w14:textId="77777777">
        <w:trPr>
          <w:cantSplit/>
          <w:trHeight w:val="434"/>
        </w:trPr>
        <w:tc>
          <w:tcPr>
            <w:tcW w:w="2157"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382090CD"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545FE1B6"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7D62E9C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56AEFE8F"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c>
          <w:tcPr>
            <w:tcW w:w="141" w:type="dxa"/>
            <w:tcBorders>
              <w:left w:val="single" w:sz="6" w:space="0" w:color="auto"/>
              <w:right w:val="single" w:sz="6" w:space="0" w:color="auto"/>
            </w:tcBorders>
            <w:vAlign w:val="center"/>
          </w:tcPr>
          <w:p w14:paraId="1268A59E" w14:textId="77777777" w:rsidR="009D7ABF" w:rsidRPr="00060F5C" w:rsidRDefault="009D7ABF">
            <w:pPr>
              <w:autoSpaceDE w:val="0"/>
              <w:autoSpaceDN w:val="0"/>
              <w:adjustRightInd w:val="0"/>
              <w:jc w:val="center"/>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53A666EE"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31C78BB5"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693"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4F477106"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02C7DDF5"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r>
      <w:tr w:rsidR="009D7ABF" w14:paraId="461DC8FF" w14:textId="77777777">
        <w:trPr>
          <w:cantSplit/>
          <w:trHeight w:val="247"/>
        </w:trPr>
        <w:tc>
          <w:tcPr>
            <w:tcW w:w="2157" w:type="dxa"/>
            <w:vMerge/>
            <w:tcBorders>
              <w:left w:val="single" w:sz="6" w:space="0" w:color="auto"/>
              <w:bottom w:val="single" w:sz="6" w:space="0" w:color="auto"/>
              <w:right w:val="single" w:sz="6" w:space="0" w:color="auto"/>
            </w:tcBorders>
            <w:shd w:val="clear" w:color="auto" w:fill="E0E0E0"/>
            <w:vAlign w:val="center"/>
          </w:tcPr>
          <w:p w14:paraId="70F5B217" w14:textId="77777777" w:rsidR="009D7ABF" w:rsidRDefault="009D7ABF">
            <w:pPr>
              <w:autoSpaceDE w:val="0"/>
              <w:autoSpaceDN w:val="0"/>
              <w:adjustRightInd w:val="0"/>
              <w:jc w:val="center"/>
              <w:rPr>
                <w:rFonts w:cs="Arial"/>
                <w:color w:val="000000"/>
                <w:sz w:val="16"/>
                <w:szCs w:val="16"/>
                <w:lang w:val="en-US"/>
              </w:rPr>
            </w:pPr>
          </w:p>
        </w:tc>
        <w:tc>
          <w:tcPr>
            <w:tcW w:w="2835" w:type="dxa"/>
            <w:vMerge/>
            <w:tcBorders>
              <w:left w:val="single" w:sz="6" w:space="0" w:color="auto"/>
              <w:bottom w:val="single" w:sz="6" w:space="0" w:color="auto"/>
              <w:right w:val="single" w:sz="6" w:space="0" w:color="auto"/>
            </w:tcBorders>
            <w:shd w:val="clear" w:color="auto" w:fill="E0E0E0"/>
            <w:vAlign w:val="center"/>
          </w:tcPr>
          <w:p w14:paraId="1CBE0987" w14:textId="77777777" w:rsidR="009D7ABF" w:rsidRDefault="009D7ABF">
            <w:pPr>
              <w:autoSpaceDE w:val="0"/>
              <w:autoSpaceDN w:val="0"/>
              <w:adjustRightInd w:val="0"/>
              <w:jc w:val="center"/>
              <w:rPr>
                <w:rFonts w:cs="Arial"/>
                <w:color w:val="000000"/>
                <w:sz w:val="16"/>
                <w:szCs w:val="16"/>
                <w:lang w:val="en-US"/>
              </w:rPr>
            </w:pPr>
          </w:p>
        </w:tc>
        <w:tc>
          <w:tcPr>
            <w:tcW w:w="141" w:type="dxa"/>
            <w:tcBorders>
              <w:left w:val="single" w:sz="6" w:space="0" w:color="auto"/>
              <w:right w:val="single" w:sz="6" w:space="0" w:color="auto"/>
            </w:tcBorders>
            <w:vAlign w:val="center"/>
          </w:tcPr>
          <w:p w14:paraId="41804C8C" w14:textId="77777777" w:rsidR="009D7ABF" w:rsidRDefault="009D7ABF">
            <w:pPr>
              <w:autoSpaceDE w:val="0"/>
              <w:autoSpaceDN w:val="0"/>
              <w:adjustRightInd w:val="0"/>
              <w:jc w:val="center"/>
              <w:rPr>
                <w:rFonts w:cs="Arial"/>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vAlign w:val="center"/>
          </w:tcPr>
          <w:p w14:paraId="72055BCA" w14:textId="77777777" w:rsidR="009D7ABF" w:rsidRDefault="009D7ABF">
            <w:pPr>
              <w:autoSpaceDE w:val="0"/>
              <w:autoSpaceDN w:val="0"/>
              <w:adjustRightInd w:val="0"/>
              <w:jc w:val="center"/>
              <w:rPr>
                <w:rFonts w:cs="Arial"/>
                <w:color w:val="000000"/>
                <w:sz w:val="16"/>
                <w:szCs w:val="16"/>
                <w:lang w:val="en-US"/>
              </w:rPr>
            </w:pPr>
          </w:p>
        </w:tc>
        <w:tc>
          <w:tcPr>
            <w:tcW w:w="2693" w:type="dxa"/>
            <w:vMerge/>
            <w:tcBorders>
              <w:left w:val="single" w:sz="6" w:space="0" w:color="auto"/>
              <w:bottom w:val="single" w:sz="6" w:space="0" w:color="auto"/>
              <w:right w:val="single" w:sz="6" w:space="0" w:color="auto"/>
            </w:tcBorders>
            <w:shd w:val="clear" w:color="auto" w:fill="E0E0E0"/>
            <w:vAlign w:val="center"/>
          </w:tcPr>
          <w:p w14:paraId="529F58C8" w14:textId="77777777" w:rsidR="009D7ABF" w:rsidRDefault="009D7ABF">
            <w:pPr>
              <w:autoSpaceDE w:val="0"/>
              <w:autoSpaceDN w:val="0"/>
              <w:adjustRightInd w:val="0"/>
              <w:jc w:val="center"/>
              <w:rPr>
                <w:rFonts w:cs="Arial"/>
                <w:color w:val="000000"/>
                <w:sz w:val="16"/>
                <w:szCs w:val="16"/>
                <w:lang w:val="en-US"/>
              </w:rPr>
            </w:pPr>
          </w:p>
        </w:tc>
      </w:tr>
      <w:tr w:rsidR="0009609B" w14:paraId="06EB4BC4" w14:textId="77777777" w:rsidTr="00F072E4">
        <w:trPr>
          <w:trHeight w:val="262"/>
        </w:trPr>
        <w:tc>
          <w:tcPr>
            <w:tcW w:w="2157" w:type="dxa"/>
            <w:tcBorders>
              <w:top w:val="single" w:sz="6" w:space="0" w:color="auto"/>
              <w:left w:val="single" w:sz="6" w:space="0" w:color="auto"/>
              <w:bottom w:val="single" w:sz="6" w:space="0" w:color="auto"/>
              <w:right w:val="single" w:sz="6" w:space="0" w:color="auto"/>
            </w:tcBorders>
            <w:vAlign w:val="center"/>
          </w:tcPr>
          <w:p w14:paraId="7FB4BE64"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2835" w:type="dxa"/>
            <w:tcBorders>
              <w:top w:val="single" w:sz="6" w:space="0" w:color="auto"/>
              <w:left w:val="single" w:sz="6" w:space="0" w:color="auto"/>
              <w:bottom w:val="single" w:sz="6" w:space="0" w:color="auto"/>
              <w:right w:val="single" w:sz="6" w:space="0" w:color="auto"/>
            </w:tcBorders>
          </w:tcPr>
          <w:p w14:paraId="53F907C6" w14:textId="7EA37066"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855.6597</w:t>
            </w:r>
          </w:p>
        </w:tc>
        <w:tc>
          <w:tcPr>
            <w:tcW w:w="141" w:type="dxa"/>
            <w:tcBorders>
              <w:left w:val="single" w:sz="6" w:space="0" w:color="auto"/>
              <w:right w:val="single" w:sz="6" w:space="0" w:color="auto"/>
            </w:tcBorders>
            <w:vAlign w:val="center"/>
          </w:tcPr>
          <w:p w14:paraId="13AC241A"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DF1C5DF"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2693" w:type="dxa"/>
            <w:tcBorders>
              <w:top w:val="single" w:sz="6" w:space="0" w:color="auto"/>
              <w:left w:val="single" w:sz="6" w:space="0" w:color="auto"/>
              <w:bottom w:val="single" w:sz="6" w:space="0" w:color="auto"/>
              <w:right w:val="single" w:sz="6" w:space="0" w:color="auto"/>
            </w:tcBorders>
          </w:tcPr>
          <w:p w14:paraId="4F40E057" w14:textId="50F3B6C1"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390.5362</w:t>
            </w:r>
          </w:p>
        </w:tc>
      </w:tr>
      <w:tr w:rsidR="0009609B" w14:paraId="3FD28F86" w14:textId="77777777" w:rsidTr="00F072E4">
        <w:trPr>
          <w:trHeight w:val="262"/>
        </w:trPr>
        <w:tc>
          <w:tcPr>
            <w:tcW w:w="2157" w:type="dxa"/>
            <w:tcBorders>
              <w:top w:val="single" w:sz="6" w:space="0" w:color="auto"/>
              <w:left w:val="single" w:sz="6" w:space="0" w:color="auto"/>
              <w:bottom w:val="single" w:sz="6" w:space="0" w:color="auto"/>
              <w:right w:val="single" w:sz="6" w:space="0" w:color="auto"/>
            </w:tcBorders>
            <w:vAlign w:val="center"/>
          </w:tcPr>
          <w:p w14:paraId="0BC64FBC"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2835" w:type="dxa"/>
            <w:tcBorders>
              <w:top w:val="single" w:sz="6" w:space="0" w:color="auto"/>
              <w:left w:val="single" w:sz="6" w:space="0" w:color="auto"/>
              <w:bottom w:val="single" w:sz="6" w:space="0" w:color="auto"/>
              <w:right w:val="single" w:sz="6" w:space="0" w:color="auto"/>
            </w:tcBorders>
          </w:tcPr>
          <w:p w14:paraId="51ED953F" w14:textId="719C0D19"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814.9139</w:t>
            </w:r>
          </w:p>
        </w:tc>
        <w:tc>
          <w:tcPr>
            <w:tcW w:w="141" w:type="dxa"/>
            <w:tcBorders>
              <w:left w:val="single" w:sz="6" w:space="0" w:color="auto"/>
              <w:right w:val="single" w:sz="6" w:space="0" w:color="auto"/>
            </w:tcBorders>
            <w:vAlign w:val="center"/>
          </w:tcPr>
          <w:p w14:paraId="22836356"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5869EBB"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2693" w:type="dxa"/>
            <w:tcBorders>
              <w:top w:val="single" w:sz="6" w:space="0" w:color="auto"/>
              <w:left w:val="single" w:sz="6" w:space="0" w:color="auto"/>
              <w:bottom w:val="single" w:sz="6" w:space="0" w:color="auto"/>
              <w:right w:val="single" w:sz="6" w:space="0" w:color="auto"/>
            </w:tcBorders>
          </w:tcPr>
          <w:p w14:paraId="38842029" w14:textId="0AAF622F" w:rsidR="0009609B" w:rsidRPr="0009609B" w:rsidRDefault="00464987" w:rsidP="00711D19">
            <w:pPr>
              <w:autoSpaceDE w:val="0"/>
              <w:autoSpaceDN w:val="0"/>
              <w:adjustRightInd w:val="0"/>
              <w:spacing w:afterLines="60" w:after="144"/>
              <w:jc w:val="center"/>
              <w:rPr>
                <w:rFonts w:cs="Arial"/>
                <w:color w:val="000000"/>
                <w:sz w:val="16"/>
                <w:szCs w:val="16"/>
                <w:lang w:val="en-US"/>
              </w:rPr>
            </w:pPr>
            <w:r w:rsidRPr="00B71D60">
              <w:rPr>
                <w:sz w:val="16"/>
              </w:rPr>
              <w:t xml:space="preserve"> 371.9391</w:t>
            </w:r>
          </w:p>
        </w:tc>
      </w:tr>
      <w:tr w:rsidR="0009609B" w14:paraId="3694E940" w14:textId="77777777" w:rsidTr="00F072E4">
        <w:trPr>
          <w:trHeight w:val="247"/>
        </w:trPr>
        <w:tc>
          <w:tcPr>
            <w:tcW w:w="2157" w:type="dxa"/>
            <w:tcBorders>
              <w:top w:val="single" w:sz="6" w:space="0" w:color="auto"/>
              <w:left w:val="single" w:sz="6" w:space="0" w:color="auto"/>
              <w:bottom w:val="single" w:sz="6" w:space="0" w:color="auto"/>
              <w:right w:val="single" w:sz="6" w:space="0" w:color="auto"/>
            </w:tcBorders>
            <w:vAlign w:val="center"/>
          </w:tcPr>
          <w:p w14:paraId="0BD8DE3A"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2835" w:type="dxa"/>
            <w:tcBorders>
              <w:top w:val="single" w:sz="6" w:space="0" w:color="auto"/>
              <w:left w:val="single" w:sz="6" w:space="0" w:color="auto"/>
              <w:bottom w:val="single" w:sz="6" w:space="0" w:color="auto"/>
              <w:right w:val="single" w:sz="6" w:space="0" w:color="auto"/>
            </w:tcBorders>
          </w:tcPr>
          <w:p w14:paraId="19D202AE" w14:textId="5DBADD71"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169.6481</w:t>
            </w:r>
          </w:p>
        </w:tc>
        <w:tc>
          <w:tcPr>
            <w:tcW w:w="141" w:type="dxa"/>
            <w:tcBorders>
              <w:left w:val="single" w:sz="6" w:space="0" w:color="auto"/>
              <w:right w:val="single" w:sz="6" w:space="0" w:color="auto"/>
            </w:tcBorders>
            <w:vAlign w:val="center"/>
          </w:tcPr>
          <w:p w14:paraId="28BD9C1D"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0D1AC248"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2693" w:type="dxa"/>
            <w:tcBorders>
              <w:top w:val="single" w:sz="6" w:space="0" w:color="auto"/>
              <w:left w:val="single" w:sz="6" w:space="0" w:color="auto"/>
              <w:bottom w:val="single" w:sz="6" w:space="0" w:color="auto"/>
              <w:right w:val="single" w:sz="6" w:space="0" w:color="auto"/>
            </w:tcBorders>
          </w:tcPr>
          <w:p w14:paraId="569BEB0B" w14:textId="5542B371"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180.5725</w:t>
            </w:r>
          </w:p>
        </w:tc>
      </w:tr>
    </w:tbl>
    <w:p w14:paraId="09C51771" w14:textId="77777777" w:rsidR="009D7ABF" w:rsidRDefault="009D7ABF" w:rsidP="00035B92">
      <w:pPr>
        <w:pStyle w:val="Heading2"/>
      </w:pPr>
      <w:bookmarkStart w:id="180" w:name="_Toc469519512"/>
      <w:r>
        <w:t>West Zone</w:t>
      </w:r>
      <w:bookmarkEnd w:id="180"/>
    </w:p>
    <w:p w14:paraId="6920FFB2" w14:textId="77777777" w:rsidR="009D7ABF" w:rsidRDefault="009D7ABF" w:rsidP="00711D19">
      <w:pPr>
        <w:spacing w:afterLines="60" w:after="144"/>
        <w:ind w:left="1134" w:hanging="1134"/>
        <w:rPr>
          <w:rFonts w:cs="Arial"/>
          <w:color w:val="000000"/>
          <w:sz w:val="16"/>
          <w:lang w:val="en-US"/>
        </w:rPr>
      </w:pPr>
      <w:r>
        <w:rPr>
          <w:rFonts w:cs="Arial"/>
          <w:color w:val="000000"/>
          <w:sz w:val="16"/>
          <w:lang w:val="en-US"/>
        </w:rPr>
        <w:t>Postcodes:</w:t>
      </w:r>
      <w:r>
        <w:rPr>
          <w:rFonts w:cs="Arial"/>
          <w:color w:val="000000"/>
          <w:sz w:val="16"/>
          <w:lang w:val="en-US"/>
        </w:rPr>
        <w:tab/>
      </w:r>
      <w:r w:rsidR="0002660B" w:rsidRPr="006377FB">
        <w:rPr>
          <w:rFonts w:cs="Arial"/>
          <w:sz w:val="16"/>
          <w:szCs w:val="16"/>
        </w:rPr>
        <w:t>3249, 3250, 3266, 3277, 3280, 3282, 3300, 3305, 3340, 3342, 3350, 3352, 3355, 3356, 3357, 3377, 3380, 3400, 3401, 3430, 3437, 3444, 3450, 3451, 3460, 3461, 3464, 3465, 3550, 3551, 3555, 3556</w:t>
      </w:r>
    </w:p>
    <w:p w14:paraId="31FE51F7" w14:textId="77777777" w:rsidR="009D7ABF" w:rsidRDefault="009D7ABF" w:rsidP="008A599C">
      <w:pPr>
        <w:pStyle w:val="BodyText"/>
      </w:pPr>
      <w:r>
        <w:t xml:space="preserve">Tariff V </w:t>
      </w:r>
      <w:r w:rsidR="00AB7B51">
        <w:t xml:space="preserve">Residential </w:t>
      </w:r>
      <w:r>
        <w:t>(TNVDW)</w:t>
      </w:r>
      <w:r>
        <w:tab/>
      </w:r>
      <w:r w:rsidR="00AB7B51">
        <w:tab/>
      </w:r>
      <w:r w:rsidR="00AB7B51">
        <w:tab/>
      </w:r>
      <w:r w:rsidR="00AB7B51">
        <w:tab/>
      </w:r>
      <w:r>
        <w:t xml:space="preserve">Tariff V Non </w:t>
      </w:r>
      <w:r w:rsidR="00AB7B51">
        <w:t xml:space="preserve">Residential </w:t>
      </w:r>
      <w:r>
        <w:t>(TNVNW)</w:t>
      </w:r>
    </w:p>
    <w:tbl>
      <w:tblPr>
        <w:tblW w:w="9386" w:type="dxa"/>
        <w:tblLayout w:type="fixed"/>
        <w:tblCellMar>
          <w:left w:w="30" w:type="dxa"/>
          <w:right w:w="30" w:type="dxa"/>
        </w:tblCellMar>
        <w:tblLook w:val="0000" w:firstRow="0" w:lastRow="0" w:firstColumn="0" w:lastColumn="0" w:noHBand="0" w:noVBand="0"/>
      </w:tblPr>
      <w:tblGrid>
        <w:gridCol w:w="1590"/>
        <w:gridCol w:w="1701"/>
        <w:gridCol w:w="1701"/>
        <w:gridCol w:w="141"/>
        <w:gridCol w:w="1560"/>
        <w:gridCol w:w="1417"/>
        <w:gridCol w:w="1276"/>
      </w:tblGrid>
      <w:tr w:rsidR="009D7ABF" w14:paraId="0B283941" w14:textId="77777777">
        <w:trPr>
          <w:trHeight w:val="434"/>
        </w:trPr>
        <w:tc>
          <w:tcPr>
            <w:tcW w:w="3291" w:type="dxa"/>
            <w:gridSpan w:val="2"/>
            <w:tcBorders>
              <w:top w:val="single" w:sz="6" w:space="0" w:color="auto"/>
              <w:left w:val="single" w:sz="6" w:space="0" w:color="auto"/>
              <w:bottom w:val="single" w:sz="6" w:space="0" w:color="auto"/>
            </w:tcBorders>
            <w:vAlign w:val="center"/>
          </w:tcPr>
          <w:p w14:paraId="049B45B4" w14:textId="77777777" w:rsidR="009D7ABF" w:rsidRDefault="009D7ABF" w:rsidP="00711D19">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701" w:type="dxa"/>
            <w:tcBorders>
              <w:top w:val="single" w:sz="6" w:space="0" w:color="auto"/>
              <w:bottom w:val="single" w:sz="6" w:space="0" w:color="auto"/>
              <w:right w:val="single" w:sz="6" w:space="0" w:color="auto"/>
            </w:tcBorders>
            <w:vAlign w:val="center"/>
          </w:tcPr>
          <w:p w14:paraId="53CDBD1E" w14:textId="7AEAD32F" w:rsidR="009D7ABF" w:rsidRDefault="00F072E4" w:rsidP="00711D19">
            <w:pPr>
              <w:autoSpaceDE w:val="0"/>
              <w:autoSpaceDN w:val="0"/>
              <w:adjustRightInd w:val="0"/>
              <w:spacing w:afterLines="60" w:after="144"/>
              <w:jc w:val="right"/>
              <w:rPr>
                <w:rFonts w:cs="Arial"/>
                <w:color w:val="000000"/>
                <w:sz w:val="16"/>
                <w:szCs w:val="16"/>
                <w:lang w:val="en-US"/>
              </w:rPr>
            </w:pPr>
            <w:r w:rsidRPr="009A1DFC">
              <w:rPr>
                <w:sz w:val="16"/>
              </w:rPr>
              <w:t>$0.</w:t>
            </w:r>
            <w:r w:rsidR="00464987">
              <w:rPr>
                <w:sz w:val="16"/>
              </w:rPr>
              <w:t>3177</w:t>
            </w:r>
            <w:r w:rsidRPr="009A1DFC">
              <w:rPr>
                <w:sz w:val="16"/>
              </w:rPr>
              <w:t>/day</w:t>
            </w:r>
          </w:p>
        </w:tc>
        <w:tc>
          <w:tcPr>
            <w:tcW w:w="141" w:type="dxa"/>
            <w:tcBorders>
              <w:left w:val="single" w:sz="6" w:space="0" w:color="auto"/>
              <w:right w:val="single" w:sz="6" w:space="0" w:color="auto"/>
            </w:tcBorders>
            <w:vAlign w:val="center"/>
          </w:tcPr>
          <w:p w14:paraId="16DD009E" w14:textId="77777777" w:rsidR="009D7ABF" w:rsidRDefault="009D7ABF">
            <w:pPr>
              <w:autoSpaceDE w:val="0"/>
              <w:autoSpaceDN w:val="0"/>
              <w:adjustRightInd w:val="0"/>
              <w:rPr>
                <w:rFonts w:cs="Arial"/>
                <w:color w:val="000000"/>
                <w:szCs w:val="24"/>
                <w:lang w:val="en-US"/>
              </w:rPr>
            </w:pPr>
          </w:p>
        </w:tc>
        <w:tc>
          <w:tcPr>
            <w:tcW w:w="2977" w:type="dxa"/>
            <w:gridSpan w:val="2"/>
            <w:tcBorders>
              <w:top w:val="single" w:sz="6" w:space="0" w:color="auto"/>
              <w:left w:val="single" w:sz="6" w:space="0" w:color="auto"/>
              <w:bottom w:val="single" w:sz="6" w:space="0" w:color="auto"/>
            </w:tcBorders>
            <w:vAlign w:val="center"/>
          </w:tcPr>
          <w:p w14:paraId="376D6346" w14:textId="77777777" w:rsidR="009D7ABF" w:rsidRDefault="009D7ABF" w:rsidP="00711D19">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276" w:type="dxa"/>
            <w:tcBorders>
              <w:top w:val="single" w:sz="6" w:space="0" w:color="auto"/>
              <w:bottom w:val="single" w:sz="6" w:space="0" w:color="auto"/>
              <w:right w:val="single" w:sz="6" w:space="0" w:color="auto"/>
            </w:tcBorders>
            <w:vAlign w:val="center"/>
          </w:tcPr>
          <w:p w14:paraId="7A863EE8" w14:textId="1DB4A9D0" w:rsidR="009D7ABF" w:rsidRDefault="00F072E4" w:rsidP="00711D19">
            <w:pPr>
              <w:autoSpaceDE w:val="0"/>
              <w:autoSpaceDN w:val="0"/>
              <w:adjustRightInd w:val="0"/>
              <w:spacing w:afterLines="60" w:after="144"/>
              <w:jc w:val="right"/>
              <w:rPr>
                <w:rFonts w:cs="Arial"/>
                <w:color w:val="000000"/>
                <w:sz w:val="16"/>
                <w:szCs w:val="16"/>
                <w:lang w:val="en-US"/>
              </w:rPr>
            </w:pPr>
            <w:r w:rsidRPr="009A1DFC">
              <w:rPr>
                <w:sz w:val="16"/>
              </w:rPr>
              <w:t>$0.</w:t>
            </w:r>
            <w:r w:rsidR="00464987">
              <w:rPr>
                <w:sz w:val="16"/>
              </w:rPr>
              <w:t>3345</w:t>
            </w:r>
            <w:r w:rsidRPr="009A1DFC">
              <w:rPr>
                <w:sz w:val="16"/>
              </w:rPr>
              <w:t>/day</w:t>
            </w:r>
          </w:p>
        </w:tc>
      </w:tr>
      <w:tr w:rsidR="009D7ABF" w14:paraId="41EF73D5" w14:textId="77777777">
        <w:trPr>
          <w:cantSplit/>
          <w:trHeight w:val="434"/>
        </w:trPr>
        <w:tc>
          <w:tcPr>
            <w:tcW w:w="159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2129268A"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42B85140"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3402"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3411EB47"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c>
          <w:tcPr>
            <w:tcW w:w="141" w:type="dxa"/>
            <w:tcBorders>
              <w:left w:val="single" w:sz="6" w:space="0" w:color="auto"/>
              <w:right w:val="single" w:sz="6" w:space="0" w:color="auto"/>
            </w:tcBorders>
            <w:vAlign w:val="center"/>
          </w:tcPr>
          <w:p w14:paraId="2E7BD344" w14:textId="77777777" w:rsidR="009D7ABF" w:rsidRPr="00060F5C" w:rsidRDefault="009D7ABF">
            <w:pPr>
              <w:autoSpaceDE w:val="0"/>
              <w:autoSpaceDN w:val="0"/>
              <w:adjustRightInd w:val="0"/>
              <w:jc w:val="center"/>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5F64B4B0"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3574ADBD"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2693"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5839F16B"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r>
      <w:tr w:rsidR="009D7ABF" w14:paraId="653921CF" w14:textId="77777777">
        <w:trPr>
          <w:cantSplit/>
          <w:trHeight w:val="417"/>
        </w:trPr>
        <w:tc>
          <w:tcPr>
            <w:tcW w:w="1590" w:type="dxa"/>
            <w:vMerge/>
            <w:tcBorders>
              <w:left w:val="single" w:sz="6" w:space="0" w:color="auto"/>
              <w:bottom w:val="single" w:sz="6" w:space="0" w:color="auto"/>
              <w:right w:val="single" w:sz="6" w:space="0" w:color="auto"/>
            </w:tcBorders>
            <w:shd w:val="clear" w:color="auto" w:fill="E0E0E0"/>
            <w:vAlign w:val="center"/>
          </w:tcPr>
          <w:p w14:paraId="1A3B83AE" w14:textId="77777777" w:rsidR="009D7ABF" w:rsidRPr="00060F5C" w:rsidRDefault="009D7ABF">
            <w:pPr>
              <w:autoSpaceDE w:val="0"/>
              <w:autoSpaceDN w:val="0"/>
              <w:adjustRightInd w:val="0"/>
              <w:jc w:val="center"/>
              <w:rPr>
                <w:rFonts w:cs="Arial"/>
                <w:b/>
                <w:color w:val="000000"/>
                <w:sz w:val="16"/>
                <w:szCs w:val="16"/>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783760C1"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7F87D54E"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190F01A8"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6FBF484B"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1" w:type="dxa"/>
            <w:tcBorders>
              <w:left w:val="single" w:sz="6" w:space="0" w:color="auto"/>
              <w:bottom w:val="nil"/>
              <w:right w:val="single" w:sz="6" w:space="0" w:color="auto"/>
            </w:tcBorders>
            <w:vAlign w:val="center"/>
          </w:tcPr>
          <w:p w14:paraId="18456347" w14:textId="77777777" w:rsidR="009D7ABF" w:rsidRPr="00060F5C" w:rsidRDefault="009D7ABF">
            <w:pPr>
              <w:autoSpaceDE w:val="0"/>
              <w:autoSpaceDN w:val="0"/>
              <w:adjustRightInd w:val="0"/>
              <w:jc w:val="center"/>
              <w:rPr>
                <w:rFonts w:cs="Arial"/>
                <w:b/>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vAlign w:val="center"/>
          </w:tcPr>
          <w:p w14:paraId="38FE625A" w14:textId="77777777" w:rsidR="009D7ABF" w:rsidRPr="00060F5C" w:rsidRDefault="009D7ABF">
            <w:pPr>
              <w:autoSpaceDE w:val="0"/>
              <w:autoSpaceDN w:val="0"/>
              <w:adjustRightInd w:val="0"/>
              <w:jc w:val="center"/>
              <w:rPr>
                <w:rFonts w:cs="Arial"/>
                <w:b/>
                <w:color w:val="000000"/>
                <w:sz w:val="16"/>
                <w:szCs w:val="16"/>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E0E0E0"/>
            <w:vAlign w:val="center"/>
          </w:tcPr>
          <w:p w14:paraId="120FDC15"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057ACCC0"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276" w:type="dxa"/>
            <w:tcBorders>
              <w:top w:val="single" w:sz="6" w:space="0" w:color="auto"/>
              <w:left w:val="single" w:sz="6" w:space="0" w:color="auto"/>
              <w:bottom w:val="single" w:sz="6" w:space="0" w:color="auto"/>
              <w:right w:val="single" w:sz="6" w:space="0" w:color="auto"/>
            </w:tcBorders>
            <w:shd w:val="clear" w:color="auto" w:fill="E0E0E0"/>
            <w:vAlign w:val="center"/>
          </w:tcPr>
          <w:p w14:paraId="530DA14A"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4CF16EEC"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r>
      <w:tr w:rsidR="00720FF9" w14:paraId="77DFD15F" w14:textId="77777777" w:rsidTr="00F072E4">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5BD2E661"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701" w:type="dxa"/>
            <w:tcBorders>
              <w:top w:val="single" w:sz="6" w:space="0" w:color="auto"/>
              <w:left w:val="single" w:sz="6" w:space="0" w:color="auto"/>
              <w:bottom w:val="single" w:sz="6" w:space="0" w:color="auto"/>
              <w:right w:val="single" w:sz="6" w:space="0" w:color="auto"/>
            </w:tcBorders>
          </w:tcPr>
          <w:p w14:paraId="44DCEB75" w14:textId="425E9BDB"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5.1520</w:t>
            </w:r>
          </w:p>
        </w:tc>
        <w:tc>
          <w:tcPr>
            <w:tcW w:w="1701" w:type="dxa"/>
            <w:tcBorders>
              <w:top w:val="single" w:sz="6" w:space="0" w:color="auto"/>
              <w:left w:val="single" w:sz="6" w:space="0" w:color="auto"/>
              <w:bottom w:val="single" w:sz="6" w:space="0" w:color="auto"/>
              <w:right w:val="single" w:sz="6" w:space="0" w:color="auto"/>
            </w:tcBorders>
          </w:tcPr>
          <w:p w14:paraId="6A41C7A2" w14:textId="5BF14B0B"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1.6157</w:t>
            </w:r>
          </w:p>
        </w:tc>
        <w:tc>
          <w:tcPr>
            <w:tcW w:w="141" w:type="dxa"/>
            <w:tcBorders>
              <w:left w:val="single" w:sz="6" w:space="0" w:color="auto"/>
              <w:right w:val="single" w:sz="6" w:space="0" w:color="auto"/>
            </w:tcBorders>
            <w:vAlign w:val="center"/>
          </w:tcPr>
          <w:p w14:paraId="789493C6"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6F611C8"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417" w:type="dxa"/>
            <w:tcBorders>
              <w:top w:val="single" w:sz="6" w:space="0" w:color="auto"/>
              <w:left w:val="single" w:sz="6" w:space="0" w:color="auto"/>
              <w:bottom w:val="single" w:sz="6" w:space="0" w:color="auto"/>
              <w:right w:val="single" w:sz="6" w:space="0" w:color="auto"/>
            </w:tcBorders>
          </w:tcPr>
          <w:p w14:paraId="5915136D" w14:textId="6384E23A"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2.5207</w:t>
            </w:r>
          </w:p>
        </w:tc>
        <w:tc>
          <w:tcPr>
            <w:tcW w:w="1276" w:type="dxa"/>
            <w:tcBorders>
              <w:top w:val="single" w:sz="6" w:space="0" w:color="auto"/>
              <w:left w:val="single" w:sz="6" w:space="0" w:color="auto"/>
              <w:bottom w:val="single" w:sz="6" w:space="0" w:color="auto"/>
              <w:right w:val="single" w:sz="6" w:space="0" w:color="auto"/>
            </w:tcBorders>
          </w:tcPr>
          <w:p w14:paraId="18971A7C" w14:textId="03351339"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1.0504</w:t>
            </w:r>
          </w:p>
        </w:tc>
      </w:tr>
      <w:tr w:rsidR="00720FF9" w14:paraId="2B78AB32" w14:textId="77777777" w:rsidTr="00F072E4">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607030E8"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701" w:type="dxa"/>
            <w:tcBorders>
              <w:top w:val="single" w:sz="6" w:space="0" w:color="auto"/>
              <w:left w:val="single" w:sz="6" w:space="0" w:color="auto"/>
              <w:bottom w:val="single" w:sz="6" w:space="0" w:color="auto"/>
              <w:right w:val="single" w:sz="6" w:space="0" w:color="auto"/>
            </w:tcBorders>
          </w:tcPr>
          <w:p w14:paraId="4B1116D0" w14:textId="78A9D9A5"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3.6928</w:t>
            </w:r>
          </w:p>
        </w:tc>
        <w:tc>
          <w:tcPr>
            <w:tcW w:w="1701" w:type="dxa"/>
            <w:tcBorders>
              <w:top w:val="single" w:sz="6" w:space="0" w:color="auto"/>
              <w:left w:val="single" w:sz="6" w:space="0" w:color="auto"/>
              <w:bottom w:val="single" w:sz="6" w:space="0" w:color="auto"/>
              <w:right w:val="single" w:sz="6" w:space="0" w:color="auto"/>
            </w:tcBorders>
          </w:tcPr>
          <w:p w14:paraId="69A4FDEE" w14:textId="17E8532A"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1.4365</w:t>
            </w:r>
          </w:p>
        </w:tc>
        <w:tc>
          <w:tcPr>
            <w:tcW w:w="141" w:type="dxa"/>
            <w:tcBorders>
              <w:left w:val="single" w:sz="6" w:space="0" w:color="auto"/>
              <w:right w:val="single" w:sz="6" w:space="0" w:color="auto"/>
            </w:tcBorders>
            <w:vAlign w:val="center"/>
          </w:tcPr>
          <w:p w14:paraId="79AE8187"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6AC11BA"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417" w:type="dxa"/>
            <w:tcBorders>
              <w:top w:val="single" w:sz="6" w:space="0" w:color="auto"/>
              <w:left w:val="single" w:sz="6" w:space="0" w:color="auto"/>
              <w:bottom w:val="single" w:sz="6" w:space="0" w:color="auto"/>
              <w:right w:val="single" w:sz="6" w:space="0" w:color="auto"/>
            </w:tcBorders>
          </w:tcPr>
          <w:p w14:paraId="0230E5D0" w14:textId="7B06085F"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2.1228</w:t>
            </w:r>
          </w:p>
        </w:tc>
        <w:tc>
          <w:tcPr>
            <w:tcW w:w="1276" w:type="dxa"/>
            <w:tcBorders>
              <w:top w:val="single" w:sz="6" w:space="0" w:color="auto"/>
              <w:left w:val="single" w:sz="6" w:space="0" w:color="auto"/>
              <w:bottom w:val="single" w:sz="6" w:space="0" w:color="auto"/>
              <w:right w:val="single" w:sz="6" w:space="0" w:color="auto"/>
            </w:tcBorders>
          </w:tcPr>
          <w:p w14:paraId="28ED1CDA" w14:textId="7FC7D29C"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0.8847</w:t>
            </w:r>
          </w:p>
        </w:tc>
      </w:tr>
      <w:tr w:rsidR="00720FF9" w14:paraId="54F10E52"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4F4C5908"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lastRenderedPageBreak/>
              <w:t>&gt; 0.2 – 1.4</w:t>
            </w:r>
          </w:p>
        </w:tc>
        <w:tc>
          <w:tcPr>
            <w:tcW w:w="1701" w:type="dxa"/>
            <w:tcBorders>
              <w:top w:val="single" w:sz="6" w:space="0" w:color="auto"/>
              <w:left w:val="single" w:sz="6" w:space="0" w:color="auto"/>
              <w:bottom w:val="single" w:sz="6" w:space="0" w:color="auto"/>
              <w:right w:val="single" w:sz="6" w:space="0" w:color="auto"/>
            </w:tcBorders>
          </w:tcPr>
          <w:p w14:paraId="3F0066C4" w14:textId="654B486E"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1.1893</w:t>
            </w:r>
          </w:p>
        </w:tc>
        <w:tc>
          <w:tcPr>
            <w:tcW w:w="1701" w:type="dxa"/>
            <w:tcBorders>
              <w:top w:val="single" w:sz="6" w:space="0" w:color="auto"/>
              <w:left w:val="single" w:sz="6" w:space="0" w:color="auto"/>
              <w:bottom w:val="single" w:sz="6" w:space="0" w:color="auto"/>
              <w:right w:val="single" w:sz="6" w:space="0" w:color="auto"/>
            </w:tcBorders>
          </w:tcPr>
          <w:p w14:paraId="0D734566" w14:textId="23EB90B0"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0.8604</w:t>
            </w:r>
          </w:p>
        </w:tc>
        <w:tc>
          <w:tcPr>
            <w:tcW w:w="141" w:type="dxa"/>
            <w:tcBorders>
              <w:left w:val="single" w:sz="6" w:space="0" w:color="auto"/>
              <w:right w:val="single" w:sz="6" w:space="0" w:color="auto"/>
            </w:tcBorders>
            <w:vAlign w:val="center"/>
          </w:tcPr>
          <w:p w14:paraId="1A3A0584"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EF259EB"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417" w:type="dxa"/>
            <w:tcBorders>
              <w:top w:val="single" w:sz="6" w:space="0" w:color="auto"/>
              <w:left w:val="single" w:sz="6" w:space="0" w:color="auto"/>
              <w:bottom w:val="single" w:sz="6" w:space="0" w:color="auto"/>
              <w:right w:val="single" w:sz="6" w:space="0" w:color="auto"/>
            </w:tcBorders>
          </w:tcPr>
          <w:p w14:paraId="7270525A" w14:textId="57D6CC75"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1.1672</w:t>
            </w:r>
          </w:p>
        </w:tc>
        <w:tc>
          <w:tcPr>
            <w:tcW w:w="1276" w:type="dxa"/>
            <w:tcBorders>
              <w:top w:val="single" w:sz="6" w:space="0" w:color="auto"/>
              <w:left w:val="single" w:sz="6" w:space="0" w:color="auto"/>
              <w:bottom w:val="single" w:sz="6" w:space="0" w:color="auto"/>
              <w:right w:val="single" w:sz="6" w:space="0" w:color="auto"/>
            </w:tcBorders>
          </w:tcPr>
          <w:p w14:paraId="5A14398F" w14:textId="374DEF03"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0.4784</w:t>
            </w:r>
          </w:p>
        </w:tc>
      </w:tr>
      <w:tr w:rsidR="00720FF9" w14:paraId="4C083C28"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3EBF44CB"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701" w:type="dxa"/>
            <w:tcBorders>
              <w:top w:val="single" w:sz="6" w:space="0" w:color="auto"/>
              <w:left w:val="single" w:sz="6" w:space="0" w:color="auto"/>
              <w:bottom w:val="single" w:sz="6" w:space="0" w:color="auto"/>
              <w:right w:val="single" w:sz="6" w:space="0" w:color="auto"/>
            </w:tcBorders>
          </w:tcPr>
          <w:p w14:paraId="4ABEF3E4" w14:textId="2F9497C3"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1.1326</w:t>
            </w:r>
          </w:p>
        </w:tc>
        <w:tc>
          <w:tcPr>
            <w:tcW w:w="1701" w:type="dxa"/>
            <w:tcBorders>
              <w:top w:val="single" w:sz="6" w:space="0" w:color="auto"/>
              <w:left w:val="single" w:sz="6" w:space="0" w:color="auto"/>
              <w:bottom w:val="single" w:sz="6" w:space="0" w:color="auto"/>
              <w:right w:val="single" w:sz="6" w:space="0" w:color="auto"/>
            </w:tcBorders>
          </w:tcPr>
          <w:p w14:paraId="1A9F4AFF" w14:textId="6F7AA6CE"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0.1670</w:t>
            </w:r>
          </w:p>
        </w:tc>
        <w:tc>
          <w:tcPr>
            <w:tcW w:w="141" w:type="dxa"/>
            <w:tcBorders>
              <w:left w:val="single" w:sz="6" w:space="0" w:color="auto"/>
              <w:right w:val="single" w:sz="6" w:space="0" w:color="auto"/>
            </w:tcBorders>
            <w:vAlign w:val="center"/>
          </w:tcPr>
          <w:p w14:paraId="6C0CD1F4"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2DF7C1F"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417" w:type="dxa"/>
            <w:tcBorders>
              <w:top w:val="single" w:sz="6" w:space="0" w:color="auto"/>
              <w:left w:val="single" w:sz="6" w:space="0" w:color="auto"/>
              <w:bottom w:val="single" w:sz="6" w:space="0" w:color="auto"/>
              <w:right w:val="single" w:sz="6" w:space="0" w:color="auto"/>
            </w:tcBorders>
          </w:tcPr>
          <w:p w14:paraId="12A97C1E" w14:textId="678311F4"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0.4290</w:t>
            </w:r>
          </w:p>
        </w:tc>
        <w:tc>
          <w:tcPr>
            <w:tcW w:w="1276" w:type="dxa"/>
            <w:tcBorders>
              <w:top w:val="single" w:sz="6" w:space="0" w:color="auto"/>
              <w:left w:val="single" w:sz="6" w:space="0" w:color="auto"/>
              <w:bottom w:val="single" w:sz="6" w:space="0" w:color="auto"/>
              <w:right w:val="single" w:sz="6" w:space="0" w:color="auto"/>
            </w:tcBorders>
          </w:tcPr>
          <w:p w14:paraId="0B0B4FFC" w14:textId="0A8078A5" w:rsidR="00720FF9" w:rsidRPr="00720FF9" w:rsidRDefault="00720FF9"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0.3533</w:t>
            </w:r>
          </w:p>
        </w:tc>
      </w:tr>
    </w:tbl>
    <w:p w14:paraId="72F89A8D" w14:textId="77777777" w:rsidR="009D7ABF" w:rsidRDefault="009D7ABF" w:rsidP="008A599C">
      <w:pPr>
        <w:pStyle w:val="BodyText"/>
      </w:pPr>
      <w:r>
        <w:t>Tariff M (TNMW)</w:t>
      </w:r>
      <w:r>
        <w:tab/>
      </w:r>
      <w:r w:rsidR="00095FF2">
        <w:tab/>
      </w:r>
      <w:r w:rsidR="00095FF2">
        <w:tab/>
      </w:r>
      <w:r w:rsidR="00095FF2">
        <w:tab/>
      </w:r>
      <w:r w:rsidR="00095FF2">
        <w:tab/>
      </w:r>
      <w:r>
        <w:t>Tariff D (D)</w:t>
      </w:r>
    </w:p>
    <w:tbl>
      <w:tblPr>
        <w:tblW w:w="9386" w:type="dxa"/>
        <w:tblLayout w:type="fixed"/>
        <w:tblCellMar>
          <w:left w:w="30" w:type="dxa"/>
          <w:right w:w="30" w:type="dxa"/>
        </w:tblCellMar>
        <w:tblLook w:val="0000" w:firstRow="0" w:lastRow="0" w:firstColumn="0" w:lastColumn="0" w:noHBand="0" w:noVBand="0"/>
      </w:tblPr>
      <w:tblGrid>
        <w:gridCol w:w="1590"/>
        <w:gridCol w:w="3402"/>
        <w:gridCol w:w="141"/>
        <w:gridCol w:w="1560"/>
        <w:gridCol w:w="2693"/>
      </w:tblGrid>
      <w:tr w:rsidR="009D7ABF" w14:paraId="13233CCC" w14:textId="77777777">
        <w:trPr>
          <w:cantSplit/>
          <w:trHeight w:val="583"/>
        </w:trPr>
        <w:tc>
          <w:tcPr>
            <w:tcW w:w="1590" w:type="dxa"/>
            <w:tcBorders>
              <w:top w:val="single" w:sz="6" w:space="0" w:color="auto"/>
              <w:left w:val="single" w:sz="6" w:space="0" w:color="auto"/>
              <w:bottom w:val="single" w:sz="6" w:space="0" w:color="auto"/>
              <w:right w:val="single" w:sz="6" w:space="0" w:color="auto"/>
            </w:tcBorders>
            <w:shd w:val="clear" w:color="auto" w:fill="E0E0E0"/>
            <w:vAlign w:val="center"/>
          </w:tcPr>
          <w:p w14:paraId="464E1320"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3C408EDD"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3402" w:type="dxa"/>
            <w:tcBorders>
              <w:top w:val="single" w:sz="6" w:space="0" w:color="auto"/>
              <w:left w:val="single" w:sz="6" w:space="0" w:color="auto"/>
              <w:bottom w:val="single" w:sz="6" w:space="0" w:color="auto"/>
              <w:right w:val="single" w:sz="6" w:space="0" w:color="auto"/>
            </w:tcBorders>
            <w:shd w:val="clear" w:color="auto" w:fill="E0E0E0"/>
            <w:vAlign w:val="center"/>
          </w:tcPr>
          <w:p w14:paraId="13B57EC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34CCEDCF"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c>
          <w:tcPr>
            <w:tcW w:w="141" w:type="dxa"/>
            <w:tcBorders>
              <w:left w:val="single" w:sz="6" w:space="0" w:color="auto"/>
              <w:bottom w:val="nil"/>
              <w:right w:val="single" w:sz="6" w:space="0" w:color="auto"/>
            </w:tcBorders>
          </w:tcPr>
          <w:p w14:paraId="34CBF86A" w14:textId="77777777" w:rsidR="009D7ABF" w:rsidRPr="00060F5C" w:rsidRDefault="009D7ABF">
            <w:pPr>
              <w:autoSpaceDE w:val="0"/>
              <w:autoSpaceDN w:val="0"/>
              <w:adjustRightInd w:val="0"/>
              <w:jc w:val="center"/>
              <w:rPr>
                <w:rFonts w:cs="Arial"/>
                <w:b/>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E0E0E0"/>
            <w:vAlign w:val="center"/>
          </w:tcPr>
          <w:p w14:paraId="1005C8A9"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48EFC02E"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693" w:type="dxa"/>
            <w:tcBorders>
              <w:top w:val="single" w:sz="6" w:space="0" w:color="auto"/>
              <w:left w:val="single" w:sz="6" w:space="0" w:color="auto"/>
              <w:bottom w:val="single" w:sz="6" w:space="0" w:color="auto"/>
              <w:right w:val="single" w:sz="6" w:space="0" w:color="auto"/>
            </w:tcBorders>
            <w:shd w:val="clear" w:color="auto" w:fill="E0E0E0"/>
            <w:vAlign w:val="center"/>
          </w:tcPr>
          <w:p w14:paraId="30AC74CF"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630A09B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r>
      <w:tr w:rsidR="0009609B" w14:paraId="4825A162" w14:textId="77777777" w:rsidTr="00F072E4">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49E021FE"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3402" w:type="dxa"/>
            <w:tcBorders>
              <w:top w:val="single" w:sz="6" w:space="0" w:color="auto"/>
              <w:left w:val="single" w:sz="6" w:space="0" w:color="auto"/>
              <w:bottom w:val="single" w:sz="6" w:space="0" w:color="auto"/>
              <w:right w:val="single" w:sz="6" w:space="0" w:color="auto"/>
            </w:tcBorders>
          </w:tcPr>
          <w:p w14:paraId="3684FCD8" w14:textId="23CFDD43"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855.6597</w:t>
            </w:r>
          </w:p>
        </w:tc>
        <w:tc>
          <w:tcPr>
            <w:tcW w:w="141" w:type="dxa"/>
            <w:tcBorders>
              <w:left w:val="single" w:sz="6" w:space="0" w:color="auto"/>
              <w:right w:val="single" w:sz="6" w:space="0" w:color="auto"/>
            </w:tcBorders>
            <w:vAlign w:val="center"/>
          </w:tcPr>
          <w:p w14:paraId="26E4AFB4"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2E355FF0"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2693" w:type="dxa"/>
            <w:tcBorders>
              <w:top w:val="single" w:sz="6" w:space="0" w:color="auto"/>
              <w:left w:val="single" w:sz="6" w:space="0" w:color="auto"/>
              <w:bottom w:val="single" w:sz="6" w:space="0" w:color="auto"/>
              <w:right w:val="single" w:sz="6" w:space="0" w:color="auto"/>
            </w:tcBorders>
          </w:tcPr>
          <w:p w14:paraId="50AE41F8" w14:textId="4DEAE2C8"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390.5362</w:t>
            </w:r>
          </w:p>
        </w:tc>
      </w:tr>
      <w:tr w:rsidR="0009609B" w14:paraId="3CE97083"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66AD01B8"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3402" w:type="dxa"/>
            <w:tcBorders>
              <w:top w:val="single" w:sz="6" w:space="0" w:color="auto"/>
              <w:left w:val="single" w:sz="6" w:space="0" w:color="auto"/>
              <w:bottom w:val="single" w:sz="6" w:space="0" w:color="auto"/>
              <w:right w:val="single" w:sz="6" w:space="0" w:color="auto"/>
            </w:tcBorders>
          </w:tcPr>
          <w:p w14:paraId="1627D6DF" w14:textId="09B50F16"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814.9139</w:t>
            </w:r>
          </w:p>
        </w:tc>
        <w:tc>
          <w:tcPr>
            <w:tcW w:w="141" w:type="dxa"/>
            <w:tcBorders>
              <w:left w:val="single" w:sz="6" w:space="0" w:color="auto"/>
              <w:right w:val="single" w:sz="6" w:space="0" w:color="auto"/>
            </w:tcBorders>
            <w:vAlign w:val="center"/>
          </w:tcPr>
          <w:p w14:paraId="116AF97D"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4FF1E708"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2693" w:type="dxa"/>
            <w:tcBorders>
              <w:top w:val="single" w:sz="6" w:space="0" w:color="auto"/>
              <w:left w:val="single" w:sz="6" w:space="0" w:color="auto"/>
              <w:bottom w:val="single" w:sz="6" w:space="0" w:color="auto"/>
              <w:right w:val="single" w:sz="6" w:space="0" w:color="auto"/>
            </w:tcBorders>
          </w:tcPr>
          <w:p w14:paraId="0E3907B5" w14:textId="4E545CA0"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371.9391</w:t>
            </w:r>
          </w:p>
        </w:tc>
      </w:tr>
      <w:tr w:rsidR="0009609B" w14:paraId="039E31A5"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628E2F8C"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3402" w:type="dxa"/>
            <w:tcBorders>
              <w:top w:val="single" w:sz="6" w:space="0" w:color="auto"/>
              <w:left w:val="single" w:sz="6" w:space="0" w:color="auto"/>
              <w:bottom w:val="single" w:sz="6" w:space="0" w:color="auto"/>
              <w:right w:val="single" w:sz="6" w:space="0" w:color="auto"/>
            </w:tcBorders>
          </w:tcPr>
          <w:p w14:paraId="03C30586" w14:textId="5A3DD8B7"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169.6481</w:t>
            </w:r>
          </w:p>
        </w:tc>
        <w:tc>
          <w:tcPr>
            <w:tcW w:w="141" w:type="dxa"/>
            <w:tcBorders>
              <w:left w:val="single" w:sz="6" w:space="0" w:color="auto"/>
              <w:right w:val="single" w:sz="6" w:space="0" w:color="auto"/>
            </w:tcBorders>
            <w:vAlign w:val="center"/>
          </w:tcPr>
          <w:p w14:paraId="6BB79C3A"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bottom"/>
          </w:tcPr>
          <w:p w14:paraId="7DF13FE6"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2693" w:type="dxa"/>
            <w:tcBorders>
              <w:top w:val="single" w:sz="6" w:space="0" w:color="auto"/>
              <w:left w:val="single" w:sz="6" w:space="0" w:color="auto"/>
              <w:bottom w:val="single" w:sz="6" w:space="0" w:color="auto"/>
              <w:right w:val="single" w:sz="6" w:space="0" w:color="auto"/>
            </w:tcBorders>
          </w:tcPr>
          <w:p w14:paraId="2B2D4AE0" w14:textId="20F0E143" w:rsidR="0009609B" w:rsidRPr="0009609B" w:rsidRDefault="0009609B" w:rsidP="00711D19">
            <w:pPr>
              <w:autoSpaceDE w:val="0"/>
              <w:autoSpaceDN w:val="0"/>
              <w:adjustRightInd w:val="0"/>
              <w:spacing w:afterLines="60" w:after="144"/>
              <w:jc w:val="center"/>
              <w:rPr>
                <w:rFonts w:cs="Arial"/>
                <w:color w:val="000000"/>
                <w:sz w:val="16"/>
                <w:szCs w:val="16"/>
                <w:lang w:val="en-US"/>
              </w:rPr>
            </w:pPr>
            <w:r w:rsidRPr="00F57D9B">
              <w:rPr>
                <w:sz w:val="16"/>
              </w:rPr>
              <w:t xml:space="preserve"> </w:t>
            </w:r>
            <w:r w:rsidR="00464987" w:rsidRPr="00B71D60">
              <w:rPr>
                <w:sz w:val="16"/>
              </w:rPr>
              <w:t>180.5725</w:t>
            </w:r>
          </w:p>
        </w:tc>
      </w:tr>
    </w:tbl>
    <w:p w14:paraId="66E3383E" w14:textId="77777777" w:rsidR="009D7ABF" w:rsidRDefault="00533F4D" w:rsidP="00711D19">
      <w:pPr>
        <w:spacing w:afterLines="60" w:after="144"/>
      </w:pPr>
      <w:r>
        <w:br w:type="page"/>
      </w:r>
    </w:p>
    <w:p w14:paraId="35F1904B" w14:textId="77777777" w:rsidR="00533F4D" w:rsidRDefault="00533F4D" w:rsidP="00035B92">
      <w:pPr>
        <w:pStyle w:val="Heading2"/>
      </w:pPr>
      <w:bookmarkStart w:id="181" w:name="_Toc469519513"/>
      <w:r>
        <w:lastRenderedPageBreak/>
        <w:t>Adjoining Central Zone</w:t>
      </w:r>
      <w:bookmarkEnd w:id="181"/>
    </w:p>
    <w:p w14:paraId="28CCE1D0" w14:textId="77777777" w:rsidR="009D7ABF" w:rsidRDefault="009D7ABF" w:rsidP="00711D19">
      <w:pPr>
        <w:spacing w:afterLines="60" w:after="144"/>
        <w:ind w:left="1134" w:hanging="1134"/>
        <w:rPr>
          <w:rFonts w:cs="Arial"/>
          <w:color w:val="000000"/>
          <w:sz w:val="16"/>
          <w:lang w:val="en-US"/>
        </w:rPr>
      </w:pPr>
      <w:r>
        <w:rPr>
          <w:rFonts w:cs="Arial"/>
          <w:sz w:val="16"/>
        </w:rPr>
        <w:t>Postcodes:</w:t>
      </w:r>
      <w:r>
        <w:rPr>
          <w:rFonts w:cs="Arial"/>
          <w:sz w:val="16"/>
        </w:rPr>
        <w:tab/>
      </w:r>
      <w:r>
        <w:rPr>
          <w:rFonts w:cs="Arial"/>
          <w:color w:val="000000"/>
          <w:sz w:val="16"/>
          <w:lang w:val="en-US"/>
        </w:rPr>
        <w:t>3227</w:t>
      </w:r>
    </w:p>
    <w:p w14:paraId="56FFA75A" w14:textId="77777777" w:rsidR="009D7ABF" w:rsidRDefault="009D7ABF" w:rsidP="00711D19">
      <w:pPr>
        <w:spacing w:afterLines="60" w:after="144"/>
        <w:ind w:left="1134" w:hanging="1134"/>
        <w:rPr>
          <w:rFonts w:cs="Arial"/>
          <w:color w:val="000000"/>
          <w:sz w:val="16"/>
          <w:lang w:val="en-US"/>
        </w:rPr>
      </w:pPr>
    </w:p>
    <w:p w14:paraId="28C409C7" w14:textId="77777777" w:rsidR="009D7ABF" w:rsidRDefault="009D7ABF" w:rsidP="008A599C">
      <w:pPr>
        <w:pStyle w:val="BodyText"/>
      </w:pPr>
      <w:r>
        <w:t xml:space="preserve">Tariff V </w:t>
      </w:r>
      <w:r w:rsidR="0031487E">
        <w:t xml:space="preserve">Residential </w:t>
      </w:r>
      <w:r>
        <w:t>(TNVDAC)</w:t>
      </w:r>
      <w:r>
        <w:tab/>
      </w:r>
      <w:r w:rsidR="0031487E">
        <w:tab/>
      </w:r>
      <w:r w:rsidR="0031487E">
        <w:tab/>
      </w:r>
      <w:r w:rsidR="0031487E">
        <w:tab/>
      </w:r>
      <w:r>
        <w:t xml:space="preserve">Tariff V Non </w:t>
      </w:r>
      <w:r w:rsidR="0031487E">
        <w:t>Residential</w:t>
      </w:r>
      <w:r>
        <w:t xml:space="preserve"> (TNVNAC)</w:t>
      </w:r>
    </w:p>
    <w:tbl>
      <w:tblPr>
        <w:tblW w:w="9386" w:type="dxa"/>
        <w:tblLayout w:type="fixed"/>
        <w:tblCellMar>
          <w:left w:w="30" w:type="dxa"/>
          <w:right w:w="30" w:type="dxa"/>
        </w:tblCellMar>
        <w:tblLook w:val="0000" w:firstRow="0" w:lastRow="0" w:firstColumn="0" w:lastColumn="0" w:noHBand="0" w:noVBand="0"/>
      </w:tblPr>
      <w:tblGrid>
        <w:gridCol w:w="1590"/>
        <w:gridCol w:w="1701"/>
        <w:gridCol w:w="1701"/>
        <w:gridCol w:w="141"/>
        <w:gridCol w:w="1560"/>
        <w:gridCol w:w="1417"/>
        <w:gridCol w:w="1276"/>
      </w:tblGrid>
      <w:tr w:rsidR="009D7ABF" w14:paraId="434E0F9D" w14:textId="77777777">
        <w:trPr>
          <w:trHeight w:val="434"/>
        </w:trPr>
        <w:tc>
          <w:tcPr>
            <w:tcW w:w="3291" w:type="dxa"/>
            <w:gridSpan w:val="2"/>
            <w:tcBorders>
              <w:top w:val="single" w:sz="6" w:space="0" w:color="auto"/>
              <w:left w:val="single" w:sz="6" w:space="0" w:color="auto"/>
              <w:bottom w:val="single" w:sz="6" w:space="0" w:color="auto"/>
            </w:tcBorders>
            <w:vAlign w:val="center"/>
          </w:tcPr>
          <w:p w14:paraId="03B7E838" w14:textId="77777777" w:rsidR="009D7ABF" w:rsidRDefault="009D7ABF" w:rsidP="00711D19">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701" w:type="dxa"/>
            <w:tcBorders>
              <w:top w:val="single" w:sz="6" w:space="0" w:color="auto"/>
              <w:bottom w:val="single" w:sz="6" w:space="0" w:color="auto"/>
              <w:right w:val="single" w:sz="6" w:space="0" w:color="auto"/>
            </w:tcBorders>
            <w:vAlign w:val="center"/>
          </w:tcPr>
          <w:p w14:paraId="4154666A" w14:textId="53FE8408" w:rsidR="009D7ABF" w:rsidRDefault="00F072E4" w:rsidP="00711D19">
            <w:pPr>
              <w:autoSpaceDE w:val="0"/>
              <w:autoSpaceDN w:val="0"/>
              <w:adjustRightInd w:val="0"/>
              <w:spacing w:afterLines="60" w:after="144"/>
              <w:jc w:val="right"/>
              <w:rPr>
                <w:rFonts w:cs="Arial"/>
                <w:color w:val="000000"/>
                <w:sz w:val="16"/>
                <w:szCs w:val="16"/>
                <w:lang w:val="en-US"/>
              </w:rPr>
            </w:pPr>
            <w:r w:rsidRPr="009A1DFC">
              <w:rPr>
                <w:sz w:val="16"/>
              </w:rPr>
              <w:t>$0.</w:t>
            </w:r>
            <w:r w:rsidR="00B27070">
              <w:rPr>
                <w:sz w:val="16"/>
              </w:rPr>
              <w:t>3177</w:t>
            </w:r>
            <w:r w:rsidRPr="009A1DFC">
              <w:rPr>
                <w:sz w:val="16"/>
              </w:rPr>
              <w:t>/day</w:t>
            </w:r>
          </w:p>
        </w:tc>
        <w:tc>
          <w:tcPr>
            <w:tcW w:w="141" w:type="dxa"/>
            <w:tcBorders>
              <w:left w:val="single" w:sz="6" w:space="0" w:color="auto"/>
              <w:right w:val="single" w:sz="6" w:space="0" w:color="auto"/>
            </w:tcBorders>
            <w:vAlign w:val="center"/>
          </w:tcPr>
          <w:p w14:paraId="5DE9C194" w14:textId="77777777" w:rsidR="009D7ABF" w:rsidRDefault="009D7ABF">
            <w:pPr>
              <w:autoSpaceDE w:val="0"/>
              <w:autoSpaceDN w:val="0"/>
              <w:adjustRightInd w:val="0"/>
              <w:rPr>
                <w:rFonts w:cs="Arial"/>
                <w:color w:val="000000"/>
                <w:szCs w:val="24"/>
                <w:lang w:val="en-US"/>
              </w:rPr>
            </w:pPr>
          </w:p>
        </w:tc>
        <w:tc>
          <w:tcPr>
            <w:tcW w:w="2977" w:type="dxa"/>
            <w:gridSpan w:val="2"/>
            <w:tcBorders>
              <w:top w:val="single" w:sz="6" w:space="0" w:color="auto"/>
              <w:left w:val="single" w:sz="6" w:space="0" w:color="auto"/>
              <w:bottom w:val="single" w:sz="6" w:space="0" w:color="auto"/>
            </w:tcBorders>
            <w:vAlign w:val="center"/>
          </w:tcPr>
          <w:p w14:paraId="6BB43922" w14:textId="77777777" w:rsidR="009D7ABF" w:rsidRDefault="009D7ABF" w:rsidP="00711D19">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276" w:type="dxa"/>
            <w:tcBorders>
              <w:top w:val="single" w:sz="6" w:space="0" w:color="auto"/>
              <w:bottom w:val="single" w:sz="6" w:space="0" w:color="auto"/>
              <w:right w:val="single" w:sz="6" w:space="0" w:color="auto"/>
            </w:tcBorders>
            <w:vAlign w:val="center"/>
          </w:tcPr>
          <w:p w14:paraId="7C00BC8B" w14:textId="661C05B0" w:rsidR="009D7ABF" w:rsidRDefault="00BB6BA2" w:rsidP="00711D19">
            <w:pPr>
              <w:autoSpaceDE w:val="0"/>
              <w:autoSpaceDN w:val="0"/>
              <w:adjustRightInd w:val="0"/>
              <w:spacing w:afterLines="60" w:after="144"/>
              <w:jc w:val="right"/>
              <w:rPr>
                <w:rFonts w:cs="Arial"/>
                <w:color w:val="000000"/>
                <w:sz w:val="16"/>
                <w:szCs w:val="16"/>
                <w:lang w:val="en-US"/>
              </w:rPr>
            </w:pPr>
            <w:r w:rsidRPr="009A1DFC">
              <w:rPr>
                <w:sz w:val="16"/>
              </w:rPr>
              <w:t>$0.</w:t>
            </w:r>
            <w:r w:rsidR="00B27070">
              <w:rPr>
                <w:sz w:val="16"/>
              </w:rPr>
              <w:t>33455</w:t>
            </w:r>
            <w:r w:rsidRPr="009A1DFC">
              <w:rPr>
                <w:sz w:val="16"/>
              </w:rPr>
              <w:t>/day</w:t>
            </w:r>
          </w:p>
        </w:tc>
      </w:tr>
      <w:tr w:rsidR="009D7ABF" w14:paraId="51526004" w14:textId="77777777">
        <w:trPr>
          <w:cantSplit/>
          <w:trHeight w:val="434"/>
        </w:trPr>
        <w:tc>
          <w:tcPr>
            <w:tcW w:w="159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24B9E243"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0A29F138"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3402"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0617B2C3"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c>
          <w:tcPr>
            <w:tcW w:w="141" w:type="dxa"/>
            <w:tcBorders>
              <w:left w:val="single" w:sz="6" w:space="0" w:color="auto"/>
              <w:right w:val="single" w:sz="6" w:space="0" w:color="auto"/>
            </w:tcBorders>
            <w:vAlign w:val="center"/>
          </w:tcPr>
          <w:p w14:paraId="563185E8" w14:textId="77777777" w:rsidR="009D7ABF" w:rsidRPr="00060F5C" w:rsidRDefault="009D7ABF">
            <w:pPr>
              <w:autoSpaceDE w:val="0"/>
              <w:autoSpaceDN w:val="0"/>
              <w:adjustRightInd w:val="0"/>
              <w:jc w:val="center"/>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44EAEF6C"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03EFC96C"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2693"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210ED6C7"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r>
      <w:tr w:rsidR="009D7ABF" w14:paraId="38BDF157" w14:textId="77777777">
        <w:trPr>
          <w:cantSplit/>
          <w:trHeight w:val="555"/>
        </w:trPr>
        <w:tc>
          <w:tcPr>
            <w:tcW w:w="1590" w:type="dxa"/>
            <w:vMerge/>
            <w:tcBorders>
              <w:left w:val="single" w:sz="6" w:space="0" w:color="auto"/>
              <w:bottom w:val="single" w:sz="6" w:space="0" w:color="auto"/>
              <w:right w:val="single" w:sz="6" w:space="0" w:color="auto"/>
            </w:tcBorders>
            <w:shd w:val="clear" w:color="auto" w:fill="E0E0E0"/>
            <w:vAlign w:val="center"/>
          </w:tcPr>
          <w:p w14:paraId="603A5D7B" w14:textId="77777777" w:rsidR="009D7ABF" w:rsidRPr="00060F5C" w:rsidRDefault="009D7ABF">
            <w:pPr>
              <w:autoSpaceDE w:val="0"/>
              <w:autoSpaceDN w:val="0"/>
              <w:adjustRightInd w:val="0"/>
              <w:jc w:val="center"/>
              <w:rPr>
                <w:rFonts w:cs="Arial"/>
                <w:b/>
                <w:color w:val="000000"/>
                <w:sz w:val="16"/>
                <w:szCs w:val="16"/>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3A212455"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247B92E5"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33BF0FA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43C7E61D"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1" w:type="dxa"/>
            <w:tcBorders>
              <w:left w:val="single" w:sz="6" w:space="0" w:color="auto"/>
              <w:bottom w:val="nil"/>
              <w:right w:val="single" w:sz="6" w:space="0" w:color="auto"/>
            </w:tcBorders>
            <w:vAlign w:val="center"/>
          </w:tcPr>
          <w:p w14:paraId="66D3B0B6" w14:textId="77777777" w:rsidR="009D7ABF" w:rsidRPr="00060F5C" w:rsidRDefault="009D7ABF">
            <w:pPr>
              <w:autoSpaceDE w:val="0"/>
              <w:autoSpaceDN w:val="0"/>
              <w:adjustRightInd w:val="0"/>
              <w:jc w:val="center"/>
              <w:rPr>
                <w:rFonts w:cs="Arial"/>
                <w:b/>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vAlign w:val="center"/>
          </w:tcPr>
          <w:p w14:paraId="622F2F93" w14:textId="77777777" w:rsidR="009D7ABF" w:rsidRPr="00060F5C" w:rsidRDefault="009D7ABF">
            <w:pPr>
              <w:autoSpaceDE w:val="0"/>
              <w:autoSpaceDN w:val="0"/>
              <w:adjustRightInd w:val="0"/>
              <w:jc w:val="center"/>
              <w:rPr>
                <w:rFonts w:cs="Arial"/>
                <w:b/>
                <w:color w:val="000000"/>
                <w:sz w:val="16"/>
                <w:szCs w:val="16"/>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E0E0E0"/>
            <w:vAlign w:val="center"/>
          </w:tcPr>
          <w:p w14:paraId="4741051A"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246D8319"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276" w:type="dxa"/>
            <w:tcBorders>
              <w:top w:val="single" w:sz="6" w:space="0" w:color="auto"/>
              <w:left w:val="single" w:sz="6" w:space="0" w:color="auto"/>
              <w:bottom w:val="single" w:sz="6" w:space="0" w:color="auto"/>
              <w:right w:val="single" w:sz="6" w:space="0" w:color="auto"/>
            </w:tcBorders>
            <w:shd w:val="clear" w:color="auto" w:fill="E0E0E0"/>
            <w:vAlign w:val="center"/>
          </w:tcPr>
          <w:p w14:paraId="184B28F5"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166EEE70"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r>
      <w:tr w:rsidR="00720FF9" w14:paraId="1C6FA111" w14:textId="77777777" w:rsidTr="00ED2B47">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69E0685A"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701" w:type="dxa"/>
            <w:tcBorders>
              <w:top w:val="single" w:sz="6" w:space="0" w:color="auto"/>
              <w:left w:val="single" w:sz="6" w:space="0" w:color="auto"/>
              <w:bottom w:val="single" w:sz="6" w:space="0" w:color="auto"/>
              <w:right w:val="single" w:sz="6" w:space="0" w:color="auto"/>
            </w:tcBorders>
          </w:tcPr>
          <w:p w14:paraId="6110250D" w14:textId="5C132886" w:rsidR="00720FF9" w:rsidRPr="00720FF9" w:rsidRDefault="00720FF9" w:rsidP="00711D19">
            <w:pPr>
              <w:spacing w:afterLines="60" w:after="144"/>
              <w:jc w:val="center"/>
              <w:rPr>
                <w:rFonts w:eastAsia="Arial Unicode MS" w:cs="Arial"/>
                <w:sz w:val="16"/>
                <w:szCs w:val="16"/>
              </w:rPr>
            </w:pPr>
            <w:r w:rsidRPr="00F57D9B">
              <w:rPr>
                <w:sz w:val="16"/>
              </w:rPr>
              <w:t xml:space="preserve"> </w:t>
            </w:r>
            <w:r w:rsidR="00464987" w:rsidRPr="00B71D60">
              <w:rPr>
                <w:sz w:val="16"/>
              </w:rPr>
              <w:t xml:space="preserve">12.9127 </w:t>
            </w:r>
          </w:p>
        </w:tc>
        <w:tc>
          <w:tcPr>
            <w:tcW w:w="1701" w:type="dxa"/>
            <w:tcBorders>
              <w:top w:val="single" w:sz="6" w:space="0" w:color="auto"/>
              <w:left w:val="single" w:sz="6" w:space="0" w:color="auto"/>
              <w:bottom w:val="single" w:sz="6" w:space="0" w:color="auto"/>
              <w:right w:val="single" w:sz="6" w:space="0" w:color="auto"/>
            </w:tcBorders>
          </w:tcPr>
          <w:p w14:paraId="436A5431" w14:textId="210429A8" w:rsidR="00720FF9" w:rsidRPr="00720FF9" w:rsidRDefault="00720FF9" w:rsidP="00711D19">
            <w:pPr>
              <w:spacing w:afterLines="60" w:after="144"/>
              <w:jc w:val="center"/>
              <w:rPr>
                <w:rFonts w:eastAsia="Arial Unicode MS" w:cs="Arial"/>
                <w:sz w:val="16"/>
                <w:szCs w:val="16"/>
              </w:rPr>
            </w:pPr>
            <w:r w:rsidRPr="00F57D9B">
              <w:rPr>
                <w:sz w:val="16"/>
              </w:rPr>
              <w:t xml:space="preserve"> </w:t>
            </w:r>
            <w:r w:rsidR="00464987" w:rsidRPr="00B71D60">
              <w:rPr>
                <w:sz w:val="16"/>
              </w:rPr>
              <w:t>6.0013</w:t>
            </w:r>
          </w:p>
        </w:tc>
        <w:tc>
          <w:tcPr>
            <w:tcW w:w="141" w:type="dxa"/>
            <w:tcBorders>
              <w:left w:val="single" w:sz="6" w:space="0" w:color="auto"/>
              <w:right w:val="single" w:sz="6" w:space="0" w:color="auto"/>
            </w:tcBorders>
            <w:vAlign w:val="center"/>
          </w:tcPr>
          <w:p w14:paraId="612CA7ED"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09331DEC"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417" w:type="dxa"/>
            <w:tcBorders>
              <w:top w:val="single" w:sz="6" w:space="0" w:color="auto"/>
              <w:left w:val="single" w:sz="6" w:space="0" w:color="auto"/>
              <w:bottom w:val="single" w:sz="6" w:space="0" w:color="auto"/>
              <w:right w:val="single" w:sz="6" w:space="0" w:color="auto"/>
            </w:tcBorders>
          </w:tcPr>
          <w:p w14:paraId="090F8CA7" w14:textId="2F01C300" w:rsidR="00720FF9" w:rsidRPr="00720FF9" w:rsidRDefault="00720FF9" w:rsidP="00711D19">
            <w:pPr>
              <w:spacing w:afterLines="60" w:after="144"/>
              <w:jc w:val="center"/>
              <w:rPr>
                <w:rFonts w:eastAsia="Arial Unicode MS" w:cs="Arial"/>
                <w:sz w:val="16"/>
                <w:szCs w:val="16"/>
              </w:rPr>
            </w:pPr>
            <w:r w:rsidRPr="00F57D9B">
              <w:rPr>
                <w:sz w:val="16"/>
              </w:rPr>
              <w:t xml:space="preserve"> </w:t>
            </w:r>
            <w:r w:rsidR="00464987" w:rsidRPr="00B71D60">
              <w:rPr>
                <w:sz w:val="16"/>
              </w:rPr>
              <w:t>5.4017</w:t>
            </w:r>
          </w:p>
        </w:tc>
        <w:tc>
          <w:tcPr>
            <w:tcW w:w="1276" w:type="dxa"/>
            <w:tcBorders>
              <w:top w:val="single" w:sz="6" w:space="0" w:color="auto"/>
              <w:left w:val="single" w:sz="6" w:space="0" w:color="auto"/>
              <w:bottom w:val="single" w:sz="6" w:space="0" w:color="auto"/>
              <w:right w:val="single" w:sz="6" w:space="0" w:color="auto"/>
            </w:tcBorders>
          </w:tcPr>
          <w:p w14:paraId="349392B3" w14:textId="71A2A333" w:rsidR="00720FF9" w:rsidRPr="00720FF9" w:rsidRDefault="00720FF9" w:rsidP="00711D19">
            <w:pPr>
              <w:spacing w:afterLines="60" w:after="144"/>
              <w:jc w:val="center"/>
              <w:rPr>
                <w:rFonts w:eastAsia="Arial Unicode MS" w:cs="Arial"/>
                <w:sz w:val="16"/>
                <w:szCs w:val="16"/>
              </w:rPr>
            </w:pPr>
            <w:r w:rsidRPr="00F57D9B">
              <w:rPr>
                <w:sz w:val="16"/>
              </w:rPr>
              <w:t xml:space="preserve"> </w:t>
            </w:r>
            <w:r w:rsidR="00464987" w:rsidRPr="00B71D60">
              <w:rPr>
                <w:sz w:val="16"/>
              </w:rPr>
              <w:t>5.1444</w:t>
            </w:r>
          </w:p>
        </w:tc>
      </w:tr>
      <w:tr w:rsidR="00720FF9" w14:paraId="06C136F7" w14:textId="77777777" w:rsidTr="00ED2B47">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0182B9F5"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701" w:type="dxa"/>
            <w:tcBorders>
              <w:top w:val="single" w:sz="6" w:space="0" w:color="auto"/>
              <w:left w:val="single" w:sz="6" w:space="0" w:color="auto"/>
              <w:bottom w:val="single" w:sz="6" w:space="0" w:color="auto"/>
              <w:right w:val="single" w:sz="6" w:space="0" w:color="auto"/>
            </w:tcBorders>
          </w:tcPr>
          <w:p w14:paraId="0F24A900" w14:textId="6879D894" w:rsidR="00720FF9" w:rsidRPr="00720FF9" w:rsidRDefault="00720FF9" w:rsidP="00711D19">
            <w:pPr>
              <w:spacing w:afterLines="60" w:after="144"/>
              <w:jc w:val="center"/>
              <w:rPr>
                <w:rFonts w:eastAsia="Arial Unicode MS" w:cs="Arial"/>
                <w:sz w:val="16"/>
                <w:szCs w:val="16"/>
              </w:rPr>
            </w:pPr>
            <w:r w:rsidRPr="00F57D9B">
              <w:rPr>
                <w:sz w:val="16"/>
              </w:rPr>
              <w:t xml:space="preserve"> </w:t>
            </w:r>
            <w:r w:rsidR="00464987" w:rsidRPr="00B71D60">
              <w:rPr>
                <w:sz w:val="16"/>
              </w:rPr>
              <w:t>9.2919</w:t>
            </w:r>
          </w:p>
        </w:tc>
        <w:tc>
          <w:tcPr>
            <w:tcW w:w="1701" w:type="dxa"/>
            <w:tcBorders>
              <w:top w:val="single" w:sz="6" w:space="0" w:color="auto"/>
              <w:left w:val="single" w:sz="6" w:space="0" w:color="auto"/>
              <w:bottom w:val="single" w:sz="6" w:space="0" w:color="auto"/>
              <w:right w:val="single" w:sz="6" w:space="0" w:color="auto"/>
            </w:tcBorders>
          </w:tcPr>
          <w:p w14:paraId="0C7412F0" w14:textId="5B45FF13" w:rsidR="00720FF9" w:rsidRPr="00720FF9" w:rsidRDefault="00464987" w:rsidP="00711D19">
            <w:pPr>
              <w:spacing w:afterLines="60" w:after="144"/>
              <w:jc w:val="center"/>
              <w:rPr>
                <w:rFonts w:eastAsia="Arial Unicode MS" w:cs="Arial"/>
                <w:sz w:val="16"/>
                <w:szCs w:val="16"/>
              </w:rPr>
            </w:pPr>
            <w:r w:rsidRPr="00B71D60">
              <w:rPr>
                <w:sz w:val="16"/>
              </w:rPr>
              <w:t>3.6256</w:t>
            </w:r>
          </w:p>
        </w:tc>
        <w:tc>
          <w:tcPr>
            <w:tcW w:w="141" w:type="dxa"/>
            <w:tcBorders>
              <w:left w:val="single" w:sz="6" w:space="0" w:color="auto"/>
              <w:right w:val="single" w:sz="6" w:space="0" w:color="auto"/>
            </w:tcBorders>
            <w:vAlign w:val="center"/>
          </w:tcPr>
          <w:p w14:paraId="5C072710"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197276E8"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417" w:type="dxa"/>
            <w:tcBorders>
              <w:top w:val="single" w:sz="6" w:space="0" w:color="auto"/>
              <w:left w:val="single" w:sz="6" w:space="0" w:color="auto"/>
              <w:bottom w:val="single" w:sz="6" w:space="0" w:color="auto"/>
              <w:right w:val="single" w:sz="6" w:space="0" w:color="auto"/>
            </w:tcBorders>
          </w:tcPr>
          <w:p w14:paraId="5748553B" w14:textId="5E361809" w:rsidR="00720FF9" w:rsidRPr="00720FF9" w:rsidRDefault="00464987" w:rsidP="00711D19">
            <w:pPr>
              <w:spacing w:afterLines="60" w:after="144"/>
              <w:jc w:val="center"/>
              <w:rPr>
                <w:rFonts w:eastAsia="Arial Unicode MS" w:cs="Arial"/>
                <w:sz w:val="16"/>
                <w:szCs w:val="16"/>
              </w:rPr>
            </w:pPr>
            <w:r w:rsidRPr="00B71D60">
              <w:rPr>
                <w:sz w:val="16"/>
              </w:rPr>
              <w:t>5.1442</w:t>
            </w:r>
          </w:p>
        </w:tc>
        <w:tc>
          <w:tcPr>
            <w:tcW w:w="1276" w:type="dxa"/>
            <w:tcBorders>
              <w:top w:val="single" w:sz="6" w:space="0" w:color="auto"/>
              <w:left w:val="single" w:sz="6" w:space="0" w:color="auto"/>
              <w:bottom w:val="single" w:sz="6" w:space="0" w:color="auto"/>
              <w:right w:val="single" w:sz="6" w:space="0" w:color="auto"/>
            </w:tcBorders>
          </w:tcPr>
          <w:p w14:paraId="0CFAA60F" w14:textId="5EC7F721" w:rsidR="00720FF9" w:rsidRPr="00720FF9" w:rsidRDefault="00464987" w:rsidP="00711D19">
            <w:pPr>
              <w:spacing w:afterLines="60" w:after="144"/>
              <w:jc w:val="center"/>
              <w:rPr>
                <w:rFonts w:eastAsia="Arial Unicode MS" w:cs="Arial"/>
                <w:sz w:val="16"/>
                <w:szCs w:val="16"/>
              </w:rPr>
            </w:pPr>
            <w:r w:rsidRPr="00B71D60">
              <w:rPr>
                <w:sz w:val="16"/>
              </w:rPr>
              <w:t>4.8847</w:t>
            </w:r>
          </w:p>
        </w:tc>
      </w:tr>
      <w:tr w:rsidR="00720FF9" w14:paraId="597E2E70" w14:textId="77777777" w:rsidTr="00ED2B47">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3D6646F8"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701" w:type="dxa"/>
            <w:tcBorders>
              <w:top w:val="single" w:sz="6" w:space="0" w:color="auto"/>
              <w:left w:val="single" w:sz="6" w:space="0" w:color="auto"/>
              <w:bottom w:val="single" w:sz="6" w:space="0" w:color="auto"/>
              <w:right w:val="single" w:sz="6" w:space="0" w:color="auto"/>
            </w:tcBorders>
          </w:tcPr>
          <w:p w14:paraId="17BD7C80" w14:textId="6E0997AE" w:rsidR="00720FF9" w:rsidRPr="00720FF9" w:rsidRDefault="00720FF9" w:rsidP="00711D19">
            <w:pPr>
              <w:spacing w:afterLines="60" w:after="144"/>
              <w:jc w:val="center"/>
              <w:rPr>
                <w:rFonts w:eastAsia="Arial Unicode MS" w:cs="Arial"/>
                <w:sz w:val="16"/>
                <w:szCs w:val="16"/>
              </w:rPr>
            </w:pPr>
            <w:r w:rsidRPr="00F57D9B">
              <w:rPr>
                <w:sz w:val="16"/>
              </w:rPr>
              <w:t xml:space="preserve"> </w:t>
            </w:r>
            <w:r w:rsidR="00464987" w:rsidRPr="00B71D60">
              <w:rPr>
                <w:sz w:val="16"/>
              </w:rPr>
              <w:t>3.3427</w:t>
            </w:r>
          </w:p>
        </w:tc>
        <w:tc>
          <w:tcPr>
            <w:tcW w:w="1701" w:type="dxa"/>
            <w:tcBorders>
              <w:top w:val="single" w:sz="6" w:space="0" w:color="auto"/>
              <w:left w:val="single" w:sz="6" w:space="0" w:color="auto"/>
              <w:bottom w:val="single" w:sz="6" w:space="0" w:color="auto"/>
              <w:right w:val="single" w:sz="6" w:space="0" w:color="auto"/>
            </w:tcBorders>
          </w:tcPr>
          <w:p w14:paraId="5B5DFD43" w14:textId="65DE8460" w:rsidR="00720FF9" w:rsidRPr="00720FF9" w:rsidRDefault="00464987" w:rsidP="00711D19">
            <w:pPr>
              <w:spacing w:afterLines="60" w:after="144"/>
              <w:jc w:val="center"/>
              <w:rPr>
                <w:rFonts w:eastAsia="Arial Unicode MS" w:cs="Arial"/>
                <w:sz w:val="16"/>
                <w:szCs w:val="16"/>
              </w:rPr>
            </w:pPr>
            <w:r w:rsidRPr="00B71D60">
              <w:rPr>
                <w:sz w:val="16"/>
              </w:rPr>
              <w:t>3.1833</w:t>
            </w:r>
          </w:p>
        </w:tc>
        <w:tc>
          <w:tcPr>
            <w:tcW w:w="141" w:type="dxa"/>
            <w:tcBorders>
              <w:left w:val="single" w:sz="6" w:space="0" w:color="auto"/>
              <w:right w:val="single" w:sz="6" w:space="0" w:color="auto"/>
            </w:tcBorders>
            <w:vAlign w:val="center"/>
          </w:tcPr>
          <w:p w14:paraId="3FC9C71C"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AE859DC"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417" w:type="dxa"/>
            <w:tcBorders>
              <w:top w:val="single" w:sz="6" w:space="0" w:color="auto"/>
              <w:left w:val="single" w:sz="6" w:space="0" w:color="auto"/>
              <w:bottom w:val="single" w:sz="6" w:space="0" w:color="auto"/>
              <w:right w:val="single" w:sz="6" w:space="0" w:color="auto"/>
            </w:tcBorders>
          </w:tcPr>
          <w:p w14:paraId="7ECC1AD8" w14:textId="431DE011" w:rsidR="00720FF9" w:rsidRPr="00720FF9" w:rsidRDefault="00464987" w:rsidP="00711D19">
            <w:pPr>
              <w:spacing w:afterLines="60" w:after="144"/>
              <w:jc w:val="center"/>
              <w:rPr>
                <w:rFonts w:eastAsia="Arial Unicode MS" w:cs="Arial"/>
                <w:sz w:val="16"/>
                <w:szCs w:val="16"/>
              </w:rPr>
            </w:pPr>
            <w:r w:rsidRPr="00B71D60">
              <w:rPr>
                <w:sz w:val="16"/>
              </w:rPr>
              <w:t>4.8938</w:t>
            </w:r>
          </w:p>
        </w:tc>
        <w:tc>
          <w:tcPr>
            <w:tcW w:w="1276" w:type="dxa"/>
            <w:tcBorders>
              <w:top w:val="single" w:sz="6" w:space="0" w:color="auto"/>
              <w:left w:val="single" w:sz="6" w:space="0" w:color="auto"/>
              <w:bottom w:val="single" w:sz="6" w:space="0" w:color="auto"/>
              <w:right w:val="single" w:sz="6" w:space="0" w:color="auto"/>
            </w:tcBorders>
          </w:tcPr>
          <w:p w14:paraId="772ECD12" w14:textId="197BDAAE" w:rsidR="00720FF9" w:rsidRPr="00720FF9" w:rsidRDefault="00464987" w:rsidP="00711D19">
            <w:pPr>
              <w:spacing w:afterLines="60" w:after="144"/>
              <w:jc w:val="center"/>
              <w:rPr>
                <w:rFonts w:eastAsia="Arial Unicode MS" w:cs="Arial"/>
                <w:sz w:val="16"/>
                <w:szCs w:val="16"/>
              </w:rPr>
            </w:pPr>
            <w:r w:rsidRPr="00B71D60">
              <w:rPr>
                <w:sz w:val="16"/>
              </w:rPr>
              <w:t>4.6469</w:t>
            </w:r>
          </w:p>
        </w:tc>
      </w:tr>
      <w:tr w:rsidR="00720FF9" w14:paraId="4B231FBE" w14:textId="77777777" w:rsidTr="00ED2B47">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58C8651D"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701" w:type="dxa"/>
            <w:tcBorders>
              <w:top w:val="single" w:sz="6" w:space="0" w:color="auto"/>
              <w:left w:val="single" w:sz="6" w:space="0" w:color="auto"/>
              <w:bottom w:val="single" w:sz="6" w:space="0" w:color="auto"/>
              <w:right w:val="single" w:sz="6" w:space="0" w:color="auto"/>
            </w:tcBorders>
          </w:tcPr>
          <w:p w14:paraId="1ADBEEFE" w14:textId="536F36FC" w:rsidR="00720FF9" w:rsidRPr="00720FF9" w:rsidRDefault="00720FF9" w:rsidP="00711D19">
            <w:pPr>
              <w:spacing w:afterLines="60" w:after="144"/>
              <w:jc w:val="center"/>
              <w:rPr>
                <w:rFonts w:eastAsia="Arial Unicode MS" w:cs="Arial"/>
                <w:sz w:val="16"/>
                <w:szCs w:val="16"/>
              </w:rPr>
            </w:pPr>
            <w:r w:rsidRPr="00F57D9B">
              <w:rPr>
                <w:sz w:val="16"/>
              </w:rPr>
              <w:t xml:space="preserve"> </w:t>
            </w:r>
            <w:r w:rsidR="00464987" w:rsidRPr="00B71D60">
              <w:rPr>
                <w:sz w:val="16"/>
              </w:rPr>
              <w:t>3.1833</w:t>
            </w:r>
          </w:p>
        </w:tc>
        <w:tc>
          <w:tcPr>
            <w:tcW w:w="1701" w:type="dxa"/>
            <w:tcBorders>
              <w:top w:val="single" w:sz="6" w:space="0" w:color="auto"/>
              <w:left w:val="single" w:sz="6" w:space="0" w:color="auto"/>
              <w:bottom w:val="single" w:sz="6" w:space="0" w:color="auto"/>
              <w:right w:val="single" w:sz="6" w:space="0" w:color="auto"/>
            </w:tcBorders>
          </w:tcPr>
          <w:p w14:paraId="026C3781" w14:textId="05274B86" w:rsidR="00720FF9" w:rsidRPr="00720FF9" w:rsidRDefault="00464987" w:rsidP="00711D19">
            <w:pPr>
              <w:spacing w:afterLines="60" w:after="144"/>
              <w:jc w:val="center"/>
              <w:rPr>
                <w:rFonts w:eastAsia="Arial Unicode MS" w:cs="Arial"/>
                <w:sz w:val="16"/>
                <w:szCs w:val="16"/>
              </w:rPr>
            </w:pPr>
            <w:r w:rsidRPr="00B71D60">
              <w:rPr>
                <w:sz w:val="16"/>
              </w:rPr>
              <w:t>3.0309</w:t>
            </w:r>
          </w:p>
        </w:tc>
        <w:tc>
          <w:tcPr>
            <w:tcW w:w="141" w:type="dxa"/>
            <w:tcBorders>
              <w:left w:val="single" w:sz="6" w:space="0" w:color="auto"/>
              <w:right w:val="single" w:sz="6" w:space="0" w:color="auto"/>
            </w:tcBorders>
            <w:vAlign w:val="center"/>
          </w:tcPr>
          <w:p w14:paraId="0C9A104E"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0D703BE9"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417" w:type="dxa"/>
            <w:tcBorders>
              <w:top w:val="single" w:sz="6" w:space="0" w:color="auto"/>
              <w:left w:val="single" w:sz="6" w:space="0" w:color="auto"/>
              <w:bottom w:val="single" w:sz="6" w:space="0" w:color="auto"/>
              <w:right w:val="single" w:sz="6" w:space="0" w:color="auto"/>
            </w:tcBorders>
          </w:tcPr>
          <w:p w14:paraId="25B70D43" w14:textId="589667AC" w:rsidR="00720FF9" w:rsidRPr="00720FF9" w:rsidRDefault="00464987" w:rsidP="00711D19">
            <w:pPr>
              <w:spacing w:afterLines="60" w:after="144"/>
              <w:jc w:val="center"/>
              <w:rPr>
                <w:rFonts w:eastAsia="Arial Unicode MS" w:cs="Arial"/>
                <w:sz w:val="16"/>
                <w:szCs w:val="16"/>
              </w:rPr>
            </w:pPr>
            <w:r w:rsidRPr="00B71D60">
              <w:rPr>
                <w:sz w:val="16"/>
              </w:rPr>
              <w:t>4.6465</w:t>
            </w:r>
          </w:p>
        </w:tc>
        <w:tc>
          <w:tcPr>
            <w:tcW w:w="1276" w:type="dxa"/>
            <w:tcBorders>
              <w:top w:val="single" w:sz="6" w:space="0" w:color="auto"/>
              <w:left w:val="single" w:sz="6" w:space="0" w:color="auto"/>
              <w:bottom w:val="single" w:sz="6" w:space="0" w:color="auto"/>
              <w:right w:val="single" w:sz="6" w:space="0" w:color="auto"/>
            </w:tcBorders>
          </w:tcPr>
          <w:p w14:paraId="7A8493B2" w14:textId="296CEE00" w:rsidR="00720FF9" w:rsidRPr="00720FF9" w:rsidRDefault="00464987" w:rsidP="00711D19">
            <w:pPr>
              <w:spacing w:afterLines="60" w:after="144"/>
              <w:jc w:val="center"/>
              <w:rPr>
                <w:rFonts w:eastAsia="Arial Unicode MS" w:cs="Arial"/>
                <w:sz w:val="16"/>
                <w:szCs w:val="16"/>
              </w:rPr>
            </w:pPr>
            <w:r w:rsidRPr="00B71D60">
              <w:rPr>
                <w:sz w:val="16"/>
              </w:rPr>
              <w:t>4.4252</w:t>
            </w:r>
          </w:p>
        </w:tc>
      </w:tr>
    </w:tbl>
    <w:p w14:paraId="1D8598DD" w14:textId="77777777" w:rsidR="009D7ABF" w:rsidRDefault="009D7ABF" w:rsidP="00711D19">
      <w:pPr>
        <w:spacing w:afterLines="60" w:after="144"/>
        <w:rPr>
          <w:rFonts w:cs="Arial"/>
          <w:sz w:val="16"/>
          <w:lang w:val="en-US"/>
        </w:rPr>
      </w:pPr>
    </w:p>
    <w:p w14:paraId="29460BC9" w14:textId="77777777" w:rsidR="009D7ABF" w:rsidRDefault="009D7ABF" w:rsidP="008A599C">
      <w:pPr>
        <w:pStyle w:val="BodyText"/>
      </w:pPr>
      <w:r>
        <w:t>Tariff M (TNMAC)</w:t>
      </w:r>
      <w:r>
        <w:tab/>
      </w:r>
      <w:r w:rsidR="002B7647">
        <w:tab/>
      </w:r>
      <w:r w:rsidR="002B7647">
        <w:tab/>
      </w:r>
      <w:r w:rsidR="002B7647">
        <w:tab/>
      </w:r>
      <w:r w:rsidR="002B7647">
        <w:tab/>
      </w:r>
      <w:r>
        <w:t>Tariff D (D)</w:t>
      </w:r>
    </w:p>
    <w:tbl>
      <w:tblPr>
        <w:tblW w:w="9386" w:type="dxa"/>
        <w:tblLayout w:type="fixed"/>
        <w:tblCellMar>
          <w:left w:w="30" w:type="dxa"/>
          <w:right w:w="30" w:type="dxa"/>
        </w:tblCellMar>
        <w:tblLook w:val="0000" w:firstRow="0" w:lastRow="0" w:firstColumn="0" w:lastColumn="0" w:noHBand="0" w:noVBand="0"/>
      </w:tblPr>
      <w:tblGrid>
        <w:gridCol w:w="1590"/>
        <w:gridCol w:w="3402"/>
        <w:gridCol w:w="141"/>
        <w:gridCol w:w="1560"/>
        <w:gridCol w:w="2693"/>
      </w:tblGrid>
      <w:tr w:rsidR="009D7ABF" w14:paraId="18D3C7FC" w14:textId="77777777">
        <w:trPr>
          <w:cantSplit/>
          <w:trHeight w:val="720"/>
        </w:trPr>
        <w:tc>
          <w:tcPr>
            <w:tcW w:w="1590" w:type="dxa"/>
            <w:tcBorders>
              <w:top w:val="single" w:sz="6" w:space="0" w:color="auto"/>
              <w:left w:val="single" w:sz="6" w:space="0" w:color="auto"/>
              <w:bottom w:val="single" w:sz="6" w:space="0" w:color="auto"/>
              <w:right w:val="single" w:sz="6" w:space="0" w:color="auto"/>
            </w:tcBorders>
            <w:shd w:val="clear" w:color="auto" w:fill="E0E0E0"/>
            <w:vAlign w:val="center"/>
          </w:tcPr>
          <w:p w14:paraId="7F3EEC0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2BF15907"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3402" w:type="dxa"/>
            <w:tcBorders>
              <w:top w:val="single" w:sz="6" w:space="0" w:color="auto"/>
              <w:left w:val="single" w:sz="6" w:space="0" w:color="auto"/>
              <w:bottom w:val="single" w:sz="6" w:space="0" w:color="auto"/>
              <w:right w:val="single" w:sz="6" w:space="0" w:color="auto"/>
            </w:tcBorders>
            <w:shd w:val="clear" w:color="auto" w:fill="E0E0E0"/>
            <w:vAlign w:val="center"/>
          </w:tcPr>
          <w:p w14:paraId="64F139E2"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154672DD"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c>
          <w:tcPr>
            <w:tcW w:w="141" w:type="dxa"/>
            <w:tcBorders>
              <w:left w:val="single" w:sz="6" w:space="0" w:color="auto"/>
              <w:bottom w:val="nil"/>
              <w:right w:val="single" w:sz="6" w:space="0" w:color="auto"/>
            </w:tcBorders>
            <w:vAlign w:val="center"/>
          </w:tcPr>
          <w:p w14:paraId="4AB14101" w14:textId="77777777" w:rsidR="009D7ABF" w:rsidRPr="00060F5C" w:rsidRDefault="009D7ABF">
            <w:pPr>
              <w:autoSpaceDE w:val="0"/>
              <w:autoSpaceDN w:val="0"/>
              <w:adjustRightInd w:val="0"/>
              <w:jc w:val="center"/>
              <w:rPr>
                <w:rFonts w:cs="Arial"/>
                <w:b/>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E0E0E0"/>
            <w:vAlign w:val="center"/>
          </w:tcPr>
          <w:p w14:paraId="0D17B076"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60D96453"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693" w:type="dxa"/>
            <w:tcBorders>
              <w:top w:val="single" w:sz="6" w:space="0" w:color="auto"/>
              <w:left w:val="single" w:sz="6" w:space="0" w:color="auto"/>
              <w:bottom w:val="single" w:sz="6" w:space="0" w:color="auto"/>
              <w:right w:val="single" w:sz="6" w:space="0" w:color="auto"/>
            </w:tcBorders>
            <w:shd w:val="clear" w:color="auto" w:fill="E0E0E0"/>
            <w:vAlign w:val="center"/>
          </w:tcPr>
          <w:p w14:paraId="0EEAAC9B"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5BEC71BA"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r>
      <w:tr w:rsidR="0009609B" w14:paraId="02F77BD2" w14:textId="77777777" w:rsidTr="00F072E4">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0FABD91B"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3402" w:type="dxa"/>
            <w:tcBorders>
              <w:top w:val="single" w:sz="6" w:space="0" w:color="auto"/>
              <w:left w:val="single" w:sz="6" w:space="0" w:color="auto"/>
              <w:bottom w:val="single" w:sz="6" w:space="0" w:color="auto"/>
              <w:right w:val="single" w:sz="6" w:space="0" w:color="auto"/>
            </w:tcBorders>
          </w:tcPr>
          <w:p w14:paraId="4EB48A05" w14:textId="52F34712" w:rsidR="0009609B" w:rsidRPr="0009609B" w:rsidRDefault="0009609B" w:rsidP="00711D19">
            <w:pPr>
              <w:spacing w:afterLines="60" w:after="144"/>
              <w:jc w:val="center"/>
              <w:rPr>
                <w:rFonts w:eastAsia="Arial Unicode MS" w:cs="Arial"/>
                <w:sz w:val="16"/>
                <w:szCs w:val="16"/>
              </w:rPr>
            </w:pPr>
            <w:r w:rsidRPr="00F57D9B">
              <w:rPr>
                <w:sz w:val="16"/>
              </w:rPr>
              <w:t xml:space="preserve"> </w:t>
            </w:r>
            <w:r w:rsidR="00464987" w:rsidRPr="00B71D60">
              <w:rPr>
                <w:sz w:val="16"/>
              </w:rPr>
              <w:t>855.6597</w:t>
            </w:r>
          </w:p>
        </w:tc>
        <w:tc>
          <w:tcPr>
            <w:tcW w:w="141" w:type="dxa"/>
            <w:tcBorders>
              <w:left w:val="single" w:sz="6" w:space="0" w:color="auto"/>
              <w:right w:val="single" w:sz="6" w:space="0" w:color="auto"/>
            </w:tcBorders>
            <w:vAlign w:val="center"/>
          </w:tcPr>
          <w:p w14:paraId="7F1FB7E8"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7EDF342A"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0-10</w:t>
            </w:r>
          </w:p>
        </w:tc>
        <w:tc>
          <w:tcPr>
            <w:tcW w:w="2693" w:type="dxa"/>
            <w:tcBorders>
              <w:top w:val="single" w:sz="6" w:space="0" w:color="auto"/>
              <w:left w:val="single" w:sz="6" w:space="0" w:color="auto"/>
              <w:bottom w:val="single" w:sz="6" w:space="0" w:color="auto"/>
              <w:right w:val="single" w:sz="6" w:space="0" w:color="auto"/>
            </w:tcBorders>
          </w:tcPr>
          <w:p w14:paraId="53E13D3F" w14:textId="59FA6BE8" w:rsidR="0009609B" w:rsidRPr="0009609B" w:rsidRDefault="00464987" w:rsidP="00711D19">
            <w:pPr>
              <w:spacing w:afterLines="60" w:after="144"/>
              <w:jc w:val="center"/>
              <w:rPr>
                <w:rFonts w:eastAsia="Arial Unicode MS" w:cs="Arial"/>
                <w:sz w:val="16"/>
                <w:szCs w:val="16"/>
              </w:rPr>
            </w:pPr>
            <w:r w:rsidRPr="00B71D60">
              <w:rPr>
                <w:sz w:val="16"/>
              </w:rPr>
              <w:t>390.5362</w:t>
            </w:r>
          </w:p>
        </w:tc>
      </w:tr>
      <w:tr w:rsidR="0009609B" w14:paraId="3CEBB457"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6B55EA46"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3402" w:type="dxa"/>
            <w:tcBorders>
              <w:top w:val="single" w:sz="6" w:space="0" w:color="auto"/>
              <w:left w:val="single" w:sz="6" w:space="0" w:color="auto"/>
              <w:bottom w:val="single" w:sz="6" w:space="0" w:color="auto"/>
              <w:right w:val="single" w:sz="6" w:space="0" w:color="auto"/>
            </w:tcBorders>
          </w:tcPr>
          <w:p w14:paraId="5A09681B" w14:textId="6BA21B13" w:rsidR="0009609B" w:rsidRPr="0009609B" w:rsidRDefault="00464987" w:rsidP="00711D19">
            <w:pPr>
              <w:spacing w:afterLines="60" w:after="144"/>
              <w:jc w:val="center"/>
              <w:rPr>
                <w:rFonts w:eastAsia="Arial Unicode MS" w:cs="Arial"/>
                <w:sz w:val="16"/>
                <w:szCs w:val="16"/>
              </w:rPr>
            </w:pPr>
            <w:r w:rsidRPr="00B71D60">
              <w:rPr>
                <w:sz w:val="16"/>
              </w:rPr>
              <w:t>814.9139</w:t>
            </w:r>
          </w:p>
        </w:tc>
        <w:tc>
          <w:tcPr>
            <w:tcW w:w="141" w:type="dxa"/>
            <w:tcBorders>
              <w:left w:val="single" w:sz="6" w:space="0" w:color="auto"/>
              <w:right w:val="single" w:sz="6" w:space="0" w:color="auto"/>
            </w:tcBorders>
            <w:vAlign w:val="center"/>
          </w:tcPr>
          <w:p w14:paraId="35EBBB23"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F76F3B3"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10 – 50</w:t>
            </w:r>
          </w:p>
        </w:tc>
        <w:tc>
          <w:tcPr>
            <w:tcW w:w="2693" w:type="dxa"/>
            <w:tcBorders>
              <w:top w:val="single" w:sz="6" w:space="0" w:color="auto"/>
              <w:left w:val="single" w:sz="6" w:space="0" w:color="auto"/>
              <w:bottom w:val="single" w:sz="6" w:space="0" w:color="auto"/>
              <w:right w:val="single" w:sz="6" w:space="0" w:color="auto"/>
            </w:tcBorders>
          </w:tcPr>
          <w:p w14:paraId="016FE689" w14:textId="1BA70EF1" w:rsidR="0009609B" w:rsidRPr="0009609B" w:rsidRDefault="00464987" w:rsidP="00711D19">
            <w:pPr>
              <w:spacing w:afterLines="60" w:after="144"/>
              <w:jc w:val="center"/>
              <w:rPr>
                <w:rFonts w:eastAsia="Arial Unicode MS" w:cs="Arial"/>
                <w:sz w:val="16"/>
                <w:szCs w:val="16"/>
              </w:rPr>
            </w:pPr>
            <w:r w:rsidRPr="00B71D60">
              <w:rPr>
                <w:sz w:val="16"/>
              </w:rPr>
              <w:t>371.9391</w:t>
            </w:r>
          </w:p>
        </w:tc>
      </w:tr>
      <w:tr w:rsidR="0009609B" w14:paraId="232ADF6A"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39724BA4"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3402" w:type="dxa"/>
            <w:tcBorders>
              <w:top w:val="single" w:sz="6" w:space="0" w:color="auto"/>
              <w:left w:val="single" w:sz="6" w:space="0" w:color="auto"/>
              <w:bottom w:val="single" w:sz="6" w:space="0" w:color="auto"/>
              <w:right w:val="single" w:sz="6" w:space="0" w:color="auto"/>
            </w:tcBorders>
          </w:tcPr>
          <w:p w14:paraId="70CCB64E" w14:textId="72F4FBEE" w:rsidR="0009609B" w:rsidRPr="0009609B" w:rsidRDefault="00464987" w:rsidP="00711D19">
            <w:pPr>
              <w:spacing w:afterLines="60" w:after="144"/>
              <w:jc w:val="center"/>
              <w:rPr>
                <w:rFonts w:eastAsia="Arial Unicode MS" w:cs="Arial"/>
                <w:sz w:val="16"/>
                <w:szCs w:val="16"/>
              </w:rPr>
            </w:pPr>
            <w:r w:rsidRPr="00C72720">
              <w:rPr>
                <w:sz w:val="16"/>
              </w:rPr>
              <w:t>169.6481</w:t>
            </w:r>
          </w:p>
        </w:tc>
        <w:tc>
          <w:tcPr>
            <w:tcW w:w="141" w:type="dxa"/>
            <w:tcBorders>
              <w:left w:val="single" w:sz="6" w:space="0" w:color="auto"/>
              <w:right w:val="single" w:sz="6" w:space="0" w:color="auto"/>
            </w:tcBorders>
            <w:vAlign w:val="center"/>
          </w:tcPr>
          <w:p w14:paraId="787AC578" w14:textId="77777777" w:rsidR="0009609B" w:rsidRDefault="0009609B">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18F6859B" w14:textId="77777777" w:rsidR="0009609B" w:rsidRDefault="0009609B"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50</w:t>
            </w:r>
          </w:p>
        </w:tc>
        <w:tc>
          <w:tcPr>
            <w:tcW w:w="2693" w:type="dxa"/>
            <w:tcBorders>
              <w:top w:val="single" w:sz="6" w:space="0" w:color="auto"/>
              <w:left w:val="single" w:sz="6" w:space="0" w:color="auto"/>
              <w:bottom w:val="single" w:sz="6" w:space="0" w:color="auto"/>
              <w:right w:val="single" w:sz="6" w:space="0" w:color="auto"/>
            </w:tcBorders>
          </w:tcPr>
          <w:p w14:paraId="44704C45" w14:textId="16A483F1" w:rsidR="0009609B" w:rsidRPr="0009609B" w:rsidRDefault="00464987" w:rsidP="00711D19">
            <w:pPr>
              <w:spacing w:afterLines="60" w:after="144"/>
              <w:jc w:val="center"/>
              <w:rPr>
                <w:rFonts w:eastAsia="Arial Unicode MS" w:cs="Arial"/>
                <w:sz w:val="16"/>
                <w:szCs w:val="16"/>
              </w:rPr>
            </w:pPr>
            <w:r w:rsidRPr="00C72720">
              <w:rPr>
                <w:sz w:val="16"/>
              </w:rPr>
              <w:t>180.5725</w:t>
            </w:r>
          </w:p>
        </w:tc>
      </w:tr>
    </w:tbl>
    <w:p w14:paraId="3EC9B203" w14:textId="77777777" w:rsidR="009D7ABF" w:rsidRDefault="009D7ABF" w:rsidP="00711D19">
      <w:pPr>
        <w:spacing w:afterLines="60" w:after="144"/>
        <w:rPr>
          <w:rFonts w:cs="Arial"/>
        </w:rPr>
      </w:pPr>
    </w:p>
    <w:p w14:paraId="5ABEE206" w14:textId="77777777" w:rsidR="009D7ABF" w:rsidRDefault="009D7ABF" w:rsidP="00035B92">
      <w:pPr>
        <w:pStyle w:val="Heading2"/>
      </w:pPr>
      <w:bookmarkStart w:id="182" w:name="_Toc469519514"/>
      <w:r>
        <w:t>Adjoining West Zone</w:t>
      </w:r>
      <w:bookmarkEnd w:id="182"/>
    </w:p>
    <w:p w14:paraId="67F1DE36" w14:textId="77777777" w:rsidR="009D7ABF" w:rsidRDefault="009D7ABF" w:rsidP="00711D19">
      <w:pPr>
        <w:spacing w:afterLines="60" w:after="144"/>
        <w:rPr>
          <w:rFonts w:cs="Arial"/>
          <w:sz w:val="16"/>
          <w:lang w:val="en-US"/>
        </w:rPr>
      </w:pPr>
      <w:r>
        <w:rPr>
          <w:rFonts w:cs="Arial"/>
          <w:sz w:val="16"/>
        </w:rPr>
        <w:t>Postcodes:</w:t>
      </w:r>
      <w:r>
        <w:rPr>
          <w:rFonts w:cs="Arial"/>
          <w:sz w:val="16"/>
        </w:rPr>
        <w:tab/>
      </w:r>
      <w:r w:rsidR="002E2733" w:rsidRPr="006377FB">
        <w:rPr>
          <w:rFonts w:cs="Arial"/>
          <w:sz w:val="16"/>
          <w:szCs w:val="16"/>
        </w:rPr>
        <w:t>3260, 3284, 3363, 3364, 3431, 3434, 3435, 3437, 3438, 3440, 3441, 3442, 3551</w:t>
      </w:r>
      <w:r w:rsidR="002E2733">
        <w:rPr>
          <w:rFonts w:cs="Arial"/>
          <w:sz w:val="16"/>
          <w:szCs w:val="16"/>
        </w:rPr>
        <w:t>*</w:t>
      </w:r>
      <w:r>
        <w:rPr>
          <w:rFonts w:cs="Arial"/>
          <w:sz w:val="16"/>
          <w:vertAlign w:val="superscript"/>
          <w:lang w:val="en-US"/>
        </w:rPr>
        <w:t>*</w:t>
      </w:r>
    </w:p>
    <w:p w14:paraId="44E6BC3F" w14:textId="77777777" w:rsidR="009D7ABF" w:rsidRDefault="009D7ABF" w:rsidP="00711D19">
      <w:pPr>
        <w:spacing w:afterLines="60" w:after="144"/>
        <w:rPr>
          <w:rFonts w:cs="Arial"/>
          <w:sz w:val="16"/>
          <w:lang w:val="en-US"/>
        </w:rPr>
      </w:pPr>
    </w:p>
    <w:p w14:paraId="62D095AD" w14:textId="77777777" w:rsidR="009D7ABF" w:rsidRDefault="009D7ABF" w:rsidP="008A599C">
      <w:pPr>
        <w:pStyle w:val="BodyText"/>
      </w:pPr>
      <w:r>
        <w:t xml:space="preserve">Tariff V </w:t>
      </w:r>
      <w:r w:rsidR="0031487E">
        <w:t xml:space="preserve">Residential </w:t>
      </w:r>
      <w:r>
        <w:t>(TNVDAW)</w:t>
      </w:r>
      <w:r>
        <w:tab/>
      </w:r>
      <w:r w:rsidR="0031487E">
        <w:tab/>
      </w:r>
      <w:r w:rsidR="0031487E">
        <w:tab/>
      </w:r>
      <w:r w:rsidR="0031487E">
        <w:tab/>
      </w:r>
      <w:r>
        <w:t xml:space="preserve">Tariff V Non </w:t>
      </w:r>
      <w:r w:rsidR="0031487E">
        <w:t xml:space="preserve">Residential </w:t>
      </w:r>
      <w:r>
        <w:t>(TNVNAW)</w:t>
      </w:r>
    </w:p>
    <w:tbl>
      <w:tblPr>
        <w:tblW w:w="9386" w:type="dxa"/>
        <w:tblLayout w:type="fixed"/>
        <w:tblCellMar>
          <w:left w:w="30" w:type="dxa"/>
          <w:right w:w="30" w:type="dxa"/>
        </w:tblCellMar>
        <w:tblLook w:val="0000" w:firstRow="0" w:lastRow="0" w:firstColumn="0" w:lastColumn="0" w:noHBand="0" w:noVBand="0"/>
      </w:tblPr>
      <w:tblGrid>
        <w:gridCol w:w="1590"/>
        <w:gridCol w:w="1701"/>
        <w:gridCol w:w="1701"/>
        <w:gridCol w:w="141"/>
        <w:gridCol w:w="1560"/>
        <w:gridCol w:w="1230"/>
        <w:gridCol w:w="1463"/>
      </w:tblGrid>
      <w:tr w:rsidR="009D7ABF" w14:paraId="09BDF837" w14:textId="77777777">
        <w:trPr>
          <w:trHeight w:val="434"/>
        </w:trPr>
        <w:tc>
          <w:tcPr>
            <w:tcW w:w="3291" w:type="dxa"/>
            <w:gridSpan w:val="2"/>
            <w:tcBorders>
              <w:top w:val="single" w:sz="6" w:space="0" w:color="auto"/>
              <w:left w:val="single" w:sz="6" w:space="0" w:color="auto"/>
              <w:bottom w:val="single" w:sz="6" w:space="0" w:color="auto"/>
            </w:tcBorders>
            <w:vAlign w:val="center"/>
          </w:tcPr>
          <w:p w14:paraId="770AF10D" w14:textId="77777777" w:rsidR="009D7ABF" w:rsidRDefault="009D7ABF" w:rsidP="00711D19">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701" w:type="dxa"/>
            <w:tcBorders>
              <w:top w:val="single" w:sz="6" w:space="0" w:color="auto"/>
              <w:bottom w:val="single" w:sz="6" w:space="0" w:color="auto"/>
              <w:right w:val="single" w:sz="6" w:space="0" w:color="auto"/>
            </w:tcBorders>
            <w:vAlign w:val="center"/>
          </w:tcPr>
          <w:p w14:paraId="79CE6C71" w14:textId="40667F2E" w:rsidR="009D7ABF" w:rsidRDefault="00BB6BA2" w:rsidP="00711D19">
            <w:pPr>
              <w:autoSpaceDE w:val="0"/>
              <w:autoSpaceDN w:val="0"/>
              <w:adjustRightInd w:val="0"/>
              <w:spacing w:afterLines="60" w:after="144"/>
              <w:jc w:val="right"/>
              <w:rPr>
                <w:rFonts w:cs="Arial"/>
                <w:color w:val="000000"/>
                <w:sz w:val="16"/>
                <w:szCs w:val="16"/>
                <w:lang w:val="en-US"/>
              </w:rPr>
            </w:pPr>
            <w:r w:rsidRPr="009A1DFC">
              <w:rPr>
                <w:sz w:val="16"/>
              </w:rPr>
              <w:t>$0.</w:t>
            </w:r>
            <w:r w:rsidR="00720FF9">
              <w:rPr>
                <w:sz w:val="16"/>
              </w:rPr>
              <w:t xml:space="preserve"> </w:t>
            </w:r>
            <w:r w:rsidR="00B27070">
              <w:rPr>
                <w:sz w:val="16"/>
              </w:rPr>
              <w:t>3177</w:t>
            </w:r>
            <w:r w:rsidRPr="009A1DFC">
              <w:rPr>
                <w:sz w:val="16"/>
              </w:rPr>
              <w:t>/day</w:t>
            </w:r>
          </w:p>
        </w:tc>
        <w:tc>
          <w:tcPr>
            <w:tcW w:w="141" w:type="dxa"/>
            <w:tcBorders>
              <w:left w:val="single" w:sz="6" w:space="0" w:color="auto"/>
              <w:right w:val="single" w:sz="6" w:space="0" w:color="auto"/>
            </w:tcBorders>
            <w:vAlign w:val="center"/>
          </w:tcPr>
          <w:p w14:paraId="7F231A77" w14:textId="77777777" w:rsidR="009D7ABF" w:rsidRDefault="009D7ABF">
            <w:pPr>
              <w:autoSpaceDE w:val="0"/>
              <w:autoSpaceDN w:val="0"/>
              <w:adjustRightInd w:val="0"/>
              <w:jc w:val="center"/>
              <w:rPr>
                <w:rFonts w:cs="Arial"/>
                <w:color w:val="000000"/>
                <w:szCs w:val="24"/>
                <w:lang w:val="en-US"/>
              </w:rPr>
            </w:pPr>
          </w:p>
        </w:tc>
        <w:tc>
          <w:tcPr>
            <w:tcW w:w="2790" w:type="dxa"/>
            <w:gridSpan w:val="2"/>
            <w:tcBorders>
              <w:top w:val="single" w:sz="6" w:space="0" w:color="auto"/>
              <w:left w:val="single" w:sz="6" w:space="0" w:color="auto"/>
              <w:bottom w:val="single" w:sz="6" w:space="0" w:color="auto"/>
            </w:tcBorders>
            <w:vAlign w:val="center"/>
          </w:tcPr>
          <w:p w14:paraId="00BB4B55" w14:textId="77777777" w:rsidR="009D7ABF" w:rsidRDefault="009D7ABF" w:rsidP="00711D19">
            <w:pPr>
              <w:autoSpaceDE w:val="0"/>
              <w:autoSpaceDN w:val="0"/>
              <w:adjustRightInd w:val="0"/>
              <w:spacing w:afterLines="60" w:after="144"/>
              <w:rPr>
                <w:rFonts w:cs="Arial"/>
                <w:color w:val="000000"/>
                <w:sz w:val="16"/>
                <w:szCs w:val="16"/>
                <w:lang w:val="en-US"/>
              </w:rPr>
            </w:pPr>
            <w:r>
              <w:rPr>
                <w:rFonts w:cs="Arial"/>
                <w:color w:val="000000"/>
                <w:sz w:val="16"/>
                <w:szCs w:val="16"/>
                <w:lang w:val="en-US"/>
              </w:rPr>
              <w:t>Distribution Fixed Tariff Component</w:t>
            </w:r>
          </w:p>
        </w:tc>
        <w:tc>
          <w:tcPr>
            <w:tcW w:w="1463" w:type="dxa"/>
            <w:tcBorders>
              <w:top w:val="single" w:sz="6" w:space="0" w:color="auto"/>
              <w:bottom w:val="single" w:sz="6" w:space="0" w:color="auto"/>
              <w:right w:val="single" w:sz="6" w:space="0" w:color="auto"/>
            </w:tcBorders>
            <w:vAlign w:val="center"/>
          </w:tcPr>
          <w:p w14:paraId="2C45B859" w14:textId="3729DE41" w:rsidR="009D7ABF" w:rsidRDefault="00BB6BA2" w:rsidP="00711D19">
            <w:pPr>
              <w:autoSpaceDE w:val="0"/>
              <w:autoSpaceDN w:val="0"/>
              <w:adjustRightInd w:val="0"/>
              <w:spacing w:afterLines="60" w:after="144"/>
              <w:jc w:val="right"/>
              <w:rPr>
                <w:rFonts w:cs="Arial"/>
                <w:color w:val="000000"/>
                <w:sz w:val="16"/>
                <w:szCs w:val="16"/>
                <w:lang w:val="en-US"/>
              </w:rPr>
            </w:pPr>
            <w:r w:rsidRPr="009A1DFC">
              <w:rPr>
                <w:sz w:val="16"/>
              </w:rPr>
              <w:t>$0.</w:t>
            </w:r>
            <w:r w:rsidR="00B27070">
              <w:rPr>
                <w:sz w:val="16"/>
              </w:rPr>
              <w:t>3345</w:t>
            </w:r>
            <w:r w:rsidRPr="009A1DFC">
              <w:rPr>
                <w:sz w:val="16"/>
              </w:rPr>
              <w:t>/day</w:t>
            </w:r>
          </w:p>
        </w:tc>
      </w:tr>
      <w:tr w:rsidR="009D7ABF" w14:paraId="45B3B72F" w14:textId="77777777">
        <w:trPr>
          <w:cantSplit/>
          <w:trHeight w:val="434"/>
        </w:trPr>
        <w:tc>
          <w:tcPr>
            <w:tcW w:w="159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57E818B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7E0894DB"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3402"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2A43877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c>
          <w:tcPr>
            <w:tcW w:w="141" w:type="dxa"/>
            <w:tcBorders>
              <w:left w:val="single" w:sz="6" w:space="0" w:color="auto"/>
              <w:right w:val="single" w:sz="6" w:space="0" w:color="auto"/>
            </w:tcBorders>
            <w:vAlign w:val="center"/>
          </w:tcPr>
          <w:p w14:paraId="7BB02436" w14:textId="77777777" w:rsidR="009D7ABF" w:rsidRPr="00060F5C" w:rsidRDefault="009D7ABF">
            <w:pPr>
              <w:autoSpaceDE w:val="0"/>
              <w:autoSpaceDN w:val="0"/>
              <w:adjustRightInd w:val="0"/>
              <w:jc w:val="center"/>
              <w:rPr>
                <w:rFonts w:cs="Arial"/>
                <w:b/>
                <w:color w:val="000000"/>
                <w:szCs w:val="24"/>
                <w:lang w:val="en-US"/>
              </w:rPr>
            </w:pPr>
          </w:p>
        </w:tc>
        <w:tc>
          <w:tcPr>
            <w:tcW w:w="156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14:paraId="2F6A18DD"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Consumption Range</w:t>
            </w:r>
          </w:p>
          <w:p w14:paraId="1448A9D5"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(GJ/day)</w:t>
            </w:r>
          </w:p>
        </w:tc>
        <w:tc>
          <w:tcPr>
            <w:tcW w:w="2693"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42A81829"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Volume Tariff component</w:t>
            </w:r>
          </w:p>
        </w:tc>
      </w:tr>
      <w:tr w:rsidR="009D7ABF" w14:paraId="386FF693" w14:textId="77777777">
        <w:trPr>
          <w:cantSplit/>
          <w:trHeight w:val="397"/>
        </w:trPr>
        <w:tc>
          <w:tcPr>
            <w:tcW w:w="1590" w:type="dxa"/>
            <w:vMerge/>
            <w:tcBorders>
              <w:left w:val="single" w:sz="6" w:space="0" w:color="auto"/>
              <w:bottom w:val="single" w:sz="6" w:space="0" w:color="auto"/>
              <w:right w:val="single" w:sz="6" w:space="0" w:color="auto"/>
            </w:tcBorders>
            <w:shd w:val="clear" w:color="auto" w:fill="E0E0E0"/>
            <w:vAlign w:val="center"/>
          </w:tcPr>
          <w:p w14:paraId="1A875B32" w14:textId="77777777" w:rsidR="009D7ABF" w:rsidRPr="00060F5C" w:rsidRDefault="009D7ABF">
            <w:pPr>
              <w:autoSpaceDE w:val="0"/>
              <w:autoSpaceDN w:val="0"/>
              <w:adjustRightInd w:val="0"/>
              <w:jc w:val="center"/>
              <w:rPr>
                <w:rFonts w:cs="Arial"/>
                <w:b/>
                <w:color w:val="000000"/>
                <w:sz w:val="16"/>
                <w:szCs w:val="16"/>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55C24DD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1A308E7E"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701" w:type="dxa"/>
            <w:tcBorders>
              <w:top w:val="single" w:sz="6" w:space="0" w:color="auto"/>
              <w:left w:val="single" w:sz="6" w:space="0" w:color="auto"/>
              <w:bottom w:val="single" w:sz="6" w:space="0" w:color="auto"/>
              <w:right w:val="single" w:sz="6" w:space="0" w:color="auto"/>
            </w:tcBorders>
            <w:shd w:val="clear" w:color="auto" w:fill="E0E0E0"/>
            <w:vAlign w:val="center"/>
          </w:tcPr>
          <w:p w14:paraId="53D72E65"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011BC27F"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1" w:type="dxa"/>
            <w:tcBorders>
              <w:left w:val="single" w:sz="6" w:space="0" w:color="auto"/>
              <w:bottom w:val="nil"/>
              <w:right w:val="single" w:sz="6" w:space="0" w:color="auto"/>
            </w:tcBorders>
            <w:vAlign w:val="center"/>
          </w:tcPr>
          <w:p w14:paraId="21012189" w14:textId="77777777" w:rsidR="009D7ABF" w:rsidRPr="00060F5C" w:rsidRDefault="009D7ABF">
            <w:pPr>
              <w:autoSpaceDE w:val="0"/>
              <w:autoSpaceDN w:val="0"/>
              <w:adjustRightInd w:val="0"/>
              <w:jc w:val="center"/>
              <w:rPr>
                <w:rFonts w:cs="Arial"/>
                <w:b/>
                <w:color w:val="000000"/>
                <w:szCs w:val="24"/>
                <w:lang w:val="en-US"/>
              </w:rPr>
            </w:pPr>
          </w:p>
        </w:tc>
        <w:tc>
          <w:tcPr>
            <w:tcW w:w="1560" w:type="dxa"/>
            <w:vMerge/>
            <w:tcBorders>
              <w:left w:val="single" w:sz="6" w:space="0" w:color="auto"/>
              <w:bottom w:val="single" w:sz="6" w:space="0" w:color="auto"/>
              <w:right w:val="single" w:sz="6" w:space="0" w:color="auto"/>
            </w:tcBorders>
            <w:shd w:val="clear" w:color="auto" w:fill="E0E0E0"/>
            <w:vAlign w:val="center"/>
          </w:tcPr>
          <w:p w14:paraId="43703C5E" w14:textId="77777777" w:rsidR="009D7ABF" w:rsidRPr="00060F5C" w:rsidRDefault="009D7ABF">
            <w:pPr>
              <w:autoSpaceDE w:val="0"/>
              <w:autoSpaceDN w:val="0"/>
              <w:adjustRightInd w:val="0"/>
              <w:jc w:val="center"/>
              <w:rPr>
                <w:rFonts w:cs="Arial"/>
                <w:b/>
                <w:color w:val="000000"/>
                <w:sz w:val="16"/>
                <w:szCs w:val="16"/>
                <w:lang w:val="en-US"/>
              </w:rPr>
            </w:pPr>
          </w:p>
        </w:tc>
        <w:tc>
          <w:tcPr>
            <w:tcW w:w="1230" w:type="dxa"/>
            <w:tcBorders>
              <w:top w:val="single" w:sz="6" w:space="0" w:color="auto"/>
              <w:left w:val="single" w:sz="6" w:space="0" w:color="auto"/>
              <w:bottom w:val="single" w:sz="6" w:space="0" w:color="auto"/>
              <w:right w:val="single" w:sz="6" w:space="0" w:color="auto"/>
            </w:tcBorders>
            <w:shd w:val="clear" w:color="auto" w:fill="E0E0E0"/>
            <w:vAlign w:val="center"/>
          </w:tcPr>
          <w:p w14:paraId="43C8BEF2"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Peak Period</w:t>
            </w:r>
          </w:p>
          <w:p w14:paraId="07523584"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c>
          <w:tcPr>
            <w:tcW w:w="1463" w:type="dxa"/>
            <w:tcBorders>
              <w:top w:val="single" w:sz="6" w:space="0" w:color="auto"/>
              <w:left w:val="single" w:sz="6" w:space="0" w:color="auto"/>
              <w:bottom w:val="single" w:sz="6" w:space="0" w:color="auto"/>
              <w:right w:val="single" w:sz="6" w:space="0" w:color="auto"/>
            </w:tcBorders>
            <w:shd w:val="clear" w:color="auto" w:fill="E0E0E0"/>
            <w:vAlign w:val="center"/>
          </w:tcPr>
          <w:p w14:paraId="77DBB622"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Off-peak Period</w:t>
            </w:r>
          </w:p>
          <w:p w14:paraId="42E7247F"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w:t>
            </w:r>
          </w:p>
        </w:tc>
      </w:tr>
      <w:tr w:rsidR="00720FF9" w14:paraId="741CE53C" w14:textId="77777777" w:rsidTr="00ED2B47">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3A534875"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701" w:type="dxa"/>
            <w:tcBorders>
              <w:top w:val="single" w:sz="6" w:space="0" w:color="auto"/>
              <w:left w:val="single" w:sz="6" w:space="0" w:color="auto"/>
              <w:bottom w:val="single" w:sz="6" w:space="0" w:color="auto"/>
              <w:right w:val="single" w:sz="6" w:space="0" w:color="auto"/>
            </w:tcBorders>
          </w:tcPr>
          <w:p w14:paraId="280F8F4A" w14:textId="5C403595" w:rsidR="00720FF9" w:rsidRPr="00720FF9" w:rsidRDefault="00B27070" w:rsidP="00711D19">
            <w:pPr>
              <w:spacing w:afterLines="60" w:after="144"/>
              <w:jc w:val="center"/>
              <w:rPr>
                <w:rFonts w:eastAsia="Arial Unicode MS" w:cs="Arial"/>
                <w:sz w:val="16"/>
                <w:szCs w:val="16"/>
              </w:rPr>
            </w:pPr>
            <w:r w:rsidRPr="00C72720">
              <w:rPr>
                <w:sz w:val="16"/>
              </w:rPr>
              <w:t>9.0147</w:t>
            </w:r>
          </w:p>
        </w:tc>
        <w:tc>
          <w:tcPr>
            <w:tcW w:w="1701" w:type="dxa"/>
            <w:tcBorders>
              <w:top w:val="single" w:sz="6" w:space="0" w:color="auto"/>
              <w:left w:val="single" w:sz="6" w:space="0" w:color="auto"/>
              <w:bottom w:val="single" w:sz="6" w:space="0" w:color="auto"/>
              <w:right w:val="single" w:sz="6" w:space="0" w:color="auto"/>
            </w:tcBorders>
          </w:tcPr>
          <w:p w14:paraId="77F8DB1A" w14:textId="144E026F" w:rsidR="00720FF9" w:rsidRPr="00720FF9" w:rsidRDefault="00B27070" w:rsidP="00711D19">
            <w:pPr>
              <w:spacing w:afterLines="60" w:after="144"/>
              <w:jc w:val="center"/>
              <w:rPr>
                <w:rFonts w:eastAsia="Arial Unicode MS" w:cs="Arial"/>
                <w:sz w:val="16"/>
                <w:szCs w:val="16"/>
              </w:rPr>
            </w:pPr>
            <w:r w:rsidRPr="00B71D60">
              <w:rPr>
                <w:sz w:val="16"/>
              </w:rPr>
              <w:t>5.4784</w:t>
            </w:r>
          </w:p>
        </w:tc>
        <w:tc>
          <w:tcPr>
            <w:tcW w:w="141" w:type="dxa"/>
            <w:tcBorders>
              <w:left w:val="single" w:sz="6" w:space="0" w:color="auto"/>
              <w:right w:val="single" w:sz="6" w:space="0" w:color="auto"/>
            </w:tcBorders>
            <w:vAlign w:val="center"/>
          </w:tcPr>
          <w:p w14:paraId="20FA70C1"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2C45CC7"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0-0.1</w:t>
            </w:r>
          </w:p>
        </w:tc>
        <w:tc>
          <w:tcPr>
            <w:tcW w:w="1230" w:type="dxa"/>
            <w:tcBorders>
              <w:top w:val="single" w:sz="6" w:space="0" w:color="auto"/>
              <w:left w:val="single" w:sz="6" w:space="0" w:color="auto"/>
              <w:bottom w:val="single" w:sz="6" w:space="0" w:color="auto"/>
              <w:right w:val="single" w:sz="6" w:space="0" w:color="auto"/>
            </w:tcBorders>
          </w:tcPr>
          <w:p w14:paraId="02280EC5" w14:textId="5A07D0A8" w:rsidR="00720FF9" w:rsidRPr="00720FF9" w:rsidRDefault="00B27070" w:rsidP="00711D19">
            <w:pPr>
              <w:spacing w:afterLines="60" w:after="144"/>
              <w:jc w:val="center"/>
              <w:rPr>
                <w:rFonts w:eastAsia="Arial Unicode MS" w:cs="Arial"/>
                <w:sz w:val="16"/>
                <w:szCs w:val="16"/>
              </w:rPr>
            </w:pPr>
            <w:r w:rsidRPr="00B71D60">
              <w:rPr>
                <w:sz w:val="16"/>
              </w:rPr>
              <w:t>6.3834</w:t>
            </w:r>
          </w:p>
        </w:tc>
        <w:tc>
          <w:tcPr>
            <w:tcW w:w="1463" w:type="dxa"/>
            <w:tcBorders>
              <w:top w:val="single" w:sz="6" w:space="0" w:color="auto"/>
              <w:left w:val="single" w:sz="6" w:space="0" w:color="auto"/>
              <w:bottom w:val="single" w:sz="6" w:space="0" w:color="auto"/>
              <w:right w:val="single" w:sz="6" w:space="0" w:color="auto"/>
            </w:tcBorders>
          </w:tcPr>
          <w:p w14:paraId="55CB5230" w14:textId="41C8785B" w:rsidR="00720FF9" w:rsidRPr="0009609B" w:rsidRDefault="00B27070" w:rsidP="00711D19">
            <w:pPr>
              <w:spacing w:afterLines="60" w:after="144"/>
              <w:jc w:val="center"/>
              <w:rPr>
                <w:rFonts w:eastAsia="Arial Unicode MS" w:cs="Arial"/>
                <w:sz w:val="16"/>
                <w:szCs w:val="16"/>
              </w:rPr>
            </w:pPr>
            <w:r w:rsidRPr="00B71D60">
              <w:rPr>
                <w:sz w:val="16"/>
              </w:rPr>
              <w:t>4.9131</w:t>
            </w:r>
          </w:p>
        </w:tc>
      </w:tr>
      <w:tr w:rsidR="00720FF9" w14:paraId="4610E0B7" w14:textId="77777777" w:rsidTr="00ED2B47">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139331ED"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701" w:type="dxa"/>
            <w:tcBorders>
              <w:top w:val="single" w:sz="6" w:space="0" w:color="auto"/>
              <w:left w:val="single" w:sz="6" w:space="0" w:color="auto"/>
              <w:bottom w:val="single" w:sz="6" w:space="0" w:color="auto"/>
              <w:right w:val="single" w:sz="6" w:space="0" w:color="auto"/>
            </w:tcBorders>
          </w:tcPr>
          <w:p w14:paraId="10EEFFC8" w14:textId="42BE16FF" w:rsidR="00720FF9" w:rsidRPr="00720FF9" w:rsidRDefault="00B27070" w:rsidP="00711D19">
            <w:pPr>
              <w:spacing w:afterLines="60" w:after="144"/>
              <w:jc w:val="center"/>
              <w:rPr>
                <w:rFonts w:eastAsia="Arial Unicode MS" w:cs="Arial"/>
                <w:sz w:val="16"/>
                <w:szCs w:val="16"/>
              </w:rPr>
            </w:pPr>
            <w:r w:rsidRPr="00B71D60">
              <w:rPr>
                <w:sz w:val="16"/>
              </w:rPr>
              <w:t>7.5555</w:t>
            </w:r>
          </w:p>
        </w:tc>
        <w:tc>
          <w:tcPr>
            <w:tcW w:w="1701" w:type="dxa"/>
            <w:tcBorders>
              <w:top w:val="single" w:sz="6" w:space="0" w:color="auto"/>
              <w:left w:val="single" w:sz="6" w:space="0" w:color="auto"/>
              <w:bottom w:val="single" w:sz="6" w:space="0" w:color="auto"/>
              <w:right w:val="single" w:sz="6" w:space="0" w:color="auto"/>
            </w:tcBorders>
          </w:tcPr>
          <w:p w14:paraId="3BD7555A" w14:textId="37CE5866" w:rsidR="00720FF9" w:rsidRPr="00720FF9" w:rsidRDefault="00B27070" w:rsidP="00711D19">
            <w:pPr>
              <w:spacing w:afterLines="60" w:after="144"/>
              <w:jc w:val="center"/>
              <w:rPr>
                <w:rFonts w:eastAsia="Arial Unicode MS" w:cs="Arial"/>
                <w:sz w:val="16"/>
                <w:szCs w:val="16"/>
              </w:rPr>
            </w:pPr>
            <w:r w:rsidRPr="00B71D60">
              <w:rPr>
                <w:sz w:val="16"/>
              </w:rPr>
              <w:t>4.1139</w:t>
            </w:r>
          </w:p>
        </w:tc>
        <w:tc>
          <w:tcPr>
            <w:tcW w:w="141" w:type="dxa"/>
            <w:tcBorders>
              <w:left w:val="single" w:sz="6" w:space="0" w:color="auto"/>
              <w:right w:val="single" w:sz="6" w:space="0" w:color="auto"/>
            </w:tcBorders>
            <w:vAlign w:val="center"/>
          </w:tcPr>
          <w:p w14:paraId="4EF2324A"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C801D7F"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0.1 – 0.2</w:t>
            </w:r>
          </w:p>
        </w:tc>
        <w:tc>
          <w:tcPr>
            <w:tcW w:w="1230" w:type="dxa"/>
            <w:tcBorders>
              <w:top w:val="single" w:sz="6" w:space="0" w:color="auto"/>
              <w:left w:val="single" w:sz="6" w:space="0" w:color="auto"/>
              <w:bottom w:val="single" w:sz="6" w:space="0" w:color="auto"/>
              <w:right w:val="single" w:sz="6" w:space="0" w:color="auto"/>
            </w:tcBorders>
          </w:tcPr>
          <w:p w14:paraId="19F85819" w14:textId="714376CD" w:rsidR="00720FF9" w:rsidRPr="00720FF9" w:rsidRDefault="00B27070" w:rsidP="00711D19">
            <w:pPr>
              <w:spacing w:afterLines="60" w:after="144"/>
              <w:jc w:val="center"/>
              <w:rPr>
                <w:rFonts w:eastAsia="Arial Unicode MS" w:cs="Arial"/>
                <w:sz w:val="16"/>
                <w:szCs w:val="16"/>
              </w:rPr>
            </w:pPr>
            <w:r w:rsidRPr="00B71D60">
              <w:rPr>
                <w:sz w:val="16"/>
              </w:rPr>
              <w:t>5.9855</w:t>
            </w:r>
          </w:p>
        </w:tc>
        <w:tc>
          <w:tcPr>
            <w:tcW w:w="1463" w:type="dxa"/>
            <w:tcBorders>
              <w:top w:val="single" w:sz="6" w:space="0" w:color="auto"/>
              <w:left w:val="single" w:sz="6" w:space="0" w:color="auto"/>
              <w:bottom w:val="single" w:sz="6" w:space="0" w:color="auto"/>
              <w:right w:val="single" w:sz="6" w:space="0" w:color="auto"/>
            </w:tcBorders>
          </w:tcPr>
          <w:p w14:paraId="67586B15" w14:textId="3B210E1C" w:rsidR="00720FF9" w:rsidRPr="0009609B" w:rsidRDefault="00B27070" w:rsidP="00711D19">
            <w:pPr>
              <w:spacing w:afterLines="60" w:after="144"/>
              <w:jc w:val="center"/>
              <w:rPr>
                <w:rFonts w:eastAsia="Arial Unicode MS" w:cs="Arial"/>
                <w:sz w:val="16"/>
                <w:szCs w:val="16"/>
              </w:rPr>
            </w:pPr>
            <w:r w:rsidRPr="00B71D60">
              <w:rPr>
                <w:sz w:val="16"/>
              </w:rPr>
              <w:t>4.6791</w:t>
            </w:r>
          </w:p>
        </w:tc>
      </w:tr>
      <w:tr w:rsidR="00720FF9" w14:paraId="74F6DBD3" w14:textId="77777777" w:rsidTr="00ED2B47">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1089AF64"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701" w:type="dxa"/>
            <w:tcBorders>
              <w:top w:val="single" w:sz="6" w:space="0" w:color="auto"/>
              <w:left w:val="single" w:sz="6" w:space="0" w:color="auto"/>
              <w:bottom w:val="single" w:sz="6" w:space="0" w:color="auto"/>
              <w:right w:val="single" w:sz="6" w:space="0" w:color="auto"/>
            </w:tcBorders>
          </w:tcPr>
          <w:p w14:paraId="0D1A39D1" w14:textId="3E0E81BD" w:rsidR="00720FF9" w:rsidRPr="00720FF9" w:rsidRDefault="00B27070" w:rsidP="00711D19">
            <w:pPr>
              <w:spacing w:afterLines="60" w:after="144"/>
              <w:jc w:val="center"/>
              <w:rPr>
                <w:rFonts w:eastAsia="Arial Unicode MS" w:cs="Arial"/>
                <w:sz w:val="16"/>
                <w:szCs w:val="16"/>
              </w:rPr>
            </w:pPr>
            <w:r w:rsidRPr="00B71D60">
              <w:rPr>
                <w:sz w:val="16"/>
              </w:rPr>
              <w:t>3.8979</w:t>
            </w:r>
          </w:p>
        </w:tc>
        <w:tc>
          <w:tcPr>
            <w:tcW w:w="1701" w:type="dxa"/>
            <w:tcBorders>
              <w:top w:val="single" w:sz="6" w:space="0" w:color="auto"/>
              <w:left w:val="single" w:sz="6" w:space="0" w:color="auto"/>
              <w:bottom w:val="single" w:sz="6" w:space="0" w:color="auto"/>
              <w:right w:val="single" w:sz="6" w:space="0" w:color="auto"/>
            </w:tcBorders>
          </w:tcPr>
          <w:p w14:paraId="4228BA07" w14:textId="4023E8DE" w:rsidR="00720FF9" w:rsidRPr="00720FF9" w:rsidRDefault="00B27070" w:rsidP="00711D19">
            <w:pPr>
              <w:spacing w:afterLines="60" w:after="144"/>
              <w:jc w:val="center"/>
              <w:rPr>
                <w:rFonts w:eastAsia="Arial Unicode MS" w:cs="Arial"/>
                <w:sz w:val="16"/>
                <w:szCs w:val="16"/>
              </w:rPr>
            </w:pPr>
            <w:r w:rsidRPr="00B71D60">
              <w:rPr>
                <w:sz w:val="16"/>
              </w:rPr>
              <w:t>3.1431</w:t>
            </w:r>
          </w:p>
        </w:tc>
        <w:tc>
          <w:tcPr>
            <w:tcW w:w="141" w:type="dxa"/>
            <w:tcBorders>
              <w:left w:val="single" w:sz="6" w:space="0" w:color="auto"/>
              <w:right w:val="single" w:sz="6" w:space="0" w:color="auto"/>
            </w:tcBorders>
            <w:vAlign w:val="center"/>
          </w:tcPr>
          <w:p w14:paraId="2F7573BD"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7E5E14B"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0.2 – 1.4</w:t>
            </w:r>
          </w:p>
        </w:tc>
        <w:tc>
          <w:tcPr>
            <w:tcW w:w="1230" w:type="dxa"/>
            <w:tcBorders>
              <w:top w:val="single" w:sz="6" w:space="0" w:color="auto"/>
              <w:left w:val="single" w:sz="6" w:space="0" w:color="auto"/>
              <w:bottom w:val="single" w:sz="6" w:space="0" w:color="auto"/>
              <w:right w:val="single" w:sz="6" w:space="0" w:color="auto"/>
            </w:tcBorders>
          </w:tcPr>
          <w:p w14:paraId="5900C699" w14:textId="47B6F323" w:rsidR="00720FF9" w:rsidRPr="00720FF9" w:rsidRDefault="00B27070" w:rsidP="00711D19">
            <w:pPr>
              <w:spacing w:afterLines="60" w:after="144"/>
              <w:jc w:val="center"/>
              <w:rPr>
                <w:rFonts w:eastAsia="Arial Unicode MS" w:cs="Arial"/>
                <w:sz w:val="16"/>
                <w:szCs w:val="16"/>
              </w:rPr>
            </w:pPr>
            <w:r w:rsidRPr="00B71D60">
              <w:rPr>
                <w:sz w:val="16"/>
              </w:rPr>
              <w:t>5.0299</w:t>
            </w:r>
          </w:p>
        </w:tc>
        <w:tc>
          <w:tcPr>
            <w:tcW w:w="1463" w:type="dxa"/>
            <w:tcBorders>
              <w:top w:val="single" w:sz="6" w:space="0" w:color="auto"/>
              <w:left w:val="single" w:sz="6" w:space="0" w:color="auto"/>
              <w:bottom w:val="single" w:sz="6" w:space="0" w:color="auto"/>
              <w:right w:val="single" w:sz="6" w:space="0" w:color="auto"/>
            </w:tcBorders>
          </w:tcPr>
          <w:p w14:paraId="0DCFB8F2" w14:textId="4D229E54" w:rsidR="00720FF9" w:rsidRPr="0009609B" w:rsidRDefault="00B27070" w:rsidP="00711D19">
            <w:pPr>
              <w:spacing w:afterLines="60" w:after="144"/>
              <w:jc w:val="center"/>
              <w:rPr>
                <w:rFonts w:eastAsia="Arial Unicode MS" w:cs="Arial"/>
                <w:sz w:val="16"/>
                <w:szCs w:val="16"/>
              </w:rPr>
            </w:pPr>
            <w:r w:rsidRPr="00B71D60">
              <w:rPr>
                <w:sz w:val="16"/>
              </w:rPr>
              <w:t>4.3411</w:t>
            </w:r>
          </w:p>
        </w:tc>
      </w:tr>
      <w:tr w:rsidR="00720FF9" w14:paraId="3E4094C1" w14:textId="77777777" w:rsidTr="00ED2B47">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3D5C2B88"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701" w:type="dxa"/>
            <w:tcBorders>
              <w:top w:val="single" w:sz="6" w:space="0" w:color="auto"/>
              <w:left w:val="single" w:sz="6" w:space="0" w:color="auto"/>
              <w:bottom w:val="single" w:sz="6" w:space="0" w:color="auto"/>
              <w:right w:val="single" w:sz="6" w:space="0" w:color="auto"/>
            </w:tcBorders>
          </w:tcPr>
          <w:p w14:paraId="13FEE03E" w14:textId="391D0621" w:rsidR="00720FF9" w:rsidRPr="00720FF9" w:rsidRDefault="00B27070" w:rsidP="00711D19">
            <w:pPr>
              <w:spacing w:afterLines="60" w:after="144"/>
              <w:jc w:val="center"/>
              <w:rPr>
                <w:rFonts w:eastAsia="Arial Unicode MS" w:cs="Arial"/>
                <w:sz w:val="16"/>
                <w:szCs w:val="16"/>
              </w:rPr>
            </w:pPr>
            <w:r w:rsidRPr="00B71D60">
              <w:rPr>
                <w:sz w:val="16"/>
              </w:rPr>
              <w:t>3.7118</w:t>
            </w:r>
          </w:p>
        </w:tc>
        <w:tc>
          <w:tcPr>
            <w:tcW w:w="1701" w:type="dxa"/>
            <w:tcBorders>
              <w:top w:val="single" w:sz="6" w:space="0" w:color="auto"/>
              <w:left w:val="single" w:sz="6" w:space="0" w:color="auto"/>
              <w:bottom w:val="single" w:sz="6" w:space="0" w:color="auto"/>
              <w:right w:val="single" w:sz="6" w:space="0" w:color="auto"/>
            </w:tcBorders>
          </w:tcPr>
          <w:p w14:paraId="33ED6A37" w14:textId="549284F6" w:rsidR="00720FF9" w:rsidRPr="00720FF9" w:rsidRDefault="00B27070" w:rsidP="00711D19">
            <w:pPr>
              <w:spacing w:afterLines="60" w:after="144"/>
              <w:jc w:val="center"/>
              <w:rPr>
                <w:rFonts w:eastAsia="Arial Unicode MS" w:cs="Arial"/>
                <w:sz w:val="16"/>
                <w:szCs w:val="16"/>
              </w:rPr>
            </w:pPr>
            <w:r w:rsidRPr="00B71D60">
              <w:rPr>
                <w:sz w:val="16"/>
              </w:rPr>
              <w:t>2.9934</w:t>
            </w:r>
          </w:p>
        </w:tc>
        <w:tc>
          <w:tcPr>
            <w:tcW w:w="141" w:type="dxa"/>
            <w:tcBorders>
              <w:left w:val="single" w:sz="6" w:space="0" w:color="auto"/>
              <w:right w:val="single" w:sz="6" w:space="0" w:color="auto"/>
            </w:tcBorders>
            <w:vAlign w:val="center"/>
          </w:tcPr>
          <w:p w14:paraId="36108298" w14:textId="77777777" w:rsidR="00720FF9" w:rsidRDefault="00720FF9">
            <w:pPr>
              <w:autoSpaceDE w:val="0"/>
              <w:autoSpaceDN w:val="0"/>
              <w:adjustRightInd w:val="0"/>
              <w:jc w:val="center"/>
              <w:rPr>
                <w:rFonts w:cs="Arial"/>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326EC70E" w14:textId="77777777" w:rsidR="00720FF9" w:rsidRDefault="00720FF9" w:rsidP="00711D19">
            <w:pPr>
              <w:autoSpaceDE w:val="0"/>
              <w:autoSpaceDN w:val="0"/>
              <w:adjustRightInd w:val="0"/>
              <w:spacing w:afterLines="60" w:after="144"/>
              <w:jc w:val="center"/>
              <w:rPr>
                <w:rFonts w:cs="Arial"/>
                <w:color w:val="000000"/>
                <w:sz w:val="16"/>
                <w:szCs w:val="16"/>
                <w:lang w:val="en-US"/>
              </w:rPr>
            </w:pPr>
            <w:r>
              <w:rPr>
                <w:rFonts w:cs="Arial"/>
                <w:color w:val="000000"/>
                <w:sz w:val="16"/>
                <w:szCs w:val="16"/>
                <w:lang w:val="en-US"/>
              </w:rPr>
              <w:t>&gt; 1.4</w:t>
            </w:r>
          </w:p>
        </w:tc>
        <w:tc>
          <w:tcPr>
            <w:tcW w:w="1230" w:type="dxa"/>
            <w:tcBorders>
              <w:top w:val="single" w:sz="6" w:space="0" w:color="auto"/>
              <w:left w:val="single" w:sz="6" w:space="0" w:color="auto"/>
              <w:bottom w:val="single" w:sz="6" w:space="0" w:color="auto"/>
              <w:right w:val="single" w:sz="6" w:space="0" w:color="auto"/>
            </w:tcBorders>
          </w:tcPr>
          <w:p w14:paraId="5ED722A6" w14:textId="6E1C0748" w:rsidR="00720FF9" w:rsidRPr="00720FF9" w:rsidRDefault="00B27070" w:rsidP="00711D19">
            <w:pPr>
              <w:spacing w:afterLines="60" w:after="144"/>
              <w:jc w:val="center"/>
              <w:rPr>
                <w:rFonts w:eastAsia="Arial Unicode MS" w:cs="Arial"/>
                <w:sz w:val="16"/>
                <w:szCs w:val="16"/>
              </w:rPr>
            </w:pPr>
            <w:r w:rsidRPr="00B71D60">
              <w:rPr>
                <w:sz w:val="16"/>
              </w:rPr>
              <w:t>4.2914</w:t>
            </w:r>
          </w:p>
        </w:tc>
        <w:tc>
          <w:tcPr>
            <w:tcW w:w="1463" w:type="dxa"/>
            <w:tcBorders>
              <w:top w:val="single" w:sz="6" w:space="0" w:color="auto"/>
              <w:left w:val="single" w:sz="6" w:space="0" w:color="auto"/>
              <w:bottom w:val="single" w:sz="6" w:space="0" w:color="auto"/>
              <w:right w:val="single" w:sz="6" w:space="0" w:color="auto"/>
            </w:tcBorders>
          </w:tcPr>
          <w:p w14:paraId="7E592DD7" w14:textId="5818857B" w:rsidR="00720FF9" w:rsidRPr="0009609B" w:rsidRDefault="00B27070" w:rsidP="00711D19">
            <w:pPr>
              <w:spacing w:afterLines="60" w:after="144"/>
              <w:jc w:val="center"/>
              <w:rPr>
                <w:rFonts w:eastAsia="Arial Unicode MS" w:cs="Arial"/>
                <w:sz w:val="16"/>
                <w:szCs w:val="16"/>
              </w:rPr>
            </w:pPr>
            <w:r w:rsidRPr="00B71D60">
              <w:rPr>
                <w:sz w:val="16"/>
              </w:rPr>
              <w:t>4.0869</w:t>
            </w:r>
          </w:p>
        </w:tc>
      </w:tr>
    </w:tbl>
    <w:p w14:paraId="4E978F7F" w14:textId="77777777" w:rsidR="009D7ABF" w:rsidRDefault="009D7ABF" w:rsidP="00711D19">
      <w:pPr>
        <w:spacing w:afterLines="60" w:after="144"/>
        <w:rPr>
          <w:rFonts w:cs="Arial"/>
          <w:sz w:val="16"/>
          <w:lang w:val="en-US"/>
        </w:rPr>
      </w:pPr>
    </w:p>
    <w:p w14:paraId="2768DDBF" w14:textId="77777777" w:rsidR="009D7ABF" w:rsidRDefault="009D7ABF" w:rsidP="00C72720">
      <w:pPr>
        <w:keepNext/>
      </w:pPr>
      <w:r>
        <w:lastRenderedPageBreak/>
        <w:t>Tariff M (TNMAW)</w:t>
      </w:r>
      <w:r>
        <w:tab/>
      </w:r>
      <w:r w:rsidR="002E2733">
        <w:tab/>
      </w:r>
      <w:r w:rsidR="002E2733">
        <w:tab/>
      </w:r>
      <w:r w:rsidR="002E2733">
        <w:tab/>
      </w:r>
      <w:r w:rsidR="002E2733">
        <w:tab/>
      </w:r>
      <w:r>
        <w:t>Tariff D (D)</w:t>
      </w:r>
    </w:p>
    <w:tbl>
      <w:tblPr>
        <w:tblW w:w="9386" w:type="dxa"/>
        <w:tblLayout w:type="fixed"/>
        <w:tblCellMar>
          <w:left w:w="30" w:type="dxa"/>
          <w:right w:w="30" w:type="dxa"/>
        </w:tblCellMar>
        <w:tblLook w:val="0000" w:firstRow="0" w:lastRow="0" w:firstColumn="0" w:lastColumn="0" w:noHBand="0" w:noVBand="0"/>
      </w:tblPr>
      <w:tblGrid>
        <w:gridCol w:w="1590"/>
        <w:gridCol w:w="3402"/>
        <w:gridCol w:w="141"/>
        <w:gridCol w:w="1560"/>
        <w:gridCol w:w="2693"/>
      </w:tblGrid>
      <w:tr w:rsidR="009D7ABF" w14:paraId="33D2FAF1" w14:textId="77777777">
        <w:trPr>
          <w:cantSplit/>
          <w:trHeight w:val="690"/>
        </w:trPr>
        <w:tc>
          <w:tcPr>
            <w:tcW w:w="1590" w:type="dxa"/>
            <w:tcBorders>
              <w:top w:val="single" w:sz="6" w:space="0" w:color="auto"/>
              <w:left w:val="single" w:sz="6" w:space="0" w:color="auto"/>
              <w:bottom w:val="single" w:sz="6" w:space="0" w:color="auto"/>
              <w:right w:val="single" w:sz="6" w:space="0" w:color="auto"/>
            </w:tcBorders>
            <w:shd w:val="clear" w:color="auto" w:fill="E0E0E0"/>
            <w:vAlign w:val="center"/>
          </w:tcPr>
          <w:p w14:paraId="7D0F9D5C"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5B14BC5F"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3402" w:type="dxa"/>
            <w:tcBorders>
              <w:top w:val="single" w:sz="6" w:space="0" w:color="auto"/>
              <w:left w:val="single" w:sz="6" w:space="0" w:color="auto"/>
              <w:bottom w:val="single" w:sz="6" w:space="0" w:color="auto"/>
              <w:right w:val="single" w:sz="6" w:space="0" w:color="auto"/>
            </w:tcBorders>
            <w:shd w:val="clear" w:color="auto" w:fill="E0E0E0"/>
            <w:vAlign w:val="center"/>
          </w:tcPr>
          <w:p w14:paraId="458B5C5B"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0E62F2B7"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c>
          <w:tcPr>
            <w:tcW w:w="141" w:type="dxa"/>
            <w:tcBorders>
              <w:left w:val="single" w:sz="6" w:space="0" w:color="auto"/>
              <w:bottom w:val="nil"/>
              <w:right w:val="single" w:sz="6" w:space="0" w:color="auto"/>
            </w:tcBorders>
            <w:vAlign w:val="center"/>
          </w:tcPr>
          <w:p w14:paraId="0506204A" w14:textId="77777777" w:rsidR="009D7ABF" w:rsidRPr="00060F5C" w:rsidRDefault="009D7ABF">
            <w:pPr>
              <w:autoSpaceDE w:val="0"/>
              <w:autoSpaceDN w:val="0"/>
              <w:adjustRightInd w:val="0"/>
              <w:jc w:val="center"/>
              <w:rPr>
                <w:rFonts w:cs="Arial"/>
                <w:b/>
                <w:color w:val="000000"/>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E0E0E0"/>
            <w:vAlign w:val="center"/>
          </w:tcPr>
          <w:p w14:paraId="57116723"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Annual MHQ</w:t>
            </w:r>
          </w:p>
          <w:p w14:paraId="51AE82A7"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(GJ/hr)</w:t>
            </w:r>
          </w:p>
        </w:tc>
        <w:tc>
          <w:tcPr>
            <w:tcW w:w="2693" w:type="dxa"/>
            <w:tcBorders>
              <w:top w:val="single" w:sz="6" w:space="0" w:color="auto"/>
              <w:left w:val="single" w:sz="6" w:space="0" w:color="auto"/>
              <w:bottom w:val="single" w:sz="6" w:space="0" w:color="auto"/>
              <w:right w:val="single" w:sz="6" w:space="0" w:color="auto"/>
            </w:tcBorders>
            <w:shd w:val="clear" w:color="auto" w:fill="E0E0E0"/>
            <w:vAlign w:val="center"/>
          </w:tcPr>
          <w:p w14:paraId="2ED731D0"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Distribution Demand Tariff component</w:t>
            </w:r>
          </w:p>
          <w:p w14:paraId="109EB6AE" w14:textId="77777777" w:rsidR="009D7ABF" w:rsidRPr="00060F5C" w:rsidRDefault="009D7ABF" w:rsidP="00711D19">
            <w:pPr>
              <w:autoSpaceDE w:val="0"/>
              <w:autoSpaceDN w:val="0"/>
              <w:adjustRightInd w:val="0"/>
              <w:spacing w:afterLines="60" w:after="144"/>
              <w:jc w:val="center"/>
              <w:rPr>
                <w:rFonts w:cs="Arial"/>
                <w:b/>
                <w:color w:val="000000"/>
                <w:sz w:val="16"/>
                <w:szCs w:val="16"/>
                <w:lang w:val="en-US"/>
              </w:rPr>
            </w:pPr>
            <w:r w:rsidRPr="00060F5C">
              <w:rPr>
                <w:rFonts w:cs="Arial"/>
                <w:b/>
                <w:color w:val="000000"/>
                <w:sz w:val="16"/>
                <w:szCs w:val="16"/>
                <w:lang w:val="en-US"/>
              </w:rPr>
              <w:t>($/MHQ)</w:t>
            </w:r>
          </w:p>
        </w:tc>
      </w:tr>
      <w:tr w:rsidR="0009609B" w:rsidRPr="00C72720" w14:paraId="6FBD4B4E" w14:textId="77777777" w:rsidTr="00F072E4">
        <w:trPr>
          <w:trHeight w:val="262"/>
        </w:trPr>
        <w:tc>
          <w:tcPr>
            <w:tcW w:w="1590" w:type="dxa"/>
            <w:tcBorders>
              <w:top w:val="single" w:sz="6" w:space="0" w:color="auto"/>
              <w:left w:val="single" w:sz="6" w:space="0" w:color="auto"/>
              <w:bottom w:val="single" w:sz="6" w:space="0" w:color="auto"/>
              <w:right w:val="single" w:sz="6" w:space="0" w:color="auto"/>
            </w:tcBorders>
            <w:vAlign w:val="center"/>
          </w:tcPr>
          <w:p w14:paraId="3FF1BF33" w14:textId="77777777" w:rsidR="0009609B" w:rsidRPr="00C72720" w:rsidRDefault="0009609B" w:rsidP="00711D19">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0-10</w:t>
            </w:r>
          </w:p>
        </w:tc>
        <w:tc>
          <w:tcPr>
            <w:tcW w:w="3402" w:type="dxa"/>
            <w:tcBorders>
              <w:top w:val="single" w:sz="6" w:space="0" w:color="auto"/>
              <w:left w:val="single" w:sz="6" w:space="0" w:color="auto"/>
              <w:bottom w:val="single" w:sz="6" w:space="0" w:color="auto"/>
              <w:right w:val="single" w:sz="6" w:space="0" w:color="auto"/>
            </w:tcBorders>
          </w:tcPr>
          <w:p w14:paraId="3840E497" w14:textId="1A12A1B1" w:rsidR="0009609B" w:rsidRPr="00C72720" w:rsidRDefault="00B27070" w:rsidP="00711D19">
            <w:pPr>
              <w:spacing w:afterLines="60" w:after="144"/>
              <w:jc w:val="center"/>
              <w:rPr>
                <w:rFonts w:eastAsia="Arial Unicode MS" w:cs="Arial"/>
                <w:sz w:val="16"/>
                <w:szCs w:val="16"/>
              </w:rPr>
            </w:pPr>
            <w:r w:rsidRPr="00C72720">
              <w:rPr>
                <w:sz w:val="16"/>
                <w:szCs w:val="16"/>
              </w:rPr>
              <w:t>855.6597</w:t>
            </w:r>
          </w:p>
        </w:tc>
        <w:tc>
          <w:tcPr>
            <w:tcW w:w="141" w:type="dxa"/>
            <w:tcBorders>
              <w:left w:val="single" w:sz="6" w:space="0" w:color="auto"/>
              <w:right w:val="single" w:sz="6" w:space="0" w:color="auto"/>
            </w:tcBorders>
            <w:vAlign w:val="center"/>
          </w:tcPr>
          <w:p w14:paraId="2C8E3F43" w14:textId="77777777" w:rsidR="0009609B" w:rsidRPr="00C72720" w:rsidRDefault="0009609B">
            <w:pPr>
              <w:autoSpaceDE w:val="0"/>
              <w:autoSpaceDN w:val="0"/>
              <w:adjustRightInd w:val="0"/>
              <w:jc w:val="center"/>
              <w:rPr>
                <w:rFonts w:cs="Arial"/>
                <w:color w:val="000000"/>
                <w:sz w:val="16"/>
                <w:szCs w:val="16"/>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681DAEFA" w14:textId="77777777" w:rsidR="0009609B" w:rsidRPr="00C72720" w:rsidRDefault="0009609B" w:rsidP="00711D19">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0-10</w:t>
            </w:r>
          </w:p>
        </w:tc>
        <w:tc>
          <w:tcPr>
            <w:tcW w:w="2693" w:type="dxa"/>
            <w:tcBorders>
              <w:top w:val="single" w:sz="6" w:space="0" w:color="auto"/>
              <w:left w:val="single" w:sz="6" w:space="0" w:color="auto"/>
              <w:bottom w:val="single" w:sz="6" w:space="0" w:color="auto"/>
              <w:right w:val="single" w:sz="6" w:space="0" w:color="auto"/>
            </w:tcBorders>
          </w:tcPr>
          <w:p w14:paraId="55CE8B27" w14:textId="24D09149" w:rsidR="0009609B" w:rsidRPr="00C72720" w:rsidRDefault="00B27070" w:rsidP="00711D19">
            <w:pPr>
              <w:spacing w:afterLines="60" w:after="144"/>
              <w:jc w:val="center"/>
              <w:rPr>
                <w:rFonts w:eastAsia="Arial Unicode MS" w:cs="Arial"/>
                <w:sz w:val="16"/>
                <w:szCs w:val="16"/>
              </w:rPr>
            </w:pPr>
            <w:r w:rsidRPr="00C72720">
              <w:rPr>
                <w:sz w:val="16"/>
                <w:szCs w:val="16"/>
              </w:rPr>
              <w:t>390.5362</w:t>
            </w:r>
          </w:p>
        </w:tc>
      </w:tr>
      <w:tr w:rsidR="0009609B" w:rsidRPr="00C72720" w14:paraId="233CBF07"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4BFEDE01" w14:textId="77777777" w:rsidR="0009609B" w:rsidRPr="00C72720" w:rsidRDefault="0009609B" w:rsidP="00711D19">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&gt; 10 – 50</w:t>
            </w:r>
          </w:p>
        </w:tc>
        <w:tc>
          <w:tcPr>
            <w:tcW w:w="3402" w:type="dxa"/>
            <w:tcBorders>
              <w:top w:val="single" w:sz="6" w:space="0" w:color="auto"/>
              <w:left w:val="single" w:sz="6" w:space="0" w:color="auto"/>
              <w:bottom w:val="single" w:sz="6" w:space="0" w:color="auto"/>
              <w:right w:val="single" w:sz="6" w:space="0" w:color="auto"/>
            </w:tcBorders>
          </w:tcPr>
          <w:p w14:paraId="0B97B125" w14:textId="078AAFA6" w:rsidR="0009609B" w:rsidRPr="00C72720" w:rsidRDefault="00B27070" w:rsidP="00711D19">
            <w:pPr>
              <w:spacing w:afterLines="60" w:after="144"/>
              <w:jc w:val="center"/>
              <w:rPr>
                <w:rFonts w:eastAsia="Arial Unicode MS" w:cs="Arial"/>
                <w:sz w:val="16"/>
                <w:szCs w:val="16"/>
              </w:rPr>
            </w:pPr>
            <w:r w:rsidRPr="00C72720">
              <w:rPr>
                <w:sz w:val="16"/>
                <w:szCs w:val="16"/>
              </w:rPr>
              <w:t>814.9139</w:t>
            </w:r>
          </w:p>
        </w:tc>
        <w:tc>
          <w:tcPr>
            <w:tcW w:w="141" w:type="dxa"/>
            <w:tcBorders>
              <w:left w:val="single" w:sz="6" w:space="0" w:color="auto"/>
              <w:right w:val="single" w:sz="6" w:space="0" w:color="auto"/>
            </w:tcBorders>
            <w:vAlign w:val="center"/>
          </w:tcPr>
          <w:p w14:paraId="557397AE" w14:textId="77777777" w:rsidR="0009609B" w:rsidRPr="00C72720" w:rsidRDefault="0009609B">
            <w:pPr>
              <w:autoSpaceDE w:val="0"/>
              <w:autoSpaceDN w:val="0"/>
              <w:adjustRightInd w:val="0"/>
              <w:jc w:val="center"/>
              <w:rPr>
                <w:rFonts w:cs="Arial"/>
                <w:color w:val="000000"/>
                <w:sz w:val="16"/>
                <w:szCs w:val="16"/>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4E8ED3BD" w14:textId="77777777" w:rsidR="0009609B" w:rsidRPr="00C72720" w:rsidRDefault="0009609B" w:rsidP="00711D19">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&gt; 10 – 50</w:t>
            </w:r>
          </w:p>
        </w:tc>
        <w:tc>
          <w:tcPr>
            <w:tcW w:w="2693" w:type="dxa"/>
            <w:tcBorders>
              <w:top w:val="single" w:sz="6" w:space="0" w:color="auto"/>
              <w:left w:val="single" w:sz="6" w:space="0" w:color="auto"/>
              <w:bottom w:val="single" w:sz="6" w:space="0" w:color="auto"/>
              <w:right w:val="single" w:sz="6" w:space="0" w:color="auto"/>
            </w:tcBorders>
          </w:tcPr>
          <w:p w14:paraId="585DD838" w14:textId="6A88E609" w:rsidR="0009609B" w:rsidRPr="00C72720" w:rsidRDefault="00B27070" w:rsidP="00711D19">
            <w:pPr>
              <w:spacing w:afterLines="60" w:after="144"/>
              <w:jc w:val="center"/>
              <w:rPr>
                <w:rFonts w:eastAsia="Arial Unicode MS" w:cs="Arial"/>
                <w:sz w:val="16"/>
                <w:szCs w:val="16"/>
              </w:rPr>
            </w:pPr>
            <w:r w:rsidRPr="00C72720">
              <w:rPr>
                <w:sz w:val="16"/>
                <w:szCs w:val="16"/>
              </w:rPr>
              <w:t>371.9391</w:t>
            </w:r>
          </w:p>
        </w:tc>
      </w:tr>
      <w:tr w:rsidR="0009609B" w:rsidRPr="00C72720" w14:paraId="38554F28" w14:textId="77777777" w:rsidTr="00F072E4">
        <w:trPr>
          <w:trHeight w:val="247"/>
        </w:trPr>
        <w:tc>
          <w:tcPr>
            <w:tcW w:w="1590" w:type="dxa"/>
            <w:tcBorders>
              <w:top w:val="single" w:sz="6" w:space="0" w:color="auto"/>
              <w:left w:val="single" w:sz="6" w:space="0" w:color="auto"/>
              <w:bottom w:val="single" w:sz="6" w:space="0" w:color="auto"/>
              <w:right w:val="single" w:sz="6" w:space="0" w:color="auto"/>
            </w:tcBorders>
            <w:vAlign w:val="center"/>
          </w:tcPr>
          <w:p w14:paraId="6C792B7C" w14:textId="77777777" w:rsidR="0009609B" w:rsidRPr="00C72720" w:rsidRDefault="0009609B" w:rsidP="00711D19">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&gt; 50</w:t>
            </w:r>
          </w:p>
        </w:tc>
        <w:tc>
          <w:tcPr>
            <w:tcW w:w="3402" w:type="dxa"/>
            <w:tcBorders>
              <w:top w:val="single" w:sz="6" w:space="0" w:color="auto"/>
              <w:left w:val="single" w:sz="6" w:space="0" w:color="auto"/>
              <w:bottom w:val="single" w:sz="6" w:space="0" w:color="auto"/>
              <w:right w:val="single" w:sz="6" w:space="0" w:color="auto"/>
            </w:tcBorders>
          </w:tcPr>
          <w:p w14:paraId="7F8619DF" w14:textId="5E3E0803" w:rsidR="0009609B" w:rsidRPr="00C72720" w:rsidRDefault="00B27070" w:rsidP="00711D19">
            <w:pPr>
              <w:spacing w:afterLines="60" w:after="144"/>
              <w:jc w:val="center"/>
              <w:rPr>
                <w:rFonts w:eastAsia="Arial Unicode MS" w:cs="Arial"/>
                <w:sz w:val="16"/>
                <w:szCs w:val="16"/>
              </w:rPr>
            </w:pPr>
            <w:r w:rsidRPr="00C72720">
              <w:rPr>
                <w:sz w:val="16"/>
                <w:szCs w:val="16"/>
              </w:rPr>
              <w:t>169.6481</w:t>
            </w:r>
          </w:p>
        </w:tc>
        <w:tc>
          <w:tcPr>
            <w:tcW w:w="141" w:type="dxa"/>
            <w:tcBorders>
              <w:left w:val="single" w:sz="6" w:space="0" w:color="auto"/>
              <w:right w:val="single" w:sz="6" w:space="0" w:color="auto"/>
            </w:tcBorders>
            <w:vAlign w:val="center"/>
          </w:tcPr>
          <w:p w14:paraId="569B7A85" w14:textId="77777777" w:rsidR="0009609B" w:rsidRPr="00C72720" w:rsidRDefault="0009609B">
            <w:pPr>
              <w:autoSpaceDE w:val="0"/>
              <w:autoSpaceDN w:val="0"/>
              <w:adjustRightInd w:val="0"/>
              <w:jc w:val="center"/>
              <w:rPr>
                <w:rFonts w:cs="Arial"/>
                <w:color w:val="000000"/>
                <w:sz w:val="16"/>
                <w:szCs w:val="16"/>
                <w:lang w:val="en-US"/>
              </w:rPr>
            </w:pPr>
          </w:p>
        </w:tc>
        <w:tc>
          <w:tcPr>
            <w:tcW w:w="1560" w:type="dxa"/>
            <w:tcBorders>
              <w:top w:val="single" w:sz="6" w:space="0" w:color="auto"/>
              <w:left w:val="single" w:sz="6" w:space="0" w:color="auto"/>
              <w:bottom w:val="single" w:sz="6" w:space="0" w:color="auto"/>
              <w:right w:val="single" w:sz="6" w:space="0" w:color="auto"/>
            </w:tcBorders>
            <w:vAlign w:val="center"/>
          </w:tcPr>
          <w:p w14:paraId="25B8198F" w14:textId="77777777" w:rsidR="0009609B" w:rsidRPr="00C72720" w:rsidRDefault="0009609B" w:rsidP="00711D19">
            <w:pPr>
              <w:autoSpaceDE w:val="0"/>
              <w:autoSpaceDN w:val="0"/>
              <w:adjustRightInd w:val="0"/>
              <w:spacing w:afterLines="60" w:after="144"/>
              <w:jc w:val="center"/>
              <w:rPr>
                <w:rFonts w:cs="Arial"/>
                <w:color w:val="000000"/>
                <w:sz w:val="16"/>
                <w:szCs w:val="16"/>
                <w:lang w:val="en-US"/>
              </w:rPr>
            </w:pPr>
            <w:r w:rsidRPr="00C72720">
              <w:rPr>
                <w:rFonts w:cs="Arial"/>
                <w:color w:val="000000"/>
                <w:sz w:val="16"/>
                <w:szCs w:val="16"/>
                <w:lang w:val="en-US"/>
              </w:rPr>
              <w:t>&gt; 50</w:t>
            </w:r>
          </w:p>
        </w:tc>
        <w:tc>
          <w:tcPr>
            <w:tcW w:w="2693" w:type="dxa"/>
            <w:tcBorders>
              <w:top w:val="single" w:sz="6" w:space="0" w:color="auto"/>
              <w:left w:val="single" w:sz="6" w:space="0" w:color="auto"/>
              <w:bottom w:val="single" w:sz="6" w:space="0" w:color="auto"/>
              <w:right w:val="single" w:sz="6" w:space="0" w:color="auto"/>
            </w:tcBorders>
          </w:tcPr>
          <w:p w14:paraId="22B9433D" w14:textId="2D000814" w:rsidR="0009609B" w:rsidRPr="00C72720" w:rsidRDefault="00B27070" w:rsidP="00711D19">
            <w:pPr>
              <w:spacing w:afterLines="60" w:after="144"/>
              <w:jc w:val="center"/>
              <w:rPr>
                <w:rFonts w:eastAsia="Arial Unicode MS" w:cs="Arial"/>
                <w:sz w:val="16"/>
                <w:szCs w:val="16"/>
              </w:rPr>
            </w:pPr>
            <w:r w:rsidRPr="00C72720">
              <w:rPr>
                <w:sz w:val="16"/>
                <w:szCs w:val="16"/>
              </w:rPr>
              <w:t>180.5725</w:t>
            </w:r>
          </w:p>
        </w:tc>
      </w:tr>
    </w:tbl>
    <w:p w14:paraId="3BCA7CC3" w14:textId="77777777" w:rsidR="009D7ABF" w:rsidRDefault="009D7ABF">
      <w:pPr>
        <w:pStyle w:val="Heading9"/>
      </w:pPr>
      <w:r>
        <w:br w:type="page"/>
      </w:r>
      <w:r>
        <w:lastRenderedPageBreak/>
        <w:t>Notes</w:t>
      </w:r>
    </w:p>
    <w:p w14:paraId="62210666" w14:textId="3D677D53" w:rsidR="009D7ABF" w:rsidRDefault="005C23C6" w:rsidP="00E90306">
      <w:pPr>
        <w:ind w:left="720" w:hanging="720"/>
      </w:pPr>
      <w:r>
        <w:t>(a)</w:t>
      </w:r>
      <w:r>
        <w:tab/>
      </w:r>
      <w:r w:rsidR="009D7ABF">
        <w:t xml:space="preserve">Postcode 3055 is shared </w:t>
      </w:r>
      <w:r w:rsidR="009D7ABF" w:rsidRPr="00D37A39">
        <w:t>with</w:t>
      </w:r>
      <w:r w:rsidR="009D7ABF">
        <w:t xml:space="preserve"> Envestra, </w:t>
      </w:r>
      <w:r w:rsidR="00060F5C">
        <w:t xml:space="preserve">AusNet Services </w:t>
      </w:r>
      <w:r w:rsidR="006166C2">
        <w:t>Distribution S</w:t>
      </w:r>
      <w:r w:rsidR="009D7ABF">
        <w:t>upply Points are in Galtes Crescent, Southam Street, Morrow Street, Hopetoun Avenue, Moreland Road, and Flannery Court.</w:t>
      </w:r>
    </w:p>
    <w:p w14:paraId="27FF74C9" w14:textId="00E25B83" w:rsidR="009D7ABF" w:rsidRDefault="005C23C6" w:rsidP="00E90306">
      <w:pPr>
        <w:ind w:left="720" w:hanging="720"/>
      </w:pPr>
      <w:r>
        <w:t>(b)</w:t>
      </w:r>
      <w:r>
        <w:tab/>
      </w:r>
      <w:r w:rsidR="009D7ABF">
        <w:t xml:space="preserve">Postcode 3551 is supplied under both West Zone and Adjoining West Zone.  Adjoining West Zone rates apply to </w:t>
      </w:r>
      <w:r w:rsidR="006166C2">
        <w:t>Distribution S</w:t>
      </w:r>
      <w:r w:rsidR="009D7ABF">
        <w:t xml:space="preserve">upply </w:t>
      </w:r>
      <w:r w:rsidR="006166C2">
        <w:t>P</w:t>
      </w:r>
      <w:r w:rsidR="009D7ABF">
        <w:t xml:space="preserve">oints west of Sparrowhawk Road and south of the Calder Highway and all </w:t>
      </w:r>
      <w:r w:rsidR="006166C2">
        <w:t>Distribution S</w:t>
      </w:r>
      <w:r w:rsidR="009D7ABF">
        <w:t xml:space="preserve">upply </w:t>
      </w:r>
      <w:r w:rsidR="006166C2">
        <w:t>P</w:t>
      </w:r>
      <w:r w:rsidR="009D7ABF">
        <w:t>oints west of Maiden Gully Road.</w:t>
      </w:r>
    </w:p>
    <w:p w14:paraId="0E3014EB" w14:textId="2B880076" w:rsidR="009D7ABF" w:rsidRDefault="005C23C6" w:rsidP="00E90306">
      <w:pPr>
        <w:ind w:left="720" w:hanging="720"/>
      </w:pPr>
      <w:r>
        <w:t>(c)</w:t>
      </w:r>
      <w:r>
        <w:tab/>
      </w:r>
      <w:r w:rsidR="009D7ABF">
        <w:t xml:space="preserve">Postcode 3352 is supplied under both West Zone and Adjoining West Zone.  </w:t>
      </w:r>
      <w:r w:rsidR="009D7ABF">
        <w:rPr>
          <w:lang w:val="en-US"/>
        </w:rPr>
        <w:t xml:space="preserve">Adjoining West Zone rates apply to </w:t>
      </w:r>
      <w:r w:rsidR="006166C2">
        <w:rPr>
          <w:lang w:val="en-US"/>
        </w:rPr>
        <w:t>Distribution S</w:t>
      </w:r>
      <w:r w:rsidR="009D7ABF">
        <w:rPr>
          <w:lang w:val="en-US"/>
        </w:rPr>
        <w:t xml:space="preserve">upply </w:t>
      </w:r>
      <w:r w:rsidR="006166C2">
        <w:rPr>
          <w:lang w:val="en-US"/>
        </w:rPr>
        <w:t>P</w:t>
      </w:r>
      <w:r w:rsidR="009D7ABF">
        <w:rPr>
          <w:lang w:val="en-US"/>
        </w:rPr>
        <w:t>oints in Forest Street, Gillies Road, and Olliers Road north of Western Freeway</w:t>
      </w:r>
      <w:r w:rsidR="009D7ABF">
        <w:t>.</w:t>
      </w:r>
    </w:p>
    <w:p w14:paraId="659F434D" w14:textId="77777777" w:rsidR="009D7ABF" w:rsidRDefault="009D7ABF">
      <w:pPr>
        <w:pStyle w:val="Heading9"/>
      </w:pPr>
      <w:r>
        <w:t>Billing Parameters</w:t>
      </w:r>
    </w:p>
    <w:p w14:paraId="29E5C933" w14:textId="0245F275" w:rsidR="009D7ABF" w:rsidRDefault="005C23C6" w:rsidP="00E90306">
      <w:pPr>
        <w:ind w:left="720" w:hanging="720"/>
        <w:rPr>
          <w:b/>
          <w:caps/>
        </w:rPr>
      </w:pPr>
      <w:r>
        <w:t>(a)</w:t>
      </w:r>
      <w:r>
        <w:tab/>
      </w:r>
      <w:r w:rsidR="009D7ABF">
        <w:t xml:space="preserve">Distribution tariffs are charged in accordance with the </w:t>
      </w:r>
      <w:r w:rsidR="009D7ABF" w:rsidRPr="00D37A39">
        <w:t>billing</w:t>
      </w:r>
      <w:r w:rsidR="009D7ABF">
        <w:t xml:space="preserve"> parameters outlined in Part </w:t>
      </w:r>
      <w:r w:rsidR="00761EAB">
        <w:t>C</w:t>
      </w:r>
      <w:r w:rsidR="009D7ABF">
        <w:t xml:space="preserve"> of the </w:t>
      </w:r>
      <w:r w:rsidR="009D7ABF">
        <w:rPr>
          <w:i/>
          <w:iCs/>
        </w:rPr>
        <w:t>Access Arrangement</w:t>
      </w:r>
      <w:r w:rsidR="009D7ABF">
        <w:rPr>
          <w:caps/>
        </w:rPr>
        <w:t xml:space="preserve"> </w:t>
      </w:r>
      <w:r w:rsidR="009D7ABF">
        <w:t>by</w:t>
      </w:r>
      <w:r w:rsidR="009D7ABF">
        <w:rPr>
          <w:caps/>
        </w:rPr>
        <w:t xml:space="preserve"> </w:t>
      </w:r>
      <w:r w:rsidR="00BF12C6" w:rsidRPr="00BF12C6">
        <w:t>AusNet Gas Services Pty Ltd</w:t>
      </w:r>
      <w:r w:rsidR="00BF12C6">
        <w:t xml:space="preserve"> </w:t>
      </w:r>
      <w:r w:rsidR="009D7ABF">
        <w:t>(formerly TXU Networks (Gas) Pty Ltd) as varied by licence condition on 7 October 2004</w:t>
      </w:r>
      <w:r w:rsidR="009D7ABF">
        <w:rPr>
          <w:b/>
        </w:rPr>
        <w:t>.</w:t>
      </w:r>
    </w:p>
    <w:p w14:paraId="6F647667" w14:textId="0E47DB43" w:rsidR="009D7ABF" w:rsidRDefault="005C23C6" w:rsidP="00E90306">
      <w:pPr>
        <w:ind w:left="720" w:hanging="720"/>
      </w:pPr>
      <w:r>
        <w:t>(b)</w:t>
      </w:r>
      <w:r>
        <w:tab/>
      </w:r>
      <w:r>
        <w:rPr>
          <w:caps/>
        </w:rPr>
        <w:t xml:space="preserve"> </w:t>
      </w:r>
      <w:r w:rsidR="009D7ABF">
        <w:rPr>
          <w:b/>
          <w:caps/>
        </w:rPr>
        <w:t xml:space="preserve">Domestic – </w:t>
      </w:r>
      <w:r w:rsidR="009D7ABF">
        <w:t xml:space="preserve">Domestic </w:t>
      </w:r>
      <w:r w:rsidR="009D7ABF" w:rsidRPr="00D37A39">
        <w:t>tariffs</w:t>
      </w:r>
      <w:r w:rsidR="009D7ABF">
        <w:t xml:space="preserve"> will be applied to premises where the predominant consumption of gas is for non-commercial or non industrial residential purposes.</w:t>
      </w:r>
    </w:p>
    <w:p w14:paraId="7C1F3531" w14:textId="5DE639E0" w:rsidR="009D7ABF" w:rsidRDefault="005C23C6" w:rsidP="00E90306">
      <w:pPr>
        <w:ind w:left="720" w:hanging="720"/>
      </w:pPr>
      <w:r>
        <w:t>(c)</w:t>
      </w:r>
      <w:r>
        <w:tab/>
      </w:r>
      <w:r w:rsidR="009D7ABF">
        <w:rPr>
          <w:b/>
        </w:rPr>
        <w:t xml:space="preserve">NON DOMESTIC – </w:t>
      </w:r>
      <w:r w:rsidR="009D7ABF">
        <w:t xml:space="preserve">Non </w:t>
      </w:r>
      <w:r w:rsidR="009D7ABF" w:rsidRPr="00D37A39">
        <w:t>Domestic</w:t>
      </w:r>
      <w:r w:rsidR="009D7ABF">
        <w:t xml:space="preserve"> tariffs will be applied to all premises where the predominant consumption of gas is for commercial or industrial purposes.</w:t>
      </w:r>
    </w:p>
    <w:p w14:paraId="544888AB" w14:textId="14A24505" w:rsidR="009D7ABF" w:rsidRDefault="005C23C6" w:rsidP="00E90306">
      <w:pPr>
        <w:ind w:left="720" w:hanging="720"/>
      </w:pPr>
      <w:r>
        <w:t>(d)</w:t>
      </w:r>
      <w:r>
        <w:tab/>
      </w:r>
      <w:r w:rsidR="009D7ABF">
        <w:rPr>
          <w:b/>
        </w:rPr>
        <w:t xml:space="preserve">TARIFF M </w:t>
      </w:r>
      <w:r w:rsidR="00060F5C">
        <w:t>–</w:t>
      </w:r>
      <w:r w:rsidR="009D7ABF">
        <w:t xml:space="preserve"> A separate </w:t>
      </w:r>
      <w:r w:rsidR="009D7ABF" w:rsidRPr="00D37A39">
        <w:t>Operations</w:t>
      </w:r>
      <w:r w:rsidR="009D7ABF">
        <w:t xml:space="preserve"> &amp; Maintenance (O&amp;M) charge is not applicable to Tariff M customers.  Customers may still be charged unrecovered infrastructure costs (LCC) where applicable.</w:t>
      </w:r>
    </w:p>
    <w:p w14:paraId="7DAFE94D" w14:textId="77777777" w:rsidR="009D7ABF" w:rsidRDefault="009D7ABF" w:rsidP="00711D19">
      <w:pPr>
        <w:spacing w:afterLines="60" w:after="144"/>
      </w:pPr>
    </w:p>
    <w:p w14:paraId="60961F5D" w14:textId="77777777" w:rsidR="009D7ABF" w:rsidRDefault="009D7ABF">
      <w:pPr>
        <w:pStyle w:val="Header"/>
        <w:sectPr w:rsidR="009D7ABF">
          <w:footerReference w:type="even" r:id="rId112"/>
          <w:pgSz w:w="11906" w:h="16838" w:code="9"/>
          <w:pgMar w:top="794" w:right="1276" w:bottom="1304" w:left="1276" w:header="680" w:footer="680" w:gutter="0"/>
          <w:paperSrc w:first="11" w:other="11"/>
          <w:cols w:space="720"/>
        </w:sectPr>
      </w:pPr>
    </w:p>
    <w:p w14:paraId="7A3E1E4E" w14:textId="030DC1CA" w:rsidR="009D7ABF" w:rsidRDefault="009D7ABF" w:rsidP="008A599C">
      <w:pPr>
        <w:pStyle w:val="Heading1"/>
      </w:pPr>
      <w:bookmarkStart w:id="183" w:name="_Toc3971535"/>
      <w:bookmarkStart w:id="184" w:name="_Toc469519515"/>
      <w:r>
        <w:lastRenderedPageBreak/>
        <w:t>Initial Ancillary Reference Tariffs</w:t>
      </w:r>
      <w:bookmarkEnd w:id="183"/>
      <w:r>
        <w:t xml:space="preserve"> </w:t>
      </w:r>
      <w:r w:rsidR="00060F5C">
        <w:t>–</w:t>
      </w:r>
      <w:r>
        <w:t xml:space="preserve"> 1 </w:t>
      </w:r>
      <w:r w:rsidR="003848CB">
        <w:t>January 2018</w:t>
      </w:r>
      <w:bookmarkEnd w:id="184"/>
    </w:p>
    <w:p w14:paraId="3C1D8947" w14:textId="77777777" w:rsidR="009D7ABF" w:rsidRDefault="009D7ABF" w:rsidP="008A599C">
      <w:pPr>
        <w:pStyle w:val="BodyTex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719"/>
      </w:tblGrid>
      <w:tr w:rsidR="009D7ABF" w14:paraId="40E45C30" w14:textId="77777777" w:rsidTr="00060F5C">
        <w:trPr>
          <w:cantSplit/>
          <w:trHeight w:val="567"/>
        </w:trPr>
        <w:tc>
          <w:tcPr>
            <w:tcW w:w="5637" w:type="dxa"/>
            <w:tcBorders>
              <w:bottom w:val="single" w:sz="12" w:space="0" w:color="auto"/>
            </w:tcBorders>
            <w:shd w:val="clear" w:color="auto" w:fill="D9D9D9"/>
            <w:vAlign w:val="center"/>
          </w:tcPr>
          <w:p w14:paraId="542834D8" w14:textId="77777777" w:rsidR="009D7ABF" w:rsidRDefault="009D7ABF" w:rsidP="00E90306">
            <w:pPr>
              <w:jc w:val="left"/>
              <w:rPr>
                <w:b/>
              </w:rPr>
            </w:pPr>
            <w:r>
              <w:rPr>
                <w:b/>
              </w:rPr>
              <w:t>Ancillary Reference Tariff</w:t>
            </w:r>
          </w:p>
        </w:tc>
        <w:tc>
          <w:tcPr>
            <w:tcW w:w="3719" w:type="dxa"/>
            <w:tcBorders>
              <w:bottom w:val="single" w:sz="12" w:space="0" w:color="auto"/>
            </w:tcBorders>
            <w:shd w:val="clear" w:color="auto" w:fill="D9D9D9"/>
            <w:vAlign w:val="center"/>
          </w:tcPr>
          <w:p w14:paraId="25802A52" w14:textId="77777777" w:rsidR="009D7ABF" w:rsidRDefault="009D7ABF" w:rsidP="00E90306">
            <w:pPr>
              <w:jc w:val="center"/>
              <w:rPr>
                <w:b/>
              </w:rPr>
            </w:pPr>
            <w:r>
              <w:rPr>
                <w:b/>
              </w:rPr>
              <w:t>Price  (inclusive of GST)</w:t>
            </w:r>
          </w:p>
        </w:tc>
      </w:tr>
      <w:tr w:rsidR="009D7ABF" w14:paraId="31BE5247" w14:textId="77777777" w:rsidTr="00060F5C">
        <w:trPr>
          <w:cantSplit/>
          <w:trHeight w:val="1134"/>
        </w:trPr>
        <w:tc>
          <w:tcPr>
            <w:tcW w:w="5637" w:type="dxa"/>
            <w:tcBorders>
              <w:top w:val="nil"/>
            </w:tcBorders>
            <w:tcMar>
              <w:top w:w="113" w:type="dxa"/>
              <w:bottom w:w="113" w:type="dxa"/>
            </w:tcMar>
            <w:vAlign w:val="center"/>
          </w:tcPr>
          <w:p w14:paraId="13B17375" w14:textId="77777777" w:rsidR="00841751" w:rsidRDefault="00841751" w:rsidP="00E90306">
            <w:pPr>
              <w:rPr>
                <w:b/>
                <w:bCs/>
              </w:rPr>
            </w:pPr>
            <w:r>
              <w:rPr>
                <w:b/>
                <w:bCs/>
              </w:rPr>
              <w:t>Disconnection</w:t>
            </w:r>
          </w:p>
          <w:p w14:paraId="19A71710" w14:textId="77777777" w:rsidR="00841751" w:rsidRDefault="00841751" w:rsidP="00E90306"/>
          <w:p w14:paraId="3A2C8632" w14:textId="77777777" w:rsidR="009D7ABF" w:rsidRDefault="009D7ABF" w:rsidP="00E90306">
            <w:pPr>
              <w:rPr>
                <w:i/>
                <w:iCs/>
              </w:rPr>
            </w:pPr>
            <w:r>
              <w:t>Disconnection by the carrying out of work being the use of locks or plugs at a Metering Installation in order to prevent the withdrawal of Gas at the Distribution Supply Point.</w:t>
            </w:r>
          </w:p>
          <w:p w14:paraId="59250DA5" w14:textId="77777777" w:rsidR="009D7ABF" w:rsidRDefault="009D7ABF" w:rsidP="00E90306">
            <w:pPr>
              <w:rPr>
                <w:i/>
                <w:iCs/>
              </w:rPr>
            </w:pPr>
          </w:p>
          <w:p w14:paraId="7D8958D7" w14:textId="77777777" w:rsidR="009D7ABF" w:rsidRDefault="009D7ABF" w:rsidP="00E90306">
            <w:pPr>
              <w:jc w:val="left"/>
              <w:rPr>
                <w:b/>
                <w:bCs/>
              </w:rPr>
            </w:pPr>
            <w:r>
              <w:rPr>
                <w:rFonts w:ascii="Helv" w:hAnsi="Helv"/>
                <w:i/>
                <w:iCs/>
                <w:sz w:val="20"/>
                <w:lang w:val="en-US"/>
              </w:rPr>
              <w:t>Disconnection means the carrying out of work to prevent the withdrawal of Gas at a Distribution Supply Point</w:t>
            </w:r>
            <w:r w:rsidR="00060F5C">
              <w:rPr>
                <w:rFonts w:ascii="Helv" w:hAnsi="Helv"/>
                <w:i/>
                <w:iCs/>
                <w:sz w:val="20"/>
                <w:lang w:val="en-US"/>
              </w:rPr>
              <w:t>.</w:t>
            </w:r>
          </w:p>
        </w:tc>
        <w:tc>
          <w:tcPr>
            <w:tcW w:w="3719" w:type="dxa"/>
            <w:tcBorders>
              <w:top w:val="nil"/>
            </w:tcBorders>
            <w:tcMar>
              <w:top w:w="113" w:type="dxa"/>
              <w:bottom w:w="113" w:type="dxa"/>
            </w:tcMar>
            <w:vAlign w:val="center"/>
          </w:tcPr>
          <w:p w14:paraId="19223182" w14:textId="4E3878E3" w:rsidR="009D7ABF" w:rsidRDefault="009D7ABF" w:rsidP="00E90306">
            <w:pPr>
              <w:jc w:val="center"/>
            </w:pPr>
            <w:r>
              <w:t>$</w:t>
            </w:r>
            <w:r w:rsidR="004D1BD1">
              <w:t>57.94</w:t>
            </w:r>
          </w:p>
          <w:p w14:paraId="4FD21660" w14:textId="77777777" w:rsidR="009D7ABF" w:rsidRDefault="009D7ABF" w:rsidP="00E90306">
            <w:pPr>
              <w:jc w:val="center"/>
            </w:pPr>
          </w:p>
          <w:p w14:paraId="49B14C06" w14:textId="77777777" w:rsidR="009D7ABF" w:rsidRDefault="009D7ABF" w:rsidP="00E90306">
            <w:pPr>
              <w:jc w:val="center"/>
            </w:pPr>
          </w:p>
        </w:tc>
      </w:tr>
      <w:tr w:rsidR="009D7ABF" w14:paraId="41ADFFD5" w14:textId="77777777" w:rsidTr="00060F5C">
        <w:trPr>
          <w:cantSplit/>
          <w:trHeight w:val="1134"/>
        </w:trPr>
        <w:tc>
          <w:tcPr>
            <w:tcW w:w="5637" w:type="dxa"/>
            <w:tcMar>
              <w:top w:w="113" w:type="dxa"/>
              <w:bottom w:w="113" w:type="dxa"/>
            </w:tcMar>
            <w:vAlign w:val="center"/>
          </w:tcPr>
          <w:p w14:paraId="6D674E4C" w14:textId="77777777" w:rsidR="009D7ABF" w:rsidRDefault="009D7ABF" w:rsidP="00E90306">
            <w:pPr>
              <w:jc w:val="left"/>
              <w:rPr>
                <w:b/>
                <w:bCs/>
              </w:rPr>
            </w:pPr>
            <w:r>
              <w:rPr>
                <w:b/>
                <w:bCs/>
              </w:rPr>
              <w:t xml:space="preserve">Reconnection of Meter </w:t>
            </w:r>
          </w:p>
          <w:p w14:paraId="2F33B804" w14:textId="77777777" w:rsidR="009D7ABF" w:rsidRDefault="009D7ABF" w:rsidP="00E90306">
            <w:pPr>
              <w:jc w:val="left"/>
            </w:pPr>
          </w:p>
          <w:p w14:paraId="6E273569" w14:textId="77777777" w:rsidR="009D7ABF" w:rsidRDefault="009D7ABF" w:rsidP="00E90306">
            <w:pPr>
              <w:jc w:val="left"/>
            </w:pPr>
            <w:r>
              <w:t>Reconnection by turning on Supply, including the removal of locks or plugs used to isolate Supply or reinstallation of a Meter if it has been removed, performance of a safety check and the lighting of appliances where necessary.</w:t>
            </w:r>
          </w:p>
          <w:p w14:paraId="7138F3AE" w14:textId="77777777" w:rsidR="009D7ABF" w:rsidRDefault="009D7ABF" w:rsidP="00E90306">
            <w:pPr>
              <w:jc w:val="left"/>
              <w:rPr>
                <w:i/>
                <w:iCs/>
              </w:rPr>
            </w:pPr>
          </w:p>
          <w:p w14:paraId="30E941D7" w14:textId="77777777" w:rsidR="009D7ABF" w:rsidRDefault="009D7ABF" w:rsidP="00E90306">
            <w:pPr>
              <w:jc w:val="left"/>
              <w:rPr>
                <w:i/>
                <w:iCs/>
              </w:rPr>
            </w:pPr>
            <w:r>
              <w:rPr>
                <w:rFonts w:ascii="Helv" w:hAnsi="Helv"/>
                <w:i/>
                <w:iCs/>
                <w:sz w:val="20"/>
                <w:lang w:val="en-US"/>
              </w:rPr>
              <w:t>Turn On of service to a Distribution Supply Point which has previously been disconnected</w:t>
            </w:r>
          </w:p>
        </w:tc>
        <w:tc>
          <w:tcPr>
            <w:tcW w:w="3719" w:type="dxa"/>
            <w:tcMar>
              <w:top w:w="113" w:type="dxa"/>
              <w:bottom w:w="113" w:type="dxa"/>
            </w:tcMar>
            <w:vAlign w:val="center"/>
          </w:tcPr>
          <w:p w14:paraId="7F8F90AB" w14:textId="67828BCE" w:rsidR="009D7ABF" w:rsidRDefault="009D7ABF" w:rsidP="00E90306">
            <w:pPr>
              <w:jc w:val="center"/>
            </w:pPr>
            <w:r>
              <w:t>$</w:t>
            </w:r>
            <w:r w:rsidR="004D1BD1">
              <w:t>57.94</w:t>
            </w:r>
          </w:p>
        </w:tc>
      </w:tr>
      <w:tr w:rsidR="009D7ABF" w14:paraId="0A274CFB" w14:textId="77777777" w:rsidTr="00060F5C">
        <w:trPr>
          <w:cantSplit/>
          <w:trHeight w:val="1134"/>
        </w:trPr>
        <w:tc>
          <w:tcPr>
            <w:tcW w:w="5637" w:type="dxa"/>
            <w:tcMar>
              <w:top w:w="113" w:type="dxa"/>
              <w:bottom w:w="113" w:type="dxa"/>
            </w:tcMar>
            <w:vAlign w:val="center"/>
          </w:tcPr>
          <w:p w14:paraId="4B3C7734" w14:textId="77777777" w:rsidR="009D7ABF" w:rsidRDefault="009D7ABF" w:rsidP="00E90306">
            <w:pPr>
              <w:jc w:val="left"/>
              <w:rPr>
                <w:b/>
                <w:bCs/>
              </w:rPr>
            </w:pPr>
            <w:r>
              <w:rPr>
                <w:b/>
                <w:bCs/>
              </w:rPr>
              <w:t>Special Meter Reads</w:t>
            </w:r>
          </w:p>
          <w:p w14:paraId="69B5E426" w14:textId="77777777" w:rsidR="009D7ABF" w:rsidRDefault="009D7ABF" w:rsidP="00E90306">
            <w:pPr>
              <w:jc w:val="left"/>
              <w:rPr>
                <w:i/>
                <w:iCs/>
              </w:rPr>
            </w:pPr>
          </w:p>
          <w:p w14:paraId="01FE72FB" w14:textId="77777777" w:rsidR="009D7ABF" w:rsidRDefault="009D7ABF" w:rsidP="00E90306">
            <w:pPr>
              <w:jc w:val="left"/>
              <w:rPr>
                <w:i/>
                <w:iCs/>
              </w:rPr>
            </w:pPr>
            <w:r>
              <w:rPr>
                <w:rFonts w:cs="Arial"/>
              </w:rPr>
              <w:t>Meter reading for a DSP in addition to the scheduled meter readings that form part of the Haulage Reference Services</w:t>
            </w:r>
            <w:r w:rsidR="00060F5C">
              <w:rPr>
                <w:rFonts w:cs="Arial"/>
              </w:rPr>
              <w:t>.</w:t>
            </w:r>
          </w:p>
          <w:p w14:paraId="198DAD40" w14:textId="77777777" w:rsidR="009D7ABF" w:rsidRDefault="009D7ABF" w:rsidP="00E90306">
            <w:pPr>
              <w:jc w:val="left"/>
              <w:rPr>
                <w:i/>
                <w:iCs/>
              </w:rPr>
            </w:pPr>
          </w:p>
          <w:p w14:paraId="6B3C2E37" w14:textId="77777777" w:rsidR="009D7ABF" w:rsidRDefault="009D7ABF" w:rsidP="00E90306">
            <w:pPr>
              <w:jc w:val="left"/>
              <w:rPr>
                <w:i/>
                <w:iCs/>
                <w:sz w:val="20"/>
              </w:rPr>
            </w:pPr>
            <w:r>
              <w:rPr>
                <w:i/>
                <w:iCs/>
                <w:sz w:val="20"/>
              </w:rPr>
              <w:t>Undertaken at the request of the User or Customer, not part of the periodic meter read schedule</w:t>
            </w:r>
            <w:r w:rsidR="00060F5C">
              <w:rPr>
                <w:i/>
                <w:iCs/>
                <w:sz w:val="20"/>
              </w:rPr>
              <w:t>.</w:t>
            </w:r>
          </w:p>
        </w:tc>
        <w:tc>
          <w:tcPr>
            <w:tcW w:w="3719" w:type="dxa"/>
            <w:tcMar>
              <w:top w:w="113" w:type="dxa"/>
              <w:bottom w:w="113" w:type="dxa"/>
            </w:tcMar>
            <w:vAlign w:val="center"/>
          </w:tcPr>
          <w:p w14:paraId="7EC5ED23" w14:textId="163A5AE5" w:rsidR="009D7ABF" w:rsidRDefault="009D7ABF" w:rsidP="00E90306">
            <w:pPr>
              <w:jc w:val="center"/>
            </w:pPr>
            <w:r>
              <w:t>$</w:t>
            </w:r>
            <w:r w:rsidR="004D1BD1" w:rsidRPr="001D55D1">
              <w:t>8.</w:t>
            </w:r>
            <w:r w:rsidR="004D1BD1">
              <w:t>98</w:t>
            </w:r>
          </w:p>
        </w:tc>
      </w:tr>
      <w:tr w:rsidR="003F28DE" w14:paraId="4D13377A" w14:textId="77777777" w:rsidTr="00060F5C">
        <w:trPr>
          <w:cantSplit/>
          <w:trHeight w:val="1134"/>
        </w:trPr>
        <w:tc>
          <w:tcPr>
            <w:tcW w:w="5637" w:type="dxa"/>
            <w:tcMar>
              <w:top w:w="113" w:type="dxa"/>
              <w:bottom w:w="113" w:type="dxa"/>
            </w:tcMar>
            <w:vAlign w:val="center"/>
          </w:tcPr>
          <w:p w14:paraId="20C0F700" w14:textId="77777777" w:rsidR="003F28DE" w:rsidRDefault="004574EF" w:rsidP="00E90306">
            <w:pPr>
              <w:jc w:val="left"/>
              <w:rPr>
                <w:b/>
                <w:bCs/>
              </w:rPr>
            </w:pPr>
            <w:r w:rsidRPr="004574EF">
              <w:rPr>
                <w:b/>
                <w:bCs/>
              </w:rPr>
              <w:t>Meter and gas installation test</w:t>
            </w:r>
          </w:p>
        </w:tc>
        <w:tc>
          <w:tcPr>
            <w:tcW w:w="3719" w:type="dxa"/>
            <w:tcMar>
              <w:top w:w="113" w:type="dxa"/>
              <w:bottom w:w="113" w:type="dxa"/>
            </w:tcMar>
            <w:vAlign w:val="center"/>
          </w:tcPr>
          <w:p w14:paraId="25D08F39" w14:textId="57BDBCBC" w:rsidR="003F28DE" w:rsidRDefault="004574EF" w:rsidP="00E90306">
            <w:pPr>
              <w:jc w:val="center"/>
            </w:pPr>
            <w:r>
              <w:t>$</w:t>
            </w:r>
            <w:r w:rsidR="004D1BD1">
              <w:t>173.83</w:t>
            </w:r>
          </w:p>
        </w:tc>
      </w:tr>
    </w:tbl>
    <w:p w14:paraId="75441EE1" w14:textId="6B874170" w:rsidR="009D7ABF" w:rsidRDefault="009D7ABF" w:rsidP="00711D19">
      <w:pPr>
        <w:spacing w:afterLines="60" w:after="144"/>
      </w:pPr>
    </w:p>
    <w:p w14:paraId="69DCEAE4" w14:textId="7C33429F" w:rsidR="00C97747" w:rsidRDefault="00C97747">
      <w:pPr>
        <w:spacing w:before="0" w:after="0"/>
        <w:jc w:val="left"/>
        <w:rPr>
          <w:rFonts w:ascii="Arial Bold" w:hAnsi="Arial Bold"/>
          <w:b/>
          <w:color w:val="000080"/>
          <w:spacing w:val="-10"/>
          <w:kern w:val="20"/>
          <w:sz w:val="28"/>
        </w:rPr>
      </w:pPr>
    </w:p>
    <w:p w14:paraId="4F7E26D4" w14:textId="77777777" w:rsidR="00C97747" w:rsidRDefault="00C97747" w:rsidP="00C97747">
      <w:pPr>
        <w:pStyle w:val="Heading1"/>
        <w:numPr>
          <w:ilvl w:val="0"/>
          <w:numId w:val="0"/>
        </w:numPr>
        <w:ind w:left="928" w:hanging="928"/>
        <w:sectPr w:rsidR="00C97747">
          <w:pgSz w:w="11907" w:h="16840" w:code="9"/>
          <w:pgMar w:top="851" w:right="1134" w:bottom="851" w:left="1418" w:header="567" w:footer="567" w:gutter="0"/>
          <w:cols w:space="720"/>
        </w:sectPr>
      </w:pPr>
    </w:p>
    <w:p w14:paraId="2FC764D1" w14:textId="6113CBCB" w:rsidR="00C97747" w:rsidRDefault="00C97747" w:rsidP="00C97747">
      <w:pPr>
        <w:pStyle w:val="Heading1"/>
        <w:numPr>
          <w:ilvl w:val="0"/>
          <w:numId w:val="0"/>
        </w:numPr>
        <w:ind w:left="928" w:hanging="928"/>
      </w:pPr>
      <w:bookmarkStart w:id="185" w:name="_Toc469519516"/>
      <w:r>
        <w:lastRenderedPageBreak/>
        <w:t>Annexure A – Asset Performance Index</w:t>
      </w:r>
      <w:bookmarkEnd w:id="185"/>
    </w:p>
    <w:p w14:paraId="0F736C70" w14:textId="77777777" w:rsidR="00C97747" w:rsidRDefault="00C97747" w:rsidP="00C97747">
      <w:pPr>
        <w:spacing w:afterLines="60" w:after="144"/>
      </w:pPr>
      <w:r>
        <w:t>The Asset Performance Index is calculated for the Fifth Access Arrangement period as follows:</w:t>
      </w:r>
    </w:p>
    <w:p w14:paraId="5A13B53D" w14:textId="77777777" w:rsidR="00C97747" w:rsidRDefault="00C97747" w:rsidP="00C97747">
      <w:pPr>
        <w:pStyle w:val="ListParagraph"/>
        <w:numPr>
          <w:ilvl w:val="0"/>
          <w:numId w:val="36"/>
        </w:numPr>
      </w:pPr>
      <w:r>
        <w:t xml:space="preserve">Calculate the arithmetic average of the annual unplanned SAIDI for all customers for each of the four Australian financial years from 1 July 2017 to 31 June 2021, measured for each year </w:t>
      </w:r>
      <w:r>
        <w:rPr>
          <w:i/>
        </w:rPr>
        <w:t>t</w:t>
      </w:r>
      <w:r>
        <w:t xml:space="preserve"> as follows:</w:t>
      </w:r>
    </w:p>
    <w:p w14:paraId="411CD9F9" w14:textId="77777777" w:rsidR="00C97747" w:rsidRDefault="00C97747" w:rsidP="00C97747">
      <w:pPr>
        <w:pStyle w:val="ListParagraph"/>
        <w:ind w:left="1440"/>
      </w:pPr>
    </w:p>
    <w:p w14:paraId="0AE3061E" w14:textId="77777777" w:rsidR="00C97747" w:rsidRDefault="00412743" w:rsidP="00C97747">
      <w:pPr>
        <w:pStyle w:val="ListParagraph"/>
        <w:ind w:left="1440"/>
      </w:pPr>
      <m:oMathPara>
        <m:oMath>
          <m:sSub>
            <m:sSubPr>
              <m:ctrlPr>
                <w:rPr>
                  <w:rFonts w:ascii="Cambria Math" w:hAnsi="Cambria Math"/>
                  <w:i/>
                </w:rPr>
              </m:ctrlPr>
            </m:sSubPr>
            <m:e>
              <m:r>
                <w:rPr>
                  <w:rFonts w:ascii="Cambria Math" w:hAnsi="Cambria Math"/>
                </w:rPr>
                <m:t>Unplanned SAIDI</m:t>
              </m:r>
            </m:e>
            <m:sub>
              <m:r>
                <w:rPr>
                  <w:rFonts w:ascii="Cambria Math" w:hAnsi="Cambria Math"/>
                </w:rPr>
                <m:t>t</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m:t>
                      </m:r>
                    </m:e>
                    <m:sub>
                      <m:r>
                        <w:rPr>
                          <w:rFonts w:ascii="Cambria Math" w:hAnsi="Cambria Math"/>
                        </w:rPr>
                        <m:t>i</m:t>
                      </m:r>
                    </m:sub>
                    <m:sup>
                      <m:r>
                        <w:rPr>
                          <w:rFonts w:ascii="Cambria Math" w:hAnsi="Cambria Math"/>
                        </w:rPr>
                        <m:t>t</m:t>
                      </m:r>
                    </m:sup>
                  </m:sSubSup>
                </m:e>
              </m:nary>
            </m:num>
            <m:den>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e>
                  </m:nary>
                </m:num>
                <m:den>
                  <m:r>
                    <w:rPr>
                      <w:rFonts w:ascii="Cambria Math" w:hAnsi="Cambria Math"/>
                    </w:rPr>
                    <m:t>12</m:t>
                  </m:r>
                </m:den>
              </m:f>
            </m:den>
          </m:f>
        </m:oMath>
      </m:oMathPara>
    </w:p>
    <w:p w14:paraId="426E6C83" w14:textId="77777777" w:rsidR="00C97747" w:rsidRDefault="00C97747" w:rsidP="00C97747">
      <w:pPr>
        <w:pStyle w:val="ListParagraph"/>
        <w:ind w:left="1440"/>
      </w:pPr>
    </w:p>
    <w:p w14:paraId="2145BF99" w14:textId="77777777" w:rsidR="00C97747" w:rsidRDefault="00C97747" w:rsidP="00C97747">
      <w:pPr>
        <w:ind w:left="2160" w:hanging="720"/>
      </w:pPr>
      <w:r>
        <w:t>where:</w:t>
      </w:r>
    </w:p>
    <w:p w14:paraId="0BD41A8A" w14:textId="2EBE11DA" w:rsidR="00C97747" w:rsidRDefault="00412743" w:rsidP="00F57D9B">
      <w:pPr>
        <w:ind w:left="2880" w:hanging="1440"/>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OU</m:t>
                </m:r>
              </m:e>
              <m:sub>
                <m:r>
                  <w:rPr>
                    <w:rFonts w:ascii="Cambria Math" w:hAnsi="Cambria Math"/>
                  </w:rPr>
                  <m:t>i</m:t>
                </m:r>
              </m:sub>
              <m:sup>
                <m:r>
                  <w:rPr>
                    <w:rFonts w:ascii="Cambria Math" w:hAnsi="Cambria Math"/>
                  </w:rPr>
                  <m:t>t</m:t>
                </m:r>
              </m:sup>
            </m:sSubSup>
          </m:e>
        </m:nary>
      </m:oMath>
      <w:r w:rsidR="00C97747">
        <w:t xml:space="preserve"> </w:t>
      </w:r>
      <w:r w:rsidR="00C97747">
        <w:tab/>
        <w:t xml:space="preserve">is the summation of the total number of unplanned minutes off supply for all customers on the Service Provider’s network sourced from quarterly reports submitted to Energy Safe Victoria for the 12 months in the Australian financial year ending in Calendar Year </w:t>
      </w:r>
      <w:r w:rsidR="00C97747">
        <w:rPr>
          <w:i/>
        </w:rPr>
        <w:t>t</w:t>
      </w:r>
      <w:r w:rsidR="00C97747">
        <w:t>;</w:t>
      </w:r>
    </w:p>
    <w:p w14:paraId="630ADE52" w14:textId="671836BE" w:rsidR="00C97747" w:rsidRDefault="00412743" w:rsidP="00F57D9B">
      <w:pPr>
        <w:ind w:left="2880" w:hanging="1440"/>
      </w:pPr>
      <m:oMath>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t</m:t>
                    </m:r>
                  </m:sup>
                </m:sSubSup>
              </m:e>
            </m:nary>
          </m:num>
          <m:den>
            <m:r>
              <w:rPr>
                <w:rFonts w:ascii="Cambria Math" w:hAnsi="Cambria Math"/>
              </w:rPr>
              <m:t>12</m:t>
            </m:r>
          </m:den>
        </m:f>
      </m:oMath>
      <w:r w:rsidR="00C97747">
        <w:t xml:space="preserve"> </w:t>
      </w:r>
      <w:r w:rsidR="00C97747">
        <w:tab/>
        <w:t xml:space="preserve">is arithmetic average of total customers of the Service Provider sourced from annual reports submitted to Energy Safe Victoria over the 12 months in the Australian financial year ending in Calendar Year </w:t>
      </w:r>
      <w:r w:rsidR="00C97747">
        <w:rPr>
          <w:i/>
        </w:rPr>
        <w:t>t</w:t>
      </w:r>
      <w:r w:rsidR="00C97747">
        <w:t>.</w:t>
      </w:r>
    </w:p>
    <w:p w14:paraId="32FFE6DA" w14:textId="77777777" w:rsidR="00C97747" w:rsidRDefault="00C97747" w:rsidP="00C97747">
      <w:pPr>
        <w:ind w:left="1440"/>
      </w:pPr>
    </w:p>
    <w:p w14:paraId="1E4804BA" w14:textId="77777777" w:rsidR="00C97747" w:rsidRDefault="00C97747" w:rsidP="00C97747">
      <w:pPr>
        <w:pStyle w:val="ListParagraph"/>
        <w:numPr>
          <w:ilvl w:val="0"/>
          <w:numId w:val="36"/>
        </w:numPr>
      </w:pPr>
      <w:r>
        <w:t>Calculate the arithmetic average of the annual reported gas leaks for mains, services and meters of the Service Provider for each of the four Australian financial years from 1 July 2017 to 31 June 2021, as reported to the Energy Council of Australia.</w:t>
      </w:r>
    </w:p>
    <w:p w14:paraId="4BEA0AA4" w14:textId="77777777" w:rsidR="00C97747" w:rsidRDefault="00C97747" w:rsidP="00C97747">
      <w:pPr>
        <w:pStyle w:val="ListParagraph"/>
        <w:ind w:left="1440"/>
      </w:pPr>
    </w:p>
    <w:p w14:paraId="6CA722D2" w14:textId="77777777" w:rsidR="00C97747" w:rsidRDefault="00C97747" w:rsidP="00C97747">
      <w:pPr>
        <w:pStyle w:val="ListParagraph"/>
        <w:numPr>
          <w:ilvl w:val="0"/>
          <w:numId w:val="36"/>
        </w:numPr>
      </w:pPr>
      <w:r>
        <w:t>Calculate the arithmetic average of the annual number of water in main incidents for each of the four Australian financial years from 1 July 2017 to 31 June 2021, measured as follows:</w:t>
      </w:r>
    </w:p>
    <w:p w14:paraId="62EFCC0C" w14:textId="77777777" w:rsidR="00C97747" w:rsidRDefault="00412743" w:rsidP="00F57D9B">
      <m:oMathPara>
        <m:oMath>
          <m:sSub>
            <m:sSubPr>
              <m:ctrlPr>
                <w:rPr>
                  <w:rFonts w:ascii="Cambria Math" w:hAnsi="Cambria Math"/>
                  <w:i/>
                </w:rPr>
              </m:ctrlPr>
            </m:sSubPr>
            <m:e>
              <m:r>
                <w:rPr>
                  <w:rFonts w:ascii="Cambria Math" w:hAnsi="Cambria Math"/>
                </w:rPr>
                <m:t>Water in Mains</m:t>
              </m:r>
            </m:e>
            <m:sub>
              <m:r>
                <w:rPr>
                  <w:rFonts w:ascii="Cambria Math" w:hAnsi="Cambria Math"/>
                </w:rPr>
                <m:t>t</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WM</m:t>
                      </m:r>
                    </m:e>
                    <m:sub>
                      <m:r>
                        <w:rPr>
                          <w:rFonts w:ascii="Cambria Math" w:hAnsi="Cambria Math"/>
                        </w:rPr>
                        <m:t>i</m:t>
                      </m:r>
                    </m:sub>
                    <m:sup>
                      <m:r>
                        <w:rPr>
                          <w:rFonts w:ascii="Cambria Math" w:hAnsi="Cambria Math"/>
                        </w:rPr>
                        <m:t>t</m:t>
                      </m:r>
                    </m:sup>
                  </m:sSubSup>
                </m:e>
              </m:nary>
            </m:num>
            <m:den>
              <m:sSub>
                <m:sSubPr>
                  <m:ctrlPr>
                    <w:rPr>
                      <w:rFonts w:ascii="Cambria Math" w:hAnsi="Cambria Math"/>
                      <w:i/>
                    </w:rPr>
                  </m:ctrlPr>
                </m:sSubPr>
                <m:e>
                  <m:r>
                    <w:rPr>
                      <w:rFonts w:ascii="Cambria Math" w:hAnsi="Cambria Math"/>
                    </w:rPr>
                    <m:t>NL</m:t>
                  </m:r>
                </m:e>
                <m:sub>
                  <m:r>
                    <w:rPr>
                      <w:rFonts w:ascii="Cambria Math" w:hAnsi="Cambria Math"/>
                    </w:rPr>
                    <m:t>t</m:t>
                  </m:r>
                </m:sub>
              </m:sSub>
            </m:den>
          </m:f>
        </m:oMath>
      </m:oMathPara>
    </w:p>
    <w:p w14:paraId="2473C8A5" w14:textId="77777777" w:rsidR="00C97747" w:rsidRDefault="00C97747" w:rsidP="00C97747">
      <w:pPr>
        <w:ind w:left="2160" w:hanging="720"/>
      </w:pPr>
      <w:r>
        <w:t>where:</w:t>
      </w:r>
    </w:p>
    <w:p w14:paraId="08E52515" w14:textId="294E92FA" w:rsidR="00C97747" w:rsidRDefault="00412743" w:rsidP="00F57D9B">
      <w:pPr>
        <w:ind w:left="2880" w:hanging="1440"/>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12</m:t>
            </m:r>
          </m:sup>
          <m:e>
            <m:sSubSup>
              <m:sSubSupPr>
                <m:ctrlPr>
                  <w:rPr>
                    <w:rFonts w:ascii="Cambria Math" w:hAnsi="Cambria Math"/>
                    <w:i/>
                  </w:rPr>
                </m:ctrlPr>
              </m:sSubSupPr>
              <m:e>
                <m:r>
                  <w:rPr>
                    <w:rFonts w:ascii="Cambria Math" w:hAnsi="Cambria Math"/>
                  </w:rPr>
                  <m:t>WM</m:t>
                </m:r>
              </m:e>
              <m:sub>
                <m:r>
                  <w:rPr>
                    <w:rFonts w:ascii="Cambria Math" w:hAnsi="Cambria Math"/>
                  </w:rPr>
                  <m:t>i</m:t>
                </m:r>
              </m:sub>
              <m:sup>
                <m:r>
                  <w:rPr>
                    <w:rFonts w:ascii="Cambria Math" w:hAnsi="Cambria Math"/>
                  </w:rPr>
                  <m:t>t</m:t>
                </m:r>
              </m:sup>
            </m:sSubSup>
          </m:e>
        </m:nary>
      </m:oMath>
      <w:r w:rsidR="00C97747">
        <w:tab/>
        <w:t xml:space="preserve">is the summation of the total number of water in mains incidents for the Service Provider’s network sourced from quarterly reports submitted to Energy Safe Victoria for the 12 months in the Australian financial year ending in Calendar Year </w:t>
      </w:r>
      <w:r w:rsidR="00C97747">
        <w:rPr>
          <w:i/>
        </w:rPr>
        <w:t>t</w:t>
      </w:r>
      <w:r w:rsidR="00C97747">
        <w:t>;</w:t>
      </w:r>
    </w:p>
    <w:p w14:paraId="59CC4083" w14:textId="2CD77290" w:rsidR="00C97747" w:rsidRDefault="00412743" w:rsidP="00F57D9B">
      <w:pPr>
        <w:ind w:left="2880" w:hanging="1440"/>
      </w:pPr>
      <m:oMath>
        <m:sSub>
          <m:sSubPr>
            <m:ctrlPr>
              <w:rPr>
                <w:rFonts w:ascii="Cambria Math" w:hAnsi="Cambria Math"/>
                <w:i/>
              </w:rPr>
            </m:ctrlPr>
          </m:sSubPr>
          <m:e>
            <m:r>
              <w:rPr>
                <w:rFonts w:ascii="Cambria Math" w:hAnsi="Cambria Math"/>
              </w:rPr>
              <m:t>NL</m:t>
            </m:r>
          </m:e>
          <m:sub>
            <m:r>
              <w:rPr>
                <w:rFonts w:ascii="Cambria Math" w:hAnsi="Cambria Math"/>
              </w:rPr>
              <m:t>t</m:t>
            </m:r>
          </m:sub>
        </m:sSub>
        <m:r>
          <w:rPr>
            <w:rFonts w:ascii="Cambria Math" w:hAnsi="Cambria Math"/>
          </w:rPr>
          <m:t xml:space="preserve"> </m:t>
        </m:r>
      </m:oMath>
      <w:r w:rsidR="00C97747">
        <w:tab/>
        <w:t xml:space="preserve">is the total length of mains of the Service Provider’s network in kilometres sourced from annual reports submitted to Energy Safe Victoria as at 31 December of Calendar Year </w:t>
      </w:r>
      <w:r w:rsidR="00C97747">
        <w:rPr>
          <w:i/>
        </w:rPr>
        <w:t>t</w:t>
      </w:r>
      <w:r w:rsidR="00C97747">
        <w:t>.</w:t>
      </w:r>
    </w:p>
    <w:p w14:paraId="0BD3D00A" w14:textId="77777777" w:rsidR="00C97747" w:rsidRDefault="00C97747" w:rsidP="00C97747">
      <w:pPr>
        <w:ind w:left="1440"/>
      </w:pPr>
    </w:p>
    <w:p w14:paraId="57E0B911" w14:textId="77777777" w:rsidR="00C97747" w:rsidRDefault="00C97747" w:rsidP="00C97747">
      <w:pPr>
        <w:pStyle w:val="ListParagraph"/>
        <w:numPr>
          <w:ilvl w:val="0"/>
          <w:numId w:val="36"/>
        </w:numPr>
      </w:pPr>
      <w:r>
        <w:t>Convert each of the averages from the measures in paragraphs (1), (2) and (3) above into index scores using the following formula:</w:t>
      </w:r>
    </w:p>
    <w:p w14:paraId="6328AC2C" w14:textId="77777777" w:rsidR="00C97747" w:rsidRDefault="00412743" w:rsidP="00C97747">
      <w:pPr>
        <w:pStyle w:val="ListParagraph"/>
        <w:ind w:left="1440"/>
      </w:pPr>
      <m:oMathPara>
        <m:oMath>
          <m:sSub>
            <m:sSubPr>
              <m:ctrlPr>
                <w:rPr>
                  <w:rFonts w:ascii="Cambria Math" w:hAnsi="Cambria Math"/>
                  <w:i/>
                </w:rPr>
              </m:ctrlPr>
            </m:sSubPr>
            <m:e>
              <m:r>
                <w:rPr>
                  <w:rFonts w:ascii="Cambria Math" w:hAnsi="Cambria Math"/>
                </w:rPr>
                <m:t>Index</m:t>
              </m:r>
            </m:e>
            <m:sub>
              <m:r>
                <w:rPr>
                  <w:rFonts w:ascii="Cambria Math" w:hAnsi="Cambria Math"/>
                </w:rPr>
                <m:t>n</m:t>
              </m:r>
            </m:sub>
          </m:sSub>
          <m:r>
            <w:rPr>
              <w:rFonts w:ascii="Cambria Math" w:hAnsi="Cambria Math"/>
            </w:rPr>
            <m:t>=200-</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Actual</m:t>
                      </m:r>
                    </m:e>
                    <m:sub>
                      <m:r>
                        <w:rPr>
                          <w:rFonts w:ascii="Cambria Math" w:hAnsi="Cambria Math"/>
                        </w:rPr>
                        <m:t>n</m:t>
                      </m:r>
                    </m:sub>
                  </m:sSub>
                </m:num>
                <m:den>
                  <m:sSub>
                    <m:sSubPr>
                      <m:ctrlPr>
                        <w:rPr>
                          <w:rFonts w:ascii="Cambria Math" w:hAnsi="Cambria Math"/>
                          <w:i/>
                        </w:rPr>
                      </m:ctrlPr>
                    </m:sSubPr>
                    <m:e>
                      <m:r>
                        <w:rPr>
                          <w:rFonts w:ascii="Cambria Math" w:hAnsi="Cambria Math"/>
                        </w:rPr>
                        <m:t>Target</m:t>
                      </m:r>
                    </m:e>
                    <m:sub>
                      <m:r>
                        <w:rPr>
                          <w:rFonts w:ascii="Cambria Math" w:hAnsi="Cambria Math"/>
                        </w:rPr>
                        <m:t>n</m:t>
                      </m:r>
                    </m:sub>
                  </m:sSub>
                </m:den>
              </m:f>
            </m:e>
          </m:d>
          <m:r>
            <w:rPr>
              <w:rFonts w:ascii="Cambria Math" w:hAnsi="Cambria Math"/>
            </w:rPr>
            <m:t>∙100</m:t>
          </m:r>
        </m:oMath>
      </m:oMathPara>
    </w:p>
    <w:p w14:paraId="2A61FC83" w14:textId="77777777" w:rsidR="00C97747" w:rsidRDefault="00C97747" w:rsidP="00C97747">
      <w:pPr>
        <w:ind w:left="2160" w:hanging="720"/>
      </w:pPr>
      <w:r>
        <w:t>where:</w:t>
      </w:r>
    </w:p>
    <w:p w14:paraId="0C20EFFB" w14:textId="4F98C1DA" w:rsidR="00C97747" w:rsidRDefault="00412743" w:rsidP="00F57D9B">
      <w:pPr>
        <w:ind w:left="2880" w:hanging="1440"/>
        <w:rPr>
          <w:rFonts w:cs="Arial"/>
        </w:rPr>
      </w:pPr>
      <m:oMath>
        <m:sSub>
          <m:sSubPr>
            <m:ctrlPr>
              <w:rPr>
                <w:rFonts w:ascii="Cambria Math" w:hAnsi="Cambria Math"/>
                <w:i/>
              </w:rPr>
            </m:ctrlPr>
          </m:sSubPr>
          <m:e>
            <m:r>
              <w:rPr>
                <w:rFonts w:ascii="Cambria Math" w:hAnsi="Cambria Math"/>
              </w:rPr>
              <m:t>Index</m:t>
            </m:r>
          </m:e>
          <m:sub>
            <m:r>
              <w:rPr>
                <w:rFonts w:ascii="Cambria Math" w:hAnsi="Cambria Math"/>
              </w:rPr>
              <m:t>n</m:t>
            </m:r>
          </m:sub>
        </m:sSub>
      </m:oMath>
      <w:r w:rsidR="00C97747">
        <w:rPr>
          <w:rFonts w:cs="Arial"/>
        </w:rPr>
        <w:t xml:space="preserve"> </w:t>
      </w:r>
      <w:r w:rsidR="00C97747">
        <w:rPr>
          <w:rFonts w:cs="Arial"/>
        </w:rPr>
        <w:tab/>
        <w:t xml:space="preserve">is the index score for each measure </w:t>
      </w:r>
      <m:oMath>
        <m:r>
          <w:rPr>
            <w:rFonts w:ascii="Cambria Math" w:hAnsi="Cambria Math"/>
          </w:rPr>
          <m:t>n=1,2,3</m:t>
        </m:r>
      </m:oMath>
      <w:r w:rsidR="00C97747">
        <w:rPr>
          <w:rFonts w:cs="Arial"/>
        </w:rPr>
        <w:t>, corresponding to the measures in paragraphs (1), (2) and (3) above respectively;</w:t>
      </w:r>
    </w:p>
    <w:p w14:paraId="66A3211C" w14:textId="19E89282" w:rsidR="00C97747" w:rsidRDefault="00412743" w:rsidP="00F57D9B">
      <w:pPr>
        <w:ind w:left="2880" w:hanging="1440"/>
        <w:rPr>
          <w:rFonts w:cs="Arial"/>
        </w:rPr>
      </w:pPr>
      <m:oMath>
        <m:sSub>
          <m:sSubPr>
            <m:ctrlPr>
              <w:rPr>
                <w:rFonts w:ascii="Cambria Math" w:hAnsi="Cambria Math"/>
                <w:i/>
              </w:rPr>
            </m:ctrlPr>
          </m:sSubPr>
          <m:e>
            <m:r>
              <w:rPr>
                <w:rFonts w:ascii="Cambria Math" w:hAnsi="Cambria Math"/>
              </w:rPr>
              <m:t>Actual</m:t>
            </m:r>
          </m:e>
          <m:sub>
            <m:r>
              <w:rPr>
                <w:rFonts w:ascii="Cambria Math" w:hAnsi="Cambria Math"/>
              </w:rPr>
              <m:t>n</m:t>
            </m:r>
          </m:sub>
        </m:sSub>
      </m:oMath>
      <w:r w:rsidR="00C97747">
        <w:rPr>
          <w:rFonts w:cs="Arial"/>
        </w:rPr>
        <w:t xml:space="preserve"> </w:t>
      </w:r>
      <w:r w:rsidR="00C97747">
        <w:rPr>
          <w:rFonts w:cs="Arial"/>
        </w:rPr>
        <w:tab/>
        <w:t xml:space="preserve">is the arithmetic average of the actual performance for each measure </w:t>
      </w:r>
      <m:oMath>
        <m:r>
          <w:rPr>
            <w:rFonts w:ascii="Cambria Math" w:hAnsi="Cambria Math"/>
          </w:rPr>
          <m:t>n=1,2,3</m:t>
        </m:r>
      </m:oMath>
      <w:r w:rsidR="00C97747">
        <w:rPr>
          <w:rFonts w:cs="Arial"/>
        </w:rPr>
        <w:t xml:space="preserve"> calculated as per paragraphs (1), (2) and (3) above;</w:t>
      </w:r>
    </w:p>
    <w:p w14:paraId="1B3A2077" w14:textId="3F05A189" w:rsidR="00C97747" w:rsidRDefault="00412743" w:rsidP="00C97747">
      <w:pPr>
        <w:ind w:left="1440"/>
        <w:rPr>
          <w:rFonts w:cs="Arial"/>
        </w:rPr>
      </w:pPr>
      <m:oMath>
        <m:sSub>
          <m:sSubPr>
            <m:ctrlPr>
              <w:rPr>
                <w:rFonts w:ascii="Cambria Math" w:hAnsi="Cambria Math"/>
                <w:i/>
              </w:rPr>
            </m:ctrlPr>
          </m:sSubPr>
          <m:e>
            <m:r>
              <w:rPr>
                <w:rFonts w:ascii="Cambria Math" w:hAnsi="Cambria Math"/>
              </w:rPr>
              <m:t>Target</m:t>
            </m:r>
          </m:e>
          <m:sub>
            <m:r>
              <w:rPr>
                <w:rFonts w:ascii="Cambria Math" w:hAnsi="Cambria Math"/>
              </w:rPr>
              <m:t>n</m:t>
            </m:r>
          </m:sub>
        </m:sSub>
        <m:r>
          <w:rPr>
            <w:rFonts w:ascii="Cambria Math" w:hAnsi="Cambria Math"/>
          </w:rPr>
          <m:t xml:space="preserve"> </m:t>
        </m:r>
      </m:oMath>
      <w:r w:rsidR="00C97747">
        <w:rPr>
          <w:rFonts w:cs="Arial"/>
        </w:rPr>
        <w:tab/>
        <w:t xml:space="preserve">is the target performance for each measure </w:t>
      </w:r>
      <m:oMath>
        <m:r>
          <w:rPr>
            <w:rFonts w:ascii="Cambria Math" w:hAnsi="Cambria Math"/>
          </w:rPr>
          <m:t>n=1,2,3</m:t>
        </m:r>
      </m:oMath>
      <w:r w:rsidR="00C97747">
        <w:rPr>
          <w:rFonts w:cs="Arial"/>
        </w:rPr>
        <w:t xml:space="preserve"> as follows:</w:t>
      </w:r>
    </w:p>
    <w:p w14:paraId="1FFC4149" w14:textId="77777777" w:rsidR="00C97747" w:rsidRDefault="00C97747" w:rsidP="00F57D9B">
      <w:pPr>
        <w:tabs>
          <w:tab w:val="left" w:pos="4111"/>
          <w:tab w:val="left" w:pos="5103"/>
        </w:tabs>
        <w:ind w:left="3600"/>
        <w:rPr>
          <w:rFonts w:cs="Arial"/>
        </w:rPr>
      </w:pPr>
      <w:r>
        <w:rPr>
          <w:rFonts w:cs="Arial"/>
        </w:rPr>
        <w:lastRenderedPageBreak/>
        <w:t>Unplanned SAIDI</w:t>
      </w:r>
      <w:r>
        <w:rPr>
          <w:rFonts w:cs="Arial"/>
        </w:rPr>
        <w:tab/>
      </w:r>
      <m:oMath>
        <m:r>
          <w:rPr>
            <w:rFonts w:ascii="Cambria Math" w:hAnsi="Cambria Math"/>
          </w:rPr>
          <m:t>n=1</m:t>
        </m:r>
      </m:oMath>
      <w:r>
        <w:rPr>
          <w:rFonts w:cs="Arial"/>
        </w:rPr>
        <w:tab/>
      </w:r>
      <m:oMath>
        <m:sSub>
          <m:sSubPr>
            <m:ctrlPr>
              <w:rPr>
                <w:rFonts w:ascii="Cambria Math" w:hAnsi="Cambria Math"/>
                <w:i/>
              </w:rPr>
            </m:ctrlPr>
          </m:sSubPr>
          <m:e>
            <m:r>
              <w:rPr>
                <w:rFonts w:ascii="Cambria Math" w:hAnsi="Cambria Math"/>
              </w:rPr>
              <m:t>Target</m:t>
            </m:r>
          </m:e>
          <m:sub>
            <m:r>
              <w:rPr>
                <w:rFonts w:ascii="Cambria Math" w:hAnsi="Cambria Math"/>
              </w:rPr>
              <m:t>1</m:t>
            </m:r>
          </m:sub>
        </m:sSub>
        <m:r>
          <w:rPr>
            <w:rFonts w:ascii="Cambria Math" w:hAnsi="Cambria Math"/>
          </w:rPr>
          <m:t>=</m:t>
        </m:r>
        <m:r>
          <w:rPr>
            <w:rFonts w:ascii="Cambria Math" w:hAnsi="Cambria Math" w:cs="Arial"/>
          </w:rPr>
          <m:t>0.914</m:t>
        </m:r>
      </m:oMath>
    </w:p>
    <w:p w14:paraId="2B614F02" w14:textId="77777777" w:rsidR="00C97747" w:rsidRDefault="00C97747" w:rsidP="00F57D9B">
      <w:pPr>
        <w:tabs>
          <w:tab w:val="left" w:pos="4111"/>
          <w:tab w:val="left" w:pos="5103"/>
        </w:tabs>
        <w:ind w:left="3600"/>
        <w:rPr>
          <w:rFonts w:cs="Arial"/>
        </w:rPr>
      </w:pPr>
      <w:r>
        <w:rPr>
          <w:rFonts w:cs="Arial"/>
        </w:rPr>
        <w:t>Gas leaks</w:t>
      </w:r>
      <w:r>
        <w:rPr>
          <w:rFonts w:cs="Arial"/>
        </w:rPr>
        <w:tab/>
      </w:r>
      <m:oMath>
        <m:r>
          <w:rPr>
            <w:rFonts w:ascii="Cambria Math" w:hAnsi="Cambria Math"/>
          </w:rPr>
          <m:t>n=2</m:t>
        </m:r>
      </m:oMath>
      <w:r>
        <w:rPr>
          <w:rFonts w:cs="Arial"/>
        </w:rPr>
        <w:tab/>
      </w:r>
      <m:oMath>
        <m:sSub>
          <m:sSubPr>
            <m:ctrlPr>
              <w:rPr>
                <w:rFonts w:ascii="Cambria Math" w:hAnsi="Cambria Math"/>
                <w:i/>
              </w:rPr>
            </m:ctrlPr>
          </m:sSubPr>
          <m:e>
            <m:r>
              <w:rPr>
                <w:rFonts w:ascii="Cambria Math" w:hAnsi="Cambria Math"/>
              </w:rPr>
              <m:t>Target</m:t>
            </m:r>
          </m:e>
          <m:sub>
            <m:r>
              <w:rPr>
                <w:rFonts w:ascii="Cambria Math" w:hAnsi="Cambria Math"/>
              </w:rPr>
              <m:t>2</m:t>
            </m:r>
          </m:sub>
        </m:sSub>
        <m:r>
          <w:rPr>
            <w:rFonts w:ascii="Cambria Math" w:hAnsi="Cambria Math"/>
          </w:rPr>
          <m:t>=</m:t>
        </m:r>
        <m:r>
          <w:rPr>
            <w:rFonts w:ascii="Cambria Math" w:hAnsi="Cambria Math" w:cs="Arial"/>
          </w:rPr>
          <m:t>12,341</m:t>
        </m:r>
      </m:oMath>
    </w:p>
    <w:p w14:paraId="4F20D020" w14:textId="77777777" w:rsidR="00C97747" w:rsidRDefault="00C97747" w:rsidP="00F57D9B">
      <w:pPr>
        <w:tabs>
          <w:tab w:val="left" w:pos="4111"/>
          <w:tab w:val="left" w:pos="5103"/>
        </w:tabs>
        <w:ind w:left="3600"/>
        <w:rPr>
          <w:rFonts w:cs="Arial"/>
        </w:rPr>
      </w:pPr>
      <w:r>
        <w:rPr>
          <w:rFonts w:cs="Arial"/>
        </w:rPr>
        <w:t>Water in mains</w:t>
      </w:r>
      <w:r>
        <w:rPr>
          <w:rFonts w:cs="Arial"/>
        </w:rPr>
        <w:tab/>
      </w:r>
      <m:oMath>
        <m:r>
          <w:rPr>
            <w:rFonts w:ascii="Cambria Math" w:hAnsi="Cambria Math"/>
          </w:rPr>
          <m:t>n=3</m:t>
        </m:r>
      </m:oMath>
      <w:r>
        <w:rPr>
          <w:rFonts w:cs="Arial"/>
        </w:rPr>
        <w:tab/>
      </w:r>
      <m:oMath>
        <m:sSub>
          <m:sSubPr>
            <m:ctrlPr>
              <w:rPr>
                <w:rFonts w:ascii="Cambria Math" w:hAnsi="Cambria Math"/>
                <w:i/>
              </w:rPr>
            </m:ctrlPr>
          </m:sSubPr>
          <m:e>
            <m:r>
              <w:rPr>
                <w:rFonts w:ascii="Cambria Math" w:hAnsi="Cambria Math"/>
              </w:rPr>
              <m:t>Target</m:t>
            </m:r>
          </m:e>
          <m:sub>
            <m:r>
              <w:rPr>
                <w:rFonts w:ascii="Cambria Math" w:hAnsi="Cambria Math"/>
              </w:rPr>
              <m:t>3</m:t>
            </m:r>
          </m:sub>
        </m:sSub>
        <m:r>
          <w:rPr>
            <w:rFonts w:ascii="Cambria Math" w:hAnsi="Cambria Math"/>
          </w:rPr>
          <m:t>=</m:t>
        </m:r>
        <m:r>
          <w:rPr>
            <w:rFonts w:ascii="Cambria Math" w:hAnsi="Cambria Math" w:cs="Arial"/>
          </w:rPr>
          <m:t>0.082</m:t>
        </m:r>
      </m:oMath>
      <w:r>
        <w:rPr>
          <w:rFonts w:cs="Arial"/>
        </w:rPr>
        <w:t>.</w:t>
      </w:r>
    </w:p>
    <w:p w14:paraId="38DD31A5" w14:textId="77777777" w:rsidR="00C97747" w:rsidRDefault="00C97747" w:rsidP="00C97747">
      <w:pPr>
        <w:tabs>
          <w:tab w:val="left" w:pos="3969"/>
          <w:tab w:val="left" w:pos="5103"/>
        </w:tabs>
        <w:ind w:left="2160"/>
        <w:rPr>
          <w:rFonts w:cs="Arial"/>
        </w:rPr>
      </w:pPr>
    </w:p>
    <w:p w14:paraId="18C64E80" w14:textId="77777777" w:rsidR="00C97747" w:rsidRDefault="00C97747" w:rsidP="00C97747">
      <w:pPr>
        <w:pStyle w:val="ListParagraph"/>
        <w:numPr>
          <w:ilvl w:val="0"/>
          <w:numId w:val="36"/>
        </w:numPr>
      </w:pPr>
      <w:r>
        <w:t xml:space="preserve">Calculate the arithmetic average of the index scores calculated in paragraph (4) above for each of the measures </w:t>
      </w:r>
      <m:oMath>
        <m:r>
          <w:rPr>
            <w:rFonts w:ascii="Cambria Math" w:hAnsi="Cambria Math"/>
          </w:rPr>
          <m:t>n=1,2,3</m:t>
        </m:r>
      </m:oMath>
      <w:r>
        <w:t xml:space="preserve">.  The resulting average is the </w:t>
      </w:r>
      <w:r w:rsidRPr="00F57D9B">
        <w:rPr>
          <w:b/>
        </w:rPr>
        <w:t>Asset Performance Index</w:t>
      </w:r>
      <w:r>
        <w:t>.</w:t>
      </w:r>
    </w:p>
    <w:p w14:paraId="3EE659C0" w14:textId="77777777" w:rsidR="00C97747" w:rsidRDefault="00C97747" w:rsidP="00711D19">
      <w:pPr>
        <w:spacing w:afterLines="60" w:after="144"/>
      </w:pPr>
    </w:p>
    <w:sectPr w:rsidR="00C97747">
      <w:pgSz w:w="11907" w:h="16840" w:code="9"/>
      <w:pgMar w:top="851" w:right="1134" w:bottom="85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1C4BD" w14:textId="77777777" w:rsidR="00B8785D" w:rsidRDefault="00B8785D">
      <w:r>
        <w:separator/>
      </w:r>
    </w:p>
  </w:endnote>
  <w:endnote w:type="continuationSeparator" w:id="0">
    <w:p w14:paraId="4BC4CE87" w14:textId="77777777" w:rsidR="00B8785D" w:rsidRDefault="00B8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3C26" w14:textId="77777777" w:rsidR="00744E5C" w:rsidRDefault="00744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B4D5" w14:textId="4F0BF021" w:rsidR="008E1C5A" w:rsidRDefault="008E1C5A">
    <w:pPr>
      <w:pStyle w:val="Footer"/>
      <w:rPr>
        <w:rStyle w:val="PageNumber"/>
      </w:rPr>
    </w:pPr>
    <w:r>
      <w:rPr>
        <w:sz w:val="18"/>
      </w:rPr>
      <w:tab/>
    </w:r>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F1CDE">
      <w:rPr>
        <w:rStyle w:val="PageNumber"/>
        <w:noProof/>
      </w:rPr>
      <w:t>37</w:t>
    </w:r>
    <w:r>
      <w:rPr>
        <w:rStyle w:val="PageNumber"/>
      </w:rPr>
      <w:fldChar w:fldCharType="end"/>
    </w:r>
  </w:p>
  <w:p w14:paraId="2B134F96" w14:textId="77777777" w:rsidR="008E1C5A" w:rsidRDefault="008E1C5A">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7A1E6" w14:textId="77777777" w:rsidR="00744E5C" w:rsidRDefault="00744E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06C8" w14:textId="77777777" w:rsidR="008E1C5A" w:rsidRDefault="008E1C5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0C06F0" w14:textId="77777777" w:rsidR="008E1C5A" w:rsidRDefault="008E1C5A">
    <w:pPr>
      <w:ind w:left="-1080"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7462F" w14:textId="60504498" w:rsidR="008E1C5A" w:rsidRDefault="008E1C5A">
    <w:pPr>
      <w:pStyle w:val="Footer"/>
    </w:pPr>
    <w:r>
      <w:tab/>
    </w:r>
    <w: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412743">
      <w:rPr>
        <w:rStyle w:val="PageNumber"/>
        <w:rFonts w:ascii="Arial" w:hAnsi="Arial" w:cs="Arial"/>
        <w:noProof/>
        <w:sz w:val="16"/>
      </w:rPr>
      <w:t>32</w:t>
    </w:r>
    <w:r>
      <w:rPr>
        <w:rStyle w:val="PageNumber"/>
        <w:rFonts w:ascii="Arial" w:hAnsi="Arial" w:cs="Arial"/>
        <w:sz w:val="16"/>
      </w:rPr>
      <w:fldChar w:fldCharType="end"/>
    </w:r>
    <w:r>
      <w:rPr>
        <w:rStyle w:val="PageNumber"/>
        <w:rFonts w:ascii="Arial" w:hAnsi="Arial" w:cs="Arial"/>
        <w:sz w:val="16"/>
      </w:rPr>
      <w:t xml:space="preserve"> /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412743">
      <w:rPr>
        <w:rStyle w:val="PageNumber"/>
        <w:rFonts w:ascii="Arial" w:hAnsi="Arial" w:cs="Arial"/>
        <w:noProof/>
        <w:sz w:val="16"/>
      </w:rPr>
      <w:t>38</w:t>
    </w:r>
    <w:r>
      <w:rPr>
        <w:rStyle w:val="PageNumbe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9D1EE" w14:textId="76858F6A" w:rsidR="008E1C5A" w:rsidRDefault="008E1C5A">
    <w:pPr>
      <w:pStyle w:val="Footer"/>
    </w:pPr>
    <w:r>
      <w:rPr>
        <w:noProof/>
        <w:lang w:eastAsia="en-AU"/>
      </w:rPr>
      <mc:AlternateContent>
        <mc:Choice Requires="wps">
          <w:drawing>
            <wp:anchor distT="0" distB="0" distL="114300" distR="114300" simplePos="0" relativeHeight="251655168" behindDoc="0" locked="0" layoutInCell="1" allowOverlap="1" wp14:anchorId="481D9FB1" wp14:editId="06834F4A">
              <wp:simplePos x="0" y="0"/>
              <wp:positionH relativeFrom="column">
                <wp:posOffset>-536575</wp:posOffset>
              </wp:positionH>
              <wp:positionV relativeFrom="paragraph">
                <wp:posOffset>43815</wp:posOffset>
              </wp:positionV>
              <wp:extent cx="6556375" cy="45593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431D4" w14:textId="191CDA43" w:rsidR="008E1C5A" w:rsidRDefault="008E1C5A">
                          <w:pPr>
                            <w:ind w:left="142"/>
                            <w:rPr>
                              <w:rFonts w:cs="Arial"/>
                              <w:sz w:val="16"/>
                            </w:rPr>
                          </w:pPr>
                          <w:r>
                            <w:rPr>
                              <w:rFonts w:cs="Arial"/>
                              <w:sz w:val="16"/>
                            </w:rPr>
                            <w:t xml:space="preserve">Issued: </w:t>
                          </w:r>
                          <w:r>
                            <w:rPr>
                              <w:rFonts w:cs="Arial"/>
                              <w:sz w:val="16"/>
                            </w:rPr>
                            <w:fldChar w:fldCharType="begin"/>
                          </w:r>
                          <w:r>
                            <w:rPr>
                              <w:rFonts w:cs="Arial"/>
                              <w:sz w:val="16"/>
                              <w:lang w:val="en-US"/>
                            </w:rPr>
                            <w:instrText xml:space="preserve"> DATE \@ "M/d/yyyy" </w:instrText>
                          </w:r>
                          <w:r>
                            <w:rPr>
                              <w:rFonts w:cs="Arial"/>
                              <w:sz w:val="16"/>
                            </w:rPr>
                            <w:fldChar w:fldCharType="separate"/>
                          </w:r>
                          <w:r w:rsidR="00412743">
                            <w:rPr>
                              <w:rFonts w:cs="Arial"/>
                              <w:noProof/>
                              <w:sz w:val="16"/>
                              <w:lang w:val="en-US"/>
                            </w:rPr>
                            <w:t>12/15/2016</w:t>
                          </w:r>
                          <w:r>
                            <w:rPr>
                              <w:rFonts w:cs="Arial"/>
                              <w:sz w:val="16"/>
                            </w:rPr>
                            <w:fldChar w:fldCharType="end"/>
                          </w:r>
                          <w:r>
                            <w:rPr>
                              <w:rFonts w:cs="Arial"/>
                              <w:sz w:val="16"/>
                            </w:rPr>
                            <w:t xml:space="preserve"> (Revision No</w:t>
                          </w:r>
                          <w:proofErr w:type="gramStart"/>
                          <w:r>
                            <w:rPr>
                              <w:rFonts w:cs="Arial"/>
                              <w:sz w:val="16"/>
                            </w:rPr>
                            <w:t>:  )</w:t>
                          </w:r>
                          <w:proofErr w:type="gramEnd"/>
                          <w:r>
                            <w:rPr>
                              <w:rFonts w:cs="Arial"/>
                              <w:sz w:val="16"/>
                            </w:rPr>
                            <w:tab/>
                          </w:r>
                          <w:r>
                            <w:rPr>
                              <w:rFonts w:cs="Arial"/>
                              <w:sz w:val="16"/>
                            </w:rPr>
                            <w:tab/>
                            <w:t>Author / ?: (Name)</w:t>
                          </w:r>
                          <w:r>
                            <w:rPr>
                              <w:rFonts w:cs="Arial"/>
                              <w:sz w:val="16"/>
                            </w:rPr>
                            <w:tab/>
                          </w:r>
                          <w:r>
                            <w:rPr>
                              <w:rFonts w:cs="Arial"/>
                              <w:sz w:val="16"/>
                            </w:rPr>
                            <w:tab/>
                          </w:r>
                          <w:r>
                            <w:rPr>
                              <w:rFonts w:cs="Arial"/>
                              <w:sz w:val="16"/>
                            </w:rPr>
                            <w:tab/>
                          </w:r>
                          <w:r>
                            <w:rPr>
                              <w:rFonts w:cs="Arial"/>
                              <w:sz w:val="16"/>
                            </w:rPr>
                            <w:tab/>
                            <w:t>Approved: Name</w:t>
                          </w:r>
                        </w:p>
                        <w:p w14:paraId="71785466" w14:textId="1784245C" w:rsidR="008E1C5A" w:rsidRDefault="008E1C5A">
                          <w:pPr>
                            <w:ind w:left="142"/>
                          </w:pPr>
                          <w:r>
                            <w:rPr>
                              <w:rFonts w:cs="Arial"/>
                              <w:sz w:val="16"/>
                            </w:rPr>
                            <w:t xml:space="preserve">Printed: </w:t>
                          </w:r>
                          <w:r>
                            <w:rPr>
                              <w:rFonts w:cs="Arial"/>
                              <w:sz w:val="16"/>
                            </w:rPr>
                            <w:fldChar w:fldCharType="begin"/>
                          </w:r>
                          <w:r>
                            <w:rPr>
                              <w:rFonts w:cs="Arial"/>
                              <w:sz w:val="16"/>
                              <w:lang w:val="en-US"/>
                            </w:rPr>
                            <w:instrText xml:space="preserve"> DATE \@ "M/d/yyyy" </w:instrText>
                          </w:r>
                          <w:r>
                            <w:rPr>
                              <w:rFonts w:cs="Arial"/>
                              <w:sz w:val="16"/>
                            </w:rPr>
                            <w:fldChar w:fldCharType="separate"/>
                          </w:r>
                          <w:r w:rsidR="00412743">
                            <w:rPr>
                              <w:rFonts w:cs="Arial"/>
                              <w:noProof/>
                              <w:sz w:val="16"/>
                              <w:lang w:val="en-US"/>
                            </w:rPr>
                            <w:t>12/15/2016</w:t>
                          </w:r>
                          <w:r>
                            <w:rPr>
                              <w:rFonts w:cs="Arial"/>
                              <w:sz w:val="16"/>
                            </w:rPr>
                            <w:fldChar w:fldCharType="end"/>
                          </w:r>
                          <w:r>
                            <w:rPr>
                              <w:rFonts w:cs="Arial"/>
                              <w:sz w:val="16"/>
                            </w:rPr>
                            <w:t xml:space="preserve"> </w:t>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t xml:space="preserve">Page </w:t>
                          </w:r>
                          <w:r>
                            <w:rPr>
                              <w:rStyle w:val="PageNumber"/>
                              <w:rFonts w:ascii="Arial" w:hAnsi="Arial" w:cs="Arial"/>
                              <w:caps/>
                              <w:sz w:val="16"/>
                            </w:rPr>
                            <w:fldChar w:fldCharType="begin"/>
                          </w:r>
                          <w:r>
                            <w:rPr>
                              <w:rStyle w:val="PageNumber"/>
                              <w:rFonts w:ascii="Arial" w:hAnsi="Arial" w:cs="Arial"/>
                              <w:caps/>
                              <w:sz w:val="16"/>
                            </w:rPr>
                            <w:instrText xml:space="preserve"> PAGE </w:instrText>
                          </w:r>
                          <w:r>
                            <w:rPr>
                              <w:rStyle w:val="PageNumber"/>
                              <w:rFonts w:ascii="Arial" w:hAnsi="Arial" w:cs="Arial"/>
                              <w:caps/>
                              <w:sz w:val="16"/>
                            </w:rPr>
                            <w:fldChar w:fldCharType="separate"/>
                          </w:r>
                          <w:r>
                            <w:rPr>
                              <w:rStyle w:val="PageNumber"/>
                              <w:rFonts w:ascii="Arial" w:hAnsi="Arial" w:cs="Arial"/>
                              <w:caps/>
                              <w:noProof/>
                              <w:sz w:val="16"/>
                            </w:rPr>
                            <w:t>1</w:t>
                          </w:r>
                          <w:r>
                            <w:rPr>
                              <w:rStyle w:val="PageNumber"/>
                              <w:rFonts w:ascii="Arial" w:hAnsi="Arial" w:cs="Arial"/>
                              <w:caps/>
                              <w:sz w:val="16"/>
                            </w:rPr>
                            <w:fldChar w:fldCharType="end"/>
                          </w:r>
                          <w:r>
                            <w:rPr>
                              <w:rFonts w:cs="Arial"/>
                              <w:sz w:val="16"/>
                            </w:rPr>
                            <w:t>/</w:t>
                          </w:r>
                          <w:r>
                            <w:rPr>
                              <w:rStyle w:val="PageNumber"/>
                              <w:rFonts w:ascii="Arial" w:hAnsi="Arial" w:cs="Arial"/>
                              <w:caps/>
                              <w:sz w:val="16"/>
                            </w:rPr>
                            <w:fldChar w:fldCharType="begin"/>
                          </w:r>
                          <w:r>
                            <w:rPr>
                              <w:rStyle w:val="PageNumber"/>
                              <w:rFonts w:ascii="Arial" w:hAnsi="Arial" w:cs="Arial"/>
                              <w:caps/>
                              <w:sz w:val="16"/>
                            </w:rPr>
                            <w:instrText xml:space="preserve"> NUMPAGES </w:instrText>
                          </w:r>
                          <w:r>
                            <w:rPr>
                              <w:rStyle w:val="PageNumber"/>
                              <w:rFonts w:ascii="Arial" w:hAnsi="Arial" w:cs="Arial"/>
                              <w:caps/>
                              <w:sz w:val="16"/>
                            </w:rPr>
                            <w:fldChar w:fldCharType="separate"/>
                          </w:r>
                          <w:r w:rsidR="00EF1CDE">
                            <w:rPr>
                              <w:rStyle w:val="PageNumber"/>
                              <w:rFonts w:ascii="Arial" w:hAnsi="Arial" w:cs="Arial"/>
                              <w:caps/>
                              <w:noProof/>
                              <w:sz w:val="16"/>
                            </w:rPr>
                            <w:t>37</w:t>
                          </w:r>
                          <w:r>
                            <w:rPr>
                              <w:rStyle w:val="PageNumber"/>
                              <w:rFonts w:ascii="Arial" w:hAnsi="Arial" w:cs="Arial"/>
                              <w:caps/>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2.25pt;margin-top:3.45pt;width:516.25pt;height:3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" stroked="f">
              <v:textbox>
                <w:txbxContent>
                  <w:p w14:paraId="338431D4" w14:textId="191CDA43" w:rsidR="008E1C5A" w:rsidRDefault="008E1C5A">
                    <w:pPr>
                      <w:ind w:left="142"/>
                      <w:rPr>
                        <w:rFonts w:cs="Arial"/>
                        <w:sz w:val="16"/>
                      </w:rPr>
                    </w:pPr>
                    <w:r>
                      <w:rPr>
                        <w:rFonts w:cs="Arial"/>
                        <w:sz w:val="16"/>
                      </w:rPr>
                      <w:t xml:space="preserve">Issued: </w:t>
                    </w:r>
                    <w:r>
                      <w:rPr>
                        <w:rFonts w:cs="Arial"/>
                        <w:sz w:val="16"/>
                      </w:rPr>
                      <w:fldChar w:fldCharType="begin"/>
                    </w:r>
                    <w:r>
                      <w:rPr>
                        <w:rFonts w:cs="Arial"/>
                        <w:sz w:val="16"/>
                        <w:lang w:val="en-US"/>
                      </w:rPr>
                      <w:instrText xml:space="preserve"> DATE \@ "M/d/yyyy" </w:instrText>
                    </w:r>
                    <w:r>
                      <w:rPr>
                        <w:rFonts w:cs="Arial"/>
                        <w:sz w:val="16"/>
                      </w:rPr>
                      <w:fldChar w:fldCharType="separate"/>
                    </w:r>
                    <w:r w:rsidR="00412743">
                      <w:rPr>
                        <w:rFonts w:cs="Arial"/>
                        <w:noProof/>
                        <w:sz w:val="16"/>
                        <w:lang w:val="en-US"/>
                      </w:rPr>
                      <w:t>12/15/2016</w:t>
                    </w:r>
                    <w:r>
                      <w:rPr>
                        <w:rFonts w:cs="Arial"/>
                        <w:sz w:val="16"/>
                      </w:rPr>
                      <w:fldChar w:fldCharType="end"/>
                    </w:r>
                    <w:r>
                      <w:rPr>
                        <w:rFonts w:cs="Arial"/>
                        <w:sz w:val="16"/>
                      </w:rPr>
                      <w:t xml:space="preserve"> (Revision No</w:t>
                    </w:r>
                    <w:proofErr w:type="gramStart"/>
                    <w:r>
                      <w:rPr>
                        <w:rFonts w:cs="Arial"/>
                        <w:sz w:val="16"/>
                      </w:rPr>
                      <w:t>:  )</w:t>
                    </w:r>
                    <w:proofErr w:type="gramEnd"/>
                    <w:r>
                      <w:rPr>
                        <w:rFonts w:cs="Arial"/>
                        <w:sz w:val="16"/>
                      </w:rPr>
                      <w:tab/>
                    </w:r>
                    <w:r>
                      <w:rPr>
                        <w:rFonts w:cs="Arial"/>
                        <w:sz w:val="16"/>
                      </w:rPr>
                      <w:tab/>
                      <w:t>Author / ?: (Name)</w:t>
                    </w:r>
                    <w:r>
                      <w:rPr>
                        <w:rFonts w:cs="Arial"/>
                        <w:sz w:val="16"/>
                      </w:rPr>
                      <w:tab/>
                    </w:r>
                    <w:r>
                      <w:rPr>
                        <w:rFonts w:cs="Arial"/>
                        <w:sz w:val="16"/>
                      </w:rPr>
                      <w:tab/>
                    </w:r>
                    <w:r>
                      <w:rPr>
                        <w:rFonts w:cs="Arial"/>
                        <w:sz w:val="16"/>
                      </w:rPr>
                      <w:tab/>
                    </w:r>
                    <w:r>
                      <w:rPr>
                        <w:rFonts w:cs="Arial"/>
                        <w:sz w:val="16"/>
                      </w:rPr>
                      <w:tab/>
                      <w:t>Approved: Name</w:t>
                    </w:r>
                  </w:p>
                  <w:p w14:paraId="71785466" w14:textId="1784245C" w:rsidR="008E1C5A" w:rsidRDefault="008E1C5A">
                    <w:pPr>
                      <w:ind w:left="142"/>
                    </w:pPr>
                    <w:r>
                      <w:rPr>
                        <w:rFonts w:cs="Arial"/>
                        <w:sz w:val="16"/>
                      </w:rPr>
                      <w:t xml:space="preserve">Printed: </w:t>
                    </w:r>
                    <w:r>
                      <w:rPr>
                        <w:rFonts w:cs="Arial"/>
                        <w:sz w:val="16"/>
                      </w:rPr>
                      <w:fldChar w:fldCharType="begin"/>
                    </w:r>
                    <w:r>
                      <w:rPr>
                        <w:rFonts w:cs="Arial"/>
                        <w:sz w:val="16"/>
                        <w:lang w:val="en-US"/>
                      </w:rPr>
                      <w:instrText xml:space="preserve"> DATE \@ "M/d/yyyy" </w:instrText>
                    </w:r>
                    <w:r>
                      <w:rPr>
                        <w:rFonts w:cs="Arial"/>
                        <w:sz w:val="16"/>
                      </w:rPr>
                      <w:fldChar w:fldCharType="separate"/>
                    </w:r>
                    <w:r w:rsidR="00412743">
                      <w:rPr>
                        <w:rFonts w:cs="Arial"/>
                        <w:noProof/>
                        <w:sz w:val="16"/>
                        <w:lang w:val="en-US"/>
                      </w:rPr>
                      <w:t>12/15/2016</w:t>
                    </w:r>
                    <w:r>
                      <w:rPr>
                        <w:rFonts w:cs="Arial"/>
                        <w:sz w:val="16"/>
                      </w:rPr>
                      <w:fldChar w:fldCharType="end"/>
                    </w:r>
                    <w:r>
                      <w:rPr>
                        <w:rFonts w:cs="Arial"/>
                        <w:sz w:val="16"/>
                      </w:rPr>
                      <w:t xml:space="preserve"> </w:t>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t xml:space="preserve">Page </w:t>
                    </w:r>
                    <w:r>
                      <w:rPr>
                        <w:rStyle w:val="PageNumber"/>
                        <w:rFonts w:ascii="Arial" w:hAnsi="Arial" w:cs="Arial"/>
                        <w:caps/>
                        <w:sz w:val="16"/>
                      </w:rPr>
                      <w:fldChar w:fldCharType="begin"/>
                    </w:r>
                    <w:r>
                      <w:rPr>
                        <w:rStyle w:val="PageNumber"/>
                        <w:rFonts w:ascii="Arial" w:hAnsi="Arial" w:cs="Arial"/>
                        <w:caps/>
                        <w:sz w:val="16"/>
                      </w:rPr>
                      <w:instrText xml:space="preserve"> PAGE </w:instrText>
                    </w:r>
                    <w:r>
                      <w:rPr>
                        <w:rStyle w:val="PageNumber"/>
                        <w:rFonts w:ascii="Arial" w:hAnsi="Arial" w:cs="Arial"/>
                        <w:caps/>
                        <w:sz w:val="16"/>
                      </w:rPr>
                      <w:fldChar w:fldCharType="separate"/>
                    </w:r>
                    <w:r>
                      <w:rPr>
                        <w:rStyle w:val="PageNumber"/>
                        <w:rFonts w:ascii="Arial" w:hAnsi="Arial" w:cs="Arial"/>
                        <w:caps/>
                        <w:noProof/>
                        <w:sz w:val="16"/>
                      </w:rPr>
                      <w:t>1</w:t>
                    </w:r>
                    <w:r>
                      <w:rPr>
                        <w:rStyle w:val="PageNumber"/>
                        <w:rFonts w:ascii="Arial" w:hAnsi="Arial" w:cs="Arial"/>
                        <w:caps/>
                        <w:sz w:val="16"/>
                      </w:rPr>
                      <w:fldChar w:fldCharType="end"/>
                    </w:r>
                    <w:r>
                      <w:rPr>
                        <w:rFonts w:cs="Arial"/>
                        <w:sz w:val="16"/>
                      </w:rPr>
                      <w:t>/</w:t>
                    </w:r>
                    <w:r>
                      <w:rPr>
                        <w:rStyle w:val="PageNumber"/>
                        <w:rFonts w:ascii="Arial" w:hAnsi="Arial" w:cs="Arial"/>
                        <w:caps/>
                        <w:sz w:val="16"/>
                      </w:rPr>
                      <w:fldChar w:fldCharType="begin"/>
                    </w:r>
                    <w:r>
                      <w:rPr>
                        <w:rStyle w:val="PageNumber"/>
                        <w:rFonts w:ascii="Arial" w:hAnsi="Arial" w:cs="Arial"/>
                        <w:caps/>
                        <w:sz w:val="16"/>
                      </w:rPr>
                      <w:instrText xml:space="preserve"> NUMPAGES </w:instrText>
                    </w:r>
                    <w:r>
                      <w:rPr>
                        <w:rStyle w:val="PageNumber"/>
                        <w:rFonts w:ascii="Arial" w:hAnsi="Arial" w:cs="Arial"/>
                        <w:caps/>
                        <w:sz w:val="16"/>
                      </w:rPr>
                      <w:fldChar w:fldCharType="separate"/>
                    </w:r>
                    <w:r w:rsidR="00EF1CDE">
                      <w:rPr>
                        <w:rStyle w:val="PageNumber"/>
                        <w:rFonts w:ascii="Arial" w:hAnsi="Arial" w:cs="Arial"/>
                        <w:caps/>
                        <w:noProof/>
                        <w:sz w:val="16"/>
                      </w:rPr>
                      <w:t>37</w:t>
                    </w:r>
                    <w:r>
                      <w:rPr>
                        <w:rStyle w:val="PageNumber"/>
                        <w:rFonts w:ascii="Arial" w:hAnsi="Arial" w:cs="Arial"/>
                        <w:caps/>
                        <w:sz w:val="16"/>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6EE9" w14:textId="77777777" w:rsidR="008E1C5A" w:rsidRDefault="008E1C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D1AB92" w14:textId="77777777" w:rsidR="008E1C5A" w:rsidRDefault="008E1C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21BC3" w14:textId="77777777" w:rsidR="00B8785D" w:rsidRDefault="00B8785D">
      <w:r>
        <w:separator/>
      </w:r>
    </w:p>
  </w:footnote>
  <w:footnote w:type="continuationSeparator" w:id="0">
    <w:p w14:paraId="6F9382D8" w14:textId="77777777" w:rsidR="00B8785D" w:rsidRDefault="00B8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66E38" w14:textId="77777777" w:rsidR="00744E5C" w:rsidRDefault="00744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2" w:type="dxa"/>
      <w:tblBorders>
        <w:top w:val="dotted" w:sz="12" w:space="0" w:color="A6A6A6"/>
        <w:bottom w:val="dotted" w:sz="12" w:space="0" w:color="A6A6A6"/>
        <w:insideH w:val="dotted" w:sz="12" w:space="0" w:color="A6A6A6"/>
      </w:tblBorders>
      <w:tblLayout w:type="fixed"/>
      <w:tblCellMar>
        <w:left w:w="107" w:type="dxa"/>
        <w:right w:w="107" w:type="dxa"/>
      </w:tblCellMar>
      <w:tblLook w:val="0000" w:firstRow="0" w:lastRow="0" w:firstColumn="0" w:lastColumn="0" w:noHBand="0" w:noVBand="0"/>
    </w:tblPr>
    <w:tblGrid>
      <w:gridCol w:w="6769"/>
      <w:gridCol w:w="2835"/>
    </w:tblGrid>
    <w:tr w:rsidR="008E1C5A" w:rsidRPr="00F20CE9" w14:paraId="6CD65F17" w14:textId="77777777" w:rsidTr="00F31C59">
      <w:trPr>
        <w:cantSplit/>
      </w:trPr>
      <w:tc>
        <w:tcPr>
          <w:tcW w:w="6769" w:type="dxa"/>
          <w:tcBorders>
            <w:top w:val="nil"/>
          </w:tcBorders>
        </w:tcPr>
        <w:p w14:paraId="362E2F11" w14:textId="77777777" w:rsidR="008E1C5A" w:rsidRPr="00F20CE9" w:rsidRDefault="008E1C5A">
          <w:pPr>
            <w:rPr>
              <w:rFonts w:cs="Arial"/>
              <w:b/>
              <w:bCs/>
              <w:sz w:val="18"/>
            </w:rPr>
          </w:pPr>
          <w:r w:rsidRPr="00F20CE9">
            <w:rPr>
              <w:rFonts w:cs="Arial"/>
              <w:b/>
              <w:bCs/>
              <w:sz w:val="18"/>
            </w:rPr>
            <w:t>AusNet Services</w:t>
          </w:r>
        </w:p>
      </w:tc>
      <w:tc>
        <w:tcPr>
          <w:tcW w:w="2835" w:type="dxa"/>
          <w:tcBorders>
            <w:top w:val="nil"/>
          </w:tcBorders>
        </w:tcPr>
        <w:p w14:paraId="24D0799E" w14:textId="77777777" w:rsidR="008E1C5A" w:rsidRPr="00F20CE9" w:rsidRDefault="008E1C5A">
          <w:pPr>
            <w:jc w:val="right"/>
            <w:rPr>
              <w:rFonts w:cs="Arial"/>
              <w:b/>
              <w:bCs/>
              <w:sz w:val="18"/>
            </w:rPr>
          </w:pPr>
          <w:r>
            <w:rPr>
              <w:rFonts w:cs="Arial"/>
              <w:b/>
              <w:bCs/>
              <w:sz w:val="18"/>
            </w:rPr>
            <w:t>Part A</w:t>
          </w:r>
        </w:p>
      </w:tc>
    </w:tr>
    <w:tr w:rsidR="008E1C5A" w:rsidRPr="00F20CE9" w14:paraId="75793A5F" w14:textId="77777777" w:rsidTr="00F31C59">
      <w:trPr>
        <w:cantSplit/>
      </w:trPr>
      <w:tc>
        <w:tcPr>
          <w:tcW w:w="9604" w:type="dxa"/>
          <w:gridSpan w:val="2"/>
        </w:tcPr>
        <w:p w14:paraId="770AD423" w14:textId="77777777" w:rsidR="008E1C5A" w:rsidRPr="00F20CE9" w:rsidRDefault="008E1C5A">
          <w:pPr>
            <w:rPr>
              <w:rFonts w:cs="Arial"/>
              <w:b/>
              <w:sz w:val="24"/>
            </w:rPr>
          </w:pPr>
          <w:r>
            <w:rPr>
              <w:rFonts w:cs="Arial"/>
              <w:b/>
              <w:sz w:val="24"/>
            </w:rPr>
            <w:t>Gas Access Arrangement Revision 2018-2022</w:t>
          </w:r>
          <w:r w:rsidRPr="00F20CE9">
            <w:rPr>
              <w:rFonts w:cs="Arial"/>
              <w:b/>
              <w:sz w:val="24"/>
            </w:rPr>
            <w:t xml:space="preserve"> </w:t>
          </w:r>
        </w:p>
      </w:tc>
    </w:tr>
  </w:tbl>
  <w:p w14:paraId="46C151DC" w14:textId="77777777" w:rsidR="008E1C5A" w:rsidRDefault="008E1C5A">
    <w:pPr>
      <w:pStyle w:val="Header"/>
      <w:rPr>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95D1" w14:textId="4203AEAF" w:rsidR="008E1C5A" w:rsidRDefault="008E1C5A">
    <w:pPr>
      <w:pStyle w:val="Header"/>
    </w:pPr>
    <w:r>
      <w:rPr>
        <w:noProof/>
        <w:lang w:eastAsia="en-AU"/>
      </w:rPr>
      <w:drawing>
        <wp:anchor distT="0" distB="0" distL="114300" distR="114300" simplePos="0" relativeHeight="251696128" behindDoc="1" locked="0" layoutInCell="1" allowOverlap="1" wp14:anchorId="46D867AC" wp14:editId="53D8DF84">
          <wp:simplePos x="0" y="0"/>
          <wp:positionH relativeFrom="column">
            <wp:posOffset>-694055</wp:posOffset>
          </wp:positionH>
          <wp:positionV relativeFrom="paragraph">
            <wp:posOffset>4598035</wp:posOffset>
          </wp:positionV>
          <wp:extent cx="7559040" cy="5651500"/>
          <wp:effectExtent l="0" t="0" r="3810" b="6350"/>
          <wp:wrapNone/>
          <wp:docPr id="19" name="Picture 12" descr="SPA24320_AusNet Footer_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24320_AusNet Footer_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651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5104" behindDoc="1" locked="0" layoutInCell="1" allowOverlap="1" wp14:anchorId="770E0780" wp14:editId="3BBF1640">
          <wp:simplePos x="0" y="0"/>
          <wp:positionH relativeFrom="column">
            <wp:posOffset>-843280</wp:posOffset>
          </wp:positionH>
          <wp:positionV relativeFrom="paragraph">
            <wp:posOffset>-50165</wp:posOffset>
          </wp:positionV>
          <wp:extent cx="7607300" cy="1447800"/>
          <wp:effectExtent l="0" t="0" r="0" b="0"/>
          <wp:wrapNone/>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7300" cy="1447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2" w:type="dxa"/>
      <w:tblLayout w:type="fixed"/>
      <w:tblCellMar>
        <w:left w:w="107" w:type="dxa"/>
        <w:right w:w="107" w:type="dxa"/>
      </w:tblCellMar>
      <w:tblLook w:val="0000" w:firstRow="0" w:lastRow="0" w:firstColumn="0" w:lastColumn="0" w:noHBand="0" w:noVBand="0"/>
    </w:tblPr>
    <w:tblGrid>
      <w:gridCol w:w="3651"/>
      <w:gridCol w:w="5670"/>
    </w:tblGrid>
    <w:tr w:rsidR="008E1C5A" w14:paraId="7BB2604B" w14:textId="77777777">
      <w:trPr>
        <w:cantSplit/>
      </w:trPr>
      <w:tc>
        <w:tcPr>
          <w:tcW w:w="3651" w:type="dxa"/>
          <w:tcBorders>
            <w:bottom w:val="single" w:sz="4" w:space="0" w:color="auto"/>
          </w:tcBorders>
        </w:tcPr>
        <w:p w14:paraId="4471C9C5" w14:textId="77777777" w:rsidR="008E1C5A" w:rsidRDefault="008E1C5A">
          <w:pPr>
            <w:rPr>
              <w:b/>
              <w:bCs/>
              <w:sz w:val="18"/>
            </w:rPr>
          </w:pPr>
        </w:p>
      </w:tc>
      <w:tc>
        <w:tcPr>
          <w:tcW w:w="5670" w:type="dxa"/>
          <w:tcBorders>
            <w:bottom w:val="single" w:sz="4" w:space="0" w:color="auto"/>
          </w:tcBorders>
        </w:tcPr>
        <w:p w14:paraId="5C567424" w14:textId="77777777" w:rsidR="008E1C5A" w:rsidRDefault="008E1C5A">
          <w:pPr>
            <w:jc w:val="right"/>
            <w:rPr>
              <w:b/>
              <w:bCs/>
              <w:sz w:val="18"/>
            </w:rPr>
          </w:pPr>
          <w:r>
            <w:rPr>
              <w:b/>
              <w:sz w:val="18"/>
            </w:rPr>
            <w:t>Reference Tariffs and Reference Tariff Policy</w:t>
          </w:r>
        </w:p>
      </w:tc>
    </w:tr>
    <w:tr w:rsidR="008E1C5A" w14:paraId="78A03C49" w14:textId="77777777">
      <w:trPr>
        <w:cantSplit/>
      </w:trPr>
      <w:tc>
        <w:tcPr>
          <w:tcW w:w="9321" w:type="dxa"/>
          <w:gridSpan w:val="2"/>
          <w:tcBorders>
            <w:top w:val="single" w:sz="4" w:space="0" w:color="auto"/>
            <w:bottom w:val="single" w:sz="4" w:space="0" w:color="auto"/>
          </w:tcBorders>
        </w:tcPr>
        <w:p w14:paraId="05250793" w14:textId="77777777" w:rsidR="008E1C5A" w:rsidRDefault="008E1C5A">
          <w:pPr>
            <w:rPr>
              <w:b/>
              <w:sz w:val="24"/>
            </w:rPr>
          </w:pPr>
          <w:r>
            <w:rPr>
              <w:b/>
              <w:sz w:val="24"/>
            </w:rPr>
            <w:t>Gas Access Arrangement Revision 2018-2022</w:t>
          </w:r>
        </w:p>
      </w:tc>
    </w:tr>
  </w:tbl>
  <w:p w14:paraId="3635AAF7" w14:textId="77777777" w:rsidR="008E1C5A" w:rsidRDefault="008E1C5A">
    <w:pPr>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C291D" w14:textId="496049B9" w:rsidR="008E1C5A" w:rsidRDefault="008E1C5A">
    <w:pPr>
      <w:pStyle w:val="Header"/>
    </w:pPr>
    <w:r>
      <w:rPr>
        <w:noProof/>
        <w:sz w:val="20"/>
        <w:lang w:eastAsia="en-AU"/>
      </w:rPr>
      <w:drawing>
        <wp:anchor distT="0" distB="0" distL="114300" distR="114300" simplePos="0" relativeHeight="251693056" behindDoc="0" locked="0" layoutInCell="1" allowOverlap="1" wp14:anchorId="7042A76B" wp14:editId="3DF3B47F">
          <wp:simplePos x="0" y="0"/>
          <wp:positionH relativeFrom="column">
            <wp:posOffset>635</wp:posOffset>
          </wp:positionH>
          <wp:positionV relativeFrom="paragraph">
            <wp:posOffset>2540</wp:posOffset>
          </wp:positionV>
          <wp:extent cx="1770380" cy="476250"/>
          <wp:effectExtent l="0" t="0" r="1270" b="0"/>
          <wp:wrapNone/>
          <wp:docPr id="2" name="Picture 2" descr="SPI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I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4762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041B2156"/>
    <w:multiLevelType w:val="hybridMultilevel"/>
    <w:tmpl w:val="3110B37C"/>
    <w:lvl w:ilvl="0" w:tplc="0C090001">
      <w:start w:val="1"/>
      <w:numFmt w:val="bullet"/>
      <w:lvlText w:val=""/>
      <w:lvlJc w:val="left"/>
      <w:pPr>
        <w:ind w:left="515" w:hanging="360"/>
      </w:pPr>
      <w:rPr>
        <w:rFonts w:ascii="Symbol" w:hAnsi="Symbol" w:hint="default"/>
      </w:rPr>
    </w:lvl>
    <w:lvl w:ilvl="1" w:tplc="0C090003" w:tentative="1">
      <w:start w:val="1"/>
      <w:numFmt w:val="bullet"/>
      <w:lvlText w:val="o"/>
      <w:lvlJc w:val="left"/>
      <w:pPr>
        <w:ind w:left="1235" w:hanging="360"/>
      </w:pPr>
      <w:rPr>
        <w:rFonts w:ascii="Courier New" w:hAnsi="Courier New" w:cs="Courier New" w:hint="default"/>
      </w:rPr>
    </w:lvl>
    <w:lvl w:ilvl="2" w:tplc="0C090005" w:tentative="1">
      <w:start w:val="1"/>
      <w:numFmt w:val="bullet"/>
      <w:lvlText w:val=""/>
      <w:lvlJc w:val="left"/>
      <w:pPr>
        <w:ind w:left="1955" w:hanging="360"/>
      </w:pPr>
      <w:rPr>
        <w:rFonts w:ascii="Wingdings" w:hAnsi="Wingdings" w:hint="default"/>
      </w:rPr>
    </w:lvl>
    <w:lvl w:ilvl="3" w:tplc="0C090001" w:tentative="1">
      <w:start w:val="1"/>
      <w:numFmt w:val="bullet"/>
      <w:lvlText w:val=""/>
      <w:lvlJc w:val="left"/>
      <w:pPr>
        <w:ind w:left="2675" w:hanging="360"/>
      </w:pPr>
      <w:rPr>
        <w:rFonts w:ascii="Symbol" w:hAnsi="Symbol" w:hint="default"/>
      </w:rPr>
    </w:lvl>
    <w:lvl w:ilvl="4" w:tplc="0C090003" w:tentative="1">
      <w:start w:val="1"/>
      <w:numFmt w:val="bullet"/>
      <w:lvlText w:val="o"/>
      <w:lvlJc w:val="left"/>
      <w:pPr>
        <w:ind w:left="3395" w:hanging="360"/>
      </w:pPr>
      <w:rPr>
        <w:rFonts w:ascii="Courier New" w:hAnsi="Courier New" w:cs="Courier New" w:hint="default"/>
      </w:rPr>
    </w:lvl>
    <w:lvl w:ilvl="5" w:tplc="0C090005" w:tentative="1">
      <w:start w:val="1"/>
      <w:numFmt w:val="bullet"/>
      <w:lvlText w:val=""/>
      <w:lvlJc w:val="left"/>
      <w:pPr>
        <w:ind w:left="4115" w:hanging="360"/>
      </w:pPr>
      <w:rPr>
        <w:rFonts w:ascii="Wingdings" w:hAnsi="Wingdings" w:hint="default"/>
      </w:rPr>
    </w:lvl>
    <w:lvl w:ilvl="6" w:tplc="0C090001" w:tentative="1">
      <w:start w:val="1"/>
      <w:numFmt w:val="bullet"/>
      <w:lvlText w:val=""/>
      <w:lvlJc w:val="left"/>
      <w:pPr>
        <w:ind w:left="4835" w:hanging="360"/>
      </w:pPr>
      <w:rPr>
        <w:rFonts w:ascii="Symbol" w:hAnsi="Symbol" w:hint="default"/>
      </w:rPr>
    </w:lvl>
    <w:lvl w:ilvl="7" w:tplc="0C090003" w:tentative="1">
      <w:start w:val="1"/>
      <w:numFmt w:val="bullet"/>
      <w:lvlText w:val="o"/>
      <w:lvlJc w:val="left"/>
      <w:pPr>
        <w:ind w:left="5555" w:hanging="360"/>
      </w:pPr>
      <w:rPr>
        <w:rFonts w:ascii="Courier New" w:hAnsi="Courier New" w:cs="Courier New" w:hint="default"/>
      </w:rPr>
    </w:lvl>
    <w:lvl w:ilvl="8" w:tplc="0C090005" w:tentative="1">
      <w:start w:val="1"/>
      <w:numFmt w:val="bullet"/>
      <w:lvlText w:val=""/>
      <w:lvlJc w:val="left"/>
      <w:pPr>
        <w:ind w:left="6275" w:hanging="360"/>
      </w:pPr>
      <w:rPr>
        <w:rFonts w:ascii="Wingdings" w:hAnsi="Wingdings" w:hint="default"/>
      </w:rPr>
    </w:lvl>
  </w:abstractNum>
  <w:abstractNum w:abstractNumId="2">
    <w:nsid w:val="070219BA"/>
    <w:multiLevelType w:val="hybridMultilevel"/>
    <w:tmpl w:val="EDE02F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0EDC443E"/>
    <w:multiLevelType w:val="hybridMultilevel"/>
    <w:tmpl w:val="695EB20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5">
    <w:nsid w:val="10EC52F3"/>
    <w:multiLevelType w:val="hybridMultilevel"/>
    <w:tmpl w:val="A2FAF6FC"/>
    <w:lvl w:ilvl="0" w:tplc="D3E6A7E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BFF4CE1"/>
    <w:multiLevelType w:val="hybridMultilevel"/>
    <w:tmpl w:val="0F5ED22A"/>
    <w:lvl w:ilvl="0" w:tplc="935811A4">
      <w:start w:val="1"/>
      <w:numFmt w:val="upperLetter"/>
      <w:lvlText w:val="(%1)"/>
      <w:lvlJc w:val="left"/>
      <w:pPr>
        <w:ind w:left="1429" w:hanging="72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1EAF6824"/>
    <w:multiLevelType w:val="multilevel"/>
    <w:tmpl w:val="22EAB8A2"/>
    <w:name w:val="MyBullets"/>
    <w:lvl w:ilvl="0">
      <w:start w:val="1"/>
      <w:numFmt w:val="decimal"/>
      <w:lvlRestart w:val="0"/>
      <w:pStyle w:val="BodyListNumberLevel1"/>
      <w:lvlText w:val="%1."/>
      <w:lvlJc w:val="left"/>
      <w:pPr>
        <w:tabs>
          <w:tab w:val="num" w:pos="425"/>
        </w:tabs>
        <w:ind w:left="425" w:hanging="425"/>
      </w:pPr>
      <w:rPr>
        <w:rFonts w:asciiTheme="minorHAnsi" w:hAnsiTheme="minorHAnsi" w:hint="default"/>
        <w:color w:val="000000"/>
        <w:sz w:val="22"/>
      </w:rPr>
    </w:lvl>
    <w:lvl w:ilvl="1">
      <w:start w:val="1"/>
      <w:numFmt w:val="lowerLetter"/>
      <w:pStyle w:val="BodyListNumberLevel2"/>
      <w:lvlText w:val="%2)"/>
      <w:lvlJc w:val="left"/>
      <w:pPr>
        <w:tabs>
          <w:tab w:val="num" w:pos="850"/>
        </w:tabs>
        <w:ind w:left="850" w:hanging="425"/>
      </w:pPr>
      <w:rPr>
        <w:rFonts w:asciiTheme="minorHAnsi" w:hAnsiTheme="minorHAnsi" w:hint="default"/>
      </w:rPr>
    </w:lvl>
    <w:lvl w:ilvl="2">
      <w:start w:val="1"/>
      <w:numFmt w:val="bullet"/>
      <w:pStyle w:val="BodyListNumberLevel3"/>
      <w:lvlText w:val=""/>
      <w:lvlJc w:val="left"/>
      <w:pPr>
        <w:tabs>
          <w:tab w:val="num" w:pos="1276"/>
        </w:tabs>
        <w:ind w:left="1276" w:hanging="4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614C91"/>
    <w:multiLevelType w:val="hybridMultilevel"/>
    <w:tmpl w:val="6EF297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8BE3CA9"/>
    <w:multiLevelType w:val="hybridMultilevel"/>
    <w:tmpl w:val="0344A7E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01E1964"/>
    <w:multiLevelType w:val="multilevel"/>
    <w:tmpl w:val="145A1DA4"/>
    <w:lvl w:ilvl="0">
      <w:start w:val="1"/>
      <w:numFmt w:val="lowerRoman"/>
      <w:pStyle w:val="BodyTextIndent"/>
      <w:lvlText w:val="%1."/>
      <w:lvlJc w:val="left"/>
      <w:pPr>
        <w:tabs>
          <w:tab w:val="num" w:pos="680"/>
        </w:tabs>
        <w:ind w:left="680" w:hanging="680"/>
      </w:pPr>
      <w:rPr>
        <w:rFonts w:hint="default"/>
      </w:rPr>
    </w:lvl>
    <w:lvl w:ilvl="1">
      <w:start w:val="1"/>
      <w:numFmt w:val="decimal"/>
      <w:lvlText w:val="%1.%2."/>
      <w:lvlJc w:val="left"/>
      <w:pPr>
        <w:tabs>
          <w:tab w:val="num" w:pos="2291"/>
        </w:tabs>
        <w:ind w:left="2291" w:hanging="567"/>
      </w:pPr>
      <w:rPr>
        <w:rFonts w:hint="default"/>
      </w:rPr>
    </w:lvl>
    <w:lvl w:ilvl="2">
      <w:start w:val="1"/>
      <w:numFmt w:val="decimal"/>
      <w:lvlText w:val="%1.%2.%3."/>
      <w:lvlJc w:val="left"/>
      <w:pPr>
        <w:tabs>
          <w:tab w:val="num" w:pos="3524"/>
        </w:tabs>
        <w:ind w:left="2948" w:hanging="504"/>
      </w:pPr>
      <w:rPr>
        <w:rFonts w:hint="default"/>
      </w:rPr>
    </w:lvl>
    <w:lvl w:ilvl="3">
      <w:start w:val="1"/>
      <w:numFmt w:val="decimal"/>
      <w:lvlText w:val="%1.%2.%3.%4."/>
      <w:lvlJc w:val="left"/>
      <w:pPr>
        <w:tabs>
          <w:tab w:val="num" w:pos="3884"/>
        </w:tabs>
        <w:ind w:left="3452" w:hanging="648"/>
      </w:pPr>
      <w:rPr>
        <w:rFonts w:hint="default"/>
      </w:rPr>
    </w:lvl>
    <w:lvl w:ilvl="4">
      <w:start w:val="1"/>
      <w:numFmt w:val="decimal"/>
      <w:lvlText w:val="%1.%2.%3.%4.%5."/>
      <w:lvlJc w:val="left"/>
      <w:pPr>
        <w:tabs>
          <w:tab w:val="num" w:pos="4244"/>
        </w:tabs>
        <w:ind w:left="3956" w:hanging="792"/>
      </w:pPr>
      <w:rPr>
        <w:rFonts w:hint="default"/>
      </w:rPr>
    </w:lvl>
    <w:lvl w:ilvl="5">
      <w:start w:val="1"/>
      <w:numFmt w:val="decimal"/>
      <w:lvlText w:val="%1.%2.%3.%4.%5.%6."/>
      <w:lvlJc w:val="left"/>
      <w:pPr>
        <w:tabs>
          <w:tab w:val="num" w:pos="4964"/>
        </w:tabs>
        <w:ind w:left="4460" w:hanging="936"/>
      </w:pPr>
      <w:rPr>
        <w:rFonts w:hint="default"/>
      </w:rPr>
    </w:lvl>
    <w:lvl w:ilvl="6">
      <w:start w:val="1"/>
      <w:numFmt w:val="decimal"/>
      <w:lvlText w:val="%1.%2.%3.%4.%5.%6.%7."/>
      <w:lvlJc w:val="left"/>
      <w:pPr>
        <w:tabs>
          <w:tab w:val="num" w:pos="5324"/>
        </w:tabs>
        <w:ind w:left="4964" w:hanging="1080"/>
      </w:pPr>
      <w:rPr>
        <w:rFonts w:hint="default"/>
      </w:rPr>
    </w:lvl>
    <w:lvl w:ilvl="7">
      <w:start w:val="1"/>
      <w:numFmt w:val="decimal"/>
      <w:lvlText w:val="%1.%2.%3.%4.%5.%6.%7.%8."/>
      <w:lvlJc w:val="left"/>
      <w:pPr>
        <w:tabs>
          <w:tab w:val="num" w:pos="6044"/>
        </w:tabs>
        <w:ind w:left="5468" w:hanging="1224"/>
      </w:pPr>
      <w:rPr>
        <w:rFonts w:hint="default"/>
      </w:rPr>
    </w:lvl>
    <w:lvl w:ilvl="8">
      <w:start w:val="1"/>
      <w:numFmt w:val="decimal"/>
      <w:lvlText w:val="%1.%2.%3.%4.%5.%6.%7.%8.%9."/>
      <w:lvlJc w:val="left"/>
      <w:pPr>
        <w:tabs>
          <w:tab w:val="num" w:pos="6404"/>
        </w:tabs>
        <w:ind w:left="6044" w:hanging="1440"/>
      </w:pPr>
      <w:rPr>
        <w:rFonts w:hint="default"/>
      </w:rPr>
    </w:lvl>
  </w:abstractNum>
  <w:abstractNum w:abstractNumId="13">
    <w:nsid w:val="39412928"/>
    <w:multiLevelType w:val="hybridMultilevel"/>
    <w:tmpl w:val="5F026DE8"/>
    <w:lvl w:ilvl="0" w:tplc="0C090001">
      <w:start w:val="1"/>
      <w:numFmt w:val="bullet"/>
      <w:lvlText w:val=""/>
      <w:lvlJc w:val="left"/>
      <w:pPr>
        <w:tabs>
          <w:tab w:val="num" w:pos="770"/>
        </w:tabs>
        <w:ind w:left="770" w:hanging="360"/>
      </w:pPr>
      <w:rPr>
        <w:rFonts w:ascii="Symbol" w:hAnsi="Symbol" w:hint="default"/>
      </w:rPr>
    </w:lvl>
    <w:lvl w:ilvl="1" w:tplc="0C090003" w:tentative="1">
      <w:start w:val="1"/>
      <w:numFmt w:val="bullet"/>
      <w:lvlText w:val="o"/>
      <w:lvlJc w:val="left"/>
      <w:pPr>
        <w:tabs>
          <w:tab w:val="num" w:pos="1490"/>
        </w:tabs>
        <w:ind w:left="1490" w:hanging="360"/>
      </w:pPr>
      <w:rPr>
        <w:rFonts w:ascii="Courier New" w:hAnsi="Courier New" w:cs="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cs="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cs="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14">
    <w:nsid w:val="3B804CDE"/>
    <w:multiLevelType w:val="hybridMultilevel"/>
    <w:tmpl w:val="E3ACD8B0"/>
    <w:lvl w:ilvl="0" w:tplc="54B63B5E">
      <w:start w:val="1"/>
      <w:numFmt w:val="decimal"/>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nsid w:val="3EBE3330"/>
    <w:multiLevelType w:val="multilevel"/>
    <w:tmpl w:val="6032D1C2"/>
    <w:lvl w:ilvl="0">
      <w:start w:val="1"/>
      <w:numFmt w:val="lowerLetter"/>
      <w:lvlText w:val="(%1)"/>
      <w:lvlJc w:val="left"/>
      <w:pPr>
        <w:ind w:left="72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nsid w:val="4B170563"/>
    <w:multiLevelType w:val="singleLevel"/>
    <w:tmpl w:val="269EDEB4"/>
    <w:lvl w:ilvl="0">
      <w:start w:val="1"/>
      <w:numFmt w:val="bullet"/>
      <w:pStyle w:val="ListBullet5"/>
      <w:lvlText w:val=""/>
      <w:lvlJc w:val="left"/>
      <w:pPr>
        <w:tabs>
          <w:tab w:val="num" w:pos="1440"/>
        </w:tabs>
        <w:ind w:left="1440" w:hanging="360"/>
      </w:pPr>
      <w:rPr>
        <w:rFonts w:ascii="Wingdings" w:hAnsi="Wingdings" w:hint="default"/>
        <w:sz w:val="16"/>
      </w:rPr>
    </w:lvl>
  </w:abstractNum>
  <w:abstractNum w:abstractNumId="17">
    <w:nsid w:val="4C7F7413"/>
    <w:multiLevelType w:val="multilevel"/>
    <w:tmpl w:val="83061688"/>
    <w:lvl w:ilvl="0">
      <w:start w:val="1"/>
      <w:numFmt w:val="decimal"/>
      <w:pStyle w:val="GreenHeading1"/>
      <w:lvlText w:val="%1"/>
      <w:lvlJc w:val="left"/>
      <w:pPr>
        <w:tabs>
          <w:tab w:val="num" w:pos="709"/>
        </w:tabs>
        <w:ind w:left="709" w:hanging="709"/>
      </w:pPr>
      <w:rPr>
        <w:rFonts w:ascii="Arial" w:hAnsi="Arial"/>
        <w:b/>
        <w:i w:val="0"/>
        <w:sz w:val="28"/>
      </w:rPr>
    </w:lvl>
    <w:lvl w:ilvl="1">
      <w:start w:val="1"/>
      <w:numFmt w:val="decimal"/>
      <w:pStyle w:val="GreenHeading2"/>
      <w:lvlText w:val="%1.%2"/>
      <w:lvlJc w:val="left"/>
      <w:pPr>
        <w:tabs>
          <w:tab w:val="num" w:pos="1417"/>
        </w:tabs>
        <w:ind w:left="1417" w:hanging="708"/>
      </w:pPr>
      <w:rPr>
        <w:rFonts w:ascii="Arial" w:hAnsi="Arial"/>
        <w:b/>
        <w:i w:val="0"/>
        <w:sz w:val="24"/>
      </w:rPr>
    </w:lvl>
    <w:lvl w:ilvl="2">
      <w:start w:val="1"/>
      <w:numFmt w:val="lowerLetter"/>
      <w:pStyle w:val="GreenHeading3"/>
      <w:lvlText w:val="(%3)"/>
      <w:lvlJc w:val="left"/>
      <w:pPr>
        <w:tabs>
          <w:tab w:val="num" w:pos="2126"/>
        </w:tabs>
        <w:ind w:left="2126" w:hanging="709"/>
      </w:pPr>
      <w:rPr>
        <w:rFonts w:ascii="Times New Roman" w:hAnsi="Times New Roman" w:hint="default"/>
        <w:b w:val="0"/>
        <w:i w:val="0"/>
        <w:sz w:val="24"/>
      </w:rPr>
    </w:lvl>
    <w:lvl w:ilvl="3">
      <w:start w:val="1"/>
      <w:numFmt w:val="decimal"/>
      <w:pStyle w:val="GreenHeading4"/>
      <w:lvlText w:val="(%4)"/>
      <w:lvlJc w:val="left"/>
      <w:pPr>
        <w:tabs>
          <w:tab w:val="num" w:pos="2835"/>
        </w:tabs>
        <w:ind w:left="2835" w:hanging="709"/>
      </w:pPr>
      <w:rPr>
        <w:rFonts w:ascii="Times New Roman" w:hAnsi="Times New Roman" w:hint="default"/>
        <w:b w:val="0"/>
        <w:i w:val="0"/>
        <w:sz w:val="24"/>
      </w:rPr>
    </w:lvl>
    <w:lvl w:ilvl="4">
      <w:start w:val="1"/>
      <w:numFmt w:val="upperLetter"/>
      <w:pStyle w:val="GreenHeading5"/>
      <w:lvlText w:val="(%5)"/>
      <w:lvlJc w:val="left"/>
      <w:pPr>
        <w:tabs>
          <w:tab w:val="num" w:pos="3543"/>
        </w:tabs>
        <w:ind w:left="3543" w:hanging="708"/>
      </w:pPr>
      <w:rPr>
        <w:rFonts w:ascii="Times New Roman" w:hAnsi="Times New Roman"/>
        <w:b w:val="0"/>
        <w:i w:val="0"/>
        <w:sz w:val="24"/>
      </w:rPr>
    </w:lvl>
    <w:lvl w:ilvl="5">
      <w:start w:val="1"/>
      <w:numFmt w:val="lowerRoman"/>
      <w:pStyle w:val="GreenHeading6"/>
      <w:lvlText w:val="(%6)"/>
      <w:lvlJc w:val="left"/>
      <w:pPr>
        <w:tabs>
          <w:tab w:val="num" w:pos="4252"/>
        </w:tabs>
        <w:ind w:left="4252" w:hanging="709"/>
      </w:pPr>
      <w:rPr>
        <w:rFonts w:ascii="Times New Roman" w:hAnsi="Times New Roman"/>
        <w:b w:val="0"/>
        <w:i w:val="0"/>
        <w:sz w:val="24"/>
      </w:rPr>
    </w:lvl>
    <w:lvl w:ilvl="6">
      <w:start w:val="1"/>
      <w:numFmt w:val="none"/>
      <w:pStyle w:val="GreenHeading7"/>
      <w:lvlText w:val="%7"/>
      <w:lvlJc w:val="left"/>
      <w:pPr>
        <w:tabs>
          <w:tab w:val="num" w:pos="1417"/>
        </w:tabs>
        <w:ind w:left="1417" w:hanging="708"/>
      </w:pPr>
      <w:rPr>
        <w:rFonts w:ascii="Times New Roman" w:hAnsi="Times New Roman"/>
        <w:b w:val="0"/>
        <w:i w:val="0"/>
        <w:sz w:val="24"/>
      </w:rPr>
    </w:lvl>
    <w:lvl w:ilvl="7">
      <w:start w:val="1"/>
      <w:numFmt w:val="none"/>
      <w:pStyle w:val="GreenHeading8"/>
      <w:lvlText w:val="%8"/>
      <w:lvlJc w:val="left"/>
      <w:pPr>
        <w:tabs>
          <w:tab w:val="num" w:pos="1417"/>
        </w:tabs>
        <w:ind w:left="1417" w:hanging="708"/>
      </w:pPr>
      <w:rPr>
        <w:rFonts w:ascii="Times New Roman" w:hAnsi="Times New Roman"/>
        <w:b w:val="0"/>
        <w:i w:val="0"/>
        <w:sz w:val="24"/>
      </w:rPr>
    </w:lvl>
    <w:lvl w:ilvl="8">
      <w:start w:val="1"/>
      <w:numFmt w:val="none"/>
      <w:pStyle w:val="GreenHeading9"/>
      <w:lvlText w:val="%9"/>
      <w:lvlJc w:val="left"/>
      <w:pPr>
        <w:tabs>
          <w:tab w:val="num" w:pos="1417"/>
        </w:tabs>
        <w:ind w:left="1417" w:hanging="708"/>
      </w:pPr>
      <w:rPr>
        <w:rFonts w:ascii="Times New Roman" w:hAnsi="Times New Roman"/>
        <w:b w:val="0"/>
        <w:i w:val="0"/>
        <w:sz w:val="24"/>
      </w:rPr>
    </w:lvl>
  </w:abstractNum>
  <w:abstractNum w:abstractNumId="18">
    <w:nsid w:val="51E0419B"/>
    <w:multiLevelType w:val="multilevel"/>
    <w:tmpl w:val="0A22FC7C"/>
    <w:lvl w:ilvl="0">
      <w:start w:val="1"/>
      <w:numFmt w:val="decimal"/>
      <w:pStyle w:val="Heading1"/>
      <w:lvlText w:val="%1"/>
      <w:lvlJc w:val="left"/>
      <w:pPr>
        <w:tabs>
          <w:tab w:val="num" w:pos="928"/>
        </w:tabs>
        <w:ind w:left="928" w:hanging="928"/>
      </w:pPr>
      <w:rPr>
        <w:rFonts w:hint="default"/>
      </w:rPr>
    </w:lvl>
    <w:lvl w:ilvl="1">
      <w:start w:val="1"/>
      <w:numFmt w:val="decimal"/>
      <w:pStyle w:val="Heading2"/>
      <w:lvlText w:val="%1.%2"/>
      <w:lvlJc w:val="left"/>
      <w:pPr>
        <w:tabs>
          <w:tab w:val="num" w:pos="648"/>
        </w:tabs>
        <w:ind w:left="720" w:hanging="720"/>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0">
    <w:nsid w:val="58475B34"/>
    <w:multiLevelType w:val="hybridMultilevel"/>
    <w:tmpl w:val="6CFA5454"/>
    <w:lvl w:ilvl="0" w:tplc="EF36ABE8">
      <w:start w:val="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B0921EE"/>
    <w:multiLevelType w:val="hybridMultilevel"/>
    <w:tmpl w:val="5A409F96"/>
    <w:lvl w:ilvl="0" w:tplc="79F673E4">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F06431A"/>
    <w:multiLevelType w:val="multilevel"/>
    <w:tmpl w:val="EB40B082"/>
    <w:name w:val="Black_Outline_Numbering"/>
    <w:lvl w:ilvl="0">
      <w:start w:val="1"/>
      <w:numFmt w:val="decimal"/>
      <w:lvlText w:val="%1"/>
      <w:lvlJc w:val="left"/>
      <w:pPr>
        <w:tabs>
          <w:tab w:val="num" w:pos="709"/>
        </w:tabs>
        <w:ind w:left="709" w:hanging="709"/>
      </w:pPr>
      <w:rPr>
        <w:rFonts w:ascii="Arial" w:hAnsi="Arial"/>
        <w:b/>
        <w:i w:val="0"/>
        <w:sz w:val="28"/>
      </w:rPr>
    </w:lvl>
    <w:lvl w:ilvl="1">
      <w:start w:val="1"/>
      <w:numFmt w:val="decimal"/>
      <w:lvlText w:val="%1.%2"/>
      <w:lvlJc w:val="left"/>
      <w:pPr>
        <w:tabs>
          <w:tab w:val="num" w:pos="1417"/>
        </w:tabs>
        <w:ind w:left="1417" w:hanging="708"/>
      </w:pPr>
      <w:rPr>
        <w:rFonts w:ascii="Arial" w:hAnsi="Arial"/>
        <w:b/>
        <w:i w:val="0"/>
        <w:sz w:val="24"/>
      </w:rPr>
    </w:lvl>
    <w:lvl w:ilvl="2">
      <w:start w:val="1"/>
      <w:numFmt w:val="lowerLetter"/>
      <w:lvlText w:val="(%3)"/>
      <w:lvlJc w:val="left"/>
      <w:pPr>
        <w:tabs>
          <w:tab w:val="num" w:pos="2126"/>
        </w:tabs>
        <w:ind w:left="2126" w:hanging="709"/>
      </w:pPr>
      <w:rPr>
        <w:rFonts w:ascii="Times New Roman" w:hAnsi="Times New Roman" w:hint="default"/>
        <w:b w:val="0"/>
        <w:i w:val="0"/>
        <w:sz w:val="24"/>
      </w:rPr>
    </w:lvl>
    <w:lvl w:ilvl="3">
      <w:start w:val="1"/>
      <w:numFmt w:val="decimal"/>
      <w:lvlText w:val="(%4)"/>
      <w:lvlJc w:val="left"/>
      <w:pPr>
        <w:tabs>
          <w:tab w:val="num" w:pos="2835"/>
        </w:tabs>
        <w:ind w:left="2835" w:hanging="709"/>
      </w:pPr>
      <w:rPr>
        <w:rFonts w:ascii="Times New Roman" w:hAnsi="Times New Roman"/>
        <w:b w:val="0"/>
        <w:i w:val="0"/>
        <w:sz w:val="24"/>
      </w:rPr>
    </w:lvl>
    <w:lvl w:ilvl="4">
      <w:start w:val="1"/>
      <w:numFmt w:val="upperLetter"/>
      <w:lvlText w:val="(%5)"/>
      <w:lvlJc w:val="left"/>
      <w:pPr>
        <w:tabs>
          <w:tab w:val="num" w:pos="3543"/>
        </w:tabs>
        <w:ind w:left="3543" w:hanging="708"/>
      </w:pPr>
      <w:rPr>
        <w:rFonts w:ascii="Times New Roman" w:hAnsi="Times New Roman"/>
        <w:b w:val="0"/>
        <w:i w:val="0"/>
        <w:sz w:val="24"/>
      </w:rPr>
    </w:lvl>
    <w:lvl w:ilvl="5">
      <w:start w:val="1"/>
      <w:numFmt w:val="lowerRoman"/>
      <w:lvlText w:val="(%6)"/>
      <w:lvlJc w:val="left"/>
      <w:pPr>
        <w:tabs>
          <w:tab w:val="num" w:pos="4252"/>
        </w:tabs>
        <w:ind w:left="4252" w:hanging="709"/>
      </w:pPr>
      <w:rPr>
        <w:rFonts w:ascii="Times New Roman" w:hAnsi="Times New Roman"/>
        <w:b w:val="0"/>
        <w:i w:val="0"/>
        <w:sz w:val="24"/>
      </w:rPr>
    </w:lvl>
    <w:lvl w:ilvl="6">
      <w:start w:val="1"/>
      <w:numFmt w:val="none"/>
      <w:lvlText w:val="%7"/>
      <w:lvlJc w:val="left"/>
      <w:pPr>
        <w:tabs>
          <w:tab w:val="num" w:pos="1417"/>
        </w:tabs>
        <w:ind w:left="1417" w:hanging="708"/>
      </w:pPr>
      <w:rPr>
        <w:rFonts w:ascii="Times New Roman" w:hAnsi="Times New Roman"/>
        <w:b w:val="0"/>
        <w:i w:val="0"/>
        <w:sz w:val="24"/>
      </w:rPr>
    </w:lvl>
    <w:lvl w:ilvl="7">
      <w:start w:val="1"/>
      <w:numFmt w:val="none"/>
      <w:lvlText w:val="%8"/>
      <w:lvlJc w:val="left"/>
      <w:pPr>
        <w:tabs>
          <w:tab w:val="num" w:pos="1417"/>
        </w:tabs>
        <w:ind w:left="1417" w:hanging="708"/>
      </w:pPr>
      <w:rPr>
        <w:rFonts w:ascii="Times New Roman" w:hAnsi="Times New Roman"/>
        <w:b w:val="0"/>
        <w:i w:val="0"/>
        <w:sz w:val="24"/>
      </w:rPr>
    </w:lvl>
    <w:lvl w:ilvl="8">
      <w:start w:val="1"/>
      <w:numFmt w:val="none"/>
      <w:lvlText w:val="%9"/>
      <w:lvlJc w:val="left"/>
      <w:pPr>
        <w:tabs>
          <w:tab w:val="num" w:pos="1417"/>
        </w:tabs>
        <w:ind w:left="1417" w:hanging="708"/>
      </w:pPr>
      <w:rPr>
        <w:rFonts w:ascii="Times New Roman" w:hAnsi="Times New Roman"/>
        <w:b w:val="0"/>
        <w:i w:val="0"/>
        <w:sz w:val="24"/>
      </w:rPr>
    </w:lvl>
  </w:abstractNum>
  <w:abstractNum w:abstractNumId="23">
    <w:nsid w:val="60A601F6"/>
    <w:multiLevelType w:val="hybridMultilevel"/>
    <w:tmpl w:val="DF7AD1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B0D1401"/>
    <w:multiLevelType w:val="hybridMultilevel"/>
    <w:tmpl w:val="36F0F764"/>
    <w:lvl w:ilvl="0" w:tplc="0F661C98">
      <w:start w:val="4"/>
      <w:numFmt w:val="lowerLetter"/>
      <w:lvlText w:val="(%1)"/>
      <w:lvlJc w:val="left"/>
      <w:pPr>
        <w:ind w:left="756" w:hanging="720"/>
      </w:pPr>
      <w:rPr>
        <w:rFonts w:hint="default"/>
      </w:rPr>
    </w:lvl>
    <w:lvl w:ilvl="1" w:tplc="0C090019" w:tentative="1">
      <w:start w:val="1"/>
      <w:numFmt w:val="lowerLetter"/>
      <w:lvlText w:val="%2."/>
      <w:lvlJc w:val="left"/>
      <w:pPr>
        <w:ind w:left="1116" w:hanging="360"/>
      </w:pPr>
    </w:lvl>
    <w:lvl w:ilvl="2" w:tplc="0C09001B" w:tentative="1">
      <w:start w:val="1"/>
      <w:numFmt w:val="lowerRoman"/>
      <w:lvlText w:val="%3."/>
      <w:lvlJc w:val="right"/>
      <w:pPr>
        <w:ind w:left="1836" w:hanging="180"/>
      </w:pPr>
    </w:lvl>
    <w:lvl w:ilvl="3" w:tplc="0C09000F" w:tentative="1">
      <w:start w:val="1"/>
      <w:numFmt w:val="decimal"/>
      <w:lvlText w:val="%4."/>
      <w:lvlJc w:val="left"/>
      <w:pPr>
        <w:ind w:left="2556" w:hanging="360"/>
      </w:pPr>
    </w:lvl>
    <w:lvl w:ilvl="4" w:tplc="0C090019" w:tentative="1">
      <w:start w:val="1"/>
      <w:numFmt w:val="lowerLetter"/>
      <w:lvlText w:val="%5."/>
      <w:lvlJc w:val="left"/>
      <w:pPr>
        <w:ind w:left="3276" w:hanging="360"/>
      </w:pPr>
    </w:lvl>
    <w:lvl w:ilvl="5" w:tplc="0C09001B" w:tentative="1">
      <w:start w:val="1"/>
      <w:numFmt w:val="lowerRoman"/>
      <w:lvlText w:val="%6."/>
      <w:lvlJc w:val="right"/>
      <w:pPr>
        <w:ind w:left="3996" w:hanging="180"/>
      </w:pPr>
    </w:lvl>
    <w:lvl w:ilvl="6" w:tplc="0C09000F" w:tentative="1">
      <w:start w:val="1"/>
      <w:numFmt w:val="decimal"/>
      <w:lvlText w:val="%7."/>
      <w:lvlJc w:val="left"/>
      <w:pPr>
        <w:ind w:left="4716" w:hanging="360"/>
      </w:pPr>
    </w:lvl>
    <w:lvl w:ilvl="7" w:tplc="0C090019" w:tentative="1">
      <w:start w:val="1"/>
      <w:numFmt w:val="lowerLetter"/>
      <w:lvlText w:val="%8."/>
      <w:lvlJc w:val="left"/>
      <w:pPr>
        <w:ind w:left="5436" w:hanging="360"/>
      </w:pPr>
    </w:lvl>
    <w:lvl w:ilvl="8" w:tplc="0C09001B" w:tentative="1">
      <w:start w:val="1"/>
      <w:numFmt w:val="lowerRoman"/>
      <w:lvlText w:val="%9."/>
      <w:lvlJc w:val="right"/>
      <w:pPr>
        <w:ind w:left="6156" w:hanging="180"/>
      </w:pPr>
    </w:lvl>
  </w:abstractNum>
  <w:abstractNum w:abstractNumId="25">
    <w:nsid w:val="7372211C"/>
    <w:multiLevelType w:val="singleLevel"/>
    <w:tmpl w:val="C10C5AD0"/>
    <w:lvl w:ilvl="0">
      <w:start w:val="1"/>
      <w:numFmt w:val="decimal"/>
      <w:pStyle w:val="Normal-Numbered"/>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6"/>
  </w:num>
  <w:num w:numId="3">
    <w:abstractNumId w:val="19"/>
  </w:num>
  <w:num w:numId="4">
    <w:abstractNumId w:val="12"/>
  </w:num>
  <w:num w:numId="5">
    <w:abstractNumId w:val="17"/>
  </w:num>
  <w:num w:numId="6">
    <w:abstractNumId w:val="18"/>
  </w:num>
  <w:num w:numId="7">
    <w:abstractNumId w:val="25"/>
  </w:num>
  <w:num w:numId="8">
    <w:abstractNumId w:val="23"/>
  </w:num>
  <w:num w:numId="9">
    <w:abstractNumId w:val="9"/>
  </w:num>
  <w:num w:numId="10">
    <w:abstractNumId w:val="10"/>
  </w:num>
  <w:num w:numId="11">
    <w:abstractNumId w:val="18"/>
  </w:num>
  <w:num w:numId="12">
    <w:abstractNumId w:val="13"/>
  </w:num>
  <w:num w:numId="13">
    <w:abstractNumId w:val="4"/>
  </w:num>
  <w:num w:numId="14">
    <w:abstractNumId w:val="3"/>
  </w:num>
  <w:num w:numId="15">
    <w:abstractNumId w:val="1"/>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24"/>
  </w:num>
  <w:num w:numId="27">
    <w:abstractNumId w:val="21"/>
  </w:num>
  <w:num w:numId="28">
    <w:abstractNumId w:val="8"/>
  </w:num>
  <w:num w:numId="29">
    <w:abstractNumId w:val="2"/>
  </w:num>
  <w:num w:numId="30">
    <w:abstractNumId w:val="18"/>
  </w:num>
  <w:num w:numId="31">
    <w:abstractNumId w:val="15"/>
    <w:lvlOverride w:ilvl="0">
      <w:startOverride w:val="1"/>
    </w:lvlOverride>
  </w:num>
  <w:num w:numId="32">
    <w:abstractNumId w:val="20"/>
  </w:num>
  <w:num w:numId="33">
    <w:abstractNumId w:val="5"/>
  </w:num>
  <w:num w:numId="34">
    <w:abstractNumId w:val="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CONTEXT.3436\AER13 1667  VIC gas access arrangement review 2012 - multiple issues addressed  - AER access arrangement -  - SP AusNet - Part B.DOC"/>
  </w:docVars>
  <w:rsids>
    <w:rsidRoot w:val="000426D0"/>
    <w:rsid w:val="00001987"/>
    <w:rsid w:val="00002E6E"/>
    <w:rsid w:val="00006B0F"/>
    <w:rsid w:val="000112E2"/>
    <w:rsid w:val="00021CC5"/>
    <w:rsid w:val="00025E45"/>
    <w:rsid w:val="0002660B"/>
    <w:rsid w:val="000328F1"/>
    <w:rsid w:val="0003408D"/>
    <w:rsid w:val="000352B1"/>
    <w:rsid w:val="00035B92"/>
    <w:rsid w:val="00041DD2"/>
    <w:rsid w:val="000424A1"/>
    <w:rsid w:val="000426D0"/>
    <w:rsid w:val="00043128"/>
    <w:rsid w:val="00054315"/>
    <w:rsid w:val="000601A4"/>
    <w:rsid w:val="00060F5C"/>
    <w:rsid w:val="00065651"/>
    <w:rsid w:val="00072804"/>
    <w:rsid w:val="00072CE3"/>
    <w:rsid w:val="00075271"/>
    <w:rsid w:val="000807CF"/>
    <w:rsid w:val="00085002"/>
    <w:rsid w:val="00095FF2"/>
    <w:rsid w:val="0009609B"/>
    <w:rsid w:val="000A0B8A"/>
    <w:rsid w:val="000A4FC9"/>
    <w:rsid w:val="000A5E11"/>
    <w:rsid w:val="000C0ABD"/>
    <w:rsid w:val="000C30F5"/>
    <w:rsid w:val="000D773B"/>
    <w:rsid w:val="000E03A8"/>
    <w:rsid w:val="000E3017"/>
    <w:rsid w:val="000F1D28"/>
    <w:rsid w:val="000F527E"/>
    <w:rsid w:val="00104968"/>
    <w:rsid w:val="0010650C"/>
    <w:rsid w:val="00107EF8"/>
    <w:rsid w:val="001151B6"/>
    <w:rsid w:val="00124339"/>
    <w:rsid w:val="00133A37"/>
    <w:rsid w:val="00133C67"/>
    <w:rsid w:val="0013430D"/>
    <w:rsid w:val="00135E87"/>
    <w:rsid w:val="001360CF"/>
    <w:rsid w:val="00136556"/>
    <w:rsid w:val="001374B0"/>
    <w:rsid w:val="00145338"/>
    <w:rsid w:val="00146A27"/>
    <w:rsid w:val="001626D5"/>
    <w:rsid w:val="001652EA"/>
    <w:rsid w:val="00167079"/>
    <w:rsid w:val="0017088D"/>
    <w:rsid w:val="00176824"/>
    <w:rsid w:val="001772A3"/>
    <w:rsid w:val="00185982"/>
    <w:rsid w:val="00190911"/>
    <w:rsid w:val="001970DD"/>
    <w:rsid w:val="001B1278"/>
    <w:rsid w:val="001C0E9E"/>
    <w:rsid w:val="001C1B33"/>
    <w:rsid w:val="001C5A1B"/>
    <w:rsid w:val="001C7ABC"/>
    <w:rsid w:val="001E5F2A"/>
    <w:rsid w:val="00200696"/>
    <w:rsid w:val="00211DDB"/>
    <w:rsid w:val="0021432A"/>
    <w:rsid w:val="002170D9"/>
    <w:rsid w:val="00217EB0"/>
    <w:rsid w:val="00221279"/>
    <w:rsid w:val="0022539B"/>
    <w:rsid w:val="00230125"/>
    <w:rsid w:val="00260252"/>
    <w:rsid w:val="00270F94"/>
    <w:rsid w:val="00272628"/>
    <w:rsid w:val="00272998"/>
    <w:rsid w:val="002815FF"/>
    <w:rsid w:val="002852E7"/>
    <w:rsid w:val="00291253"/>
    <w:rsid w:val="002A5F28"/>
    <w:rsid w:val="002A772B"/>
    <w:rsid w:val="002B4D21"/>
    <w:rsid w:val="002B7647"/>
    <w:rsid w:val="002C5F9F"/>
    <w:rsid w:val="002D2DC9"/>
    <w:rsid w:val="002D5165"/>
    <w:rsid w:val="002E1923"/>
    <w:rsid w:val="002E2733"/>
    <w:rsid w:val="002F79F6"/>
    <w:rsid w:val="0031487E"/>
    <w:rsid w:val="0032052F"/>
    <w:rsid w:val="0032069F"/>
    <w:rsid w:val="00335FCB"/>
    <w:rsid w:val="00336475"/>
    <w:rsid w:val="003376E4"/>
    <w:rsid w:val="00342B66"/>
    <w:rsid w:val="003456A5"/>
    <w:rsid w:val="0035628B"/>
    <w:rsid w:val="00364A8A"/>
    <w:rsid w:val="0036517B"/>
    <w:rsid w:val="003722D4"/>
    <w:rsid w:val="0037690D"/>
    <w:rsid w:val="003848CB"/>
    <w:rsid w:val="0038595C"/>
    <w:rsid w:val="00387084"/>
    <w:rsid w:val="00390780"/>
    <w:rsid w:val="00390FCF"/>
    <w:rsid w:val="003A00FA"/>
    <w:rsid w:val="003A0E4C"/>
    <w:rsid w:val="003A1A47"/>
    <w:rsid w:val="003A4ADC"/>
    <w:rsid w:val="003B778B"/>
    <w:rsid w:val="003C4C56"/>
    <w:rsid w:val="003D2487"/>
    <w:rsid w:val="003D539F"/>
    <w:rsid w:val="003E064F"/>
    <w:rsid w:val="003E1867"/>
    <w:rsid w:val="003E2CEC"/>
    <w:rsid w:val="003E406F"/>
    <w:rsid w:val="003E5924"/>
    <w:rsid w:val="003F09D4"/>
    <w:rsid w:val="003F28DE"/>
    <w:rsid w:val="003F4412"/>
    <w:rsid w:val="003F49B1"/>
    <w:rsid w:val="00401B2C"/>
    <w:rsid w:val="00406570"/>
    <w:rsid w:val="00407CAE"/>
    <w:rsid w:val="00412743"/>
    <w:rsid w:val="00413BC4"/>
    <w:rsid w:val="00420CE4"/>
    <w:rsid w:val="00424F50"/>
    <w:rsid w:val="00427EEA"/>
    <w:rsid w:val="00433230"/>
    <w:rsid w:val="00442D63"/>
    <w:rsid w:val="00454351"/>
    <w:rsid w:val="00454371"/>
    <w:rsid w:val="00454A07"/>
    <w:rsid w:val="0045530F"/>
    <w:rsid w:val="004574EF"/>
    <w:rsid w:val="00460BFC"/>
    <w:rsid w:val="00464987"/>
    <w:rsid w:val="0046606A"/>
    <w:rsid w:val="00467127"/>
    <w:rsid w:val="0047431D"/>
    <w:rsid w:val="00477D0D"/>
    <w:rsid w:val="00480CAA"/>
    <w:rsid w:val="00482DBD"/>
    <w:rsid w:val="004860BB"/>
    <w:rsid w:val="00490D8A"/>
    <w:rsid w:val="00491847"/>
    <w:rsid w:val="00493807"/>
    <w:rsid w:val="004975E7"/>
    <w:rsid w:val="004A34B7"/>
    <w:rsid w:val="004A49D9"/>
    <w:rsid w:val="004B09BA"/>
    <w:rsid w:val="004B17B3"/>
    <w:rsid w:val="004B542D"/>
    <w:rsid w:val="004C7704"/>
    <w:rsid w:val="004D1BD1"/>
    <w:rsid w:val="004D43AC"/>
    <w:rsid w:val="004E0DAA"/>
    <w:rsid w:val="004F3D50"/>
    <w:rsid w:val="004F74CF"/>
    <w:rsid w:val="005055D8"/>
    <w:rsid w:val="00507C39"/>
    <w:rsid w:val="00512724"/>
    <w:rsid w:val="005203D3"/>
    <w:rsid w:val="005204EC"/>
    <w:rsid w:val="00520A68"/>
    <w:rsid w:val="00521B0D"/>
    <w:rsid w:val="00530087"/>
    <w:rsid w:val="005318E6"/>
    <w:rsid w:val="00533F4D"/>
    <w:rsid w:val="0053770F"/>
    <w:rsid w:val="0055110E"/>
    <w:rsid w:val="0055226A"/>
    <w:rsid w:val="00566C98"/>
    <w:rsid w:val="0057167E"/>
    <w:rsid w:val="00573DE5"/>
    <w:rsid w:val="0057547A"/>
    <w:rsid w:val="005863E8"/>
    <w:rsid w:val="00587C1E"/>
    <w:rsid w:val="00595005"/>
    <w:rsid w:val="00596E90"/>
    <w:rsid w:val="005A70D0"/>
    <w:rsid w:val="005B0044"/>
    <w:rsid w:val="005C1427"/>
    <w:rsid w:val="005C23C6"/>
    <w:rsid w:val="005C44D0"/>
    <w:rsid w:val="005C6082"/>
    <w:rsid w:val="005E3BA3"/>
    <w:rsid w:val="005E629E"/>
    <w:rsid w:val="005F1A23"/>
    <w:rsid w:val="005F286B"/>
    <w:rsid w:val="00601697"/>
    <w:rsid w:val="006079FC"/>
    <w:rsid w:val="006111DF"/>
    <w:rsid w:val="00612757"/>
    <w:rsid w:val="0061662E"/>
    <w:rsid w:val="006166C2"/>
    <w:rsid w:val="0062279B"/>
    <w:rsid w:val="00626EDB"/>
    <w:rsid w:val="00630F23"/>
    <w:rsid w:val="00647592"/>
    <w:rsid w:val="00662878"/>
    <w:rsid w:val="006664FC"/>
    <w:rsid w:val="00682578"/>
    <w:rsid w:val="00685AFA"/>
    <w:rsid w:val="006929AA"/>
    <w:rsid w:val="00692CB6"/>
    <w:rsid w:val="00693BB8"/>
    <w:rsid w:val="006A3046"/>
    <w:rsid w:val="006A3CF3"/>
    <w:rsid w:val="006B6015"/>
    <w:rsid w:val="006B6EBE"/>
    <w:rsid w:val="006C5C7E"/>
    <w:rsid w:val="006C6386"/>
    <w:rsid w:val="006D4312"/>
    <w:rsid w:val="006E1E04"/>
    <w:rsid w:val="006F17AA"/>
    <w:rsid w:val="006F6F16"/>
    <w:rsid w:val="00701971"/>
    <w:rsid w:val="00711D19"/>
    <w:rsid w:val="00713A1C"/>
    <w:rsid w:val="00720FF9"/>
    <w:rsid w:val="00724FFD"/>
    <w:rsid w:val="00726B69"/>
    <w:rsid w:val="00727818"/>
    <w:rsid w:val="00731AB5"/>
    <w:rsid w:val="00736088"/>
    <w:rsid w:val="00741633"/>
    <w:rsid w:val="007431CD"/>
    <w:rsid w:val="00744E5C"/>
    <w:rsid w:val="007503D7"/>
    <w:rsid w:val="00761EAB"/>
    <w:rsid w:val="007626B9"/>
    <w:rsid w:val="00764E98"/>
    <w:rsid w:val="00765A34"/>
    <w:rsid w:val="0077656F"/>
    <w:rsid w:val="0078206F"/>
    <w:rsid w:val="00790BDB"/>
    <w:rsid w:val="00792C41"/>
    <w:rsid w:val="00797A09"/>
    <w:rsid w:val="007A7018"/>
    <w:rsid w:val="007B234A"/>
    <w:rsid w:val="007C4842"/>
    <w:rsid w:val="007C602D"/>
    <w:rsid w:val="007D0390"/>
    <w:rsid w:val="007D4E17"/>
    <w:rsid w:val="007D7841"/>
    <w:rsid w:val="007E4286"/>
    <w:rsid w:val="007E53A0"/>
    <w:rsid w:val="007E7ED9"/>
    <w:rsid w:val="007F078F"/>
    <w:rsid w:val="007F0FD0"/>
    <w:rsid w:val="0080012C"/>
    <w:rsid w:val="00800DF2"/>
    <w:rsid w:val="00801B02"/>
    <w:rsid w:val="00813BBE"/>
    <w:rsid w:val="0081646A"/>
    <w:rsid w:val="00817252"/>
    <w:rsid w:val="00817B46"/>
    <w:rsid w:val="00824331"/>
    <w:rsid w:val="00830032"/>
    <w:rsid w:val="00840EB9"/>
    <w:rsid w:val="00841751"/>
    <w:rsid w:val="00851099"/>
    <w:rsid w:val="00854DBE"/>
    <w:rsid w:val="008624FC"/>
    <w:rsid w:val="008628BE"/>
    <w:rsid w:val="0086669A"/>
    <w:rsid w:val="00870A78"/>
    <w:rsid w:val="00874D24"/>
    <w:rsid w:val="008876F7"/>
    <w:rsid w:val="00893E40"/>
    <w:rsid w:val="008A14B6"/>
    <w:rsid w:val="008A35AC"/>
    <w:rsid w:val="008A4E79"/>
    <w:rsid w:val="008A599C"/>
    <w:rsid w:val="008B620F"/>
    <w:rsid w:val="008E1C5A"/>
    <w:rsid w:val="008E7C21"/>
    <w:rsid w:val="008F0399"/>
    <w:rsid w:val="008F2568"/>
    <w:rsid w:val="008F6BB2"/>
    <w:rsid w:val="0090080B"/>
    <w:rsid w:val="00900D3D"/>
    <w:rsid w:val="00902FD6"/>
    <w:rsid w:val="00905648"/>
    <w:rsid w:val="00915B96"/>
    <w:rsid w:val="00921EC0"/>
    <w:rsid w:val="00931AE9"/>
    <w:rsid w:val="00933B3C"/>
    <w:rsid w:val="009355D4"/>
    <w:rsid w:val="009368A6"/>
    <w:rsid w:val="00963914"/>
    <w:rsid w:val="009657F9"/>
    <w:rsid w:val="00966759"/>
    <w:rsid w:val="00972EAF"/>
    <w:rsid w:val="009954D7"/>
    <w:rsid w:val="009A2502"/>
    <w:rsid w:val="009C4083"/>
    <w:rsid w:val="009C6EDC"/>
    <w:rsid w:val="009D7ABF"/>
    <w:rsid w:val="009E488B"/>
    <w:rsid w:val="009E7354"/>
    <w:rsid w:val="009F27C6"/>
    <w:rsid w:val="009F54F5"/>
    <w:rsid w:val="009F760E"/>
    <w:rsid w:val="00A10F64"/>
    <w:rsid w:val="00A1421C"/>
    <w:rsid w:val="00A14511"/>
    <w:rsid w:val="00A160EF"/>
    <w:rsid w:val="00A177E8"/>
    <w:rsid w:val="00A23A7E"/>
    <w:rsid w:val="00A36420"/>
    <w:rsid w:val="00A4013D"/>
    <w:rsid w:val="00A43809"/>
    <w:rsid w:val="00A56E06"/>
    <w:rsid w:val="00A670D9"/>
    <w:rsid w:val="00A72727"/>
    <w:rsid w:val="00A810B1"/>
    <w:rsid w:val="00A83CD6"/>
    <w:rsid w:val="00A86117"/>
    <w:rsid w:val="00AA13C3"/>
    <w:rsid w:val="00AA1EA3"/>
    <w:rsid w:val="00AB7B51"/>
    <w:rsid w:val="00AC2F56"/>
    <w:rsid w:val="00AC4AC2"/>
    <w:rsid w:val="00AC77D9"/>
    <w:rsid w:val="00AD0909"/>
    <w:rsid w:val="00AD72FD"/>
    <w:rsid w:val="00AE4D0D"/>
    <w:rsid w:val="00B06C64"/>
    <w:rsid w:val="00B25670"/>
    <w:rsid w:val="00B26437"/>
    <w:rsid w:val="00B27070"/>
    <w:rsid w:val="00B36ED3"/>
    <w:rsid w:val="00B47D86"/>
    <w:rsid w:val="00B537C3"/>
    <w:rsid w:val="00B650CC"/>
    <w:rsid w:val="00B66BE8"/>
    <w:rsid w:val="00B67931"/>
    <w:rsid w:val="00B71E72"/>
    <w:rsid w:val="00B738B7"/>
    <w:rsid w:val="00B75833"/>
    <w:rsid w:val="00B80327"/>
    <w:rsid w:val="00B807AF"/>
    <w:rsid w:val="00B86763"/>
    <w:rsid w:val="00B8785D"/>
    <w:rsid w:val="00B926C8"/>
    <w:rsid w:val="00BA375C"/>
    <w:rsid w:val="00BA446A"/>
    <w:rsid w:val="00BA7437"/>
    <w:rsid w:val="00BB29AA"/>
    <w:rsid w:val="00BB4568"/>
    <w:rsid w:val="00BB6BA2"/>
    <w:rsid w:val="00BC34B4"/>
    <w:rsid w:val="00BC7E2C"/>
    <w:rsid w:val="00BD1292"/>
    <w:rsid w:val="00BD194E"/>
    <w:rsid w:val="00BD1C0D"/>
    <w:rsid w:val="00BD666B"/>
    <w:rsid w:val="00BF0475"/>
    <w:rsid w:val="00BF0A24"/>
    <w:rsid w:val="00BF12C6"/>
    <w:rsid w:val="00BF1476"/>
    <w:rsid w:val="00BF5A04"/>
    <w:rsid w:val="00C0301C"/>
    <w:rsid w:val="00C05867"/>
    <w:rsid w:val="00C15DA0"/>
    <w:rsid w:val="00C21C29"/>
    <w:rsid w:val="00C35882"/>
    <w:rsid w:val="00C418DC"/>
    <w:rsid w:val="00C41F6E"/>
    <w:rsid w:val="00C51A6D"/>
    <w:rsid w:val="00C527A6"/>
    <w:rsid w:val="00C70ABD"/>
    <w:rsid w:val="00C72720"/>
    <w:rsid w:val="00C8004A"/>
    <w:rsid w:val="00C976B1"/>
    <w:rsid w:val="00C97747"/>
    <w:rsid w:val="00CA4B75"/>
    <w:rsid w:val="00CA4F24"/>
    <w:rsid w:val="00CA4F9F"/>
    <w:rsid w:val="00CA739C"/>
    <w:rsid w:val="00CB15C7"/>
    <w:rsid w:val="00CB2B31"/>
    <w:rsid w:val="00CC181C"/>
    <w:rsid w:val="00CD009C"/>
    <w:rsid w:val="00CD3756"/>
    <w:rsid w:val="00CD7032"/>
    <w:rsid w:val="00CE5CFF"/>
    <w:rsid w:val="00CF1900"/>
    <w:rsid w:val="00CF1AD3"/>
    <w:rsid w:val="00CF3C53"/>
    <w:rsid w:val="00CF3EB4"/>
    <w:rsid w:val="00CF5A5A"/>
    <w:rsid w:val="00D04856"/>
    <w:rsid w:val="00D07466"/>
    <w:rsid w:val="00D11CAA"/>
    <w:rsid w:val="00D1432F"/>
    <w:rsid w:val="00D16A51"/>
    <w:rsid w:val="00D16CC8"/>
    <w:rsid w:val="00D17D83"/>
    <w:rsid w:val="00D218B6"/>
    <w:rsid w:val="00D23939"/>
    <w:rsid w:val="00D264ED"/>
    <w:rsid w:val="00D37A39"/>
    <w:rsid w:val="00D41010"/>
    <w:rsid w:val="00D42846"/>
    <w:rsid w:val="00D463AE"/>
    <w:rsid w:val="00D51DE8"/>
    <w:rsid w:val="00D52043"/>
    <w:rsid w:val="00D53684"/>
    <w:rsid w:val="00D562D0"/>
    <w:rsid w:val="00D57E5D"/>
    <w:rsid w:val="00D62770"/>
    <w:rsid w:val="00D62FBB"/>
    <w:rsid w:val="00D64C97"/>
    <w:rsid w:val="00D70970"/>
    <w:rsid w:val="00D7141F"/>
    <w:rsid w:val="00D7333E"/>
    <w:rsid w:val="00D87C91"/>
    <w:rsid w:val="00D91E74"/>
    <w:rsid w:val="00D925D0"/>
    <w:rsid w:val="00DA1C72"/>
    <w:rsid w:val="00DA3004"/>
    <w:rsid w:val="00DA4368"/>
    <w:rsid w:val="00DB4B29"/>
    <w:rsid w:val="00DC1773"/>
    <w:rsid w:val="00DD02A9"/>
    <w:rsid w:val="00DD1179"/>
    <w:rsid w:val="00DD1D73"/>
    <w:rsid w:val="00DD3FBF"/>
    <w:rsid w:val="00DD5194"/>
    <w:rsid w:val="00DD71C8"/>
    <w:rsid w:val="00DE76E5"/>
    <w:rsid w:val="00DE7D71"/>
    <w:rsid w:val="00DF64C8"/>
    <w:rsid w:val="00E04241"/>
    <w:rsid w:val="00E0557C"/>
    <w:rsid w:val="00E06871"/>
    <w:rsid w:val="00E17807"/>
    <w:rsid w:val="00E2213F"/>
    <w:rsid w:val="00E2474F"/>
    <w:rsid w:val="00E30C56"/>
    <w:rsid w:val="00E349D3"/>
    <w:rsid w:val="00E35D1D"/>
    <w:rsid w:val="00E4108D"/>
    <w:rsid w:val="00E53972"/>
    <w:rsid w:val="00E5659E"/>
    <w:rsid w:val="00E56B30"/>
    <w:rsid w:val="00E57FFD"/>
    <w:rsid w:val="00E701DB"/>
    <w:rsid w:val="00E70767"/>
    <w:rsid w:val="00E70B7E"/>
    <w:rsid w:val="00E715BF"/>
    <w:rsid w:val="00E7785B"/>
    <w:rsid w:val="00E80A43"/>
    <w:rsid w:val="00E80CF3"/>
    <w:rsid w:val="00E90306"/>
    <w:rsid w:val="00E957BE"/>
    <w:rsid w:val="00EA3614"/>
    <w:rsid w:val="00EA3813"/>
    <w:rsid w:val="00EB54F1"/>
    <w:rsid w:val="00EB5B20"/>
    <w:rsid w:val="00EC142A"/>
    <w:rsid w:val="00EC714B"/>
    <w:rsid w:val="00ED2B47"/>
    <w:rsid w:val="00EE234C"/>
    <w:rsid w:val="00EF1CDE"/>
    <w:rsid w:val="00EF3328"/>
    <w:rsid w:val="00EF3842"/>
    <w:rsid w:val="00EF755C"/>
    <w:rsid w:val="00F020A3"/>
    <w:rsid w:val="00F02D2E"/>
    <w:rsid w:val="00F047DF"/>
    <w:rsid w:val="00F072E4"/>
    <w:rsid w:val="00F1221A"/>
    <w:rsid w:val="00F21270"/>
    <w:rsid w:val="00F235FB"/>
    <w:rsid w:val="00F27015"/>
    <w:rsid w:val="00F27AB7"/>
    <w:rsid w:val="00F31C59"/>
    <w:rsid w:val="00F37D64"/>
    <w:rsid w:val="00F44202"/>
    <w:rsid w:val="00F50F12"/>
    <w:rsid w:val="00F57D9B"/>
    <w:rsid w:val="00F67895"/>
    <w:rsid w:val="00F75A1F"/>
    <w:rsid w:val="00F7668E"/>
    <w:rsid w:val="00F80A88"/>
    <w:rsid w:val="00F84145"/>
    <w:rsid w:val="00F9024A"/>
    <w:rsid w:val="00F90C53"/>
    <w:rsid w:val="00F91EF2"/>
    <w:rsid w:val="00F966AB"/>
    <w:rsid w:val="00FA23F0"/>
    <w:rsid w:val="00FA4025"/>
    <w:rsid w:val="00FA405D"/>
    <w:rsid w:val="00FA7284"/>
    <w:rsid w:val="00FC4015"/>
    <w:rsid w:val="00FC6577"/>
    <w:rsid w:val="00FD3000"/>
    <w:rsid w:val="00FD37C6"/>
    <w:rsid w:val="00FD5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82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C7"/>
    <w:pPr>
      <w:spacing w:before="60" w:after="60"/>
      <w:jc w:val="both"/>
    </w:pPr>
    <w:rPr>
      <w:rFonts w:ascii="Arial" w:hAnsi="Arial"/>
      <w:spacing w:val="-5"/>
      <w:sz w:val="22"/>
      <w:lang w:eastAsia="en-US"/>
    </w:rPr>
  </w:style>
  <w:style w:type="paragraph" w:styleId="Heading1">
    <w:name w:val="heading 1"/>
    <w:basedOn w:val="HeadingBase"/>
    <w:next w:val="BodyText"/>
    <w:link w:val="Heading1Char"/>
    <w:autoRedefine/>
    <w:qFormat/>
    <w:rsid w:val="008A599C"/>
    <w:pPr>
      <w:numPr>
        <w:numId w:val="6"/>
      </w:numPr>
      <w:pBdr>
        <w:top w:val="single" w:sz="48" w:space="3" w:color="FFFFFF"/>
        <w:left w:val="single" w:sz="6" w:space="3" w:color="FFFFFF"/>
        <w:bottom w:val="single" w:sz="6" w:space="3" w:color="FFFFFF"/>
      </w:pBdr>
      <w:shd w:val="clear" w:color="auto" w:fill="C0C0C0"/>
      <w:tabs>
        <w:tab w:val="left" w:pos="720"/>
      </w:tabs>
      <w:spacing w:before="120" w:after="240" w:line="240" w:lineRule="atLeast"/>
      <w:jc w:val="left"/>
      <w:outlineLvl w:val="0"/>
    </w:pPr>
    <w:rPr>
      <w:rFonts w:ascii="Arial Bold" w:hAnsi="Arial Bold"/>
      <w:b/>
      <w:color w:val="000080"/>
      <w:spacing w:val="-10"/>
      <w:kern w:val="20"/>
      <w:sz w:val="28"/>
    </w:rPr>
  </w:style>
  <w:style w:type="paragraph" w:styleId="Heading2">
    <w:name w:val="heading 2"/>
    <w:basedOn w:val="HeadingBase"/>
    <w:next w:val="Heading4"/>
    <w:autoRedefine/>
    <w:qFormat/>
    <w:rsid w:val="00035B92"/>
    <w:pPr>
      <w:numPr>
        <w:ilvl w:val="1"/>
        <w:numId w:val="6"/>
      </w:numPr>
      <w:shd w:val="clear" w:color="auto" w:fill="C0C0C0"/>
      <w:tabs>
        <w:tab w:val="clear" w:pos="648"/>
        <w:tab w:val="left" w:pos="720"/>
      </w:tabs>
      <w:spacing w:before="160" w:after="160" w:line="240" w:lineRule="atLeast"/>
      <w:jc w:val="left"/>
      <w:outlineLvl w:val="1"/>
    </w:pPr>
    <w:rPr>
      <w:rFonts w:ascii="Arial Bold" w:hAnsi="Arial Bold"/>
      <w:b/>
      <w:color w:val="000080"/>
      <w:spacing w:val="-15"/>
      <w:sz w:val="24"/>
    </w:rPr>
  </w:style>
  <w:style w:type="paragraph" w:styleId="Heading3">
    <w:name w:val="heading 3"/>
    <w:basedOn w:val="HeadingBase"/>
    <w:next w:val="BodyText"/>
    <w:autoRedefine/>
    <w:qFormat/>
    <w:rsid w:val="00595005"/>
    <w:pPr>
      <w:keepLines w:val="0"/>
      <w:numPr>
        <w:ilvl w:val="2"/>
        <w:numId w:val="6"/>
      </w:numPr>
      <w:tabs>
        <w:tab w:val="clear" w:pos="1440"/>
      </w:tabs>
      <w:spacing w:before="240" w:after="240" w:line="240" w:lineRule="atLeast"/>
      <w:ind w:left="734" w:hanging="734"/>
      <w:outlineLvl w:val="2"/>
    </w:pPr>
    <w:rPr>
      <w:spacing w:val="-10"/>
    </w:rPr>
  </w:style>
  <w:style w:type="paragraph" w:styleId="Heading4">
    <w:name w:val="heading 4"/>
    <w:basedOn w:val="BodyText"/>
    <w:link w:val="Heading4Char"/>
    <w:autoRedefine/>
    <w:qFormat/>
    <w:rsid w:val="006929AA"/>
    <w:pPr>
      <w:outlineLvl w:val="3"/>
    </w:pPr>
    <w:rPr>
      <w:bCs/>
    </w:r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spacing w:before="480" w:after="240" w:line="240" w:lineRule="atLeast"/>
      <w:ind w:left="0"/>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ind w:left="1080"/>
    </w:pPr>
    <w:rPr>
      <w:spacing w:val="-4"/>
      <w:kern w:val="28"/>
    </w:rPr>
  </w:style>
  <w:style w:type="paragraph" w:styleId="BodyText">
    <w:name w:val="Body Text"/>
    <w:basedOn w:val="Normal"/>
    <w:link w:val="BodyTextChar"/>
    <w:autoRedefine/>
    <w:rsid w:val="008A599C"/>
    <w:pPr>
      <w:ind w:left="720" w:hanging="720"/>
    </w:pPr>
    <w:rPr>
      <w:rFonts w:cs="Arial"/>
      <w:szCs w:val="24"/>
      <w:lang w:eastAsia="en-AU"/>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autoRedefine/>
    <w:pPr>
      <w:numPr>
        <w:numId w:val="4"/>
      </w:numPr>
    </w:pPr>
  </w:style>
  <w:style w:type="paragraph" w:customStyle="1" w:styleId="BodyTextKeep">
    <w:name w:val="Body Text Keep"/>
    <w:basedOn w:val="BodyText"/>
    <w:pPr>
      <w:keepNext/>
    </w:pPr>
  </w:style>
  <w:style w:type="paragraph" w:customStyle="1" w:styleId="Picture">
    <w:name w:val="Picture"/>
    <w:basedOn w:val="Normal"/>
    <w:next w:val="Caption"/>
    <w:pPr>
      <w:keepNext/>
      <w:ind w:left="1080"/>
    </w:pPr>
  </w:style>
  <w:style w:type="paragraph" w:styleId="Caption">
    <w:name w:val="caption"/>
    <w:basedOn w:val="Picture"/>
    <w:next w:val="BodyText"/>
    <w:pPr>
      <w:numPr>
        <w:numId w:val="1"/>
      </w:numPr>
      <w:spacing w:after="240" w:line="220" w:lineRule="atLeast"/>
    </w:pPr>
    <w:rPr>
      <w:rFonts w:ascii="Arial Narrow" w:hAnsi="Arial Narrow"/>
      <w:spacing w:val="0"/>
      <w:sz w:val="18"/>
    </w:rPr>
  </w:style>
  <w:style w:type="paragraph" w:customStyle="1" w:styleId="PartLabel">
    <w:name w:val="Part Label"/>
    <w:basedOn w:val="Normal"/>
    <w:autoRedefine/>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pPr>
      <w:shd w:val="clear" w:color="auto" w:fill="C0C0C0"/>
      <w:spacing w:line="360" w:lineRule="exact"/>
      <w:jc w:val="center"/>
    </w:pPr>
    <w:rPr>
      <w:rFonts w:ascii="Arial Bold" w:hAnsi="Arial Bold"/>
      <w:b/>
      <w:color w:val="000080"/>
      <w:spacing w:val="-40"/>
      <w:sz w:val="36"/>
    </w:rPr>
  </w:style>
  <w:style w:type="paragraph" w:styleId="Title">
    <w:name w:val="Title"/>
    <w:basedOn w:val="HeadingBase"/>
    <w:next w:val="Subtitle"/>
    <w:autoRedefine/>
    <w:qFormat/>
    <w:pPr>
      <w:pBdr>
        <w:top w:val="single" w:sz="6" w:space="16" w:color="auto"/>
      </w:pBdr>
      <w:spacing w:before="220" w:line="320" w:lineRule="atLeast"/>
      <w:ind w:left="0"/>
    </w:pPr>
    <w:rPr>
      <w:rFonts w:ascii="Arial Black" w:hAnsi="Arial Black"/>
      <w:color w:val="000080"/>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pPr>
      <w:spacing w:before="120" w:line="660" w:lineRule="exact"/>
    </w:pPr>
    <w:rPr>
      <w:rFonts w:ascii="Arial Bold" w:hAnsi="Arial Bold"/>
      <w:b/>
      <w:color w:val="000080"/>
      <w:spacing w:val="0"/>
      <w:sz w:val="36"/>
    </w:rPr>
  </w:style>
  <w:style w:type="character" w:styleId="CommentReference">
    <w:name w:val="annotation reference"/>
    <w:uiPriority w:val="99"/>
    <w:semiHidden/>
    <w:rPr>
      <w:rFonts w:ascii="Arial" w:hAnsi="Arial"/>
      <w:spacing w:val="0"/>
      <w:position w:val="0"/>
      <w:sz w:val="20"/>
    </w:rPr>
  </w:style>
  <w:style w:type="paragraph" w:customStyle="1" w:styleId="FootnoteBase">
    <w:name w:val="Footnote Base"/>
    <w:basedOn w:val="Normal"/>
    <w:pPr>
      <w:keepLines/>
      <w:spacing w:line="200" w:lineRule="atLeast"/>
      <w:ind w:left="1080"/>
    </w:pPr>
    <w:rPr>
      <w:sz w:val="16"/>
    </w:rPr>
  </w:style>
  <w:style w:type="paragraph" w:styleId="CommentText">
    <w:name w:val="annotation text"/>
    <w:basedOn w:val="FootnoteBase"/>
    <w:link w:val="CommentTextChar"/>
    <w:autoRedefine/>
    <w:uiPriority w:val="99"/>
    <w:rsid w:val="00467127"/>
    <w:pPr>
      <w:pBdr>
        <w:top w:val="single" w:sz="12" w:space="1" w:color="auto"/>
        <w:left w:val="single" w:sz="12" w:space="4" w:color="auto"/>
        <w:bottom w:val="single" w:sz="12" w:space="1" w:color="auto"/>
        <w:right w:val="single" w:sz="12" w:space="4" w:color="auto"/>
      </w:pBdr>
      <w:spacing w:before="120" w:after="120"/>
      <w:ind w:left="170"/>
    </w:pPr>
    <w:rPr>
      <w:sz w:val="22"/>
    </w:rPr>
  </w:style>
  <w:style w:type="paragraph" w:customStyle="1" w:styleId="TableText">
    <w:name w:val="Table Text"/>
    <w:basedOn w:val="Normal"/>
    <w:rPr>
      <w:spacing w:val="0"/>
      <w:sz w:val="20"/>
    </w:rPr>
  </w:style>
  <w:style w:type="paragraph" w:customStyle="1" w:styleId="TitleCover">
    <w:name w:val="Title Cover"/>
    <w:basedOn w:val="HeadingBase"/>
    <w:next w:val="Normal"/>
    <w:autoRedefine/>
    <w:pPr>
      <w:pBdr>
        <w:top w:val="single" w:sz="36" w:space="31" w:color="CC0000"/>
      </w:pBdr>
      <w:tabs>
        <w:tab w:val="left" w:pos="0"/>
      </w:tabs>
      <w:spacing w:before="240" w:after="500" w:line="640" w:lineRule="exact"/>
      <w:ind w:left="0"/>
      <w:jc w:val="right"/>
    </w:pPr>
    <w:rPr>
      <w:rFonts w:ascii="Arial Bold" w:hAnsi="Arial Bold"/>
      <w:b/>
      <w:color w:val="333399"/>
      <w:spacing w:val="-48"/>
      <w:sz w:val="64"/>
    </w:rPr>
  </w:style>
  <w:style w:type="paragraph" w:customStyle="1" w:styleId="DocumentLabel">
    <w:name w:val="Document Label"/>
    <w:basedOn w:val="TitleCover"/>
    <w:autoRedefine/>
    <w:rPr>
      <w:sz w:val="40"/>
    </w:rPr>
  </w:style>
  <w:style w:type="character" w:styleId="Emphasis">
    <w:name w:val="Emphasis"/>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link w:val="FooterChar"/>
    <w:autoRedefine/>
    <w:pPr>
      <w:pBdr>
        <w:top w:val="single" w:sz="4" w:space="1" w:color="auto"/>
      </w:pBdr>
      <w:tabs>
        <w:tab w:val="clear" w:pos="4320"/>
        <w:tab w:val="clear" w:pos="8640"/>
        <w:tab w:val="center" w:pos="4680"/>
        <w:tab w:val="right" w:pos="9356"/>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iPriority w:val="99"/>
    <w:rPr>
      <w:vertAlign w:val="superscript"/>
    </w:rPr>
  </w:style>
  <w:style w:type="paragraph" w:styleId="FootnoteText">
    <w:name w:val="footnote text"/>
    <w:basedOn w:val="FootnoteBase"/>
    <w:semiHidden/>
  </w:style>
  <w:style w:type="paragraph" w:styleId="Header">
    <w:name w:val="header"/>
    <w:basedOn w:val="HeaderBase"/>
    <w:link w:val="HeaderCha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rsid w:val="006A3CF3"/>
    <w:pPr>
      <w:numPr>
        <w:ilvl w:val="1"/>
        <w:numId w:val="2"/>
      </w:numPr>
      <w:tabs>
        <w:tab w:val="clear" w:pos="1440"/>
      </w:tabs>
      <w:spacing w:before="120" w:after="120" w:line="280" w:lineRule="atLeast"/>
      <w:jc w:val="left"/>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autoRedefine/>
    <w:pPr>
      <w:shd w:val="clear" w:color="auto" w:fill="E0E0E0"/>
      <w:jc w:val="center"/>
    </w:pPr>
    <w:rPr>
      <w:rFonts w:ascii="Arial Bold" w:hAnsi="Arial Bold"/>
      <w:b/>
      <w:sz w:val="20"/>
    </w:rPr>
  </w:style>
  <w:style w:type="paragraph" w:styleId="MessageHeader">
    <w:name w:val="Message Header"/>
    <w:basedOn w:val="BodyText"/>
    <w:pPr>
      <w:keepLines/>
      <w:tabs>
        <w:tab w:val="left" w:pos="3600"/>
        <w:tab w:val="left" w:pos="4680"/>
      </w:tabs>
      <w:spacing w:after="120" w:line="280" w:lineRule="exact"/>
      <w:ind w:right="2160" w:hanging="1080"/>
    </w:pPr>
    <w:rPr>
      <w:spacing w:val="0"/>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autoRedefine/>
    <w:pPr>
      <w:pBdr>
        <w:top w:val="single" w:sz="12" w:space="24" w:color="FF0000"/>
      </w:pBdr>
      <w:tabs>
        <w:tab w:val="clear" w:pos="0"/>
      </w:tabs>
      <w:spacing w:after="240" w:line="360" w:lineRule="auto"/>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uiPriority w:val="39"/>
    <w:rsid w:val="00CF1900"/>
    <w:pPr>
      <w:tabs>
        <w:tab w:val="clear" w:pos="6480"/>
        <w:tab w:val="left" w:pos="567"/>
        <w:tab w:val="right" w:leader="dot" w:pos="9356"/>
      </w:tabs>
      <w:spacing w:before="120"/>
      <w:ind w:left="567" w:hanging="567"/>
      <w:jc w:val="left"/>
    </w:pPr>
    <w:rPr>
      <w:rFonts w:ascii="Arial Bold" w:hAnsi="Arial Bold"/>
      <w:b/>
      <w:noProof/>
      <w:spacing w:val="0"/>
      <w:szCs w:val="28"/>
    </w:rPr>
  </w:style>
  <w:style w:type="paragraph" w:styleId="TOC2">
    <w:name w:val="toc 2"/>
    <w:basedOn w:val="TOCBase"/>
    <w:autoRedefine/>
    <w:uiPriority w:val="39"/>
    <w:pPr>
      <w:tabs>
        <w:tab w:val="clear" w:pos="6480"/>
        <w:tab w:val="left" w:pos="567"/>
        <w:tab w:val="right" w:leader="dot" w:pos="9356"/>
      </w:tabs>
      <w:ind w:left="567" w:hanging="567"/>
      <w:jc w:val="left"/>
    </w:pPr>
    <w:rPr>
      <w:noProof/>
      <w:spacing w:val="0"/>
      <w:szCs w:val="28"/>
    </w:rPr>
  </w:style>
  <w:style w:type="paragraph" w:styleId="TOC3">
    <w:name w:val="toc 3"/>
    <w:basedOn w:val="TOCBase"/>
    <w:autoRedefine/>
    <w:uiPriority w:val="39"/>
    <w:pPr>
      <w:tabs>
        <w:tab w:val="clear" w:pos="6480"/>
        <w:tab w:val="left" w:pos="1134"/>
        <w:tab w:val="right" w:leader="dot" w:pos="9356"/>
      </w:tabs>
      <w:ind w:left="1134" w:hanging="1134"/>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TOCEntry">
    <w:name w:val="TOC Entry"/>
    <w:basedOn w:val="Normal"/>
    <w:pPr>
      <w:outlineLvl w:val="0"/>
    </w:pPr>
    <w:rPr>
      <w:rFonts w:eastAsia="Arial Unicode MS"/>
      <w:b/>
      <w:spacing w:val="0"/>
      <w:sz w:val="28"/>
    </w:rPr>
  </w:style>
  <w:style w:type="paragraph" w:customStyle="1" w:styleId="TOCAppendix">
    <w:name w:val="TOC Appendix"/>
    <w:basedOn w:val="TOC1"/>
    <w:autoRedefine/>
    <w:pPr>
      <w:tabs>
        <w:tab w:val="left" w:pos="1701"/>
        <w:tab w:val="right" w:leader="dot" w:pos="8789"/>
      </w:tabs>
      <w:ind w:left="1701" w:hanging="1701"/>
    </w:pPr>
  </w:style>
  <w:style w:type="character" w:styleId="Hyperlink">
    <w:name w:val="Hyperlink"/>
    <w:uiPriority w:val="99"/>
    <w:rPr>
      <w:color w:val="0000FF"/>
      <w:u w:val="single"/>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Shell">
    <w:name w:val="Shell"/>
    <w:basedOn w:val="Normal"/>
    <w:pPr>
      <w:spacing w:after="120"/>
      <w:ind w:left="1418"/>
    </w:pPr>
    <w:rPr>
      <w:rFonts w:ascii="Times New Roman" w:hAnsi="Times New Roman"/>
      <w:spacing w:val="0"/>
      <w:sz w:val="24"/>
    </w:rPr>
  </w:style>
  <w:style w:type="paragraph" w:styleId="BodyTextIndent2">
    <w:name w:val="Body Text Indent 2"/>
    <w:basedOn w:val="Normal"/>
    <w:pPr>
      <w:spacing w:after="120" w:line="480" w:lineRule="auto"/>
      <w:ind w:left="283"/>
    </w:pPr>
    <w:rPr>
      <w:rFonts w:ascii="Times New Roman" w:hAnsi="Times New Roman"/>
      <w:spacing w:val="0"/>
      <w:sz w:val="24"/>
    </w:rPr>
  </w:style>
  <w:style w:type="paragraph" w:customStyle="1" w:styleId="GreenHeading1">
    <w:name w:val="Green Heading 1"/>
    <w:basedOn w:val="Normal"/>
    <w:next w:val="Normal"/>
    <w:pPr>
      <w:keepNext/>
      <w:numPr>
        <w:numId w:val="5"/>
      </w:numPr>
      <w:pBdr>
        <w:top w:val="single" w:sz="12" w:space="6" w:color="auto"/>
      </w:pBdr>
      <w:spacing w:before="360" w:after="120"/>
    </w:pPr>
    <w:rPr>
      <w:b/>
      <w:spacing w:val="0"/>
      <w:sz w:val="28"/>
    </w:rPr>
  </w:style>
  <w:style w:type="paragraph" w:customStyle="1" w:styleId="GreenHeading2">
    <w:name w:val="Green Heading 2"/>
    <w:basedOn w:val="Normal"/>
    <w:next w:val="Normal"/>
    <w:pPr>
      <w:keepNext/>
      <w:numPr>
        <w:ilvl w:val="1"/>
        <w:numId w:val="5"/>
      </w:numPr>
      <w:spacing w:before="180" w:after="120"/>
    </w:pPr>
    <w:rPr>
      <w:b/>
      <w:spacing w:val="0"/>
      <w:sz w:val="24"/>
    </w:rPr>
  </w:style>
  <w:style w:type="paragraph" w:customStyle="1" w:styleId="GreenHeading3">
    <w:name w:val="Green Heading 3"/>
    <w:basedOn w:val="Normal"/>
    <w:next w:val="Normal"/>
    <w:pPr>
      <w:numPr>
        <w:ilvl w:val="2"/>
        <w:numId w:val="5"/>
      </w:numPr>
      <w:spacing w:after="120"/>
    </w:pPr>
    <w:rPr>
      <w:rFonts w:ascii="Times New Roman" w:hAnsi="Times New Roman"/>
      <w:spacing w:val="0"/>
      <w:sz w:val="24"/>
    </w:rPr>
  </w:style>
  <w:style w:type="paragraph" w:customStyle="1" w:styleId="GreenHeading4">
    <w:name w:val="Green Heading 4"/>
    <w:basedOn w:val="Normal"/>
    <w:next w:val="Normal"/>
    <w:pPr>
      <w:numPr>
        <w:ilvl w:val="3"/>
        <w:numId w:val="5"/>
      </w:numPr>
      <w:spacing w:after="120"/>
    </w:pPr>
    <w:rPr>
      <w:rFonts w:ascii="Times New Roman" w:hAnsi="Times New Roman"/>
      <w:spacing w:val="0"/>
      <w:sz w:val="24"/>
    </w:rPr>
  </w:style>
  <w:style w:type="paragraph" w:customStyle="1" w:styleId="GreenHeading5">
    <w:name w:val="Green Heading 5"/>
    <w:basedOn w:val="Normal"/>
    <w:next w:val="Normal"/>
    <w:pPr>
      <w:numPr>
        <w:ilvl w:val="4"/>
        <w:numId w:val="5"/>
      </w:numPr>
      <w:spacing w:after="120"/>
    </w:pPr>
    <w:rPr>
      <w:rFonts w:ascii="Times New Roman" w:hAnsi="Times New Roman"/>
      <w:spacing w:val="0"/>
      <w:sz w:val="24"/>
    </w:rPr>
  </w:style>
  <w:style w:type="paragraph" w:customStyle="1" w:styleId="GreenHeading6">
    <w:name w:val="Green Heading 6"/>
    <w:basedOn w:val="Normal"/>
    <w:next w:val="Normal"/>
    <w:pPr>
      <w:numPr>
        <w:ilvl w:val="5"/>
        <w:numId w:val="5"/>
      </w:numPr>
      <w:spacing w:after="120"/>
    </w:pPr>
    <w:rPr>
      <w:rFonts w:ascii="Times New Roman" w:hAnsi="Times New Roman"/>
      <w:spacing w:val="0"/>
      <w:sz w:val="24"/>
    </w:rPr>
  </w:style>
  <w:style w:type="paragraph" w:customStyle="1" w:styleId="GreenHeading7">
    <w:name w:val="Green Heading 7"/>
    <w:basedOn w:val="Normal"/>
    <w:next w:val="Normal"/>
    <w:pPr>
      <w:numPr>
        <w:ilvl w:val="6"/>
        <w:numId w:val="5"/>
      </w:numPr>
      <w:spacing w:after="120"/>
    </w:pPr>
    <w:rPr>
      <w:rFonts w:ascii="Times New Roman" w:hAnsi="Times New Roman"/>
      <w:spacing w:val="0"/>
      <w:sz w:val="24"/>
    </w:rPr>
  </w:style>
  <w:style w:type="paragraph" w:customStyle="1" w:styleId="GreenHeading8">
    <w:name w:val="Green Heading 8"/>
    <w:basedOn w:val="Normal"/>
    <w:next w:val="Normal"/>
    <w:pPr>
      <w:numPr>
        <w:ilvl w:val="7"/>
        <w:numId w:val="5"/>
      </w:numPr>
      <w:spacing w:after="120"/>
    </w:pPr>
    <w:rPr>
      <w:rFonts w:ascii="Times New Roman" w:hAnsi="Times New Roman"/>
      <w:spacing w:val="0"/>
      <w:sz w:val="24"/>
    </w:rPr>
  </w:style>
  <w:style w:type="paragraph" w:customStyle="1" w:styleId="GreenHeading9">
    <w:name w:val="Green Heading 9"/>
    <w:basedOn w:val="Normal"/>
    <w:next w:val="Normal"/>
    <w:pPr>
      <w:numPr>
        <w:ilvl w:val="8"/>
        <w:numId w:val="5"/>
      </w:numPr>
      <w:spacing w:after="120"/>
    </w:pPr>
    <w:rPr>
      <w:rFonts w:ascii="Times New Roman" w:hAnsi="Times New Roman"/>
      <w:spacing w:val="0"/>
      <w:sz w:val="24"/>
    </w:rPr>
  </w:style>
  <w:style w:type="paragraph" w:styleId="BodyTextIndent3">
    <w:name w:val="Body Text Indent 3"/>
    <w:basedOn w:val="Normal"/>
    <w:pPr>
      <w:ind w:left="567"/>
    </w:pPr>
  </w:style>
  <w:style w:type="paragraph" w:styleId="BodyText2">
    <w:name w:val="Body Text 2"/>
    <w:basedOn w:val="Normal"/>
    <w:pPr>
      <w:spacing w:after="240"/>
      <w:jc w:val="left"/>
    </w:pPr>
    <w:rPr>
      <w:rFonts w:ascii="Times New Roman" w:hAnsi="Times New Roman"/>
      <w:spacing w:val="0"/>
      <w:sz w:val="24"/>
    </w:rPr>
  </w:style>
  <w:style w:type="paragraph" w:customStyle="1" w:styleId="Normal-Numbered">
    <w:name w:val="Normal - Numbered"/>
    <w:basedOn w:val="Heading1"/>
    <w:pPr>
      <w:keepLines w:val="0"/>
      <w:numPr>
        <w:numId w:val="7"/>
      </w:numPr>
      <w:pBdr>
        <w:top w:val="none" w:sz="0" w:space="0" w:color="auto"/>
        <w:left w:val="none" w:sz="0" w:space="0" w:color="auto"/>
        <w:bottom w:val="none" w:sz="0" w:space="0" w:color="auto"/>
      </w:pBdr>
      <w:shd w:val="clear" w:color="auto" w:fill="auto"/>
      <w:tabs>
        <w:tab w:val="clear" w:pos="720"/>
      </w:tabs>
      <w:spacing w:before="0" w:after="0" w:line="240" w:lineRule="auto"/>
    </w:pPr>
    <w:rPr>
      <w:rFonts w:ascii="Times New Roman" w:hAnsi="Times New Roman"/>
      <w:b w:val="0"/>
      <w:snapToGrid w:val="0"/>
      <w:spacing w:val="0"/>
      <w:kern w:val="0"/>
      <w:sz w:val="24"/>
    </w:rPr>
  </w:style>
  <w:style w:type="paragraph" w:customStyle="1" w:styleId="issuesbox">
    <w:name w:val="issues box"/>
    <w:basedOn w:val="Heading3"/>
    <w:autoRedefine/>
    <w:pPr>
      <w:numPr>
        <w:ilvl w:val="0"/>
        <w:numId w:val="0"/>
      </w:numPr>
      <w:spacing w:before="0" w:after="0" w:line="240" w:lineRule="auto"/>
      <w:ind w:left="743" w:right="-908" w:hanging="743"/>
      <w:jc w:val="left"/>
    </w:pPr>
    <w:rPr>
      <w:rFonts w:ascii="Times New Roman" w:hAnsi="Times New Roman"/>
      <w:spacing w:val="0"/>
      <w:kern w:val="0"/>
      <w:sz w:val="24"/>
    </w:rPr>
  </w:style>
  <w:style w:type="paragraph" w:styleId="BalloonText">
    <w:name w:val="Balloon Text"/>
    <w:basedOn w:val="Normal"/>
    <w:semiHidden/>
    <w:pPr>
      <w:jc w:val="left"/>
    </w:pPr>
    <w:rPr>
      <w:rFonts w:ascii="Tahoma" w:hAnsi="Tahoma" w:cs="Tahoma"/>
      <w:spacing w:val="0"/>
      <w:sz w:val="16"/>
      <w:szCs w:val="16"/>
    </w:rPr>
  </w:style>
  <w:style w:type="paragraph" w:styleId="EnvelopeAddress">
    <w:name w:val="envelope address"/>
    <w:basedOn w:val="Normal"/>
    <w:pPr>
      <w:framePr w:w="7920" w:h="1980" w:hRule="exact" w:hSpace="180" w:wrap="auto" w:hAnchor="page" w:xAlign="center" w:yAlign="bottom"/>
      <w:ind w:left="2880"/>
      <w:jc w:val="left"/>
    </w:pPr>
    <w:rPr>
      <w:spacing w:val="0"/>
    </w:rPr>
  </w:style>
  <w:style w:type="paragraph" w:customStyle="1" w:styleId="font5">
    <w:name w:val="font5"/>
    <w:basedOn w:val="Normal"/>
    <w:pPr>
      <w:spacing w:before="100" w:beforeAutospacing="1" w:after="100" w:afterAutospacing="1"/>
      <w:jc w:val="left"/>
    </w:pPr>
    <w:rPr>
      <w:rFonts w:eastAsia="Arial Unicode MS" w:cs="Arial"/>
      <w:spacing w:val="0"/>
      <w:sz w:val="20"/>
    </w:rPr>
  </w:style>
  <w:style w:type="paragraph" w:customStyle="1" w:styleId="xl25">
    <w:name w:val="xl25"/>
    <w:basedOn w:val="Normal"/>
    <w:pPr>
      <w:spacing w:before="100" w:beforeAutospacing="1" w:after="100" w:afterAutospacing="1"/>
      <w:jc w:val="left"/>
    </w:pPr>
    <w:rPr>
      <w:rFonts w:eastAsia="Arial Unicode MS" w:cs="Arial"/>
      <w:b/>
      <w:bCs/>
      <w:spacing w:val="0"/>
      <w:sz w:val="24"/>
      <w:szCs w:val="24"/>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7">
    <w:name w:val="xl27"/>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9">
    <w:name w:val="xl29"/>
    <w:basedOn w:val="Normal"/>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styleId="BodyText3">
    <w:name w:val="Body Text 3"/>
    <w:basedOn w:val="Normal"/>
    <w:pPr>
      <w:jc w:val="left"/>
    </w:pPr>
    <w:rPr>
      <w:i/>
      <w:iCs/>
      <w:color w:val="999999"/>
      <w:spacing w:val="0"/>
      <w:position w:val="-18"/>
      <w:sz w:val="16"/>
    </w:rPr>
  </w:style>
  <w:style w:type="paragraph" w:customStyle="1" w:styleId="Footnote-Text">
    <w:name w:val="Footnote - Text"/>
    <w:basedOn w:val="Normal"/>
    <w:pPr>
      <w:spacing w:after="40"/>
    </w:pPr>
    <w:rPr>
      <w:rFonts w:cs="Arial"/>
      <w:color w:val="000000"/>
      <w:spacing w:val="-2"/>
      <w:sz w:val="16"/>
    </w:rPr>
  </w:style>
  <w:style w:type="character" w:styleId="FollowedHyperlink">
    <w:name w:val="FollowedHyperlink"/>
    <w:rPr>
      <w:color w:val="800080"/>
      <w:u w:val="single"/>
    </w:rPr>
  </w:style>
  <w:style w:type="paragraph" w:styleId="DocumentMap">
    <w:name w:val="Document Map"/>
    <w:basedOn w:val="Normal"/>
    <w:semiHidden/>
    <w:rsid w:val="00C418DC"/>
    <w:pPr>
      <w:shd w:val="clear" w:color="auto" w:fill="000080"/>
    </w:pPr>
    <w:rPr>
      <w:rFonts w:ascii="Tahoma" w:hAnsi="Tahoma" w:cs="Tahoma"/>
      <w:sz w:val="20"/>
    </w:rPr>
  </w:style>
  <w:style w:type="paragraph" w:styleId="CommentSubject">
    <w:name w:val="annotation subject"/>
    <w:basedOn w:val="CommentText"/>
    <w:next w:val="CommentText"/>
    <w:semiHidden/>
    <w:rsid w:val="000C0ABD"/>
    <w:pPr>
      <w:keepLines w:val="0"/>
      <w:pBdr>
        <w:top w:val="none" w:sz="0" w:space="0" w:color="auto"/>
        <w:left w:val="none" w:sz="0" w:space="0" w:color="auto"/>
        <w:bottom w:val="none" w:sz="0" w:space="0" w:color="auto"/>
        <w:right w:val="none" w:sz="0" w:space="0" w:color="auto"/>
      </w:pBdr>
      <w:spacing w:before="0" w:after="0" w:line="240" w:lineRule="auto"/>
      <w:ind w:left="0"/>
    </w:pPr>
    <w:rPr>
      <w:b/>
      <w:bCs/>
      <w:sz w:val="20"/>
    </w:rPr>
  </w:style>
  <w:style w:type="paragraph" w:customStyle="1" w:styleId="AERnumberedlistthirdstyle">
    <w:name w:val="AER numbered list (third style)"/>
    <w:basedOn w:val="Normal"/>
    <w:rsid w:val="00387084"/>
    <w:pPr>
      <w:numPr>
        <w:numId w:val="14"/>
      </w:numPr>
      <w:tabs>
        <w:tab w:val="clear" w:pos="1440"/>
        <w:tab w:val="left" w:pos="1077"/>
      </w:tabs>
      <w:spacing w:after="200" w:line="288" w:lineRule="auto"/>
      <w:ind w:left="1077" w:hanging="357"/>
    </w:pPr>
    <w:rPr>
      <w:rFonts w:ascii="Gautami" w:hAnsi="Gautami"/>
      <w:spacing w:val="0"/>
      <w:sz w:val="20"/>
      <w:szCs w:val="24"/>
    </w:rPr>
  </w:style>
  <w:style w:type="paragraph" w:customStyle="1" w:styleId="AERbulletlistsecondstyle">
    <w:name w:val="AER bullet list (second style)"/>
    <w:basedOn w:val="Normal"/>
    <w:rsid w:val="003E2CEC"/>
    <w:pPr>
      <w:numPr>
        <w:numId w:val="16"/>
      </w:numPr>
      <w:tabs>
        <w:tab w:val="clear" w:pos="714"/>
        <w:tab w:val="left" w:pos="720"/>
      </w:tabs>
      <w:spacing w:after="200" w:line="288" w:lineRule="auto"/>
      <w:ind w:left="720" w:hanging="363"/>
    </w:pPr>
    <w:rPr>
      <w:rFonts w:ascii="Gautami" w:hAnsi="Gautami"/>
      <w:spacing w:val="0"/>
      <w:sz w:val="20"/>
      <w:szCs w:val="24"/>
    </w:rPr>
  </w:style>
  <w:style w:type="paragraph" w:customStyle="1" w:styleId="AERnumberedlistsecondstyle">
    <w:name w:val="AER numbered list (second style)"/>
    <w:basedOn w:val="Normal"/>
    <w:rsid w:val="003E2CEC"/>
    <w:pPr>
      <w:numPr>
        <w:numId w:val="17"/>
      </w:numPr>
      <w:spacing w:after="200" w:line="200" w:lineRule="atLeast"/>
    </w:pPr>
    <w:rPr>
      <w:rFonts w:ascii="Gautami" w:hAnsi="Gautami"/>
      <w:spacing w:val="0"/>
      <w:sz w:val="20"/>
      <w:szCs w:val="24"/>
    </w:rPr>
  </w:style>
  <w:style w:type="table" w:styleId="TableGrid">
    <w:name w:val="Table Grid"/>
    <w:basedOn w:val="TableNormal"/>
    <w:rsid w:val="00F76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Rtextbold">
    <w:name w:val="AER text bold"/>
    <w:rsid w:val="00F7668E"/>
    <w:rPr>
      <w:b/>
    </w:rPr>
  </w:style>
  <w:style w:type="character" w:customStyle="1" w:styleId="FooterChar">
    <w:name w:val="Footer Char"/>
    <w:link w:val="Footer"/>
    <w:rsid w:val="00F31C59"/>
    <w:rPr>
      <w:rFonts w:ascii="Arial" w:hAnsi="Arial"/>
      <w:caps/>
      <w:spacing w:val="-5"/>
      <w:sz w:val="15"/>
      <w:lang w:eastAsia="en-US"/>
    </w:rPr>
  </w:style>
  <w:style w:type="character" w:customStyle="1" w:styleId="HeaderChar">
    <w:name w:val="Header Char"/>
    <w:link w:val="Header"/>
    <w:rsid w:val="00F31C59"/>
    <w:rPr>
      <w:rFonts w:ascii="Arial" w:hAnsi="Arial"/>
      <w:caps/>
      <w:spacing w:val="-5"/>
      <w:sz w:val="15"/>
      <w:lang w:eastAsia="en-US"/>
    </w:rPr>
  </w:style>
  <w:style w:type="paragraph" w:customStyle="1" w:styleId="Hbooktitle">
    <w:name w:val="Hbook title"/>
    <w:basedOn w:val="Normal"/>
    <w:autoRedefine/>
    <w:rsid w:val="00F31C59"/>
    <w:pPr>
      <w:spacing w:after="360"/>
      <w:jc w:val="left"/>
    </w:pPr>
    <w:rPr>
      <w:rFonts w:ascii="Arial Bold" w:hAnsi="Arial Bold" w:cs="Arial"/>
      <w:b/>
      <w:bCs/>
      <w:spacing w:val="0"/>
      <w:sz w:val="72"/>
      <w:szCs w:val="24"/>
    </w:rPr>
  </w:style>
  <w:style w:type="paragraph" w:customStyle="1" w:styleId="Hbooktype">
    <w:name w:val="Hbook type"/>
    <w:basedOn w:val="Normal"/>
    <w:rsid w:val="00F31C59"/>
    <w:pPr>
      <w:spacing w:after="1680"/>
      <w:jc w:val="left"/>
    </w:pPr>
    <w:rPr>
      <w:rFonts w:ascii="Arial Bold" w:hAnsi="Arial Bold" w:cs="Arial"/>
      <w:b/>
      <w:bCs/>
      <w:spacing w:val="0"/>
      <w:sz w:val="44"/>
      <w:szCs w:val="24"/>
    </w:rPr>
  </w:style>
  <w:style w:type="character" w:customStyle="1" w:styleId="BodyTextChar">
    <w:name w:val="Body Text Char"/>
    <w:link w:val="BodyText"/>
    <w:rsid w:val="008A599C"/>
    <w:rPr>
      <w:rFonts w:ascii="Arial" w:hAnsi="Arial" w:cs="Arial"/>
      <w:spacing w:val="-5"/>
      <w:sz w:val="22"/>
      <w:szCs w:val="24"/>
    </w:rPr>
  </w:style>
  <w:style w:type="character" w:customStyle="1" w:styleId="Heading4Char">
    <w:name w:val="Heading 4 Char"/>
    <w:link w:val="Heading4"/>
    <w:rsid w:val="006929AA"/>
    <w:rPr>
      <w:rFonts w:ascii="Arial" w:hAnsi="Arial" w:cs="Arial"/>
      <w:bCs/>
      <w:spacing w:val="-5"/>
      <w:sz w:val="22"/>
      <w:szCs w:val="24"/>
    </w:rPr>
  </w:style>
  <w:style w:type="paragraph" w:styleId="ListParagraph">
    <w:name w:val="List Paragraph"/>
    <w:basedOn w:val="Normal"/>
    <w:uiPriority w:val="34"/>
    <w:qFormat/>
    <w:rsid w:val="00C05867"/>
    <w:pPr>
      <w:ind w:left="720"/>
    </w:pPr>
  </w:style>
  <w:style w:type="paragraph" w:styleId="Revision">
    <w:name w:val="Revision"/>
    <w:hidden/>
    <w:uiPriority w:val="99"/>
    <w:semiHidden/>
    <w:rsid w:val="00D37A39"/>
    <w:rPr>
      <w:rFonts w:ascii="Arial" w:hAnsi="Arial"/>
      <w:spacing w:val="-5"/>
      <w:sz w:val="22"/>
      <w:lang w:eastAsia="en-US"/>
    </w:rPr>
  </w:style>
  <w:style w:type="paragraph" w:customStyle="1" w:styleId="BodyTextindent0">
    <w:name w:val="Body Text (indent)"/>
    <w:basedOn w:val="BodyText"/>
    <w:uiPriority w:val="1"/>
    <w:qFormat/>
    <w:rsid w:val="00E2213F"/>
    <w:pPr>
      <w:spacing w:before="120" w:after="120" w:line="260" w:lineRule="atLeast"/>
      <w:ind w:left="357" w:firstLine="0"/>
      <w:jc w:val="left"/>
    </w:pPr>
    <w:rPr>
      <w:rFonts w:ascii="Tahoma" w:eastAsiaTheme="minorHAnsi" w:hAnsi="Tahoma" w:cstheme="minorBidi"/>
      <w:spacing w:val="0"/>
      <w:szCs w:val="22"/>
      <w:lang w:val="en-US" w:eastAsia="en-US"/>
    </w:rPr>
  </w:style>
  <w:style w:type="paragraph" w:customStyle="1" w:styleId="Bodytextindent30">
    <w:name w:val="Body text (indent 3)"/>
    <w:basedOn w:val="BodyText"/>
    <w:uiPriority w:val="2"/>
    <w:qFormat/>
    <w:rsid w:val="00E2213F"/>
    <w:pPr>
      <w:spacing w:before="120" w:after="120" w:line="260" w:lineRule="atLeast"/>
      <w:ind w:left="1077" w:firstLine="0"/>
      <w:jc w:val="left"/>
    </w:pPr>
    <w:rPr>
      <w:rFonts w:ascii="Tahoma" w:eastAsiaTheme="minorHAnsi" w:hAnsi="Tahoma" w:cstheme="minorBidi"/>
      <w:spacing w:val="0"/>
      <w:szCs w:val="22"/>
      <w:lang w:val="en-US" w:eastAsia="en-US"/>
    </w:rPr>
  </w:style>
  <w:style w:type="paragraph" w:customStyle="1" w:styleId="BodyListNumberLevel1">
    <w:name w:val="Body List Number Level 1"/>
    <w:basedOn w:val="BodyText"/>
    <w:qFormat/>
    <w:rsid w:val="00E2213F"/>
    <w:pPr>
      <w:numPr>
        <w:numId w:val="28"/>
      </w:numPr>
      <w:spacing w:before="120" w:after="120" w:line="280" w:lineRule="atLeast"/>
      <w:jc w:val="left"/>
    </w:pPr>
    <w:rPr>
      <w:rFonts w:asciiTheme="minorHAnsi" w:hAnsiTheme="minorHAnsi" w:cs="Times New Roman"/>
      <w:spacing w:val="0"/>
      <w:szCs w:val="22"/>
      <w:lang w:eastAsia="en-US"/>
    </w:rPr>
  </w:style>
  <w:style w:type="paragraph" w:customStyle="1" w:styleId="BodyListNumberLevel2">
    <w:name w:val="Body List Number Level 2"/>
    <w:basedOn w:val="BodyListNumberLevel1"/>
    <w:qFormat/>
    <w:rsid w:val="00E2213F"/>
    <w:pPr>
      <w:numPr>
        <w:ilvl w:val="1"/>
      </w:numPr>
      <w:spacing w:afterAutospacing="1"/>
    </w:pPr>
  </w:style>
  <w:style w:type="paragraph" w:customStyle="1" w:styleId="BodyListNumberLevel3">
    <w:name w:val="Body List Number Level 3"/>
    <w:basedOn w:val="Normal"/>
    <w:qFormat/>
    <w:rsid w:val="00E2213F"/>
    <w:pPr>
      <w:numPr>
        <w:ilvl w:val="2"/>
        <w:numId w:val="28"/>
      </w:numPr>
      <w:spacing w:before="120" w:after="0" w:afterAutospacing="1" w:line="280" w:lineRule="atLeast"/>
      <w:jc w:val="left"/>
    </w:pPr>
    <w:rPr>
      <w:rFonts w:asciiTheme="minorHAnsi" w:hAnsiTheme="minorHAnsi"/>
      <w:spacing w:val="0"/>
      <w:szCs w:val="22"/>
    </w:rPr>
  </w:style>
  <w:style w:type="character" w:customStyle="1" w:styleId="CommentTextChar">
    <w:name w:val="Comment Text Char"/>
    <w:basedOn w:val="DefaultParagraphFont"/>
    <w:link w:val="CommentText"/>
    <w:uiPriority w:val="99"/>
    <w:rsid w:val="00467127"/>
    <w:rPr>
      <w:rFonts w:ascii="Arial" w:hAnsi="Arial"/>
      <w:spacing w:val="-5"/>
      <w:sz w:val="22"/>
      <w:lang w:eastAsia="en-US"/>
    </w:rPr>
  </w:style>
  <w:style w:type="character" w:customStyle="1" w:styleId="Heading1Char">
    <w:name w:val="Heading 1 Char"/>
    <w:basedOn w:val="DefaultParagraphFont"/>
    <w:link w:val="Heading1"/>
    <w:rsid w:val="00C97747"/>
    <w:rPr>
      <w:rFonts w:ascii="Arial Bold" w:hAnsi="Arial Bold"/>
      <w:b/>
      <w:color w:val="000080"/>
      <w:spacing w:val="-10"/>
      <w:kern w:val="20"/>
      <w:sz w:val="28"/>
      <w:shd w:val="clear" w:color="auto" w:fill="C0C0C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C7"/>
    <w:pPr>
      <w:spacing w:before="60" w:after="60"/>
      <w:jc w:val="both"/>
    </w:pPr>
    <w:rPr>
      <w:rFonts w:ascii="Arial" w:hAnsi="Arial"/>
      <w:spacing w:val="-5"/>
      <w:sz w:val="22"/>
      <w:lang w:eastAsia="en-US"/>
    </w:rPr>
  </w:style>
  <w:style w:type="paragraph" w:styleId="Heading1">
    <w:name w:val="heading 1"/>
    <w:basedOn w:val="HeadingBase"/>
    <w:next w:val="BodyText"/>
    <w:link w:val="Heading1Char"/>
    <w:autoRedefine/>
    <w:qFormat/>
    <w:rsid w:val="008A599C"/>
    <w:pPr>
      <w:numPr>
        <w:numId w:val="6"/>
      </w:numPr>
      <w:pBdr>
        <w:top w:val="single" w:sz="48" w:space="3" w:color="FFFFFF"/>
        <w:left w:val="single" w:sz="6" w:space="3" w:color="FFFFFF"/>
        <w:bottom w:val="single" w:sz="6" w:space="3" w:color="FFFFFF"/>
      </w:pBdr>
      <w:shd w:val="clear" w:color="auto" w:fill="C0C0C0"/>
      <w:tabs>
        <w:tab w:val="left" w:pos="720"/>
      </w:tabs>
      <w:spacing w:before="120" w:after="240" w:line="240" w:lineRule="atLeast"/>
      <w:jc w:val="left"/>
      <w:outlineLvl w:val="0"/>
    </w:pPr>
    <w:rPr>
      <w:rFonts w:ascii="Arial Bold" w:hAnsi="Arial Bold"/>
      <w:b/>
      <w:color w:val="000080"/>
      <w:spacing w:val="-10"/>
      <w:kern w:val="20"/>
      <w:sz w:val="28"/>
    </w:rPr>
  </w:style>
  <w:style w:type="paragraph" w:styleId="Heading2">
    <w:name w:val="heading 2"/>
    <w:basedOn w:val="HeadingBase"/>
    <w:next w:val="Heading4"/>
    <w:autoRedefine/>
    <w:qFormat/>
    <w:rsid w:val="00035B92"/>
    <w:pPr>
      <w:numPr>
        <w:ilvl w:val="1"/>
        <w:numId w:val="6"/>
      </w:numPr>
      <w:shd w:val="clear" w:color="auto" w:fill="C0C0C0"/>
      <w:tabs>
        <w:tab w:val="clear" w:pos="648"/>
        <w:tab w:val="left" w:pos="720"/>
      </w:tabs>
      <w:spacing w:before="160" w:after="160" w:line="240" w:lineRule="atLeast"/>
      <w:jc w:val="left"/>
      <w:outlineLvl w:val="1"/>
    </w:pPr>
    <w:rPr>
      <w:rFonts w:ascii="Arial Bold" w:hAnsi="Arial Bold"/>
      <w:b/>
      <w:color w:val="000080"/>
      <w:spacing w:val="-15"/>
      <w:sz w:val="24"/>
    </w:rPr>
  </w:style>
  <w:style w:type="paragraph" w:styleId="Heading3">
    <w:name w:val="heading 3"/>
    <w:basedOn w:val="HeadingBase"/>
    <w:next w:val="BodyText"/>
    <w:autoRedefine/>
    <w:qFormat/>
    <w:rsid w:val="00595005"/>
    <w:pPr>
      <w:keepLines w:val="0"/>
      <w:numPr>
        <w:ilvl w:val="2"/>
        <w:numId w:val="6"/>
      </w:numPr>
      <w:tabs>
        <w:tab w:val="clear" w:pos="1440"/>
      </w:tabs>
      <w:spacing w:before="240" w:after="240" w:line="240" w:lineRule="atLeast"/>
      <w:ind w:left="734" w:hanging="734"/>
      <w:outlineLvl w:val="2"/>
    </w:pPr>
    <w:rPr>
      <w:spacing w:val="-10"/>
    </w:rPr>
  </w:style>
  <w:style w:type="paragraph" w:styleId="Heading4">
    <w:name w:val="heading 4"/>
    <w:basedOn w:val="BodyText"/>
    <w:link w:val="Heading4Char"/>
    <w:autoRedefine/>
    <w:qFormat/>
    <w:rsid w:val="006929AA"/>
    <w:pPr>
      <w:outlineLvl w:val="3"/>
    </w:pPr>
    <w:rPr>
      <w:bCs/>
    </w:r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spacing w:before="480" w:after="240" w:line="240" w:lineRule="atLeast"/>
      <w:ind w:left="0"/>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ind w:left="1080"/>
    </w:pPr>
    <w:rPr>
      <w:spacing w:val="-4"/>
      <w:kern w:val="28"/>
    </w:rPr>
  </w:style>
  <w:style w:type="paragraph" w:styleId="BodyText">
    <w:name w:val="Body Text"/>
    <w:basedOn w:val="Normal"/>
    <w:link w:val="BodyTextChar"/>
    <w:autoRedefine/>
    <w:rsid w:val="008A599C"/>
    <w:pPr>
      <w:ind w:left="720" w:hanging="720"/>
    </w:pPr>
    <w:rPr>
      <w:rFonts w:cs="Arial"/>
      <w:szCs w:val="24"/>
      <w:lang w:eastAsia="en-AU"/>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autoRedefine/>
    <w:pPr>
      <w:numPr>
        <w:numId w:val="4"/>
      </w:numPr>
    </w:pPr>
  </w:style>
  <w:style w:type="paragraph" w:customStyle="1" w:styleId="BodyTextKeep">
    <w:name w:val="Body Text Keep"/>
    <w:basedOn w:val="BodyText"/>
    <w:pPr>
      <w:keepNext/>
    </w:pPr>
  </w:style>
  <w:style w:type="paragraph" w:customStyle="1" w:styleId="Picture">
    <w:name w:val="Picture"/>
    <w:basedOn w:val="Normal"/>
    <w:next w:val="Caption"/>
    <w:pPr>
      <w:keepNext/>
      <w:ind w:left="1080"/>
    </w:pPr>
  </w:style>
  <w:style w:type="paragraph" w:styleId="Caption">
    <w:name w:val="caption"/>
    <w:basedOn w:val="Picture"/>
    <w:next w:val="BodyText"/>
    <w:pPr>
      <w:numPr>
        <w:numId w:val="1"/>
      </w:numPr>
      <w:spacing w:after="240" w:line="220" w:lineRule="atLeast"/>
    </w:pPr>
    <w:rPr>
      <w:rFonts w:ascii="Arial Narrow" w:hAnsi="Arial Narrow"/>
      <w:spacing w:val="0"/>
      <w:sz w:val="18"/>
    </w:rPr>
  </w:style>
  <w:style w:type="paragraph" w:customStyle="1" w:styleId="PartLabel">
    <w:name w:val="Part Label"/>
    <w:basedOn w:val="Normal"/>
    <w:autoRedefine/>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pPr>
      <w:shd w:val="clear" w:color="auto" w:fill="C0C0C0"/>
      <w:spacing w:line="360" w:lineRule="exact"/>
      <w:jc w:val="center"/>
    </w:pPr>
    <w:rPr>
      <w:rFonts w:ascii="Arial Bold" w:hAnsi="Arial Bold"/>
      <w:b/>
      <w:color w:val="000080"/>
      <w:spacing w:val="-40"/>
      <w:sz w:val="36"/>
    </w:rPr>
  </w:style>
  <w:style w:type="paragraph" w:styleId="Title">
    <w:name w:val="Title"/>
    <w:basedOn w:val="HeadingBase"/>
    <w:next w:val="Subtitle"/>
    <w:autoRedefine/>
    <w:qFormat/>
    <w:pPr>
      <w:pBdr>
        <w:top w:val="single" w:sz="6" w:space="16" w:color="auto"/>
      </w:pBdr>
      <w:spacing w:before="220" w:line="320" w:lineRule="atLeast"/>
      <w:ind w:left="0"/>
    </w:pPr>
    <w:rPr>
      <w:rFonts w:ascii="Arial Black" w:hAnsi="Arial Black"/>
      <w:color w:val="000080"/>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pPr>
      <w:spacing w:before="120" w:line="660" w:lineRule="exact"/>
    </w:pPr>
    <w:rPr>
      <w:rFonts w:ascii="Arial Bold" w:hAnsi="Arial Bold"/>
      <w:b/>
      <w:color w:val="000080"/>
      <w:spacing w:val="0"/>
      <w:sz w:val="36"/>
    </w:rPr>
  </w:style>
  <w:style w:type="character" w:styleId="CommentReference">
    <w:name w:val="annotation reference"/>
    <w:uiPriority w:val="99"/>
    <w:semiHidden/>
    <w:rPr>
      <w:rFonts w:ascii="Arial" w:hAnsi="Arial"/>
      <w:spacing w:val="0"/>
      <w:position w:val="0"/>
      <w:sz w:val="20"/>
    </w:rPr>
  </w:style>
  <w:style w:type="paragraph" w:customStyle="1" w:styleId="FootnoteBase">
    <w:name w:val="Footnote Base"/>
    <w:basedOn w:val="Normal"/>
    <w:pPr>
      <w:keepLines/>
      <w:spacing w:line="200" w:lineRule="atLeast"/>
      <w:ind w:left="1080"/>
    </w:pPr>
    <w:rPr>
      <w:sz w:val="16"/>
    </w:rPr>
  </w:style>
  <w:style w:type="paragraph" w:styleId="CommentText">
    <w:name w:val="annotation text"/>
    <w:basedOn w:val="FootnoteBase"/>
    <w:link w:val="CommentTextChar"/>
    <w:autoRedefine/>
    <w:uiPriority w:val="99"/>
    <w:rsid w:val="00467127"/>
    <w:pPr>
      <w:pBdr>
        <w:top w:val="single" w:sz="12" w:space="1" w:color="auto"/>
        <w:left w:val="single" w:sz="12" w:space="4" w:color="auto"/>
        <w:bottom w:val="single" w:sz="12" w:space="1" w:color="auto"/>
        <w:right w:val="single" w:sz="12" w:space="4" w:color="auto"/>
      </w:pBdr>
      <w:spacing w:before="120" w:after="120"/>
      <w:ind w:left="170"/>
    </w:pPr>
    <w:rPr>
      <w:sz w:val="22"/>
    </w:rPr>
  </w:style>
  <w:style w:type="paragraph" w:customStyle="1" w:styleId="TableText">
    <w:name w:val="Table Text"/>
    <w:basedOn w:val="Normal"/>
    <w:rPr>
      <w:spacing w:val="0"/>
      <w:sz w:val="20"/>
    </w:rPr>
  </w:style>
  <w:style w:type="paragraph" w:customStyle="1" w:styleId="TitleCover">
    <w:name w:val="Title Cover"/>
    <w:basedOn w:val="HeadingBase"/>
    <w:next w:val="Normal"/>
    <w:autoRedefine/>
    <w:pPr>
      <w:pBdr>
        <w:top w:val="single" w:sz="36" w:space="31" w:color="CC0000"/>
      </w:pBdr>
      <w:tabs>
        <w:tab w:val="left" w:pos="0"/>
      </w:tabs>
      <w:spacing w:before="240" w:after="500" w:line="640" w:lineRule="exact"/>
      <w:ind w:left="0"/>
      <w:jc w:val="right"/>
    </w:pPr>
    <w:rPr>
      <w:rFonts w:ascii="Arial Bold" w:hAnsi="Arial Bold"/>
      <w:b/>
      <w:color w:val="333399"/>
      <w:spacing w:val="-48"/>
      <w:sz w:val="64"/>
    </w:rPr>
  </w:style>
  <w:style w:type="paragraph" w:customStyle="1" w:styleId="DocumentLabel">
    <w:name w:val="Document Label"/>
    <w:basedOn w:val="TitleCover"/>
    <w:autoRedefine/>
    <w:rPr>
      <w:sz w:val="40"/>
    </w:rPr>
  </w:style>
  <w:style w:type="character" w:styleId="Emphasis">
    <w:name w:val="Emphasis"/>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link w:val="FooterChar"/>
    <w:autoRedefine/>
    <w:pPr>
      <w:pBdr>
        <w:top w:val="single" w:sz="4" w:space="1" w:color="auto"/>
      </w:pBdr>
      <w:tabs>
        <w:tab w:val="clear" w:pos="4320"/>
        <w:tab w:val="clear" w:pos="8640"/>
        <w:tab w:val="center" w:pos="4680"/>
        <w:tab w:val="right" w:pos="9356"/>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iPriority w:val="99"/>
    <w:rPr>
      <w:vertAlign w:val="superscript"/>
    </w:rPr>
  </w:style>
  <w:style w:type="paragraph" w:styleId="FootnoteText">
    <w:name w:val="footnote text"/>
    <w:basedOn w:val="FootnoteBase"/>
    <w:semiHidden/>
  </w:style>
  <w:style w:type="paragraph" w:styleId="Header">
    <w:name w:val="header"/>
    <w:basedOn w:val="HeaderBase"/>
    <w:link w:val="HeaderCha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rsid w:val="006A3CF3"/>
    <w:pPr>
      <w:numPr>
        <w:ilvl w:val="1"/>
        <w:numId w:val="2"/>
      </w:numPr>
      <w:tabs>
        <w:tab w:val="clear" w:pos="1440"/>
      </w:tabs>
      <w:spacing w:before="120" w:after="120" w:line="280" w:lineRule="atLeast"/>
      <w:jc w:val="left"/>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autoRedefine/>
    <w:pPr>
      <w:shd w:val="clear" w:color="auto" w:fill="E0E0E0"/>
      <w:jc w:val="center"/>
    </w:pPr>
    <w:rPr>
      <w:rFonts w:ascii="Arial Bold" w:hAnsi="Arial Bold"/>
      <w:b/>
      <w:sz w:val="20"/>
    </w:rPr>
  </w:style>
  <w:style w:type="paragraph" w:styleId="MessageHeader">
    <w:name w:val="Message Header"/>
    <w:basedOn w:val="BodyText"/>
    <w:pPr>
      <w:keepLines/>
      <w:tabs>
        <w:tab w:val="left" w:pos="3600"/>
        <w:tab w:val="left" w:pos="4680"/>
      </w:tabs>
      <w:spacing w:after="120" w:line="280" w:lineRule="exact"/>
      <w:ind w:right="2160" w:hanging="1080"/>
    </w:pPr>
    <w:rPr>
      <w:spacing w:val="0"/>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autoRedefine/>
    <w:pPr>
      <w:pBdr>
        <w:top w:val="single" w:sz="12" w:space="24" w:color="FF0000"/>
      </w:pBdr>
      <w:tabs>
        <w:tab w:val="clear" w:pos="0"/>
      </w:tabs>
      <w:spacing w:after="240" w:line="360" w:lineRule="auto"/>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uiPriority w:val="39"/>
    <w:rsid w:val="00CF1900"/>
    <w:pPr>
      <w:tabs>
        <w:tab w:val="clear" w:pos="6480"/>
        <w:tab w:val="left" w:pos="567"/>
        <w:tab w:val="right" w:leader="dot" w:pos="9356"/>
      </w:tabs>
      <w:spacing w:before="120"/>
      <w:ind w:left="567" w:hanging="567"/>
      <w:jc w:val="left"/>
    </w:pPr>
    <w:rPr>
      <w:rFonts w:ascii="Arial Bold" w:hAnsi="Arial Bold"/>
      <w:b/>
      <w:noProof/>
      <w:spacing w:val="0"/>
      <w:szCs w:val="28"/>
    </w:rPr>
  </w:style>
  <w:style w:type="paragraph" w:styleId="TOC2">
    <w:name w:val="toc 2"/>
    <w:basedOn w:val="TOCBase"/>
    <w:autoRedefine/>
    <w:uiPriority w:val="39"/>
    <w:pPr>
      <w:tabs>
        <w:tab w:val="clear" w:pos="6480"/>
        <w:tab w:val="left" w:pos="567"/>
        <w:tab w:val="right" w:leader="dot" w:pos="9356"/>
      </w:tabs>
      <w:ind w:left="567" w:hanging="567"/>
      <w:jc w:val="left"/>
    </w:pPr>
    <w:rPr>
      <w:noProof/>
      <w:spacing w:val="0"/>
      <w:szCs w:val="28"/>
    </w:rPr>
  </w:style>
  <w:style w:type="paragraph" w:styleId="TOC3">
    <w:name w:val="toc 3"/>
    <w:basedOn w:val="TOCBase"/>
    <w:autoRedefine/>
    <w:uiPriority w:val="39"/>
    <w:pPr>
      <w:tabs>
        <w:tab w:val="clear" w:pos="6480"/>
        <w:tab w:val="left" w:pos="1134"/>
        <w:tab w:val="right" w:leader="dot" w:pos="9356"/>
      </w:tabs>
      <w:ind w:left="1134" w:hanging="1134"/>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TOCEntry">
    <w:name w:val="TOC Entry"/>
    <w:basedOn w:val="Normal"/>
    <w:pPr>
      <w:outlineLvl w:val="0"/>
    </w:pPr>
    <w:rPr>
      <w:rFonts w:eastAsia="Arial Unicode MS"/>
      <w:b/>
      <w:spacing w:val="0"/>
      <w:sz w:val="28"/>
    </w:rPr>
  </w:style>
  <w:style w:type="paragraph" w:customStyle="1" w:styleId="TOCAppendix">
    <w:name w:val="TOC Appendix"/>
    <w:basedOn w:val="TOC1"/>
    <w:autoRedefine/>
    <w:pPr>
      <w:tabs>
        <w:tab w:val="left" w:pos="1701"/>
        <w:tab w:val="right" w:leader="dot" w:pos="8789"/>
      </w:tabs>
      <w:ind w:left="1701" w:hanging="1701"/>
    </w:pPr>
  </w:style>
  <w:style w:type="character" w:styleId="Hyperlink">
    <w:name w:val="Hyperlink"/>
    <w:uiPriority w:val="99"/>
    <w:rPr>
      <w:color w:val="0000FF"/>
      <w:u w:val="single"/>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Shell">
    <w:name w:val="Shell"/>
    <w:basedOn w:val="Normal"/>
    <w:pPr>
      <w:spacing w:after="120"/>
      <w:ind w:left="1418"/>
    </w:pPr>
    <w:rPr>
      <w:rFonts w:ascii="Times New Roman" w:hAnsi="Times New Roman"/>
      <w:spacing w:val="0"/>
      <w:sz w:val="24"/>
    </w:rPr>
  </w:style>
  <w:style w:type="paragraph" w:styleId="BodyTextIndent2">
    <w:name w:val="Body Text Indent 2"/>
    <w:basedOn w:val="Normal"/>
    <w:pPr>
      <w:spacing w:after="120" w:line="480" w:lineRule="auto"/>
      <w:ind w:left="283"/>
    </w:pPr>
    <w:rPr>
      <w:rFonts w:ascii="Times New Roman" w:hAnsi="Times New Roman"/>
      <w:spacing w:val="0"/>
      <w:sz w:val="24"/>
    </w:rPr>
  </w:style>
  <w:style w:type="paragraph" w:customStyle="1" w:styleId="GreenHeading1">
    <w:name w:val="Green Heading 1"/>
    <w:basedOn w:val="Normal"/>
    <w:next w:val="Normal"/>
    <w:pPr>
      <w:keepNext/>
      <w:numPr>
        <w:numId w:val="5"/>
      </w:numPr>
      <w:pBdr>
        <w:top w:val="single" w:sz="12" w:space="6" w:color="auto"/>
      </w:pBdr>
      <w:spacing w:before="360" w:after="120"/>
    </w:pPr>
    <w:rPr>
      <w:b/>
      <w:spacing w:val="0"/>
      <w:sz w:val="28"/>
    </w:rPr>
  </w:style>
  <w:style w:type="paragraph" w:customStyle="1" w:styleId="GreenHeading2">
    <w:name w:val="Green Heading 2"/>
    <w:basedOn w:val="Normal"/>
    <w:next w:val="Normal"/>
    <w:pPr>
      <w:keepNext/>
      <w:numPr>
        <w:ilvl w:val="1"/>
        <w:numId w:val="5"/>
      </w:numPr>
      <w:spacing w:before="180" w:after="120"/>
    </w:pPr>
    <w:rPr>
      <w:b/>
      <w:spacing w:val="0"/>
      <w:sz w:val="24"/>
    </w:rPr>
  </w:style>
  <w:style w:type="paragraph" w:customStyle="1" w:styleId="GreenHeading3">
    <w:name w:val="Green Heading 3"/>
    <w:basedOn w:val="Normal"/>
    <w:next w:val="Normal"/>
    <w:pPr>
      <w:numPr>
        <w:ilvl w:val="2"/>
        <w:numId w:val="5"/>
      </w:numPr>
      <w:spacing w:after="120"/>
    </w:pPr>
    <w:rPr>
      <w:rFonts w:ascii="Times New Roman" w:hAnsi="Times New Roman"/>
      <w:spacing w:val="0"/>
      <w:sz w:val="24"/>
    </w:rPr>
  </w:style>
  <w:style w:type="paragraph" w:customStyle="1" w:styleId="GreenHeading4">
    <w:name w:val="Green Heading 4"/>
    <w:basedOn w:val="Normal"/>
    <w:next w:val="Normal"/>
    <w:pPr>
      <w:numPr>
        <w:ilvl w:val="3"/>
        <w:numId w:val="5"/>
      </w:numPr>
      <w:spacing w:after="120"/>
    </w:pPr>
    <w:rPr>
      <w:rFonts w:ascii="Times New Roman" w:hAnsi="Times New Roman"/>
      <w:spacing w:val="0"/>
      <w:sz w:val="24"/>
    </w:rPr>
  </w:style>
  <w:style w:type="paragraph" w:customStyle="1" w:styleId="GreenHeading5">
    <w:name w:val="Green Heading 5"/>
    <w:basedOn w:val="Normal"/>
    <w:next w:val="Normal"/>
    <w:pPr>
      <w:numPr>
        <w:ilvl w:val="4"/>
        <w:numId w:val="5"/>
      </w:numPr>
      <w:spacing w:after="120"/>
    </w:pPr>
    <w:rPr>
      <w:rFonts w:ascii="Times New Roman" w:hAnsi="Times New Roman"/>
      <w:spacing w:val="0"/>
      <w:sz w:val="24"/>
    </w:rPr>
  </w:style>
  <w:style w:type="paragraph" w:customStyle="1" w:styleId="GreenHeading6">
    <w:name w:val="Green Heading 6"/>
    <w:basedOn w:val="Normal"/>
    <w:next w:val="Normal"/>
    <w:pPr>
      <w:numPr>
        <w:ilvl w:val="5"/>
        <w:numId w:val="5"/>
      </w:numPr>
      <w:spacing w:after="120"/>
    </w:pPr>
    <w:rPr>
      <w:rFonts w:ascii="Times New Roman" w:hAnsi="Times New Roman"/>
      <w:spacing w:val="0"/>
      <w:sz w:val="24"/>
    </w:rPr>
  </w:style>
  <w:style w:type="paragraph" w:customStyle="1" w:styleId="GreenHeading7">
    <w:name w:val="Green Heading 7"/>
    <w:basedOn w:val="Normal"/>
    <w:next w:val="Normal"/>
    <w:pPr>
      <w:numPr>
        <w:ilvl w:val="6"/>
        <w:numId w:val="5"/>
      </w:numPr>
      <w:spacing w:after="120"/>
    </w:pPr>
    <w:rPr>
      <w:rFonts w:ascii="Times New Roman" w:hAnsi="Times New Roman"/>
      <w:spacing w:val="0"/>
      <w:sz w:val="24"/>
    </w:rPr>
  </w:style>
  <w:style w:type="paragraph" w:customStyle="1" w:styleId="GreenHeading8">
    <w:name w:val="Green Heading 8"/>
    <w:basedOn w:val="Normal"/>
    <w:next w:val="Normal"/>
    <w:pPr>
      <w:numPr>
        <w:ilvl w:val="7"/>
        <w:numId w:val="5"/>
      </w:numPr>
      <w:spacing w:after="120"/>
    </w:pPr>
    <w:rPr>
      <w:rFonts w:ascii="Times New Roman" w:hAnsi="Times New Roman"/>
      <w:spacing w:val="0"/>
      <w:sz w:val="24"/>
    </w:rPr>
  </w:style>
  <w:style w:type="paragraph" w:customStyle="1" w:styleId="GreenHeading9">
    <w:name w:val="Green Heading 9"/>
    <w:basedOn w:val="Normal"/>
    <w:next w:val="Normal"/>
    <w:pPr>
      <w:numPr>
        <w:ilvl w:val="8"/>
        <w:numId w:val="5"/>
      </w:numPr>
      <w:spacing w:after="120"/>
    </w:pPr>
    <w:rPr>
      <w:rFonts w:ascii="Times New Roman" w:hAnsi="Times New Roman"/>
      <w:spacing w:val="0"/>
      <w:sz w:val="24"/>
    </w:rPr>
  </w:style>
  <w:style w:type="paragraph" w:styleId="BodyTextIndent3">
    <w:name w:val="Body Text Indent 3"/>
    <w:basedOn w:val="Normal"/>
    <w:pPr>
      <w:ind w:left="567"/>
    </w:pPr>
  </w:style>
  <w:style w:type="paragraph" w:styleId="BodyText2">
    <w:name w:val="Body Text 2"/>
    <w:basedOn w:val="Normal"/>
    <w:pPr>
      <w:spacing w:after="240"/>
      <w:jc w:val="left"/>
    </w:pPr>
    <w:rPr>
      <w:rFonts w:ascii="Times New Roman" w:hAnsi="Times New Roman"/>
      <w:spacing w:val="0"/>
      <w:sz w:val="24"/>
    </w:rPr>
  </w:style>
  <w:style w:type="paragraph" w:customStyle="1" w:styleId="Normal-Numbered">
    <w:name w:val="Normal - Numbered"/>
    <w:basedOn w:val="Heading1"/>
    <w:pPr>
      <w:keepLines w:val="0"/>
      <w:numPr>
        <w:numId w:val="7"/>
      </w:numPr>
      <w:pBdr>
        <w:top w:val="none" w:sz="0" w:space="0" w:color="auto"/>
        <w:left w:val="none" w:sz="0" w:space="0" w:color="auto"/>
        <w:bottom w:val="none" w:sz="0" w:space="0" w:color="auto"/>
      </w:pBdr>
      <w:shd w:val="clear" w:color="auto" w:fill="auto"/>
      <w:tabs>
        <w:tab w:val="clear" w:pos="720"/>
      </w:tabs>
      <w:spacing w:before="0" w:after="0" w:line="240" w:lineRule="auto"/>
    </w:pPr>
    <w:rPr>
      <w:rFonts w:ascii="Times New Roman" w:hAnsi="Times New Roman"/>
      <w:b w:val="0"/>
      <w:snapToGrid w:val="0"/>
      <w:spacing w:val="0"/>
      <w:kern w:val="0"/>
      <w:sz w:val="24"/>
    </w:rPr>
  </w:style>
  <w:style w:type="paragraph" w:customStyle="1" w:styleId="issuesbox">
    <w:name w:val="issues box"/>
    <w:basedOn w:val="Heading3"/>
    <w:autoRedefine/>
    <w:pPr>
      <w:numPr>
        <w:ilvl w:val="0"/>
        <w:numId w:val="0"/>
      </w:numPr>
      <w:spacing w:before="0" w:after="0" w:line="240" w:lineRule="auto"/>
      <w:ind w:left="743" w:right="-908" w:hanging="743"/>
      <w:jc w:val="left"/>
    </w:pPr>
    <w:rPr>
      <w:rFonts w:ascii="Times New Roman" w:hAnsi="Times New Roman"/>
      <w:spacing w:val="0"/>
      <w:kern w:val="0"/>
      <w:sz w:val="24"/>
    </w:rPr>
  </w:style>
  <w:style w:type="paragraph" w:styleId="BalloonText">
    <w:name w:val="Balloon Text"/>
    <w:basedOn w:val="Normal"/>
    <w:semiHidden/>
    <w:pPr>
      <w:jc w:val="left"/>
    </w:pPr>
    <w:rPr>
      <w:rFonts w:ascii="Tahoma" w:hAnsi="Tahoma" w:cs="Tahoma"/>
      <w:spacing w:val="0"/>
      <w:sz w:val="16"/>
      <w:szCs w:val="16"/>
    </w:rPr>
  </w:style>
  <w:style w:type="paragraph" w:styleId="EnvelopeAddress">
    <w:name w:val="envelope address"/>
    <w:basedOn w:val="Normal"/>
    <w:pPr>
      <w:framePr w:w="7920" w:h="1980" w:hRule="exact" w:hSpace="180" w:wrap="auto" w:hAnchor="page" w:xAlign="center" w:yAlign="bottom"/>
      <w:ind w:left="2880"/>
      <w:jc w:val="left"/>
    </w:pPr>
    <w:rPr>
      <w:spacing w:val="0"/>
    </w:rPr>
  </w:style>
  <w:style w:type="paragraph" w:customStyle="1" w:styleId="font5">
    <w:name w:val="font5"/>
    <w:basedOn w:val="Normal"/>
    <w:pPr>
      <w:spacing w:before="100" w:beforeAutospacing="1" w:after="100" w:afterAutospacing="1"/>
      <w:jc w:val="left"/>
    </w:pPr>
    <w:rPr>
      <w:rFonts w:eastAsia="Arial Unicode MS" w:cs="Arial"/>
      <w:spacing w:val="0"/>
      <w:sz w:val="20"/>
    </w:rPr>
  </w:style>
  <w:style w:type="paragraph" w:customStyle="1" w:styleId="xl25">
    <w:name w:val="xl25"/>
    <w:basedOn w:val="Normal"/>
    <w:pPr>
      <w:spacing w:before="100" w:beforeAutospacing="1" w:after="100" w:afterAutospacing="1"/>
      <w:jc w:val="left"/>
    </w:pPr>
    <w:rPr>
      <w:rFonts w:eastAsia="Arial Unicode MS" w:cs="Arial"/>
      <w:b/>
      <w:bCs/>
      <w:spacing w:val="0"/>
      <w:sz w:val="24"/>
      <w:szCs w:val="24"/>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7">
    <w:name w:val="xl27"/>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9">
    <w:name w:val="xl29"/>
    <w:basedOn w:val="Normal"/>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pacing w:val="0"/>
      <w:sz w:val="24"/>
      <w:szCs w:val="24"/>
    </w:rPr>
  </w:style>
  <w:style w:type="paragraph" w:styleId="BodyText3">
    <w:name w:val="Body Text 3"/>
    <w:basedOn w:val="Normal"/>
    <w:pPr>
      <w:jc w:val="left"/>
    </w:pPr>
    <w:rPr>
      <w:i/>
      <w:iCs/>
      <w:color w:val="999999"/>
      <w:spacing w:val="0"/>
      <w:position w:val="-18"/>
      <w:sz w:val="16"/>
    </w:rPr>
  </w:style>
  <w:style w:type="paragraph" w:customStyle="1" w:styleId="Footnote-Text">
    <w:name w:val="Footnote - Text"/>
    <w:basedOn w:val="Normal"/>
    <w:pPr>
      <w:spacing w:after="40"/>
    </w:pPr>
    <w:rPr>
      <w:rFonts w:cs="Arial"/>
      <w:color w:val="000000"/>
      <w:spacing w:val="-2"/>
      <w:sz w:val="16"/>
    </w:rPr>
  </w:style>
  <w:style w:type="character" w:styleId="FollowedHyperlink">
    <w:name w:val="FollowedHyperlink"/>
    <w:rPr>
      <w:color w:val="800080"/>
      <w:u w:val="single"/>
    </w:rPr>
  </w:style>
  <w:style w:type="paragraph" w:styleId="DocumentMap">
    <w:name w:val="Document Map"/>
    <w:basedOn w:val="Normal"/>
    <w:semiHidden/>
    <w:rsid w:val="00C418DC"/>
    <w:pPr>
      <w:shd w:val="clear" w:color="auto" w:fill="000080"/>
    </w:pPr>
    <w:rPr>
      <w:rFonts w:ascii="Tahoma" w:hAnsi="Tahoma" w:cs="Tahoma"/>
      <w:sz w:val="20"/>
    </w:rPr>
  </w:style>
  <w:style w:type="paragraph" w:styleId="CommentSubject">
    <w:name w:val="annotation subject"/>
    <w:basedOn w:val="CommentText"/>
    <w:next w:val="CommentText"/>
    <w:semiHidden/>
    <w:rsid w:val="000C0ABD"/>
    <w:pPr>
      <w:keepLines w:val="0"/>
      <w:pBdr>
        <w:top w:val="none" w:sz="0" w:space="0" w:color="auto"/>
        <w:left w:val="none" w:sz="0" w:space="0" w:color="auto"/>
        <w:bottom w:val="none" w:sz="0" w:space="0" w:color="auto"/>
        <w:right w:val="none" w:sz="0" w:space="0" w:color="auto"/>
      </w:pBdr>
      <w:spacing w:before="0" w:after="0" w:line="240" w:lineRule="auto"/>
      <w:ind w:left="0"/>
    </w:pPr>
    <w:rPr>
      <w:b/>
      <w:bCs/>
      <w:sz w:val="20"/>
    </w:rPr>
  </w:style>
  <w:style w:type="paragraph" w:customStyle="1" w:styleId="AERnumberedlistthirdstyle">
    <w:name w:val="AER numbered list (third style)"/>
    <w:basedOn w:val="Normal"/>
    <w:rsid w:val="00387084"/>
    <w:pPr>
      <w:numPr>
        <w:numId w:val="14"/>
      </w:numPr>
      <w:tabs>
        <w:tab w:val="clear" w:pos="1440"/>
        <w:tab w:val="left" w:pos="1077"/>
      </w:tabs>
      <w:spacing w:after="200" w:line="288" w:lineRule="auto"/>
      <w:ind w:left="1077" w:hanging="357"/>
    </w:pPr>
    <w:rPr>
      <w:rFonts w:ascii="Gautami" w:hAnsi="Gautami"/>
      <w:spacing w:val="0"/>
      <w:sz w:val="20"/>
      <w:szCs w:val="24"/>
    </w:rPr>
  </w:style>
  <w:style w:type="paragraph" w:customStyle="1" w:styleId="AERbulletlistsecondstyle">
    <w:name w:val="AER bullet list (second style)"/>
    <w:basedOn w:val="Normal"/>
    <w:rsid w:val="003E2CEC"/>
    <w:pPr>
      <w:numPr>
        <w:numId w:val="16"/>
      </w:numPr>
      <w:tabs>
        <w:tab w:val="clear" w:pos="714"/>
        <w:tab w:val="left" w:pos="720"/>
      </w:tabs>
      <w:spacing w:after="200" w:line="288" w:lineRule="auto"/>
      <w:ind w:left="720" w:hanging="363"/>
    </w:pPr>
    <w:rPr>
      <w:rFonts w:ascii="Gautami" w:hAnsi="Gautami"/>
      <w:spacing w:val="0"/>
      <w:sz w:val="20"/>
      <w:szCs w:val="24"/>
    </w:rPr>
  </w:style>
  <w:style w:type="paragraph" w:customStyle="1" w:styleId="AERnumberedlistsecondstyle">
    <w:name w:val="AER numbered list (second style)"/>
    <w:basedOn w:val="Normal"/>
    <w:rsid w:val="003E2CEC"/>
    <w:pPr>
      <w:numPr>
        <w:numId w:val="17"/>
      </w:numPr>
      <w:spacing w:after="200" w:line="200" w:lineRule="atLeast"/>
    </w:pPr>
    <w:rPr>
      <w:rFonts w:ascii="Gautami" w:hAnsi="Gautami"/>
      <w:spacing w:val="0"/>
      <w:sz w:val="20"/>
      <w:szCs w:val="24"/>
    </w:rPr>
  </w:style>
  <w:style w:type="table" w:styleId="TableGrid">
    <w:name w:val="Table Grid"/>
    <w:basedOn w:val="TableNormal"/>
    <w:rsid w:val="00F76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Rtextbold">
    <w:name w:val="AER text bold"/>
    <w:rsid w:val="00F7668E"/>
    <w:rPr>
      <w:b/>
    </w:rPr>
  </w:style>
  <w:style w:type="character" w:customStyle="1" w:styleId="FooterChar">
    <w:name w:val="Footer Char"/>
    <w:link w:val="Footer"/>
    <w:rsid w:val="00F31C59"/>
    <w:rPr>
      <w:rFonts w:ascii="Arial" w:hAnsi="Arial"/>
      <w:caps/>
      <w:spacing w:val="-5"/>
      <w:sz w:val="15"/>
      <w:lang w:eastAsia="en-US"/>
    </w:rPr>
  </w:style>
  <w:style w:type="character" w:customStyle="1" w:styleId="HeaderChar">
    <w:name w:val="Header Char"/>
    <w:link w:val="Header"/>
    <w:rsid w:val="00F31C59"/>
    <w:rPr>
      <w:rFonts w:ascii="Arial" w:hAnsi="Arial"/>
      <w:caps/>
      <w:spacing w:val="-5"/>
      <w:sz w:val="15"/>
      <w:lang w:eastAsia="en-US"/>
    </w:rPr>
  </w:style>
  <w:style w:type="paragraph" w:customStyle="1" w:styleId="Hbooktitle">
    <w:name w:val="Hbook title"/>
    <w:basedOn w:val="Normal"/>
    <w:autoRedefine/>
    <w:rsid w:val="00F31C59"/>
    <w:pPr>
      <w:spacing w:after="360"/>
      <w:jc w:val="left"/>
    </w:pPr>
    <w:rPr>
      <w:rFonts w:ascii="Arial Bold" w:hAnsi="Arial Bold" w:cs="Arial"/>
      <w:b/>
      <w:bCs/>
      <w:spacing w:val="0"/>
      <w:sz w:val="72"/>
      <w:szCs w:val="24"/>
    </w:rPr>
  </w:style>
  <w:style w:type="paragraph" w:customStyle="1" w:styleId="Hbooktype">
    <w:name w:val="Hbook type"/>
    <w:basedOn w:val="Normal"/>
    <w:rsid w:val="00F31C59"/>
    <w:pPr>
      <w:spacing w:after="1680"/>
      <w:jc w:val="left"/>
    </w:pPr>
    <w:rPr>
      <w:rFonts w:ascii="Arial Bold" w:hAnsi="Arial Bold" w:cs="Arial"/>
      <w:b/>
      <w:bCs/>
      <w:spacing w:val="0"/>
      <w:sz w:val="44"/>
      <w:szCs w:val="24"/>
    </w:rPr>
  </w:style>
  <w:style w:type="character" w:customStyle="1" w:styleId="BodyTextChar">
    <w:name w:val="Body Text Char"/>
    <w:link w:val="BodyText"/>
    <w:rsid w:val="008A599C"/>
    <w:rPr>
      <w:rFonts w:ascii="Arial" w:hAnsi="Arial" w:cs="Arial"/>
      <w:spacing w:val="-5"/>
      <w:sz w:val="22"/>
      <w:szCs w:val="24"/>
    </w:rPr>
  </w:style>
  <w:style w:type="character" w:customStyle="1" w:styleId="Heading4Char">
    <w:name w:val="Heading 4 Char"/>
    <w:link w:val="Heading4"/>
    <w:rsid w:val="006929AA"/>
    <w:rPr>
      <w:rFonts w:ascii="Arial" w:hAnsi="Arial" w:cs="Arial"/>
      <w:bCs/>
      <w:spacing w:val="-5"/>
      <w:sz w:val="22"/>
      <w:szCs w:val="24"/>
    </w:rPr>
  </w:style>
  <w:style w:type="paragraph" w:styleId="ListParagraph">
    <w:name w:val="List Paragraph"/>
    <w:basedOn w:val="Normal"/>
    <w:uiPriority w:val="34"/>
    <w:qFormat/>
    <w:rsid w:val="00C05867"/>
    <w:pPr>
      <w:ind w:left="720"/>
    </w:pPr>
  </w:style>
  <w:style w:type="paragraph" w:styleId="Revision">
    <w:name w:val="Revision"/>
    <w:hidden/>
    <w:uiPriority w:val="99"/>
    <w:semiHidden/>
    <w:rsid w:val="00D37A39"/>
    <w:rPr>
      <w:rFonts w:ascii="Arial" w:hAnsi="Arial"/>
      <w:spacing w:val="-5"/>
      <w:sz w:val="22"/>
      <w:lang w:eastAsia="en-US"/>
    </w:rPr>
  </w:style>
  <w:style w:type="paragraph" w:customStyle="1" w:styleId="BodyTextindent0">
    <w:name w:val="Body Text (indent)"/>
    <w:basedOn w:val="BodyText"/>
    <w:uiPriority w:val="1"/>
    <w:qFormat/>
    <w:rsid w:val="00E2213F"/>
    <w:pPr>
      <w:spacing w:before="120" w:after="120" w:line="260" w:lineRule="atLeast"/>
      <w:ind w:left="357" w:firstLine="0"/>
      <w:jc w:val="left"/>
    </w:pPr>
    <w:rPr>
      <w:rFonts w:ascii="Tahoma" w:eastAsiaTheme="minorHAnsi" w:hAnsi="Tahoma" w:cstheme="minorBidi"/>
      <w:spacing w:val="0"/>
      <w:szCs w:val="22"/>
      <w:lang w:val="en-US" w:eastAsia="en-US"/>
    </w:rPr>
  </w:style>
  <w:style w:type="paragraph" w:customStyle="1" w:styleId="Bodytextindent30">
    <w:name w:val="Body text (indent 3)"/>
    <w:basedOn w:val="BodyText"/>
    <w:uiPriority w:val="2"/>
    <w:qFormat/>
    <w:rsid w:val="00E2213F"/>
    <w:pPr>
      <w:spacing w:before="120" w:after="120" w:line="260" w:lineRule="atLeast"/>
      <w:ind w:left="1077" w:firstLine="0"/>
      <w:jc w:val="left"/>
    </w:pPr>
    <w:rPr>
      <w:rFonts w:ascii="Tahoma" w:eastAsiaTheme="minorHAnsi" w:hAnsi="Tahoma" w:cstheme="minorBidi"/>
      <w:spacing w:val="0"/>
      <w:szCs w:val="22"/>
      <w:lang w:val="en-US" w:eastAsia="en-US"/>
    </w:rPr>
  </w:style>
  <w:style w:type="paragraph" w:customStyle="1" w:styleId="BodyListNumberLevel1">
    <w:name w:val="Body List Number Level 1"/>
    <w:basedOn w:val="BodyText"/>
    <w:qFormat/>
    <w:rsid w:val="00E2213F"/>
    <w:pPr>
      <w:numPr>
        <w:numId w:val="28"/>
      </w:numPr>
      <w:spacing w:before="120" w:after="120" w:line="280" w:lineRule="atLeast"/>
      <w:jc w:val="left"/>
    </w:pPr>
    <w:rPr>
      <w:rFonts w:asciiTheme="minorHAnsi" w:hAnsiTheme="minorHAnsi" w:cs="Times New Roman"/>
      <w:spacing w:val="0"/>
      <w:szCs w:val="22"/>
      <w:lang w:eastAsia="en-US"/>
    </w:rPr>
  </w:style>
  <w:style w:type="paragraph" w:customStyle="1" w:styleId="BodyListNumberLevel2">
    <w:name w:val="Body List Number Level 2"/>
    <w:basedOn w:val="BodyListNumberLevel1"/>
    <w:qFormat/>
    <w:rsid w:val="00E2213F"/>
    <w:pPr>
      <w:numPr>
        <w:ilvl w:val="1"/>
      </w:numPr>
      <w:spacing w:afterAutospacing="1"/>
    </w:pPr>
  </w:style>
  <w:style w:type="paragraph" w:customStyle="1" w:styleId="BodyListNumberLevel3">
    <w:name w:val="Body List Number Level 3"/>
    <w:basedOn w:val="Normal"/>
    <w:qFormat/>
    <w:rsid w:val="00E2213F"/>
    <w:pPr>
      <w:numPr>
        <w:ilvl w:val="2"/>
        <w:numId w:val="28"/>
      </w:numPr>
      <w:spacing w:before="120" w:after="0" w:afterAutospacing="1" w:line="280" w:lineRule="atLeast"/>
      <w:jc w:val="left"/>
    </w:pPr>
    <w:rPr>
      <w:rFonts w:asciiTheme="minorHAnsi" w:hAnsiTheme="minorHAnsi"/>
      <w:spacing w:val="0"/>
      <w:szCs w:val="22"/>
    </w:rPr>
  </w:style>
  <w:style w:type="character" w:customStyle="1" w:styleId="CommentTextChar">
    <w:name w:val="Comment Text Char"/>
    <w:basedOn w:val="DefaultParagraphFont"/>
    <w:link w:val="CommentText"/>
    <w:uiPriority w:val="99"/>
    <w:rsid w:val="00467127"/>
    <w:rPr>
      <w:rFonts w:ascii="Arial" w:hAnsi="Arial"/>
      <w:spacing w:val="-5"/>
      <w:sz w:val="22"/>
      <w:lang w:eastAsia="en-US"/>
    </w:rPr>
  </w:style>
  <w:style w:type="character" w:customStyle="1" w:styleId="Heading1Char">
    <w:name w:val="Heading 1 Char"/>
    <w:basedOn w:val="DefaultParagraphFont"/>
    <w:link w:val="Heading1"/>
    <w:rsid w:val="00C97747"/>
    <w:rPr>
      <w:rFonts w:ascii="Arial Bold" w:hAnsi="Arial Bold"/>
      <w:b/>
      <w:color w:val="000080"/>
      <w:spacing w:val="-10"/>
      <w:kern w:val="20"/>
      <w:sz w:val="28"/>
      <w:shd w:val="clear" w:color="auto" w:fill="C0C0C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4575">
      <w:bodyDiv w:val="1"/>
      <w:marLeft w:val="0"/>
      <w:marRight w:val="0"/>
      <w:marTop w:val="0"/>
      <w:marBottom w:val="0"/>
      <w:divBdr>
        <w:top w:val="none" w:sz="0" w:space="0" w:color="auto"/>
        <w:left w:val="none" w:sz="0" w:space="0" w:color="auto"/>
        <w:bottom w:val="none" w:sz="0" w:space="0" w:color="auto"/>
        <w:right w:val="none" w:sz="0" w:space="0" w:color="auto"/>
      </w:divBdr>
    </w:div>
    <w:div w:id="1011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1.bin"/><Relationship Id="rId42" Type="http://schemas.openxmlformats.org/officeDocument/2006/relationships/image" Target="media/image15.wmf"/><Relationship Id="rId47" Type="http://schemas.openxmlformats.org/officeDocument/2006/relationships/oleObject" Target="embeddings/oleObject14.bin"/><Relationship Id="rId63" Type="http://schemas.openxmlformats.org/officeDocument/2006/relationships/oleObject" Target="embeddings/oleObject23.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image" Target="media/image37.wmf"/><Relationship Id="rId112"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31.bin"/><Relationship Id="rId87" Type="http://schemas.openxmlformats.org/officeDocument/2006/relationships/image" Target="media/image36.wmf"/><Relationship Id="rId102" Type="http://schemas.openxmlformats.org/officeDocument/2006/relationships/oleObject" Target="embeddings/oleObject44.bin"/><Relationship Id="rId110" Type="http://schemas.openxmlformats.org/officeDocument/2006/relationships/image" Target="media/image46.png"/><Relationship Id="rId5" Type="http://schemas.openxmlformats.org/officeDocument/2006/relationships/settings" Target="settings.xml"/><Relationship Id="rId61" Type="http://schemas.openxmlformats.org/officeDocument/2006/relationships/oleObject" Target="embeddings/oleObject22.bin"/><Relationship Id="rId82" Type="http://schemas.openxmlformats.org/officeDocument/2006/relationships/image" Target="media/image34.wmf"/><Relationship Id="rId90" Type="http://schemas.openxmlformats.org/officeDocument/2006/relationships/oleObject" Target="embeddings/oleObject37.bin"/><Relationship Id="rId95" Type="http://schemas.openxmlformats.org/officeDocument/2006/relationships/image" Target="media/image39.wmf"/><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image" Target="media/image9.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oleObject" Target="embeddings/oleObject43.bin"/><Relationship Id="rId105" Type="http://schemas.openxmlformats.org/officeDocument/2006/relationships/oleObject" Target="embeddings/oleObject47.bin"/><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34.bin"/><Relationship Id="rId93" Type="http://schemas.openxmlformats.org/officeDocument/2006/relationships/image" Target="media/image38.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oleObject" Target="embeddings/oleObject45.bin"/><Relationship Id="rId108" Type="http://schemas.openxmlformats.org/officeDocument/2006/relationships/image" Target="media/image44.png"/><Relationship Id="rId20" Type="http://schemas.openxmlformats.org/officeDocument/2006/relationships/image" Target="media/image4.wmf"/><Relationship Id="rId41" Type="http://schemas.openxmlformats.org/officeDocument/2006/relationships/oleObject" Target="embeddings/oleObject11.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oleObject" Target="embeddings/oleObject38.bin"/><Relationship Id="rId96" Type="http://schemas.openxmlformats.org/officeDocument/2006/relationships/oleObject" Target="embeddings/oleObject41.bin"/><Relationship Id="rId111"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5.bin"/><Relationship Id="rId57" Type="http://schemas.openxmlformats.org/officeDocument/2006/relationships/oleObject" Target="embeddings/oleObject20.bin"/><Relationship Id="rId106" Type="http://schemas.openxmlformats.org/officeDocument/2006/relationships/image" Target="media/image43.wmf"/><Relationship Id="rId114"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oleObject" Target="embeddings/oleObject6.bin"/><Relationship Id="rId44" Type="http://schemas.openxmlformats.org/officeDocument/2006/relationships/image" Target="media/image16.wmf"/><Relationship Id="rId52" Type="http://schemas.openxmlformats.org/officeDocument/2006/relationships/oleObject" Target="embeddings/oleObject17.bin"/><Relationship Id="rId60" Type="http://schemas.openxmlformats.org/officeDocument/2006/relationships/image" Target="media/image23.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2.wmf"/><Relationship Id="rId81" Type="http://schemas.openxmlformats.org/officeDocument/2006/relationships/oleObject" Target="embeddings/oleObject32.bin"/><Relationship Id="rId86" Type="http://schemas.openxmlformats.org/officeDocument/2006/relationships/oleObject" Target="embeddings/oleObject35.bin"/><Relationship Id="rId94" Type="http://schemas.openxmlformats.org/officeDocument/2006/relationships/oleObject" Target="embeddings/oleObject40.bin"/><Relationship Id="rId99" Type="http://schemas.openxmlformats.org/officeDocument/2006/relationships/image" Target="media/image41.wmf"/><Relationship Id="rId101" Type="http://schemas.openxmlformats.org/officeDocument/2006/relationships/image" Target="media/image42.wmf"/><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oleObject" Target="embeddings/oleObject10.bin"/><Relationship Id="rId109" Type="http://schemas.openxmlformats.org/officeDocument/2006/relationships/image" Target="media/image45.png"/><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19.bin"/><Relationship Id="rId76" Type="http://schemas.openxmlformats.org/officeDocument/2006/relationships/image" Target="media/image31.wmf"/><Relationship Id="rId97" Type="http://schemas.openxmlformats.org/officeDocument/2006/relationships/image" Target="media/image40.wmf"/><Relationship Id="rId104" Type="http://schemas.openxmlformats.org/officeDocument/2006/relationships/oleObject" Target="embeddings/oleObject46.bin"/><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oleObject" Target="embeddings/oleObject39.bin"/></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032C-6BBA-4DCC-9665-A1A8F304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13385</Words>
  <Characters>75812</Characters>
  <Application>Microsoft Office Word</Application>
  <DocSecurity>0</DocSecurity>
  <Lines>631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89019</CharactersWithSpaces>
  <SharedDoc>false</SharedDoc>
  <HLinks>
    <vt:vector size="258" baseType="variant">
      <vt:variant>
        <vt:i4>1441846</vt:i4>
      </vt:variant>
      <vt:variant>
        <vt:i4>254</vt:i4>
      </vt:variant>
      <vt:variant>
        <vt:i4>0</vt:i4>
      </vt:variant>
      <vt:variant>
        <vt:i4>5</vt:i4>
      </vt:variant>
      <vt:variant>
        <vt:lpwstr/>
      </vt:variant>
      <vt:variant>
        <vt:lpwstr>_Toc460246632</vt:lpwstr>
      </vt:variant>
      <vt:variant>
        <vt:i4>1441846</vt:i4>
      </vt:variant>
      <vt:variant>
        <vt:i4>248</vt:i4>
      </vt:variant>
      <vt:variant>
        <vt:i4>0</vt:i4>
      </vt:variant>
      <vt:variant>
        <vt:i4>5</vt:i4>
      </vt:variant>
      <vt:variant>
        <vt:lpwstr/>
      </vt:variant>
      <vt:variant>
        <vt:lpwstr>_Toc460246631</vt:lpwstr>
      </vt:variant>
      <vt:variant>
        <vt:i4>1441846</vt:i4>
      </vt:variant>
      <vt:variant>
        <vt:i4>242</vt:i4>
      </vt:variant>
      <vt:variant>
        <vt:i4>0</vt:i4>
      </vt:variant>
      <vt:variant>
        <vt:i4>5</vt:i4>
      </vt:variant>
      <vt:variant>
        <vt:lpwstr/>
      </vt:variant>
      <vt:variant>
        <vt:lpwstr>_Toc460246630</vt:lpwstr>
      </vt:variant>
      <vt:variant>
        <vt:i4>1507382</vt:i4>
      </vt:variant>
      <vt:variant>
        <vt:i4>236</vt:i4>
      </vt:variant>
      <vt:variant>
        <vt:i4>0</vt:i4>
      </vt:variant>
      <vt:variant>
        <vt:i4>5</vt:i4>
      </vt:variant>
      <vt:variant>
        <vt:lpwstr/>
      </vt:variant>
      <vt:variant>
        <vt:lpwstr>_Toc460246629</vt:lpwstr>
      </vt:variant>
      <vt:variant>
        <vt:i4>1507382</vt:i4>
      </vt:variant>
      <vt:variant>
        <vt:i4>230</vt:i4>
      </vt:variant>
      <vt:variant>
        <vt:i4>0</vt:i4>
      </vt:variant>
      <vt:variant>
        <vt:i4>5</vt:i4>
      </vt:variant>
      <vt:variant>
        <vt:lpwstr/>
      </vt:variant>
      <vt:variant>
        <vt:lpwstr>_Toc460246628</vt:lpwstr>
      </vt:variant>
      <vt:variant>
        <vt:i4>1507382</vt:i4>
      </vt:variant>
      <vt:variant>
        <vt:i4>224</vt:i4>
      </vt:variant>
      <vt:variant>
        <vt:i4>0</vt:i4>
      </vt:variant>
      <vt:variant>
        <vt:i4>5</vt:i4>
      </vt:variant>
      <vt:variant>
        <vt:lpwstr/>
      </vt:variant>
      <vt:variant>
        <vt:lpwstr>_Toc460246627</vt:lpwstr>
      </vt:variant>
      <vt:variant>
        <vt:i4>1507382</vt:i4>
      </vt:variant>
      <vt:variant>
        <vt:i4>218</vt:i4>
      </vt:variant>
      <vt:variant>
        <vt:i4>0</vt:i4>
      </vt:variant>
      <vt:variant>
        <vt:i4>5</vt:i4>
      </vt:variant>
      <vt:variant>
        <vt:lpwstr/>
      </vt:variant>
      <vt:variant>
        <vt:lpwstr>_Toc460246626</vt:lpwstr>
      </vt:variant>
      <vt:variant>
        <vt:i4>1507382</vt:i4>
      </vt:variant>
      <vt:variant>
        <vt:i4>212</vt:i4>
      </vt:variant>
      <vt:variant>
        <vt:i4>0</vt:i4>
      </vt:variant>
      <vt:variant>
        <vt:i4>5</vt:i4>
      </vt:variant>
      <vt:variant>
        <vt:lpwstr/>
      </vt:variant>
      <vt:variant>
        <vt:lpwstr>_Toc460246625</vt:lpwstr>
      </vt:variant>
      <vt:variant>
        <vt:i4>1507382</vt:i4>
      </vt:variant>
      <vt:variant>
        <vt:i4>206</vt:i4>
      </vt:variant>
      <vt:variant>
        <vt:i4>0</vt:i4>
      </vt:variant>
      <vt:variant>
        <vt:i4>5</vt:i4>
      </vt:variant>
      <vt:variant>
        <vt:lpwstr/>
      </vt:variant>
      <vt:variant>
        <vt:lpwstr>_Toc460246624</vt:lpwstr>
      </vt:variant>
      <vt:variant>
        <vt:i4>1507382</vt:i4>
      </vt:variant>
      <vt:variant>
        <vt:i4>200</vt:i4>
      </vt:variant>
      <vt:variant>
        <vt:i4>0</vt:i4>
      </vt:variant>
      <vt:variant>
        <vt:i4>5</vt:i4>
      </vt:variant>
      <vt:variant>
        <vt:lpwstr/>
      </vt:variant>
      <vt:variant>
        <vt:lpwstr>_Toc460246623</vt:lpwstr>
      </vt:variant>
      <vt:variant>
        <vt:i4>1507382</vt:i4>
      </vt:variant>
      <vt:variant>
        <vt:i4>194</vt:i4>
      </vt:variant>
      <vt:variant>
        <vt:i4>0</vt:i4>
      </vt:variant>
      <vt:variant>
        <vt:i4>5</vt:i4>
      </vt:variant>
      <vt:variant>
        <vt:lpwstr/>
      </vt:variant>
      <vt:variant>
        <vt:lpwstr>_Toc460246622</vt:lpwstr>
      </vt:variant>
      <vt:variant>
        <vt:i4>1507382</vt:i4>
      </vt:variant>
      <vt:variant>
        <vt:i4>188</vt:i4>
      </vt:variant>
      <vt:variant>
        <vt:i4>0</vt:i4>
      </vt:variant>
      <vt:variant>
        <vt:i4>5</vt:i4>
      </vt:variant>
      <vt:variant>
        <vt:lpwstr/>
      </vt:variant>
      <vt:variant>
        <vt:lpwstr>_Toc460246621</vt:lpwstr>
      </vt:variant>
      <vt:variant>
        <vt:i4>1507382</vt:i4>
      </vt:variant>
      <vt:variant>
        <vt:i4>182</vt:i4>
      </vt:variant>
      <vt:variant>
        <vt:i4>0</vt:i4>
      </vt:variant>
      <vt:variant>
        <vt:i4>5</vt:i4>
      </vt:variant>
      <vt:variant>
        <vt:lpwstr/>
      </vt:variant>
      <vt:variant>
        <vt:lpwstr>_Toc460246620</vt:lpwstr>
      </vt:variant>
      <vt:variant>
        <vt:i4>1310774</vt:i4>
      </vt:variant>
      <vt:variant>
        <vt:i4>176</vt:i4>
      </vt:variant>
      <vt:variant>
        <vt:i4>0</vt:i4>
      </vt:variant>
      <vt:variant>
        <vt:i4>5</vt:i4>
      </vt:variant>
      <vt:variant>
        <vt:lpwstr/>
      </vt:variant>
      <vt:variant>
        <vt:lpwstr>_Toc460246619</vt:lpwstr>
      </vt:variant>
      <vt:variant>
        <vt:i4>1310774</vt:i4>
      </vt:variant>
      <vt:variant>
        <vt:i4>170</vt:i4>
      </vt:variant>
      <vt:variant>
        <vt:i4>0</vt:i4>
      </vt:variant>
      <vt:variant>
        <vt:i4>5</vt:i4>
      </vt:variant>
      <vt:variant>
        <vt:lpwstr/>
      </vt:variant>
      <vt:variant>
        <vt:lpwstr>_Toc460246618</vt:lpwstr>
      </vt:variant>
      <vt:variant>
        <vt:i4>1310774</vt:i4>
      </vt:variant>
      <vt:variant>
        <vt:i4>164</vt:i4>
      </vt:variant>
      <vt:variant>
        <vt:i4>0</vt:i4>
      </vt:variant>
      <vt:variant>
        <vt:i4>5</vt:i4>
      </vt:variant>
      <vt:variant>
        <vt:lpwstr/>
      </vt:variant>
      <vt:variant>
        <vt:lpwstr>_Toc460246617</vt:lpwstr>
      </vt:variant>
      <vt:variant>
        <vt:i4>1310774</vt:i4>
      </vt:variant>
      <vt:variant>
        <vt:i4>158</vt:i4>
      </vt:variant>
      <vt:variant>
        <vt:i4>0</vt:i4>
      </vt:variant>
      <vt:variant>
        <vt:i4>5</vt:i4>
      </vt:variant>
      <vt:variant>
        <vt:lpwstr/>
      </vt:variant>
      <vt:variant>
        <vt:lpwstr>_Toc460246616</vt:lpwstr>
      </vt:variant>
      <vt:variant>
        <vt:i4>1310774</vt:i4>
      </vt:variant>
      <vt:variant>
        <vt:i4>152</vt:i4>
      </vt:variant>
      <vt:variant>
        <vt:i4>0</vt:i4>
      </vt:variant>
      <vt:variant>
        <vt:i4>5</vt:i4>
      </vt:variant>
      <vt:variant>
        <vt:lpwstr/>
      </vt:variant>
      <vt:variant>
        <vt:lpwstr>_Toc460246615</vt:lpwstr>
      </vt:variant>
      <vt:variant>
        <vt:i4>1310774</vt:i4>
      </vt:variant>
      <vt:variant>
        <vt:i4>146</vt:i4>
      </vt:variant>
      <vt:variant>
        <vt:i4>0</vt:i4>
      </vt:variant>
      <vt:variant>
        <vt:i4>5</vt:i4>
      </vt:variant>
      <vt:variant>
        <vt:lpwstr/>
      </vt:variant>
      <vt:variant>
        <vt:lpwstr>_Toc460246614</vt:lpwstr>
      </vt:variant>
      <vt:variant>
        <vt:i4>1310774</vt:i4>
      </vt:variant>
      <vt:variant>
        <vt:i4>140</vt:i4>
      </vt:variant>
      <vt:variant>
        <vt:i4>0</vt:i4>
      </vt:variant>
      <vt:variant>
        <vt:i4>5</vt:i4>
      </vt:variant>
      <vt:variant>
        <vt:lpwstr/>
      </vt:variant>
      <vt:variant>
        <vt:lpwstr>_Toc460246613</vt:lpwstr>
      </vt:variant>
      <vt:variant>
        <vt:i4>1310774</vt:i4>
      </vt:variant>
      <vt:variant>
        <vt:i4>134</vt:i4>
      </vt:variant>
      <vt:variant>
        <vt:i4>0</vt:i4>
      </vt:variant>
      <vt:variant>
        <vt:i4>5</vt:i4>
      </vt:variant>
      <vt:variant>
        <vt:lpwstr/>
      </vt:variant>
      <vt:variant>
        <vt:lpwstr>_Toc460246612</vt:lpwstr>
      </vt:variant>
      <vt:variant>
        <vt:i4>1310774</vt:i4>
      </vt:variant>
      <vt:variant>
        <vt:i4>128</vt:i4>
      </vt:variant>
      <vt:variant>
        <vt:i4>0</vt:i4>
      </vt:variant>
      <vt:variant>
        <vt:i4>5</vt:i4>
      </vt:variant>
      <vt:variant>
        <vt:lpwstr/>
      </vt:variant>
      <vt:variant>
        <vt:lpwstr>_Toc460246611</vt:lpwstr>
      </vt:variant>
      <vt:variant>
        <vt:i4>1310774</vt:i4>
      </vt:variant>
      <vt:variant>
        <vt:i4>122</vt:i4>
      </vt:variant>
      <vt:variant>
        <vt:i4>0</vt:i4>
      </vt:variant>
      <vt:variant>
        <vt:i4>5</vt:i4>
      </vt:variant>
      <vt:variant>
        <vt:lpwstr/>
      </vt:variant>
      <vt:variant>
        <vt:lpwstr>_Toc460246610</vt:lpwstr>
      </vt:variant>
      <vt:variant>
        <vt:i4>1376310</vt:i4>
      </vt:variant>
      <vt:variant>
        <vt:i4>116</vt:i4>
      </vt:variant>
      <vt:variant>
        <vt:i4>0</vt:i4>
      </vt:variant>
      <vt:variant>
        <vt:i4>5</vt:i4>
      </vt:variant>
      <vt:variant>
        <vt:lpwstr/>
      </vt:variant>
      <vt:variant>
        <vt:lpwstr>_Toc460246609</vt:lpwstr>
      </vt:variant>
      <vt:variant>
        <vt:i4>1376310</vt:i4>
      </vt:variant>
      <vt:variant>
        <vt:i4>110</vt:i4>
      </vt:variant>
      <vt:variant>
        <vt:i4>0</vt:i4>
      </vt:variant>
      <vt:variant>
        <vt:i4>5</vt:i4>
      </vt:variant>
      <vt:variant>
        <vt:lpwstr/>
      </vt:variant>
      <vt:variant>
        <vt:lpwstr>_Toc460246608</vt:lpwstr>
      </vt:variant>
      <vt:variant>
        <vt:i4>1376310</vt:i4>
      </vt:variant>
      <vt:variant>
        <vt:i4>104</vt:i4>
      </vt:variant>
      <vt:variant>
        <vt:i4>0</vt:i4>
      </vt:variant>
      <vt:variant>
        <vt:i4>5</vt:i4>
      </vt:variant>
      <vt:variant>
        <vt:lpwstr/>
      </vt:variant>
      <vt:variant>
        <vt:lpwstr>_Toc460246607</vt:lpwstr>
      </vt:variant>
      <vt:variant>
        <vt:i4>1376310</vt:i4>
      </vt:variant>
      <vt:variant>
        <vt:i4>98</vt:i4>
      </vt:variant>
      <vt:variant>
        <vt:i4>0</vt:i4>
      </vt:variant>
      <vt:variant>
        <vt:i4>5</vt:i4>
      </vt:variant>
      <vt:variant>
        <vt:lpwstr/>
      </vt:variant>
      <vt:variant>
        <vt:lpwstr>_Toc460246606</vt:lpwstr>
      </vt:variant>
      <vt:variant>
        <vt:i4>1376310</vt:i4>
      </vt:variant>
      <vt:variant>
        <vt:i4>92</vt:i4>
      </vt:variant>
      <vt:variant>
        <vt:i4>0</vt:i4>
      </vt:variant>
      <vt:variant>
        <vt:i4>5</vt:i4>
      </vt:variant>
      <vt:variant>
        <vt:lpwstr/>
      </vt:variant>
      <vt:variant>
        <vt:lpwstr>_Toc460246605</vt:lpwstr>
      </vt:variant>
      <vt:variant>
        <vt:i4>1376310</vt:i4>
      </vt:variant>
      <vt:variant>
        <vt:i4>86</vt:i4>
      </vt:variant>
      <vt:variant>
        <vt:i4>0</vt:i4>
      </vt:variant>
      <vt:variant>
        <vt:i4>5</vt:i4>
      </vt:variant>
      <vt:variant>
        <vt:lpwstr/>
      </vt:variant>
      <vt:variant>
        <vt:lpwstr>_Toc460246604</vt:lpwstr>
      </vt:variant>
      <vt:variant>
        <vt:i4>1376310</vt:i4>
      </vt:variant>
      <vt:variant>
        <vt:i4>80</vt:i4>
      </vt:variant>
      <vt:variant>
        <vt:i4>0</vt:i4>
      </vt:variant>
      <vt:variant>
        <vt:i4>5</vt:i4>
      </vt:variant>
      <vt:variant>
        <vt:lpwstr/>
      </vt:variant>
      <vt:variant>
        <vt:lpwstr>_Toc460246603</vt:lpwstr>
      </vt:variant>
      <vt:variant>
        <vt:i4>1376310</vt:i4>
      </vt:variant>
      <vt:variant>
        <vt:i4>74</vt:i4>
      </vt:variant>
      <vt:variant>
        <vt:i4>0</vt:i4>
      </vt:variant>
      <vt:variant>
        <vt:i4>5</vt:i4>
      </vt:variant>
      <vt:variant>
        <vt:lpwstr/>
      </vt:variant>
      <vt:variant>
        <vt:lpwstr>_Toc460246602</vt:lpwstr>
      </vt:variant>
      <vt:variant>
        <vt:i4>1376310</vt:i4>
      </vt:variant>
      <vt:variant>
        <vt:i4>68</vt:i4>
      </vt:variant>
      <vt:variant>
        <vt:i4>0</vt:i4>
      </vt:variant>
      <vt:variant>
        <vt:i4>5</vt:i4>
      </vt:variant>
      <vt:variant>
        <vt:lpwstr/>
      </vt:variant>
      <vt:variant>
        <vt:lpwstr>_Toc460246601</vt:lpwstr>
      </vt:variant>
      <vt:variant>
        <vt:i4>1376310</vt:i4>
      </vt:variant>
      <vt:variant>
        <vt:i4>62</vt:i4>
      </vt:variant>
      <vt:variant>
        <vt:i4>0</vt:i4>
      </vt:variant>
      <vt:variant>
        <vt:i4>5</vt:i4>
      </vt:variant>
      <vt:variant>
        <vt:lpwstr/>
      </vt:variant>
      <vt:variant>
        <vt:lpwstr>_Toc460246600</vt:lpwstr>
      </vt:variant>
      <vt:variant>
        <vt:i4>1835061</vt:i4>
      </vt:variant>
      <vt:variant>
        <vt:i4>56</vt:i4>
      </vt:variant>
      <vt:variant>
        <vt:i4>0</vt:i4>
      </vt:variant>
      <vt:variant>
        <vt:i4>5</vt:i4>
      </vt:variant>
      <vt:variant>
        <vt:lpwstr/>
      </vt:variant>
      <vt:variant>
        <vt:lpwstr>_Toc460246599</vt:lpwstr>
      </vt:variant>
      <vt:variant>
        <vt:i4>1835061</vt:i4>
      </vt:variant>
      <vt:variant>
        <vt:i4>50</vt:i4>
      </vt:variant>
      <vt:variant>
        <vt:i4>0</vt:i4>
      </vt:variant>
      <vt:variant>
        <vt:i4>5</vt:i4>
      </vt:variant>
      <vt:variant>
        <vt:lpwstr/>
      </vt:variant>
      <vt:variant>
        <vt:lpwstr>_Toc460246598</vt:lpwstr>
      </vt:variant>
      <vt:variant>
        <vt:i4>1835061</vt:i4>
      </vt:variant>
      <vt:variant>
        <vt:i4>44</vt:i4>
      </vt:variant>
      <vt:variant>
        <vt:i4>0</vt:i4>
      </vt:variant>
      <vt:variant>
        <vt:i4>5</vt:i4>
      </vt:variant>
      <vt:variant>
        <vt:lpwstr/>
      </vt:variant>
      <vt:variant>
        <vt:lpwstr>_Toc460246597</vt:lpwstr>
      </vt:variant>
      <vt:variant>
        <vt:i4>1835061</vt:i4>
      </vt:variant>
      <vt:variant>
        <vt:i4>38</vt:i4>
      </vt:variant>
      <vt:variant>
        <vt:i4>0</vt:i4>
      </vt:variant>
      <vt:variant>
        <vt:i4>5</vt:i4>
      </vt:variant>
      <vt:variant>
        <vt:lpwstr/>
      </vt:variant>
      <vt:variant>
        <vt:lpwstr>_Toc460246596</vt:lpwstr>
      </vt:variant>
      <vt:variant>
        <vt:i4>1835061</vt:i4>
      </vt:variant>
      <vt:variant>
        <vt:i4>32</vt:i4>
      </vt:variant>
      <vt:variant>
        <vt:i4>0</vt:i4>
      </vt:variant>
      <vt:variant>
        <vt:i4>5</vt:i4>
      </vt:variant>
      <vt:variant>
        <vt:lpwstr/>
      </vt:variant>
      <vt:variant>
        <vt:lpwstr>_Toc460246595</vt:lpwstr>
      </vt:variant>
      <vt:variant>
        <vt:i4>1835061</vt:i4>
      </vt:variant>
      <vt:variant>
        <vt:i4>26</vt:i4>
      </vt:variant>
      <vt:variant>
        <vt:i4>0</vt:i4>
      </vt:variant>
      <vt:variant>
        <vt:i4>5</vt:i4>
      </vt:variant>
      <vt:variant>
        <vt:lpwstr/>
      </vt:variant>
      <vt:variant>
        <vt:lpwstr>_Toc460246594</vt:lpwstr>
      </vt:variant>
      <vt:variant>
        <vt:i4>1835061</vt:i4>
      </vt:variant>
      <vt:variant>
        <vt:i4>20</vt:i4>
      </vt:variant>
      <vt:variant>
        <vt:i4>0</vt:i4>
      </vt:variant>
      <vt:variant>
        <vt:i4>5</vt:i4>
      </vt:variant>
      <vt:variant>
        <vt:lpwstr/>
      </vt:variant>
      <vt:variant>
        <vt:lpwstr>_Toc460246593</vt:lpwstr>
      </vt:variant>
      <vt:variant>
        <vt:i4>1835061</vt:i4>
      </vt:variant>
      <vt:variant>
        <vt:i4>14</vt:i4>
      </vt:variant>
      <vt:variant>
        <vt:i4>0</vt:i4>
      </vt:variant>
      <vt:variant>
        <vt:i4>5</vt:i4>
      </vt:variant>
      <vt:variant>
        <vt:lpwstr/>
      </vt:variant>
      <vt:variant>
        <vt:lpwstr>_Toc460246592</vt:lpwstr>
      </vt:variant>
      <vt:variant>
        <vt:i4>1835061</vt:i4>
      </vt:variant>
      <vt:variant>
        <vt:i4>8</vt:i4>
      </vt:variant>
      <vt:variant>
        <vt:i4>0</vt:i4>
      </vt:variant>
      <vt:variant>
        <vt:i4>5</vt:i4>
      </vt:variant>
      <vt:variant>
        <vt:lpwstr/>
      </vt:variant>
      <vt:variant>
        <vt:lpwstr>_Toc460246591</vt:lpwstr>
      </vt:variant>
      <vt:variant>
        <vt:i4>1835061</vt:i4>
      </vt:variant>
      <vt:variant>
        <vt:i4>2</vt:i4>
      </vt:variant>
      <vt:variant>
        <vt:i4>0</vt:i4>
      </vt:variant>
      <vt:variant>
        <vt:i4>5</vt:i4>
      </vt:variant>
      <vt:variant>
        <vt:lpwstr/>
      </vt:variant>
      <vt:variant>
        <vt:lpwstr>_Toc460246590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2016-12-14T20:38:00Z</dcterms:created>
  <dcterms:modified xsi:type="dcterms:W3CDTF">2016-12-15T04:14:00Z</dcterms:modified>
</cp:coreProperties>
</file>