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47708782"/>
        <w:docPartObj>
          <w:docPartGallery w:val="Cover Pages"/>
          <w:docPartUnique/>
        </w:docPartObj>
      </w:sdtPr>
      <w:sdtEndPr>
        <w:rPr>
          <w:noProof/>
          <w:lang w:eastAsia="en-AU"/>
        </w:rPr>
      </w:sdtEndPr>
      <w:sdtContent>
        <w:p w:rsidR="00617405" w:rsidRPr="00617405" w:rsidRDefault="00617405" w:rsidP="00951978">
          <w:r w:rsidRPr="00617405">
            <w:rPr>
              <w:noProof/>
              <w:lang w:eastAsia="en-AU"/>
            </w:rPr>
            <w:drawing>
              <wp:anchor distT="0" distB="0" distL="114300" distR="114300" simplePos="0" relativeHeight="251659264" behindDoc="1" locked="0" layoutInCell="1" allowOverlap="1" wp14:anchorId="23F43AB8" wp14:editId="6B7D597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Default="00617405" w:rsidP="00327A1E">
          <w:pPr>
            <w:pStyle w:val="ReportTitle"/>
          </w:pPr>
          <w:r w:rsidRPr="00617405">
            <w:t xml:space="preserve">FINAL </w:t>
          </w:r>
          <w:r>
            <w:t>Determination</w:t>
          </w:r>
        </w:p>
        <w:p w:rsidR="00617405" w:rsidRPr="00617405" w:rsidRDefault="00617405" w:rsidP="00617405">
          <w:pPr>
            <w:rPr>
              <w:lang w:eastAsia="en-AU"/>
            </w:rPr>
          </w:pPr>
        </w:p>
        <w:p w:rsidR="00617405" w:rsidRDefault="00FA4460" w:rsidP="00327A1E">
          <w:pPr>
            <w:pStyle w:val="ReportTitle"/>
          </w:pPr>
          <w:r>
            <w:t>T</w:t>
          </w:r>
          <w:r w:rsidR="00617405">
            <w:t>ax change event pass-through for</w:t>
          </w:r>
        </w:p>
        <w:p w:rsidR="00617405" w:rsidRPr="00617405" w:rsidRDefault="00617405" w:rsidP="00617405">
          <w:pPr>
            <w:rPr>
              <w:lang w:eastAsia="en-AU"/>
            </w:rPr>
          </w:pPr>
        </w:p>
        <w:p w:rsidR="00617405" w:rsidRDefault="00617405" w:rsidP="00327A1E">
          <w:pPr>
            <w:pStyle w:val="ReportSubtitle"/>
          </w:pPr>
          <w:r>
            <w:t>AusNet Services</w:t>
          </w:r>
        </w:p>
        <w:p w:rsidR="00617405" w:rsidRPr="00617405" w:rsidRDefault="00617405" w:rsidP="00327A1E">
          <w:pPr>
            <w:pStyle w:val="ReportSubtitle"/>
          </w:pPr>
        </w:p>
        <w:p w:rsidR="00617405" w:rsidRPr="00617405" w:rsidRDefault="000F2742" w:rsidP="00327A1E">
          <w:pPr>
            <w:pStyle w:val="ReportDate"/>
          </w:pPr>
          <w:r>
            <w:t xml:space="preserve">15 October </w:t>
          </w:r>
          <w:r w:rsidR="00617405" w:rsidRPr="00617405">
            <w:t>2015</w:t>
          </w:r>
        </w:p>
        <w:p w:rsidR="00617405" w:rsidRPr="00617405" w:rsidRDefault="00617405" w:rsidP="00617405">
          <w:r w:rsidRPr="00617405">
            <w:br w:type="page"/>
          </w:r>
        </w:p>
        <w:p w:rsidR="00617405" w:rsidRDefault="00617405">
          <w:pPr>
            <w:spacing w:line="240" w:lineRule="auto"/>
            <w:rPr>
              <w:noProof/>
              <w:lang w:eastAsia="en-AU"/>
            </w:rPr>
          </w:pPr>
          <w:r>
            <w:rPr>
              <w:noProof/>
              <w:lang w:eastAsia="en-AU"/>
            </w:rPr>
            <w:lastRenderedPageBreak/>
            <w:br w:type="page"/>
          </w:r>
        </w:p>
      </w:sdtContent>
    </w:sdt>
    <w:p w:rsidR="000A6C7B" w:rsidRDefault="000A6C7B" w:rsidP="00327A1E">
      <w:pPr>
        <w:pStyle w:val="Copyright"/>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8022D9">
        <w:t>45250</w:t>
      </w:r>
    </w:p>
    <w:p w:rsidR="000A6C7B" w:rsidRDefault="000A6C7B" w:rsidP="000A6C7B"/>
    <w:p w:rsidR="000A6C7B" w:rsidRDefault="000A6C7B" w:rsidP="009D6B46"/>
    <w:p w:rsidR="002010BC" w:rsidRDefault="002010BC">
      <w:pPr>
        <w:spacing w:line="240" w:lineRule="auto"/>
      </w:pPr>
      <w:r>
        <w:br w:type="page"/>
      </w:r>
    </w:p>
    <w:p w:rsidR="002010BC" w:rsidRDefault="00A75077" w:rsidP="00634077">
      <w:pPr>
        <w:pStyle w:val="TOCHeading"/>
      </w:pPr>
      <w:r>
        <w:t>Contents</w:t>
      </w:r>
    </w:p>
    <w:p w:rsidR="003549BA"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2084324" w:history="1">
        <w:r w:rsidR="003549BA" w:rsidRPr="00BF56B6">
          <w:rPr>
            <w:rStyle w:val="Hyperlink"/>
          </w:rPr>
          <w:t>Overview</w:t>
        </w:r>
        <w:r w:rsidR="003549BA">
          <w:rPr>
            <w:webHidden/>
          </w:rPr>
          <w:tab/>
        </w:r>
        <w:r w:rsidR="003549BA">
          <w:rPr>
            <w:webHidden/>
          </w:rPr>
          <w:fldChar w:fldCharType="begin"/>
        </w:r>
        <w:r w:rsidR="003549BA">
          <w:rPr>
            <w:webHidden/>
          </w:rPr>
          <w:instrText xml:space="preserve"> PAGEREF _Toc432084324 \h </w:instrText>
        </w:r>
        <w:r w:rsidR="003549BA">
          <w:rPr>
            <w:webHidden/>
          </w:rPr>
        </w:r>
        <w:r w:rsidR="003549BA">
          <w:rPr>
            <w:webHidden/>
          </w:rPr>
          <w:fldChar w:fldCharType="separate"/>
        </w:r>
        <w:r w:rsidR="003549BA">
          <w:rPr>
            <w:webHidden/>
          </w:rPr>
          <w:t>1</w:t>
        </w:r>
        <w:r w:rsidR="003549BA">
          <w:rPr>
            <w:webHidden/>
          </w:rPr>
          <w:fldChar w:fldCharType="end"/>
        </w:r>
      </w:hyperlink>
    </w:p>
    <w:p w:rsidR="003549BA" w:rsidRDefault="00A97AA5">
      <w:pPr>
        <w:pStyle w:val="TOC1"/>
        <w:rPr>
          <w:rFonts w:asciiTheme="minorHAnsi" w:eastAsiaTheme="minorEastAsia" w:hAnsiTheme="minorHAnsi"/>
          <w:b w:val="0"/>
          <w:color w:val="auto"/>
          <w:sz w:val="22"/>
          <w:lang w:val="en-AU" w:eastAsia="en-AU"/>
        </w:rPr>
      </w:pPr>
      <w:hyperlink w:anchor="_Toc432084325" w:history="1">
        <w:r w:rsidR="003549BA" w:rsidRPr="00BF56B6">
          <w:rPr>
            <w:rStyle w:val="Hyperlink"/>
          </w:rPr>
          <w:t>1</w:t>
        </w:r>
        <w:r w:rsidR="003549BA">
          <w:rPr>
            <w:rFonts w:asciiTheme="minorHAnsi" w:eastAsiaTheme="minorEastAsia" w:hAnsiTheme="minorHAnsi"/>
            <w:b w:val="0"/>
            <w:color w:val="auto"/>
            <w:sz w:val="22"/>
            <w:lang w:val="en-AU" w:eastAsia="en-AU"/>
          </w:rPr>
          <w:tab/>
        </w:r>
        <w:r w:rsidR="003549BA" w:rsidRPr="00BF56B6">
          <w:rPr>
            <w:rStyle w:val="Hyperlink"/>
          </w:rPr>
          <w:t>Determination</w:t>
        </w:r>
        <w:r w:rsidR="003549BA">
          <w:rPr>
            <w:webHidden/>
          </w:rPr>
          <w:tab/>
        </w:r>
        <w:r w:rsidR="003549BA">
          <w:rPr>
            <w:webHidden/>
          </w:rPr>
          <w:fldChar w:fldCharType="begin"/>
        </w:r>
        <w:r w:rsidR="003549BA">
          <w:rPr>
            <w:webHidden/>
          </w:rPr>
          <w:instrText xml:space="preserve"> PAGEREF _Toc432084325 \h </w:instrText>
        </w:r>
        <w:r w:rsidR="003549BA">
          <w:rPr>
            <w:webHidden/>
          </w:rPr>
        </w:r>
        <w:r w:rsidR="003549BA">
          <w:rPr>
            <w:webHidden/>
          </w:rPr>
          <w:fldChar w:fldCharType="separate"/>
        </w:r>
        <w:r w:rsidR="003549BA">
          <w:rPr>
            <w:webHidden/>
          </w:rPr>
          <w:t>3</w:t>
        </w:r>
        <w:r w:rsidR="003549BA">
          <w:rPr>
            <w:webHidden/>
          </w:rPr>
          <w:fldChar w:fldCharType="end"/>
        </w:r>
      </w:hyperlink>
    </w:p>
    <w:p w:rsidR="003549BA" w:rsidRDefault="00A97AA5">
      <w:pPr>
        <w:pStyle w:val="TOC1"/>
        <w:rPr>
          <w:rFonts w:asciiTheme="minorHAnsi" w:eastAsiaTheme="minorEastAsia" w:hAnsiTheme="minorHAnsi"/>
          <w:b w:val="0"/>
          <w:color w:val="auto"/>
          <w:sz w:val="22"/>
          <w:lang w:val="en-AU" w:eastAsia="en-AU"/>
        </w:rPr>
      </w:pPr>
      <w:hyperlink w:anchor="_Toc432084326" w:history="1">
        <w:r w:rsidR="003549BA" w:rsidRPr="00BF56B6">
          <w:rPr>
            <w:rStyle w:val="Hyperlink"/>
          </w:rPr>
          <w:t>2</w:t>
        </w:r>
        <w:r w:rsidR="003549BA">
          <w:rPr>
            <w:rFonts w:asciiTheme="minorHAnsi" w:eastAsiaTheme="minorEastAsia" w:hAnsiTheme="minorHAnsi"/>
            <w:b w:val="0"/>
            <w:color w:val="auto"/>
            <w:sz w:val="22"/>
            <w:lang w:val="en-AU" w:eastAsia="en-AU"/>
          </w:rPr>
          <w:tab/>
        </w:r>
        <w:r w:rsidR="003549BA" w:rsidRPr="00BF56B6">
          <w:rPr>
            <w:rStyle w:val="Hyperlink"/>
          </w:rPr>
          <w:t>AusNet Services' application</w:t>
        </w:r>
        <w:r w:rsidR="003549BA">
          <w:rPr>
            <w:webHidden/>
          </w:rPr>
          <w:tab/>
        </w:r>
        <w:r w:rsidR="003549BA">
          <w:rPr>
            <w:webHidden/>
          </w:rPr>
          <w:fldChar w:fldCharType="begin"/>
        </w:r>
        <w:r w:rsidR="003549BA">
          <w:rPr>
            <w:webHidden/>
          </w:rPr>
          <w:instrText xml:space="preserve"> PAGEREF _Toc432084326 \h </w:instrText>
        </w:r>
        <w:r w:rsidR="003549BA">
          <w:rPr>
            <w:webHidden/>
          </w:rPr>
        </w:r>
        <w:r w:rsidR="003549BA">
          <w:rPr>
            <w:webHidden/>
          </w:rPr>
          <w:fldChar w:fldCharType="separate"/>
        </w:r>
        <w:r w:rsidR="003549BA">
          <w:rPr>
            <w:webHidden/>
          </w:rPr>
          <w:t>4</w:t>
        </w:r>
        <w:r w:rsidR="003549BA">
          <w:rPr>
            <w:webHidden/>
          </w:rPr>
          <w:fldChar w:fldCharType="end"/>
        </w:r>
      </w:hyperlink>
    </w:p>
    <w:p w:rsidR="003549BA" w:rsidRDefault="00A97AA5">
      <w:pPr>
        <w:pStyle w:val="TOC2"/>
        <w:rPr>
          <w:rFonts w:asciiTheme="minorHAnsi" w:eastAsiaTheme="minorEastAsia" w:hAnsiTheme="minorHAnsi"/>
          <w:b w:val="0"/>
          <w:color w:val="auto"/>
          <w:sz w:val="22"/>
          <w:lang w:eastAsia="en-AU"/>
        </w:rPr>
      </w:pPr>
      <w:hyperlink w:anchor="_Toc432084327" w:history="1">
        <w:r w:rsidR="003549BA" w:rsidRPr="00BF56B6">
          <w:rPr>
            <w:rStyle w:val="Hyperlink"/>
          </w:rPr>
          <w:t>2.1</w:t>
        </w:r>
        <w:r w:rsidR="003549BA">
          <w:rPr>
            <w:rFonts w:asciiTheme="minorHAnsi" w:eastAsiaTheme="minorEastAsia" w:hAnsiTheme="minorHAnsi"/>
            <w:b w:val="0"/>
            <w:color w:val="auto"/>
            <w:sz w:val="22"/>
            <w:lang w:eastAsia="en-AU"/>
          </w:rPr>
          <w:tab/>
        </w:r>
        <w:r w:rsidR="003549BA" w:rsidRPr="00BF56B6">
          <w:rPr>
            <w:rStyle w:val="Hyperlink"/>
          </w:rPr>
          <w:t>Background</w:t>
        </w:r>
        <w:r w:rsidR="003549BA">
          <w:rPr>
            <w:webHidden/>
          </w:rPr>
          <w:tab/>
        </w:r>
        <w:r w:rsidR="003549BA">
          <w:rPr>
            <w:webHidden/>
          </w:rPr>
          <w:fldChar w:fldCharType="begin"/>
        </w:r>
        <w:r w:rsidR="003549BA">
          <w:rPr>
            <w:webHidden/>
          </w:rPr>
          <w:instrText xml:space="preserve"> PAGEREF _Toc432084327 \h </w:instrText>
        </w:r>
        <w:r w:rsidR="003549BA">
          <w:rPr>
            <w:webHidden/>
          </w:rPr>
        </w:r>
        <w:r w:rsidR="003549BA">
          <w:rPr>
            <w:webHidden/>
          </w:rPr>
          <w:fldChar w:fldCharType="separate"/>
        </w:r>
        <w:r w:rsidR="003549BA">
          <w:rPr>
            <w:webHidden/>
          </w:rPr>
          <w:t>4</w:t>
        </w:r>
        <w:r w:rsidR="003549BA">
          <w:rPr>
            <w:webHidden/>
          </w:rPr>
          <w:fldChar w:fldCharType="end"/>
        </w:r>
      </w:hyperlink>
    </w:p>
    <w:p w:rsidR="003549BA" w:rsidRDefault="00A97AA5">
      <w:pPr>
        <w:pStyle w:val="TOC2"/>
        <w:rPr>
          <w:rFonts w:asciiTheme="minorHAnsi" w:eastAsiaTheme="minorEastAsia" w:hAnsiTheme="minorHAnsi"/>
          <w:b w:val="0"/>
          <w:color w:val="auto"/>
          <w:sz w:val="22"/>
          <w:lang w:eastAsia="en-AU"/>
        </w:rPr>
      </w:pPr>
      <w:hyperlink w:anchor="_Toc432084328" w:history="1">
        <w:r w:rsidR="003549BA" w:rsidRPr="00BF56B6">
          <w:rPr>
            <w:rStyle w:val="Hyperlink"/>
          </w:rPr>
          <w:t>2.2</w:t>
        </w:r>
        <w:r w:rsidR="003549BA">
          <w:rPr>
            <w:rFonts w:asciiTheme="minorHAnsi" w:eastAsiaTheme="minorEastAsia" w:hAnsiTheme="minorHAnsi"/>
            <w:b w:val="0"/>
            <w:color w:val="auto"/>
            <w:sz w:val="22"/>
            <w:lang w:eastAsia="en-AU"/>
          </w:rPr>
          <w:tab/>
        </w:r>
        <w:r w:rsidR="003549BA" w:rsidRPr="00BF56B6">
          <w:rPr>
            <w:rStyle w:val="Hyperlink"/>
          </w:rPr>
          <w:t>Calculation of the pass–through amount</w:t>
        </w:r>
        <w:r w:rsidR="003549BA">
          <w:rPr>
            <w:webHidden/>
          </w:rPr>
          <w:tab/>
        </w:r>
        <w:r w:rsidR="003549BA">
          <w:rPr>
            <w:webHidden/>
          </w:rPr>
          <w:fldChar w:fldCharType="begin"/>
        </w:r>
        <w:r w:rsidR="003549BA">
          <w:rPr>
            <w:webHidden/>
          </w:rPr>
          <w:instrText xml:space="preserve"> PAGEREF _Toc432084328 \h </w:instrText>
        </w:r>
        <w:r w:rsidR="003549BA">
          <w:rPr>
            <w:webHidden/>
          </w:rPr>
        </w:r>
        <w:r w:rsidR="003549BA">
          <w:rPr>
            <w:webHidden/>
          </w:rPr>
          <w:fldChar w:fldCharType="separate"/>
        </w:r>
        <w:r w:rsidR="003549BA">
          <w:rPr>
            <w:webHidden/>
          </w:rPr>
          <w:t>4</w:t>
        </w:r>
        <w:r w:rsidR="003549BA">
          <w:rPr>
            <w:webHidden/>
          </w:rPr>
          <w:fldChar w:fldCharType="end"/>
        </w:r>
      </w:hyperlink>
    </w:p>
    <w:p w:rsidR="003549BA" w:rsidRDefault="00A97AA5">
      <w:pPr>
        <w:pStyle w:val="TOC1"/>
        <w:rPr>
          <w:rFonts w:asciiTheme="minorHAnsi" w:eastAsiaTheme="minorEastAsia" w:hAnsiTheme="minorHAnsi"/>
          <w:b w:val="0"/>
          <w:color w:val="auto"/>
          <w:sz w:val="22"/>
          <w:lang w:val="en-AU" w:eastAsia="en-AU"/>
        </w:rPr>
      </w:pPr>
      <w:hyperlink w:anchor="_Toc432084329" w:history="1">
        <w:r w:rsidR="003549BA" w:rsidRPr="00BF56B6">
          <w:rPr>
            <w:rStyle w:val="Hyperlink"/>
          </w:rPr>
          <w:t>3</w:t>
        </w:r>
        <w:r w:rsidR="003549BA">
          <w:rPr>
            <w:rFonts w:asciiTheme="minorHAnsi" w:eastAsiaTheme="minorEastAsia" w:hAnsiTheme="minorHAnsi"/>
            <w:b w:val="0"/>
            <w:color w:val="auto"/>
            <w:sz w:val="22"/>
            <w:lang w:val="en-AU" w:eastAsia="en-AU"/>
          </w:rPr>
          <w:tab/>
        </w:r>
        <w:r w:rsidR="003549BA" w:rsidRPr="00BF56B6">
          <w:rPr>
            <w:rStyle w:val="Hyperlink"/>
          </w:rPr>
          <w:t>AER Assessment</w:t>
        </w:r>
        <w:r w:rsidR="003549BA">
          <w:rPr>
            <w:webHidden/>
          </w:rPr>
          <w:tab/>
        </w:r>
        <w:r w:rsidR="003549BA">
          <w:rPr>
            <w:webHidden/>
          </w:rPr>
          <w:fldChar w:fldCharType="begin"/>
        </w:r>
        <w:r w:rsidR="003549BA">
          <w:rPr>
            <w:webHidden/>
          </w:rPr>
          <w:instrText xml:space="preserve"> PAGEREF _Toc432084329 \h </w:instrText>
        </w:r>
        <w:r w:rsidR="003549BA">
          <w:rPr>
            <w:webHidden/>
          </w:rPr>
        </w:r>
        <w:r w:rsidR="003549BA">
          <w:rPr>
            <w:webHidden/>
          </w:rPr>
          <w:fldChar w:fldCharType="separate"/>
        </w:r>
        <w:r w:rsidR="003549BA">
          <w:rPr>
            <w:webHidden/>
          </w:rPr>
          <w:t>5</w:t>
        </w:r>
        <w:r w:rsidR="003549BA">
          <w:rPr>
            <w:webHidden/>
          </w:rPr>
          <w:fldChar w:fldCharType="end"/>
        </w:r>
      </w:hyperlink>
    </w:p>
    <w:p w:rsidR="003549BA" w:rsidRDefault="00A97AA5">
      <w:pPr>
        <w:pStyle w:val="TOC2"/>
        <w:rPr>
          <w:rFonts w:asciiTheme="minorHAnsi" w:eastAsiaTheme="minorEastAsia" w:hAnsiTheme="minorHAnsi"/>
          <w:b w:val="0"/>
          <w:color w:val="auto"/>
          <w:sz w:val="22"/>
          <w:lang w:eastAsia="en-AU"/>
        </w:rPr>
      </w:pPr>
      <w:hyperlink w:anchor="_Toc432084330" w:history="1">
        <w:r w:rsidR="003549BA" w:rsidRPr="00BF56B6">
          <w:rPr>
            <w:rStyle w:val="Hyperlink"/>
          </w:rPr>
          <w:t>3.1</w:t>
        </w:r>
        <w:r w:rsidR="003549BA">
          <w:rPr>
            <w:rFonts w:asciiTheme="minorHAnsi" w:eastAsiaTheme="minorEastAsia" w:hAnsiTheme="minorHAnsi"/>
            <w:b w:val="0"/>
            <w:color w:val="auto"/>
            <w:sz w:val="22"/>
            <w:lang w:eastAsia="en-AU"/>
          </w:rPr>
          <w:tab/>
        </w:r>
        <w:r w:rsidR="003549BA" w:rsidRPr="00BF56B6">
          <w:rPr>
            <w:rStyle w:val="Hyperlink"/>
          </w:rPr>
          <w:t>Relevant dates</w:t>
        </w:r>
        <w:r w:rsidR="003549BA">
          <w:rPr>
            <w:webHidden/>
          </w:rPr>
          <w:tab/>
        </w:r>
        <w:r w:rsidR="003549BA">
          <w:rPr>
            <w:webHidden/>
          </w:rPr>
          <w:fldChar w:fldCharType="begin"/>
        </w:r>
        <w:r w:rsidR="003549BA">
          <w:rPr>
            <w:webHidden/>
          </w:rPr>
          <w:instrText xml:space="preserve"> PAGEREF _Toc432084330 \h </w:instrText>
        </w:r>
        <w:r w:rsidR="003549BA">
          <w:rPr>
            <w:webHidden/>
          </w:rPr>
        </w:r>
        <w:r w:rsidR="003549BA">
          <w:rPr>
            <w:webHidden/>
          </w:rPr>
          <w:fldChar w:fldCharType="separate"/>
        </w:r>
        <w:r w:rsidR="003549BA">
          <w:rPr>
            <w:webHidden/>
          </w:rPr>
          <w:t>5</w:t>
        </w:r>
        <w:r w:rsidR="003549BA">
          <w:rPr>
            <w:webHidden/>
          </w:rPr>
          <w:fldChar w:fldCharType="end"/>
        </w:r>
      </w:hyperlink>
    </w:p>
    <w:p w:rsidR="003549BA" w:rsidRDefault="00A97AA5">
      <w:pPr>
        <w:pStyle w:val="TOC2"/>
        <w:rPr>
          <w:rFonts w:asciiTheme="minorHAnsi" w:eastAsiaTheme="minorEastAsia" w:hAnsiTheme="minorHAnsi"/>
          <w:b w:val="0"/>
          <w:color w:val="auto"/>
          <w:sz w:val="22"/>
          <w:lang w:eastAsia="en-AU"/>
        </w:rPr>
      </w:pPr>
      <w:hyperlink w:anchor="_Toc432084331" w:history="1">
        <w:r w:rsidR="003549BA" w:rsidRPr="00BF56B6">
          <w:rPr>
            <w:rStyle w:val="Hyperlink"/>
          </w:rPr>
          <w:t>3.2</w:t>
        </w:r>
        <w:r w:rsidR="003549BA">
          <w:rPr>
            <w:rFonts w:asciiTheme="minorHAnsi" w:eastAsiaTheme="minorEastAsia" w:hAnsiTheme="minorHAnsi"/>
            <w:b w:val="0"/>
            <w:color w:val="auto"/>
            <w:sz w:val="22"/>
            <w:lang w:eastAsia="en-AU"/>
          </w:rPr>
          <w:tab/>
        </w:r>
        <w:r w:rsidR="003549BA" w:rsidRPr="00BF56B6">
          <w:rPr>
            <w:rStyle w:val="Hyperlink"/>
          </w:rPr>
          <w:t>Tax change event</w:t>
        </w:r>
        <w:r w:rsidR="003549BA">
          <w:rPr>
            <w:webHidden/>
          </w:rPr>
          <w:tab/>
        </w:r>
        <w:r w:rsidR="003549BA">
          <w:rPr>
            <w:webHidden/>
          </w:rPr>
          <w:fldChar w:fldCharType="begin"/>
        </w:r>
        <w:r w:rsidR="003549BA">
          <w:rPr>
            <w:webHidden/>
          </w:rPr>
          <w:instrText xml:space="preserve"> PAGEREF _Toc432084331 \h </w:instrText>
        </w:r>
        <w:r w:rsidR="003549BA">
          <w:rPr>
            <w:webHidden/>
          </w:rPr>
        </w:r>
        <w:r w:rsidR="003549BA">
          <w:rPr>
            <w:webHidden/>
          </w:rPr>
          <w:fldChar w:fldCharType="separate"/>
        </w:r>
        <w:r w:rsidR="003549BA">
          <w:rPr>
            <w:webHidden/>
          </w:rPr>
          <w:t>5</w:t>
        </w:r>
        <w:r w:rsidR="003549BA">
          <w:rPr>
            <w:webHidden/>
          </w:rPr>
          <w:fldChar w:fldCharType="end"/>
        </w:r>
      </w:hyperlink>
    </w:p>
    <w:p w:rsidR="003549BA" w:rsidRDefault="00A97AA5">
      <w:pPr>
        <w:pStyle w:val="TOC2"/>
        <w:rPr>
          <w:rFonts w:asciiTheme="minorHAnsi" w:eastAsiaTheme="minorEastAsia" w:hAnsiTheme="minorHAnsi"/>
          <w:b w:val="0"/>
          <w:color w:val="auto"/>
          <w:sz w:val="22"/>
          <w:lang w:eastAsia="en-AU"/>
        </w:rPr>
      </w:pPr>
      <w:hyperlink w:anchor="_Toc432084332" w:history="1">
        <w:r w:rsidR="003549BA" w:rsidRPr="00BF56B6">
          <w:rPr>
            <w:rStyle w:val="Hyperlink"/>
          </w:rPr>
          <w:t>3.3</w:t>
        </w:r>
        <w:r w:rsidR="003549BA">
          <w:rPr>
            <w:rFonts w:asciiTheme="minorHAnsi" w:eastAsiaTheme="minorEastAsia" w:hAnsiTheme="minorHAnsi"/>
            <w:b w:val="0"/>
            <w:color w:val="auto"/>
            <w:sz w:val="22"/>
            <w:lang w:eastAsia="en-AU"/>
          </w:rPr>
          <w:tab/>
        </w:r>
        <w:r w:rsidR="003549BA" w:rsidRPr="00BF56B6">
          <w:rPr>
            <w:rStyle w:val="Hyperlink"/>
          </w:rPr>
          <w:t>Negative change event</w:t>
        </w:r>
        <w:r w:rsidR="003549BA">
          <w:rPr>
            <w:webHidden/>
          </w:rPr>
          <w:tab/>
        </w:r>
        <w:r w:rsidR="003549BA">
          <w:rPr>
            <w:webHidden/>
          </w:rPr>
          <w:fldChar w:fldCharType="begin"/>
        </w:r>
        <w:r w:rsidR="003549BA">
          <w:rPr>
            <w:webHidden/>
          </w:rPr>
          <w:instrText xml:space="preserve"> PAGEREF _Toc432084332 \h </w:instrText>
        </w:r>
        <w:r w:rsidR="003549BA">
          <w:rPr>
            <w:webHidden/>
          </w:rPr>
        </w:r>
        <w:r w:rsidR="003549BA">
          <w:rPr>
            <w:webHidden/>
          </w:rPr>
          <w:fldChar w:fldCharType="separate"/>
        </w:r>
        <w:r w:rsidR="003549BA">
          <w:rPr>
            <w:webHidden/>
          </w:rPr>
          <w:t>5</w:t>
        </w:r>
        <w:r w:rsidR="003549BA">
          <w:rPr>
            <w:webHidden/>
          </w:rPr>
          <w:fldChar w:fldCharType="end"/>
        </w:r>
      </w:hyperlink>
    </w:p>
    <w:p w:rsidR="003549BA" w:rsidRDefault="00A97AA5">
      <w:pPr>
        <w:pStyle w:val="TOC2"/>
        <w:rPr>
          <w:rFonts w:asciiTheme="minorHAnsi" w:eastAsiaTheme="minorEastAsia" w:hAnsiTheme="minorHAnsi"/>
          <w:b w:val="0"/>
          <w:color w:val="auto"/>
          <w:sz w:val="22"/>
          <w:lang w:eastAsia="en-AU"/>
        </w:rPr>
      </w:pPr>
      <w:hyperlink w:anchor="_Toc432084333" w:history="1">
        <w:r w:rsidR="003549BA" w:rsidRPr="00BF56B6">
          <w:rPr>
            <w:rStyle w:val="Hyperlink"/>
          </w:rPr>
          <w:t>3.4</w:t>
        </w:r>
        <w:r w:rsidR="003549BA">
          <w:rPr>
            <w:rFonts w:asciiTheme="minorHAnsi" w:eastAsiaTheme="minorEastAsia" w:hAnsiTheme="minorHAnsi"/>
            <w:b w:val="0"/>
            <w:color w:val="auto"/>
            <w:sz w:val="22"/>
            <w:lang w:eastAsia="en-AU"/>
          </w:rPr>
          <w:tab/>
        </w:r>
        <w:r w:rsidR="003549BA" w:rsidRPr="00BF56B6">
          <w:rPr>
            <w:rStyle w:val="Hyperlink"/>
          </w:rPr>
          <w:t>Calculation of the pass–through amount</w:t>
        </w:r>
        <w:r w:rsidR="003549BA">
          <w:rPr>
            <w:webHidden/>
          </w:rPr>
          <w:tab/>
        </w:r>
        <w:r w:rsidR="003549BA">
          <w:rPr>
            <w:webHidden/>
          </w:rPr>
          <w:fldChar w:fldCharType="begin"/>
        </w:r>
        <w:r w:rsidR="003549BA">
          <w:rPr>
            <w:webHidden/>
          </w:rPr>
          <w:instrText xml:space="preserve"> PAGEREF _Toc432084333 \h </w:instrText>
        </w:r>
        <w:r w:rsidR="003549BA">
          <w:rPr>
            <w:webHidden/>
          </w:rPr>
        </w:r>
        <w:r w:rsidR="003549BA">
          <w:rPr>
            <w:webHidden/>
          </w:rPr>
          <w:fldChar w:fldCharType="separate"/>
        </w:r>
        <w:r w:rsidR="003549BA">
          <w:rPr>
            <w:webHidden/>
          </w:rPr>
          <w:t>6</w:t>
        </w:r>
        <w:r w:rsidR="003549BA">
          <w:rPr>
            <w:webHidden/>
          </w:rPr>
          <w:fldChar w:fldCharType="end"/>
        </w:r>
      </w:hyperlink>
    </w:p>
    <w:p w:rsidR="003549BA" w:rsidRDefault="00A97AA5">
      <w:pPr>
        <w:pStyle w:val="TOC2"/>
        <w:rPr>
          <w:rFonts w:asciiTheme="minorHAnsi" w:eastAsiaTheme="minorEastAsia" w:hAnsiTheme="minorHAnsi"/>
          <w:b w:val="0"/>
          <w:color w:val="auto"/>
          <w:sz w:val="22"/>
          <w:lang w:eastAsia="en-AU"/>
        </w:rPr>
      </w:pPr>
      <w:hyperlink w:anchor="_Toc432084334" w:history="1">
        <w:r w:rsidR="003549BA" w:rsidRPr="00BF56B6">
          <w:rPr>
            <w:rStyle w:val="Hyperlink"/>
          </w:rPr>
          <w:t>3.5</w:t>
        </w:r>
        <w:r w:rsidR="003549BA">
          <w:rPr>
            <w:rFonts w:asciiTheme="minorHAnsi" w:eastAsiaTheme="minorEastAsia" w:hAnsiTheme="minorHAnsi"/>
            <w:b w:val="0"/>
            <w:color w:val="auto"/>
            <w:sz w:val="22"/>
            <w:lang w:eastAsia="en-AU"/>
          </w:rPr>
          <w:tab/>
        </w:r>
        <w:r w:rsidR="003549BA" w:rsidRPr="00BF56B6">
          <w:rPr>
            <w:rStyle w:val="Hyperlink"/>
          </w:rPr>
          <w:t>Other considerations</w:t>
        </w:r>
        <w:r w:rsidR="003549BA">
          <w:rPr>
            <w:webHidden/>
          </w:rPr>
          <w:tab/>
        </w:r>
        <w:r w:rsidR="003549BA">
          <w:rPr>
            <w:webHidden/>
          </w:rPr>
          <w:fldChar w:fldCharType="begin"/>
        </w:r>
        <w:r w:rsidR="003549BA">
          <w:rPr>
            <w:webHidden/>
          </w:rPr>
          <w:instrText xml:space="preserve"> PAGEREF _Toc432084334 \h </w:instrText>
        </w:r>
        <w:r w:rsidR="003549BA">
          <w:rPr>
            <w:webHidden/>
          </w:rPr>
        </w:r>
        <w:r w:rsidR="003549BA">
          <w:rPr>
            <w:webHidden/>
          </w:rPr>
          <w:fldChar w:fldCharType="separate"/>
        </w:r>
        <w:r w:rsidR="003549BA">
          <w:rPr>
            <w:webHidden/>
          </w:rPr>
          <w:t>6</w:t>
        </w:r>
        <w:r w:rsidR="003549BA">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932A53">
          <w:footerReference w:type="default" r:id="rId12"/>
          <w:pgSz w:w="11906" w:h="16838" w:code="9"/>
          <w:pgMar w:top="1440" w:right="1700" w:bottom="1582" w:left="1729" w:header="720" w:footer="1009" w:gutter="0"/>
          <w:pgNumType w:fmt="lowerRoman"/>
          <w:cols w:space="720"/>
          <w:docGrid w:linePitch="326"/>
        </w:sectPr>
      </w:pPr>
    </w:p>
    <w:p w:rsidR="0020492C" w:rsidRDefault="004800D4" w:rsidP="004F1BF9">
      <w:pPr>
        <w:pStyle w:val="Heading1"/>
        <w:numPr>
          <w:ilvl w:val="0"/>
          <w:numId w:val="0"/>
        </w:numPr>
        <w:ind w:left="680" w:hanging="680"/>
      </w:pPr>
      <w:bookmarkStart w:id="1" w:name="_Toc432084324"/>
      <w:bookmarkEnd w:id="0"/>
      <w:r>
        <w:t>Overview</w:t>
      </w:r>
      <w:bookmarkEnd w:id="1"/>
    </w:p>
    <w:p w:rsidR="00D25473" w:rsidRDefault="00D25473" w:rsidP="00D25473">
      <w:pPr>
        <w:pStyle w:val="BodyText"/>
      </w:pPr>
      <w:r w:rsidRPr="00D25473">
        <w:t>On 22 July 2014, SPI Electricity Pty Ltd (now</w:t>
      </w:r>
      <w:r w:rsidR="00D9398E">
        <w:t xml:space="preserve">, </w:t>
      </w:r>
      <w:r w:rsidRPr="00D25473">
        <w:t xml:space="preserve">AusNet </w:t>
      </w:r>
      <w:r w:rsidR="00D9398E">
        <w:t xml:space="preserve">Electricity </w:t>
      </w:r>
      <w:r w:rsidRPr="00D25473">
        <w:t>Services</w:t>
      </w:r>
      <w:r w:rsidR="00D9398E">
        <w:t xml:space="preserve"> Pty Ltd</w:t>
      </w:r>
      <w:r w:rsidRPr="00D25473">
        <w:t xml:space="preserve">) </w:t>
      </w:r>
      <w:r w:rsidR="00D9398E">
        <w:t xml:space="preserve">(AusNet Services) </w:t>
      </w:r>
      <w:r w:rsidRPr="00D25473">
        <w:t xml:space="preserve">submitted a cost </w:t>
      </w:r>
      <w:r w:rsidR="00772D61">
        <w:t>pass–through</w:t>
      </w:r>
      <w:r w:rsidRPr="00D25473">
        <w:t xml:space="preserve"> application to the Australian Energy Regulator (AER). The application related to costs incurred as a consequence of a direction issued by Energy Safe Victoria (ESV) requiring it to amend its Bushfire Mitigation Plan (BMP) to undertake a specified program of works in high bushfire risk areas. The cost of th</w:t>
      </w:r>
      <w:r>
        <w:t>os</w:t>
      </w:r>
      <w:r w:rsidRPr="00D25473">
        <w:t xml:space="preserve">e projects </w:t>
      </w:r>
      <w:r>
        <w:t>wa</w:t>
      </w:r>
      <w:r w:rsidRPr="00D25473">
        <w:t xml:space="preserve">s the subject of grant funding by the Victorian Government's Powerline Replacement Fund (PRF). </w:t>
      </w:r>
      <w:r>
        <w:t xml:space="preserve">Ordinarily, </w:t>
      </w:r>
      <w:r w:rsidRPr="00D25473">
        <w:t>the receipt of grant money is taxable in the hands of the recipient</w:t>
      </w:r>
      <w:r>
        <w:t xml:space="preserve">. </w:t>
      </w:r>
      <w:r w:rsidRPr="00D25473">
        <w:t>AusNet Services</w:t>
      </w:r>
      <w:r w:rsidR="00B644DC">
        <w:t xml:space="preserve">' </w:t>
      </w:r>
      <w:r>
        <w:t xml:space="preserve">application for a </w:t>
      </w:r>
      <w:r w:rsidR="00772D61">
        <w:t>pass–through</w:t>
      </w:r>
      <w:r>
        <w:t xml:space="preserve"> of the</w:t>
      </w:r>
      <w:r w:rsidR="00B644DC">
        <w:t>se</w:t>
      </w:r>
      <w:r>
        <w:t xml:space="preserve"> additional tax costs to consumers</w:t>
      </w:r>
      <w:r w:rsidR="00B644DC">
        <w:t xml:space="preserve"> was granted by the AER on 12 September 2014</w:t>
      </w:r>
      <w:r>
        <w:t>.</w:t>
      </w:r>
    </w:p>
    <w:p w:rsidR="00D25473" w:rsidRPr="00D25473" w:rsidRDefault="00D25473" w:rsidP="00D25473">
      <w:pPr>
        <w:pStyle w:val="BodyText"/>
      </w:pPr>
      <w:r>
        <w:t xml:space="preserve">Subsequently, AusNet Services made </w:t>
      </w:r>
      <w:r w:rsidR="007A62A4">
        <w:t xml:space="preserve">an </w:t>
      </w:r>
      <w:r>
        <w:t xml:space="preserve">application to the Australian Tax Office for a 'Private Ruling' which was successful. The effect of this ruling is that AusNet Services will not be subject to taxation on the grant monies received from the PRF. On </w:t>
      </w:r>
      <w:r w:rsidR="008713E1">
        <w:t xml:space="preserve">15 September 2015 </w:t>
      </w:r>
      <w:r w:rsidR="00A97AA5">
        <w:t xml:space="preserve">AusNet Services </w:t>
      </w:r>
      <w:bookmarkStart w:id="2" w:name="_GoBack"/>
      <w:bookmarkEnd w:id="2"/>
      <w:r w:rsidR="008713E1">
        <w:t xml:space="preserve">applied to the AER for a </w:t>
      </w:r>
      <w:r w:rsidR="007A62A4">
        <w:t xml:space="preserve">negative </w:t>
      </w:r>
      <w:r w:rsidR="008713E1">
        <w:t xml:space="preserve">tax change event </w:t>
      </w:r>
      <w:r w:rsidR="00772D61">
        <w:t>pass–through</w:t>
      </w:r>
      <w:r w:rsidR="008713E1">
        <w:t xml:space="preserve"> determination. On the basis of the favourable </w:t>
      </w:r>
      <w:r w:rsidR="00672989">
        <w:t xml:space="preserve">private </w:t>
      </w:r>
      <w:r w:rsidR="008713E1">
        <w:t xml:space="preserve">tax ruling, this application is to return </w:t>
      </w:r>
      <w:r w:rsidR="00524D68">
        <w:t xml:space="preserve">to consumers </w:t>
      </w:r>
      <w:r w:rsidR="008713E1">
        <w:t>the $5.72</w:t>
      </w:r>
      <w:r w:rsidR="00690DB2">
        <w:t> </w:t>
      </w:r>
      <w:r w:rsidR="008713E1">
        <w:t>m</w:t>
      </w:r>
      <w:r w:rsidR="00B74837">
        <w:t>illion</w:t>
      </w:r>
      <w:r w:rsidR="008713E1">
        <w:t xml:space="preserve"> ($2015) previously granted by the AER.</w:t>
      </w:r>
    </w:p>
    <w:p w:rsidR="00D25473" w:rsidRPr="00D25473" w:rsidRDefault="00D25473" w:rsidP="00D25473">
      <w:pPr>
        <w:pStyle w:val="BodyText"/>
      </w:pPr>
      <w:r w:rsidRPr="00D25473">
        <w:t xml:space="preserve">The role of the AER, as the economic regulator of Distribution Network Service Providers (DNSPs) in the National Electricity Market (NEM), is to assess AusNet Services' application against the cost </w:t>
      </w:r>
      <w:r w:rsidR="00772D61">
        <w:t>pass–through</w:t>
      </w:r>
      <w:r w:rsidRPr="00D25473">
        <w:t xml:space="preserve"> requirements in chapter 6 of the National Electricity Rules (NER). Specifically, if a positive </w:t>
      </w:r>
      <w:r>
        <w:t xml:space="preserve">or negative </w:t>
      </w:r>
      <w:r w:rsidRPr="00D25473">
        <w:t xml:space="preserve">change event occurs, we must determine the required </w:t>
      </w:r>
      <w:r w:rsidR="00772D61">
        <w:t>pass–through</w:t>
      </w:r>
      <w:r w:rsidRPr="00D25473">
        <w:t xml:space="preserve"> amount and how much of that amount should be passed through to network users in each regulatory year. This decision addresses those requirements, which are set out in clause 6.6.1 of the NER.  </w:t>
      </w:r>
    </w:p>
    <w:p w:rsidR="00D25473" w:rsidRPr="00D25473" w:rsidRDefault="00D25473" w:rsidP="00D25473">
      <w:pPr>
        <w:pStyle w:val="BodyText"/>
      </w:pPr>
      <w:r w:rsidRPr="00D25473">
        <w:t xml:space="preserve">We have determined that AusNet Services' </w:t>
      </w:r>
      <w:r w:rsidR="00772D61">
        <w:t>pass–through</w:t>
      </w:r>
      <w:r w:rsidRPr="00D25473">
        <w:t xml:space="preserve"> application satisfies the requirements of a </w:t>
      </w:r>
      <w:r w:rsidR="008713E1">
        <w:t>tax change event</w:t>
      </w:r>
      <w:r w:rsidRPr="00D25473">
        <w:t>.</w:t>
      </w:r>
      <w:r w:rsidR="00130217" w:rsidRPr="00130217">
        <w:t xml:space="preserve"> The tax change even</w:t>
      </w:r>
      <w:r w:rsidR="00130217">
        <w:t>t, being the ATO Private Ruling</w:t>
      </w:r>
      <w:r w:rsidR="00130217" w:rsidRPr="00130217">
        <w:t>, has the effect of deeming that grant money received under the PRF in 2014 and 2015 is not taxable. As a result, AusNet Services costs in providing direct control service are reduced by the amount of $5.72 million ($2015)</w:t>
      </w:r>
      <w:r w:rsidR="00130217">
        <w:t>. This is the amount</w:t>
      </w:r>
      <w:r w:rsidR="00130217" w:rsidRPr="00130217">
        <w:t xml:space="preserve"> </w:t>
      </w:r>
      <w:r w:rsidR="00130217">
        <w:t xml:space="preserve">previously </w:t>
      </w:r>
      <w:r w:rsidR="00130217" w:rsidRPr="00130217">
        <w:t xml:space="preserve">determined </w:t>
      </w:r>
      <w:r w:rsidR="00130217">
        <w:t xml:space="preserve">by the AER </w:t>
      </w:r>
      <w:r w:rsidR="00130217" w:rsidRPr="00130217">
        <w:t>on 12 September 2014</w:t>
      </w:r>
      <w:r w:rsidR="00130217">
        <w:t xml:space="preserve"> and </w:t>
      </w:r>
      <w:r w:rsidR="00130217" w:rsidRPr="00130217">
        <w:t xml:space="preserve">passed through </w:t>
      </w:r>
      <w:r w:rsidR="00130217">
        <w:t xml:space="preserve">by AusNet Services </w:t>
      </w:r>
      <w:r w:rsidR="00130217" w:rsidRPr="00130217">
        <w:t>to cover its tax liability.</w:t>
      </w:r>
    </w:p>
    <w:p w:rsidR="004800D4" w:rsidRDefault="00392A6D" w:rsidP="00DE0107">
      <w:pPr>
        <w:pStyle w:val="BodyText"/>
      </w:pPr>
      <w:r>
        <w:t>As AusNet Services has applied to the  AER for a negative pass–through t</w:t>
      </w:r>
      <w:r w:rsidR="004800D4" w:rsidRPr="004800D4">
        <w:t>he AER must</w:t>
      </w:r>
      <w:r>
        <w:t xml:space="preserve"> now</w:t>
      </w:r>
      <w:r w:rsidR="004800D4" w:rsidRPr="004800D4">
        <w:t xml:space="preserve"> make a determination on AusNet Services'</w:t>
      </w:r>
      <w:r w:rsidR="005A207E">
        <w:t xml:space="preserve"> </w:t>
      </w:r>
      <w:r w:rsidR="004800D4" w:rsidRPr="004800D4">
        <w:t>application. We must consider, with reference to the</w:t>
      </w:r>
      <w:r w:rsidR="004800D4">
        <w:t xml:space="preserve"> factors specified in the rules</w:t>
      </w:r>
      <w:r w:rsidR="004F1BF9">
        <w:rPr>
          <w:rStyle w:val="FootnoteReference"/>
        </w:rPr>
        <w:footnoteReference w:id="2"/>
      </w:r>
      <w:r w:rsidR="004800D4" w:rsidRPr="004800D4">
        <w:t xml:space="preserve">, whether the </w:t>
      </w:r>
      <w:r w:rsidR="005A207E">
        <w:t xml:space="preserve">pass–through </w:t>
      </w:r>
      <w:r w:rsidR="004800D4" w:rsidRPr="004800D4">
        <w:t>is justified and whether the relevant amounts have been correctly calculated.</w:t>
      </w:r>
    </w:p>
    <w:p w:rsidR="004800D4" w:rsidRDefault="004800D4" w:rsidP="00DE0107">
      <w:pPr>
        <w:pStyle w:val="BodyText"/>
      </w:pPr>
      <w:r w:rsidRPr="004800D4">
        <w:t>We have assessed AusNet Services' application under the framework provided by the rules. In particular, we have considered:</w:t>
      </w:r>
    </w:p>
    <w:p w:rsidR="004800D4" w:rsidRPr="004800D4" w:rsidRDefault="004800D4" w:rsidP="004800D4">
      <w:pPr>
        <w:pStyle w:val="Bulletpoint"/>
      </w:pPr>
      <w:r w:rsidRPr="004800D4">
        <w:t>The provisions of NER cl 6</w:t>
      </w:r>
      <w:r w:rsidR="008713E1">
        <w:t>.6.1</w:t>
      </w:r>
      <w:r w:rsidR="00B57473">
        <w:t>;</w:t>
      </w:r>
    </w:p>
    <w:p w:rsidR="00AB2F31" w:rsidRDefault="004800D4" w:rsidP="004800D4">
      <w:pPr>
        <w:pStyle w:val="Bulletpoint"/>
      </w:pPr>
      <w:r w:rsidRPr="004800D4">
        <w:t>The material provided in AusNet Services' application</w:t>
      </w:r>
      <w:r w:rsidR="00B57473">
        <w:t xml:space="preserve">; </w:t>
      </w:r>
    </w:p>
    <w:p w:rsidR="004800D4" w:rsidRPr="004800D4" w:rsidRDefault="00AB2F31" w:rsidP="00AB2F31">
      <w:pPr>
        <w:pStyle w:val="Bulletpoint"/>
      </w:pPr>
      <w:r>
        <w:t xml:space="preserve">The AER cost </w:t>
      </w:r>
      <w:r w:rsidR="00772D61">
        <w:t>pass–through</w:t>
      </w:r>
      <w:r>
        <w:t xml:space="preserve"> d</w:t>
      </w:r>
      <w:r w:rsidRPr="00AB2F31">
        <w:t>etermination</w:t>
      </w:r>
      <w:r>
        <w:t xml:space="preserve"> for the powerline bushfire safety program 2014;</w:t>
      </w:r>
      <w:r>
        <w:rPr>
          <w:rStyle w:val="FootnoteReference"/>
        </w:rPr>
        <w:footnoteReference w:id="3"/>
      </w:r>
      <w:r>
        <w:t xml:space="preserve"> and</w:t>
      </w:r>
    </w:p>
    <w:p w:rsidR="004800D4" w:rsidRPr="004800D4" w:rsidRDefault="004800D4" w:rsidP="004800D4">
      <w:pPr>
        <w:pStyle w:val="Bulletpoint"/>
      </w:pPr>
      <w:r w:rsidRPr="004800D4">
        <w:t>AusNet Services' 201</w:t>
      </w:r>
      <w:r w:rsidR="008713E1">
        <w:t>1</w:t>
      </w:r>
      <w:r w:rsidRPr="004800D4">
        <w:t>–1</w:t>
      </w:r>
      <w:r w:rsidR="008713E1">
        <w:t>5</w:t>
      </w:r>
      <w:r>
        <w:t xml:space="preserve"> revenue determination</w:t>
      </w:r>
      <w:r w:rsidR="00B57473">
        <w:t>.</w:t>
      </w:r>
    </w:p>
    <w:p w:rsidR="00807AF8" w:rsidRDefault="004800D4" w:rsidP="00C77282">
      <w:pPr>
        <w:pStyle w:val="BodyText"/>
      </w:pPr>
      <w:r w:rsidRPr="004800D4">
        <w:t xml:space="preserve">We determine that AusNet Services has correctly identified the </w:t>
      </w:r>
      <w:r w:rsidR="005A207E">
        <w:t xml:space="preserve">pass–through </w:t>
      </w:r>
      <w:r w:rsidRPr="004800D4">
        <w:t>amount</w:t>
      </w:r>
      <w:r w:rsidR="00B74837">
        <w:t xml:space="preserve"> as $5.72</w:t>
      </w:r>
      <w:r w:rsidR="00690DB2">
        <w:t> </w:t>
      </w:r>
      <w:r w:rsidR="00B74837">
        <w:t>million ($2015)</w:t>
      </w:r>
      <w:r w:rsidRPr="004800D4">
        <w:t xml:space="preserve">. </w:t>
      </w:r>
      <w:r w:rsidR="00B74837">
        <w:t xml:space="preserve">However, this amount will be </w:t>
      </w:r>
      <w:r w:rsidR="00130217">
        <w:t xml:space="preserve">returned to </w:t>
      </w:r>
      <w:r w:rsidR="00B74837">
        <w:t xml:space="preserve">customers in 2016. </w:t>
      </w:r>
      <w:r w:rsidR="003C6B21">
        <w:t xml:space="preserve">AusNet Services did not adjust the positive </w:t>
      </w:r>
      <w:r w:rsidR="00772D61">
        <w:t>pass–through</w:t>
      </w:r>
      <w:r w:rsidR="003C6B21">
        <w:t xml:space="preserve"> amount to account for the time </w:t>
      </w:r>
      <w:r w:rsidR="00477501">
        <w:t xml:space="preserve">cost </w:t>
      </w:r>
      <w:r w:rsidR="003C6B21">
        <w:t xml:space="preserve">of money. </w:t>
      </w:r>
      <w:r w:rsidR="000F2742">
        <w:t>We have adjusted the amount to be returned to customers to account for the time cost of money.</w:t>
      </w:r>
    </w:p>
    <w:p w:rsidR="003C6B21" w:rsidRDefault="00130217" w:rsidP="00C77282">
      <w:pPr>
        <w:pStyle w:val="BodyText"/>
      </w:pPr>
      <w:r>
        <w:t>W</w:t>
      </w:r>
      <w:r w:rsidR="000F2742">
        <w:t xml:space="preserve">e have based this calculation on the </w:t>
      </w:r>
      <w:r w:rsidR="0005503B">
        <w:t xml:space="preserve">allowed rate of return </w:t>
      </w:r>
      <w:r w:rsidR="000F2742">
        <w:t xml:space="preserve">of 9.75 per cent which applies in the 2011–15 determination. </w:t>
      </w:r>
      <w:r w:rsidR="00DA4B26" w:rsidRPr="00DA4B26">
        <w:t>The calcul</w:t>
      </w:r>
      <w:r w:rsidR="00DA4B26">
        <w:t>ation is 5.723×(1+0.0975)=6.281.</w:t>
      </w:r>
      <w:r w:rsidR="00DA4B26">
        <w:rPr>
          <w:rStyle w:val="FootnoteReference"/>
        </w:rPr>
        <w:footnoteReference w:id="4"/>
      </w:r>
      <w:r w:rsidR="00DA4B26">
        <w:t xml:space="preserve"> </w:t>
      </w:r>
      <w:r w:rsidR="003C6B21">
        <w:t xml:space="preserve">We have determined that the </w:t>
      </w:r>
      <w:r w:rsidR="00B74837">
        <w:t xml:space="preserve">negative </w:t>
      </w:r>
      <w:r w:rsidR="00772D61">
        <w:t>pass–through</w:t>
      </w:r>
      <w:r w:rsidR="00B74837">
        <w:t xml:space="preserve"> amount </w:t>
      </w:r>
      <w:r w:rsidR="003C6B21">
        <w:t xml:space="preserve">is </w:t>
      </w:r>
      <w:r w:rsidR="00B74837">
        <w:t>$</w:t>
      </w:r>
      <w:r w:rsidR="00690DB2">
        <w:t>6.28 </w:t>
      </w:r>
      <w:r w:rsidR="003C6B21">
        <w:t>million ($</w:t>
      </w:r>
      <w:r w:rsidR="003F492B">
        <w:t>nominal</w:t>
      </w:r>
      <w:r w:rsidR="00703874">
        <w:t>)</w:t>
      </w:r>
      <w:r w:rsidR="003C6B21">
        <w:t>.</w:t>
      </w:r>
      <w:r w:rsidR="00807AF8">
        <w:t xml:space="preserve"> </w:t>
      </w:r>
    </w:p>
    <w:p w:rsidR="004800D4" w:rsidRDefault="004800D4" w:rsidP="00C77282">
      <w:pPr>
        <w:pStyle w:val="BodyText"/>
      </w:pPr>
      <w:r w:rsidRPr="004800D4">
        <w:t>AusNet Services can adjust its maximum allowed revenue in 2016 by this amount</w:t>
      </w:r>
      <w:r w:rsidR="009A7831">
        <w:t>, via the price control formula,</w:t>
      </w:r>
      <w:r w:rsidRPr="004800D4">
        <w:t xml:space="preserve"> in accordance with</w:t>
      </w:r>
      <w:r w:rsidR="0005503B" w:rsidRPr="0005503B">
        <w:t xml:space="preserve"> </w:t>
      </w:r>
      <w:r w:rsidR="0005503B">
        <w:t>AusNet Services' 2016–20</w:t>
      </w:r>
      <w:r w:rsidR="0005503B" w:rsidRPr="004F1BF9">
        <w:t xml:space="preserve"> </w:t>
      </w:r>
      <w:r w:rsidR="0005503B">
        <w:t>distribution</w:t>
      </w:r>
      <w:r w:rsidR="0005503B" w:rsidRPr="004F1BF9">
        <w:t xml:space="preserve"> determination</w:t>
      </w:r>
      <w:r w:rsidRPr="004800D4">
        <w:t>.</w:t>
      </w:r>
    </w:p>
    <w:p w:rsidR="004F1BF9" w:rsidRDefault="004F1BF9" w:rsidP="004800D4">
      <w:pPr>
        <w:pStyle w:val="Bulletpoint"/>
        <w:numPr>
          <w:ilvl w:val="0"/>
          <w:numId w:val="0"/>
        </w:numPr>
      </w:pPr>
    </w:p>
    <w:p w:rsidR="004F1BF9" w:rsidRPr="004800D4" w:rsidRDefault="004F1BF9" w:rsidP="004800D4">
      <w:pPr>
        <w:pStyle w:val="Bulletpoint"/>
        <w:numPr>
          <w:ilvl w:val="0"/>
          <w:numId w:val="0"/>
        </w:numPr>
      </w:pPr>
    </w:p>
    <w:p w:rsidR="004F1BF9" w:rsidRDefault="004F1BF9" w:rsidP="004F1BF9">
      <w:pPr>
        <w:pStyle w:val="Heading1"/>
      </w:pPr>
      <w:bookmarkStart w:id="3" w:name="_Toc432084325"/>
      <w:bookmarkStart w:id="4" w:name="_Toc213047618"/>
      <w:r>
        <w:t>Determination</w:t>
      </w:r>
      <w:bookmarkEnd w:id="3"/>
    </w:p>
    <w:p w:rsidR="004F1BF9" w:rsidRDefault="004F1BF9" w:rsidP="00DE0107">
      <w:pPr>
        <w:pStyle w:val="BodyText"/>
      </w:pPr>
      <w:r w:rsidRPr="004F1BF9">
        <w:t xml:space="preserve">We consider that </w:t>
      </w:r>
      <w:r>
        <w:t>AusNet Services</w:t>
      </w:r>
      <w:r w:rsidRPr="004F1BF9">
        <w:t xml:space="preserve"> has established that a </w:t>
      </w:r>
      <w:r w:rsidR="003C6B21">
        <w:t xml:space="preserve">negative </w:t>
      </w:r>
      <w:r w:rsidRPr="004F1BF9">
        <w:t xml:space="preserve">change event has occurred. The </w:t>
      </w:r>
      <w:r w:rsidR="003C6B21">
        <w:t xml:space="preserve">negative </w:t>
      </w:r>
      <w:r w:rsidRPr="004F1BF9">
        <w:t>change event is a</w:t>
      </w:r>
      <w:r w:rsidR="003C6B21">
        <w:t xml:space="preserve"> </w:t>
      </w:r>
      <w:r w:rsidRPr="004F1BF9">
        <w:t xml:space="preserve">tax change event, and is a result of the actual tax payments required to be made by </w:t>
      </w:r>
      <w:r>
        <w:t>AusNet Services</w:t>
      </w:r>
      <w:r w:rsidRPr="004F1BF9">
        <w:t xml:space="preserve"> being </w:t>
      </w:r>
      <w:r w:rsidR="003C6B21">
        <w:t>lower</w:t>
      </w:r>
      <w:r w:rsidRPr="004F1BF9">
        <w:t xml:space="preserve"> than the allowance made for such payments in its </w:t>
      </w:r>
      <w:r w:rsidR="00925200">
        <w:t xml:space="preserve">2011–2015 </w:t>
      </w:r>
      <w:r w:rsidRPr="004F1BF9">
        <w:t>revenue determination</w:t>
      </w:r>
      <w:r w:rsidR="003C6B21">
        <w:t xml:space="preserve"> </w:t>
      </w:r>
      <w:r w:rsidR="00CF4C5B">
        <w:t>adjusted to include</w:t>
      </w:r>
      <w:r w:rsidR="003C6B21">
        <w:t xml:space="preserve"> the positive tax change event granted in September 2014</w:t>
      </w:r>
      <w:r w:rsidRPr="004F1BF9">
        <w:t>.</w:t>
      </w:r>
    </w:p>
    <w:p w:rsidR="00703874" w:rsidRPr="00703874" w:rsidRDefault="004F1BF9" w:rsidP="00703874">
      <w:pPr>
        <w:pStyle w:val="BodyText"/>
      </w:pPr>
      <w:r w:rsidRPr="004F1BF9">
        <w:t>The rules require us to determine the amount that should be passed through to customers.</w:t>
      </w:r>
      <w:r w:rsidR="00EF3DA5">
        <w:rPr>
          <w:rStyle w:val="FootnoteReference"/>
        </w:rPr>
        <w:footnoteReference w:id="5"/>
      </w:r>
      <w:r w:rsidRPr="004F1BF9">
        <w:t xml:space="preserve">  We base our decision on an assessment of the factors set out in cl</w:t>
      </w:r>
      <w:r w:rsidR="00CA366B">
        <w:t>ause</w:t>
      </w:r>
      <w:r w:rsidRPr="004F1BF9">
        <w:t xml:space="preserve"> 6</w:t>
      </w:r>
      <w:r w:rsidR="003C6B21">
        <w:t>.6.1(j)</w:t>
      </w:r>
      <w:r w:rsidRPr="004F1BF9">
        <w:t xml:space="preserve"> of the rules. We consider that </w:t>
      </w:r>
      <w:r w:rsidR="00EF3DA5">
        <w:t>AusNet Services</w:t>
      </w:r>
      <w:r w:rsidRPr="004F1BF9">
        <w:t xml:space="preserve"> has accurately calculated the effect of the </w:t>
      </w:r>
      <w:r w:rsidR="00703874">
        <w:t xml:space="preserve">negative </w:t>
      </w:r>
      <w:r w:rsidRPr="004F1BF9">
        <w:t>change event on its business</w:t>
      </w:r>
      <w:r w:rsidR="006E7B08">
        <w:t>. Further,</w:t>
      </w:r>
      <w:r w:rsidRPr="004F1BF9">
        <w:t xml:space="preserve"> the </w:t>
      </w:r>
      <w:r w:rsidR="005A207E">
        <w:t xml:space="preserve">pass–through </w:t>
      </w:r>
      <w:r w:rsidRPr="004F1BF9">
        <w:t xml:space="preserve">amount that it proposes to pass on to customers is appropriate and meets the rule requirements. </w:t>
      </w:r>
      <w:r w:rsidR="0005503B">
        <w:t xml:space="preserve">However, </w:t>
      </w:r>
      <w:r w:rsidR="00703874" w:rsidRPr="00703874">
        <w:t>AusNet Services did not adjust the pass–through amount to account for the time cost of money. We have adjusted the amount to be returned to customers to account for the time cost of money.</w:t>
      </w:r>
      <w:r w:rsidR="0005503B">
        <w:rPr>
          <w:rStyle w:val="FootnoteReference"/>
        </w:rPr>
        <w:footnoteReference w:id="6"/>
      </w:r>
    </w:p>
    <w:p w:rsidR="004F1BF9" w:rsidRDefault="00703874" w:rsidP="00703874">
      <w:pPr>
        <w:pStyle w:val="BodyText"/>
      </w:pPr>
      <w:r w:rsidRPr="00703874">
        <w:t xml:space="preserve">For this decision we have based this calculation on the </w:t>
      </w:r>
      <w:r w:rsidR="0005503B">
        <w:t xml:space="preserve">allowed rate of return </w:t>
      </w:r>
      <w:r w:rsidRPr="00703874">
        <w:t>of 9.75 per cent which applies in the 2011–15 determination. We have determined that the negative pass–through amou</w:t>
      </w:r>
      <w:r>
        <w:t>nt is $6.28 million ($nominal)</w:t>
      </w:r>
      <w:r w:rsidR="0005503B">
        <w:t>. This</w:t>
      </w:r>
      <w:r w:rsidR="004F1BF9" w:rsidRPr="004F1BF9">
        <w:t xml:space="preserve"> wi</w:t>
      </w:r>
      <w:r w:rsidR="00EF3DA5">
        <w:t>ll be passed through in the 201</w:t>
      </w:r>
      <w:r w:rsidR="003C6B21">
        <w:t>6</w:t>
      </w:r>
      <w:r w:rsidR="004F1BF9" w:rsidRPr="004F1BF9">
        <w:t xml:space="preserve"> regulatory year</w:t>
      </w:r>
      <w:r w:rsidR="00344039">
        <w:t>, via the price control formula,</w:t>
      </w:r>
      <w:r w:rsidR="004F1BF9" w:rsidRPr="004F1BF9">
        <w:t xml:space="preserve"> in accordance with </w:t>
      </w:r>
      <w:r w:rsidR="00EF3DA5">
        <w:t>AusNet Services' 201</w:t>
      </w:r>
      <w:r w:rsidR="003C6B21">
        <w:t>6</w:t>
      </w:r>
      <w:r w:rsidR="00EF3DA5">
        <w:t>–</w:t>
      </w:r>
      <w:r w:rsidR="003C6B21">
        <w:t>20</w:t>
      </w:r>
      <w:r w:rsidR="004F1BF9" w:rsidRPr="004F1BF9">
        <w:t xml:space="preserve"> </w:t>
      </w:r>
      <w:r w:rsidR="00344039">
        <w:t>distribution</w:t>
      </w:r>
      <w:r w:rsidR="00344039" w:rsidRPr="004F1BF9">
        <w:t xml:space="preserve"> </w:t>
      </w:r>
      <w:r w:rsidR="004F1BF9" w:rsidRPr="004F1BF9">
        <w:t>determination.</w:t>
      </w:r>
      <w:r w:rsidR="00B63CC5">
        <w:t xml:space="preserve"> </w:t>
      </w:r>
    </w:p>
    <w:p w:rsidR="00EF3DA5" w:rsidRDefault="00EF3DA5" w:rsidP="004F1BF9"/>
    <w:p w:rsidR="00EF3DA5" w:rsidRDefault="00EF3DA5" w:rsidP="00EF3DA5">
      <w:pPr>
        <w:pStyle w:val="Heading1"/>
      </w:pPr>
      <w:bookmarkStart w:id="5" w:name="_Toc432084326"/>
      <w:r>
        <w:t>AusNet Services' application</w:t>
      </w:r>
      <w:bookmarkEnd w:id="5"/>
    </w:p>
    <w:p w:rsidR="00EF3DA5" w:rsidRPr="00EF3DA5" w:rsidRDefault="00B63CC5" w:rsidP="00C77282">
      <w:pPr>
        <w:pStyle w:val="BodyText"/>
      </w:pPr>
      <w:r>
        <w:t>AusNet Services'</w:t>
      </w:r>
      <w:r w:rsidR="00EF3DA5" w:rsidRPr="00EF3DA5">
        <w:t xml:space="preserve"> application was submitted on </w:t>
      </w:r>
      <w:r>
        <w:t>1</w:t>
      </w:r>
      <w:r w:rsidR="00CF4C5B">
        <w:t>5 September</w:t>
      </w:r>
      <w:r w:rsidR="00C77282">
        <w:t xml:space="preserve"> 2015</w:t>
      </w:r>
      <w:r w:rsidR="00EF3DA5" w:rsidRPr="00EF3DA5">
        <w:t>. The application and its attachments are available on our website.</w:t>
      </w:r>
      <w:r w:rsidR="00C77282">
        <w:rPr>
          <w:rStyle w:val="FootnoteReference"/>
        </w:rPr>
        <w:footnoteReference w:id="7"/>
      </w:r>
    </w:p>
    <w:p w:rsidR="0020492C" w:rsidRDefault="00C77282" w:rsidP="002E1BE5">
      <w:pPr>
        <w:pStyle w:val="Heading2"/>
      </w:pPr>
      <w:bookmarkStart w:id="6" w:name="_Toc432084327"/>
      <w:bookmarkEnd w:id="4"/>
      <w:r>
        <w:t>Background</w:t>
      </w:r>
      <w:bookmarkEnd w:id="6"/>
    </w:p>
    <w:p w:rsidR="00C77282" w:rsidRDefault="00DE0107" w:rsidP="00C77282">
      <w:pPr>
        <w:pStyle w:val="BodyText"/>
      </w:pPr>
      <w:r>
        <w:t>AusNet Services'</w:t>
      </w:r>
      <w:r w:rsidR="00C77282" w:rsidRPr="00C77282">
        <w:t xml:space="preserve"> application relates to the </w:t>
      </w:r>
      <w:r w:rsidR="00CF4C5B">
        <w:t xml:space="preserve">return to customers of money collected in the expectation that grant money received under the Victorian Government Powerline Replacement Fund </w:t>
      </w:r>
      <w:r w:rsidR="003F492B">
        <w:t xml:space="preserve">in 2014 and 2015 </w:t>
      </w:r>
      <w:r w:rsidR="00CF4C5B">
        <w:t xml:space="preserve">would be taxable. Following the receipt of a favourable </w:t>
      </w:r>
      <w:r w:rsidR="00925200">
        <w:t xml:space="preserve">private </w:t>
      </w:r>
      <w:r w:rsidR="00CF4C5B">
        <w:t xml:space="preserve">ruling from the Australian Taxation Office on </w:t>
      </w:r>
      <w:r w:rsidR="000B05DF">
        <w:t xml:space="preserve">8 May 2015, AusNet Services </w:t>
      </w:r>
      <w:r w:rsidR="00925200">
        <w:t xml:space="preserve">is </w:t>
      </w:r>
      <w:r w:rsidR="000B05DF">
        <w:t>no longer liable for taxation on this grant money.</w:t>
      </w:r>
    </w:p>
    <w:p w:rsidR="00F170E5" w:rsidRDefault="00F170E5" w:rsidP="00F170E5">
      <w:pPr>
        <w:pStyle w:val="Heading2"/>
      </w:pPr>
      <w:bookmarkStart w:id="7" w:name="_Toc432084328"/>
      <w:r>
        <w:t xml:space="preserve">Calculation of the </w:t>
      </w:r>
      <w:r w:rsidR="005A207E">
        <w:t xml:space="preserve">pass–through </w:t>
      </w:r>
      <w:r>
        <w:t>amount</w:t>
      </w:r>
      <w:bookmarkEnd w:id="7"/>
    </w:p>
    <w:p w:rsidR="008720E2" w:rsidRDefault="00925200" w:rsidP="000C4AC7">
      <w:pPr>
        <w:pStyle w:val="BodyText"/>
      </w:pPr>
      <w:r w:rsidRPr="00925200">
        <w:t xml:space="preserve">On 12 September 2014 the AER approved </w:t>
      </w:r>
      <w:r w:rsidR="008720E2">
        <w:t xml:space="preserve">a </w:t>
      </w:r>
      <w:r w:rsidR="005B5867">
        <w:t xml:space="preserve">positive </w:t>
      </w:r>
      <w:r w:rsidR="00772D61">
        <w:t>pass–through</w:t>
      </w:r>
      <w:r w:rsidRPr="00925200">
        <w:t xml:space="preserve"> </w:t>
      </w:r>
      <w:r w:rsidR="005B5867">
        <w:t xml:space="preserve">amount </w:t>
      </w:r>
      <w:r w:rsidRPr="00925200">
        <w:t>of $5.72</w:t>
      </w:r>
      <w:r w:rsidR="005B5867">
        <w:t xml:space="preserve"> </w:t>
      </w:r>
      <w:r w:rsidRPr="00925200">
        <w:t>m</w:t>
      </w:r>
      <w:r w:rsidR="005B5867">
        <w:t>illion</w:t>
      </w:r>
      <w:r w:rsidRPr="00925200">
        <w:t xml:space="preserve"> ($2015)</w:t>
      </w:r>
      <w:r w:rsidR="008720E2">
        <w:t>. This has been included in AusNet Services' prices</w:t>
      </w:r>
      <w:r w:rsidRPr="00925200">
        <w:t xml:space="preserve"> in 2015</w:t>
      </w:r>
      <w:r>
        <w:t xml:space="preserve">. </w:t>
      </w:r>
      <w:r w:rsidR="00344039">
        <w:t xml:space="preserve">Since this determination, </w:t>
      </w:r>
      <w:r w:rsidR="000C4AC7">
        <w:t>AusNet Services</w:t>
      </w:r>
      <w:r w:rsidR="000C4AC7" w:rsidRPr="000C4AC7">
        <w:t xml:space="preserve"> </w:t>
      </w:r>
      <w:r w:rsidR="008720E2">
        <w:t xml:space="preserve">has </w:t>
      </w:r>
      <w:r w:rsidR="00344039">
        <w:t>successfully obtained a</w:t>
      </w:r>
      <w:r w:rsidR="000C4AC7" w:rsidRPr="000C4AC7">
        <w:t xml:space="preserve"> </w:t>
      </w:r>
      <w:r>
        <w:t xml:space="preserve">private ruling </w:t>
      </w:r>
      <w:r w:rsidR="000C4AC7" w:rsidRPr="000C4AC7">
        <w:t xml:space="preserve">from the </w:t>
      </w:r>
      <w:r>
        <w:t>Australian Taxation Office.</w:t>
      </w:r>
      <w:r w:rsidR="005B5867">
        <w:t xml:space="preserve"> The ruling absolves AusNet Services of the whole of the liability </w:t>
      </w:r>
      <w:r w:rsidR="00524D68">
        <w:t xml:space="preserve">for taxation on grant money received from the PRF. The amount </w:t>
      </w:r>
      <w:r w:rsidR="005B5867">
        <w:t xml:space="preserve">granted </w:t>
      </w:r>
      <w:r w:rsidR="008720E2">
        <w:t xml:space="preserve">by the AER </w:t>
      </w:r>
      <w:r w:rsidR="005B5867">
        <w:t xml:space="preserve">as the positive </w:t>
      </w:r>
      <w:r w:rsidR="00772D61">
        <w:t>pass–through</w:t>
      </w:r>
      <w:r w:rsidR="005B5867">
        <w:t xml:space="preserve"> amount</w:t>
      </w:r>
      <w:r w:rsidR="00524D68">
        <w:t xml:space="preserve"> assumed the whole of that money was taxable</w:t>
      </w:r>
      <w:r w:rsidR="005B5867">
        <w:t xml:space="preserve">. </w:t>
      </w:r>
    </w:p>
    <w:p w:rsidR="00524D68" w:rsidRDefault="005B5867" w:rsidP="000C4AC7">
      <w:pPr>
        <w:pStyle w:val="BodyText"/>
      </w:pPr>
      <w:r>
        <w:t xml:space="preserve">Therefore, the amount to be returned to customers is </w:t>
      </w:r>
      <w:r w:rsidR="00524D68">
        <w:t xml:space="preserve">also </w:t>
      </w:r>
      <w:r>
        <w:t xml:space="preserve">$5.72 million ($2015). However, as prices for 2015 have already been set, this amount must be recovered in 2016. </w:t>
      </w:r>
      <w:r w:rsidR="00690DB2">
        <w:t xml:space="preserve">Given the additional year of delay before this amount is returned to customers, we also need to adjust for the time </w:t>
      </w:r>
      <w:r w:rsidR="0083369F">
        <w:t>cost</w:t>
      </w:r>
      <w:r w:rsidR="00690DB2">
        <w:t xml:space="preserve"> of money.</w:t>
      </w:r>
      <w:r w:rsidR="00690DB2">
        <w:rPr>
          <w:rStyle w:val="FootnoteReference"/>
        </w:rPr>
        <w:footnoteReference w:id="8"/>
      </w:r>
      <w:r w:rsidR="00690DB2">
        <w:t xml:space="preserve"> </w:t>
      </w:r>
      <w:r w:rsidR="003058C8">
        <w:t xml:space="preserve">This calculation is based on the </w:t>
      </w:r>
      <w:r w:rsidR="003058C8" w:rsidRPr="003058C8">
        <w:t>allowed rate of return</w:t>
      </w:r>
      <w:r w:rsidR="003058C8">
        <w:t>.</w:t>
      </w:r>
      <w:r w:rsidR="003058C8" w:rsidRPr="003058C8">
        <w:t xml:space="preserve"> </w:t>
      </w:r>
      <w:r w:rsidR="00690DB2">
        <w:t>The relevant rate is the weighted average cost of capital (WACC) applying to AusNet Services. Th</w:t>
      </w:r>
      <w:r w:rsidR="00847383">
        <w:t>e</w:t>
      </w:r>
      <w:r w:rsidR="00690DB2">
        <w:t xml:space="preserve"> nominal vanilla WACC </w:t>
      </w:r>
      <w:r w:rsidR="00847383">
        <w:t xml:space="preserve">is currently </w:t>
      </w:r>
      <w:r w:rsidR="00690DB2">
        <w:t>9.75 per cent.</w:t>
      </w:r>
      <w:r w:rsidR="00690DB2">
        <w:rPr>
          <w:rStyle w:val="FootnoteReference"/>
        </w:rPr>
        <w:footnoteReference w:id="9"/>
      </w:r>
      <w:r w:rsidR="00690DB2">
        <w:t xml:space="preserve"> </w:t>
      </w:r>
      <w:r w:rsidR="00524D68">
        <w:t xml:space="preserve">We calculate the adjusted amount to be </w:t>
      </w:r>
      <w:r w:rsidR="00690DB2">
        <w:t xml:space="preserve">recovered in 2016 as </w:t>
      </w:r>
      <w:r w:rsidR="00524D68">
        <w:t>$</w:t>
      </w:r>
      <w:r w:rsidR="00690DB2">
        <w:t>6.28 </w:t>
      </w:r>
      <w:r w:rsidR="00524D68">
        <w:t>million ($nominal).</w:t>
      </w:r>
      <w:r w:rsidR="00690DB2">
        <w:rPr>
          <w:rStyle w:val="FootnoteReference"/>
        </w:rPr>
        <w:footnoteReference w:id="10"/>
      </w:r>
      <w:r w:rsidR="005438B8">
        <w:t xml:space="preserve"> </w:t>
      </w:r>
    </w:p>
    <w:p w:rsidR="00925200" w:rsidRDefault="00690DB2" w:rsidP="000C4AC7">
      <w:pPr>
        <w:pStyle w:val="BodyText"/>
      </w:pPr>
      <w:r>
        <w:t xml:space="preserve">AusNet Services proposed to implement the negative pass through as a revenue adjustment in the PTRM, concurrent with our preliminary determination for AusNet Services' 2016–20 regulatory </w:t>
      </w:r>
      <w:r w:rsidR="0083369F">
        <w:t>control period</w:t>
      </w:r>
      <w:r>
        <w:t xml:space="preserve">. We have not </w:t>
      </w:r>
      <w:r w:rsidR="004C10BB">
        <w:t xml:space="preserve">adopted </w:t>
      </w:r>
      <w:r>
        <w:t xml:space="preserve">this implementation. </w:t>
      </w:r>
      <w:r w:rsidR="004C10BB">
        <w:t>We consider that the two regulatory processes should be kept separate, and note that they have different timelines and assessment steps under the NER</w:t>
      </w:r>
      <w:r>
        <w:t>.</w:t>
      </w:r>
      <w:r w:rsidR="004C10BB">
        <w:rPr>
          <w:rStyle w:val="FootnoteReference"/>
        </w:rPr>
        <w:footnoteReference w:id="11"/>
      </w:r>
      <w:r>
        <w:t xml:space="preserve"> Instead, we will </w:t>
      </w:r>
      <w:r w:rsidR="0083369F">
        <w:t>implement the pass–</w:t>
      </w:r>
      <w:r>
        <w:t>through using AusNet Services' price control formula</w:t>
      </w:r>
      <w:r w:rsidR="00CB0340">
        <w:t>, which will be applied in accordance with AusNet Services' 2016–20 distribution determination.</w:t>
      </w:r>
    </w:p>
    <w:p w:rsidR="00C164C6" w:rsidRPr="00F170E5" w:rsidRDefault="00C164C6" w:rsidP="000C4AC7"/>
    <w:p w:rsidR="0020492C" w:rsidRDefault="00C164C6" w:rsidP="00562632">
      <w:pPr>
        <w:pStyle w:val="Heading1"/>
      </w:pPr>
      <w:bookmarkStart w:id="8" w:name="_Toc432084329"/>
      <w:r>
        <w:t>AER Assessment</w:t>
      </w:r>
      <w:bookmarkEnd w:id="8"/>
    </w:p>
    <w:p w:rsidR="004E22EC" w:rsidRDefault="00163D50" w:rsidP="00B927D8">
      <w:pPr>
        <w:pStyle w:val="Heading2"/>
      </w:pPr>
      <w:bookmarkStart w:id="9" w:name="_Toc432084330"/>
      <w:r>
        <w:t>Relevant dates</w:t>
      </w:r>
      <w:bookmarkEnd w:id="9"/>
    </w:p>
    <w:p w:rsidR="00163D50" w:rsidRDefault="00163D50" w:rsidP="002D4E33">
      <w:pPr>
        <w:pStyle w:val="BodyText"/>
      </w:pPr>
      <w:r>
        <w:t>The rules provide</w:t>
      </w:r>
      <w:r w:rsidRPr="00163D50">
        <w:t xml:space="preserve"> that, for a </w:t>
      </w:r>
      <w:r w:rsidR="000B05DF">
        <w:t xml:space="preserve">negative </w:t>
      </w:r>
      <w:r w:rsidRPr="00163D50">
        <w:t xml:space="preserve">change event, an application to us for a </w:t>
      </w:r>
      <w:r w:rsidR="000B05DF">
        <w:t xml:space="preserve">negative </w:t>
      </w:r>
      <w:r w:rsidR="005A207E">
        <w:t xml:space="preserve">pass–through </w:t>
      </w:r>
      <w:r w:rsidRPr="00163D50">
        <w:t>amount must be made within 90 business days of the relevant event occurring.</w:t>
      </w:r>
      <w:r>
        <w:rPr>
          <w:rStyle w:val="FootnoteReference"/>
        </w:rPr>
        <w:footnoteReference w:id="12"/>
      </w:r>
      <w:r w:rsidRPr="00163D50">
        <w:t xml:space="preserve">  We must make a determination on the event within 40 business days of the business providing details of the event a</w:t>
      </w:r>
      <w:r>
        <w:t>nd supporting evidence to us.</w:t>
      </w:r>
      <w:r w:rsidR="00E75721">
        <w:rPr>
          <w:rStyle w:val="FootnoteReference"/>
        </w:rPr>
        <w:footnoteReference w:id="13"/>
      </w:r>
    </w:p>
    <w:p w:rsidR="00AC6E2F" w:rsidRDefault="00672989" w:rsidP="00AC6E2F">
      <w:r>
        <w:t>AusNet Services</w:t>
      </w:r>
      <w:r w:rsidRPr="002D4E33">
        <w:t xml:space="preserve"> was issued with its </w:t>
      </w:r>
      <w:r w:rsidR="00AC6E2F">
        <w:t xml:space="preserve">private ruling on 8 May </w:t>
      </w:r>
      <w:r>
        <w:t>2015</w:t>
      </w:r>
      <w:r w:rsidR="00AC6E2F">
        <w:t xml:space="preserve">. </w:t>
      </w:r>
      <w:r w:rsidR="002D4E33">
        <w:t>AusNet Services</w:t>
      </w:r>
      <w:r w:rsidR="002D4E33" w:rsidRPr="008E4F3F">
        <w:t xml:space="preserve"> made its </w:t>
      </w:r>
      <w:r w:rsidR="005A207E">
        <w:t xml:space="preserve">pass–through </w:t>
      </w:r>
      <w:r w:rsidR="002D4E33" w:rsidRPr="008E4F3F">
        <w:t xml:space="preserve">application on </w:t>
      </w:r>
      <w:r w:rsidR="002D4E33">
        <w:t>1</w:t>
      </w:r>
      <w:r>
        <w:t>5</w:t>
      </w:r>
      <w:r w:rsidR="002D4E33">
        <w:t> </w:t>
      </w:r>
      <w:r>
        <w:t>September</w:t>
      </w:r>
      <w:r w:rsidR="002D4E33">
        <w:t> 2015</w:t>
      </w:r>
      <w:r w:rsidR="002D4E33" w:rsidRPr="008E4F3F">
        <w:t xml:space="preserve">, which is within the </w:t>
      </w:r>
      <w:r w:rsidR="002D4E33" w:rsidRPr="002D4E33">
        <w:t xml:space="preserve">set timeframe. </w:t>
      </w:r>
    </w:p>
    <w:p w:rsidR="00E75721" w:rsidRDefault="00E75721" w:rsidP="00E75721">
      <w:pPr>
        <w:pStyle w:val="BodyText"/>
      </w:pPr>
      <w:r w:rsidRPr="00E75721">
        <w:t xml:space="preserve">Therefore, we consider that the </w:t>
      </w:r>
      <w:r w:rsidR="00524D68">
        <w:t xml:space="preserve">potential </w:t>
      </w:r>
      <w:r w:rsidRPr="00E75721">
        <w:t xml:space="preserve">tax change event occurred on </w:t>
      </w:r>
      <w:r w:rsidR="00AC6E2F">
        <w:t xml:space="preserve">8 May </w:t>
      </w:r>
      <w:r>
        <w:t>2015</w:t>
      </w:r>
      <w:r w:rsidRPr="00E75721">
        <w:t xml:space="preserve">, </w:t>
      </w:r>
      <w:r w:rsidR="00AC6E2F">
        <w:t>as proposed by AusNet Services.</w:t>
      </w:r>
    </w:p>
    <w:p w:rsidR="004A00A5" w:rsidRDefault="004A00A5" w:rsidP="00E75721">
      <w:pPr>
        <w:pStyle w:val="Heading2"/>
      </w:pPr>
      <w:bookmarkStart w:id="10" w:name="_Toc432084331"/>
      <w:r>
        <w:t>Tax change event</w:t>
      </w:r>
      <w:bookmarkEnd w:id="10"/>
    </w:p>
    <w:p w:rsidR="004A00A5" w:rsidRPr="004A00A5" w:rsidRDefault="004A00A5" w:rsidP="004A00A5">
      <w:r>
        <w:t>The NER defines a tax change event to have occurred</w:t>
      </w:r>
      <w:r w:rsidRPr="004A00A5">
        <w:t xml:space="preserve"> if</w:t>
      </w:r>
      <w:r>
        <w:t xml:space="preserve"> </w:t>
      </w:r>
      <w:r w:rsidRPr="004A00A5">
        <w:t xml:space="preserve">any of the following occurs during the course of a regulatory control period for a </w:t>
      </w:r>
      <w:r>
        <w:t>…</w:t>
      </w:r>
      <w:r w:rsidRPr="004A00A5">
        <w:t xml:space="preserve"> Distribution Network Service Provider:</w:t>
      </w:r>
    </w:p>
    <w:p w:rsidR="004A00A5" w:rsidRPr="004A00A5" w:rsidRDefault="004A00A5" w:rsidP="004A00A5">
      <w:pPr>
        <w:pStyle w:val="Quote"/>
      </w:pPr>
      <w:r w:rsidRPr="004A00A5">
        <w:t>(</w:t>
      </w:r>
      <w:proofErr w:type="spellStart"/>
      <w:r w:rsidRPr="004A00A5">
        <w:t>i</w:t>
      </w:r>
      <w:proofErr w:type="spellEnd"/>
      <w:r w:rsidRPr="004A00A5">
        <w:t>) a change in a relevant tax, in the application or official interpretation of a relevant tax, in the rate of a relevant tax, or in the way a relevant tax is calculated;</w:t>
      </w:r>
    </w:p>
    <w:p w:rsidR="004A00A5" w:rsidRPr="004A00A5" w:rsidRDefault="004A00A5" w:rsidP="004A00A5">
      <w:pPr>
        <w:pStyle w:val="Quote"/>
      </w:pPr>
      <w:r w:rsidRPr="004A00A5">
        <w:t>(ii) the removal of a relevant tax;</w:t>
      </w:r>
    </w:p>
    <w:p w:rsidR="004A00A5" w:rsidRPr="004A00A5" w:rsidRDefault="004A00A5" w:rsidP="004A00A5">
      <w:pPr>
        <w:pStyle w:val="Quote"/>
      </w:pPr>
      <w:r w:rsidRPr="004A00A5">
        <w:t>(iii) the imposition of a relevant tax; and</w:t>
      </w:r>
    </w:p>
    <w:p w:rsidR="004A00A5" w:rsidRDefault="004A00A5" w:rsidP="004A00A5">
      <w:pPr>
        <w:pStyle w:val="Quote"/>
      </w:pPr>
      <w:r w:rsidRPr="004A00A5">
        <w:t>(b) in consequence, the costs to the service provider of providing prescribed transmission services or direct control services are materially increased or decreased.</w:t>
      </w:r>
    </w:p>
    <w:p w:rsidR="004A00A5" w:rsidRPr="004A00A5" w:rsidRDefault="004A00A5" w:rsidP="000432B3">
      <w:pPr>
        <w:pStyle w:val="BodyText"/>
      </w:pPr>
      <w:r>
        <w:t xml:space="preserve">We consider that the private ruling obtained by AusNet Services has the effect of changing </w:t>
      </w:r>
      <w:r w:rsidRPr="004A00A5">
        <w:t>the application or official interpretation of a relevant tax</w:t>
      </w:r>
      <w:r>
        <w:t xml:space="preserve"> </w:t>
      </w:r>
      <w:r w:rsidRPr="004A00A5">
        <w:t>or the way a relevant tax is calculated</w:t>
      </w:r>
      <w:r>
        <w:t xml:space="preserve"> when applied to AusNet Services circumstances.</w:t>
      </w:r>
      <w:r w:rsidR="000432B3">
        <w:t xml:space="preserve"> </w:t>
      </w:r>
      <w:r w:rsidR="000E7025">
        <w:t>We calculate the impact on 2015 revenue will be 1.18 per cent. As this exceeds the materiality threshold of 1 per cent defined in the NER, the amount is material.</w:t>
      </w:r>
      <w:r w:rsidR="000E7025">
        <w:rPr>
          <w:rStyle w:val="FootnoteReference"/>
        </w:rPr>
        <w:footnoteReference w:id="14"/>
      </w:r>
      <w:r w:rsidR="000E7025">
        <w:t xml:space="preserve"> </w:t>
      </w:r>
      <w:r w:rsidR="000432B3">
        <w:t>We agree that a tax change event has occurred.</w:t>
      </w:r>
    </w:p>
    <w:p w:rsidR="00E75721" w:rsidRDefault="008720E2" w:rsidP="00E75721">
      <w:pPr>
        <w:pStyle w:val="Heading2"/>
      </w:pPr>
      <w:bookmarkStart w:id="11" w:name="_Toc432084332"/>
      <w:r>
        <w:t xml:space="preserve">Negative </w:t>
      </w:r>
      <w:r w:rsidR="00E75817">
        <w:t>change event</w:t>
      </w:r>
      <w:bookmarkEnd w:id="11"/>
    </w:p>
    <w:p w:rsidR="00F820F5" w:rsidRDefault="00F820F5" w:rsidP="00F820F5">
      <w:pPr>
        <w:pStyle w:val="BodyText"/>
      </w:pPr>
      <w:r w:rsidRPr="00F820F5">
        <w:t xml:space="preserve">In order to approve an amount of money to be passed through to energy consumers, we must determine that a </w:t>
      </w:r>
      <w:r w:rsidR="008720E2">
        <w:t xml:space="preserve">negative </w:t>
      </w:r>
      <w:r w:rsidRPr="00F820F5">
        <w:t>change event has occurred. The rules de</w:t>
      </w:r>
      <w:r>
        <w:t xml:space="preserve">fine a </w:t>
      </w:r>
      <w:r w:rsidR="000432B3">
        <w:t xml:space="preserve">negative </w:t>
      </w:r>
      <w:r>
        <w:t>change event as</w:t>
      </w:r>
      <w:r>
        <w:rPr>
          <w:rStyle w:val="FootnoteReference"/>
        </w:rPr>
        <w:footnoteReference w:id="15"/>
      </w:r>
      <w:r w:rsidRPr="00F820F5">
        <w:t>:</w:t>
      </w:r>
    </w:p>
    <w:p w:rsidR="001E1499" w:rsidRDefault="001E1499" w:rsidP="00BD7B1E">
      <w:pPr>
        <w:pStyle w:val="Quote"/>
      </w:pPr>
      <w:r w:rsidRPr="001E1499">
        <w:t xml:space="preserve">…a </w:t>
      </w:r>
      <w:r w:rsidR="005A207E">
        <w:t xml:space="preserve">pass–through </w:t>
      </w:r>
      <w:r w:rsidRPr="001E1499">
        <w:t xml:space="preserve">event which entails the </w:t>
      </w:r>
      <w:r w:rsidR="000432B3">
        <w:t xml:space="preserve">Distribution </w:t>
      </w:r>
      <w:r w:rsidRPr="001E1499">
        <w:t xml:space="preserve">Network Service Provider incurring materially </w:t>
      </w:r>
      <w:r w:rsidR="000432B3">
        <w:t xml:space="preserve">lower </w:t>
      </w:r>
      <w:r w:rsidRPr="001E1499">
        <w:t xml:space="preserve">costs in providing </w:t>
      </w:r>
      <w:r w:rsidR="00524D68">
        <w:t xml:space="preserve">direct control </w:t>
      </w:r>
      <w:r w:rsidRPr="001E1499">
        <w:t>services than it would have incurred but for that event</w:t>
      </w:r>
      <w:r w:rsidR="00524D68">
        <w:t>.</w:t>
      </w:r>
    </w:p>
    <w:p w:rsidR="00D9398E" w:rsidRDefault="00D9398E" w:rsidP="00D9398E">
      <w:pPr>
        <w:pStyle w:val="BodyText"/>
      </w:pPr>
      <w:r>
        <w:t xml:space="preserve">The tax change event, being the ATO Private Ruling identified above, has the effect of deeming that grant money received under the PRF in 2014 and 2015 is not taxable. </w:t>
      </w:r>
      <w:r w:rsidR="00804A62">
        <w:t xml:space="preserve">As a result, AusNet Services costs in providing direct control service are reduced by the amount of </w:t>
      </w:r>
      <w:r w:rsidR="00772D61">
        <w:t>$</w:t>
      </w:r>
      <w:r w:rsidR="00804A62" w:rsidRPr="00925200">
        <w:t>5.72</w:t>
      </w:r>
      <w:r w:rsidR="00804A62">
        <w:t xml:space="preserve"> </w:t>
      </w:r>
      <w:r w:rsidR="00804A62" w:rsidRPr="00925200">
        <w:t>m</w:t>
      </w:r>
      <w:r w:rsidR="00804A62">
        <w:t>illion</w:t>
      </w:r>
      <w:r w:rsidR="00804A62" w:rsidRPr="00925200">
        <w:t xml:space="preserve"> ($2015)</w:t>
      </w:r>
      <w:r w:rsidR="00804A62">
        <w:t xml:space="preserve"> passed through to cover its tax liability as determined on 12</w:t>
      </w:r>
      <w:r w:rsidR="00772D61">
        <w:t> </w:t>
      </w:r>
      <w:r w:rsidR="00804A62">
        <w:t>September 2014.</w:t>
      </w:r>
    </w:p>
    <w:p w:rsidR="000B3962" w:rsidRDefault="0045327E" w:rsidP="000B3962">
      <w:pPr>
        <w:pStyle w:val="BodyText"/>
      </w:pPr>
      <w:r>
        <w:t xml:space="preserve">Since </w:t>
      </w:r>
      <w:r w:rsidR="009A7831">
        <w:t>the difference will result in a lesser revenue requirement</w:t>
      </w:r>
      <w:r>
        <w:t>,</w:t>
      </w:r>
      <w:r w:rsidR="000B3962">
        <w:t xml:space="preserve"> we are satisfied that it is a </w:t>
      </w:r>
      <w:r w:rsidR="008720E2">
        <w:t xml:space="preserve">negative </w:t>
      </w:r>
      <w:r w:rsidR="000B3962">
        <w:t>change event.</w:t>
      </w:r>
    </w:p>
    <w:p w:rsidR="00455781" w:rsidRDefault="005A207E" w:rsidP="00455781">
      <w:pPr>
        <w:pStyle w:val="Heading2"/>
      </w:pPr>
      <w:bookmarkStart w:id="12" w:name="_Toc432084333"/>
      <w:r>
        <w:t>Calculation of the pass–</w:t>
      </w:r>
      <w:r w:rsidR="00455781">
        <w:t>through amount</w:t>
      </w:r>
      <w:bookmarkEnd w:id="12"/>
    </w:p>
    <w:p w:rsidR="00455781" w:rsidRPr="00455781" w:rsidRDefault="00455781" w:rsidP="00455781">
      <w:pPr>
        <w:pStyle w:val="BodyText"/>
      </w:pPr>
      <w:r w:rsidRPr="00455781">
        <w:t>The details of the calculation are provided in section 2.2 above.</w:t>
      </w:r>
    </w:p>
    <w:p w:rsidR="00455781" w:rsidRPr="00455781" w:rsidRDefault="00455781" w:rsidP="00455781">
      <w:pPr>
        <w:pStyle w:val="BodyText"/>
      </w:pPr>
      <w:r w:rsidRPr="00455781">
        <w:t xml:space="preserve">We consider that </w:t>
      </w:r>
      <w:r>
        <w:t>AusNet Services</w:t>
      </w:r>
      <w:r w:rsidRPr="00455781">
        <w:t xml:space="preserve"> has correctly calculated the </w:t>
      </w:r>
      <w:r w:rsidR="005A207E">
        <w:t xml:space="preserve">pass–through </w:t>
      </w:r>
      <w:r w:rsidRPr="00455781">
        <w:t xml:space="preserve">amount, that is, it has incurred </w:t>
      </w:r>
      <w:r w:rsidR="003F492B">
        <w:t xml:space="preserve">lower costs </w:t>
      </w:r>
      <w:r w:rsidRPr="00455781">
        <w:t xml:space="preserve">in providing </w:t>
      </w:r>
      <w:r w:rsidR="003F492B">
        <w:t>direct control</w:t>
      </w:r>
      <w:r w:rsidRPr="00455781">
        <w:t xml:space="preserve"> services than it would have incurred in the absence of the tax change event.</w:t>
      </w:r>
      <w:r w:rsidR="004C10BB">
        <w:t xml:space="preserve"> However, we adjusted AusNet Services' calculated amount to reflect the delay in returning this amount to customers</w:t>
      </w:r>
      <w:r w:rsidR="0083369F">
        <w:t>.</w:t>
      </w:r>
    </w:p>
    <w:p w:rsidR="00455781" w:rsidRPr="00455781" w:rsidRDefault="00455781" w:rsidP="00455781">
      <w:pPr>
        <w:pStyle w:val="BodyText"/>
      </w:pPr>
      <w:r w:rsidRPr="00455781">
        <w:t>We consider that the entire</w:t>
      </w:r>
      <w:r w:rsidR="00D9398E">
        <w:t xml:space="preserve"> 2014</w:t>
      </w:r>
      <w:r w:rsidR="00847383">
        <w:t>-15</w:t>
      </w:r>
      <w:r w:rsidRPr="00455781">
        <w:t xml:space="preserve"> </w:t>
      </w:r>
      <w:r w:rsidR="005A207E">
        <w:t xml:space="preserve">pass–through </w:t>
      </w:r>
      <w:r w:rsidRPr="00455781">
        <w:t xml:space="preserve">amount should be passed through to consumers, since the entirety of the cost relates to the </w:t>
      </w:r>
      <w:r w:rsidR="003F492B">
        <w:t>de</w:t>
      </w:r>
      <w:r w:rsidRPr="00455781">
        <w:t xml:space="preserve">creased liability of </w:t>
      </w:r>
      <w:r w:rsidR="00C21409">
        <w:t>AusNet Services</w:t>
      </w:r>
      <w:r w:rsidRPr="00455781">
        <w:t xml:space="preserve"> </w:t>
      </w:r>
      <w:r w:rsidR="003F492B">
        <w:t xml:space="preserve">relative to the adjusted </w:t>
      </w:r>
      <w:r w:rsidRPr="00455781">
        <w:t xml:space="preserve">allowance </w:t>
      </w:r>
      <w:r w:rsidR="003F492B">
        <w:t xml:space="preserve">set out </w:t>
      </w:r>
      <w:r w:rsidRPr="00455781">
        <w:t>in the revenue determination</w:t>
      </w:r>
      <w:r w:rsidR="003F492B">
        <w:t xml:space="preserve">, following the earlier positive cost </w:t>
      </w:r>
      <w:r w:rsidR="00772D61">
        <w:t>pass–through</w:t>
      </w:r>
      <w:r w:rsidR="003F492B">
        <w:t xml:space="preserve"> decision</w:t>
      </w:r>
      <w:r w:rsidRPr="00455781">
        <w:t xml:space="preserve">. This difference should be recovered in the </w:t>
      </w:r>
      <w:r w:rsidR="00C21409">
        <w:t>201</w:t>
      </w:r>
      <w:r w:rsidR="003F492B">
        <w:t>6</w:t>
      </w:r>
      <w:r w:rsidRPr="00455781">
        <w:t xml:space="preserve"> regulatory year</w:t>
      </w:r>
      <w:r w:rsidR="003F492B">
        <w:t>.</w:t>
      </w:r>
    </w:p>
    <w:p w:rsidR="00C21409" w:rsidRDefault="00C21409" w:rsidP="00C21409">
      <w:pPr>
        <w:pStyle w:val="Heading2"/>
      </w:pPr>
      <w:bookmarkStart w:id="13" w:name="_Toc432084334"/>
      <w:r>
        <w:t>Other considerations</w:t>
      </w:r>
      <w:bookmarkEnd w:id="13"/>
    </w:p>
    <w:p w:rsidR="00BE7057" w:rsidRDefault="00BE7057" w:rsidP="00BE7057">
      <w:pPr>
        <w:pStyle w:val="BodyText"/>
      </w:pPr>
      <w:r w:rsidRPr="00BE7057">
        <w:t>Clause 6</w:t>
      </w:r>
      <w:r w:rsidR="00AA41FB">
        <w:t>.6.1</w:t>
      </w:r>
      <w:r w:rsidRPr="00BE7057">
        <w:t>(j) of the rules sets out a number of matters that we are required to take into account when determining:</w:t>
      </w:r>
    </w:p>
    <w:p w:rsidR="00BE7057" w:rsidRDefault="005138CE" w:rsidP="00BE7057">
      <w:pPr>
        <w:pStyle w:val="Bulletpoint"/>
      </w:pPr>
      <w:r>
        <w:t>w</w:t>
      </w:r>
      <w:r w:rsidR="00BE7057">
        <w:t xml:space="preserve">hether a </w:t>
      </w:r>
      <w:r w:rsidR="00AA41FB">
        <w:t xml:space="preserve">negative </w:t>
      </w:r>
      <w:r w:rsidR="00BE7057">
        <w:t>change event has occurred</w:t>
      </w:r>
    </w:p>
    <w:p w:rsidR="00BE7057" w:rsidRPr="00BE7057" w:rsidRDefault="00BE7057" w:rsidP="00BE7057">
      <w:pPr>
        <w:pStyle w:val="Bulletpoint"/>
      </w:pPr>
      <w:r w:rsidRPr="00BE7057">
        <w:t xml:space="preserve">the approved </w:t>
      </w:r>
      <w:r w:rsidR="005A207E">
        <w:t xml:space="preserve">pass–through </w:t>
      </w:r>
      <w:r w:rsidRPr="00BE7057">
        <w:t>amount</w:t>
      </w:r>
    </w:p>
    <w:p w:rsidR="00B603FD" w:rsidRPr="00B603FD" w:rsidRDefault="00B603FD" w:rsidP="00B603FD">
      <w:pPr>
        <w:pStyle w:val="Bulletpoint"/>
      </w:pPr>
      <w:r w:rsidRPr="00B603FD">
        <w:t xml:space="preserve">the amount of the approved </w:t>
      </w:r>
      <w:r w:rsidR="005A207E">
        <w:t xml:space="preserve">pass–through </w:t>
      </w:r>
      <w:r w:rsidRPr="00B603FD">
        <w:t xml:space="preserve">amount that should be passed through to </w:t>
      </w:r>
      <w:r w:rsidR="00AA41FB">
        <w:t xml:space="preserve">distribution </w:t>
      </w:r>
      <w:r w:rsidRPr="00B603FD">
        <w:t>network users.</w:t>
      </w:r>
    </w:p>
    <w:p w:rsidR="00B603FD" w:rsidRDefault="00B603FD" w:rsidP="00B603FD">
      <w:pPr>
        <w:pStyle w:val="BodyText"/>
      </w:pPr>
      <w:r w:rsidRPr="00B603FD">
        <w:t>Sections 3.1, 3.2 and 3.3 above set out our considerations of those matters relevant to cl</w:t>
      </w:r>
      <w:r w:rsidR="00813636">
        <w:t>auses</w:t>
      </w:r>
      <w:r w:rsidRPr="00B603FD">
        <w:t xml:space="preserve"> 6</w:t>
      </w:r>
      <w:r w:rsidR="00AA41FB">
        <w:t>.6.1</w:t>
      </w:r>
      <w:r w:rsidRPr="00B603FD">
        <w:t>(j)(1) and (2</w:t>
      </w:r>
      <w:r w:rsidR="00AA41FB">
        <w:t>A</w:t>
      </w:r>
      <w:r w:rsidRPr="00B603FD">
        <w:t>). We consider the remainder of the matte</w:t>
      </w:r>
      <w:r>
        <w:t>rs listed by cl</w:t>
      </w:r>
      <w:r w:rsidR="00813636">
        <w:t>ause</w:t>
      </w:r>
      <w:r>
        <w:t xml:space="preserve"> 6</w:t>
      </w:r>
      <w:r w:rsidR="00AA41FB">
        <w:t>.6.1</w:t>
      </w:r>
      <w:r>
        <w:t>(j) below</w:t>
      </w:r>
      <w:r>
        <w:rPr>
          <w:rStyle w:val="FootnoteReference"/>
        </w:rPr>
        <w:footnoteReference w:id="16"/>
      </w:r>
      <w:r w:rsidRPr="00B603FD">
        <w:t>:</w:t>
      </w:r>
    </w:p>
    <w:p w:rsidR="00B603FD" w:rsidRDefault="00B603FD" w:rsidP="00B603FD">
      <w:pPr>
        <w:pStyle w:val="ListBullet"/>
      </w:pPr>
      <w:r w:rsidRPr="00B603FD">
        <w:t xml:space="preserve">We consider that the time cost of money does need to be taken into account by this decision, as the costs are passed through to users in the </w:t>
      </w:r>
      <w:r w:rsidR="00AA41FB">
        <w:t xml:space="preserve">next </w:t>
      </w:r>
      <w:r w:rsidRPr="00B603FD">
        <w:t xml:space="preserve">regulatory year </w:t>
      </w:r>
      <w:r w:rsidR="00AA41FB">
        <w:t xml:space="preserve">following the year </w:t>
      </w:r>
      <w:r w:rsidRPr="00B603FD">
        <w:t>in which those costs occur.</w:t>
      </w:r>
    </w:p>
    <w:p w:rsidR="00752EAB" w:rsidRDefault="00752EAB" w:rsidP="00B603FD">
      <w:pPr>
        <w:pStyle w:val="ListBullet"/>
      </w:pPr>
      <w:r>
        <w:t xml:space="preserve">We consider that the costs to be </w:t>
      </w:r>
      <w:r w:rsidR="00AA41FB">
        <w:t xml:space="preserve">repaid </w:t>
      </w:r>
      <w:r>
        <w:t xml:space="preserve">by AusNet Services due to this </w:t>
      </w:r>
      <w:r w:rsidR="005A207E">
        <w:t xml:space="preserve">pass–through </w:t>
      </w:r>
      <w:r>
        <w:t>event are solely attributable to the tax change event.</w:t>
      </w:r>
    </w:p>
    <w:p w:rsidR="00752EAB" w:rsidRDefault="00752EAB" w:rsidP="00752EAB">
      <w:pPr>
        <w:pStyle w:val="ListBullet"/>
      </w:pPr>
      <w:r w:rsidRPr="00752EAB">
        <w:t>We do not consider there to be any changes in the way other taxes are calculated, or any other taxes that have been removed or imposed which are complementary to this tax change event.</w:t>
      </w:r>
    </w:p>
    <w:p w:rsidR="00752EAB" w:rsidRPr="00752EAB" w:rsidRDefault="00B03C5A" w:rsidP="00752EAB">
      <w:pPr>
        <w:pStyle w:val="ListBullet"/>
      </w:pPr>
      <w:r>
        <w:t>T</w:t>
      </w:r>
      <w:r w:rsidR="00752EAB" w:rsidRPr="00752EAB">
        <w:t xml:space="preserve">he costs of the </w:t>
      </w:r>
      <w:r w:rsidR="005A207E">
        <w:t xml:space="preserve">pass–through </w:t>
      </w:r>
      <w:r w:rsidR="00752EAB" w:rsidRPr="00752EAB">
        <w:t>event are</w:t>
      </w:r>
      <w:r w:rsidR="005729B9">
        <w:t>,</w:t>
      </w:r>
      <w:r w:rsidR="00752EAB" w:rsidRPr="00752EAB">
        <w:t xml:space="preserve"> by definition</w:t>
      </w:r>
      <w:r w:rsidR="005729B9">
        <w:t>,</w:t>
      </w:r>
      <w:r w:rsidR="00752EAB" w:rsidRPr="00752EAB">
        <w:t xml:space="preserve"> not factored into </w:t>
      </w:r>
      <w:r w:rsidR="00752EAB">
        <w:t xml:space="preserve">AusNet Services' </w:t>
      </w:r>
      <w:r w:rsidR="00524D68">
        <w:t xml:space="preserve">aggregate revenue requirement </w:t>
      </w:r>
      <w:r w:rsidR="00752EAB" w:rsidRPr="00752EAB">
        <w:t>for the 201</w:t>
      </w:r>
      <w:r w:rsidR="00AA41FB">
        <w:t>1</w:t>
      </w:r>
      <w:r w:rsidR="00752EAB" w:rsidRPr="00752EAB">
        <w:t>–</w:t>
      </w:r>
      <w:r w:rsidR="00AA41FB">
        <w:t>15</w:t>
      </w:r>
      <w:r w:rsidR="00752EAB" w:rsidRPr="00752EAB">
        <w:t xml:space="preserve"> regulatory control period.</w:t>
      </w:r>
    </w:p>
    <w:p w:rsidR="00752EAB" w:rsidRPr="00752EAB" w:rsidRDefault="00752EAB" w:rsidP="00752EAB">
      <w:pPr>
        <w:pStyle w:val="ListBullet"/>
      </w:pPr>
      <w:r w:rsidRPr="00752EAB">
        <w:t xml:space="preserve">We consider that the costs incurred relating to the </w:t>
      </w:r>
      <w:r w:rsidR="005A207E">
        <w:t xml:space="preserve">pass–through </w:t>
      </w:r>
      <w:r w:rsidRPr="00752EAB">
        <w:t>event under consideration are the subject of</w:t>
      </w:r>
      <w:r w:rsidR="00AA41FB">
        <w:t xml:space="preserve"> a </w:t>
      </w:r>
      <w:r w:rsidRPr="00752EAB">
        <w:t xml:space="preserve">previous determination </w:t>
      </w:r>
      <w:r w:rsidR="003F492B">
        <w:t xml:space="preserve">made </w:t>
      </w:r>
      <w:r w:rsidRPr="00752EAB">
        <w:t xml:space="preserve">by us </w:t>
      </w:r>
      <w:r w:rsidR="00AA41FB">
        <w:t xml:space="preserve">on 12 September 2014 </w:t>
      </w:r>
      <w:r w:rsidRPr="00752EAB">
        <w:t>under cl</w:t>
      </w:r>
      <w:r w:rsidR="00813636">
        <w:t>ause</w:t>
      </w:r>
      <w:r w:rsidRPr="00752EAB">
        <w:t xml:space="preserve"> 6</w:t>
      </w:r>
      <w:r w:rsidR="00AA41FB">
        <w:t>.6.1</w:t>
      </w:r>
      <w:r w:rsidRPr="00752EAB">
        <w:t>.</w:t>
      </w:r>
    </w:p>
    <w:p w:rsidR="00752EAB" w:rsidRPr="00BE7057" w:rsidRDefault="00752EAB" w:rsidP="00752EAB">
      <w:pPr>
        <w:pStyle w:val="ListBullet"/>
      </w:pPr>
      <w:r w:rsidRPr="00752EAB">
        <w:t>We do not consider any other matters to be relevant.</w:t>
      </w:r>
    </w:p>
    <w:p w:rsidR="000B3962" w:rsidRDefault="000B3962" w:rsidP="00B603FD">
      <w:pPr>
        <w:pStyle w:val="NormalIndent"/>
        <w:ind w:left="0"/>
      </w:pPr>
    </w:p>
    <w:p w:rsidR="00185CB9" w:rsidRDefault="00185CB9" w:rsidP="00185CB9"/>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05" w:rsidRDefault="009C0E05" w:rsidP="004B4412">
      <w:pPr>
        <w:spacing w:before="0"/>
      </w:pPr>
      <w:r>
        <w:separator/>
      </w:r>
    </w:p>
    <w:p w:rsidR="009C0E05" w:rsidRDefault="009C0E05"/>
    <w:p w:rsidR="009C0E05" w:rsidRDefault="009C0E05"/>
  </w:endnote>
  <w:endnote w:type="continuationSeparator" w:id="0">
    <w:p w:rsidR="009C0E05" w:rsidRDefault="009C0E05" w:rsidP="004B4412">
      <w:pPr>
        <w:spacing w:before="0"/>
      </w:pPr>
      <w:r>
        <w:continuationSeparator/>
      </w:r>
    </w:p>
    <w:p w:rsidR="009C0E05" w:rsidRDefault="009C0E05"/>
    <w:p w:rsidR="009C0E05" w:rsidRDefault="009C0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altName w:val="Arial Bold"/>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0F2742" w:rsidP="00D814C4">
    <w:pPr>
      <w:pStyle w:val="Footer"/>
    </w:pPr>
    <w:r>
      <w:t xml:space="preserve">Negative </w:t>
    </w:r>
    <w:r w:rsidR="00932A53">
      <w:t>tax change even</w:t>
    </w:r>
    <w:r w:rsidR="00DF52AC">
      <w:t>t</w:t>
    </w:r>
    <w:r w:rsidR="00932A53">
      <w:t xml:space="preserve"> pass</w:t>
    </w:r>
    <w:r w:rsidR="00DF52AC">
      <w:t>–</w:t>
    </w:r>
    <w:r w:rsidR="00932A53">
      <w:t>through for AusNet Services</w:t>
    </w:r>
    <w:r w:rsidR="007A4D1F" w:rsidRPr="007A4D1F">
      <w:tab/>
    </w:r>
    <w:r w:rsidR="007A4D1F" w:rsidRPr="007A4D1F">
      <w:tab/>
    </w:r>
    <w:r w:rsidR="007A4D1F" w:rsidRPr="007A4D1F">
      <w:tab/>
    </w:r>
    <w:r w:rsidR="007A4D1F" w:rsidRPr="007A4D1F">
      <w:fldChar w:fldCharType="begin"/>
    </w:r>
    <w:r w:rsidR="007A4D1F" w:rsidRPr="007A4D1F">
      <w:instrText xml:space="preserve"> PAGE   \* MERGEFORMAT </w:instrText>
    </w:r>
    <w:r w:rsidR="007A4D1F" w:rsidRPr="007A4D1F">
      <w:fldChar w:fldCharType="separate"/>
    </w:r>
    <w:r w:rsidR="00A97AA5">
      <w:rPr>
        <w:noProof/>
      </w:rPr>
      <w:t>iv</w:t>
    </w:r>
    <w:r w:rsidR="007A4D1F" w:rsidRPr="007A4D1F">
      <w:rPr>
        <w:noProof/>
      </w:rPr>
      <w:fldChar w:fldCharType="end"/>
    </w:r>
    <w:r w:rsidR="007A4D1F" w:rsidRPr="007A4D1F">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sidR="00932A53">
      <w:rPr>
        <w:rStyle w:val="PageNumber"/>
        <w:noProof/>
      </w:rPr>
      <w:t>6</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18002B" w:rsidP="00CC7F1D">
    <w:pPr>
      <w:pStyle w:val="Footer"/>
      <w:tabs>
        <w:tab w:val="clear" w:pos="9026"/>
        <w:tab w:val="right" w:pos="8505"/>
      </w:tabs>
    </w:pPr>
    <w:r>
      <w:t xml:space="preserve">Negative </w:t>
    </w:r>
    <w:r w:rsidR="00932A53" w:rsidRPr="00932A53">
      <w:t>tax change even</w:t>
    </w:r>
    <w:r w:rsidR="00B55B1D">
      <w:t>t</w:t>
    </w:r>
    <w:r w:rsidR="00932A53" w:rsidRPr="00932A53">
      <w:t xml:space="preserve"> </w:t>
    </w:r>
    <w:r w:rsidR="00772D61">
      <w:t>pass–through</w:t>
    </w:r>
    <w:r w:rsidR="00932A53" w:rsidRPr="00932A53">
      <w:t xml:space="preserve"> for AusNet Services</w:t>
    </w:r>
    <w:r w:rsidR="00CC7F1D">
      <w:tab/>
    </w:r>
    <w:r w:rsidR="00CC7F1D">
      <w:tab/>
    </w:r>
    <w:r w:rsidR="00CC7F1D">
      <w:fldChar w:fldCharType="begin"/>
    </w:r>
    <w:r w:rsidR="00CC7F1D">
      <w:instrText xml:space="preserve"> PAGE   \* MERGEFORMAT </w:instrText>
    </w:r>
    <w:r w:rsidR="00CC7F1D">
      <w:fldChar w:fldCharType="separate"/>
    </w:r>
    <w:r w:rsidR="00A97AA5">
      <w:rPr>
        <w:noProof/>
      </w:rPr>
      <w:t>2</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18002B" w:rsidP="00CC7F1D">
    <w:pPr>
      <w:pStyle w:val="Footer"/>
      <w:tabs>
        <w:tab w:val="clear" w:pos="9026"/>
        <w:tab w:val="right" w:pos="8505"/>
      </w:tabs>
    </w:pPr>
    <w:r>
      <w:t xml:space="preserve">Negative </w:t>
    </w:r>
    <w:r w:rsidR="00932A53" w:rsidRPr="00932A53">
      <w:t>tax change even</w:t>
    </w:r>
    <w:r w:rsidR="00B55B1D">
      <w:t>t</w:t>
    </w:r>
    <w:r w:rsidR="00932A53" w:rsidRPr="00932A53">
      <w:t xml:space="preserve"> </w:t>
    </w:r>
    <w:r w:rsidR="00772D61">
      <w:t>pass–through</w:t>
    </w:r>
    <w:r w:rsidR="00932A53" w:rsidRPr="00932A53">
      <w:t xml:space="preserve"> for AusNet Services</w:t>
    </w:r>
    <w:r w:rsidR="00CC7F1D">
      <w:tab/>
    </w:r>
    <w:r w:rsidR="00CC7F1D">
      <w:tab/>
    </w:r>
    <w:r w:rsidR="00CC7F1D">
      <w:fldChar w:fldCharType="begin"/>
    </w:r>
    <w:r w:rsidR="00CC7F1D">
      <w:instrText xml:space="preserve"> PAGE   \* MERGEFORMAT </w:instrText>
    </w:r>
    <w:r w:rsidR="00CC7F1D">
      <w:fldChar w:fldCharType="separate"/>
    </w:r>
    <w:r w:rsidR="00A97AA5">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05" w:rsidRDefault="009C0E05" w:rsidP="00182906">
      <w:pPr>
        <w:spacing w:before="0"/>
      </w:pPr>
      <w:r>
        <w:separator/>
      </w:r>
    </w:p>
  </w:footnote>
  <w:footnote w:type="continuationSeparator" w:id="0">
    <w:p w:rsidR="009C0E05" w:rsidRDefault="009C0E05" w:rsidP="00182906">
      <w:pPr>
        <w:spacing w:before="0"/>
      </w:pPr>
      <w:r>
        <w:continuationSeparator/>
      </w:r>
    </w:p>
  </w:footnote>
  <w:footnote w:type="continuationNotice" w:id="1">
    <w:p w:rsidR="009C0E05" w:rsidRDefault="009C0E05">
      <w:pPr>
        <w:spacing w:before="0" w:line="240" w:lineRule="auto"/>
      </w:pPr>
    </w:p>
  </w:footnote>
  <w:footnote w:id="2">
    <w:p w:rsidR="004F1BF9" w:rsidRDefault="004F1BF9">
      <w:pPr>
        <w:pStyle w:val="FootnoteText"/>
      </w:pPr>
      <w:r>
        <w:rPr>
          <w:rStyle w:val="FootnoteReference"/>
        </w:rPr>
        <w:footnoteRef/>
      </w:r>
      <w:r>
        <w:t xml:space="preserve"> </w:t>
      </w:r>
      <w:r w:rsidR="00EF3DA5">
        <w:tab/>
      </w:r>
      <w:r w:rsidRPr="004F1BF9">
        <w:t>NER cl 6</w:t>
      </w:r>
      <w:r w:rsidR="00672989">
        <w:t>.6.1</w:t>
      </w:r>
      <w:r w:rsidRPr="004F1BF9">
        <w:t>(j).</w:t>
      </w:r>
    </w:p>
  </w:footnote>
  <w:footnote w:id="3">
    <w:p w:rsidR="00AB2F31" w:rsidRDefault="00AB2F31">
      <w:pPr>
        <w:pStyle w:val="FootnoteText"/>
      </w:pPr>
      <w:r>
        <w:rPr>
          <w:rStyle w:val="FootnoteReference"/>
        </w:rPr>
        <w:footnoteRef/>
      </w:r>
      <w:r>
        <w:t xml:space="preserve"> </w:t>
      </w:r>
      <w:r>
        <w:tab/>
        <w:t xml:space="preserve">See: </w:t>
      </w:r>
      <w:hyperlink r:id="rId1" w:history="1">
        <w:r w:rsidRPr="000D0D95">
          <w:rPr>
            <w:rStyle w:val="Hyperlink"/>
            <w:sz w:val="16"/>
          </w:rPr>
          <w:t>http://www.aer.gov.au/networks-pipelines/determinations-access-arrangements/cost-pass-throughs/ausnet-services-cost-pass-through-powerline-bushfire-safety-program-2014</w:t>
        </w:r>
      </w:hyperlink>
    </w:p>
    <w:p w:rsidR="00AB2F31" w:rsidRDefault="00AB2F31">
      <w:pPr>
        <w:pStyle w:val="FootnoteText"/>
      </w:pPr>
    </w:p>
  </w:footnote>
  <w:footnote w:id="4">
    <w:p w:rsidR="00DA4B26" w:rsidRDefault="00DA4B26" w:rsidP="00DA4B26">
      <w:pPr>
        <w:pStyle w:val="FootnoteText"/>
      </w:pPr>
      <w:r>
        <w:rPr>
          <w:rStyle w:val="FootnoteReference"/>
        </w:rPr>
        <w:footnoteRef/>
      </w:r>
      <w:r>
        <w:t xml:space="preserve"> </w:t>
      </w:r>
      <w:r>
        <w:tab/>
        <w:t>Note that the amounts in this decision have been rounded to two decimal places for readability.</w:t>
      </w:r>
    </w:p>
  </w:footnote>
  <w:footnote w:id="5">
    <w:p w:rsidR="00B63CC5" w:rsidRDefault="00EF3DA5" w:rsidP="00B63CC5">
      <w:pPr>
        <w:pStyle w:val="FootnoteText"/>
      </w:pPr>
      <w:r>
        <w:rPr>
          <w:rStyle w:val="FootnoteReference"/>
        </w:rPr>
        <w:footnoteRef/>
      </w:r>
      <w:r w:rsidR="003C6B21">
        <w:t xml:space="preserve"> </w:t>
      </w:r>
      <w:r w:rsidR="003C6B21">
        <w:tab/>
        <w:t>NER cl</w:t>
      </w:r>
      <w:r w:rsidR="00CA366B">
        <w:t>ause</w:t>
      </w:r>
      <w:r w:rsidR="003C6B21">
        <w:t xml:space="preserve"> 6.6.1(g)</w:t>
      </w:r>
    </w:p>
  </w:footnote>
  <w:footnote w:id="6">
    <w:p w:rsidR="0005503B" w:rsidRDefault="0005503B">
      <w:pPr>
        <w:pStyle w:val="FootnoteText"/>
      </w:pPr>
      <w:r>
        <w:rPr>
          <w:rStyle w:val="FootnoteReference"/>
        </w:rPr>
        <w:footnoteRef/>
      </w:r>
      <w:r>
        <w:t xml:space="preserve"> </w:t>
      </w:r>
      <w:r>
        <w:tab/>
        <w:t>NER clause 6.6.1(j)(4)</w:t>
      </w:r>
    </w:p>
  </w:footnote>
  <w:footnote w:id="7">
    <w:p w:rsidR="00C77282" w:rsidRDefault="00C77282" w:rsidP="00F170E5">
      <w:pPr>
        <w:pStyle w:val="FootnoteText"/>
      </w:pPr>
      <w:r>
        <w:rPr>
          <w:rStyle w:val="FootnoteReference"/>
        </w:rPr>
        <w:footnoteRef/>
      </w:r>
      <w:r>
        <w:t xml:space="preserve"> </w:t>
      </w:r>
      <w:r>
        <w:tab/>
      </w:r>
      <w:r w:rsidRPr="00F170E5">
        <w:rPr>
          <w:rStyle w:val="Hyperlink"/>
          <w:color w:val="auto"/>
          <w:sz w:val="16"/>
          <w:u w:val="none"/>
        </w:rPr>
        <w:t>http://www.aer.gov.au</w:t>
      </w:r>
    </w:p>
  </w:footnote>
  <w:footnote w:id="8">
    <w:p w:rsidR="00690DB2" w:rsidRDefault="00690DB2" w:rsidP="00690DB2">
      <w:pPr>
        <w:pStyle w:val="FootnoteText"/>
      </w:pPr>
      <w:r>
        <w:rPr>
          <w:rStyle w:val="FootnoteReference"/>
        </w:rPr>
        <w:footnoteRef/>
      </w:r>
      <w:r>
        <w:t xml:space="preserve"> </w:t>
      </w:r>
      <w:r>
        <w:tab/>
      </w:r>
      <w:r w:rsidR="00CB0340">
        <w:t>We also adjusted for the time value of money when we calculated the value of the 2015 positive pass through</w:t>
      </w:r>
      <w:r>
        <w:t xml:space="preserve">. AER, </w:t>
      </w:r>
      <w:r w:rsidRPr="00415102">
        <w:rPr>
          <w:rStyle w:val="Emphasis"/>
        </w:rPr>
        <w:t>Determination, 2014–15 Powerline replacement program cost pass through for AusNet Services</w:t>
      </w:r>
      <w:r>
        <w:t>, September 2014, p. 23.</w:t>
      </w:r>
    </w:p>
  </w:footnote>
  <w:footnote w:id="9">
    <w:p w:rsidR="00690DB2" w:rsidRDefault="00690DB2" w:rsidP="00690DB2">
      <w:pPr>
        <w:pStyle w:val="FootnoteText"/>
      </w:pPr>
      <w:r>
        <w:rPr>
          <w:rStyle w:val="FootnoteReference"/>
        </w:rPr>
        <w:footnoteRef/>
      </w:r>
      <w:r>
        <w:t xml:space="preserve"> </w:t>
      </w:r>
      <w:r>
        <w:tab/>
        <w:t xml:space="preserve">AER, </w:t>
      </w:r>
      <w:r w:rsidRPr="00C37196">
        <w:rPr>
          <w:rStyle w:val="Emphasis"/>
        </w:rPr>
        <w:t>AusNet Services Australia Ltd, Distribution determination 2011–2015, Pursuant to Orders of the Australian Competition Tribunal in in SPI Electricity Pty Ltd v Australian Competition Tribunal [2012] FCAC 186, August 2013,</w:t>
      </w:r>
      <w:r>
        <w:t xml:space="preserve"> p.27.</w:t>
      </w:r>
    </w:p>
  </w:footnote>
  <w:footnote w:id="10">
    <w:p w:rsidR="00690DB2" w:rsidRDefault="00690DB2" w:rsidP="00690DB2">
      <w:pPr>
        <w:pStyle w:val="FootnoteText"/>
      </w:pPr>
      <w:r>
        <w:rPr>
          <w:rStyle w:val="FootnoteReference"/>
        </w:rPr>
        <w:footnoteRef/>
      </w:r>
      <w:r>
        <w:t xml:space="preserve"> </w:t>
      </w:r>
      <w:r>
        <w:tab/>
        <w:t xml:space="preserve">The calculation is </w:t>
      </w:r>
      <m:oMath>
        <m:r>
          <w:rPr>
            <w:rFonts w:ascii="Cambria Math" w:hAnsi="Cambria Math"/>
          </w:rPr>
          <m:t>5.723×</m:t>
        </m:r>
        <m:d>
          <m:dPr>
            <m:ctrlPr>
              <w:rPr>
                <w:rFonts w:ascii="Cambria Math" w:hAnsi="Cambria Math"/>
                <w:i/>
              </w:rPr>
            </m:ctrlPr>
          </m:dPr>
          <m:e>
            <m:r>
              <w:rPr>
                <w:rFonts w:ascii="Cambria Math" w:hAnsi="Cambria Math"/>
              </w:rPr>
              <m:t>1+0.0975</m:t>
            </m:r>
          </m:e>
        </m:d>
        <m:r>
          <w:rPr>
            <w:rFonts w:ascii="Cambria Math" w:hAnsi="Cambria Math"/>
          </w:rPr>
          <m:t>=6.281</m:t>
        </m:r>
      </m:oMath>
      <w:r>
        <w:t>.</w:t>
      </w:r>
    </w:p>
  </w:footnote>
  <w:footnote w:id="11">
    <w:p w:rsidR="004C10BB" w:rsidRDefault="004C10BB">
      <w:pPr>
        <w:pStyle w:val="FootnoteText"/>
      </w:pPr>
      <w:r>
        <w:rPr>
          <w:rStyle w:val="FootnoteReference"/>
        </w:rPr>
        <w:footnoteRef/>
      </w:r>
      <w:r>
        <w:t xml:space="preserve"> </w:t>
      </w:r>
      <w:r>
        <w:tab/>
        <w:t>NER, cl</w:t>
      </w:r>
      <w:r w:rsidR="00813636">
        <w:t>ause</w:t>
      </w:r>
      <w:r>
        <w:t>s. 6.6.1</w:t>
      </w:r>
      <w:r w:rsidR="0083369F">
        <w:t xml:space="preserve"> and </w:t>
      </w:r>
      <w:r>
        <w:t>6.16.</w:t>
      </w:r>
    </w:p>
  </w:footnote>
  <w:footnote w:id="12">
    <w:p w:rsidR="00163D50" w:rsidRDefault="00163D50">
      <w:pPr>
        <w:pStyle w:val="FootnoteText"/>
      </w:pPr>
      <w:r>
        <w:rPr>
          <w:rStyle w:val="FootnoteReference"/>
        </w:rPr>
        <w:footnoteRef/>
      </w:r>
      <w:r>
        <w:t xml:space="preserve"> </w:t>
      </w:r>
      <w:r>
        <w:tab/>
        <w:t>NER cl</w:t>
      </w:r>
      <w:r w:rsidR="00CA366B">
        <w:t>ause</w:t>
      </w:r>
      <w:r>
        <w:t> </w:t>
      </w:r>
      <w:r w:rsidR="000B05DF">
        <w:t>6.6.1(f)</w:t>
      </w:r>
      <w:r>
        <w:t>.</w:t>
      </w:r>
    </w:p>
  </w:footnote>
  <w:footnote w:id="13">
    <w:p w:rsidR="00E75721" w:rsidRDefault="00E75721">
      <w:pPr>
        <w:pStyle w:val="FootnoteText"/>
      </w:pPr>
      <w:r>
        <w:rPr>
          <w:rStyle w:val="FootnoteReference"/>
        </w:rPr>
        <w:footnoteRef/>
      </w:r>
      <w:r w:rsidR="00672989">
        <w:t xml:space="preserve"> </w:t>
      </w:r>
      <w:r w:rsidR="00672989">
        <w:tab/>
        <w:t>NER cl</w:t>
      </w:r>
      <w:r w:rsidR="00CA366B">
        <w:t>ause</w:t>
      </w:r>
      <w:r w:rsidR="00672989">
        <w:t xml:space="preserve"> 6.6.1(g1)</w:t>
      </w:r>
    </w:p>
  </w:footnote>
  <w:footnote w:id="14">
    <w:p w:rsidR="000E7025" w:rsidRDefault="000E7025">
      <w:pPr>
        <w:pStyle w:val="FootnoteText"/>
      </w:pPr>
      <w:r>
        <w:rPr>
          <w:rStyle w:val="FootnoteReference"/>
        </w:rPr>
        <w:footnoteRef/>
      </w:r>
      <w:r>
        <w:t xml:space="preserve"> </w:t>
      </w:r>
      <w:r>
        <w:tab/>
        <w:t>NER</w:t>
      </w:r>
      <w:r w:rsidR="00CA366B">
        <w:t>,</w:t>
      </w:r>
      <w:r>
        <w:t xml:space="preserve"> chapter 10 </w:t>
      </w:r>
      <w:r w:rsidR="00CA366B">
        <w:t>(</w:t>
      </w:r>
      <w:r>
        <w:t>definition</w:t>
      </w:r>
      <w:r w:rsidR="00CA366B">
        <w:t xml:space="preserve"> of </w:t>
      </w:r>
      <w:r>
        <w:t xml:space="preserve"> </w:t>
      </w:r>
      <w:r w:rsidR="00CA366B">
        <w:t>'</w:t>
      </w:r>
      <w:r w:rsidRPr="000E7025">
        <w:rPr>
          <w:rStyle w:val="Emphasis"/>
        </w:rPr>
        <w:t>materially</w:t>
      </w:r>
      <w:r w:rsidR="00CA366B">
        <w:rPr>
          <w:rStyle w:val="Emphasis"/>
        </w:rPr>
        <w:t>')</w:t>
      </w:r>
      <w:r>
        <w:rPr>
          <w:rStyle w:val="Emphasis"/>
        </w:rPr>
        <w:t>.</w:t>
      </w:r>
    </w:p>
  </w:footnote>
  <w:footnote w:id="15">
    <w:p w:rsidR="00F820F5" w:rsidRDefault="00F820F5">
      <w:pPr>
        <w:pStyle w:val="FootnoteText"/>
      </w:pPr>
      <w:r>
        <w:rPr>
          <w:rStyle w:val="FootnoteReference"/>
        </w:rPr>
        <w:footnoteRef/>
      </w:r>
      <w:r>
        <w:t xml:space="preserve"> </w:t>
      </w:r>
      <w:r>
        <w:tab/>
        <w:t>NER, chapter 10 (definition of '</w:t>
      </w:r>
      <w:r w:rsidRPr="00CA366B">
        <w:rPr>
          <w:rStyle w:val="Emphasis"/>
        </w:rPr>
        <w:t>positive change event</w:t>
      </w:r>
      <w:r>
        <w:t>').</w:t>
      </w:r>
    </w:p>
  </w:footnote>
  <w:footnote w:id="16">
    <w:p w:rsidR="00B603FD" w:rsidRDefault="00B603FD" w:rsidP="00B603FD">
      <w:pPr>
        <w:pStyle w:val="FootnoteText"/>
      </w:pPr>
      <w:r>
        <w:rPr>
          <w:rStyle w:val="FootnoteReference"/>
        </w:rPr>
        <w:footnoteRef/>
      </w:r>
      <w:r>
        <w:t xml:space="preserve"> </w:t>
      </w:r>
      <w:r>
        <w:tab/>
      </w:r>
      <w:r w:rsidRPr="00B603FD">
        <w:t>NER cl</w:t>
      </w:r>
      <w:r w:rsidR="00CA366B">
        <w:t>ause</w:t>
      </w:r>
      <w:r w:rsidRPr="00B603FD">
        <w:t xml:space="preserve"> 6</w:t>
      </w:r>
      <w:r w:rsidR="00AA41FB">
        <w:t>.6.1</w:t>
      </w:r>
      <w:r w:rsidRPr="00B603FD">
        <w:t>(</w:t>
      </w:r>
      <w:r w:rsidR="00AA41FB">
        <w:t>j)(4</w:t>
      </w:r>
      <w:r w:rsidRPr="00B603FD">
        <w:t>)-(</w:t>
      </w:r>
      <w:r w:rsidR="00AA41FB">
        <w:t>8</w:t>
      </w:r>
      <w:r w:rsidRPr="00B603F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 w:numId="32">
    <w:abstractNumId w:val="20"/>
    <w:lvlOverride w:ilvl="0">
      <w:startOverride w:val="1"/>
    </w:lvlOverride>
  </w:num>
  <w:num w:numId="33">
    <w:abstractNumId w:val="24"/>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4710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432\D15 152722  AusNet Services - approved tax change pass-through event 2015.DOCX"/>
  </w:docVars>
  <w:rsids>
    <w:rsidRoot w:val="009C0E05"/>
    <w:rsid w:val="00021202"/>
    <w:rsid w:val="0002517F"/>
    <w:rsid w:val="0003578C"/>
    <w:rsid w:val="000432B3"/>
    <w:rsid w:val="0005503B"/>
    <w:rsid w:val="00063247"/>
    <w:rsid w:val="00070F9F"/>
    <w:rsid w:val="0007137B"/>
    <w:rsid w:val="00074341"/>
    <w:rsid w:val="00085663"/>
    <w:rsid w:val="00085EBF"/>
    <w:rsid w:val="000A6C7B"/>
    <w:rsid w:val="000B05DF"/>
    <w:rsid w:val="000B3962"/>
    <w:rsid w:val="000C4AC7"/>
    <w:rsid w:val="000D122C"/>
    <w:rsid w:val="000D62C9"/>
    <w:rsid w:val="000E1819"/>
    <w:rsid w:val="000E6C72"/>
    <w:rsid w:val="000E7025"/>
    <w:rsid w:val="000F2742"/>
    <w:rsid w:val="001032EE"/>
    <w:rsid w:val="00107CC7"/>
    <w:rsid w:val="00116EB2"/>
    <w:rsid w:val="00124609"/>
    <w:rsid w:val="00125E13"/>
    <w:rsid w:val="00130217"/>
    <w:rsid w:val="00130C3C"/>
    <w:rsid w:val="001367BD"/>
    <w:rsid w:val="0014573B"/>
    <w:rsid w:val="001573E4"/>
    <w:rsid w:val="00160756"/>
    <w:rsid w:val="00163D50"/>
    <w:rsid w:val="00170114"/>
    <w:rsid w:val="0017232E"/>
    <w:rsid w:val="00174102"/>
    <w:rsid w:val="0018002B"/>
    <w:rsid w:val="00180157"/>
    <w:rsid w:val="00182906"/>
    <w:rsid w:val="00185CB9"/>
    <w:rsid w:val="00186F77"/>
    <w:rsid w:val="001926A4"/>
    <w:rsid w:val="00192AD5"/>
    <w:rsid w:val="001B45A0"/>
    <w:rsid w:val="001D055E"/>
    <w:rsid w:val="001E1499"/>
    <w:rsid w:val="001F492E"/>
    <w:rsid w:val="001F6DA3"/>
    <w:rsid w:val="002010BC"/>
    <w:rsid w:val="00202E03"/>
    <w:rsid w:val="0020492C"/>
    <w:rsid w:val="00207FDC"/>
    <w:rsid w:val="00224DB9"/>
    <w:rsid w:val="00233775"/>
    <w:rsid w:val="00251745"/>
    <w:rsid w:val="00263AC0"/>
    <w:rsid w:val="0026772D"/>
    <w:rsid w:val="002817D8"/>
    <w:rsid w:val="00286874"/>
    <w:rsid w:val="00296B65"/>
    <w:rsid w:val="002A7DEF"/>
    <w:rsid w:val="002D4E33"/>
    <w:rsid w:val="002D58CF"/>
    <w:rsid w:val="002E1BE5"/>
    <w:rsid w:val="002E2BFC"/>
    <w:rsid w:val="002F7986"/>
    <w:rsid w:val="00301B40"/>
    <w:rsid w:val="003058C8"/>
    <w:rsid w:val="00305CC8"/>
    <w:rsid w:val="00307F6D"/>
    <w:rsid w:val="003177A2"/>
    <w:rsid w:val="003271B5"/>
    <w:rsid w:val="00327A1E"/>
    <w:rsid w:val="00331264"/>
    <w:rsid w:val="00334C8D"/>
    <w:rsid w:val="00344039"/>
    <w:rsid w:val="003518B3"/>
    <w:rsid w:val="00351D2F"/>
    <w:rsid w:val="003549BA"/>
    <w:rsid w:val="00372F3E"/>
    <w:rsid w:val="003846F1"/>
    <w:rsid w:val="00392A6D"/>
    <w:rsid w:val="003C6B21"/>
    <w:rsid w:val="003F492B"/>
    <w:rsid w:val="0045327E"/>
    <w:rsid w:val="00455781"/>
    <w:rsid w:val="00477501"/>
    <w:rsid w:val="004800D4"/>
    <w:rsid w:val="00480B4B"/>
    <w:rsid w:val="00485DC4"/>
    <w:rsid w:val="00487F7E"/>
    <w:rsid w:val="004A00A5"/>
    <w:rsid w:val="004A43D1"/>
    <w:rsid w:val="004A7BA1"/>
    <w:rsid w:val="004B4412"/>
    <w:rsid w:val="004C10BB"/>
    <w:rsid w:val="004C348C"/>
    <w:rsid w:val="004D55BA"/>
    <w:rsid w:val="004E22EC"/>
    <w:rsid w:val="004E3202"/>
    <w:rsid w:val="004F10DC"/>
    <w:rsid w:val="004F1BF9"/>
    <w:rsid w:val="005138CE"/>
    <w:rsid w:val="00524D68"/>
    <w:rsid w:val="00530128"/>
    <w:rsid w:val="00532467"/>
    <w:rsid w:val="005438B8"/>
    <w:rsid w:val="0056080A"/>
    <w:rsid w:val="00562632"/>
    <w:rsid w:val="00564A4D"/>
    <w:rsid w:val="00567BA5"/>
    <w:rsid w:val="00571B35"/>
    <w:rsid w:val="00571D57"/>
    <w:rsid w:val="005729B9"/>
    <w:rsid w:val="00573BA4"/>
    <w:rsid w:val="00577A09"/>
    <w:rsid w:val="005829C2"/>
    <w:rsid w:val="00584D8F"/>
    <w:rsid w:val="005A207E"/>
    <w:rsid w:val="005A404D"/>
    <w:rsid w:val="005B1E3C"/>
    <w:rsid w:val="005B5867"/>
    <w:rsid w:val="005C26CC"/>
    <w:rsid w:val="005C4261"/>
    <w:rsid w:val="0060418D"/>
    <w:rsid w:val="00615C6B"/>
    <w:rsid w:val="00617405"/>
    <w:rsid w:val="00632D6D"/>
    <w:rsid w:val="00634077"/>
    <w:rsid w:val="00642C3E"/>
    <w:rsid w:val="00655188"/>
    <w:rsid w:val="00663DAD"/>
    <w:rsid w:val="00670957"/>
    <w:rsid w:val="00672989"/>
    <w:rsid w:val="00676679"/>
    <w:rsid w:val="00690DB2"/>
    <w:rsid w:val="006B4CF9"/>
    <w:rsid w:val="006B7AC8"/>
    <w:rsid w:val="006C1FEB"/>
    <w:rsid w:val="006D550F"/>
    <w:rsid w:val="006E7B08"/>
    <w:rsid w:val="00701CAB"/>
    <w:rsid w:val="00703874"/>
    <w:rsid w:val="00707563"/>
    <w:rsid w:val="0072348C"/>
    <w:rsid w:val="00724A37"/>
    <w:rsid w:val="007303C3"/>
    <w:rsid w:val="00743223"/>
    <w:rsid w:val="00746E01"/>
    <w:rsid w:val="00752592"/>
    <w:rsid w:val="00752EAB"/>
    <w:rsid w:val="00757BDF"/>
    <w:rsid w:val="00763E5D"/>
    <w:rsid w:val="00767740"/>
    <w:rsid w:val="00772D61"/>
    <w:rsid w:val="00777EE6"/>
    <w:rsid w:val="00782EEA"/>
    <w:rsid w:val="007A33E6"/>
    <w:rsid w:val="007A4D1F"/>
    <w:rsid w:val="007A62A4"/>
    <w:rsid w:val="007B2C72"/>
    <w:rsid w:val="007C1C53"/>
    <w:rsid w:val="007C74BB"/>
    <w:rsid w:val="007E4904"/>
    <w:rsid w:val="007E4CB5"/>
    <w:rsid w:val="007F066B"/>
    <w:rsid w:val="008022D9"/>
    <w:rsid w:val="008033C4"/>
    <w:rsid w:val="00804A62"/>
    <w:rsid w:val="00806C88"/>
    <w:rsid w:val="00807AF8"/>
    <w:rsid w:val="0081034E"/>
    <w:rsid w:val="00813636"/>
    <w:rsid w:val="0083369F"/>
    <w:rsid w:val="008344F6"/>
    <w:rsid w:val="0083510F"/>
    <w:rsid w:val="00843704"/>
    <w:rsid w:val="00847383"/>
    <w:rsid w:val="00851209"/>
    <w:rsid w:val="008713E1"/>
    <w:rsid w:val="008720E2"/>
    <w:rsid w:val="00875445"/>
    <w:rsid w:val="008837AC"/>
    <w:rsid w:val="008A3E3C"/>
    <w:rsid w:val="008A587D"/>
    <w:rsid w:val="008C5486"/>
    <w:rsid w:val="008D1661"/>
    <w:rsid w:val="008D2E41"/>
    <w:rsid w:val="008E7031"/>
    <w:rsid w:val="008F2354"/>
    <w:rsid w:val="0090076A"/>
    <w:rsid w:val="00915EC0"/>
    <w:rsid w:val="009233EE"/>
    <w:rsid w:val="00925200"/>
    <w:rsid w:val="00932A53"/>
    <w:rsid w:val="009460AA"/>
    <w:rsid w:val="00951978"/>
    <w:rsid w:val="009661DE"/>
    <w:rsid w:val="009856B7"/>
    <w:rsid w:val="009A5FC3"/>
    <w:rsid w:val="009A7831"/>
    <w:rsid w:val="009B74B0"/>
    <w:rsid w:val="009C0E05"/>
    <w:rsid w:val="009D6B46"/>
    <w:rsid w:val="009D7FEE"/>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383A"/>
    <w:rsid w:val="00A84F46"/>
    <w:rsid w:val="00A871F4"/>
    <w:rsid w:val="00A97AA5"/>
    <w:rsid w:val="00AA41FB"/>
    <w:rsid w:val="00AB2F31"/>
    <w:rsid w:val="00AC1B2C"/>
    <w:rsid w:val="00AC3264"/>
    <w:rsid w:val="00AC6E2F"/>
    <w:rsid w:val="00AE1BF1"/>
    <w:rsid w:val="00AF0857"/>
    <w:rsid w:val="00AF0DD2"/>
    <w:rsid w:val="00AF1ED6"/>
    <w:rsid w:val="00B03C5A"/>
    <w:rsid w:val="00B13048"/>
    <w:rsid w:val="00B1716D"/>
    <w:rsid w:val="00B17A1D"/>
    <w:rsid w:val="00B207A0"/>
    <w:rsid w:val="00B33E62"/>
    <w:rsid w:val="00B37021"/>
    <w:rsid w:val="00B37E38"/>
    <w:rsid w:val="00B514DD"/>
    <w:rsid w:val="00B52AF0"/>
    <w:rsid w:val="00B54DDA"/>
    <w:rsid w:val="00B55B1D"/>
    <w:rsid w:val="00B56E03"/>
    <w:rsid w:val="00B57473"/>
    <w:rsid w:val="00B603FD"/>
    <w:rsid w:val="00B63CC5"/>
    <w:rsid w:val="00B644DC"/>
    <w:rsid w:val="00B74837"/>
    <w:rsid w:val="00B8080B"/>
    <w:rsid w:val="00B87C39"/>
    <w:rsid w:val="00B927D8"/>
    <w:rsid w:val="00BA3C98"/>
    <w:rsid w:val="00BA4665"/>
    <w:rsid w:val="00BB2FB2"/>
    <w:rsid w:val="00BB3304"/>
    <w:rsid w:val="00BD3446"/>
    <w:rsid w:val="00BD5E55"/>
    <w:rsid w:val="00BD7B1E"/>
    <w:rsid w:val="00BE1F1B"/>
    <w:rsid w:val="00BE47B5"/>
    <w:rsid w:val="00BE7057"/>
    <w:rsid w:val="00C164C6"/>
    <w:rsid w:val="00C21409"/>
    <w:rsid w:val="00C25FA6"/>
    <w:rsid w:val="00C538A9"/>
    <w:rsid w:val="00C53B5A"/>
    <w:rsid w:val="00C54F5A"/>
    <w:rsid w:val="00C569B4"/>
    <w:rsid w:val="00C67A92"/>
    <w:rsid w:val="00C7452D"/>
    <w:rsid w:val="00C77282"/>
    <w:rsid w:val="00C86679"/>
    <w:rsid w:val="00CA366B"/>
    <w:rsid w:val="00CA489E"/>
    <w:rsid w:val="00CB0340"/>
    <w:rsid w:val="00CB666B"/>
    <w:rsid w:val="00CC213C"/>
    <w:rsid w:val="00CC7F1D"/>
    <w:rsid w:val="00CE26A0"/>
    <w:rsid w:val="00CF4C5B"/>
    <w:rsid w:val="00D01CF0"/>
    <w:rsid w:val="00D0442A"/>
    <w:rsid w:val="00D1752F"/>
    <w:rsid w:val="00D25473"/>
    <w:rsid w:val="00D61388"/>
    <w:rsid w:val="00D61A54"/>
    <w:rsid w:val="00D64DEA"/>
    <w:rsid w:val="00D7168E"/>
    <w:rsid w:val="00D71E57"/>
    <w:rsid w:val="00D80893"/>
    <w:rsid w:val="00D814C4"/>
    <w:rsid w:val="00D81EF4"/>
    <w:rsid w:val="00D92CF1"/>
    <w:rsid w:val="00D92D38"/>
    <w:rsid w:val="00D9398E"/>
    <w:rsid w:val="00D950F5"/>
    <w:rsid w:val="00DA4B26"/>
    <w:rsid w:val="00DB0F93"/>
    <w:rsid w:val="00DB1A67"/>
    <w:rsid w:val="00DB1C30"/>
    <w:rsid w:val="00DB5074"/>
    <w:rsid w:val="00DB723B"/>
    <w:rsid w:val="00DC7981"/>
    <w:rsid w:val="00DE0107"/>
    <w:rsid w:val="00DE4EFA"/>
    <w:rsid w:val="00DE5520"/>
    <w:rsid w:val="00DF52AC"/>
    <w:rsid w:val="00E04818"/>
    <w:rsid w:val="00E06442"/>
    <w:rsid w:val="00E137FB"/>
    <w:rsid w:val="00E16751"/>
    <w:rsid w:val="00E22820"/>
    <w:rsid w:val="00E23993"/>
    <w:rsid w:val="00E25B8C"/>
    <w:rsid w:val="00E65C85"/>
    <w:rsid w:val="00E66199"/>
    <w:rsid w:val="00E755EC"/>
    <w:rsid w:val="00E75721"/>
    <w:rsid w:val="00E75817"/>
    <w:rsid w:val="00E7624D"/>
    <w:rsid w:val="00EA1B67"/>
    <w:rsid w:val="00EA3D42"/>
    <w:rsid w:val="00EA6B1B"/>
    <w:rsid w:val="00EB505D"/>
    <w:rsid w:val="00ED30C0"/>
    <w:rsid w:val="00EE28F3"/>
    <w:rsid w:val="00EF3DA5"/>
    <w:rsid w:val="00EF5110"/>
    <w:rsid w:val="00F03959"/>
    <w:rsid w:val="00F15882"/>
    <w:rsid w:val="00F170E5"/>
    <w:rsid w:val="00F171E0"/>
    <w:rsid w:val="00F20BD3"/>
    <w:rsid w:val="00F21E8C"/>
    <w:rsid w:val="00F2463F"/>
    <w:rsid w:val="00F373A5"/>
    <w:rsid w:val="00F47559"/>
    <w:rsid w:val="00F64C7B"/>
    <w:rsid w:val="00F676DD"/>
    <w:rsid w:val="00F71778"/>
    <w:rsid w:val="00F75A26"/>
    <w:rsid w:val="00F7783A"/>
    <w:rsid w:val="00F820F5"/>
    <w:rsid w:val="00F835C9"/>
    <w:rsid w:val="00F83FAD"/>
    <w:rsid w:val="00F952A0"/>
    <w:rsid w:val="00FA3C7F"/>
    <w:rsid w:val="00FA4460"/>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determinations-access-arrangements/cost-pass-throughs/ausnet-services-cost-pass-through-powerline-bushfire-safety-program-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1269DA-A943-4AED-8D76-96D0FA49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2015.dotm</Template>
  <TotalTime>1</TotalTime>
  <Pages>11</Pages>
  <Words>2269</Words>
  <Characters>11747</Characters>
  <Application>Microsoft Office Word</Application>
  <DocSecurity>4</DocSecurity>
  <Lines>240</Lines>
  <Paragraphs>85</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Abi-Samra, Rami</dc:creator>
  <cp:lastModifiedBy>Paul Dunn</cp:lastModifiedBy>
  <cp:revision>2</cp:revision>
  <dcterms:created xsi:type="dcterms:W3CDTF">2015-10-15T04:21:00Z</dcterms:created>
  <dcterms:modified xsi:type="dcterms:W3CDTF">2015-10-15T04:21:00Z</dcterms:modified>
</cp:coreProperties>
</file>