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9E" w:rsidRPr="00F5429A" w:rsidRDefault="00557E9E" w:rsidP="001D0E99">
      <w:bookmarkStart w:id="0" w:name="_GoBack"/>
      <w:bookmarkEnd w:id="0"/>
    </w:p>
    <w:p w:rsidR="003A6E36" w:rsidRDefault="00895E2F" w:rsidP="001D0E99">
      <w:r>
        <w:rPr>
          <w:noProof/>
        </w:rPr>
        <w:drawing>
          <wp:anchor distT="0" distB="0" distL="114300" distR="114300" simplePos="0" relativeHeight="251657728" behindDoc="0" locked="0" layoutInCell="1" allowOverlap="1" wp14:anchorId="6E4E9DE7" wp14:editId="590C998F">
            <wp:simplePos x="0" y="0"/>
            <wp:positionH relativeFrom="column">
              <wp:posOffset>5116195</wp:posOffset>
            </wp:positionH>
            <wp:positionV relativeFrom="paragraph">
              <wp:posOffset>-323850</wp:posOffset>
            </wp:positionV>
            <wp:extent cx="1152525" cy="1552575"/>
            <wp:effectExtent l="0" t="0" r="9525" b="9525"/>
            <wp:wrapSquare wrapText="bothSides"/>
            <wp:docPr id="2" name="Picture 1" descr="Accolade_Win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lade_Wines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2083" w:rsidRDefault="00642083" w:rsidP="00C01F3A">
      <w:pPr>
        <w:pStyle w:val="Title"/>
        <w:pBdr>
          <w:bottom w:val="none" w:sz="0" w:space="0" w:color="auto"/>
        </w:pBdr>
        <w:rPr>
          <w:rStyle w:val="Strong"/>
          <w:b/>
          <w:bCs/>
        </w:rPr>
      </w:pPr>
    </w:p>
    <w:p w:rsidR="00642083" w:rsidRPr="00642083" w:rsidRDefault="00642083" w:rsidP="001D0E99"/>
    <w:p w:rsidR="00642083" w:rsidRPr="00642083" w:rsidRDefault="00642083" w:rsidP="001D0E99"/>
    <w:p w:rsidR="00642083" w:rsidRPr="00642083" w:rsidRDefault="00642083" w:rsidP="0056137F">
      <w:pPr>
        <w:pStyle w:val="Title"/>
        <w:pBdr>
          <w:bottom w:val="none" w:sz="0" w:space="0" w:color="auto"/>
        </w:pBdr>
      </w:pPr>
    </w:p>
    <w:p w:rsidR="00642083" w:rsidRPr="00642083" w:rsidRDefault="00642083" w:rsidP="0056137F">
      <w:pPr>
        <w:pStyle w:val="Title"/>
        <w:pBdr>
          <w:bottom w:val="none" w:sz="0" w:space="0" w:color="auto"/>
        </w:pBdr>
      </w:pPr>
      <w:r w:rsidRPr="00642083">
        <w:t>Submission</w:t>
      </w:r>
    </w:p>
    <w:p w:rsidR="00642083" w:rsidRDefault="00642083" w:rsidP="001D0E99"/>
    <w:p w:rsidR="00642083" w:rsidRPr="0056137F" w:rsidRDefault="00642083" w:rsidP="00C01F3A">
      <w:pPr>
        <w:pStyle w:val="Title"/>
        <w:pBdr>
          <w:bottom w:val="none" w:sz="0" w:space="0" w:color="auto"/>
        </w:pBdr>
        <w:rPr>
          <w:sz w:val="28"/>
        </w:rPr>
      </w:pPr>
      <w:r w:rsidRPr="0056137F">
        <w:rPr>
          <w:sz w:val="28"/>
        </w:rPr>
        <w:t>SA Power Networks Regulatory Proposal 2015-2020</w:t>
      </w:r>
    </w:p>
    <w:p w:rsidR="00642083" w:rsidRPr="0056137F" w:rsidRDefault="00642083" w:rsidP="001D0E99">
      <w:pPr>
        <w:rPr>
          <w:color w:val="FF0000"/>
        </w:rPr>
      </w:pPr>
    </w:p>
    <w:p w:rsidR="00642083" w:rsidRDefault="00642083" w:rsidP="00287A59">
      <w:pPr>
        <w:pStyle w:val="Subheading2"/>
      </w:pPr>
      <w:r>
        <w:t>June 2014</w:t>
      </w:r>
    </w:p>
    <w:p w:rsidR="00642083" w:rsidRDefault="00642083" w:rsidP="001D0E99"/>
    <w:p w:rsidR="00642083" w:rsidRDefault="00642083" w:rsidP="001D0E99"/>
    <w:p w:rsidR="00642083" w:rsidRDefault="00642083" w:rsidP="001D0E99"/>
    <w:p w:rsidR="00642083" w:rsidRDefault="00642083" w:rsidP="001D0E99"/>
    <w:p w:rsidR="00642083" w:rsidRDefault="00642083" w:rsidP="001D0E99"/>
    <w:p w:rsidR="00642083" w:rsidRDefault="00642083" w:rsidP="001D0E99">
      <w:pPr>
        <w:spacing w:after="0" w:line="240" w:lineRule="auto"/>
      </w:pPr>
      <w:r>
        <w:t>Submitted on behalf of Accolade Wines by:</w:t>
      </w:r>
    </w:p>
    <w:p w:rsidR="00642083" w:rsidRDefault="00642083" w:rsidP="001D0E99">
      <w:pPr>
        <w:spacing w:after="0" w:line="240" w:lineRule="auto"/>
      </w:pPr>
      <w:r>
        <w:t>Wayne Ellis</w:t>
      </w:r>
    </w:p>
    <w:p w:rsidR="00642083" w:rsidRPr="00642083" w:rsidRDefault="00642083" w:rsidP="001D0E99">
      <w:pPr>
        <w:spacing w:after="0" w:line="240" w:lineRule="auto"/>
        <w:rPr>
          <w:sz w:val="20"/>
        </w:rPr>
      </w:pPr>
      <w:r>
        <w:t>wayne.ellis”at”accolade-wines.com</w:t>
      </w:r>
    </w:p>
    <w:p w:rsidR="00642083" w:rsidRPr="00642083" w:rsidRDefault="00642083" w:rsidP="001D0E99"/>
    <w:p w:rsidR="00642083" w:rsidRPr="00642083" w:rsidRDefault="00642083" w:rsidP="001D0E99"/>
    <w:p w:rsidR="00642083" w:rsidRPr="00642083" w:rsidRDefault="00642083" w:rsidP="001D0E99"/>
    <w:p w:rsidR="00642083" w:rsidRPr="00642083" w:rsidRDefault="00642083" w:rsidP="001D0E99"/>
    <w:p w:rsidR="00642083" w:rsidRDefault="00642083" w:rsidP="0056137F">
      <w:pPr>
        <w:pStyle w:val="Title"/>
        <w:pBdr>
          <w:bottom w:val="none" w:sz="0" w:space="0" w:color="auto"/>
        </w:pBdr>
        <w:rPr>
          <w:rStyle w:val="Strong"/>
          <w:b/>
          <w:bCs/>
        </w:rPr>
      </w:pPr>
    </w:p>
    <w:p w:rsidR="00642083" w:rsidRDefault="00642083" w:rsidP="001D0E99"/>
    <w:p w:rsidR="00642083" w:rsidRPr="00642083" w:rsidRDefault="00642083" w:rsidP="001D0E99"/>
    <w:p w:rsidR="005A6D7D" w:rsidRDefault="005A6D7D" w:rsidP="001D0E99">
      <w:pPr>
        <w:pStyle w:val="Title"/>
        <w:rPr>
          <w:rStyle w:val="Strong"/>
          <w:b/>
          <w:bCs/>
        </w:rPr>
      </w:pPr>
      <w:r>
        <w:rPr>
          <w:rStyle w:val="Strong"/>
          <w:b/>
          <w:bCs/>
        </w:rPr>
        <w:br w:type="page"/>
      </w:r>
    </w:p>
    <w:p w:rsidR="007C5102" w:rsidRPr="001D0E99" w:rsidRDefault="00642083" w:rsidP="001D0E99">
      <w:pPr>
        <w:pStyle w:val="Title"/>
        <w:rPr>
          <w:rStyle w:val="Strong"/>
          <w:b/>
          <w:bCs/>
          <w:sz w:val="40"/>
        </w:rPr>
      </w:pPr>
      <w:r w:rsidRPr="001D0E99">
        <w:rPr>
          <w:rStyle w:val="Strong"/>
          <w:b/>
          <w:bCs/>
          <w:sz w:val="40"/>
        </w:rPr>
        <w:lastRenderedPageBreak/>
        <w:t>Executive Summary</w:t>
      </w:r>
    </w:p>
    <w:p w:rsidR="00642083" w:rsidRPr="001D0E99" w:rsidRDefault="00642083" w:rsidP="009F0BB8">
      <w:pPr>
        <w:spacing w:before="240"/>
      </w:pPr>
      <w:r w:rsidRPr="001D0E99">
        <w:t xml:space="preserve">Accolade Wines’ supports the Australian Energy Regulator’s decision to limit increases </w:t>
      </w:r>
      <w:r w:rsidR="00F35309" w:rsidRPr="001D0E99">
        <w:t>as proposed by SA Power Networks.</w:t>
      </w:r>
    </w:p>
    <w:p w:rsidR="00F35309" w:rsidRPr="001D0E99" w:rsidRDefault="00F35309" w:rsidP="001D0E99">
      <w:r w:rsidRPr="001D0E99">
        <w:t>Accolade Wines is a major energy user, our Berri winemaking operation is one of the largest in the Southern Hemisphere crushing around 200,000 tonnes of grapes each year an</w:t>
      </w:r>
      <w:r w:rsidR="000D30B2">
        <w:t>d using around</w:t>
      </w:r>
      <w:r w:rsidR="00FC6920">
        <w:t xml:space="preserve"> </w:t>
      </w:r>
      <w:r w:rsidR="00591865">
        <w:t>29,506,237 kWh in the last 12 months to May 2015</w:t>
      </w:r>
      <w:r w:rsidRPr="001D0E99">
        <w:t xml:space="preserve">. </w:t>
      </w:r>
    </w:p>
    <w:p w:rsidR="00F35309" w:rsidRPr="001D0E99" w:rsidRDefault="00F35309" w:rsidP="001D0E99">
      <w:r w:rsidRPr="001D0E99">
        <w:t>Our power use is extremely seasonal, peaking during vintage when crushing grapes, chilling the juice and pumping juice and wine around our Berri site is extremely energy intensive.</w:t>
      </w:r>
      <w:r w:rsidR="0079064F">
        <w:t xml:space="preserve"> Outside of the three months of</w:t>
      </w:r>
      <w:r w:rsidR="00C92583">
        <w:t xml:space="preserve"> vintage </w:t>
      </w:r>
      <w:r w:rsidR="007062E2">
        <w:t xml:space="preserve">period </w:t>
      </w:r>
      <w:r w:rsidR="00C92583">
        <w:t>our</w:t>
      </w:r>
      <w:r w:rsidR="00FC6920">
        <w:t xml:space="preserve"> </w:t>
      </w:r>
      <w:r w:rsidR="0079064F">
        <w:t>base-</w:t>
      </w:r>
      <w:r w:rsidR="0079064F" w:rsidRPr="001D0E99">
        <w:t>load</w:t>
      </w:r>
      <w:r w:rsidRPr="001D0E99">
        <w:t xml:space="preserve"> </w:t>
      </w:r>
      <w:r w:rsidR="000D30B2">
        <w:t>is much, much lower,</w:t>
      </w:r>
      <w:r w:rsidR="008842BA">
        <w:t xml:space="preserve"> </w:t>
      </w:r>
      <w:r w:rsidR="00546933">
        <w:t>Jan 2015 was</w:t>
      </w:r>
      <w:r w:rsidR="008842BA">
        <w:t xml:space="preserve"> </w:t>
      </w:r>
      <w:r w:rsidR="000D30B2">
        <w:t>5191</w:t>
      </w:r>
      <w:r w:rsidR="008842BA">
        <w:t xml:space="preserve"> kVA </w:t>
      </w:r>
      <w:r w:rsidR="00546933">
        <w:t>and</w:t>
      </w:r>
      <w:r w:rsidR="008842BA">
        <w:t xml:space="preserve"> 4634</w:t>
      </w:r>
      <w:r w:rsidR="00546933">
        <w:t xml:space="preserve"> kVA </w:t>
      </w:r>
      <w:r w:rsidRPr="001D0E99">
        <w:t xml:space="preserve">on average </w:t>
      </w:r>
      <w:r w:rsidR="00392B61">
        <w:t xml:space="preserve">(over 9 months non-vintage May to Jan) </w:t>
      </w:r>
      <w:r w:rsidRPr="001D0E99">
        <w:t>compared with the v</w:t>
      </w:r>
      <w:r w:rsidR="00B83387">
        <w:t>i</w:t>
      </w:r>
      <w:r w:rsidR="00546933">
        <w:t xml:space="preserve">ntage peak </w:t>
      </w:r>
      <w:r w:rsidR="000A05B7">
        <w:t xml:space="preserve">actual demand of 7423 kVA and charged at </w:t>
      </w:r>
      <w:r w:rsidR="0079064F">
        <w:t xml:space="preserve">contract demand </w:t>
      </w:r>
      <w:r w:rsidR="00546933">
        <w:t>of around</w:t>
      </w:r>
      <w:r w:rsidR="007062E2">
        <w:t xml:space="preserve"> </w:t>
      </w:r>
      <w:r w:rsidR="008842BA">
        <w:t>8073</w:t>
      </w:r>
      <w:r w:rsidR="00AD3E94">
        <w:t xml:space="preserve"> kVA</w:t>
      </w:r>
      <w:r w:rsidR="00BD04CA">
        <w:t>;</w:t>
      </w:r>
      <w:r w:rsidR="008842BA">
        <w:t xml:space="preserve"> </w:t>
      </w:r>
      <w:r w:rsidRPr="001D0E99">
        <w:t>however, the pricing structure imposed on our business is based on our peak load during vintage</w:t>
      </w:r>
      <w:r w:rsidR="0079064F">
        <w:t xml:space="preserve"> (Feb Mar April)</w:t>
      </w:r>
      <w:r w:rsidRPr="001D0E99">
        <w:t>.</w:t>
      </w:r>
      <w:r w:rsidR="00C92583">
        <w:t xml:space="preserve"> </w:t>
      </w:r>
    </w:p>
    <w:p w:rsidR="00642083" w:rsidRPr="00F35309" w:rsidRDefault="00F35309" w:rsidP="00287A59">
      <w:pPr>
        <w:pStyle w:val="Subheading2"/>
      </w:pPr>
      <w:r w:rsidRPr="00F35309">
        <w:t>Our recommendations</w:t>
      </w:r>
    </w:p>
    <w:p w:rsidR="00642083" w:rsidRPr="00642083" w:rsidRDefault="00642083" w:rsidP="009F0BB8">
      <w:pPr>
        <w:spacing w:before="240"/>
        <w:ind w:left="425" w:right="0" w:hanging="425"/>
      </w:pPr>
      <w:r w:rsidRPr="00642083">
        <w:t>1.</w:t>
      </w:r>
      <w:r w:rsidRPr="00642083">
        <w:tab/>
        <w:t>The A</w:t>
      </w:r>
      <w:r>
        <w:t>ustralian Energy Regulator’s d</w:t>
      </w:r>
      <w:r w:rsidRPr="00642083">
        <w:t>ecision is implemented in full or with even further revenue cap reductions.</w:t>
      </w:r>
    </w:p>
    <w:p w:rsidR="00642083" w:rsidRPr="00642083" w:rsidRDefault="00642083" w:rsidP="008027A5">
      <w:pPr>
        <w:ind w:left="426" w:right="0" w:hanging="426"/>
      </w:pPr>
      <w:r w:rsidRPr="00642083">
        <w:t>2.</w:t>
      </w:r>
      <w:r w:rsidRPr="00642083">
        <w:tab/>
        <w:t>That the baseline year for Efficient Operating Expenditure should not be 2013/2014 or any year in the previous regulatory period 2010-2015. The base year should be from the more efficient Regulatory Period such as 2005/2010.</w:t>
      </w:r>
    </w:p>
    <w:p w:rsidR="00642083" w:rsidRPr="00642083" w:rsidRDefault="00642083" w:rsidP="008027A5">
      <w:pPr>
        <w:ind w:left="426" w:right="0" w:hanging="426"/>
      </w:pPr>
      <w:r w:rsidRPr="00642083">
        <w:t>3.</w:t>
      </w:r>
      <w:r w:rsidRPr="00642083">
        <w:tab/>
        <w:t>In a time of static or low demand basic business principles should apply which would involve finding productivity improvements by reducing operating expenditure in real terms and minimising capital expenditure.</w:t>
      </w:r>
    </w:p>
    <w:p w:rsidR="001D0E99" w:rsidRDefault="00642083" w:rsidP="008027A5">
      <w:pPr>
        <w:ind w:left="426" w:right="0" w:hanging="426"/>
      </w:pPr>
      <w:r w:rsidRPr="00642083">
        <w:t>4.</w:t>
      </w:r>
      <w:r w:rsidRPr="00642083">
        <w:tab/>
      </w:r>
      <w:r w:rsidR="00F35309">
        <w:t>We also recommend more frequent demand reviews at the very least six monthly, ideally quarterly so that pricing structures bette</w:t>
      </w:r>
      <w:r w:rsidR="001D0E99">
        <w:t>r reflect demand.</w:t>
      </w:r>
    </w:p>
    <w:p w:rsidR="004A576F" w:rsidRDefault="004A576F" w:rsidP="008027A5">
      <w:pPr>
        <w:ind w:left="426" w:right="0" w:hanging="426"/>
      </w:pPr>
    </w:p>
    <w:p w:rsidR="001D0E99" w:rsidRDefault="001D0E99" w:rsidP="001D0E99">
      <w:r>
        <w:br w:type="page"/>
      </w:r>
    </w:p>
    <w:p w:rsidR="00F35309" w:rsidRPr="001D0E99" w:rsidRDefault="00635747" w:rsidP="001D0E99">
      <w:pPr>
        <w:pStyle w:val="Title"/>
        <w:rPr>
          <w:rStyle w:val="Strong"/>
          <w:b/>
          <w:bCs/>
          <w:sz w:val="40"/>
        </w:rPr>
      </w:pPr>
      <w:r w:rsidRPr="001D0E99">
        <w:rPr>
          <w:rStyle w:val="Strong"/>
          <w:b/>
          <w:bCs/>
          <w:sz w:val="40"/>
        </w:rPr>
        <w:lastRenderedPageBreak/>
        <w:t>Introduction</w:t>
      </w:r>
    </w:p>
    <w:p w:rsidR="004A1A3F" w:rsidRPr="004A1A3F" w:rsidRDefault="004A1A3F" w:rsidP="008027A5">
      <w:pPr>
        <w:spacing w:after="0"/>
        <w:rPr>
          <w:rStyle w:val="Strong"/>
        </w:rPr>
      </w:pPr>
      <w:r w:rsidRPr="004A1A3F">
        <w:rPr>
          <w:rStyle w:val="Strong"/>
        </w:rPr>
        <w:t>Accolade Wines</w:t>
      </w:r>
    </w:p>
    <w:p w:rsidR="00635747" w:rsidRPr="004A1A3F" w:rsidRDefault="00635747" w:rsidP="001D0E99">
      <w:r w:rsidRPr="004A1A3F">
        <w:t xml:space="preserve">Accolade Wines is a global wine company with a long and proud Australian heritage whose brands sell in over 100 countries.  Headquartered at Reynella, South Australia, we employ more than 1500 people in Australia, the UK, </w:t>
      </w:r>
      <w:proofErr w:type="gramStart"/>
      <w:r w:rsidRPr="004A1A3F">
        <w:t>North</w:t>
      </w:r>
      <w:proofErr w:type="gramEnd"/>
      <w:r w:rsidRPr="004A1A3F">
        <w:t xml:space="preserve"> America, mainland Europe, Asia, South Africa and New Zealand.  Many of our staff </w:t>
      </w:r>
      <w:proofErr w:type="gramStart"/>
      <w:r w:rsidRPr="004A1A3F">
        <w:t>are</w:t>
      </w:r>
      <w:proofErr w:type="gramEnd"/>
      <w:r w:rsidRPr="004A1A3F">
        <w:t xml:space="preserve"> located in major viticultural regions around regional Australia.</w:t>
      </w:r>
    </w:p>
    <w:p w:rsidR="00635747" w:rsidRPr="004A1A3F" w:rsidRDefault="00635747" w:rsidP="001D0E99">
      <w:r w:rsidRPr="004A1A3F">
        <w:t>We are the number one wine company by volume in the UK and Australia.</w:t>
      </w:r>
    </w:p>
    <w:p w:rsidR="0054661F" w:rsidRPr="004A1A3F" w:rsidRDefault="00635747" w:rsidP="001D0E99">
      <w:r w:rsidRPr="004A1A3F">
        <w:t xml:space="preserve">In Australia, our wine range, led by </w:t>
      </w:r>
      <w:proofErr w:type="spellStart"/>
      <w:r w:rsidRPr="004A1A3F">
        <w:t>Hardys</w:t>
      </w:r>
      <w:proofErr w:type="spellEnd"/>
      <w:r w:rsidRPr="004A1A3F">
        <w:t xml:space="preserve"> which dates back to 1853; includes the 179 year-old Houghton label, recently acquired Barossa brand, Grant Burge Wines, as well as </w:t>
      </w:r>
      <w:proofErr w:type="spellStart"/>
      <w:r w:rsidRPr="004A1A3F">
        <w:t>Banrock</w:t>
      </w:r>
      <w:proofErr w:type="spellEnd"/>
      <w:r w:rsidRPr="004A1A3F">
        <w:t xml:space="preserve"> Station, Omni, </w:t>
      </w:r>
      <w:proofErr w:type="spellStart"/>
      <w:r w:rsidRPr="004A1A3F">
        <w:t>Goundrey</w:t>
      </w:r>
      <w:proofErr w:type="spellEnd"/>
      <w:r w:rsidRPr="004A1A3F">
        <w:t xml:space="preserve">, </w:t>
      </w:r>
      <w:proofErr w:type="spellStart"/>
      <w:r w:rsidRPr="004A1A3F">
        <w:t>Brookland</w:t>
      </w:r>
      <w:proofErr w:type="spellEnd"/>
      <w:r w:rsidRPr="004A1A3F">
        <w:t xml:space="preserve"> Valley, Berri, Stanley, Amberley, </w:t>
      </w:r>
      <w:proofErr w:type="spellStart"/>
      <w:r w:rsidRPr="004A1A3F">
        <w:t>Moondah</w:t>
      </w:r>
      <w:proofErr w:type="spellEnd"/>
      <w:r w:rsidRPr="004A1A3F">
        <w:t xml:space="preserve"> Brook, </w:t>
      </w:r>
      <w:proofErr w:type="spellStart"/>
      <w:r w:rsidRPr="004A1A3F">
        <w:t>Reynell</w:t>
      </w:r>
      <w:proofErr w:type="spellEnd"/>
      <w:r w:rsidRPr="004A1A3F">
        <w:t xml:space="preserve">, </w:t>
      </w:r>
      <w:proofErr w:type="spellStart"/>
      <w:r w:rsidRPr="004A1A3F">
        <w:t>Renmano</w:t>
      </w:r>
      <w:proofErr w:type="spellEnd"/>
      <w:r w:rsidRPr="004A1A3F">
        <w:t xml:space="preserve">, </w:t>
      </w:r>
      <w:proofErr w:type="spellStart"/>
      <w:r w:rsidRPr="004A1A3F">
        <w:t>Leasingham</w:t>
      </w:r>
      <w:proofErr w:type="spellEnd"/>
      <w:r w:rsidRPr="004A1A3F">
        <w:t>, and Tasmanian labels Bay of Fires and Eddystone Point, plus sparkling brands House of Arras and Yarra Burn.</w:t>
      </w:r>
    </w:p>
    <w:p w:rsidR="00635747" w:rsidRPr="004A1A3F" w:rsidRDefault="00635747" w:rsidP="001D0E99">
      <w:r w:rsidRPr="004A1A3F">
        <w:t>We operate three wineries in South Australia</w:t>
      </w:r>
      <w:r w:rsidR="004A1A3F" w:rsidRPr="004A1A3F">
        <w:t>;</w:t>
      </w:r>
      <w:r w:rsidRPr="004A1A3F">
        <w:t xml:space="preserve"> </w:t>
      </w:r>
      <w:proofErr w:type="spellStart"/>
      <w:r w:rsidRPr="004A1A3F">
        <w:t>Hardys</w:t>
      </w:r>
      <w:proofErr w:type="spellEnd"/>
      <w:r w:rsidRPr="004A1A3F">
        <w:t xml:space="preserve"> </w:t>
      </w:r>
      <w:proofErr w:type="spellStart"/>
      <w:r w:rsidRPr="004A1A3F">
        <w:t>Tintara</w:t>
      </w:r>
      <w:proofErr w:type="spellEnd"/>
      <w:r w:rsidRPr="004A1A3F">
        <w:t xml:space="preserve">, </w:t>
      </w:r>
      <w:proofErr w:type="spellStart"/>
      <w:r w:rsidRPr="004A1A3F">
        <w:t>Hardys</w:t>
      </w:r>
      <w:proofErr w:type="spellEnd"/>
      <w:r w:rsidRPr="004A1A3F">
        <w:t xml:space="preserve"> historic home in McLaren Vale, the Grant Burge Winery in the Barossa Valley and the </w:t>
      </w:r>
      <w:r w:rsidR="004A1A3F" w:rsidRPr="004A1A3F">
        <w:t>Berri Winery, near Berri.</w:t>
      </w:r>
    </w:p>
    <w:p w:rsidR="004A1A3F" w:rsidRPr="004A1A3F" w:rsidRDefault="004A1A3F" w:rsidP="001D0E99">
      <w:r w:rsidRPr="004A1A3F">
        <w:t xml:space="preserve">The Berri winery is the largest in our business and one of the largest in the Southern Hemisphere, crushing around 200,000 tonnes of grapes each vintage primarily for our best-selling Berri, Stanley, </w:t>
      </w:r>
      <w:proofErr w:type="spellStart"/>
      <w:r w:rsidRPr="004A1A3F">
        <w:t>Renmano</w:t>
      </w:r>
      <w:proofErr w:type="spellEnd"/>
      <w:r w:rsidRPr="004A1A3F">
        <w:t xml:space="preserve">, </w:t>
      </w:r>
      <w:proofErr w:type="spellStart"/>
      <w:r w:rsidRPr="004A1A3F">
        <w:t>Hardys</w:t>
      </w:r>
      <w:proofErr w:type="spellEnd"/>
      <w:r w:rsidRPr="004A1A3F">
        <w:t xml:space="preserve"> and </w:t>
      </w:r>
      <w:proofErr w:type="spellStart"/>
      <w:r w:rsidRPr="004A1A3F">
        <w:t>Banrock</w:t>
      </w:r>
      <w:proofErr w:type="spellEnd"/>
      <w:r w:rsidRPr="004A1A3F">
        <w:t xml:space="preserve"> labels.</w:t>
      </w:r>
    </w:p>
    <w:p w:rsidR="004A1A3F" w:rsidRDefault="004A1A3F" w:rsidP="001D0E99">
      <w:r w:rsidRPr="004A1A3F">
        <w:t xml:space="preserve">Energy is one of the highest input costs at Berri, alongside grape purchases and </w:t>
      </w:r>
      <w:proofErr w:type="spellStart"/>
      <w:r w:rsidRPr="004A1A3F">
        <w:t>labor</w:t>
      </w:r>
      <w:proofErr w:type="spellEnd"/>
      <w:r w:rsidRPr="004A1A3F">
        <w:t>, as such</w:t>
      </w:r>
      <w:r w:rsidR="001D0E99">
        <w:t>,</w:t>
      </w:r>
      <w:r w:rsidRPr="004A1A3F">
        <w:t xml:space="preserve"> it is a significant factor in our domestic and export competitiveness. </w:t>
      </w:r>
    </w:p>
    <w:p w:rsidR="004A1A3F" w:rsidRPr="001D0E99" w:rsidRDefault="004A1A3F" w:rsidP="001D0E99">
      <w:pPr>
        <w:pStyle w:val="Title"/>
        <w:rPr>
          <w:rStyle w:val="Strong"/>
          <w:b/>
          <w:sz w:val="40"/>
        </w:rPr>
      </w:pPr>
      <w:r w:rsidRPr="001D0E99">
        <w:rPr>
          <w:rStyle w:val="Strong"/>
          <w:b/>
          <w:sz w:val="40"/>
        </w:rPr>
        <w:t>Energy pricing</w:t>
      </w:r>
    </w:p>
    <w:p w:rsidR="004A1A3F" w:rsidRDefault="00A95636" w:rsidP="001D0E99">
      <w:r>
        <w:t>Typical E</w:t>
      </w:r>
      <w:r w:rsidR="001D0E99">
        <w:t>nergy consumption patterns at Berri</w:t>
      </w:r>
    </w:p>
    <w:p w:rsidR="00B83387" w:rsidRDefault="008532E6" w:rsidP="001D0E99">
      <w:r>
        <w:rPr>
          <w:noProof/>
        </w:rPr>
        <w:drawing>
          <wp:inline distT="0" distB="0" distL="0" distR="0" wp14:anchorId="536BD97E" wp14:editId="6B8388BE">
            <wp:extent cx="5248275" cy="30867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8275" cy="3086713"/>
                    </a:xfrm>
                    <a:prstGeom prst="rect">
                      <a:avLst/>
                    </a:prstGeom>
                    <a:noFill/>
                  </pic:spPr>
                </pic:pic>
              </a:graphicData>
            </a:graphic>
          </wp:inline>
        </w:drawing>
      </w:r>
    </w:p>
    <w:p w:rsidR="00026734" w:rsidRDefault="009F0BB8" w:rsidP="001D0E99">
      <w:r>
        <w:rPr>
          <w:noProof/>
        </w:rPr>
        <w:lastRenderedPageBreak/>
        <mc:AlternateContent>
          <mc:Choice Requires="wps">
            <w:drawing>
              <wp:anchor distT="0" distB="0" distL="114300" distR="114300" simplePos="0" relativeHeight="251660288" behindDoc="0" locked="0" layoutInCell="1" allowOverlap="1" wp14:anchorId="3021D64A" wp14:editId="1D2692B3">
                <wp:simplePos x="0" y="0"/>
                <wp:positionH relativeFrom="column">
                  <wp:posOffset>3147695</wp:posOffset>
                </wp:positionH>
                <wp:positionV relativeFrom="paragraph">
                  <wp:posOffset>118110</wp:posOffset>
                </wp:positionV>
                <wp:extent cx="2400300" cy="3810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4003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6734" w:rsidRPr="009F0BB8" w:rsidRDefault="00026734" w:rsidP="009F0BB8">
                            <w:pPr>
                              <w:spacing w:after="0"/>
                              <w:rPr>
                                <w:sz w:val="16"/>
                              </w:rPr>
                            </w:pPr>
                            <w:r w:rsidRPr="009F0BB8">
                              <w:rPr>
                                <w:sz w:val="16"/>
                              </w:rPr>
                              <w:t>Onsite investment for Energ</w:t>
                            </w:r>
                            <w:r w:rsidR="009F0BB8">
                              <w:rPr>
                                <w:sz w:val="16"/>
                              </w:rPr>
                              <w:t>y efficiency consumption and dem</w:t>
                            </w:r>
                            <w:r w:rsidRPr="009F0BB8">
                              <w:rPr>
                                <w:sz w:val="16"/>
                              </w:rPr>
                              <w:t>and reduction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7.85pt;margin-top:9.3pt;width:189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" fillcolor="white [3201]" strokeweight=".5pt">
                <v:textbox>
                  <w:txbxContent>
                    <w:p w:rsidR="00026734" w:rsidRPr="009F0BB8" w:rsidRDefault="00026734" w:rsidP="009F0BB8">
                      <w:pPr>
                        <w:spacing w:after="0"/>
                        <w:rPr>
                          <w:sz w:val="16"/>
                        </w:rPr>
                      </w:pPr>
                      <w:r w:rsidRPr="009F0BB8">
                        <w:rPr>
                          <w:sz w:val="16"/>
                        </w:rPr>
                        <w:t>Onsite investment for Energ</w:t>
                      </w:r>
                      <w:r w:rsidR="009F0BB8">
                        <w:rPr>
                          <w:sz w:val="16"/>
                        </w:rPr>
                        <w:t>y efficiency consumption and dem</w:t>
                      </w:r>
                      <w:r w:rsidRPr="009F0BB8">
                        <w:rPr>
                          <w:sz w:val="16"/>
                        </w:rPr>
                        <w:t>and reduction</w:t>
                      </w:r>
                    </w:p>
                  </w:txbxContent>
                </v:textbox>
              </v:shape>
            </w:pict>
          </mc:Fallback>
        </mc:AlternateContent>
      </w:r>
    </w:p>
    <w:p w:rsidR="00026734" w:rsidRDefault="009F0BB8" w:rsidP="001D0E99">
      <w:r>
        <w:rPr>
          <w:noProof/>
        </w:rPr>
        <mc:AlternateContent>
          <mc:Choice Requires="wps">
            <w:drawing>
              <wp:anchor distT="0" distB="0" distL="114300" distR="114300" simplePos="0" relativeHeight="251659264" behindDoc="0" locked="0" layoutInCell="1" allowOverlap="1" wp14:anchorId="6BD6B13F" wp14:editId="265A9E06">
                <wp:simplePos x="0" y="0"/>
                <wp:positionH relativeFrom="column">
                  <wp:posOffset>4526915</wp:posOffset>
                </wp:positionH>
                <wp:positionV relativeFrom="paragraph">
                  <wp:posOffset>56515</wp:posOffset>
                </wp:positionV>
                <wp:extent cx="1009650" cy="822960"/>
                <wp:effectExtent l="19050" t="19050" r="57150" b="53340"/>
                <wp:wrapNone/>
                <wp:docPr id="6" name="Straight Arrow Connector 6"/>
                <wp:cNvGraphicFramePr/>
                <a:graphic xmlns:a="http://schemas.openxmlformats.org/drawingml/2006/main">
                  <a:graphicData uri="http://schemas.microsoft.com/office/word/2010/wordprocessingShape">
                    <wps:wsp>
                      <wps:cNvCnPr/>
                      <wps:spPr>
                        <a:xfrm>
                          <a:off x="0" y="0"/>
                          <a:ext cx="1009650" cy="82296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56.45pt;margin-top:4.45pt;width:79.5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" strokecolor="#4579b8 [3044]" strokeweight="2.25pt">
                <v:stroke endarrow="open"/>
              </v:shape>
            </w:pict>
          </mc:Fallback>
        </mc:AlternateContent>
      </w:r>
    </w:p>
    <w:p w:rsidR="00CB68F8" w:rsidRDefault="00CB68F8" w:rsidP="001D0E99">
      <w:r>
        <w:rPr>
          <w:noProof/>
        </w:rPr>
        <w:drawing>
          <wp:inline distT="0" distB="0" distL="0" distR="0" wp14:anchorId="7D6D0173" wp14:editId="59DD9E99">
            <wp:extent cx="6286498" cy="42386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5583" cy="4238008"/>
                    </a:xfrm>
                    <a:prstGeom prst="rect">
                      <a:avLst/>
                    </a:prstGeom>
                    <a:noFill/>
                  </pic:spPr>
                </pic:pic>
              </a:graphicData>
            </a:graphic>
          </wp:inline>
        </w:drawing>
      </w:r>
    </w:p>
    <w:p w:rsidR="001D0E99" w:rsidRDefault="00287A59" w:rsidP="001D0E99">
      <w:r>
        <w:t>SA Power Networks review our operations and power demand only when we request a review, and then base our consumption on our peak loads during our highest consumption period during vintage.</w:t>
      </w:r>
    </w:p>
    <w:p w:rsidR="006101CD" w:rsidRPr="00C01F3A" w:rsidRDefault="00287A59" w:rsidP="001D0E99">
      <w:r w:rsidRPr="00C01F3A">
        <w:t xml:space="preserve">This means that for the remaining nine months of the year we are charged on a basis well above our usage. For example: </w:t>
      </w:r>
      <w:r w:rsidR="00C01F3A">
        <w:t>the n</w:t>
      </w:r>
      <w:r w:rsidR="006101CD" w:rsidRPr="00C01F3A">
        <w:t xml:space="preserve">ine month </w:t>
      </w:r>
      <w:r w:rsidR="00C01F3A">
        <w:t>a</w:t>
      </w:r>
      <w:r w:rsidR="00C01F3A" w:rsidRPr="00C01F3A">
        <w:t xml:space="preserve">verage </w:t>
      </w:r>
      <w:r w:rsidR="006101CD" w:rsidRPr="00C01F3A">
        <w:t>non-vintage peak demand in 2013 was 4390 kVA</w:t>
      </w:r>
      <w:r w:rsidR="00C01F3A">
        <w:t>,</w:t>
      </w:r>
      <w:r w:rsidR="006101CD" w:rsidRPr="00C01F3A">
        <w:t xml:space="preserve"> </w:t>
      </w:r>
      <w:r w:rsidR="00C01F3A">
        <w:t xml:space="preserve">while </w:t>
      </w:r>
      <w:r w:rsidR="006101CD" w:rsidRPr="00C01F3A">
        <w:t xml:space="preserve">in 2014 </w:t>
      </w:r>
      <w:r w:rsidR="00C01F3A">
        <w:t xml:space="preserve">the </w:t>
      </w:r>
      <w:r w:rsidR="00D66055" w:rsidRPr="00C01F3A">
        <w:t xml:space="preserve">average </w:t>
      </w:r>
      <w:r w:rsidR="006101CD" w:rsidRPr="00C01F3A">
        <w:t>was 4696</w:t>
      </w:r>
      <w:r w:rsidR="00C01F3A">
        <w:t xml:space="preserve"> </w:t>
      </w:r>
      <w:r w:rsidR="006101CD" w:rsidRPr="00C01F3A">
        <w:t xml:space="preserve">kVA. </w:t>
      </w:r>
      <w:r w:rsidR="00C01F3A">
        <w:t>This c</w:t>
      </w:r>
      <w:r w:rsidR="006101CD" w:rsidRPr="00C01F3A">
        <w:t>ompare</w:t>
      </w:r>
      <w:r w:rsidR="00C01F3A">
        <w:t>s</w:t>
      </w:r>
      <w:r w:rsidR="006101CD" w:rsidRPr="00C01F3A">
        <w:t xml:space="preserve"> </w:t>
      </w:r>
      <w:r w:rsidR="00C01F3A">
        <w:t>with the</w:t>
      </w:r>
      <w:r w:rsidR="006101CD" w:rsidRPr="00C01F3A">
        <w:t xml:space="preserve"> </w:t>
      </w:r>
      <w:r w:rsidR="00C01F3A">
        <w:t>peak demand in just one month</w:t>
      </w:r>
      <w:r w:rsidR="006101CD" w:rsidRPr="00C01F3A">
        <w:t xml:space="preserve"> at </w:t>
      </w:r>
      <w:r w:rsidR="00713CE5" w:rsidRPr="00C01F3A">
        <w:t>7222 kVA in March 2013</w:t>
      </w:r>
      <w:r w:rsidR="00834A3B">
        <w:t xml:space="preserve">, </w:t>
      </w:r>
      <w:r w:rsidR="008468DD" w:rsidRPr="00C01F3A">
        <w:t xml:space="preserve">7062 </w:t>
      </w:r>
      <w:r w:rsidR="00713CE5" w:rsidRPr="00C01F3A">
        <w:t xml:space="preserve">kVA in </w:t>
      </w:r>
      <w:r w:rsidR="008468DD" w:rsidRPr="00C01F3A">
        <w:t xml:space="preserve">March </w:t>
      </w:r>
      <w:r w:rsidR="00713CE5" w:rsidRPr="00C01F3A">
        <w:t>2014 and 7423 kVA in March 2015.</w:t>
      </w:r>
    </w:p>
    <w:p w:rsidR="00713CE5" w:rsidRDefault="00C01F3A" w:rsidP="001D0E99">
      <w:r>
        <w:t xml:space="preserve">However despite the fact that for decades we have shown demand patterns that peak in a single month we have been charged for </w:t>
      </w:r>
      <w:r w:rsidR="00713CE5" w:rsidRPr="00C01F3A">
        <w:t xml:space="preserve"> </w:t>
      </w:r>
      <w:r w:rsidR="008468DD" w:rsidRPr="00C01F3A">
        <w:t xml:space="preserve">maximum contract </w:t>
      </w:r>
      <w:r w:rsidR="00713CE5" w:rsidRPr="00C01F3A">
        <w:t xml:space="preserve">demand  around near 8000 to 8080 kVA </w:t>
      </w:r>
      <w:r w:rsidR="00D66055" w:rsidRPr="00C01F3A">
        <w:t>for the last 29 months</w:t>
      </w:r>
      <w:r>
        <w:t>, although</w:t>
      </w:r>
      <w:r w:rsidR="00DC68B5" w:rsidRPr="00C01F3A">
        <w:t xml:space="preserve"> </w:t>
      </w:r>
      <w:r>
        <w:t xml:space="preserve">the </w:t>
      </w:r>
      <w:r w:rsidR="00894108" w:rsidRPr="00C01F3A">
        <w:t>Berri site</w:t>
      </w:r>
      <w:r w:rsidR="00423946" w:rsidRPr="00C01F3A">
        <w:t xml:space="preserve"> </w:t>
      </w:r>
      <w:r w:rsidR="00AB7DBD" w:rsidRPr="00C01F3A">
        <w:t xml:space="preserve">only </w:t>
      </w:r>
      <w:r w:rsidR="00423946" w:rsidRPr="00C01F3A">
        <w:t xml:space="preserve">got near that </w:t>
      </w:r>
      <w:r>
        <w:t xml:space="preserve">in three </w:t>
      </w:r>
      <w:r w:rsidR="00423946" w:rsidRPr="00C01F3A">
        <w:t xml:space="preserve">individual </w:t>
      </w:r>
      <w:r w:rsidR="00D66055" w:rsidRPr="00C01F3A">
        <w:t>months</w:t>
      </w:r>
      <w:r w:rsidR="00423946" w:rsidRPr="00C01F3A">
        <w:t xml:space="preserve"> in that time period</w:t>
      </w:r>
      <w:r w:rsidR="00D66055" w:rsidRPr="00C01F3A">
        <w:t xml:space="preserve">. In addition </w:t>
      </w:r>
      <w:r w:rsidR="00193EE5" w:rsidRPr="00C01F3A">
        <w:t>these Network</w:t>
      </w:r>
      <w:r w:rsidR="00D66055" w:rsidRPr="00C01F3A">
        <w:t xml:space="preserve"> fees have more than doubled (up 116%) in </w:t>
      </w:r>
      <w:r>
        <w:t xml:space="preserve">five </w:t>
      </w:r>
      <w:r w:rsidR="00D66055" w:rsidRPr="00C01F3A">
        <w:t>years whilst annual kWh consumption has remained largely unchanged.</w:t>
      </w:r>
    </w:p>
    <w:p w:rsidR="00C01F3A" w:rsidRDefault="00287A59" w:rsidP="001D0E99">
      <w:r>
        <w:t xml:space="preserve">In contrast, our operations just across the NSW border in Buronga (on the other side of the River Murray to Mildura) are reviewed </w:t>
      </w:r>
      <w:r w:rsidR="008027A5">
        <w:t>monthly and hence our energy costs more accurately reflect our consumption.</w:t>
      </w:r>
    </w:p>
    <w:p w:rsidR="00834A3B" w:rsidRDefault="00834A3B" w:rsidP="001D0E99">
      <w:r>
        <w:br w:type="page"/>
      </w:r>
    </w:p>
    <w:p w:rsidR="001D0E99" w:rsidRPr="009F0BB8" w:rsidRDefault="00EA7339" w:rsidP="00E50246">
      <w:pPr>
        <w:spacing w:line="240" w:lineRule="auto"/>
        <w:rPr>
          <w:b/>
          <w:color w:val="FF0000"/>
          <w:sz w:val="40"/>
        </w:rPr>
      </w:pPr>
      <w:r w:rsidRPr="009F0BB8">
        <w:rPr>
          <w:b/>
          <w:color w:val="FF0000"/>
          <w:sz w:val="36"/>
        </w:rPr>
        <w:lastRenderedPageBreak/>
        <w:t>Disproportionate c</w:t>
      </w:r>
      <w:r w:rsidR="00647D5F" w:rsidRPr="009F0BB8">
        <w:rPr>
          <w:b/>
          <w:color w:val="FF0000"/>
          <w:sz w:val="36"/>
        </w:rPr>
        <w:t>hanges in fee structures</w:t>
      </w:r>
      <w:r w:rsidRPr="009F0BB8">
        <w:rPr>
          <w:b/>
          <w:color w:val="FF0000"/>
          <w:sz w:val="36"/>
        </w:rPr>
        <w:t xml:space="preserve"> </w:t>
      </w:r>
      <w:r w:rsidR="009F0BB8" w:rsidRPr="009F0BB8">
        <w:rPr>
          <w:b/>
          <w:color w:val="FF0000"/>
          <w:sz w:val="36"/>
        </w:rPr>
        <w:br/>
      </w:r>
      <w:r w:rsidRPr="009F0BB8">
        <w:rPr>
          <w:b/>
          <w:color w:val="FF0000"/>
          <w:sz w:val="36"/>
        </w:rPr>
        <w:t>at Berri Estates Winery in South Australia</w:t>
      </w: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1" w:type="dxa"/>
          <w:right w:w="11" w:type="dxa"/>
        </w:tblCellMar>
        <w:tblLook w:val="04A0" w:firstRow="1" w:lastRow="0" w:firstColumn="1" w:lastColumn="0" w:noHBand="0" w:noVBand="1"/>
      </w:tblPr>
      <w:tblGrid>
        <w:gridCol w:w="1895"/>
        <w:gridCol w:w="1248"/>
        <w:gridCol w:w="1248"/>
        <w:gridCol w:w="1248"/>
        <w:gridCol w:w="1248"/>
        <w:gridCol w:w="1248"/>
        <w:gridCol w:w="1248"/>
      </w:tblGrid>
      <w:tr w:rsidR="00D80009" w:rsidRPr="00D80009" w:rsidTr="006751AD">
        <w:trPr>
          <w:trHeight w:val="279"/>
        </w:trPr>
        <w:tc>
          <w:tcPr>
            <w:tcW w:w="1895" w:type="dxa"/>
            <w:noWrap/>
            <w:vAlign w:val="center"/>
            <w:hideMark/>
          </w:tcPr>
          <w:p w:rsidR="00D80009" w:rsidRPr="00D80009" w:rsidRDefault="00D80009" w:rsidP="00D80009">
            <w:pPr>
              <w:spacing w:after="0" w:line="240" w:lineRule="auto"/>
              <w:rPr>
                <w:b/>
                <w:bCs/>
                <w:sz w:val="16"/>
                <w:szCs w:val="16"/>
              </w:rPr>
            </w:pPr>
            <w:r w:rsidRPr="00D80009">
              <w:rPr>
                <w:b/>
                <w:bCs/>
                <w:sz w:val="16"/>
                <w:szCs w:val="16"/>
              </w:rPr>
              <w:t>Annual Expense</w:t>
            </w:r>
          </w:p>
        </w:tc>
        <w:tc>
          <w:tcPr>
            <w:tcW w:w="1248" w:type="dxa"/>
            <w:noWrap/>
            <w:vAlign w:val="center"/>
            <w:hideMark/>
          </w:tcPr>
          <w:p w:rsidR="00D80009" w:rsidRPr="00D80009" w:rsidRDefault="00D80009" w:rsidP="00D80009">
            <w:pPr>
              <w:spacing w:after="0" w:line="240" w:lineRule="auto"/>
              <w:jc w:val="center"/>
              <w:rPr>
                <w:b/>
                <w:bCs/>
                <w:sz w:val="16"/>
                <w:szCs w:val="16"/>
              </w:rPr>
            </w:pPr>
            <w:r w:rsidRPr="00D80009">
              <w:rPr>
                <w:b/>
                <w:bCs/>
                <w:sz w:val="16"/>
                <w:szCs w:val="16"/>
              </w:rPr>
              <w:t>F2010</w:t>
            </w:r>
          </w:p>
        </w:tc>
        <w:tc>
          <w:tcPr>
            <w:tcW w:w="1248" w:type="dxa"/>
            <w:noWrap/>
            <w:vAlign w:val="center"/>
            <w:hideMark/>
          </w:tcPr>
          <w:p w:rsidR="00D80009" w:rsidRPr="00D80009" w:rsidRDefault="00D80009" w:rsidP="00D80009">
            <w:pPr>
              <w:spacing w:after="0" w:line="240" w:lineRule="auto"/>
              <w:jc w:val="center"/>
              <w:rPr>
                <w:b/>
                <w:bCs/>
                <w:sz w:val="16"/>
                <w:szCs w:val="16"/>
              </w:rPr>
            </w:pPr>
            <w:r w:rsidRPr="00D80009">
              <w:rPr>
                <w:b/>
                <w:bCs/>
                <w:sz w:val="16"/>
                <w:szCs w:val="16"/>
              </w:rPr>
              <w:t>F2011</w:t>
            </w:r>
          </w:p>
        </w:tc>
        <w:tc>
          <w:tcPr>
            <w:tcW w:w="1248" w:type="dxa"/>
            <w:noWrap/>
            <w:vAlign w:val="center"/>
            <w:hideMark/>
          </w:tcPr>
          <w:p w:rsidR="00D80009" w:rsidRPr="00D80009" w:rsidRDefault="00D80009" w:rsidP="00D80009">
            <w:pPr>
              <w:spacing w:after="0" w:line="240" w:lineRule="auto"/>
              <w:jc w:val="center"/>
              <w:rPr>
                <w:b/>
                <w:bCs/>
                <w:sz w:val="16"/>
                <w:szCs w:val="16"/>
              </w:rPr>
            </w:pPr>
            <w:r w:rsidRPr="00D80009">
              <w:rPr>
                <w:b/>
                <w:bCs/>
                <w:sz w:val="16"/>
                <w:szCs w:val="16"/>
              </w:rPr>
              <w:t>F2012</w:t>
            </w:r>
          </w:p>
        </w:tc>
        <w:tc>
          <w:tcPr>
            <w:tcW w:w="1248" w:type="dxa"/>
            <w:noWrap/>
            <w:vAlign w:val="center"/>
            <w:hideMark/>
          </w:tcPr>
          <w:p w:rsidR="00D80009" w:rsidRPr="00D80009" w:rsidRDefault="00D80009" w:rsidP="00D80009">
            <w:pPr>
              <w:spacing w:after="0" w:line="240" w:lineRule="auto"/>
              <w:jc w:val="center"/>
              <w:rPr>
                <w:b/>
                <w:bCs/>
                <w:sz w:val="16"/>
                <w:szCs w:val="16"/>
              </w:rPr>
            </w:pPr>
            <w:r w:rsidRPr="00D80009">
              <w:rPr>
                <w:b/>
                <w:bCs/>
                <w:sz w:val="16"/>
                <w:szCs w:val="16"/>
              </w:rPr>
              <w:t>F2013</w:t>
            </w:r>
          </w:p>
        </w:tc>
        <w:tc>
          <w:tcPr>
            <w:tcW w:w="1248" w:type="dxa"/>
            <w:noWrap/>
            <w:vAlign w:val="center"/>
            <w:hideMark/>
          </w:tcPr>
          <w:p w:rsidR="00D80009" w:rsidRPr="00D80009" w:rsidRDefault="00D80009" w:rsidP="00D80009">
            <w:pPr>
              <w:spacing w:after="0" w:line="240" w:lineRule="auto"/>
              <w:jc w:val="center"/>
              <w:rPr>
                <w:b/>
                <w:bCs/>
                <w:sz w:val="16"/>
                <w:szCs w:val="16"/>
              </w:rPr>
            </w:pPr>
            <w:r w:rsidRPr="00D80009">
              <w:rPr>
                <w:b/>
                <w:bCs/>
                <w:sz w:val="16"/>
                <w:szCs w:val="16"/>
              </w:rPr>
              <w:t>F2014</w:t>
            </w:r>
          </w:p>
        </w:tc>
        <w:tc>
          <w:tcPr>
            <w:tcW w:w="1248" w:type="dxa"/>
            <w:noWrap/>
            <w:vAlign w:val="center"/>
            <w:hideMark/>
          </w:tcPr>
          <w:p w:rsidR="00D80009" w:rsidRPr="00D80009" w:rsidRDefault="00D80009" w:rsidP="00D80009">
            <w:pPr>
              <w:spacing w:after="0" w:line="240" w:lineRule="auto"/>
              <w:jc w:val="center"/>
              <w:rPr>
                <w:b/>
                <w:bCs/>
                <w:sz w:val="16"/>
                <w:szCs w:val="16"/>
              </w:rPr>
            </w:pPr>
            <w:r w:rsidRPr="00D80009">
              <w:rPr>
                <w:b/>
                <w:bCs/>
                <w:sz w:val="16"/>
                <w:szCs w:val="16"/>
              </w:rPr>
              <w:t>F2015</w:t>
            </w:r>
          </w:p>
        </w:tc>
      </w:tr>
      <w:tr w:rsidR="00D80009" w:rsidRPr="00D80009" w:rsidTr="006751AD">
        <w:trPr>
          <w:trHeight w:val="279"/>
        </w:trPr>
        <w:tc>
          <w:tcPr>
            <w:tcW w:w="1895" w:type="dxa"/>
            <w:noWrap/>
            <w:vAlign w:val="center"/>
            <w:hideMark/>
          </w:tcPr>
          <w:p w:rsidR="00D80009" w:rsidRPr="00D80009" w:rsidRDefault="00D80009" w:rsidP="00D80009">
            <w:pPr>
              <w:spacing w:after="0" w:line="240" w:lineRule="auto"/>
              <w:rPr>
                <w:sz w:val="16"/>
                <w:szCs w:val="16"/>
              </w:rPr>
            </w:pPr>
            <w:r w:rsidRPr="00D80009">
              <w:rPr>
                <w:sz w:val="16"/>
                <w:szCs w:val="16"/>
              </w:rPr>
              <w:t xml:space="preserve"> Network fees $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922,594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1,116,979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1,369,768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1,775,253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1,793,434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1,982,656 </w:t>
            </w:r>
          </w:p>
        </w:tc>
      </w:tr>
      <w:tr w:rsidR="00D80009" w:rsidRPr="00D80009" w:rsidTr="006751AD">
        <w:trPr>
          <w:trHeight w:val="279"/>
        </w:trPr>
        <w:tc>
          <w:tcPr>
            <w:tcW w:w="1895" w:type="dxa"/>
            <w:noWrap/>
            <w:vAlign w:val="center"/>
            <w:hideMark/>
          </w:tcPr>
          <w:p w:rsidR="00D80009" w:rsidRPr="00D80009" w:rsidRDefault="00D80009" w:rsidP="00D80009">
            <w:pPr>
              <w:spacing w:after="0" w:line="240" w:lineRule="auto"/>
              <w:rPr>
                <w:sz w:val="16"/>
                <w:szCs w:val="16"/>
              </w:rPr>
            </w:pPr>
            <w:r w:rsidRPr="00D80009">
              <w:rPr>
                <w:sz w:val="16"/>
                <w:szCs w:val="16"/>
              </w:rPr>
              <w:t xml:space="preserve"> Energy used $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1,278,662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1,302,485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1,441,730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1,619,474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1,599,606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1,441,835 </w:t>
            </w:r>
          </w:p>
        </w:tc>
      </w:tr>
      <w:tr w:rsidR="00D80009" w:rsidRPr="00D80009" w:rsidTr="006751AD">
        <w:trPr>
          <w:trHeight w:val="279"/>
        </w:trPr>
        <w:tc>
          <w:tcPr>
            <w:tcW w:w="1895" w:type="dxa"/>
            <w:noWrap/>
            <w:vAlign w:val="center"/>
            <w:hideMark/>
          </w:tcPr>
          <w:p w:rsidR="00D80009" w:rsidRPr="00D80009" w:rsidRDefault="00D80009" w:rsidP="00D80009">
            <w:pPr>
              <w:spacing w:after="0" w:line="240" w:lineRule="auto"/>
              <w:rPr>
                <w:sz w:val="16"/>
                <w:szCs w:val="16"/>
              </w:rPr>
            </w:pPr>
            <w:r w:rsidRPr="00D80009">
              <w:rPr>
                <w:sz w:val="16"/>
                <w:szCs w:val="16"/>
              </w:rPr>
              <w:t xml:space="preserve"> Market Participation $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100,366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208,969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125,576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30,059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31,725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80,256 </w:t>
            </w:r>
          </w:p>
        </w:tc>
      </w:tr>
      <w:tr w:rsidR="00D80009" w:rsidRPr="00D80009" w:rsidTr="006751AD">
        <w:trPr>
          <w:trHeight w:val="279"/>
        </w:trPr>
        <w:tc>
          <w:tcPr>
            <w:tcW w:w="1895" w:type="dxa"/>
            <w:noWrap/>
            <w:vAlign w:val="center"/>
            <w:hideMark/>
          </w:tcPr>
          <w:p w:rsidR="00D80009" w:rsidRPr="00D80009" w:rsidRDefault="00D80009" w:rsidP="00D80009">
            <w:pPr>
              <w:spacing w:after="0" w:line="240" w:lineRule="auto"/>
              <w:rPr>
                <w:sz w:val="16"/>
                <w:szCs w:val="16"/>
              </w:rPr>
            </w:pPr>
            <w:r w:rsidRPr="00D80009">
              <w:rPr>
                <w:sz w:val="16"/>
                <w:szCs w:val="16"/>
              </w:rPr>
              <w:t xml:space="preserve"> Renewable Fees $ </w:t>
            </w:r>
          </w:p>
        </w:tc>
        <w:tc>
          <w:tcPr>
            <w:tcW w:w="1248" w:type="dxa"/>
            <w:noWrap/>
            <w:vAlign w:val="center"/>
          </w:tcPr>
          <w:p w:rsidR="00D80009" w:rsidRPr="00D80009" w:rsidRDefault="00D80009" w:rsidP="00D80009">
            <w:pPr>
              <w:spacing w:after="0" w:line="240" w:lineRule="auto"/>
              <w:jc w:val="right"/>
              <w:rPr>
                <w:rFonts w:cs="Arial"/>
                <w:sz w:val="16"/>
                <w:szCs w:val="16"/>
              </w:rPr>
            </w:pPr>
          </w:p>
        </w:tc>
        <w:tc>
          <w:tcPr>
            <w:tcW w:w="1248" w:type="dxa"/>
            <w:noWrap/>
            <w:vAlign w:val="center"/>
          </w:tcPr>
          <w:p w:rsidR="00D80009" w:rsidRPr="00D80009" w:rsidRDefault="00D80009" w:rsidP="00D80009">
            <w:pPr>
              <w:spacing w:after="0" w:line="240" w:lineRule="auto"/>
              <w:jc w:val="right"/>
              <w:rPr>
                <w:rFonts w:cs="Arial"/>
                <w:sz w:val="16"/>
                <w:szCs w:val="16"/>
              </w:rPr>
            </w:pP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184,968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247,559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246,651 </w:t>
            </w:r>
          </w:p>
        </w:tc>
        <w:tc>
          <w:tcPr>
            <w:tcW w:w="1248" w:type="dxa"/>
            <w:noWrap/>
            <w:vAlign w:val="center"/>
            <w:hideMark/>
          </w:tcPr>
          <w:p w:rsidR="00D80009" w:rsidRPr="00D80009" w:rsidRDefault="00D80009" w:rsidP="00D80009">
            <w:pPr>
              <w:spacing w:after="0" w:line="240" w:lineRule="auto"/>
              <w:jc w:val="right"/>
              <w:rPr>
                <w:rFonts w:cs="Arial"/>
                <w:sz w:val="16"/>
                <w:szCs w:val="16"/>
              </w:rPr>
            </w:pPr>
            <w:r w:rsidRPr="00D80009">
              <w:rPr>
                <w:rFonts w:cs="Arial"/>
                <w:sz w:val="16"/>
                <w:szCs w:val="16"/>
              </w:rPr>
              <w:t xml:space="preserve">228,102 </w:t>
            </w:r>
          </w:p>
        </w:tc>
      </w:tr>
      <w:tr w:rsidR="00D80009" w:rsidRPr="00D80009" w:rsidTr="006751AD">
        <w:trPr>
          <w:trHeight w:val="279"/>
        </w:trPr>
        <w:tc>
          <w:tcPr>
            <w:tcW w:w="1895" w:type="dxa"/>
            <w:noWrap/>
            <w:vAlign w:val="center"/>
            <w:hideMark/>
          </w:tcPr>
          <w:p w:rsidR="00D80009" w:rsidRPr="00D80009" w:rsidRDefault="007F35B4" w:rsidP="00D80009">
            <w:pPr>
              <w:spacing w:after="0" w:line="240" w:lineRule="auto"/>
              <w:rPr>
                <w:sz w:val="16"/>
                <w:szCs w:val="16"/>
              </w:rPr>
            </w:pPr>
            <w:r>
              <w:rPr>
                <w:sz w:val="16"/>
                <w:szCs w:val="16"/>
              </w:rPr>
              <w:t xml:space="preserve"> </w:t>
            </w:r>
            <w:r w:rsidR="00D80009" w:rsidRPr="00D80009">
              <w:rPr>
                <w:sz w:val="16"/>
                <w:szCs w:val="16"/>
              </w:rPr>
              <w:t xml:space="preserve">Demand </w:t>
            </w:r>
            <w:proofErr w:type="spellStart"/>
            <w:r w:rsidR="00D80009" w:rsidRPr="00D80009">
              <w:rPr>
                <w:sz w:val="16"/>
                <w:szCs w:val="16"/>
              </w:rPr>
              <w:t>kVa</w:t>
            </w:r>
            <w:proofErr w:type="spellEnd"/>
          </w:p>
        </w:tc>
        <w:tc>
          <w:tcPr>
            <w:tcW w:w="1248" w:type="dxa"/>
            <w:noWrap/>
            <w:vAlign w:val="center"/>
          </w:tcPr>
          <w:p w:rsidR="00D80009" w:rsidRPr="00D80009" w:rsidRDefault="00D80009" w:rsidP="00D80009">
            <w:pPr>
              <w:spacing w:after="0" w:line="240" w:lineRule="auto"/>
              <w:jc w:val="right"/>
              <w:rPr>
                <w:rFonts w:cs="Arial"/>
                <w:sz w:val="16"/>
                <w:szCs w:val="16"/>
              </w:rPr>
            </w:pPr>
          </w:p>
        </w:tc>
        <w:tc>
          <w:tcPr>
            <w:tcW w:w="1248" w:type="dxa"/>
            <w:noWrap/>
            <w:vAlign w:val="center"/>
          </w:tcPr>
          <w:p w:rsidR="00D80009" w:rsidRPr="00D80009" w:rsidRDefault="00D80009" w:rsidP="00D80009">
            <w:pPr>
              <w:spacing w:after="0" w:line="240" w:lineRule="auto"/>
              <w:jc w:val="right"/>
              <w:rPr>
                <w:rFonts w:cs="Arial"/>
                <w:sz w:val="16"/>
                <w:szCs w:val="16"/>
              </w:rPr>
            </w:pPr>
          </w:p>
        </w:tc>
        <w:tc>
          <w:tcPr>
            <w:tcW w:w="1248" w:type="dxa"/>
            <w:noWrap/>
            <w:vAlign w:val="center"/>
          </w:tcPr>
          <w:p w:rsidR="00D80009" w:rsidRPr="00D80009" w:rsidRDefault="00D80009" w:rsidP="00D80009">
            <w:pPr>
              <w:spacing w:after="0" w:line="240" w:lineRule="auto"/>
              <w:jc w:val="right"/>
              <w:rPr>
                <w:rFonts w:cs="Arial"/>
                <w:sz w:val="16"/>
                <w:szCs w:val="16"/>
              </w:rPr>
            </w:pPr>
          </w:p>
        </w:tc>
        <w:tc>
          <w:tcPr>
            <w:tcW w:w="1248" w:type="dxa"/>
            <w:noWrap/>
            <w:vAlign w:val="center"/>
          </w:tcPr>
          <w:p w:rsidR="00D80009" w:rsidRPr="00D80009" w:rsidRDefault="00D80009" w:rsidP="00D80009">
            <w:pPr>
              <w:spacing w:after="0" w:line="240" w:lineRule="auto"/>
              <w:jc w:val="right"/>
              <w:rPr>
                <w:rFonts w:cs="Arial"/>
                <w:sz w:val="16"/>
                <w:szCs w:val="16"/>
              </w:rPr>
            </w:pPr>
          </w:p>
        </w:tc>
        <w:tc>
          <w:tcPr>
            <w:tcW w:w="1248" w:type="dxa"/>
            <w:noWrap/>
            <w:vAlign w:val="center"/>
          </w:tcPr>
          <w:p w:rsidR="00D80009" w:rsidRPr="00D80009" w:rsidRDefault="00D80009" w:rsidP="00D80009">
            <w:pPr>
              <w:spacing w:after="0" w:line="240" w:lineRule="auto"/>
              <w:jc w:val="right"/>
              <w:rPr>
                <w:rFonts w:cs="Arial"/>
                <w:sz w:val="16"/>
                <w:szCs w:val="16"/>
              </w:rPr>
            </w:pPr>
          </w:p>
        </w:tc>
        <w:tc>
          <w:tcPr>
            <w:tcW w:w="1248" w:type="dxa"/>
            <w:noWrap/>
            <w:vAlign w:val="center"/>
          </w:tcPr>
          <w:p w:rsidR="00D80009" w:rsidRPr="00D80009" w:rsidRDefault="00D80009" w:rsidP="00D80009">
            <w:pPr>
              <w:spacing w:after="0" w:line="240" w:lineRule="auto"/>
              <w:jc w:val="right"/>
              <w:rPr>
                <w:rFonts w:cs="Arial"/>
                <w:sz w:val="16"/>
                <w:szCs w:val="16"/>
              </w:rPr>
            </w:pPr>
          </w:p>
        </w:tc>
      </w:tr>
      <w:tr w:rsidR="00D80009" w:rsidRPr="00D80009" w:rsidTr="006751AD">
        <w:trPr>
          <w:trHeight w:val="279"/>
        </w:trPr>
        <w:tc>
          <w:tcPr>
            <w:tcW w:w="1895" w:type="dxa"/>
            <w:noWrap/>
            <w:vAlign w:val="center"/>
            <w:hideMark/>
          </w:tcPr>
          <w:p w:rsidR="00D80009" w:rsidRPr="00D80009" w:rsidRDefault="00D80009" w:rsidP="00D80009">
            <w:pPr>
              <w:spacing w:after="0" w:line="240" w:lineRule="auto"/>
              <w:jc w:val="right"/>
              <w:rPr>
                <w:b/>
                <w:bCs/>
                <w:sz w:val="16"/>
                <w:szCs w:val="16"/>
              </w:rPr>
            </w:pPr>
            <w:r w:rsidRPr="00D80009">
              <w:rPr>
                <w:b/>
                <w:bCs/>
                <w:sz w:val="16"/>
                <w:szCs w:val="16"/>
              </w:rPr>
              <w:t>TOTAL $</w:t>
            </w:r>
          </w:p>
        </w:tc>
        <w:tc>
          <w:tcPr>
            <w:tcW w:w="1248" w:type="dxa"/>
            <w:noWrap/>
            <w:vAlign w:val="center"/>
          </w:tcPr>
          <w:p w:rsidR="00D80009" w:rsidRPr="00D80009" w:rsidRDefault="00D80009" w:rsidP="00D80009">
            <w:pPr>
              <w:spacing w:after="0" w:line="240" w:lineRule="auto"/>
              <w:jc w:val="right"/>
              <w:rPr>
                <w:rFonts w:cs="Arial"/>
                <w:b/>
                <w:bCs/>
                <w:sz w:val="16"/>
                <w:szCs w:val="16"/>
              </w:rPr>
            </w:pPr>
            <w:r w:rsidRPr="00D80009">
              <w:rPr>
                <w:rFonts w:cs="Arial"/>
                <w:b/>
                <w:bCs/>
                <w:sz w:val="16"/>
                <w:szCs w:val="16"/>
              </w:rPr>
              <w:t xml:space="preserve">2,301,623 </w:t>
            </w:r>
          </w:p>
        </w:tc>
        <w:tc>
          <w:tcPr>
            <w:tcW w:w="1248" w:type="dxa"/>
            <w:noWrap/>
            <w:vAlign w:val="center"/>
          </w:tcPr>
          <w:p w:rsidR="00D80009" w:rsidRPr="00D80009" w:rsidRDefault="00D80009" w:rsidP="00D80009">
            <w:pPr>
              <w:spacing w:after="0" w:line="240" w:lineRule="auto"/>
              <w:jc w:val="right"/>
              <w:rPr>
                <w:rFonts w:cs="Arial"/>
                <w:b/>
                <w:bCs/>
                <w:sz w:val="16"/>
                <w:szCs w:val="16"/>
              </w:rPr>
            </w:pPr>
            <w:r w:rsidRPr="00D80009">
              <w:rPr>
                <w:rFonts w:cs="Arial"/>
                <w:b/>
                <w:bCs/>
                <w:sz w:val="16"/>
                <w:szCs w:val="16"/>
              </w:rPr>
              <w:t xml:space="preserve">2,628,432 </w:t>
            </w:r>
          </w:p>
        </w:tc>
        <w:tc>
          <w:tcPr>
            <w:tcW w:w="1248" w:type="dxa"/>
            <w:noWrap/>
            <w:vAlign w:val="center"/>
          </w:tcPr>
          <w:p w:rsidR="00D80009" w:rsidRPr="00D80009" w:rsidRDefault="00D80009" w:rsidP="00D80009">
            <w:pPr>
              <w:spacing w:after="0" w:line="240" w:lineRule="auto"/>
              <w:jc w:val="right"/>
              <w:rPr>
                <w:rFonts w:cs="Arial"/>
                <w:b/>
                <w:bCs/>
                <w:sz w:val="16"/>
                <w:szCs w:val="16"/>
              </w:rPr>
            </w:pPr>
            <w:r w:rsidRPr="00D80009">
              <w:rPr>
                <w:rFonts w:cs="Arial"/>
                <w:b/>
                <w:bCs/>
                <w:sz w:val="16"/>
                <w:szCs w:val="16"/>
              </w:rPr>
              <w:t xml:space="preserve">3,122,041 </w:t>
            </w:r>
          </w:p>
        </w:tc>
        <w:tc>
          <w:tcPr>
            <w:tcW w:w="1248" w:type="dxa"/>
            <w:noWrap/>
            <w:vAlign w:val="center"/>
          </w:tcPr>
          <w:p w:rsidR="00D80009" w:rsidRPr="00D80009" w:rsidRDefault="00D80009" w:rsidP="00D80009">
            <w:pPr>
              <w:spacing w:after="0" w:line="240" w:lineRule="auto"/>
              <w:jc w:val="right"/>
              <w:rPr>
                <w:rFonts w:cs="Arial"/>
                <w:b/>
                <w:bCs/>
                <w:sz w:val="16"/>
                <w:szCs w:val="16"/>
              </w:rPr>
            </w:pPr>
            <w:r w:rsidRPr="00D80009">
              <w:rPr>
                <w:rFonts w:cs="Arial"/>
                <w:b/>
                <w:bCs/>
                <w:sz w:val="16"/>
                <w:szCs w:val="16"/>
              </w:rPr>
              <w:t xml:space="preserve">3,672,345 </w:t>
            </w:r>
          </w:p>
        </w:tc>
        <w:tc>
          <w:tcPr>
            <w:tcW w:w="1248" w:type="dxa"/>
            <w:noWrap/>
            <w:vAlign w:val="center"/>
          </w:tcPr>
          <w:p w:rsidR="00D80009" w:rsidRPr="00D80009" w:rsidRDefault="00D80009" w:rsidP="00D80009">
            <w:pPr>
              <w:spacing w:after="0" w:line="240" w:lineRule="auto"/>
              <w:jc w:val="right"/>
              <w:rPr>
                <w:rFonts w:cs="Arial"/>
                <w:b/>
                <w:bCs/>
                <w:sz w:val="16"/>
                <w:szCs w:val="16"/>
              </w:rPr>
            </w:pPr>
            <w:r w:rsidRPr="00D80009">
              <w:rPr>
                <w:rFonts w:cs="Arial"/>
                <w:b/>
                <w:bCs/>
                <w:sz w:val="16"/>
                <w:szCs w:val="16"/>
              </w:rPr>
              <w:t xml:space="preserve">3,671,416 </w:t>
            </w:r>
          </w:p>
        </w:tc>
        <w:tc>
          <w:tcPr>
            <w:tcW w:w="1248" w:type="dxa"/>
            <w:noWrap/>
            <w:vAlign w:val="center"/>
          </w:tcPr>
          <w:p w:rsidR="00D80009" w:rsidRPr="00D80009" w:rsidRDefault="00D80009" w:rsidP="00D80009">
            <w:pPr>
              <w:spacing w:after="0" w:line="240" w:lineRule="auto"/>
              <w:jc w:val="right"/>
              <w:rPr>
                <w:rFonts w:cs="Arial"/>
                <w:b/>
                <w:bCs/>
                <w:sz w:val="16"/>
                <w:szCs w:val="16"/>
              </w:rPr>
            </w:pPr>
            <w:r w:rsidRPr="00D80009">
              <w:rPr>
                <w:rFonts w:cs="Arial"/>
                <w:b/>
                <w:bCs/>
                <w:sz w:val="16"/>
                <w:szCs w:val="16"/>
              </w:rPr>
              <w:t xml:space="preserve">3,732,848 </w:t>
            </w:r>
          </w:p>
        </w:tc>
      </w:tr>
    </w:tbl>
    <w:p w:rsidR="001D0E99" w:rsidRDefault="001D0E99" w:rsidP="001D0E99"/>
    <w:p w:rsidR="001D0E99" w:rsidRDefault="003917E2" w:rsidP="007F35B4">
      <w:pPr>
        <w:jc w:val="center"/>
      </w:pPr>
      <w:r>
        <w:rPr>
          <w:noProof/>
        </w:rPr>
        <w:drawing>
          <wp:inline distT="0" distB="0" distL="0" distR="0" wp14:anchorId="24F94ED1" wp14:editId="0B517BD9">
            <wp:extent cx="5893349" cy="3248025"/>
            <wp:effectExtent l="19050" t="19050" r="1270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2538" cy="3247578"/>
                    </a:xfrm>
                    <a:prstGeom prst="rect">
                      <a:avLst/>
                    </a:prstGeom>
                    <a:noFill/>
                    <a:ln>
                      <a:solidFill>
                        <a:schemeClr val="accent1"/>
                      </a:solidFill>
                    </a:ln>
                  </pic:spPr>
                </pic:pic>
              </a:graphicData>
            </a:graphic>
          </wp:inline>
        </w:drawing>
      </w:r>
    </w:p>
    <w:p w:rsidR="001D0E99" w:rsidRDefault="003917E2" w:rsidP="007F35B4">
      <w:pPr>
        <w:jc w:val="center"/>
      </w:pPr>
      <w:r>
        <w:rPr>
          <w:noProof/>
        </w:rPr>
        <w:drawing>
          <wp:inline distT="0" distB="0" distL="0" distR="0" wp14:anchorId="5008F817" wp14:editId="03227668">
            <wp:extent cx="5895975" cy="1806849"/>
            <wp:effectExtent l="19050" t="19050" r="9525"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9811" cy="1808025"/>
                    </a:xfrm>
                    <a:prstGeom prst="rect">
                      <a:avLst/>
                    </a:prstGeom>
                    <a:noFill/>
                    <a:ln>
                      <a:solidFill>
                        <a:schemeClr val="accent1"/>
                      </a:solidFill>
                    </a:ln>
                  </pic:spPr>
                </pic:pic>
              </a:graphicData>
            </a:graphic>
          </wp:inline>
        </w:drawing>
      </w:r>
    </w:p>
    <w:p w:rsidR="001D0E99" w:rsidRDefault="001D0E99" w:rsidP="001D0E99"/>
    <w:p w:rsidR="009F0BB8" w:rsidRDefault="009F0BB8" w:rsidP="001D0E99">
      <w:r>
        <w:br w:type="page"/>
      </w:r>
    </w:p>
    <w:p w:rsidR="001D0E99" w:rsidRPr="001D0E99" w:rsidRDefault="001D0E99" w:rsidP="001D0E99">
      <w:pPr>
        <w:pStyle w:val="Title"/>
        <w:rPr>
          <w:rStyle w:val="Strong"/>
          <w:b/>
          <w:bCs/>
          <w:sz w:val="40"/>
        </w:rPr>
      </w:pPr>
      <w:r>
        <w:rPr>
          <w:rStyle w:val="Strong"/>
          <w:b/>
          <w:bCs/>
          <w:sz w:val="40"/>
        </w:rPr>
        <w:lastRenderedPageBreak/>
        <w:t>Discussion</w:t>
      </w:r>
    </w:p>
    <w:p w:rsidR="00287A59" w:rsidRDefault="00287A59" w:rsidP="00287A59">
      <w:pPr>
        <w:pStyle w:val="Subheading2"/>
      </w:pPr>
      <w:r w:rsidRPr="00287A59">
        <w:t>AER determination implemented in fu</w:t>
      </w:r>
      <w:r>
        <w:t>ll</w:t>
      </w:r>
    </w:p>
    <w:p w:rsidR="00287A59" w:rsidRDefault="00287A59" w:rsidP="00834A3B">
      <w:pPr>
        <w:spacing w:after="140"/>
      </w:pPr>
      <w:r>
        <w:t xml:space="preserve">We believe that the AER determination is the absolute minimum reduction we should see in the revenue caps for SA Power Networks. We believe that the determination is a fair and adequate review of the proposal and will allow SA Power Networks to continue to provide its highly reliable service at a lower cost than was sought. </w:t>
      </w:r>
    </w:p>
    <w:p w:rsidR="00287A59" w:rsidRDefault="00287A59" w:rsidP="00834A3B">
      <w:pPr>
        <w:spacing w:after="140"/>
      </w:pPr>
      <w:r>
        <w:t xml:space="preserve">The determination highlighted significant information that was not disclosed in the Regulatory Proposal and not available to customers such as joint programs that are already in progress with the state government. The determination also recognises the view of many consumers that distribution charges were too high and were seeking some relief from the previous price shocks. </w:t>
      </w:r>
    </w:p>
    <w:p w:rsidR="00287A59" w:rsidRDefault="00287A59" w:rsidP="00287A59">
      <w:pPr>
        <w:pStyle w:val="Subheading2"/>
      </w:pPr>
      <w:r>
        <w:t xml:space="preserve">Operating </w:t>
      </w:r>
      <w:r w:rsidRPr="00287A59">
        <w:t>Expenditure</w:t>
      </w:r>
    </w:p>
    <w:p w:rsidR="00287A59" w:rsidRDefault="00287A59" w:rsidP="00834A3B">
      <w:pPr>
        <w:spacing w:after="140"/>
      </w:pPr>
      <w:r>
        <w:t>We disagree that the base year selected for efficient operating expenditure is 2013/2014. The 2010/2015 Regulatory proposal was one of rapidly escalating operating costs and far exceeds in real terms the operating costs from the previous regulatory periods. We believe that further reductions should occur if the base year for efficient operating expenditure was selected from a regulatory period prior to 2010 and adjusted by CPI.</w:t>
      </w:r>
    </w:p>
    <w:p w:rsidR="00287A59" w:rsidRDefault="00287A59" w:rsidP="00287A59">
      <w:pPr>
        <w:pStyle w:val="Subheading2"/>
      </w:pPr>
      <w:r>
        <w:t>Basic Business Principles</w:t>
      </w:r>
    </w:p>
    <w:p w:rsidR="00287A59" w:rsidRDefault="00287A59" w:rsidP="00834A3B">
      <w:pPr>
        <w:spacing w:after="140" w:line="264" w:lineRule="auto"/>
      </w:pPr>
      <w:r>
        <w:t xml:space="preserve">SA Power Networks is faced with a climate of static or falling demand. The optimistic demand forecasts of the 2010/2015 which saw significant increases in revenue allowances did not eventuate however we saw no corresponding revenue returned to customers. </w:t>
      </w:r>
    </w:p>
    <w:p w:rsidR="00287A59" w:rsidRDefault="00287A59" w:rsidP="00834A3B">
      <w:pPr>
        <w:spacing w:after="140" w:line="264" w:lineRule="auto"/>
      </w:pPr>
      <w:r>
        <w:t xml:space="preserve">With the eminent closure of General Motors Holden’s Salisbury operation and with it, many suppliers, South Australia’s depressing economic forecast, saturation of the residential air-conditioning market and potentially more downside to electricity demand still to come as the many homeowners who have solar power move to take advantage of the growing opportunity to store their own electricity.   </w:t>
      </w:r>
    </w:p>
    <w:p w:rsidR="00287A59" w:rsidRDefault="00287A59" w:rsidP="00834A3B">
      <w:pPr>
        <w:spacing w:after="140" w:line="264" w:lineRule="auto"/>
      </w:pPr>
      <w:r>
        <w:t>In most other businesses during a time of static or falling demand the business seeks ways to improve productivity, reduce costs and only spend on essential capital. We do not see these basic business principles being applied either within the SA Power Networks Regulatory Proposal and the AER determination In fact we will see SA Power Networks productivity decline. We suggest that even further revenue reductions could occur in the Operating and Capital Budgets.</w:t>
      </w:r>
    </w:p>
    <w:p w:rsidR="00287A59" w:rsidRDefault="00287A59" w:rsidP="00287A59">
      <w:pPr>
        <w:pStyle w:val="Subheading2"/>
      </w:pPr>
      <w:r>
        <w:t>Regulated Asset Base</w:t>
      </w:r>
    </w:p>
    <w:p w:rsidR="00287A59" w:rsidRDefault="00287A59" w:rsidP="00287A59">
      <w:r>
        <w:t>In this proposal the Regulated Asset Base continues to increase above inflation in an environment of falling demand. And whilst the AER’s determination sees a reduction in capital expenditure to that proposed we do not see the justification for a real continual increase in the Regulated Asset Base.</w:t>
      </w:r>
    </w:p>
    <w:p w:rsidR="00287A59" w:rsidRDefault="00287A59" w:rsidP="00287A59">
      <w:pPr>
        <w:pStyle w:val="Subheading2"/>
      </w:pPr>
      <w:r>
        <w:t>Sharing the gains evenly</w:t>
      </w:r>
    </w:p>
    <w:p w:rsidR="001D0E99" w:rsidRDefault="00287A59" w:rsidP="001D0E99">
      <w:r>
        <w:t xml:space="preserve">Our businesses have suffered significantly with unsustainable power price increases over the 2010/2015 regulatory period. We should all now share the gains evenly. </w:t>
      </w:r>
    </w:p>
    <w:p w:rsidR="008027A5" w:rsidRPr="001D0E99" w:rsidRDefault="008027A5" w:rsidP="008027A5">
      <w:pPr>
        <w:pStyle w:val="Title"/>
        <w:rPr>
          <w:rStyle w:val="Strong"/>
          <w:b/>
          <w:bCs/>
          <w:sz w:val="40"/>
        </w:rPr>
      </w:pPr>
      <w:r>
        <w:rPr>
          <w:rStyle w:val="Strong"/>
          <w:b/>
          <w:bCs/>
          <w:sz w:val="40"/>
        </w:rPr>
        <w:lastRenderedPageBreak/>
        <w:t>Conclusion</w:t>
      </w:r>
    </w:p>
    <w:p w:rsidR="008027A5" w:rsidRDefault="008027A5" w:rsidP="001D0E99">
      <w:r w:rsidRPr="008027A5">
        <w:t xml:space="preserve">Whilst we support the AER’s determination on the 2015/2020 Regulatory Proposal by SA Power Networks we believe that even further reductions are possible in both Operating Expenditure and Capital Expenditure without reducing the current service provided. </w:t>
      </w:r>
    </w:p>
    <w:p w:rsidR="008027A5" w:rsidRDefault="008027A5" w:rsidP="001D0E99">
      <w:r>
        <w:t>We also would suggest the regulator examine why SA Power Networks cannot review consumption loads on a more regular basis, given that interstate network operators can accommodate this.</w:t>
      </w:r>
    </w:p>
    <w:p w:rsidR="0097765A" w:rsidRDefault="008027A5" w:rsidP="001D0E99">
      <w:r w:rsidRPr="008027A5">
        <w:t>We look forward to a decision that truly takes into account the long term interests of customers with the revenue reductions applied evenly to all customers.</w:t>
      </w:r>
    </w:p>
    <w:sectPr w:rsidR="0097765A" w:rsidSect="00E50246">
      <w:footerReference w:type="default" r:id="rId14"/>
      <w:pgSz w:w="11906" w:h="16838" w:code="9"/>
      <w:pgMar w:top="737" w:right="1276" w:bottom="1077" w:left="1247" w:header="709" w:footer="51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35C" w:rsidRDefault="0002235C" w:rsidP="001D0E99">
      <w:r>
        <w:separator/>
      </w:r>
    </w:p>
  </w:endnote>
  <w:endnote w:type="continuationSeparator" w:id="0">
    <w:p w:rsidR="0002235C" w:rsidRDefault="0002235C" w:rsidP="001D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E99" w:rsidRDefault="00E1558D" w:rsidP="001D0E99">
    <w:pPr>
      <w:pStyle w:val="Footer"/>
      <w:jc w:val="right"/>
    </w:pPr>
    <w:sdt>
      <w:sdtPr>
        <w:id w:val="-1199855425"/>
        <w:docPartObj>
          <w:docPartGallery w:val="Page Numbers (Bottom of Page)"/>
          <w:docPartUnique/>
        </w:docPartObj>
      </w:sdtPr>
      <w:sdtEndPr>
        <w:rPr>
          <w:noProof/>
        </w:rPr>
      </w:sdtEndPr>
      <w:sdtContent>
        <w:r w:rsidR="001D0E99">
          <w:fldChar w:fldCharType="begin"/>
        </w:r>
        <w:r w:rsidR="001D0E99">
          <w:instrText xml:space="preserve"> PAGE   \* MERGEFORMAT </w:instrText>
        </w:r>
        <w:r w:rsidR="001D0E99">
          <w:fldChar w:fldCharType="separate"/>
        </w:r>
        <w:r>
          <w:rPr>
            <w:noProof/>
          </w:rPr>
          <w:t>6</w:t>
        </w:r>
        <w:r w:rsidR="001D0E9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35C" w:rsidRDefault="0002235C" w:rsidP="001D0E99">
      <w:r>
        <w:separator/>
      </w:r>
    </w:p>
  </w:footnote>
  <w:footnote w:type="continuationSeparator" w:id="0">
    <w:p w:rsidR="0002235C" w:rsidRDefault="0002235C" w:rsidP="001D0E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245A"/>
    <w:multiLevelType w:val="multilevel"/>
    <w:tmpl w:val="8A4C2FD6"/>
    <w:numStyleLink w:val="StyleBulletedSymbolsymbolLeft063cmHanging063cm"/>
  </w:abstractNum>
  <w:abstractNum w:abstractNumId="1">
    <w:nsid w:val="0D9D0381"/>
    <w:multiLevelType w:val="multilevel"/>
    <w:tmpl w:val="8A4C2FD6"/>
    <w:numStyleLink w:val="StyleBulletedSymbolsymbolLeft063cmHanging063cm"/>
  </w:abstractNum>
  <w:abstractNum w:abstractNumId="2">
    <w:nsid w:val="0DB1004A"/>
    <w:multiLevelType w:val="multilevel"/>
    <w:tmpl w:val="737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74644"/>
    <w:multiLevelType w:val="multilevel"/>
    <w:tmpl w:val="8A4C2FD6"/>
    <w:numStyleLink w:val="StyleBulletedSymbolsymbolLeft063cmHanging063cm"/>
  </w:abstractNum>
  <w:abstractNum w:abstractNumId="4">
    <w:nsid w:val="17FB3447"/>
    <w:multiLevelType w:val="multilevel"/>
    <w:tmpl w:val="8A4C2FD6"/>
    <w:numStyleLink w:val="StyleBulletedSymbolsymbolLeft063cmHanging063cm"/>
  </w:abstractNum>
  <w:abstractNum w:abstractNumId="5">
    <w:nsid w:val="190504AA"/>
    <w:multiLevelType w:val="hybridMultilevel"/>
    <w:tmpl w:val="2488D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04562D"/>
    <w:multiLevelType w:val="multilevel"/>
    <w:tmpl w:val="8A4C2FD6"/>
    <w:numStyleLink w:val="StyleBulletedSymbolsymbolLeft063cmHanging063cm"/>
  </w:abstractNum>
  <w:abstractNum w:abstractNumId="7">
    <w:nsid w:val="3309173E"/>
    <w:multiLevelType w:val="multilevel"/>
    <w:tmpl w:val="A61C28B8"/>
    <w:lvl w:ilvl="0">
      <w:start w:val="1"/>
      <w:numFmt w:val="bullet"/>
      <w:lvlText w:val=""/>
      <w:lvlJc w:val="left"/>
      <w:pPr>
        <w:tabs>
          <w:tab w:val="num" w:pos="1440"/>
        </w:tabs>
        <w:ind w:left="1440" w:hanging="360"/>
      </w:pPr>
      <w:rPr>
        <w:rFonts w:ascii="Symbol" w:hAnsi="Symbol" w:hint="default"/>
        <w:color w:val="004D8F"/>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8DF14C2"/>
    <w:multiLevelType w:val="multilevel"/>
    <w:tmpl w:val="8A4C2FD6"/>
    <w:numStyleLink w:val="StyleBulletedSymbolsymbolLeft063cmHanging063cm"/>
  </w:abstractNum>
  <w:abstractNum w:abstractNumId="9">
    <w:nsid w:val="39FA7286"/>
    <w:multiLevelType w:val="hybridMultilevel"/>
    <w:tmpl w:val="F75E8392"/>
    <w:lvl w:ilvl="0" w:tplc="F2C86624">
      <w:numFmt w:val="bullet"/>
      <w:lvlText w:val="-"/>
      <w:lvlJc w:val="left"/>
      <w:pPr>
        <w:ind w:left="720" w:hanging="360"/>
      </w:pPr>
      <w:rPr>
        <w:rFonts w:ascii="Calibri" w:eastAsia="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44652C9A"/>
    <w:multiLevelType w:val="hybridMultilevel"/>
    <w:tmpl w:val="8A4C2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A207B92"/>
    <w:multiLevelType w:val="multilevel"/>
    <w:tmpl w:val="8A4C2FD6"/>
    <w:numStyleLink w:val="StyleBulletedSymbolsymbolLeft063cmHanging063cm"/>
  </w:abstractNum>
  <w:abstractNum w:abstractNumId="12">
    <w:nsid w:val="4A362E0A"/>
    <w:multiLevelType w:val="hybridMultilevel"/>
    <w:tmpl w:val="5C6295F6"/>
    <w:lvl w:ilvl="0" w:tplc="B0C89F14">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4407EF"/>
    <w:multiLevelType w:val="multilevel"/>
    <w:tmpl w:val="8A4C2FD6"/>
    <w:numStyleLink w:val="StyleBulletedSymbolsymbolLeft063cmHanging063cm"/>
  </w:abstractNum>
  <w:abstractNum w:abstractNumId="14">
    <w:nsid w:val="4CF33B04"/>
    <w:multiLevelType w:val="hybridMultilevel"/>
    <w:tmpl w:val="95161900"/>
    <w:lvl w:ilvl="0" w:tplc="E976099E">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4F1F2C78"/>
    <w:multiLevelType w:val="hybridMultilevel"/>
    <w:tmpl w:val="87122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EF4F4A"/>
    <w:multiLevelType w:val="multilevel"/>
    <w:tmpl w:val="8A4C2FD6"/>
    <w:numStyleLink w:val="StyleBulletedSymbolsymbolLeft063cmHanging063cm"/>
  </w:abstractNum>
  <w:abstractNum w:abstractNumId="17">
    <w:nsid w:val="506D2D10"/>
    <w:multiLevelType w:val="hybridMultilevel"/>
    <w:tmpl w:val="B150D5B0"/>
    <w:lvl w:ilvl="0" w:tplc="67F48730">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2B2106"/>
    <w:multiLevelType w:val="multilevel"/>
    <w:tmpl w:val="8A4C2FD6"/>
    <w:numStyleLink w:val="StyleBulletedSymbolsymbolLeft063cmHanging063cm"/>
  </w:abstractNum>
  <w:abstractNum w:abstractNumId="19">
    <w:nsid w:val="580A2ECF"/>
    <w:multiLevelType w:val="multilevel"/>
    <w:tmpl w:val="8A4C2FD6"/>
    <w:numStyleLink w:val="StyleBulletedSymbolsymbolLeft063cmHanging063cm"/>
  </w:abstractNum>
  <w:abstractNum w:abstractNumId="20">
    <w:nsid w:val="5A663A51"/>
    <w:multiLevelType w:val="multilevel"/>
    <w:tmpl w:val="8A4C2FD6"/>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B10502D"/>
    <w:multiLevelType w:val="hybridMultilevel"/>
    <w:tmpl w:val="4F8E9500"/>
    <w:lvl w:ilvl="0" w:tplc="EF3C8CB2">
      <w:start w:val="1"/>
      <w:numFmt w:val="bullet"/>
      <w:lvlText w:val=""/>
      <w:lvlJc w:val="left"/>
      <w:pPr>
        <w:ind w:left="720" w:hanging="360"/>
      </w:pPr>
      <w:rPr>
        <w:rFonts w:ascii="Symbol" w:hAnsi="Symbol" w:hint="default"/>
        <w:sz w:val="18"/>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C01A63"/>
    <w:multiLevelType w:val="hybridMultilevel"/>
    <w:tmpl w:val="F1863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D71953"/>
    <w:multiLevelType w:val="hybridMultilevel"/>
    <w:tmpl w:val="9AF63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79A62B66"/>
    <w:multiLevelType w:val="multilevel"/>
    <w:tmpl w:val="8A4C2FD6"/>
    <w:numStyleLink w:val="StyleBulletedSymbolsymbolLeft063cmHanging063cm"/>
  </w:abstractNum>
  <w:num w:numId="1">
    <w:abstractNumId w:val="7"/>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1"/>
  </w:num>
  <w:num w:numId="5">
    <w:abstractNumId w:val="15"/>
  </w:num>
  <w:num w:numId="6">
    <w:abstractNumId w:val="2"/>
  </w:num>
  <w:num w:numId="7">
    <w:abstractNumId w:val="17"/>
  </w:num>
  <w:num w:numId="8">
    <w:abstractNumId w:val="9"/>
  </w:num>
  <w:num w:numId="9">
    <w:abstractNumId w:val="5"/>
  </w:num>
  <w:num w:numId="10">
    <w:abstractNumId w:val="23"/>
  </w:num>
  <w:num w:numId="11">
    <w:abstractNumId w:val="22"/>
  </w:num>
  <w:num w:numId="12">
    <w:abstractNumId w:val="10"/>
  </w:num>
  <w:num w:numId="13">
    <w:abstractNumId w:val="20"/>
  </w:num>
  <w:num w:numId="14">
    <w:abstractNumId w:val="13"/>
  </w:num>
  <w:num w:numId="15">
    <w:abstractNumId w:val="1"/>
  </w:num>
  <w:num w:numId="16">
    <w:abstractNumId w:val="11"/>
  </w:num>
  <w:num w:numId="17">
    <w:abstractNumId w:val="4"/>
  </w:num>
  <w:num w:numId="18">
    <w:abstractNumId w:val="24"/>
  </w:num>
  <w:num w:numId="19">
    <w:abstractNumId w:val="6"/>
  </w:num>
  <w:num w:numId="20">
    <w:abstractNumId w:val="8"/>
  </w:num>
  <w:num w:numId="21">
    <w:abstractNumId w:val="16"/>
  </w:num>
  <w:num w:numId="22">
    <w:abstractNumId w:val="19"/>
  </w:num>
  <w:num w:numId="23">
    <w:abstractNumId w:val="0"/>
  </w:num>
  <w:num w:numId="24">
    <w:abstractNumId w:val="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3"/>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rlowi\AppData\Local\Microsoft\Windows\Temporary Internet Files\Content.Outlook\PCYYUF06\Final150619BerriPowersubmission.docx"/>
  </w:docVars>
  <w:rsids>
    <w:rsidRoot w:val="005411EF"/>
    <w:rsid w:val="00005268"/>
    <w:rsid w:val="0002235C"/>
    <w:rsid w:val="00026734"/>
    <w:rsid w:val="00046DD9"/>
    <w:rsid w:val="000738B0"/>
    <w:rsid w:val="00083673"/>
    <w:rsid w:val="000A05B7"/>
    <w:rsid w:val="000A23D8"/>
    <w:rsid w:val="000C2A03"/>
    <w:rsid w:val="000C32A2"/>
    <w:rsid w:val="000C4FEF"/>
    <w:rsid w:val="000D30B2"/>
    <w:rsid w:val="000E70DF"/>
    <w:rsid w:val="000F3301"/>
    <w:rsid w:val="001057EA"/>
    <w:rsid w:val="00113CC3"/>
    <w:rsid w:val="00135B3C"/>
    <w:rsid w:val="00137E65"/>
    <w:rsid w:val="00141117"/>
    <w:rsid w:val="00147755"/>
    <w:rsid w:val="00147D93"/>
    <w:rsid w:val="0016167F"/>
    <w:rsid w:val="00193EE5"/>
    <w:rsid w:val="001C664F"/>
    <w:rsid w:val="001D0E99"/>
    <w:rsid w:val="001D17F4"/>
    <w:rsid w:val="001E6D8D"/>
    <w:rsid w:val="001F344F"/>
    <w:rsid w:val="00212D5C"/>
    <w:rsid w:val="0023417C"/>
    <w:rsid w:val="00237CD6"/>
    <w:rsid w:val="0027650A"/>
    <w:rsid w:val="0028240C"/>
    <w:rsid w:val="00284806"/>
    <w:rsid w:val="0028576B"/>
    <w:rsid w:val="00287A59"/>
    <w:rsid w:val="00287E73"/>
    <w:rsid w:val="002A1470"/>
    <w:rsid w:val="002F6272"/>
    <w:rsid w:val="003006B8"/>
    <w:rsid w:val="00302842"/>
    <w:rsid w:val="0034086B"/>
    <w:rsid w:val="003551A5"/>
    <w:rsid w:val="003917E2"/>
    <w:rsid w:val="00392831"/>
    <w:rsid w:val="00392B61"/>
    <w:rsid w:val="003930FD"/>
    <w:rsid w:val="00397ED3"/>
    <w:rsid w:val="003A4264"/>
    <w:rsid w:val="003A505F"/>
    <w:rsid w:val="003A6E36"/>
    <w:rsid w:val="003B4C71"/>
    <w:rsid w:val="003C78A8"/>
    <w:rsid w:val="003F070B"/>
    <w:rsid w:val="00403AAA"/>
    <w:rsid w:val="0041682C"/>
    <w:rsid w:val="00417A65"/>
    <w:rsid w:val="00417F95"/>
    <w:rsid w:val="00423946"/>
    <w:rsid w:val="004378B9"/>
    <w:rsid w:val="00437D95"/>
    <w:rsid w:val="00471FE7"/>
    <w:rsid w:val="00494FF3"/>
    <w:rsid w:val="004A1A3F"/>
    <w:rsid w:val="004A576F"/>
    <w:rsid w:val="004C0007"/>
    <w:rsid w:val="004C21AE"/>
    <w:rsid w:val="004C441A"/>
    <w:rsid w:val="004E3A73"/>
    <w:rsid w:val="004F542A"/>
    <w:rsid w:val="00500D49"/>
    <w:rsid w:val="00506AC9"/>
    <w:rsid w:val="00510A2F"/>
    <w:rsid w:val="0053500D"/>
    <w:rsid w:val="005411EF"/>
    <w:rsid w:val="00544B02"/>
    <w:rsid w:val="0054661F"/>
    <w:rsid w:val="00546933"/>
    <w:rsid w:val="00556A1E"/>
    <w:rsid w:val="00557E9E"/>
    <w:rsid w:val="0056137F"/>
    <w:rsid w:val="00577A24"/>
    <w:rsid w:val="00591865"/>
    <w:rsid w:val="005A5004"/>
    <w:rsid w:val="005A5044"/>
    <w:rsid w:val="005A6D7D"/>
    <w:rsid w:val="005A7971"/>
    <w:rsid w:val="005C0A19"/>
    <w:rsid w:val="005D4E1B"/>
    <w:rsid w:val="005E2C84"/>
    <w:rsid w:val="006001AB"/>
    <w:rsid w:val="0060101B"/>
    <w:rsid w:val="00604293"/>
    <w:rsid w:val="006101CD"/>
    <w:rsid w:val="0061498B"/>
    <w:rsid w:val="0062163C"/>
    <w:rsid w:val="00627BE5"/>
    <w:rsid w:val="00635747"/>
    <w:rsid w:val="00635FA6"/>
    <w:rsid w:val="00642083"/>
    <w:rsid w:val="00647D5F"/>
    <w:rsid w:val="00663FB3"/>
    <w:rsid w:val="00665BF3"/>
    <w:rsid w:val="00672EF6"/>
    <w:rsid w:val="00674628"/>
    <w:rsid w:val="006751AD"/>
    <w:rsid w:val="00693330"/>
    <w:rsid w:val="006A66EA"/>
    <w:rsid w:val="006B1590"/>
    <w:rsid w:val="006B26F3"/>
    <w:rsid w:val="006C5B2A"/>
    <w:rsid w:val="006D2370"/>
    <w:rsid w:val="006D34DF"/>
    <w:rsid w:val="006D54FF"/>
    <w:rsid w:val="006F156A"/>
    <w:rsid w:val="006F3F6A"/>
    <w:rsid w:val="006F6EBA"/>
    <w:rsid w:val="0070439D"/>
    <w:rsid w:val="007062B6"/>
    <w:rsid w:val="007062E2"/>
    <w:rsid w:val="00713CE5"/>
    <w:rsid w:val="007168E1"/>
    <w:rsid w:val="007208CC"/>
    <w:rsid w:val="0073343D"/>
    <w:rsid w:val="00746753"/>
    <w:rsid w:val="007611D2"/>
    <w:rsid w:val="00763623"/>
    <w:rsid w:val="0079064F"/>
    <w:rsid w:val="00792F62"/>
    <w:rsid w:val="00793DE9"/>
    <w:rsid w:val="007A3175"/>
    <w:rsid w:val="007A4884"/>
    <w:rsid w:val="007B6486"/>
    <w:rsid w:val="007C5102"/>
    <w:rsid w:val="007F35B4"/>
    <w:rsid w:val="007F5078"/>
    <w:rsid w:val="008027A5"/>
    <w:rsid w:val="00812858"/>
    <w:rsid w:val="00817BD0"/>
    <w:rsid w:val="00822A77"/>
    <w:rsid w:val="008277B9"/>
    <w:rsid w:val="00834A3B"/>
    <w:rsid w:val="008468DD"/>
    <w:rsid w:val="008532E6"/>
    <w:rsid w:val="00863430"/>
    <w:rsid w:val="00867C31"/>
    <w:rsid w:val="0087562C"/>
    <w:rsid w:val="0087578A"/>
    <w:rsid w:val="008842BA"/>
    <w:rsid w:val="00886367"/>
    <w:rsid w:val="00891276"/>
    <w:rsid w:val="0089186E"/>
    <w:rsid w:val="00894108"/>
    <w:rsid w:val="00895E2F"/>
    <w:rsid w:val="008B344A"/>
    <w:rsid w:val="008C333D"/>
    <w:rsid w:val="008F2B9F"/>
    <w:rsid w:val="008F4F9F"/>
    <w:rsid w:val="009029FF"/>
    <w:rsid w:val="00910CA7"/>
    <w:rsid w:val="00917D0A"/>
    <w:rsid w:val="009269A4"/>
    <w:rsid w:val="00941215"/>
    <w:rsid w:val="0094296C"/>
    <w:rsid w:val="00945850"/>
    <w:rsid w:val="00960D2F"/>
    <w:rsid w:val="009662BD"/>
    <w:rsid w:val="0097765A"/>
    <w:rsid w:val="009838B6"/>
    <w:rsid w:val="00994ADE"/>
    <w:rsid w:val="009A4189"/>
    <w:rsid w:val="009B5780"/>
    <w:rsid w:val="009C0329"/>
    <w:rsid w:val="009D16A3"/>
    <w:rsid w:val="009F0BB8"/>
    <w:rsid w:val="009F2BA3"/>
    <w:rsid w:val="00A02C44"/>
    <w:rsid w:val="00A41724"/>
    <w:rsid w:val="00A618F1"/>
    <w:rsid w:val="00A81FE6"/>
    <w:rsid w:val="00A95636"/>
    <w:rsid w:val="00AB6D1E"/>
    <w:rsid w:val="00AB77D2"/>
    <w:rsid w:val="00AB7DBD"/>
    <w:rsid w:val="00AD3E94"/>
    <w:rsid w:val="00AF5367"/>
    <w:rsid w:val="00B148FE"/>
    <w:rsid w:val="00B1538F"/>
    <w:rsid w:val="00B227AD"/>
    <w:rsid w:val="00B5069A"/>
    <w:rsid w:val="00B71769"/>
    <w:rsid w:val="00B77439"/>
    <w:rsid w:val="00B80A5B"/>
    <w:rsid w:val="00B8112C"/>
    <w:rsid w:val="00B83387"/>
    <w:rsid w:val="00B9485F"/>
    <w:rsid w:val="00B97112"/>
    <w:rsid w:val="00BB09EA"/>
    <w:rsid w:val="00BB1080"/>
    <w:rsid w:val="00BB22B1"/>
    <w:rsid w:val="00BD04CA"/>
    <w:rsid w:val="00BD2150"/>
    <w:rsid w:val="00BE1847"/>
    <w:rsid w:val="00BE1999"/>
    <w:rsid w:val="00BF22FD"/>
    <w:rsid w:val="00BF6518"/>
    <w:rsid w:val="00BF7108"/>
    <w:rsid w:val="00C01F3A"/>
    <w:rsid w:val="00C136A3"/>
    <w:rsid w:val="00C1693D"/>
    <w:rsid w:val="00C212F2"/>
    <w:rsid w:val="00C23175"/>
    <w:rsid w:val="00C23F65"/>
    <w:rsid w:val="00C31194"/>
    <w:rsid w:val="00C36F04"/>
    <w:rsid w:val="00C602C4"/>
    <w:rsid w:val="00C8624D"/>
    <w:rsid w:val="00C92583"/>
    <w:rsid w:val="00CA7332"/>
    <w:rsid w:val="00CB68F8"/>
    <w:rsid w:val="00CC14C6"/>
    <w:rsid w:val="00CC4EDB"/>
    <w:rsid w:val="00CE05FB"/>
    <w:rsid w:val="00CE6972"/>
    <w:rsid w:val="00D03EC1"/>
    <w:rsid w:val="00D03F56"/>
    <w:rsid w:val="00D66044"/>
    <w:rsid w:val="00D66055"/>
    <w:rsid w:val="00D723DC"/>
    <w:rsid w:val="00D80009"/>
    <w:rsid w:val="00D90DEE"/>
    <w:rsid w:val="00DA05F2"/>
    <w:rsid w:val="00DA400E"/>
    <w:rsid w:val="00DA797F"/>
    <w:rsid w:val="00DB5D6A"/>
    <w:rsid w:val="00DC68B5"/>
    <w:rsid w:val="00DE44EF"/>
    <w:rsid w:val="00DF3871"/>
    <w:rsid w:val="00DF3BB9"/>
    <w:rsid w:val="00E0159E"/>
    <w:rsid w:val="00E11E3B"/>
    <w:rsid w:val="00E1558D"/>
    <w:rsid w:val="00E50246"/>
    <w:rsid w:val="00E53149"/>
    <w:rsid w:val="00E76EA0"/>
    <w:rsid w:val="00E800C4"/>
    <w:rsid w:val="00E924BD"/>
    <w:rsid w:val="00EA71B3"/>
    <w:rsid w:val="00EA7339"/>
    <w:rsid w:val="00EB5FCC"/>
    <w:rsid w:val="00EC490B"/>
    <w:rsid w:val="00ED4BC8"/>
    <w:rsid w:val="00EE1DF5"/>
    <w:rsid w:val="00F127CD"/>
    <w:rsid w:val="00F21508"/>
    <w:rsid w:val="00F23C6F"/>
    <w:rsid w:val="00F35309"/>
    <w:rsid w:val="00F610C4"/>
    <w:rsid w:val="00F7533A"/>
    <w:rsid w:val="00F85626"/>
    <w:rsid w:val="00F8578C"/>
    <w:rsid w:val="00F87021"/>
    <w:rsid w:val="00F9741A"/>
    <w:rsid w:val="00FB2E3D"/>
    <w:rsid w:val="00FC6920"/>
    <w:rsid w:val="00FE15EF"/>
    <w:rsid w:val="00FF50A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E99"/>
    <w:pPr>
      <w:keepNext/>
      <w:spacing w:after="160" w:line="288" w:lineRule="auto"/>
      <w:ind w:right="28"/>
      <w:outlineLvl w:val="3"/>
    </w:pPr>
    <w:rPr>
      <w:rFonts w:ascii="Verdana" w:hAnsi="Verdana"/>
      <w:sz w:val="22"/>
      <w:szCs w:val="22"/>
    </w:rPr>
  </w:style>
  <w:style w:type="paragraph" w:styleId="Heading1">
    <w:name w:val="heading 1"/>
    <w:basedOn w:val="Normal"/>
    <w:next w:val="Normal"/>
    <w:link w:val="Heading1Char"/>
    <w:rsid w:val="003A6E36"/>
    <w:pPr>
      <w:keepLines/>
      <w:spacing w:before="480"/>
      <w:outlineLvl w:val="0"/>
    </w:pPr>
    <w:rPr>
      <w:rFonts w:ascii="Cambria" w:eastAsia="SimSun" w:hAnsi="Cambria"/>
      <w:b/>
      <w:bCs/>
      <w:color w:val="365F91"/>
      <w:sz w:val="28"/>
      <w:szCs w:val="28"/>
    </w:rPr>
  </w:style>
  <w:style w:type="paragraph" w:styleId="Heading4">
    <w:name w:val="heading 4"/>
    <w:basedOn w:val="Normal"/>
    <w:next w:val="Normal"/>
    <w:autoRedefine/>
    <w:rsid w:val="003A6E36"/>
    <w:pPr>
      <w:pBdr>
        <w:bottom w:val="single" w:sz="8" w:space="1" w:color="808080"/>
      </w:pBdr>
      <w:spacing w:before="240" w:after="120"/>
      <w:jc w:val="both"/>
    </w:pPr>
    <w:rPr>
      <w:rFonts w:ascii="Calibri" w:hAnsi="Calibri"/>
      <w:b/>
      <w:bCs/>
      <w:color w:val="FF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6E36"/>
    <w:pPr>
      <w:tabs>
        <w:tab w:val="center" w:pos="4513"/>
        <w:tab w:val="right" w:pos="9026"/>
      </w:tabs>
    </w:pPr>
  </w:style>
  <w:style w:type="character" w:customStyle="1" w:styleId="HeaderChar">
    <w:name w:val="Header Char"/>
    <w:basedOn w:val="DefaultParagraphFont"/>
    <w:link w:val="Header"/>
    <w:rsid w:val="003A6E36"/>
    <w:rPr>
      <w:sz w:val="24"/>
      <w:szCs w:val="24"/>
      <w:lang w:val="en-AU" w:eastAsia="en-AU" w:bidi="ar-SA"/>
    </w:rPr>
  </w:style>
  <w:style w:type="paragraph" w:styleId="Footer">
    <w:name w:val="footer"/>
    <w:basedOn w:val="Normal"/>
    <w:link w:val="FooterChar"/>
    <w:uiPriority w:val="99"/>
    <w:rsid w:val="003A6E36"/>
    <w:pPr>
      <w:tabs>
        <w:tab w:val="center" w:pos="4513"/>
        <w:tab w:val="right" w:pos="9026"/>
      </w:tabs>
    </w:pPr>
  </w:style>
  <w:style w:type="character" w:customStyle="1" w:styleId="FooterChar">
    <w:name w:val="Footer Char"/>
    <w:basedOn w:val="DefaultParagraphFont"/>
    <w:link w:val="Footer"/>
    <w:uiPriority w:val="99"/>
    <w:rsid w:val="003A6E36"/>
    <w:rPr>
      <w:sz w:val="24"/>
      <w:szCs w:val="24"/>
      <w:lang w:val="en-AU" w:eastAsia="en-AU" w:bidi="ar-SA"/>
    </w:rPr>
  </w:style>
  <w:style w:type="character" w:styleId="Strong">
    <w:name w:val="Strong"/>
    <w:basedOn w:val="DefaultParagraphFont"/>
    <w:qFormat/>
    <w:rsid w:val="004A1A3F"/>
    <w:rPr>
      <w:b/>
      <w:bCs/>
      <w:sz w:val="24"/>
    </w:rPr>
  </w:style>
  <w:style w:type="character" w:customStyle="1" w:styleId="Heading1Char">
    <w:name w:val="Heading 1 Char"/>
    <w:basedOn w:val="DefaultParagraphFont"/>
    <w:link w:val="Heading1"/>
    <w:rsid w:val="003A6E36"/>
    <w:rPr>
      <w:rFonts w:ascii="Cambria" w:eastAsia="SimSun" w:hAnsi="Cambria"/>
      <w:b/>
      <w:bCs/>
      <w:color w:val="365F91"/>
      <w:sz w:val="28"/>
      <w:szCs w:val="28"/>
      <w:lang w:val="en-AU" w:eastAsia="en-AU" w:bidi="ar-SA"/>
    </w:rPr>
  </w:style>
  <w:style w:type="paragraph" w:styleId="BalloonText">
    <w:name w:val="Balloon Text"/>
    <w:basedOn w:val="Normal"/>
    <w:link w:val="BalloonTextChar"/>
    <w:uiPriority w:val="99"/>
    <w:semiHidden/>
    <w:unhideWhenUsed/>
    <w:rsid w:val="00895E2F"/>
    <w:rPr>
      <w:rFonts w:ascii="Tahoma" w:hAnsi="Tahoma" w:cs="Tahoma"/>
      <w:sz w:val="16"/>
      <w:szCs w:val="16"/>
    </w:rPr>
  </w:style>
  <w:style w:type="character" w:customStyle="1" w:styleId="BalloonTextChar">
    <w:name w:val="Balloon Text Char"/>
    <w:basedOn w:val="DefaultParagraphFont"/>
    <w:link w:val="BalloonText"/>
    <w:uiPriority w:val="99"/>
    <w:semiHidden/>
    <w:rsid w:val="00895E2F"/>
    <w:rPr>
      <w:rFonts w:ascii="Tahoma" w:hAnsi="Tahoma" w:cs="Tahoma"/>
      <w:sz w:val="16"/>
      <w:szCs w:val="16"/>
    </w:rPr>
  </w:style>
  <w:style w:type="paragraph" w:customStyle="1" w:styleId="Default">
    <w:name w:val="Default"/>
    <w:rsid w:val="00867C31"/>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A1470"/>
    <w:pPr>
      <w:ind w:left="720"/>
      <w:contextualSpacing/>
    </w:pPr>
  </w:style>
  <w:style w:type="table" w:styleId="TableGrid">
    <w:name w:val="Table Grid"/>
    <w:basedOn w:val="TableNormal"/>
    <w:uiPriority w:val="59"/>
    <w:rsid w:val="00E7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77439"/>
  </w:style>
  <w:style w:type="character" w:styleId="Hyperlink">
    <w:name w:val="Hyperlink"/>
    <w:basedOn w:val="DefaultParagraphFont"/>
    <w:uiPriority w:val="99"/>
    <w:unhideWhenUsed/>
    <w:rsid w:val="00B77439"/>
    <w:rPr>
      <w:color w:val="0000FF"/>
      <w:u w:val="single"/>
    </w:rPr>
  </w:style>
  <w:style w:type="paragraph" w:styleId="NormalWeb">
    <w:name w:val="Normal (Web)"/>
    <w:basedOn w:val="Normal"/>
    <w:uiPriority w:val="99"/>
    <w:unhideWhenUsed/>
    <w:rsid w:val="00B77439"/>
    <w:pPr>
      <w:spacing w:before="100" w:beforeAutospacing="1" w:after="100" w:afterAutospacing="1"/>
    </w:pPr>
    <w:rPr>
      <w:rFonts w:eastAsiaTheme="minorHAnsi"/>
    </w:rPr>
  </w:style>
  <w:style w:type="paragraph" w:styleId="NoSpacing">
    <w:name w:val="No Spacing"/>
    <w:uiPriority w:val="1"/>
    <w:rsid w:val="00B77439"/>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B77439"/>
    <w:rPr>
      <w:i/>
      <w:iCs/>
    </w:rPr>
  </w:style>
  <w:style w:type="paragraph" w:customStyle="1" w:styleId="Body1">
    <w:name w:val="Body 1"/>
    <w:rsid w:val="00822A77"/>
    <w:rPr>
      <w:rFonts w:ascii="Helvetica" w:eastAsia="Arial Unicode MS" w:hAnsi="Helvetica"/>
      <w:color w:val="000000"/>
      <w:sz w:val="24"/>
    </w:rPr>
  </w:style>
  <w:style w:type="paragraph" w:styleId="FootnoteText">
    <w:name w:val="footnote text"/>
    <w:basedOn w:val="Normal"/>
    <w:link w:val="FootnoteTextChar"/>
    <w:uiPriority w:val="99"/>
    <w:semiHidden/>
    <w:unhideWhenUsed/>
    <w:rsid w:val="00CC4EDB"/>
    <w:rPr>
      <w:szCs w:val="20"/>
    </w:rPr>
  </w:style>
  <w:style w:type="character" w:customStyle="1" w:styleId="FootnoteTextChar">
    <w:name w:val="Footnote Text Char"/>
    <w:basedOn w:val="DefaultParagraphFont"/>
    <w:link w:val="FootnoteText"/>
    <w:uiPriority w:val="99"/>
    <w:semiHidden/>
    <w:rsid w:val="00CC4EDB"/>
  </w:style>
  <w:style w:type="character" w:styleId="FootnoteReference">
    <w:name w:val="footnote reference"/>
    <w:basedOn w:val="DefaultParagraphFont"/>
    <w:uiPriority w:val="99"/>
    <w:semiHidden/>
    <w:unhideWhenUsed/>
    <w:rsid w:val="00CC4EDB"/>
    <w:rPr>
      <w:vertAlign w:val="superscript"/>
    </w:rPr>
  </w:style>
  <w:style w:type="paragraph" w:styleId="EndnoteText">
    <w:name w:val="endnote text"/>
    <w:basedOn w:val="Normal"/>
    <w:link w:val="EndnoteTextChar"/>
    <w:uiPriority w:val="99"/>
    <w:semiHidden/>
    <w:unhideWhenUsed/>
    <w:rsid w:val="00817BD0"/>
    <w:pPr>
      <w:spacing w:line="240" w:lineRule="auto"/>
    </w:pPr>
    <w:rPr>
      <w:szCs w:val="20"/>
    </w:rPr>
  </w:style>
  <w:style w:type="character" w:customStyle="1" w:styleId="EndnoteTextChar">
    <w:name w:val="Endnote Text Char"/>
    <w:basedOn w:val="DefaultParagraphFont"/>
    <w:link w:val="EndnoteText"/>
    <w:uiPriority w:val="99"/>
    <w:semiHidden/>
    <w:rsid w:val="00817BD0"/>
    <w:rPr>
      <w:rFonts w:ascii="Verdana" w:hAnsi="Verdana"/>
    </w:rPr>
  </w:style>
  <w:style w:type="character" w:styleId="EndnoteReference">
    <w:name w:val="endnote reference"/>
    <w:basedOn w:val="DefaultParagraphFont"/>
    <w:uiPriority w:val="99"/>
    <w:semiHidden/>
    <w:unhideWhenUsed/>
    <w:rsid w:val="00817BD0"/>
    <w:rPr>
      <w:vertAlign w:val="superscript"/>
    </w:rPr>
  </w:style>
  <w:style w:type="paragraph" w:styleId="Title">
    <w:name w:val="Title"/>
    <w:basedOn w:val="Heading4"/>
    <w:next w:val="Normal"/>
    <w:link w:val="TitleChar"/>
    <w:uiPriority w:val="10"/>
    <w:qFormat/>
    <w:rsid w:val="001D0E99"/>
    <w:pPr>
      <w:ind w:right="29"/>
    </w:pPr>
    <w:rPr>
      <w:rFonts w:ascii="Verdana" w:hAnsi="Verdana"/>
    </w:rPr>
  </w:style>
  <w:style w:type="character" w:customStyle="1" w:styleId="TitleChar">
    <w:name w:val="Title Char"/>
    <w:basedOn w:val="DefaultParagraphFont"/>
    <w:link w:val="Title"/>
    <w:uiPriority w:val="10"/>
    <w:rsid w:val="001D0E99"/>
    <w:rPr>
      <w:rFonts w:ascii="Verdana" w:hAnsi="Verdana"/>
      <w:b/>
      <w:bCs/>
      <w:color w:val="FF0000"/>
      <w:sz w:val="40"/>
      <w:szCs w:val="40"/>
    </w:rPr>
  </w:style>
  <w:style w:type="paragraph" w:styleId="Subtitle">
    <w:name w:val="Subtitle"/>
    <w:basedOn w:val="Normal"/>
    <w:next w:val="Normal"/>
    <w:link w:val="SubtitleChar"/>
    <w:uiPriority w:val="11"/>
    <w:rsid w:val="0039283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392831"/>
    <w:rPr>
      <w:rFonts w:asciiTheme="majorHAnsi" w:eastAsiaTheme="majorEastAsia" w:hAnsiTheme="majorHAnsi" w:cstheme="majorBidi"/>
      <w:i/>
      <w:iCs/>
      <w:color w:val="4F81BD" w:themeColor="accent1"/>
      <w:spacing w:val="15"/>
      <w:sz w:val="24"/>
      <w:szCs w:val="24"/>
    </w:rPr>
  </w:style>
  <w:style w:type="paragraph" w:customStyle="1" w:styleId="Subheading2">
    <w:name w:val="Subheading 2"/>
    <w:basedOn w:val="Normal"/>
    <w:link w:val="Subheading2Char"/>
    <w:qFormat/>
    <w:rsid w:val="00287A59"/>
    <w:pPr>
      <w:spacing w:after="0"/>
    </w:pPr>
    <w:rPr>
      <w:rFonts w:cstheme="minorHAnsi"/>
      <w:b/>
      <w:u w:val="single"/>
    </w:rPr>
  </w:style>
  <w:style w:type="numbering" w:customStyle="1" w:styleId="StyleBulletedSymbolsymbolLeft063cmHanging063cm">
    <w:name w:val="Style Bulleted Symbol (symbol) Left:  0.63 cm Hanging:  0.63 cm"/>
    <w:basedOn w:val="NoList"/>
    <w:rsid w:val="00DA05F2"/>
    <w:pPr>
      <w:numPr>
        <w:numId w:val="13"/>
      </w:numPr>
    </w:pPr>
  </w:style>
  <w:style w:type="character" w:customStyle="1" w:styleId="Subheading2Char">
    <w:name w:val="Subheading 2 Char"/>
    <w:basedOn w:val="DefaultParagraphFont"/>
    <w:link w:val="Subheading2"/>
    <w:rsid w:val="00287A59"/>
    <w:rPr>
      <w:rFonts w:ascii="Verdana" w:hAnsi="Verdana" w:cstheme="minorHAnsi"/>
      <w:b/>
      <w:sz w:val="22"/>
      <w:szCs w:val="22"/>
      <w:u w:val="single"/>
    </w:rPr>
  </w:style>
  <w:style w:type="paragraph" w:styleId="Caption">
    <w:name w:val="caption"/>
    <w:basedOn w:val="Normal"/>
    <w:next w:val="Normal"/>
    <w:uiPriority w:val="35"/>
    <w:semiHidden/>
    <w:unhideWhenUsed/>
    <w:qFormat/>
    <w:rsid w:val="004A576F"/>
    <w:pPr>
      <w:keepNext w:val="0"/>
      <w:spacing w:after="200" w:line="240" w:lineRule="auto"/>
      <w:ind w:right="0"/>
      <w:outlineLvl w:val="9"/>
    </w:pPr>
    <w:rPr>
      <w:rFonts w:ascii="Arial" w:hAnsi="Arial"/>
      <w:iCs/>
      <w:color w:val="1F497D"/>
      <w:sz w:val="20"/>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E99"/>
    <w:pPr>
      <w:keepNext/>
      <w:spacing w:after="160" w:line="288" w:lineRule="auto"/>
      <w:ind w:right="28"/>
      <w:outlineLvl w:val="3"/>
    </w:pPr>
    <w:rPr>
      <w:rFonts w:ascii="Verdana" w:hAnsi="Verdana"/>
      <w:sz w:val="22"/>
      <w:szCs w:val="22"/>
    </w:rPr>
  </w:style>
  <w:style w:type="paragraph" w:styleId="Heading1">
    <w:name w:val="heading 1"/>
    <w:basedOn w:val="Normal"/>
    <w:next w:val="Normal"/>
    <w:link w:val="Heading1Char"/>
    <w:rsid w:val="003A6E36"/>
    <w:pPr>
      <w:keepLines/>
      <w:spacing w:before="480"/>
      <w:outlineLvl w:val="0"/>
    </w:pPr>
    <w:rPr>
      <w:rFonts w:ascii="Cambria" w:eastAsia="SimSun" w:hAnsi="Cambria"/>
      <w:b/>
      <w:bCs/>
      <w:color w:val="365F91"/>
      <w:sz w:val="28"/>
      <w:szCs w:val="28"/>
    </w:rPr>
  </w:style>
  <w:style w:type="paragraph" w:styleId="Heading4">
    <w:name w:val="heading 4"/>
    <w:basedOn w:val="Normal"/>
    <w:next w:val="Normal"/>
    <w:autoRedefine/>
    <w:rsid w:val="003A6E36"/>
    <w:pPr>
      <w:pBdr>
        <w:bottom w:val="single" w:sz="8" w:space="1" w:color="808080"/>
      </w:pBdr>
      <w:spacing w:before="240" w:after="120"/>
      <w:jc w:val="both"/>
    </w:pPr>
    <w:rPr>
      <w:rFonts w:ascii="Calibri" w:hAnsi="Calibri"/>
      <w:b/>
      <w:bCs/>
      <w:color w:val="FF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6E36"/>
    <w:pPr>
      <w:tabs>
        <w:tab w:val="center" w:pos="4513"/>
        <w:tab w:val="right" w:pos="9026"/>
      </w:tabs>
    </w:pPr>
  </w:style>
  <w:style w:type="character" w:customStyle="1" w:styleId="HeaderChar">
    <w:name w:val="Header Char"/>
    <w:basedOn w:val="DefaultParagraphFont"/>
    <w:link w:val="Header"/>
    <w:rsid w:val="003A6E36"/>
    <w:rPr>
      <w:sz w:val="24"/>
      <w:szCs w:val="24"/>
      <w:lang w:val="en-AU" w:eastAsia="en-AU" w:bidi="ar-SA"/>
    </w:rPr>
  </w:style>
  <w:style w:type="paragraph" w:styleId="Footer">
    <w:name w:val="footer"/>
    <w:basedOn w:val="Normal"/>
    <w:link w:val="FooterChar"/>
    <w:uiPriority w:val="99"/>
    <w:rsid w:val="003A6E36"/>
    <w:pPr>
      <w:tabs>
        <w:tab w:val="center" w:pos="4513"/>
        <w:tab w:val="right" w:pos="9026"/>
      </w:tabs>
    </w:pPr>
  </w:style>
  <w:style w:type="character" w:customStyle="1" w:styleId="FooterChar">
    <w:name w:val="Footer Char"/>
    <w:basedOn w:val="DefaultParagraphFont"/>
    <w:link w:val="Footer"/>
    <w:uiPriority w:val="99"/>
    <w:rsid w:val="003A6E36"/>
    <w:rPr>
      <w:sz w:val="24"/>
      <w:szCs w:val="24"/>
      <w:lang w:val="en-AU" w:eastAsia="en-AU" w:bidi="ar-SA"/>
    </w:rPr>
  </w:style>
  <w:style w:type="character" w:styleId="Strong">
    <w:name w:val="Strong"/>
    <w:basedOn w:val="DefaultParagraphFont"/>
    <w:qFormat/>
    <w:rsid w:val="004A1A3F"/>
    <w:rPr>
      <w:b/>
      <w:bCs/>
      <w:sz w:val="24"/>
    </w:rPr>
  </w:style>
  <w:style w:type="character" w:customStyle="1" w:styleId="Heading1Char">
    <w:name w:val="Heading 1 Char"/>
    <w:basedOn w:val="DefaultParagraphFont"/>
    <w:link w:val="Heading1"/>
    <w:rsid w:val="003A6E36"/>
    <w:rPr>
      <w:rFonts w:ascii="Cambria" w:eastAsia="SimSun" w:hAnsi="Cambria"/>
      <w:b/>
      <w:bCs/>
      <w:color w:val="365F91"/>
      <w:sz w:val="28"/>
      <w:szCs w:val="28"/>
      <w:lang w:val="en-AU" w:eastAsia="en-AU" w:bidi="ar-SA"/>
    </w:rPr>
  </w:style>
  <w:style w:type="paragraph" w:styleId="BalloonText">
    <w:name w:val="Balloon Text"/>
    <w:basedOn w:val="Normal"/>
    <w:link w:val="BalloonTextChar"/>
    <w:uiPriority w:val="99"/>
    <w:semiHidden/>
    <w:unhideWhenUsed/>
    <w:rsid w:val="00895E2F"/>
    <w:rPr>
      <w:rFonts w:ascii="Tahoma" w:hAnsi="Tahoma" w:cs="Tahoma"/>
      <w:sz w:val="16"/>
      <w:szCs w:val="16"/>
    </w:rPr>
  </w:style>
  <w:style w:type="character" w:customStyle="1" w:styleId="BalloonTextChar">
    <w:name w:val="Balloon Text Char"/>
    <w:basedOn w:val="DefaultParagraphFont"/>
    <w:link w:val="BalloonText"/>
    <w:uiPriority w:val="99"/>
    <w:semiHidden/>
    <w:rsid w:val="00895E2F"/>
    <w:rPr>
      <w:rFonts w:ascii="Tahoma" w:hAnsi="Tahoma" w:cs="Tahoma"/>
      <w:sz w:val="16"/>
      <w:szCs w:val="16"/>
    </w:rPr>
  </w:style>
  <w:style w:type="paragraph" w:customStyle="1" w:styleId="Default">
    <w:name w:val="Default"/>
    <w:rsid w:val="00867C31"/>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A1470"/>
    <w:pPr>
      <w:ind w:left="720"/>
      <w:contextualSpacing/>
    </w:pPr>
  </w:style>
  <w:style w:type="table" w:styleId="TableGrid">
    <w:name w:val="Table Grid"/>
    <w:basedOn w:val="TableNormal"/>
    <w:uiPriority w:val="59"/>
    <w:rsid w:val="00E7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77439"/>
  </w:style>
  <w:style w:type="character" w:styleId="Hyperlink">
    <w:name w:val="Hyperlink"/>
    <w:basedOn w:val="DefaultParagraphFont"/>
    <w:uiPriority w:val="99"/>
    <w:unhideWhenUsed/>
    <w:rsid w:val="00B77439"/>
    <w:rPr>
      <w:color w:val="0000FF"/>
      <w:u w:val="single"/>
    </w:rPr>
  </w:style>
  <w:style w:type="paragraph" w:styleId="NormalWeb">
    <w:name w:val="Normal (Web)"/>
    <w:basedOn w:val="Normal"/>
    <w:uiPriority w:val="99"/>
    <w:unhideWhenUsed/>
    <w:rsid w:val="00B77439"/>
    <w:pPr>
      <w:spacing w:before="100" w:beforeAutospacing="1" w:after="100" w:afterAutospacing="1"/>
    </w:pPr>
    <w:rPr>
      <w:rFonts w:eastAsiaTheme="minorHAnsi"/>
    </w:rPr>
  </w:style>
  <w:style w:type="paragraph" w:styleId="NoSpacing">
    <w:name w:val="No Spacing"/>
    <w:uiPriority w:val="1"/>
    <w:rsid w:val="00B77439"/>
    <w:rPr>
      <w:rFonts w:asciiTheme="minorHAnsi" w:eastAsiaTheme="minorHAnsi" w:hAnsiTheme="minorHAnsi" w:cstheme="minorBidi"/>
      <w:sz w:val="22"/>
      <w:szCs w:val="22"/>
      <w:lang w:eastAsia="en-US"/>
    </w:rPr>
  </w:style>
  <w:style w:type="character" w:styleId="Emphasis">
    <w:name w:val="Emphasis"/>
    <w:basedOn w:val="DefaultParagraphFont"/>
    <w:uiPriority w:val="20"/>
    <w:qFormat/>
    <w:rsid w:val="00B77439"/>
    <w:rPr>
      <w:i/>
      <w:iCs/>
    </w:rPr>
  </w:style>
  <w:style w:type="paragraph" w:customStyle="1" w:styleId="Body1">
    <w:name w:val="Body 1"/>
    <w:rsid w:val="00822A77"/>
    <w:rPr>
      <w:rFonts w:ascii="Helvetica" w:eastAsia="Arial Unicode MS" w:hAnsi="Helvetica"/>
      <w:color w:val="000000"/>
      <w:sz w:val="24"/>
    </w:rPr>
  </w:style>
  <w:style w:type="paragraph" w:styleId="FootnoteText">
    <w:name w:val="footnote text"/>
    <w:basedOn w:val="Normal"/>
    <w:link w:val="FootnoteTextChar"/>
    <w:uiPriority w:val="99"/>
    <w:semiHidden/>
    <w:unhideWhenUsed/>
    <w:rsid w:val="00CC4EDB"/>
    <w:rPr>
      <w:szCs w:val="20"/>
    </w:rPr>
  </w:style>
  <w:style w:type="character" w:customStyle="1" w:styleId="FootnoteTextChar">
    <w:name w:val="Footnote Text Char"/>
    <w:basedOn w:val="DefaultParagraphFont"/>
    <w:link w:val="FootnoteText"/>
    <w:uiPriority w:val="99"/>
    <w:semiHidden/>
    <w:rsid w:val="00CC4EDB"/>
  </w:style>
  <w:style w:type="character" w:styleId="FootnoteReference">
    <w:name w:val="footnote reference"/>
    <w:basedOn w:val="DefaultParagraphFont"/>
    <w:uiPriority w:val="99"/>
    <w:semiHidden/>
    <w:unhideWhenUsed/>
    <w:rsid w:val="00CC4EDB"/>
    <w:rPr>
      <w:vertAlign w:val="superscript"/>
    </w:rPr>
  </w:style>
  <w:style w:type="paragraph" w:styleId="EndnoteText">
    <w:name w:val="endnote text"/>
    <w:basedOn w:val="Normal"/>
    <w:link w:val="EndnoteTextChar"/>
    <w:uiPriority w:val="99"/>
    <w:semiHidden/>
    <w:unhideWhenUsed/>
    <w:rsid w:val="00817BD0"/>
    <w:pPr>
      <w:spacing w:line="240" w:lineRule="auto"/>
    </w:pPr>
    <w:rPr>
      <w:szCs w:val="20"/>
    </w:rPr>
  </w:style>
  <w:style w:type="character" w:customStyle="1" w:styleId="EndnoteTextChar">
    <w:name w:val="Endnote Text Char"/>
    <w:basedOn w:val="DefaultParagraphFont"/>
    <w:link w:val="EndnoteText"/>
    <w:uiPriority w:val="99"/>
    <w:semiHidden/>
    <w:rsid w:val="00817BD0"/>
    <w:rPr>
      <w:rFonts w:ascii="Verdana" w:hAnsi="Verdana"/>
    </w:rPr>
  </w:style>
  <w:style w:type="character" w:styleId="EndnoteReference">
    <w:name w:val="endnote reference"/>
    <w:basedOn w:val="DefaultParagraphFont"/>
    <w:uiPriority w:val="99"/>
    <w:semiHidden/>
    <w:unhideWhenUsed/>
    <w:rsid w:val="00817BD0"/>
    <w:rPr>
      <w:vertAlign w:val="superscript"/>
    </w:rPr>
  </w:style>
  <w:style w:type="paragraph" w:styleId="Title">
    <w:name w:val="Title"/>
    <w:basedOn w:val="Heading4"/>
    <w:next w:val="Normal"/>
    <w:link w:val="TitleChar"/>
    <w:uiPriority w:val="10"/>
    <w:qFormat/>
    <w:rsid w:val="001D0E99"/>
    <w:pPr>
      <w:ind w:right="29"/>
    </w:pPr>
    <w:rPr>
      <w:rFonts w:ascii="Verdana" w:hAnsi="Verdana"/>
    </w:rPr>
  </w:style>
  <w:style w:type="character" w:customStyle="1" w:styleId="TitleChar">
    <w:name w:val="Title Char"/>
    <w:basedOn w:val="DefaultParagraphFont"/>
    <w:link w:val="Title"/>
    <w:uiPriority w:val="10"/>
    <w:rsid w:val="001D0E99"/>
    <w:rPr>
      <w:rFonts w:ascii="Verdana" w:hAnsi="Verdana"/>
      <w:b/>
      <w:bCs/>
      <w:color w:val="FF0000"/>
      <w:sz w:val="40"/>
      <w:szCs w:val="40"/>
    </w:rPr>
  </w:style>
  <w:style w:type="paragraph" w:styleId="Subtitle">
    <w:name w:val="Subtitle"/>
    <w:basedOn w:val="Normal"/>
    <w:next w:val="Normal"/>
    <w:link w:val="SubtitleChar"/>
    <w:uiPriority w:val="11"/>
    <w:rsid w:val="0039283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392831"/>
    <w:rPr>
      <w:rFonts w:asciiTheme="majorHAnsi" w:eastAsiaTheme="majorEastAsia" w:hAnsiTheme="majorHAnsi" w:cstheme="majorBidi"/>
      <w:i/>
      <w:iCs/>
      <w:color w:val="4F81BD" w:themeColor="accent1"/>
      <w:spacing w:val="15"/>
      <w:sz w:val="24"/>
      <w:szCs w:val="24"/>
    </w:rPr>
  </w:style>
  <w:style w:type="paragraph" w:customStyle="1" w:styleId="Subheading2">
    <w:name w:val="Subheading 2"/>
    <w:basedOn w:val="Normal"/>
    <w:link w:val="Subheading2Char"/>
    <w:qFormat/>
    <w:rsid w:val="00287A59"/>
    <w:pPr>
      <w:spacing w:after="0"/>
    </w:pPr>
    <w:rPr>
      <w:rFonts w:cstheme="minorHAnsi"/>
      <w:b/>
      <w:u w:val="single"/>
    </w:rPr>
  </w:style>
  <w:style w:type="numbering" w:customStyle="1" w:styleId="StyleBulletedSymbolsymbolLeft063cmHanging063cm">
    <w:name w:val="Style Bulleted Symbol (symbol) Left:  0.63 cm Hanging:  0.63 cm"/>
    <w:basedOn w:val="NoList"/>
    <w:rsid w:val="00DA05F2"/>
    <w:pPr>
      <w:numPr>
        <w:numId w:val="13"/>
      </w:numPr>
    </w:pPr>
  </w:style>
  <w:style w:type="character" w:customStyle="1" w:styleId="Subheading2Char">
    <w:name w:val="Subheading 2 Char"/>
    <w:basedOn w:val="DefaultParagraphFont"/>
    <w:link w:val="Subheading2"/>
    <w:rsid w:val="00287A59"/>
    <w:rPr>
      <w:rFonts w:ascii="Verdana" w:hAnsi="Verdana" w:cstheme="minorHAnsi"/>
      <w:b/>
      <w:sz w:val="22"/>
      <w:szCs w:val="22"/>
      <w:u w:val="single"/>
    </w:rPr>
  </w:style>
  <w:style w:type="paragraph" w:styleId="Caption">
    <w:name w:val="caption"/>
    <w:basedOn w:val="Normal"/>
    <w:next w:val="Normal"/>
    <w:uiPriority w:val="35"/>
    <w:semiHidden/>
    <w:unhideWhenUsed/>
    <w:qFormat/>
    <w:rsid w:val="004A576F"/>
    <w:pPr>
      <w:keepNext w:val="0"/>
      <w:spacing w:after="200" w:line="240" w:lineRule="auto"/>
      <w:ind w:right="0"/>
      <w:outlineLvl w:val="9"/>
    </w:pPr>
    <w:rPr>
      <w:rFonts w:ascii="Arial" w:hAnsi="Arial"/>
      <w:iCs/>
      <w:color w:val="1F497D"/>
      <w:sz w:val="20"/>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420966">
      <w:bodyDiv w:val="1"/>
      <w:marLeft w:val="0"/>
      <w:marRight w:val="0"/>
      <w:marTop w:val="0"/>
      <w:marBottom w:val="0"/>
      <w:divBdr>
        <w:top w:val="none" w:sz="0" w:space="0" w:color="auto"/>
        <w:left w:val="none" w:sz="0" w:space="0" w:color="auto"/>
        <w:bottom w:val="none" w:sz="0" w:space="0" w:color="auto"/>
        <w:right w:val="none" w:sz="0" w:space="0" w:color="auto"/>
      </w:divBdr>
    </w:div>
    <w:div w:id="441073769">
      <w:bodyDiv w:val="1"/>
      <w:marLeft w:val="0"/>
      <w:marRight w:val="0"/>
      <w:marTop w:val="0"/>
      <w:marBottom w:val="0"/>
      <w:divBdr>
        <w:top w:val="none" w:sz="0" w:space="0" w:color="auto"/>
        <w:left w:val="none" w:sz="0" w:space="0" w:color="auto"/>
        <w:bottom w:val="none" w:sz="0" w:space="0" w:color="auto"/>
        <w:right w:val="none" w:sz="0" w:space="0" w:color="auto"/>
      </w:divBdr>
    </w:div>
    <w:div w:id="565074037">
      <w:bodyDiv w:val="1"/>
      <w:marLeft w:val="0"/>
      <w:marRight w:val="0"/>
      <w:marTop w:val="0"/>
      <w:marBottom w:val="0"/>
      <w:divBdr>
        <w:top w:val="none" w:sz="0" w:space="0" w:color="auto"/>
        <w:left w:val="none" w:sz="0" w:space="0" w:color="auto"/>
        <w:bottom w:val="none" w:sz="0" w:space="0" w:color="auto"/>
        <w:right w:val="none" w:sz="0" w:space="0" w:color="auto"/>
      </w:divBdr>
      <w:divsChild>
        <w:div w:id="1016690944">
          <w:marLeft w:val="0"/>
          <w:marRight w:val="0"/>
          <w:marTop w:val="100"/>
          <w:marBottom w:val="495"/>
          <w:divBdr>
            <w:top w:val="none" w:sz="0" w:space="0" w:color="auto"/>
            <w:left w:val="none" w:sz="0" w:space="0" w:color="auto"/>
            <w:bottom w:val="none" w:sz="0" w:space="0" w:color="auto"/>
            <w:right w:val="none" w:sz="0" w:space="0" w:color="auto"/>
          </w:divBdr>
          <w:divsChild>
            <w:div w:id="2040084258">
              <w:marLeft w:val="0"/>
              <w:marRight w:val="0"/>
              <w:marTop w:val="0"/>
              <w:marBottom w:val="0"/>
              <w:divBdr>
                <w:top w:val="none" w:sz="0" w:space="0" w:color="auto"/>
                <w:left w:val="none" w:sz="0" w:space="0" w:color="auto"/>
                <w:bottom w:val="none" w:sz="0" w:space="0" w:color="auto"/>
                <w:right w:val="none" w:sz="0" w:space="0" w:color="auto"/>
              </w:divBdr>
              <w:divsChild>
                <w:div w:id="78989924">
                  <w:marLeft w:val="0"/>
                  <w:marRight w:val="0"/>
                  <w:marTop w:val="0"/>
                  <w:marBottom w:val="0"/>
                  <w:divBdr>
                    <w:top w:val="none" w:sz="0" w:space="0" w:color="auto"/>
                    <w:left w:val="none" w:sz="0" w:space="0" w:color="auto"/>
                    <w:bottom w:val="none" w:sz="0" w:space="0" w:color="auto"/>
                    <w:right w:val="none" w:sz="0" w:space="0" w:color="auto"/>
                  </w:divBdr>
                  <w:divsChild>
                    <w:div w:id="152263867">
                      <w:marLeft w:val="0"/>
                      <w:marRight w:val="0"/>
                      <w:marTop w:val="0"/>
                      <w:marBottom w:val="0"/>
                      <w:divBdr>
                        <w:top w:val="none" w:sz="0" w:space="0" w:color="auto"/>
                        <w:left w:val="none" w:sz="0" w:space="0" w:color="auto"/>
                        <w:bottom w:val="none" w:sz="0" w:space="0" w:color="auto"/>
                        <w:right w:val="none" w:sz="0" w:space="0" w:color="auto"/>
                      </w:divBdr>
                      <w:divsChild>
                        <w:div w:id="1436287884">
                          <w:marLeft w:val="0"/>
                          <w:marRight w:val="0"/>
                          <w:marTop w:val="0"/>
                          <w:marBottom w:val="0"/>
                          <w:divBdr>
                            <w:top w:val="none" w:sz="0" w:space="0" w:color="auto"/>
                            <w:left w:val="none" w:sz="0" w:space="0" w:color="auto"/>
                            <w:bottom w:val="none" w:sz="0" w:space="0" w:color="auto"/>
                            <w:right w:val="none" w:sz="0" w:space="0" w:color="auto"/>
                          </w:divBdr>
                          <w:divsChild>
                            <w:div w:id="3659071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325375">
      <w:bodyDiv w:val="1"/>
      <w:marLeft w:val="0"/>
      <w:marRight w:val="0"/>
      <w:marTop w:val="0"/>
      <w:marBottom w:val="0"/>
      <w:divBdr>
        <w:top w:val="none" w:sz="0" w:space="0" w:color="auto"/>
        <w:left w:val="none" w:sz="0" w:space="0" w:color="auto"/>
        <w:bottom w:val="none" w:sz="0" w:space="0" w:color="auto"/>
        <w:right w:val="none" w:sz="0" w:space="0" w:color="auto"/>
      </w:divBdr>
    </w:div>
    <w:div w:id="1150437943">
      <w:bodyDiv w:val="1"/>
      <w:marLeft w:val="0"/>
      <w:marRight w:val="0"/>
      <w:marTop w:val="0"/>
      <w:marBottom w:val="0"/>
      <w:divBdr>
        <w:top w:val="none" w:sz="0" w:space="0" w:color="auto"/>
        <w:left w:val="none" w:sz="0" w:space="0" w:color="auto"/>
        <w:bottom w:val="none" w:sz="0" w:space="0" w:color="auto"/>
        <w:right w:val="none" w:sz="0" w:space="0" w:color="auto"/>
      </w:divBdr>
    </w:div>
    <w:div w:id="1296334032">
      <w:bodyDiv w:val="1"/>
      <w:marLeft w:val="0"/>
      <w:marRight w:val="0"/>
      <w:marTop w:val="0"/>
      <w:marBottom w:val="0"/>
      <w:divBdr>
        <w:top w:val="none" w:sz="0" w:space="0" w:color="auto"/>
        <w:left w:val="none" w:sz="0" w:space="0" w:color="auto"/>
        <w:bottom w:val="none" w:sz="0" w:space="0" w:color="auto"/>
        <w:right w:val="none" w:sz="0" w:space="0" w:color="auto"/>
      </w:divBdr>
    </w:div>
    <w:div w:id="1888026910">
      <w:bodyDiv w:val="1"/>
      <w:marLeft w:val="0"/>
      <w:marRight w:val="0"/>
      <w:marTop w:val="0"/>
      <w:marBottom w:val="0"/>
      <w:divBdr>
        <w:top w:val="none" w:sz="0" w:space="0" w:color="auto"/>
        <w:left w:val="none" w:sz="0" w:space="0" w:color="auto"/>
        <w:bottom w:val="none" w:sz="0" w:space="0" w:color="auto"/>
        <w:right w:val="none" w:sz="0" w:space="0" w:color="auto"/>
      </w:divBdr>
    </w:div>
    <w:div w:id="1930455788">
      <w:bodyDiv w:val="1"/>
      <w:marLeft w:val="0"/>
      <w:marRight w:val="0"/>
      <w:marTop w:val="0"/>
      <w:marBottom w:val="0"/>
      <w:divBdr>
        <w:top w:val="none" w:sz="0" w:space="0" w:color="auto"/>
        <w:left w:val="none" w:sz="0" w:space="0" w:color="auto"/>
        <w:bottom w:val="none" w:sz="0" w:space="0" w:color="auto"/>
        <w:right w:val="none" w:sz="0" w:space="0" w:color="auto"/>
      </w:divBdr>
    </w:div>
    <w:div w:id="200173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oddar\AppData\Roaming\Microsoft\Templates\AW%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6E0EC-0EE9-46C0-9764-269908E8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 Report Template</Template>
  <TotalTime>1</TotalTime>
  <Pages>7</Pages>
  <Words>1327</Words>
  <Characters>7266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Constellation Europe</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Poddar</dc:creator>
  <cp:lastModifiedBy>Lowien, Robyn</cp:lastModifiedBy>
  <cp:revision>2</cp:revision>
  <cp:lastPrinted>2015-06-19T05:14:00Z</cp:lastPrinted>
  <dcterms:created xsi:type="dcterms:W3CDTF">2015-06-19T06:24:00Z</dcterms:created>
  <dcterms:modified xsi:type="dcterms:W3CDTF">2015-06-19T06:24:00Z</dcterms:modified>
</cp:coreProperties>
</file>