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caps/>
          <w:lang w:val="en-AU"/>
        </w:rPr>
        <w:id w:val="18516826"/>
        <w:docPartObj>
          <w:docPartGallery w:val="Cover Pages"/>
          <w:docPartUnique/>
        </w:docPartObj>
      </w:sdtPr>
      <w:sdtEndPr>
        <w:rPr>
          <w:rFonts w:eastAsiaTheme="minorEastAsia" w:cstheme="minorBidi"/>
          <w:b/>
          <w:caps w:val="0"/>
          <w:sz w:val="32"/>
          <w:szCs w:val="32"/>
        </w:rPr>
      </w:sdtEndPr>
      <w:sdtContent>
        <w:bookmarkStart w:id="0" w:name="_GoBack" w:displacedByCustomXml="prev"/>
        <w:bookmarkEnd w:id="0" w:displacedByCustomXml="prev"/>
        <w:tbl>
          <w:tblPr>
            <w:tblW w:w="5000" w:type="pct"/>
            <w:jc w:val="center"/>
            <w:tblLook w:val="04A0" w:firstRow="1" w:lastRow="0" w:firstColumn="1" w:lastColumn="0" w:noHBand="0" w:noVBand="1"/>
          </w:tblPr>
          <w:tblGrid>
            <w:gridCol w:w="9004"/>
          </w:tblGrid>
          <w:tr w:rsidR="00EF3CBE" w:rsidRPr="00AA5B97" w:rsidTr="00AD5526">
            <w:trPr>
              <w:trHeight w:val="2880"/>
              <w:jc w:val="center"/>
            </w:trPr>
            <w:tc>
              <w:tcPr>
                <w:tcW w:w="5000" w:type="pct"/>
              </w:tcPr>
              <w:p w:rsidR="00461B2E" w:rsidRDefault="00461B2E" w:rsidP="00AD5526">
                <w:pPr>
                  <w:pStyle w:val="NoSpacing"/>
                  <w:jc w:val="center"/>
                  <w:rPr>
                    <w:rFonts w:eastAsiaTheme="majorEastAsia" w:cstheme="majorBidi"/>
                    <w:caps/>
                    <w:lang w:val="en-AU"/>
                  </w:rPr>
                </w:pPr>
              </w:p>
              <w:p w:rsidR="00461B2E" w:rsidRDefault="00461B2E" w:rsidP="00AD5526">
                <w:pPr>
                  <w:pStyle w:val="NoSpacing"/>
                  <w:jc w:val="center"/>
                  <w:rPr>
                    <w:rFonts w:eastAsiaTheme="majorEastAsia" w:cstheme="majorBidi"/>
                    <w:caps/>
                    <w:lang w:val="en-AU"/>
                  </w:rPr>
                </w:pPr>
              </w:p>
              <w:p w:rsidR="00EF3CBE" w:rsidRPr="00AA5B97" w:rsidRDefault="00EF3CBE" w:rsidP="00AD5526">
                <w:pPr>
                  <w:pStyle w:val="NoSpacing"/>
                  <w:jc w:val="center"/>
                  <w:rPr>
                    <w:rFonts w:eastAsiaTheme="majorEastAsia" w:cstheme="majorBidi"/>
                    <w:caps/>
                    <w:lang w:val="en-AU"/>
                  </w:rPr>
                </w:pPr>
                <w:r w:rsidRPr="00AA5B97">
                  <w:rPr>
                    <w:rFonts w:eastAsiaTheme="majorEastAsia" w:cstheme="majorBidi"/>
                    <w:b/>
                    <w:caps/>
                    <w:color w:val="4F81BD" w:themeColor="accent1"/>
                    <w:sz w:val="32"/>
                    <w:szCs w:val="32"/>
                    <w:lang w:val="en-AU"/>
                  </w:rPr>
                  <w:t>Consumer Challenge Panel</w:t>
                </w:r>
              </w:p>
            </w:tc>
          </w:tr>
          <w:tr w:rsidR="00EF3CBE" w:rsidRPr="00AA5B97" w:rsidTr="00AD5526">
            <w:trPr>
              <w:trHeight w:val="1440"/>
              <w:jc w:val="center"/>
            </w:trPr>
            <w:tc>
              <w:tcPr>
                <w:tcW w:w="5000" w:type="pct"/>
                <w:tcBorders>
                  <w:bottom w:val="single" w:sz="4" w:space="0" w:color="4F81BD" w:themeColor="accent1"/>
                </w:tcBorders>
                <w:vAlign w:val="center"/>
              </w:tcPr>
              <w:p w:rsidR="00EF3CBE" w:rsidRPr="00AA5B97" w:rsidRDefault="00EF3CBE" w:rsidP="00AD5526">
                <w:pPr>
                  <w:pStyle w:val="NoSpacing"/>
                  <w:jc w:val="center"/>
                  <w:rPr>
                    <w:rFonts w:eastAsiaTheme="majorEastAsia" w:cstheme="majorBidi"/>
                    <w:sz w:val="80"/>
                    <w:szCs w:val="80"/>
                    <w:lang w:val="en-AU"/>
                  </w:rPr>
                </w:pPr>
                <w:r w:rsidRPr="00AA5B97">
                  <w:rPr>
                    <w:b/>
                    <w:sz w:val="40"/>
                    <w:szCs w:val="40"/>
                    <w:lang w:val="en-AU"/>
                  </w:rPr>
                  <w:t xml:space="preserve">Submission to </w:t>
                </w:r>
                <w:r w:rsidR="001A0643" w:rsidRPr="00AA5B97">
                  <w:rPr>
                    <w:b/>
                    <w:sz w:val="40"/>
                    <w:szCs w:val="40"/>
                    <w:lang w:val="en-AU"/>
                  </w:rPr>
                  <w:t>the Australian Energy Regulator (</w:t>
                </w:r>
                <w:r w:rsidRPr="00AA5B97">
                  <w:rPr>
                    <w:b/>
                    <w:sz w:val="40"/>
                    <w:szCs w:val="40"/>
                    <w:lang w:val="en-AU"/>
                  </w:rPr>
                  <w:t>AER</w:t>
                </w:r>
                <w:r w:rsidR="001A0643" w:rsidRPr="00AA5B97">
                  <w:rPr>
                    <w:b/>
                    <w:sz w:val="40"/>
                    <w:szCs w:val="40"/>
                    <w:lang w:val="en-AU"/>
                  </w:rPr>
                  <w:t>)</w:t>
                </w:r>
              </w:p>
            </w:tc>
          </w:tr>
          <w:tr w:rsidR="00EF3CBE" w:rsidRPr="00AA5B97" w:rsidTr="00AD5526">
            <w:trPr>
              <w:trHeight w:val="720"/>
              <w:jc w:val="center"/>
            </w:trPr>
            <w:tc>
              <w:tcPr>
                <w:tcW w:w="5000" w:type="pct"/>
                <w:tcBorders>
                  <w:top w:val="single" w:sz="4" w:space="0" w:color="4F81BD" w:themeColor="accent1"/>
                </w:tcBorders>
                <w:vAlign w:val="center"/>
              </w:tcPr>
              <w:p w:rsidR="003E1B99" w:rsidRPr="00AA5B97" w:rsidRDefault="003E1B99" w:rsidP="00DA42A4">
                <w:pPr>
                  <w:pStyle w:val="NoSpacing"/>
                  <w:spacing w:after="120"/>
                  <w:jc w:val="center"/>
                  <w:rPr>
                    <w:b/>
                    <w:sz w:val="32"/>
                    <w:szCs w:val="32"/>
                    <w:lang w:val="en-AU"/>
                  </w:rPr>
                </w:pPr>
              </w:p>
              <w:p w:rsidR="00292075" w:rsidRPr="00AA5B97" w:rsidRDefault="00292075" w:rsidP="00DA42A4">
                <w:pPr>
                  <w:pStyle w:val="NoSpacing"/>
                  <w:spacing w:after="120"/>
                  <w:jc w:val="center"/>
                  <w:rPr>
                    <w:b/>
                    <w:sz w:val="32"/>
                    <w:szCs w:val="32"/>
                    <w:lang w:val="en-AU"/>
                  </w:rPr>
                </w:pPr>
                <w:r w:rsidRPr="00AA5B97">
                  <w:rPr>
                    <w:b/>
                    <w:sz w:val="32"/>
                    <w:szCs w:val="32"/>
                    <w:lang w:val="en-AU"/>
                  </w:rPr>
                  <w:t>Consumer Challenge Panel Sub</w:t>
                </w:r>
                <w:r w:rsidR="001A0643" w:rsidRPr="00AA5B97">
                  <w:rPr>
                    <w:b/>
                    <w:sz w:val="32"/>
                    <w:szCs w:val="32"/>
                    <w:lang w:val="en-AU"/>
                  </w:rPr>
                  <w:t xml:space="preserve"> </w:t>
                </w:r>
                <w:r w:rsidRPr="00AA5B97">
                  <w:rPr>
                    <w:b/>
                    <w:sz w:val="32"/>
                    <w:szCs w:val="32"/>
                    <w:lang w:val="en-AU"/>
                  </w:rPr>
                  <w:t xml:space="preserve">Panel </w:t>
                </w:r>
                <w:r w:rsidR="00293A10">
                  <w:rPr>
                    <w:b/>
                    <w:sz w:val="32"/>
                    <w:szCs w:val="32"/>
                    <w:lang w:val="en-AU"/>
                  </w:rPr>
                  <w:t>4</w:t>
                </w:r>
                <w:r w:rsidRPr="00AA5B97">
                  <w:rPr>
                    <w:b/>
                    <w:sz w:val="32"/>
                    <w:szCs w:val="32"/>
                    <w:lang w:val="en-AU"/>
                  </w:rPr>
                  <w:t xml:space="preserve"> (</w:t>
                </w:r>
                <w:r w:rsidR="00703BEF">
                  <w:rPr>
                    <w:b/>
                    <w:sz w:val="32"/>
                    <w:szCs w:val="32"/>
                    <w:lang w:val="en-AU"/>
                  </w:rPr>
                  <w:t>CCP4</w:t>
                </w:r>
                <w:r w:rsidRPr="00AA5B97">
                  <w:rPr>
                    <w:b/>
                    <w:sz w:val="32"/>
                    <w:szCs w:val="32"/>
                    <w:lang w:val="en-AU"/>
                  </w:rPr>
                  <w:t>)</w:t>
                </w:r>
              </w:p>
              <w:p w:rsidR="00EF3CBE" w:rsidRPr="00AA5B97" w:rsidRDefault="00EF3CBE" w:rsidP="00E1317B">
                <w:pPr>
                  <w:pStyle w:val="NoSpacing"/>
                  <w:spacing w:after="120"/>
                  <w:jc w:val="center"/>
                  <w:rPr>
                    <w:rFonts w:eastAsiaTheme="majorEastAsia" w:cstheme="majorBidi"/>
                    <w:sz w:val="44"/>
                    <w:szCs w:val="44"/>
                    <w:lang w:val="en-AU"/>
                  </w:rPr>
                </w:pPr>
                <w:r w:rsidRPr="00AA5B97">
                  <w:rPr>
                    <w:b/>
                    <w:sz w:val="32"/>
                    <w:szCs w:val="32"/>
                    <w:lang w:val="en-AU"/>
                  </w:rPr>
                  <w:t>Respon</w:t>
                </w:r>
                <w:r w:rsidR="00DA42A4" w:rsidRPr="00AA5B97">
                  <w:rPr>
                    <w:b/>
                    <w:sz w:val="32"/>
                    <w:szCs w:val="32"/>
                    <w:lang w:val="en-AU"/>
                  </w:rPr>
                  <w:t xml:space="preserve">se </w:t>
                </w:r>
                <w:r w:rsidRPr="00AA5B97">
                  <w:rPr>
                    <w:b/>
                    <w:sz w:val="32"/>
                    <w:szCs w:val="32"/>
                    <w:lang w:val="en-AU"/>
                  </w:rPr>
                  <w:t>to</w:t>
                </w:r>
                <w:r w:rsidR="00292075" w:rsidRPr="00AA5B97">
                  <w:rPr>
                    <w:b/>
                    <w:sz w:val="32"/>
                    <w:szCs w:val="32"/>
                    <w:lang w:val="en-AU"/>
                  </w:rPr>
                  <w:t xml:space="preserve"> </w:t>
                </w:r>
                <w:r w:rsidR="00293A10">
                  <w:rPr>
                    <w:b/>
                    <w:sz w:val="32"/>
                    <w:szCs w:val="32"/>
                    <w:lang w:val="en-AU"/>
                  </w:rPr>
                  <w:t xml:space="preserve">the </w:t>
                </w:r>
                <w:r w:rsidR="00E1317B">
                  <w:rPr>
                    <w:b/>
                    <w:sz w:val="32"/>
                    <w:szCs w:val="32"/>
                    <w:lang w:val="en-AU"/>
                  </w:rPr>
                  <w:t xml:space="preserve">AER Draft Decision </w:t>
                </w:r>
                <w:r w:rsidR="00E25E5C">
                  <w:rPr>
                    <w:b/>
                    <w:sz w:val="32"/>
                    <w:szCs w:val="32"/>
                    <w:lang w:val="en-AU"/>
                  </w:rPr>
                  <w:t xml:space="preserve">and Revised Proposal </w:t>
                </w:r>
                <w:r w:rsidR="00E1317B">
                  <w:rPr>
                    <w:b/>
                    <w:sz w:val="32"/>
                    <w:szCs w:val="32"/>
                    <w:lang w:val="en-AU"/>
                  </w:rPr>
                  <w:t>to</w:t>
                </w:r>
                <w:r w:rsidR="003E1B99" w:rsidRPr="00AA5B97">
                  <w:rPr>
                    <w:b/>
                    <w:sz w:val="32"/>
                    <w:szCs w:val="32"/>
                    <w:lang w:val="en-AU"/>
                  </w:rPr>
                  <w:t xml:space="preserve"> </w:t>
                </w:r>
                <w:r w:rsidR="00293A10">
                  <w:rPr>
                    <w:b/>
                    <w:sz w:val="32"/>
                    <w:szCs w:val="32"/>
                    <w:lang w:val="en-AU"/>
                  </w:rPr>
                  <w:t xml:space="preserve">Tasmania's </w:t>
                </w:r>
                <w:r w:rsidR="003E1B99" w:rsidRPr="00AA5B97">
                  <w:rPr>
                    <w:b/>
                    <w:sz w:val="32"/>
                    <w:szCs w:val="32"/>
                    <w:lang w:val="en-AU"/>
                  </w:rPr>
                  <w:t>electricity distribution network service provider</w:t>
                </w:r>
                <w:r w:rsidR="00293A10">
                  <w:rPr>
                    <w:b/>
                    <w:sz w:val="32"/>
                    <w:szCs w:val="32"/>
                    <w:lang w:val="en-AU"/>
                  </w:rPr>
                  <w:t xml:space="preserve"> (TasNetworks - TND)</w:t>
                </w:r>
                <w:r w:rsidR="003E1B99" w:rsidRPr="00AA5B97">
                  <w:rPr>
                    <w:b/>
                    <w:sz w:val="32"/>
                    <w:szCs w:val="32"/>
                    <w:lang w:val="en-AU"/>
                  </w:rPr>
                  <w:t xml:space="preserve"> for a revenue reset for </w:t>
                </w:r>
                <w:r w:rsidR="00292075" w:rsidRPr="00AA5B97">
                  <w:rPr>
                    <w:b/>
                    <w:sz w:val="32"/>
                    <w:szCs w:val="32"/>
                    <w:lang w:val="en-AU"/>
                  </w:rPr>
                  <w:t xml:space="preserve">the </w:t>
                </w:r>
                <w:r w:rsidR="00677310" w:rsidRPr="00AA5B97">
                  <w:rPr>
                    <w:b/>
                    <w:sz w:val="32"/>
                    <w:szCs w:val="32"/>
                    <w:lang w:val="en-AU"/>
                  </w:rPr>
                  <w:t>201</w:t>
                </w:r>
                <w:r w:rsidR="00293A10">
                  <w:rPr>
                    <w:b/>
                    <w:sz w:val="32"/>
                    <w:szCs w:val="32"/>
                    <w:lang w:val="en-AU"/>
                  </w:rPr>
                  <w:t>7</w:t>
                </w:r>
                <w:r w:rsidR="00677310" w:rsidRPr="00AA5B97">
                  <w:rPr>
                    <w:b/>
                    <w:sz w:val="32"/>
                    <w:szCs w:val="32"/>
                    <w:lang w:val="en-AU"/>
                  </w:rPr>
                  <w:t>-20</w:t>
                </w:r>
                <w:r w:rsidR="00293A10">
                  <w:rPr>
                    <w:b/>
                    <w:sz w:val="32"/>
                    <w:szCs w:val="32"/>
                    <w:lang w:val="en-AU"/>
                  </w:rPr>
                  <w:t>19</w:t>
                </w:r>
                <w:r w:rsidR="00677310" w:rsidRPr="00AA5B97">
                  <w:rPr>
                    <w:b/>
                    <w:sz w:val="32"/>
                    <w:szCs w:val="32"/>
                    <w:lang w:val="en-AU"/>
                  </w:rPr>
                  <w:t xml:space="preserve"> regulatory period</w:t>
                </w:r>
              </w:p>
            </w:tc>
          </w:tr>
          <w:tr w:rsidR="00EF3CBE" w:rsidRPr="00AA5B97" w:rsidTr="00AD5526">
            <w:trPr>
              <w:trHeight w:val="360"/>
              <w:jc w:val="center"/>
            </w:trPr>
            <w:tc>
              <w:tcPr>
                <w:tcW w:w="5000" w:type="pct"/>
                <w:vAlign w:val="center"/>
              </w:tcPr>
              <w:p w:rsidR="00EF3CBE" w:rsidRPr="00AA5B97" w:rsidRDefault="00EF3CBE" w:rsidP="00AD5526">
                <w:pPr>
                  <w:pStyle w:val="NoSpacing"/>
                  <w:jc w:val="center"/>
                  <w:rPr>
                    <w:lang w:val="en-AU"/>
                  </w:rPr>
                </w:pPr>
              </w:p>
            </w:tc>
          </w:tr>
          <w:tr w:rsidR="00EF3CBE" w:rsidRPr="006657A3" w:rsidTr="00AD5526">
            <w:trPr>
              <w:trHeight w:val="360"/>
              <w:jc w:val="center"/>
            </w:trPr>
            <w:tc>
              <w:tcPr>
                <w:tcW w:w="5000" w:type="pct"/>
                <w:vAlign w:val="center"/>
              </w:tcPr>
              <w:p w:rsidR="0024444A" w:rsidRPr="006657A3" w:rsidRDefault="0024444A" w:rsidP="00EF3CBE">
                <w:pPr>
                  <w:pStyle w:val="NoSpacing"/>
                  <w:jc w:val="center"/>
                  <w:rPr>
                    <w:b/>
                    <w:bCs/>
                    <w:color w:val="4F81BD" w:themeColor="accent1"/>
                    <w:sz w:val="28"/>
                    <w:szCs w:val="28"/>
                    <w:lang w:val="en-AU"/>
                  </w:rPr>
                </w:pPr>
              </w:p>
              <w:p w:rsidR="0024444A" w:rsidRPr="006657A3" w:rsidRDefault="00703BEF" w:rsidP="00D425BA">
                <w:pPr>
                  <w:pStyle w:val="NoSpacing"/>
                  <w:jc w:val="center"/>
                  <w:rPr>
                    <w:b/>
                    <w:bCs/>
                    <w:color w:val="4F81BD" w:themeColor="accent1"/>
                    <w:sz w:val="28"/>
                    <w:szCs w:val="28"/>
                    <w:lang w:val="en-AU"/>
                  </w:rPr>
                </w:pPr>
                <w:r>
                  <w:rPr>
                    <w:b/>
                    <w:bCs/>
                    <w:color w:val="4F81BD" w:themeColor="accent1"/>
                    <w:sz w:val="28"/>
                    <w:szCs w:val="28"/>
                    <w:lang w:val="en-AU"/>
                  </w:rPr>
                  <w:t>Report by</w:t>
                </w:r>
              </w:p>
              <w:p w:rsidR="00D425BA" w:rsidRPr="006657A3" w:rsidRDefault="00D425BA" w:rsidP="00D425BA">
                <w:pPr>
                  <w:pStyle w:val="NoSpacing"/>
                  <w:jc w:val="center"/>
                  <w:rPr>
                    <w:b/>
                    <w:bCs/>
                    <w:color w:val="4F81BD" w:themeColor="accent1"/>
                    <w:sz w:val="28"/>
                    <w:szCs w:val="28"/>
                    <w:lang w:val="en-AU"/>
                  </w:rPr>
                </w:pPr>
                <w:r w:rsidRPr="006657A3">
                  <w:rPr>
                    <w:b/>
                    <w:bCs/>
                    <w:color w:val="4F81BD" w:themeColor="accent1"/>
                    <w:sz w:val="28"/>
                    <w:szCs w:val="28"/>
                    <w:lang w:val="en-AU"/>
                  </w:rPr>
                  <w:t>David Headberry</w:t>
                </w:r>
              </w:p>
              <w:p w:rsidR="00EF3CBE" w:rsidRPr="006657A3" w:rsidRDefault="00EF3CBE" w:rsidP="00D425BA">
                <w:pPr>
                  <w:pStyle w:val="NoSpacing"/>
                  <w:jc w:val="center"/>
                  <w:rPr>
                    <w:b/>
                    <w:bCs/>
                    <w:color w:val="4F81BD" w:themeColor="accent1"/>
                    <w:sz w:val="28"/>
                    <w:szCs w:val="28"/>
                    <w:lang w:val="en-AU"/>
                  </w:rPr>
                </w:pPr>
                <w:r w:rsidRPr="006657A3">
                  <w:rPr>
                    <w:b/>
                    <w:bCs/>
                    <w:color w:val="4F81BD" w:themeColor="accent1"/>
                    <w:sz w:val="28"/>
                    <w:szCs w:val="28"/>
                    <w:lang w:val="en-AU"/>
                  </w:rPr>
                  <w:t>Sub Panel CCP</w:t>
                </w:r>
                <w:r w:rsidR="00293A10" w:rsidRPr="006657A3">
                  <w:rPr>
                    <w:b/>
                    <w:bCs/>
                    <w:color w:val="4F81BD" w:themeColor="accent1"/>
                    <w:sz w:val="28"/>
                    <w:szCs w:val="28"/>
                    <w:lang w:val="en-AU"/>
                  </w:rPr>
                  <w:t>4</w:t>
                </w:r>
              </w:p>
              <w:p w:rsidR="00DA42A4" w:rsidRPr="006657A3" w:rsidRDefault="00DA42A4" w:rsidP="00D425BA">
                <w:pPr>
                  <w:pStyle w:val="NoSpacing"/>
                  <w:jc w:val="center"/>
                  <w:rPr>
                    <w:b/>
                    <w:bCs/>
                    <w:color w:val="4F81BD" w:themeColor="accent1"/>
                    <w:sz w:val="28"/>
                    <w:szCs w:val="28"/>
                    <w:lang w:val="en-AU"/>
                  </w:rPr>
                </w:pPr>
              </w:p>
              <w:p w:rsidR="00293A10" w:rsidRPr="006657A3" w:rsidRDefault="00293A10" w:rsidP="00D425BA">
                <w:pPr>
                  <w:pStyle w:val="NoSpacing"/>
                  <w:jc w:val="center"/>
                  <w:rPr>
                    <w:b/>
                    <w:bCs/>
                    <w:color w:val="4F81BD" w:themeColor="accent1"/>
                    <w:sz w:val="28"/>
                    <w:szCs w:val="28"/>
                    <w:lang w:val="en-AU"/>
                  </w:rPr>
                </w:pPr>
              </w:p>
              <w:p w:rsidR="00D425BA" w:rsidRPr="006657A3" w:rsidRDefault="00703BEF" w:rsidP="00D425BA">
                <w:pPr>
                  <w:pStyle w:val="NoSpacing"/>
                  <w:jc w:val="center"/>
                  <w:rPr>
                    <w:b/>
                    <w:bCs/>
                    <w:color w:val="4F81BD" w:themeColor="accent1"/>
                    <w:sz w:val="28"/>
                    <w:szCs w:val="28"/>
                    <w:lang w:val="en-AU"/>
                  </w:rPr>
                </w:pPr>
                <w:r>
                  <w:rPr>
                    <w:b/>
                    <w:bCs/>
                    <w:color w:val="4F81BD" w:themeColor="accent1"/>
                    <w:sz w:val="28"/>
                    <w:szCs w:val="28"/>
                    <w:lang w:val="en-AU"/>
                  </w:rPr>
                  <w:t>CCP4</w:t>
                </w:r>
                <w:r w:rsidR="00293A10" w:rsidRPr="006657A3">
                  <w:rPr>
                    <w:b/>
                    <w:bCs/>
                    <w:color w:val="4F81BD" w:themeColor="accent1"/>
                    <w:sz w:val="28"/>
                    <w:szCs w:val="28"/>
                    <w:lang w:val="en-AU"/>
                  </w:rPr>
                  <w:t xml:space="preserve"> also includes</w:t>
                </w:r>
                <w:r w:rsidR="00D425BA" w:rsidRPr="006657A3">
                  <w:rPr>
                    <w:b/>
                    <w:bCs/>
                    <w:color w:val="4F81BD" w:themeColor="accent1"/>
                    <w:sz w:val="28"/>
                    <w:szCs w:val="28"/>
                    <w:lang w:val="en-AU"/>
                  </w:rPr>
                  <w:t>:</w:t>
                </w:r>
              </w:p>
              <w:p w:rsidR="006A06FC" w:rsidRDefault="00293A10">
                <w:pPr>
                  <w:pStyle w:val="NoSpacing"/>
                  <w:numPr>
                    <w:ilvl w:val="0"/>
                    <w:numId w:val="16"/>
                  </w:numPr>
                  <w:ind w:left="990" w:firstLine="0"/>
                  <w:jc w:val="left"/>
                  <w:rPr>
                    <w:b/>
                    <w:bCs/>
                    <w:color w:val="4F81BD" w:themeColor="accent1"/>
                    <w:sz w:val="28"/>
                    <w:szCs w:val="28"/>
                    <w:lang w:val="en-AU"/>
                  </w:rPr>
                </w:pPr>
                <w:r w:rsidRPr="006657A3">
                  <w:rPr>
                    <w:b/>
                    <w:bCs/>
                    <w:color w:val="4F81BD" w:themeColor="accent1"/>
                    <w:sz w:val="28"/>
                    <w:szCs w:val="28"/>
                    <w:lang w:val="en-AU"/>
                  </w:rPr>
                  <w:t xml:space="preserve">Jo de Silva who </w:t>
                </w:r>
                <w:r w:rsidR="00703BEF">
                  <w:rPr>
                    <w:b/>
                    <w:bCs/>
                    <w:color w:val="4F81BD" w:themeColor="accent1"/>
                    <w:sz w:val="28"/>
                    <w:szCs w:val="28"/>
                    <w:lang w:val="en-AU"/>
                  </w:rPr>
                  <w:t>has provided</w:t>
                </w:r>
                <w:r w:rsidRPr="006657A3">
                  <w:rPr>
                    <w:b/>
                    <w:bCs/>
                    <w:color w:val="4F81BD" w:themeColor="accent1"/>
                    <w:sz w:val="28"/>
                    <w:szCs w:val="28"/>
                    <w:lang w:val="en-AU"/>
                  </w:rPr>
                  <w:t xml:space="preserve"> a separate report</w:t>
                </w:r>
              </w:p>
              <w:p w:rsidR="006A06FC" w:rsidRDefault="00D425BA">
                <w:pPr>
                  <w:pStyle w:val="NoSpacing"/>
                  <w:numPr>
                    <w:ilvl w:val="0"/>
                    <w:numId w:val="16"/>
                  </w:numPr>
                  <w:ind w:left="990" w:firstLine="0"/>
                  <w:jc w:val="left"/>
                  <w:rPr>
                    <w:b/>
                    <w:bCs/>
                    <w:color w:val="4F81BD" w:themeColor="accent1"/>
                    <w:sz w:val="28"/>
                    <w:szCs w:val="28"/>
                    <w:lang w:val="en-AU"/>
                  </w:rPr>
                </w:pPr>
                <w:r w:rsidRPr="006657A3">
                  <w:rPr>
                    <w:b/>
                    <w:bCs/>
                    <w:color w:val="4F81BD" w:themeColor="accent1"/>
                    <w:sz w:val="28"/>
                    <w:szCs w:val="28"/>
                    <w:lang w:val="en-AU"/>
                  </w:rPr>
                  <w:t xml:space="preserve">Hugh Grant who </w:t>
                </w:r>
                <w:r w:rsidR="00703BEF">
                  <w:rPr>
                    <w:b/>
                    <w:bCs/>
                    <w:color w:val="4F81BD" w:themeColor="accent1"/>
                    <w:sz w:val="28"/>
                    <w:szCs w:val="28"/>
                    <w:lang w:val="en-AU"/>
                  </w:rPr>
                  <w:t>has not contributed to this report</w:t>
                </w:r>
              </w:p>
            </w:tc>
          </w:tr>
          <w:tr w:rsidR="00EF3CBE" w:rsidRPr="00AA5B97" w:rsidTr="00AD5526">
            <w:trPr>
              <w:trHeight w:val="360"/>
              <w:jc w:val="center"/>
            </w:trPr>
            <w:tc>
              <w:tcPr>
                <w:tcW w:w="5000" w:type="pct"/>
                <w:vAlign w:val="center"/>
              </w:tcPr>
              <w:p w:rsidR="0024444A" w:rsidRPr="001B242F" w:rsidRDefault="0024444A" w:rsidP="003E1B99">
                <w:pPr>
                  <w:pStyle w:val="NoSpacing"/>
                  <w:jc w:val="center"/>
                  <w:rPr>
                    <w:b/>
                    <w:bCs/>
                    <w:sz w:val="16"/>
                    <w:szCs w:val="16"/>
                    <w:highlight w:val="yellow"/>
                    <w:lang w:val="en-AU"/>
                  </w:rPr>
                </w:pPr>
              </w:p>
              <w:p w:rsidR="00461B2E" w:rsidRDefault="001B242F" w:rsidP="00F84BCB">
                <w:pPr>
                  <w:pStyle w:val="NoSpacing"/>
                  <w:jc w:val="center"/>
                  <w:rPr>
                    <w:b/>
                    <w:sz w:val="32"/>
                    <w:szCs w:val="32"/>
                    <w:lang w:val="en-AU"/>
                  </w:rPr>
                </w:pPr>
                <w:r>
                  <w:rPr>
                    <w:b/>
                    <w:bCs/>
                    <w:sz w:val="28"/>
                    <w:szCs w:val="28"/>
                    <w:lang w:val="en-AU"/>
                  </w:rPr>
                  <w:t>12 December</w:t>
                </w:r>
                <w:r w:rsidR="00293A10">
                  <w:rPr>
                    <w:b/>
                    <w:bCs/>
                    <w:sz w:val="28"/>
                    <w:szCs w:val="28"/>
                    <w:lang w:val="en-AU"/>
                  </w:rPr>
                  <w:t xml:space="preserve"> 2016</w:t>
                </w:r>
                <w:r w:rsidR="00461B2E" w:rsidRPr="00AA5B97">
                  <w:rPr>
                    <w:b/>
                    <w:sz w:val="32"/>
                    <w:szCs w:val="32"/>
                    <w:lang w:val="en-AU"/>
                  </w:rPr>
                  <w:br w:type="page"/>
                </w:r>
              </w:p>
              <w:p w:rsidR="001B242F" w:rsidRPr="001608A7" w:rsidRDefault="001B242F" w:rsidP="001608A7">
                <w:pPr>
                  <w:pStyle w:val="NoSpacing"/>
                  <w:jc w:val="center"/>
                  <w:rPr>
                    <w:b/>
                    <w:bCs/>
                    <w:color w:val="C00000"/>
                    <w:sz w:val="28"/>
                    <w:szCs w:val="28"/>
                    <w:lang w:val="en-AU"/>
                  </w:rPr>
                </w:pPr>
                <w:r w:rsidRPr="001608A7">
                  <w:rPr>
                    <w:b/>
                    <w:bCs/>
                    <w:color w:val="C00000"/>
                    <w:sz w:val="28"/>
                    <w:szCs w:val="28"/>
                    <w:lang w:val="en-AU"/>
                  </w:rPr>
                  <w:t xml:space="preserve">This report updates the report dated 25 November 2016. The changes made </w:t>
                </w:r>
                <w:r w:rsidR="00D557A3" w:rsidRPr="001608A7">
                  <w:rPr>
                    <w:b/>
                    <w:bCs/>
                    <w:color w:val="C00000"/>
                    <w:sz w:val="28"/>
                    <w:szCs w:val="28"/>
                    <w:lang w:val="en-AU"/>
                  </w:rPr>
                  <w:t xml:space="preserve">to the </w:t>
                </w:r>
                <w:r w:rsidR="00163DDC">
                  <w:rPr>
                    <w:b/>
                    <w:bCs/>
                    <w:color w:val="C00000"/>
                    <w:sz w:val="28"/>
                    <w:szCs w:val="28"/>
                    <w:lang w:val="en-AU"/>
                  </w:rPr>
                  <w:t xml:space="preserve">earlier </w:t>
                </w:r>
                <w:r w:rsidR="00D557A3" w:rsidRPr="001608A7">
                  <w:rPr>
                    <w:b/>
                    <w:bCs/>
                    <w:color w:val="C00000"/>
                    <w:sz w:val="28"/>
                    <w:szCs w:val="28"/>
                    <w:lang w:val="en-AU"/>
                  </w:rPr>
                  <w:t xml:space="preserve">report </w:t>
                </w:r>
                <w:r w:rsidRPr="001608A7">
                  <w:rPr>
                    <w:b/>
                    <w:bCs/>
                    <w:color w:val="C00000"/>
                    <w:sz w:val="28"/>
                    <w:szCs w:val="28"/>
                    <w:lang w:val="en-AU"/>
                  </w:rPr>
                  <w:t xml:space="preserve">are provided in dark </w:t>
                </w:r>
                <w:r w:rsidR="001608A7">
                  <w:rPr>
                    <w:b/>
                    <w:bCs/>
                    <w:color w:val="C00000"/>
                    <w:sz w:val="28"/>
                    <w:szCs w:val="28"/>
                    <w:lang w:val="en-AU"/>
                  </w:rPr>
                  <w:t>red</w:t>
                </w:r>
              </w:p>
            </w:tc>
          </w:tr>
        </w:tbl>
        <w:p w:rsidR="00142C50" w:rsidRDefault="00461B2E">
          <w:pPr>
            <w:spacing w:line="240" w:lineRule="auto"/>
            <w:rPr>
              <w:lang w:val="en-AU"/>
            </w:rPr>
          </w:pPr>
          <w:r>
            <w:rPr>
              <w:lang w:val="en-AU"/>
            </w:rPr>
            <w:br w:type="page"/>
          </w:r>
        </w:p>
        <w:tbl>
          <w:tblPr>
            <w:tblpPr w:leftFromText="187" w:rightFromText="187" w:horzAnchor="margin" w:tblpXSpec="center" w:tblpYSpec="bottom"/>
            <w:tblW w:w="5000" w:type="pct"/>
            <w:tblLook w:val="04A0" w:firstRow="1" w:lastRow="0" w:firstColumn="1" w:lastColumn="0" w:noHBand="0" w:noVBand="1"/>
          </w:tblPr>
          <w:tblGrid>
            <w:gridCol w:w="9004"/>
          </w:tblGrid>
          <w:tr w:rsidR="00EF3CBE" w:rsidRPr="00AA5B97" w:rsidTr="00AD5526">
            <w:tc>
              <w:tcPr>
                <w:tcW w:w="5000" w:type="pct"/>
              </w:tcPr>
              <w:p w:rsidR="00EF3CBE" w:rsidRPr="00AA5B97" w:rsidRDefault="00EF3CBE" w:rsidP="00AD5526">
                <w:pPr>
                  <w:pStyle w:val="NoSpacing"/>
                  <w:rPr>
                    <w:lang w:val="en-AU"/>
                  </w:rPr>
                </w:pPr>
              </w:p>
            </w:tc>
          </w:tr>
        </w:tbl>
        <w:p w:rsidR="006657A3" w:rsidRPr="006657A3" w:rsidRDefault="007E602D" w:rsidP="006657A3">
          <w:pPr>
            <w:tabs>
              <w:tab w:val="left" w:pos="8244"/>
            </w:tabs>
            <w:spacing w:after="0" w:line="240" w:lineRule="auto"/>
            <w:rPr>
              <w:b/>
              <w:sz w:val="16"/>
              <w:szCs w:val="16"/>
              <w:lang w:val="en-AU"/>
            </w:rPr>
          </w:pPr>
        </w:p>
      </w:sdtContent>
    </w:sdt>
    <w:p w:rsidR="00142C50" w:rsidRDefault="00937D56">
      <w:pPr>
        <w:tabs>
          <w:tab w:val="left" w:pos="8244"/>
        </w:tabs>
        <w:rPr>
          <w:b/>
          <w:sz w:val="28"/>
          <w:szCs w:val="28"/>
          <w:lang w:val="en-AU"/>
        </w:rPr>
      </w:pPr>
      <w:r w:rsidRPr="00AA5B97">
        <w:rPr>
          <w:b/>
          <w:sz w:val="28"/>
          <w:szCs w:val="28"/>
          <w:lang w:val="en-AU"/>
        </w:rPr>
        <w:t>1. Introduction</w:t>
      </w:r>
    </w:p>
    <w:p w:rsidR="001A0643" w:rsidRPr="00AA5B97" w:rsidRDefault="003E1B99" w:rsidP="00B9275F">
      <w:pPr>
        <w:spacing w:line="240" w:lineRule="auto"/>
        <w:rPr>
          <w:sz w:val="24"/>
          <w:szCs w:val="24"/>
          <w:lang w:val="en-AU"/>
        </w:rPr>
      </w:pPr>
      <w:r w:rsidRPr="00AA5B97">
        <w:rPr>
          <w:sz w:val="24"/>
          <w:szCs w:val="24"/>
          <w:lang w:val="en-AU"/>
        </w:rPr>
        <w:t xml:space="preserve">The purpose of this document is to deliver the views to the Australian Energy Regulator (AER) of the Consumer Challenge Panel (CCP) charged with providing input into the </w:t>
      </w:r>
      <w:r w:rsidR="00B9275F" w:rsidRPr="00AA5B97">
        <w:rPr>
          <w:sz w:val="24"/>
          <w:szCs w:val="24"/>
          <w:lang w:val="en-AU"/>
        </w:rPr>
        <w:t>revenue reset for the 201</w:t>
      </w:r>
      <w:r w:rsidR="00293A10">
        <w:rPr>
          <w:sz w:val="24"/>
          <w:szCs w:val="24"/>
          <w:lang w:val="en-AU"/>
        </w:rPr>
        <w:t>7</w:t>
      </w:r>
      <w:r w:rsidR="00B9275F" w:rsidRPr="00AA5B97">
        <w:rPr>
          <w:sz w:val="24"/>
          <w:szCs w:val="24"/>
          <w:lang w:val="en-AU"/>
        </w:rPr>
        <w:t>-20</w:t>
      </w:r>
      <w:r w:rsidR="00293A10">
        <w:rPr>
          <w:sz w:val="24"/>
          <w:szCs w:val="24"/>
          <w:lang w:val="en-AU"/>
        </w:rPr>
        <w:t>19</w:t>
      </w:r>
      <w:r w:rsidR="00B9275F" w:rsidRPr="00AA5B97">
        <w:rPr>
          <w:sz w:val="24"/>
          <w:szCs w:val="24"/>
          <w:lang w:val="en-AU"/>
        </w:rPr>
        <w:t xml:space="preserve"> regulatory period</w:t>
      </w:r>
      <w:r w:rsidRPr="00AA5B97">
        <w:rPr>
          <w:sz w:val="24"/>
          <w:szCs w:val="24"/>
          <w:lang w:val="en-AU"/>
        </w:rPr>
        <w:t xml:space="preserve"> for the </w:t>
      </w:r>
      <w:r w:rsidR="00293A10">
        <w:rPr>
          <w:sz w:val="24"/>
          <w:szCs w:val="24"/>
          <w:lang w:val="en-AU"/>
        </w:rPr>
        <w:t>Tasmanian</w:t>
      </w:r>
      <w:r w:rsidRPr="00AA5B97">
        <w:rPr>
          <w:sz w:val="24"/>
          <w:szCs w:val="24"/>
          <w:lang w:val="en-AU"/>
        </w:rPr>
        <w:t xml:space="preserve"> electricity distribution network service provider</w:t>
      </w:r>
      <w:r w:rsidR="00293A10">
        <w:rPr>
          <w:sz w:val="24"/>
          <w:szCs w:val="24"/>
          <w:lang w:val="en-AU"/>
        </w:rPr>
        <w:t xml:space="preserve"> TasNetworks distribution (TND).</w:t>
      </w:r>
    </w:p>
    <w:p w:rsidR="00703BEF" w:rsidRDefault="002731C2" w:rsidP="001A0643">
      <w:pPr>
        <w:spacing w:line="240" w:lineRule="auto"/>
        <w:rPr>
          <w:sz w:val="24"/>
          <w:szCs w:val="24"/>
          <w:lang w:val="en-AU"/>
        </w:rPr>
      </w:pPr>
      <w:r w:rsidRPr="00AA5B97">
        <w:rPr>
          <w:sz w:val="24"/>
          <w:szCs w:val="24"/>
          <w:lang w:val="en-AU"/>
        </w:rPr>
        <w:t xml:space="preserve">CCP Sub Panel </w:t>
      </w:r>
      <w:r>
        <w:rPr>
          <w:sz w:val="24"/>
          <w:szCs w:val="24"/>
          <w:lang w:val="en-AU"/>
        </w:rPr>
        <w:t>4</w:t>
      </w:r>
      <w:r w:rsidRPr="00AA5B97">
        <w:rPr>
          <w:sz w:val="24"/>
          <w:szCs w:val="24"/>
          <w:lang w:val="en-AU"/>
        </w:rPr>
        <w:t xml:space="preserve"> (</w:t>
      </w:r>
      <w:r w:rsidR="00703BEF">
        <w:rPr>
          <w:sz w:val="24"/>
          <w:szCs w:val="24"/>
          <w:lang w:val="en-AU"/>
        </w:rPr>
        <w:t>CCP4</w:t>
      </w:r>
      <w:r w:rsidRPr="00AA5B97">
        <w:rPr>
          <w:sz w:val="24"/>
          <w:szCs w:val="24"/>
          <w:lang w:val="en-AU"/>
        </w:rPr>
        <w:t>) has carried out this review</w:t>
      </w:r>
      <w:r>
        <w:rPr>
          <w:sz w:val="24"/>
          <w:szCs w:val="24"/>
          <w:lang w:val="en-AU"/>
        </w:rPr>
        <w:t xml:space="preserve">, although this report is provided by </w:t>
      </w:r>
      <w:r w:rsidR="00703BEF">
        <w:rPr>
          <w:sz w:val="24"/>
          <w:szCs w:val="24"/>
          <w:lang w:val="en-AU"/>
        </w:rPr>
        <w:t>CCP4</w:t>
      </w:r>
      <w:r>
        <w:rPr>
          <w:sz w:val="24"/>
          <w:szCs w:val="24"/>
          <w:lang w:val="en-AU"/>
        </w:rPr>
        <w:t xml:space="preserve"> member David Headberry as the other members of </w:t>
      </w:r>
      <w:r w:rsidR="00703BEF">
        <w:rPr>
          <w:sz w:val="24"/>
          <w:szCs w:val="24"/>
          <w:lang w:val="en-AU"/>
        </w:rPr>
        <w:t>CCP4:</w:t>
      </w:r>
    </w:p>
    <w:p w:rsidR="006A06FC" w:rsidRDefault="002731C2">
      <w:pPr>
        <w:pStyle w:val="ListParagraph"/>
        <w:numPr>
          <w:ilvl w:val="0"/>
          <w:numId w:val="17"/>
        </w:numPr>
        <w:spacing w:after="200"/>
        <w:ind w:left="778"/>
        <w:rPr>
          <w:rFonts w:asciiTheme="minorHAnsi" w:hAnsiTheme="minorHAnsi"/>
        </w:rPr>
      </w:pPr>
      <w:r w:rsidRPr="00703BEF">
        <w:rPr>
          <w:rFonts w:asciiTheme="minorHAnsi" w:hAnsiTheme="minorHAnsi"/>
        </w:rPr>
        <w:t xml:space="preserve">Jo de Silva </w:t>
      </w:r>
      <w:r w:rsidR="00E1317B">
        <w:rPr>
          <w:rFonts w:asciiTheme="minorHAnsi" w:hAnsiTheme="minorHAnsi"/>
        </w:rPr>
        <w:t>is providing</w:t>
      </w:r>
      <w:r w:rsidRPr="00703BEF">
        <w:rPr>
          <w:rFonts w:asciiTheme="minorHAnsi" w:hAnsiTheme="minorHAnsi"/>
        </w:rPr>
        <w:t xml:space="preserve"> a separate report and </w:t>
      </w:r>
    </w:p>
    <w:p w:rsidR="006A06FC" w:rsidRDefault="002731C2">
      <w:pPr>
        <w:pStyle w:val="ListParagraph"/>
        <w:numPr>
          <w:ilvl w:val="0"/>
          <w:numId w:val="17"/>
        </w:numPr>
        <w:spacing w:after="200"/>
        <w:ind w:left="778"/>
        <w:rPr>
          <w:rFonts w:asciiTheme="minorHAnsi" w:hAnsiTheme="minorHAnsi"/>
        </w:rPr>
      </w:pPr>
      <w:r w:rsidRPr="00703BEF">
        <w:rPr>
          <w:rFonts w:asciiTheme="minorHAnsi" w:hAnsiTheme="minorHAnsi"/>
        </w:rPr>
        <w:t xml:space="preserve">Hugh Grant </w:t>
      </w:r>
      <w:r w:rsidR="00703BEF" w:rsidRPr="00703BEF">
        <w:rPr>
          <w:rFonts w:asciiTheme="minorHAnsi" w:hAnsiTheme="minorHAnsi"/>
        </w:rPr>
        <w:t xml:space="preserve">has </w:t>
      </w:r>
      <w:r w:rsidR="00703BEF">
        <w:rPr>
          <w:rFonts w:asciiTheme="minorHAnsi" w:hAnsiTheme="minorHAnsi"/>
        </w:rPr>
        <w:t xml:space="preserve">had little </w:t>
      </w:r>
      <w:r w:rsidR="004C5553">
        <w:rPr>
          <w:rFonts w:asciiTheme="minorHAnsi" w:hAnsiTheme="minorHAnsi"/>
        </w:rPr>
        <w:t xml:space="preserve">direct </w:t>
      </w:r>
      <w:r w:rsidR="00703BEF">
        <w:rPr>
          <w:rFonts w:asciiTheme="minorHAnsi" w:hAnsiTheme="minorHAnsi"/>
        </w:rPr>
        <w:t>input into this report</w:t>
      </w:r>
      <w:r w:rsidRPr="00703BEF">
        <w:rPr>
          <w:rFonts w:asciiTheme="minorHAnsi" w:hAnsiTheme="minorHAnsi"/>
        </w:rPr>
        <w:t xml:space="preserve">.  </w:t>
      </w:r>
    </w:p>
    <w:p w:rsidR="00703BEF" w:rsidRDefault="00703BEF" w:rsidP="00345E27">
      <w:pPr>
        <w:spacing w:line="240" w:lineRule="auto"/>
        <w:rPr>
          <w:sz w:val="24"/>
          <w:szCs w:val="24"/>
          <w:lang w:val="en-AU"/>
        </w:rPr>
      </w:pPr>
      <w:r>
        <w:rPr>
          <w:sz w:val="24"/>
          <w:szCs w:val="24"/>
          <w:lang w:val="en-AU"/>
        </w:rPr>
        <w:t>Throughout this report, reference to CCP4(DH) refers to the views of David Headberry in his role as a member of CCP</w:t>
      </w:r>
      <w:r w:rsidR="004C5553">
        <w:rPr>
          <w:sz w:val="24"/>
          <w:szCs w:val="24"/>
          <w:lang w:val="en-AU"/>
        </w:rPr>
        <w:t>4</w:t>
      </w:r>
      <w:r>
        <w:rPr>
          <w:sz w:val="24"/>
          <w:szCs w:val="24"/>
          <w:lang w:val="en-AU"/>
        </w:rPr>
        <w:t xml:space="preserve">. </w:t>
      </w:r>
      <w:r w:rsidR="00E92921">
        <w:rPr>
          <w:sz w:val="24"/>
          <w:szCs w:val="24"/>
          <w:lang w:val="en-AU"/>
        </w:rPr>
        <w:t>Also throughout this report is made reference to the report CCP4(DH) provided in the TND proposal – this is referred to as the “earlier report” throughout this submission.</w:t>
      </w:r>
    </w:p>
    <w:p w:rsidR="00766677" w:rsidRPr="00AA5B97" w:rsidRDefault="00703BEF" w:rsidP="00345E27">
      <w:pPr>
        <w:spacing w:line="240" w:lineRule="auto"/>
        <w:rPr>
          <w:sz w:val="24"/>
          <w:szCs w:val="24"/>
          <w:lang w:val="en-AU"/>
        </w:rPr>
      </w:pPr>
      <w:r>
        <w:rPr>
          <w:sz w:val="24"/>
          <w:szCs w:val="24"/>
          <w:lang w:val="en-AU"/>
        </w:rPr>
        <w:t>CCP4(DH)</w:t>
      </w:r>
      <w:r w:rsidR="00B9275F" w:rsidRPr="00AA5B97">
        <w:rPr>
          <w:sz w:val="24"/>
          <w:szCs w:val="24"/>
          <w:lang w:val="en-AU"/>
        </w:rPr>
        <w:t xml:space="preserve"> has only</w:t>
      </w:r>
      <w:r w:rsidR="003E1B99" w:rsidRPr="00AA5B97">
        <w:rPr>
          <w:sz w:val="24"/>
          <w:szCs w:val="24"/>
          <w:lang w:val="en-AU"/>
        </w:rPr>
        <w:t xml:space="preserve"> provide</w:t>
      </w:r>
      <w:r w:rsidR="00E05D97" w:rsidRPr="00AA5B97">
        <w:rPr>
          <w:sz w:val="24"/>
          <w:szCs w:val="24"/>
          <w:lang w:val="en-AU"/>
        </w:rPr>
        <w:t>d</w:t>
      </w:r>
      <w:r w:rsidR="003E1B99" w:rsidRPr="00AA5B97">
        <w:rPr>
          <w:sz w:val="24"/>
          <w:szCs w:val="24"/>
          <w:lang w:val="en-AU"/>
        </w:rPr>
        <w:t xml:space="preserve"> input </w:t>
      </w:r>
      <w:r w:rsidR="00B9275F" w:rsidRPr="00AA5B97">
        <w:rPr>
          <w:sz w:val="24"/>
          <w:szCs w:val="24"/>
          <w:lang w:val="en-AU"/>
        </w:rPr>
        <w:t>in passing regarding</w:t>
      </w:r>
      <w:r w:rsidR="003E1B99" w:rsidRPr="00AA5B97">
        <w:rPr>
          <w:sz w:val="24"/>
          <w:szCs w:val="24"/>
          <w:lang w:val="en-AU"/>
        </w:rPr>
        <w:t xml:space="preserve"> those aspects of the review where the AER has </w:t>
      </w:r>
      <w:r w:rsidR="00E1317B">
        <w:rPr>
          <w:sz w:val="24"/>
          <w:szCs w:val="24"/>
          <w:lang w:val="en-AU"/>
        </w:rPr>
        <w:t>implemented a “mechanical” approach to setting the outputs</w:t>
      </w:r>
      <w:r w:rsidR="00B9275F" w:rsidRPr="00AA5B97">
        <w:rPr>
          <w:sz w:val="24"/>
          <w:szCs w:val="24"/>
          <w:lang w:val="en-AU"/>
        </w:rPr>
        <w:t xml:space="preserve"> </w:t>
      </w:r>
      <w:r w:rsidR="00766677" w:rsidRPr="00AA5B97">
        <w:rPr>
          <w:sz w:val="24"/>
          <w:szCs w:val="24"/>
          <w:lang w:val="en-AU"/>
        </w:rPr>
        <w:t xml:space="preserve">Such </w:t>
      </w:r>
      <w:r w:rsidR="00693A2D">
        <w:rPr>
          <w:sz w:val="24"/>
          <w:szCs w:val="24"/>
          <w:lang w:val="en-AU"/>
        </w:rPr>
        <w:t>aspects</w:t>
      </w:r>
      <w:r w:rsidR="00E1317B" w:rsidRPr="00AA5B97">
        <w:rPr>
          <w:sz w:val="24"/>
          <w:szCs w:val="24"/>
          <w:lang w:val="en-AU"/>
        </w:rPr>
        <w:t xml:space="preserve"> </w:t>
      </w:r>
      <w:r w:rsidR="00766677" w:rsidRPr="00AA5B97">
        <w:rPr>
          <w:sz w:val="24"/>
          <w:szCs w:val="24"/>
          <w:lang w:val="en-AU"/>
        </w:rPr>
        <w:t>include the approach to the roll forward of the regulatory asset base, es</w:t>
      </w:r>
      <w:r w:rsidR="00B9275F" w:rsidRPr="00AA5B97">
        <w:rPr>
          <w:sz w:val="24"/>
          <w:szCs w:val="24"/>
          <w:lang w:val="en-AU"/>
        </w:rPr>
        <w:t>calation and growth factors, and other areas</w:t>
      </w:r>
      <w:r w:rsidR="00766677" w:rsidRPr="00AA5B97">
        <w:rPr>
          <w:sz w:val="24"/>
          <w:szCs w:val="24"/>
          <w:lang w:val="en-AU"/>
        </w:rPr>
        <w:t xml:space="preserve"> where the AER has what could almost be termed automatic processes. </w:t>
      </w:r>
    </w:p>
    <w:p w:rsidR="00A21397" w:rsidRPr="00AA5B97" w:rsidRDefault="00703BEF" w:rsidP="00B9275F">
      <w:pPr>
        <w:spacing w:line="240" w:lineRule="auto"/>
        <w:rPr>
          <w:sz w:val="24"/>
          <w:szCs w:val="24"/>
          <w:lang w:val="en-AU"/>
        </w:rPr>
      </w:pPr>
      <w:r>
        <w:rPr>
          <w:sz w:val="24"/>
          <w:szCs w:val="24"/>
          <w:lang w:val="en-AU"/>
        </w:rPr>
        <w:t>CCP4(DH)</w:t>
      </w:r>
      <w:r w:rsidR="00766677" w:rsidRPr="00AA5B97">
        <w:rPr>
          <w:sz w:val="24"/>
          <w:szCs w:val="24"/>
          <w:lang w:val="en-AU"/>
        </w:rPr>
        <w:t xml:space="preserve"> has </w:t>
      </w:r>
      <w:r w:rsidR="00B9275F" w:rsidRPr="00AA5B97">
        <w:rPr>
          <w:sz w:val="24"/>
          <w:szCs w:val="24"/>
          <w:lang w:val="en-AU"/>
        </w:rPr>
        <w:t xml:space="preserve">instead </w:t>
      </w:r>
      <w:r w:rsidR="00766677" w:rsidRPr="00AA5B97">
        <w:rPr>
          <w:sz w:val="24"/>
          <w:szCs w:val="24"/>
          <w:lang w:val="en-AU"/>
        </w:rPr>
        <w:t xml:space="preserve">focused on aspects of the </w:t>
      </w:r>
      <w:r w:rsidR="00E1317B">
        <w:rPr>
          <w:sz w:val="24"/>
          <w:szCs w:val="24"/>
          <w:lang w:val="en-AU"/>
        </w:rPr>
        <w:t>draft decision</w:t>
      </w:r>
      <w:r w:rsidR="00E1317B" w:rsidRPr="00AA5B97">
        <w:rPr>
          <w:sz w:val="24"/>
          <w:szCs w:val="24"/>
          <w:lang w:val="en-AU"/>
        </w:rPr>
        <w:t xml:space="preserve"> </w:t>
      </w:r>
      <w:r w:rsidR="00766677" w:rsidRPr="00AA5B97">
        <w:rPr>
          <w:sz w:val="24"/>
          <w:szCs w:val="24"/>
          <w:lang w:val="en-AU"/>
        </w:rPr>
        <w:t xml:space="preserve">where it considers that there are significant issues to be addressed </w:t>
      </w:r>
      <w:r w:rsidR="00B9275F" w:rsidRPr="00AA5B97">
        <w:rPr>
          <w:sz w:val="24"/>
          <w:szCs w:val="24"/>
          <w:lang w:val="en-AU"/>
        </w:rPr>
        <w:t>that</w:t>
      </w:r>
      <w:r w:rsidR="00766677" w:rsidRPr="00AA5B97">
        <w:rPr>
          <w:sz w:val="24"/>
          <w:szCs w:val="24"/>
          <w:lang w:val="en-AU"/>
        </w:rPr>
        <w:t xml:space="preserve"> will have considerable impact on the outturn assessments made by the AER</w:t>
      </w:r>
      <w:r w:rsidR="00687EC9" w:rsidRPr="00AA5B97">
        <w:rPr>
          <w:sz w:val="24"/>
          <w:szCs w:val="24"/>
          <w:lang w:val="en-AU"/>
        </w:rPr>
        <w:t xml:space="preserve"> in its role of establishing a “</w:t>
      </w:r>
      <w:r w:rsidR="00766677" w:rsidRPr="00AA5B97">
        <w:rPr>
          <w:sz w:val="24"/>
          <w:szCs w:val="24"/>
          <w:lang w:val="en-AU"/>
        </w:rPr>
        <w:t>bucket of money</w:t>
      </w:r>
      <w:r w:rsidR="00687EC9" w:rsidRPr="00AA5B97">
        <w:rPr>
          <w:sz w:val="24"/>
          <w:szCs w:val="24"/>
          <w:lang w:val="en-AU"/>
        </w:rPr>
        <w:t>”</w:t>
      </w:r>
      <w:r w:rsidR="00766677" w:rsidRPr="00AA5B97">
        <w:rPr>
          <w:sz w:val="24"/>
          <w:szCs w:val="24"/>
          <w:lang w:val="en-AU"/>
        </w:rPr>
        <w:t xml:space="preserve"> sufficient for the efficient distribution network services provider to deliver the </w:t>
      </w:r>
      <w:r w:rsidR="00F961C1" w:rsidRPr="00AA5B97">
        <w:rPr>
          <w:sz w:val="24"/>
          <w:szCs w:val="24"/>
          <w:lang w:val="en-AU"/>
        </w:rPr>
        <w:t>services required by consumers.</w:t>
      </w:r>
    </w:p>
    <w:p w:rsidR="0098681D" w:rsidRPr="00AA5B97" w:rsidRDefault="00E1317B" w:rsidP="0017670A">
      <w:pPr>
        <w:spacing w:line="240" w:lineRule="auto"/>
        <w:rPr>
          <w:sz w:val="24"/>
          <w:szCs w:val="24"/>
          <w:lang w:val="en-AU"/>
        </w:rPr>
      </w:pPr>
      <w:r>
        <w:rPr>
          <w:sz w:val="24"/>
          <w:szCs w:val="24"/>
          <w:lang w:val="en-AU"/>
        </w:rPr>
        <w:t xml:space="preserve">The AER draft decision </w:t>
      </w:r>
      <w:r w:rsidR="001E1F33">
        <w:rPr>
          <w:sz w:val="24"/>
          <w:szCs w:val="24"/>
          <w:lang w:val="en-AU"/>
        </w:rPr>
        <w:t xml:space="preserve">utilises </w:t>
      </w:r>
      <w:r>
        <w:rPr>
          <w:sz w:val="24"/>
          <w:szCs w:val="24"/>
          <w:lang w:val="en-AU"/>
        </w:rPr>
        <w:t xml:space="preserve">the </w:t>
      </w:r>
      <w:r w:rsidR="00CD5ADC">
        <w:rPr>
          <w:sz w:val="24"/>
          <w:szCs w:val="24"/>
          <w:lang w:val="en-AU"/>
        </w:rPr>
        <w:t xml:space="preserve">suite of </w:t>
      </w:r>
      <w:r w:rsidR="00AF6B98">
        <w:rPr>
          <w:sz w:val="24"/>
          <w:szCs w:val="24"/>
          <w:lang w:val="en-AU"/>
        </w:rPr>
        <w:t xml:space="preserve">guidelines established by the </w:t>
      </w:r>
      <w:r w:rsidR="00687EC9" w:rsidRPr="00AA5B97">
        <w:rPr>
          <w:sz w:val="24"/>
          <w:szCs w:val="24"/>
          <w:lang w:val="en-AU"/>
        </w:rPr>
        <w:t>AER as part of the B</w:t>
      </w:r>
      <w:r w:rsidR="0098681D" w:rsidRPr="00AA5B97">
        <w:rPr>
          <w:sz w:val="24"/>
          <w:szCs w:val="24"/>
          <w:lang w:val="en-AU"/>
        </w:rPr>
        <w:t>etter Regulation program that arose from changes to the N</w:t>
      </w:r>
      <w:r w:rsidR="0017670A" w:rsidRPr="00AA5B97">
        <w:rPr>
          <w:sz w:val="24"/>
          <w:szCs w:val="24"/>
          <w:lang w:val="en-AU"/>
        </w:rPr>
        <w:t>ational Electricity Rules</w:t>
      </w:r>
      <w:r w:rsidR="00687EC9" w:rsidRPr="00AA5B97">
        <w:rPr>
          <w:sz w:val="24"/>
          <w:szCs w:val="24"/>
          <w:lang w:val="en-AU"/>
        </w:rPr>
        <w:t xml:space="preserve">. </w:t>
      </w:r>
      <w:r w:rsidR="0017670A" w:rsidRPr="00AA5B97">
        <w:rPr>
          <w:sz w:val="24"/>
          <w:szCs w:val="24"/>
          <w:lang w:val="en-AU"/>
        </w:rPr>
        <w:t xml:space="preserve"> </w:t>
      </w:r>
      <w:r>
        <w:rPr>
          <w:sz w:val="24"/>
          <w:szCs w:val="24"/>
          <w:lang w:val="en-AU"/>
        </w:rPr>
        <w:t xml:space="preserve">In many cases, the proposal from TND followed these guidelines so there are a number of aspects where the AER has effectively accepted the TND proposals relating to these aspects. This report does not address aspects where there is congruence of the TND proposal and the AER draft decision other than to highlight </w:t>
      </w:r>
      <w:r w:rsidR="001E1F33">
        <w:rPr>
          <w:sz w:val="24"/>
          <w:szCs w:val="24"/>
          <w:lang w:val="en-AU"/>
        </w:rPr>
        <w:t xml:space="preserve">where </w:t>
      </w:r>
      <w:r>
        <w:rPr>
          <w:sz w:val="24"/>
          <w:szCs w:val="24"/>
          <w:lang w:val="en-AU"/>
        </w:rPr>
        <w:t xml:space="preserve">the AER guideline might be considered to be excessively conservative. This report also notes the outcomes of the Competition Tribunal decisions on the NSW distribution businesses and of the SA distribution business. </w:t>
      </w:r>
      <w:r w:rsidR="00AF6B98">
        <w:rPr>
          <w:sz w:val="24"/>
          <w:szCs w:val="24"/>
          <w:lang w:val="en-AU"/>
        </w:rPr>
        <w:t xml:space="preserve">  </w:t>
      </w:r>
    </w:p>
    <w:p w:rsidR="00AF6B98" w:rsidRDefault="00E1317B" w:rsidP="0017670A">
      <w:pPr>
        <w:spacing w:line="240" w:lineRule="auto"/>
        <w:rPr>
          <w:sz w:val="24"/>
          <w:szCs w:val="24"/>
          <w:lang w:val="en-AU"/>
        </w:rPr>
      </w:pPr>
      <w:r>
        <w:rPr>
          <w:sz w:val="24"/>
          <w:szCs w:val="24"/>
          <w:lang w:val="en-AU"/>
        </w:rPr>
        <w:t xml:space="preserve">This report notes that </w:t>
      </w:r>
      <w:r w:rsidR="00271F8B">
        <w:rPr>
          <w:sz w:val="24"/>
          <w:szCs w:val="24"/>
          <w:lang w:val="en-AU"/>
        </w:rPr>
        <w:t>the driving issue is that the final decision from the AER must be in the long term interests of consumers</w:t>
      </w:r>
      <w:r w:rsidR="0017670A" w:rsidRPr="00AA5B97">
        <w:rPr>
          <w:sz w:val="24"/>
          <w:szCs w:val="24"/>
          <w:lang w:val="en-AU"/>
        </w:rPr>
        <w:t xml:space="preserve"> while</w:t>
      </w:r>
      <w:r w:rsidR="00AF6B98">
        <w:rPr>
          <w:sz w:val="24"/>
          <w:szCs w:val="24"/>
          <w:lang w:val="en-AU"/>
        </w:rPr>
        <w:t>,</w:t>
      </w:r>
      <w:r w:rsidR="0017670A" w:rsidRPr="00AA5B97">
        <w:rPr>
          <w:sz w:val="24"/>
          <w:szCs w:val="24"/>
          <w:lang w:val="en-AU"/>
        </w:rPr>
        <w:t xml:space="preserve"> of course</w:t>
      </w:r>
      <w:r w:rsidR="00AF6B98">
        <w:rPr>
          <w:sz w:val="24"/>
          <w:szCs w:val="24"/>
          <w:lang w:val="en-AU"/>
        </w:rPr>
        <w:t>,</w:t>
      </w:r>
      <w:r w:rsidR="0017670A" w:rsidRPr="00AA5B97">
        <w:rPr>
          <w:sz w:val="24"/>
          <w:szCs w:val="24"/>
          <w:lang w:val="en-AU"/>
        </w:rPr>
        <w:t xml:space="preserve"> acting within the requirements of the Rules.</w:t>
      </w:r>
      <w:r w:rsidR="00AF6B98">
        <w:rPr>
          <w:sz w:val="24"/>
          <w:szCs w:val="24"/>
          <w:lang w:val="en-AU"/>
        </w:rPr>
        <w:t xml:space="preserve"> </w:t>
      </w:r>
      <w:r w:rsidR="00271F8B">
        <w:rPr>
          <w:sz w:val="24"/>
          <w:szCs w:val="24"/>
          <w:lang w:val="en-AU"/>
        </w:rPr>
        <w:t xml:space="preserve">In its response to the TND proposal, CCP4(DH) noted that </w:t>
      </w:r>
      <w:r w:rsidR="00AF6B98">
        <w:rPr>
          <w:sz w:val="24"/>
          <w:szCs w:val="24"/>
          <w:lang w:val="en-AU"/>
        </w:rPr>
        <w:t xml:space="preserve">the long term interests of consumers must </w:t>
      </w:r>
      <w:r w:rsidR="00271F8B">
        <w:rPr>
          <w:sz w:val="24"/>
          <w:szCs w:val="24"/>
          <w:lang w:val="en-AU"/>
        </w:rPr>
        <w:t>embrace the fact that the</w:t>
      </w:r>
      <w:r w:rsidR="00AF6B98">
        <w:rPr>
          <w:sz w:val="24"/>
          <w:szCs w:val="24"/>
          <w:lang w:val="en-AU"/>
        </w:rPr>
        <w:t xml:space="preserve"> actions of current consumers </w:t>
      </w:r>
      <w:r w:rsidR="004C5553">
        <w:rPr>
          <w:sz w:val="24"/>
          <w:szCs w:val="24"/>
          <w:lang w:val="en-AU"/>
        </w:rPr>
        <w:t>responding to</w:t>
      </w:r>
      <w:r w:rsidR="00AF6B98">
        <w:rPr>
          <w:sz w:val="24"/>
          <w:szCs w:val="24"/>
          <w:lang w:val="en-AU"/>
        </w:rPr>
        <w:t xml:space="preserve"> the impacts of the current review will have a significant impact on future </w:t>
      </w:r>
      <w:r w:rsidR="00AF6B98">
        <w:rPr>
          <w:sz w:val="24"/>
          <w:szCs w:val="24"/>
          <w:lang w:val="en-AU"/>
        </w:rPr>
        <w:lastRenderedPageBreak/>
        <w:t>consumers. In this regard, the costs and tariff structures that are put in place as a result of this revenue reset must provide an outcome that is efficient</w:t>
      </w:r>
      <w:r w:rsidR="004C5553">
        <w:rPr>
          <w:sz w:val="24"/>
          <w:szCs w:val="24"/>
          <w:lang w:val="en-AU"/>
        </w:rPr>
        <w:t xml:space="preserve"> now as well as into the future</w:t>
      </w:r>
      <w:r w:rsidR="00AF6B98">
        <w:rPr>
          <w:sz w:val="24"/>
          <w:szCs w:val="24"/>
          <w:lang w:val="en-AU"/>
        </w:rPr>
        <w:t xml:space="preserve">. </w:t>
      </w:r>
    </w:p>
    <w:p w:rsidR="00271F8B" w:rsidRDefault="00271F8B" w:rsidP="0017670A">
      <w:pPr>
        <w:spacing w:line="240" w:lineRule="auto"/>
        <w:rPr>
          <w:b/>
          <w:sz w:val="24"/>
          <w:szCs w:val="24"/>
          <w:lang w:val="en-AU"/>
        </w:rPr>
      </w:pPr>
    </w:p>
    <w:p w:rsidR="00E3221C" w:rsidRPr="00E3221C" w:rsidRDefault="00E3221C" w:rsidP="0017670A">
      <w:pPr>
        <w:spacing w:line="240" w:lineRule="auto"/>
        <w:rPr>
          <w:b/>
          <w:sz w:val="24"/>
          <w:szCs w:val="24"/>
          <w:lang w:val="en-AU"/>
        </w:rPr>
      </w:pPr>
      <w:r w:rsidRPr="00E3221C">
        <w:rPr>
          <w:b/>
          <w:sz w:val="24"/>
          <w:szCs w:val="24"/>
          <w:lang w:val="en-AU"/>
        </w:rPr>
        <w:t xml:space="preserve">1.1 </w:t>
      </w:r>
      <w:r w:rsidR="007127AC">
        <w:rPr>
          <w:b/>
          <w:sz w:val="24"/>
          <w:szCs w:val="24"/>
          <w:lang w:val="en-AU"/>
        </w:rPr>
        <w:t xml:space="preserve">Impact </w:t>
      </w:r>
      <w:r w:rsidRPr="00E3221C">
        <w:rPr>
          <w:b/>
          <w:sz w:val="24"/>
          <w:szCs w:val="24"/>
          <w:lang w:val="en-AU"/>
        </w:rPr>
        <w:t>of the TND proposal</w:t>
      </w:r>
      <w:r w:rsidR="007127AC">
        <w:rPr>
          <w:b/>
          <w:sz w:val="24"/>
          <w:szCs w:val="24"/>
          <w:lang w:val="en-AU"/>
        </w:rPr>
        <w:t xml:space="preserve"> on consumers</w:t>
      </w:r>
    </w:p>
    <w:p w:rsidR="00387139" w:rsidRDefault="006F3593" w:rsidP="0051507A">
      <w:pPr>
        <w:autoSpaceDE w:val="0"/>
        <w:autoSpaceDN w:val="0"/>
        <w:adjustRightInd w:val="0"/>
        <w:spacing w:line="240" w:lineRule="auto"/>
        <w:rPr>
          <w:sz w:val="24"/>
          <w:szCs w:val="24"/>
          <w:lang w:val="en-AU"/>
        </w:rPr>
      </w:pPr>
      <w:r>
        <w:rPr>
          <w:sz w:val="24"/>
          <w:szCs w:val="24"/>
          <w:lang w:val="en-AU"/>
        </w:rPr>
        <w:t>In its proposal, TND advised there would be a reduction in the revenue it sought. To a significant extent the AER Draft Decision accepts much of the TND proposal. The following graphic identifies where the</w:t>
      </w:r>
      <w:r w:rsidR="00387139">
        <w:rPr>
          <w:sz w:val="24"/>
          <w:szCs w:val="24"/>
          <w:lang w:val="en-AU"/>
        </w:rPr>
        <w:t>re are</w:t>
      </w:r>
      <w:r>
        <w:rPr>
          <w:sz w:val="24"/>
          <w:szCs w:val="24"/>
          <w:lang w:val="en-AU"/>
        </w:rPr>
        <w:t xml:space="preserve"> major differences are between the TND proposal and the draft decision. </w:t>
      </w:r>
    </w:p>
    <w:p w:rsidR="007B2E2F" w:rsidRDefault="001B242F" w:rsidP="0051507A">
      <w:pPr>
        <w:autoSpaceDE w:val="0"/>
        <w:autoSpaceDN w:val="0"/>
        <w:adjustRightInd w:val="0"/>
        <w:spacing w:line="240" w:lineRule="auto"/>
        <w:rPr>
          <w:sz w:val="24"/>
          <w:szCs w:val="24"/>
          <w:lang w:val="en-AU"/>
        </w:rPr>
      </w:pPr>
      <w:r>
        <w:rPr>
          <w:noProof/>
          <w:sz w:val="24"/>
          <w:szCs w:val="24"/>
          <w:lang w:val="en-AU" w:eastAsia="en-AU" w:bidi="ar-SA"/>
        </w:rPr>
        <w:drawing>
          <wp:inline distT="0" distB="0" distL="0" distR="0">
            <wp:extent cx="5334000" cy="3676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34000" cy="3676650"/>
                    </a:xfrm>
                    <a:prstGeom prst="rect">
                      <a:avLst/>
                    </a:prstGeom>
                    <a:noFill/>
                    <a:ln w="9525">
                      <a:noFill/>
                      <a:miter lim="800000"/>
                      <a:headEnd/>
                      <a:tailEnd/>
                    </a:ln>
                  </pic:spPr>
                </pic:pic>
              </a:graphicData>
            </a:graphic>
          </wp:inline>
        </w:drawing>
      </w:r>
    </w:p>
    <w:p w:rsidR="00387139" w:rsidRPr="00387139" w:rsidRDefault="00387139" w:rsidP="0051507A">
      <w:pPr>
        <w:autoSpaceDE w:val="0"/>
        <w:autoSpaceDN w:val="0"/>
        <w:adjustRightInd w:val="0"/>
        <w:spacing w:line="240" w:lineRule="auto"/>
        <w:rPr>
          <w:b/>
          <w:sz w:val="16"/>
          <w:szCs w:val="16"/>
          <w:lang w:val="en-AU"/>
        </w:rPr>
      </w:pPr>
      <w:r>
        <w:rPr>
          <w:b/>
          <w:sz w:val="16"/>
          <w:szCs w:val="16"/>
          <w:lang w:val="en-AU"/>
        </w:rPr>
        <w:t xml:space="preserve">Source: CCP4 using </w:t>
      </w:r>
      <w:r w:rsidR="001738D0">
        <w:rPr>
          <w:b/>
          <w:sz w:val="16"/>
          <w:szCs w:val="16"/>
          <w:lang w:val="en-AU"/>
        </w:rPr>
        <w:t>data from</w:t>
      </w:r>
      <w:r>
        <w:rPr>
          <w:b/>
          <w:sz w:val="16"/>
          <w:szCs w:val="16"/>
          <w:lang w:val="en-AU"/>
        </w:rPr>
        <w:t xml:space="preserve"> AER DD (attachment 1)</w:t>
      </w:r>
      <w:r w:rsidR="001B242F">
        <w:rPr>
          <w:b/>
          <w:sz w:val="16"/>
          <w:szCs w:val="16"/>
          <w:lang w:val="en-AU"/>
        </w:rPr>
        <w:t xml:space="preserve">, </w:t>
      </w:r>
      <w:r w:rsidR="001B242F" w:rsidRPr="001B242F">
        <w:rPr>
          <w:b/>
          <w:color w:val="1F497D" w:themeColor="text2"/>
          <w:sz w:val="16"/>
          <w:szCs w:val="16"/>
          <w:lang w:val="en-AU"/>
        </w:rPr>
        <w:t>TND rev proposal</w:t>
      </w:r>
      <w:r w:rsidR="001B242F">
        <w:rPr>
          <w:b/>
          <w:color w:val="1F497D" w:themeColor="text2"/>
          <w:sz w:val="16"/>
          <w:szCs w:val="16"/>
          <w:lang w:val="en-AU"/>
        </w:rPr>
        <w:t xml:space="preserve"> has been added</w:t>
      </w:r>
    </w:p>
    <w:p w:rsidR="00387139" w:rsidRPr="00387139" w:rsidRDefault="00387139" w:rsidP="0051507A">
      <w:pPr>
        <w:autoSpaceDE w:val="0"/>
        <w:autoSpaceDN w:val="0"/>
        <w:adjustRightInd w:val="0"/>
        <w:spacing w:line="240" w:lineRule="auto"/>
        <w:rPr>
          <w:rFonts w:cstheme="minorHAnsi"/>
          <w:sz w:val="24"/>
          <w:szCs w:val="24"/>
          <w:lang w:val="en-AU"/>
        </w:rPr>
      </w:pPr>
      <w:r w:rsidRPr="00387139">
        <w:rPr>
          <w:rFonts w:cstheme="minorHAnsi"/>
          <w:sz w:val="24"/>
          <w:szCs w:val="24"/>
          <w:lang w:val="en-AU"/>
        </w:rPr>
        <w:t>The major difference</w:t>
      </w:r>
      <w:r w:rsidR="001E1F33">
        <w:rPr>
          <w:rFonts w:cstheme="minorHAnsi"/>
          <w:sz w:val="24"/>
          <w:szCs w:val="24"/>
          <w:lang w:val="en-AU"/>
        </w:rPr>
        <w:t>s</w:t>
      </w:r>
      <w:r w:rsidRPr="00387139">
        <w:rPr>
          <w:rFonts w:cstheme="minorHAnsi"/>
          <w:sz w:val="24"/>
          <w:szCs w:val="24"/>
          <w:lang w:val="en-AU"/>
        </w:rPr>
        <w:t xml:space="preserve"> between the TND proposal and the AER DD lie with </w:t>
      </w:r>
    </w:p>
    <w:p w:rsidR="00CA46FF" w:rsidRDefault="00613DCC" w:rsidP="001E1F33">
      <w:pPr>
        <w:pStyle w:val="ListParagraph"/>
        <w:numPr>
          <w:ilvl w:val="0"/>
          <w:numId w:val="31"/>
        </w:numPr>
        <w:autoSpaceDE w:val="0"/>
        <w:autoSpaceDN w:val="0"/>
        <w:adjustRightInd w:val="0"/>
        <w:spacing w:after="200"/>
        <w:rPr>
          <w:rFonts w:cstheme="minorHAnsi"/>
        </w:rPr>
      </w:pPr>
      <w:r w:rsidRPr="00613DCC">
        <w:rPr>
          <w:rFonts w:asciiTheme="minorHAnsi" w:hAnsiTheme="minorHAnsi" w:cstheme="minorHAnsi"/>
        </w:rPr>
        <w:t>the rate of return on capital (where the AER uses a lower risk free rate</w:t>
      </w:r>
    </w:p>
    <w:p w:rsidR="00CA46FF" w:rsidRDefault="00387139" w:rsidP="001E1F33">
      <w:pPr>
        <w:pStyle w:val="ListParagraph"/>
        <w:numPr>
          <w:ilvl w:val="0"/>
          <w:numId w:val="31"/>
        </w:numPr>
        <w:autoSpaceDE w:val="0"/>
        <w:autoSpaceDN w:val="0"/>
        <w:adjustRightInd w:val="0"/>
        <w:spacing w:after="200"/>
        <w:rPr>
          <w:rFonts w:cstheme="minorHAnsi"/>
        </w:rPr>
      </w:pPr>
      <w:r>
        <w:rPr>
          <w:rFonts w:asciiTheme="minorHAnsi" w:hAnsiTheme="minorHAnsi" w:cstheme="minorHAnsi"/>
        </w:rPr>
        <w:t>regulatory depreciation where the AER uses a slightly lower starting point for the regulatory asset base (RAB) and a slightly lower inflation rate</w:t>
      </w:r>
    </w:p>
    <w:p w:rsidR="00CA46FF" w:rsidRDefault="00387139" w:rsidP="001E1F33">
      <w:pPr>
        <w:pStyle w:val="ListParagraph"/>
        <w:numPr>
          <w:ilvl w:val="0"/>
          <w:numId w:val="31"/>
        </w:numPr>
        <w:autoSpaceDE w:val="0"/>
        <w:autoSpaceDN w:val="0"/>
        <w:adjustRightInd w:val="0"/>
        <w:spacing w:after="200"/>
        <w:rPr>
          <w:rFonts w:cstheme="minorHAnsi"/>
        </w:rPr>
      </w:pPr>
      <w:r>
        <w:rPr>
          <w:rFonts w:asciiTheme="minorHAnsi" w:hAnsiTheme="minorHAnsi" w:cstheme="minorHAnsi"/>
        </w:rPr>
        <w:t>a significant adjustment to the efficiency benefit sharing scheme calculation</w:t>
      </w:r>
    </w:p>
    <w:p w:rsidR="00CA46FF" w:rsidRDefault="00387139" w:rsidP="001E1F33">
      <w:pPr>
        <w:pStyle w:val="ListParagraph"/>
        <w:numPr>
          <w:ilvl w:val="0"/>
          <w:numId w:val="31"/>
        </w:numPr>
        <w:autoSpaceDE w:val="0"/>
        <w:autoSpaceDN w:val="0"/>
        <w:adjustRightInd w:val="0"/>
        <w:spacing w:after="200"/>
        <w:rPr>
          <w:rFonts w:cstheme="minorHAnsi"/>
        </w:rPr>
      </w:pPr>
      <w:r>
        <w:rPr>
          <w:rFonts w:asciiTheme="minorHAnsi" w:hAnsiTheme="minorHAnsi" w:cstheme="minorHAnsi"/>
        </w:rPr>
        <w:t xml:space="preserve">a higher value for “gamma” </w:t>
      </w:r>
      <w:r w:rsidR="00693A2D">
        <w:rPr>
          <w:rFonts w:asciiTheme="minorHAnsi" w:hAnsiTheme="minorHAnsi" w:cstheme="minorHAnsi"/>
        </w:rPr>
        <w:t>resulting</w:t>
      </w:r>
      <w:r>
        <w:rPr>
          <w:rFonts w:asciiTheme="minorHAnsi" w:hAnsiTheme="minorHAnsi" w:cstheme="minorHAnsi"/>
        </w:rPr>
        <w:t xml:space="preserve"> in a lower tax allowance</w:t>
      </w:r>
    </w:p>
    <w:p w:rsidR="001B242F" w:rsidRPr="001608A7" w:rsidRDefault="001B242F" w:rsidP="001B242F">
      <w:pPr>
        <w:autoSpaceDE w:val="0"/>
        <w:autoSpaceDN w:val="0"/>
        <w:adjustRightInd w:val="0"/>
        <w:rPr>
          <w:color w:val="C00000"/>
          <w:sz w:val="24"/>
          <w:szCs w:val="24"/>
          <w:lang w:val="en-AU"/>
        </w:rPr>
      </w:pPr>
      <w:r w:rsidRPr="001608A7">
        <w:rPr>
          <w:color w:val="C00000"/>
          <w:sz w:val="24"/>
          <w:szCs w:val="24"/>
        </w:rPr>
        <w:t xml:space="preserve">The revised proposal accepts the approach used by the AER on rate of return, to depreciation, the adjustment to the efficiency benefit sharing scheme and tax allowance </w:t>
      </w:r>
      <w:r w:rsidRPr="001608A7">
        <w:rPr>
          <w:color w:val="C00000"/>
          <w:sz w:val="24"/>
          <w:szCs w:val="24"/>
        </w:rPr>
        <w:lastRenderedPageBreak/>
        <w:t xml:space="preserve">but increases the amount of opex. </w:t>
      </w:r>
      <w:r w:rsidRPr="001608A7">
        <w:rPr>
          <w:color w:val="C00000"/>
          <w:sz w:val="24"/>
          <w:szCs w:val="24"/>
          <w:lang w:val="en-AU"/>
        </w:rPr>
        <w:t>To all intents and purposes the revised proposal follows the AER draft decision</w:t>
      </w:r>
      <w:r w:rsidR="00DB7628" w:rsidRPr="001608A7">
        <w:rPr>
          <w:color w:val="C00000"/>
          <w:sz w:val="24"/>
          <w:szCs w:val="24"/>
          <w:lang w:val="en-AU"/>
        </w:rPr>
        <w:t xml:space="preserve"> </w:t>
      </w:r>
      <w:r w:rsidRPr="001608A7">
        <w:rPr>
          <w:color w:val="C00000"/>
          <w:sz w:val="24"/>
          <w:szCs w:val="24"/>
          <w:lang w:val="en-AU"/>
        </w:rPr>
        <w:t>but with an increase</w:t>
      </w:r>
      <w:r w:rsidR="00DB7628" w:rsidRPr="001608A7">
        <w:rPr>
          <w:color w:val="C00000"/>
          <w:sz w:val="24"/>
          <w:szCs w:val="24"/>
          <w:lang w:val="en-AU"/>
        </w:rPr>
        <w:t xml:space="preserve"> </w:t>
      </w:r>
      <w:r w:rsidRPr="001608A7">
        <w:rPr>
          <w:color w:val="C00000"/>
          <w:sz w:val="24"/>
          <w:szCs w:val="24"/>
          <w:lang w:val="en-AU"/>
        </w:rPr>
        <w:t xml:space="preserve">in </w:t>
      </w:r>
      <w:r w:rsidR="00DB7628" w:rsidRPr="001608A7">
        <w:rPr>
          <w:color w:val="C00000"/>
          <w:sz w:val="24"/>
          <w:szCs w:val="24"/>
          <w:lang w:val="en-AU"/>
        </w:rPr>
        <w:t xml:space="preserve">opex. </w:t>
      </w:r>
      <w:r w:rsidRPr="001608A7">
        <w:rPr>
          <w:color w:val="C00000"/>
          <w:sz w:val="24"/>
          <w:szCs w:val="24"/>
          <w:lang w:val="en-AU"/>
        </w:rPr>
        <w:t xml:space="preserve"> </w:t>
      </w:r>
    </w:p>
    <w:p w:rsidR="00CD10D3" w:rsidRDefault="00E3221C" w:rsidP="0051507A">
      <w:pPr>
        <w:autoSpaceDE w:val="0"/>
        <w:autoSpaceDN w:val="0"/>
        <w:adjustRightInd w:val="0"/>
        <w:spacing w:line="240" w:lineRule="auto"/>
        <w:rPr>
          <w:sz w:val="24"/>
          <w:szCs w:val="24"/>
          <w:lang w:val="en-AU"/>
        </w:rPr>
      </w:pPr>
      <w:r>
        <w:rPr>
          <w:sz w:val="24"/>
          <w:szCs w:val="24"/>
          <w:lang w:val="en-AU"/>
        </w:rPr>
        <w:t xml:space="preserve">At a high level, TND </w:t>
      </w:r>
      <w:r w:rsidR="002E3529">
        <w:rPr>
          <w:sz w:val="24"/>
          <w:szCs w:val="24"/>
          <w:lang w:val="en-AU"/>
        </w:rPr>
        <w:t>sought</w:t>
      </w:r>
      <w:r>
        <w:rPr>
          <w:sz w:val="24"/>
          <w:szCs w:val="24"/>
          <w:lang w:val="en-AU"/>
        </w:rPr>
        <w:t xml:space="preserve"> a lower revenue than it forecast it </w:t>
      </w:r>
      <w:r w:rsidR="00367146">
        <w:rPr>
          <w:sz w:val="24"/>
          <w:szCs w:val="24"/>
          <w:lang w:val="en-AU"/>
        </w:rPr>
        <w:t>would</w:t>
      </w:r>
      <w:r>
        <w:rPr>
          <w:sz w:val="24"/>
          <w:szCs w:val="24"/>
          <w:lang w:val="en-AU"/>
        </w:rPr>
        <w:t xml:space="preserve"> receive in 2016/17, the last year of the current period.</w:t>
      </w:r>
      <w:r w:rsidR="003E1B99" w:rsidRPr="00AA5B97">
        <w:rPr>
          <w:sz w:val="24"/>
          <w:szCs w:val="24"/>
          <w:lang w:val="en-AU"/>
        </w:rPr>
        <w:t xml:space="preserve"> </w:t>
      </w:r>
      <w:r w:rsidR="00CD10D3">
        <w:rPr>
          <w:sz w:val="24"/>
          <w:szCs w:val="24"/>
          <w:lang w:val="en-AU"/>
        </w:rPr>
        <w:t xml:space="preserve">This reduction is primarily driven by a lower cost of capital, although </w:t>
      </w:r>
      <w:r w:rsidR="001E609A">
        <w:rPr>
          <w:sz w:val="24"/>
          <w:szCs w:val="24"/>
          <w:lang w:val="en-AU"/>
        </w:rPr>
        <w:t>opex</w:t>
      </w:r>
      <w:r w:rsidR="00CD10D3">
        <w:rPr>
          <w:sz w:val="24"/>
          <w:szCs w:val="24"/>
          <w:lang w:val="en-AU"/>
        </w:rPr>
        <w:t xml:space="preserve"> is also forecast to reduce. These reductions are offset by higher amounts for depreciation and by including the opex efficiency carryover. </w:t>
      </w:r>
    </w:p>
    <w:p w:rsidR="005172B7" w:rsidRPr="0051507A" w:rsidRDefault="001E1F33" w:rsidP="0051507A">
      <w:pPr>
        <w:autoSpaceDE w:val="0"/>
        <w:autoSpaceDN w:val="0"/>
        <w:adjustRightInd w:val="0"/>
        <w:spacing w:line="240" w:lineRule="auto"/>
        <w:rPr>
          <w:sz w:val="24"/>
          <w:szCs w:val="24"/>
          <w:lang w:val="en-AU"/>
        </w:rPr>
      </w:pPr>
      <w:r>
        <w:rPr>
          <w:sz w:val="24"/>
          <w:szCs w:val="24"/>
          <w:lang w:val="en-AU"/>
        </w:rPr>
        <w:t>From this is derived</w:t>
      </w:r>
      <w:r w:rsidR="00343E25">
        <w:rPr>
          <w:sz w:val="24"/>
          <w:szCs w:val="24"/>
          <w:lang w:val="en-AU"/>
        </w:rPr>
        <w:t xml:space="preserve"> an assessment of the notional TND tariff</w:t>
      </w:r>
      <w:r w:rsidR="005172B7">
        <w:rPr>
          <w:sz w:val="24"/>
          <w:szCs w:val="24"/>
          <w:lang w:val="en-AU"/>
        </w:rPr>
        <w:t xml:space="preserve"> (revenue related to sales MWh</w:t>
      </w:r>
      <w:r w:rsidR="00367146">
        <w:rPr>
          <w:rStyle w:val="FootnoteReference"/>
          <w:sz w:val="24"/>
          <w:szCs w:val="24"/>
          <w:lang w:val="en-AU"/>
        </w:rPr>
        <w:footnoteReference w:id="1"/>
      </w:r>
      <w:r w:rsidR="005172B7">
        <w:rPr>
          <w:sz w:val="24"/>
          <w:szCs w:val="24"/>
          <w:lang w:val="en-AU"/>
        </w:rPr>
        <w:t>)</w:t>
      </w:r>
      <w:r w:rsidR="001738D0">
        <w:rPr>
          <w:sz w:val="24"/>
          <w:szCs w:val="24"/>
          <w:lang w:val="en-AU"/>
        </w:rPr>
        <w:t>.</w:t>
      </w:r>
      <w:r w:rsidR="005172B7" w:rsidRPr="0051507A">
        <w:rPr>
          <w:sz w:val="24"/>
          <w:szCs w:val="24"/>
          <w:lang w:val="en-AU"/>
        </w:rPr>
        <w:t xml:space="preserve"> </w:t>
      </w:r>
    </w:p>
    <w:p w:rsidR="005172B7" w:rsidRDefault="002E3529" w:rsidP="00AA5B97">
      <w:pPr>
        <w:spacing w:line="240" w:lineRule="auto"/>
        <w:rPr>
          <w:sz w:val="24"/>
          <w:szCs w:val="24"/>
          <w:lang w:val="en-AU"/>
        </w:rPr>
      </w:pPr>
      <w:r>
        <w:rPr>
          <w:sz w:val="24"/>
          <w:szCs w:val="24"/>
          <w:lang w:val="en-AU"/>
        </w:rPr>
        <w:t>Whi</w:t>
      </w:r>
      <w:r w:rsidR="00367146">
        <w:rPr>
          <w:sz w:val="24"/>
          <w:szCs w:val="24"/>
          <w:lang w:val="en-AU"/>
        </w:rPr>
        <w:t>l</w:t>
      </w:r>
      <w:r>
        <w:rPr>
          <w:sz w:val="24"/>
          <w:szCs w:val="24"/>
          <w:lang w:val="en-AU"/>
        </w:rPr>
        <w:t>e the outcome</w:t>
      </w:r>
      <w:r w:rsidR="005172B7">
        <w:rPr>
          <w:sz w:val="24"/>
          <w:szCs w:val="24"/>
          <w:lang w:val="en-AU"/>
        </w:rPr>
        <w:t xml:space="preserve"> of this assessment show</w:t>
      </w:r>
      <w:r>
        <w:rPr>
          <w:sz w:val="24"/>
          <w:szCs w:val="24"/>
          <w:lang w:val="en-AU"/>
        </w:rPr>
        <w:t>ed</w:t>
      </w:r>
      <w:r w:rsidR="005172B7">
        <w:rPr>
          <w:sz w:val="24"/>
          <w:szCs w:val="24"/>
          <w:lang w:val="en-AU"/>
        </w:rPr>
        <w:t xml:space="preserve"> that TND </w:t>
      </w:r>
      <w:r>
        <w:rPr>
          <w:sz w:val="24"/>
          <w:szCs w:val="24"/>
          <w:lang w:val="en-AU"/>
        </w:rPr>
        <w:t xml:space="preserve">planned </w:t>
      </w:r>
      <w:r w:rsidR="005172B7">
        <w:rPr>
          <w:sz w:val="24"/>
          <w:szCs w:val="24"/>
          <w:lang w:val="en-AU"/>
        </w:rPr>
        <w:t>on delivering lower cost services to its customers</w:t>
      </w:r>
      <w:r>
        <w:rPr>
          <w:sz w:val="24"/>
          <w:szCs w:val="24"/>
          <w:lang w:val="en-AU"/>
        </w:rPr>
        <w:t xml:space="preserve">, </w:t>
      </w:r>
      <w:r w:rsidR="00367146">
        <w:rPr>
          <w:sz w:val="24"/>
          <w:szCs w:val="24"/>
          <w:lang w:val="en-AU"/>
        </w:rPr>
        <w:t>under a constant WACC scenario, there were no reductions in the notional tariff</w:t>
      </w:r>
      <w:r w:rsidR="001021FC">
        <w:rPr>
          <w:sz w:val="24"/>
          <w:szCs w:val="24"/>
          <w:lang w:val="en-AU"/>
        </w:rPr>
        <w:t xml:space="preserve"> highlighting that all the benefit to consumers was effectively coming from the lower cost of capital</w:t>
      </w:r>
      <w:r w:rsidR="005172B7">
        <w:rPr>
          <w:sz w:val="24"/>
          <w:szCs w:val="24"/>
          <w:lang w:val="en-AU"/>
        </w:rPr>
        <w:t>.</w:t>
      </w:r>
      <w:r w:rsidR="00367146">
        <w:rPr>
          <w:sz w:val="24"/>
          <w:szCs w:val="24"/>
          <w:lang w:val="en-AU"/>
        </w:rPr>
        <w:t xml:space="preserve"> </w:t>
      </w:r>
    </w:p>
    <w:p w:rsidR="0051507A" w:rsidRDefault="00CA46FF" w:rsidP="0051507A">
      <w:pPr>
        <w:spacing w:after="0" w:line="240" w:lineRule="auto"/>
        <w:rPr>
          <w:sz w:val="24"/>
          <w:szCs w:val="24"/>
          <w:lang w:val="en-AU"/>
        </w:rPr>
      </w:pPr>
      <w:r>
        <w:rPr>
          <w:noProof/>
          <w:sz w:val="24"/>
          <w:szCs w:val="24"/>
          <w:lang w:val="en-AU" w:eastAsia="en-AU" w:bidi="ar-SA"/>
        </w:rPr>
        <w:drawing>
          <wp:inline distT="0" distB="0" distL="0" distR="0">
            <wp:extent cx="5591175" cy="3562350"/>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591175" cy="3562350"/>
                    </a:xfrm>
                    <a:prstGeom prst="rect">
                      <a:avLst/>
                    </a:prstGeom>
                    <a:noFill/>
                    <a:ln w="9525">
                      <a:noFill/>
                      <a:miter lim="800000"/>
                      <a:headEnd/>
                      <a:tailEnd/>
                    </a:ln>
                  </pic:spPr>
                </pic:pic>
              </a:graphicData>
            </a:graphic>
          </wp:inline>
        </w:drawing>
      </w:r>
    </w:p>
    <w:p w:rsidR="0051507A" w:rsidRDefault="0051507A" w:rsidP="00AA5B97">
      <w:pPr>
        <w:spacing w:line="240" w:lineRule="auto"/>
        <w:rPr>
          <w:b/>
          <w:sz w:val="20"/>
          <w:szCs w:val="20"/>
          <w:lang w:val="en-AU"/>
        </w:rPr>
      </w:pPr>
      <w:r>
        <w:rPr>
          <w:b/>
          <w:sz w:val="20"/>
          <w:szCs w:val="20"/>
          <w:lang w:val="en-AU"/>
        </w:rPr>
        <w:t xml:space="preserve">Source: </w:t>
      </w:r>
      <w:r w:rsidR="00703BEF">
        <w:rPr>
          <w:b/>
          <w:sz w:val="20"/>
          <w:szCs w:val="20"/>
          <w:lang w:val="en-AU"/>
        </w:rPr>
        <w:t>CCP4(DH)</w:t>
      </w:r>
      <w:r>
        <w:rPr>
          <w:b/>
          <w:sz w:val="20"/>
          <w:szCs w:val="20"/>
          <w:lang w:val="en-AU"/>
        </w:rPr>
        <w:t xml:space="preserve"> analysis</w:t>
      </w:r>
    </w:p>
    <w:p w:rsidR="00CD10D3" w:rsidRDefault="001021FC" w:rsidP="00AA5B97">
      <w:pPr>
        <w:spacing w:line="240" w:lineRule="auto"/>
        <w:rPr>
          <w:sz w:val="24"/>
          <w:szCs w:val="24"/>
          <w:lang w:val="en-AU"/>
        </w:rPr>
      </w:pPr>
      <w:r>
        <w:rPr>
          <w:sz w:val="24"/>
          <w:szCs w:val="24"/>
          <w:lang w:val="en-AU"/>
        </w:rPr>
        <w:t xml:space="preserve">The AER DD delivers an even lower notional tariff than the TND proposal, although it must be stressed that the AER DD uses an even lower cost of capital than that proposed by </w:t>
      </w:r>
      <w:r>
        <w:rPr>
          <w:sz w:val="24"/>
          <w:szCs w:val="24"/>
          <w:lang w:val="en-AU"/>
        </w:rPr>
        <w:lastRenderedPageBreak/>
        <w:t>TND</w:t>
      </w:r>
      <w:r w:rsidR="00F21805">
        <w:rPr>
          <w:rStyle w:val="FootnoteReference"/>
          <w:sz w:val="24"/>
          <w:szCs w:val="24"/>
          <w:lang w:val="en-AU"/>
        </w:rPr>
        <w:footnoteReference w:id="2"/>
      </w:r>
      <w:r>
        <w:rPr>
          <w:sz w:val="24"/>
          <w:szCs w:val="24"/>
          <w:lang w:val="en-AU"/>
        </w:rPr>
        <w:t xml:space="preserve">. On a similar basis, if the AER DD was assessed using a constant cost of capital, it would </w:t>
      </w:r>
      <w:r w:rsidR="001E1F33">
        <w:rPr>
          <w:sz w:val="24"/>
          <w:szCs w:val="24"/>
          <w:lang w:val="en-AU"/>
        </w:rPr>
        <w:t xml:space="preserve">probably </w:t>
      </w:r>
      <w:r>
        <w:rPr>
          <w:sz w:val="24"/>
          <w:szCs w:val="24"/>
          <w:lang w:val="en-AU"/>
        </w:rPr>
        <w:t xml:space="preserve">still deliver a lower notional tariff than that sought by TND. </w:t>
      </w:r>
      <w:r w:rsidR="001C187F">
        <w:rPr>
          <w:sz w:val="24"/>
          <w:szCs w:val="24"/>
          <w:lang w:val="en-AU"/>
        </w:rPr>
        <w:t xml:space="preserve"> </w:t>
      </w:r>
    </w:p>
    <w:p w:rsidR="007C17B2" w:rsidRPr="001608A7" w:rsidRDefault="007C17B2" w:rsidP="00AA5B97">
      <w:pPr>
        <w:spacing w:line="240" w:lineRule="auto"/>
        <w:rPr>
          <w:color w:val="C00000"/>
          <w:sz w:val="24"/>
          <w:szCs w:val="24"/>
          <w:lang w:val="en-AU"/>
        </w:rPr>
      </w:pPr>
      <w:r w:rsidRPr="001608A7">
        <w:rPr>
          <w:color w:val="C00000"/>
          <w:sz w:val="24"/>
          <w:szCs w:val="24"/>
          <w:lang w:val="en-AU"/>
        </w:rPr>
        <w:t xml:space="preserve">It is important to note that since the AER draft decision, the risk free rate is now </w:t>
      </w:r>
      <w:r w:rsidR="00F169BF">
        <w:rPr>
          <w:color w:val="C00000"/>
          <w:sz w:val="24"/>
          <w:szCs w:val="24"/>
          <w:lang w:val="en-AU"/>
        </w:rPr>
        <w:t>marginally higher than</w:t>
      </w:r>
      <w:r w:rsidRPr="001608A7">
        <w:rPr>
          <w:color w:val="C00000"/>
          <w:sz w:val="24"/>
          <w:szCs w:val="24"/>
          <w:lang w:val="en-AU"/>
        </w:rPr>
        <w:t xml:space="preserve"> the risk free rate used by TND in its initial proposal. With the adjustments made by TND to opex and EBSS and the current risk free rate, the notional tariff that would apply </w:t>
      </w:r>
      <w:r w:rsidR="00F169BF">
        <w:rPr>
          <w:color w:val="C00000"/>
          <w:sz w:val="24"/>
          <w:szCs w:val="24"/>
          <w:lang w:val="en-AU"/>
        </w:rPr>
        <w:t xml:space="preserve">from the revised proposal </w:t>
      </w:r>
      <w:r w:rsidRPr="001608A7">
        <w:rPr>
          <w:color w:val="C00000"/>
          <w:sz w:val="24"/>
          <w:szCs w:val="24"/>
          <w:lang w:val="en-AU"/>
        </w:rPr>
        <w:t xml:space="preserve">is only 6% lower than the notional tariff proposed by TND in its initial proposal.    </w:t>
      </w:r>
    </w:p>
    <w:p w:rsidR="00DB7628" w:rsidRDefault="00CD10D3" w:rsidP="00AA5B97">
      <w:pPr>
        <w:spacing w:line="240" w:lineRule="auto"/>
        <w:rPr>
          <w:sz w:val="24"/>
          <w:szCs w:val="24"/>
          <w:lang w:val="en-AU"/>
        </w:rPr>
      </w:pPr>
      <w:r>
        <w:rPr>
          <w:sz w:val="24"/>
          <w:szCs w:val="24"/>
          <w:lang w:val="en-AU"/>
        </w:rPr>
        <w:t>TND ha</w:t>
      </w:r>
      <w:r w:rsidR="001021FC">
        <w:rPr>
          <w:sz w:val="24"/>
          <w:szCs w:val="24"/>
          <w:lang w:val="en-AU"/>
        </w:rPr>
        <w:t>d</w:t>
      </w:r>
      <w:r>
        <w:rPr>
          <w:sz w:val="24"/>
          <w:szCs w:val="24"/>
          <w:lang w:val="en-AU"/>
        </w:rPr>
        <w:t xml:space="preserve"> indicated a desire to increase </w:t>
      </w:r>
      <w:r w:rsidR="001021FC">
        <w:rPr>
          <w:sz w:val="24"/>
          <w:szCs w:val="24"/>
          <w:lang w:val="en-AU"/>
        </w:rPr>
        <w:t>its cost of capital</w:t>
      </w:r>
      <w:r>
        <w:rPr>
          <w:sz w:val="24"/>
          <w:szCs w:val="24"/>
          <w:lang w:val="en-AU"/>
        </w:rPr>
        <w:t xml:space="preserve"> through applying the outcomes of the Australian Competition Tribunal </w:t>
      </w:r>
      <w:r w:rsidR="00473D85">
        <w:rPr>
          <w:sz w:val="24"/>
          <w:szCs w:val="24"/>
          <w:lang w:val="en-AU"/>
        </w:rPr>
        <w:t xml:space="preserve">limited </w:t>
      </w:r>
      <w:r>
        <w:rPr>
          <w:sz w:val="24"/>
          <w:szCs w:val="24"/>
          <w:lang w:val="en-AU"/>
        </w:rPr>
        <w:t>merits review of the NSW DNSP appeal</w:t>
      </w:r>
      <w:r w:rsidR="001021FC">
        <w:rPr>
          <w:sz w:val="24"/>
          <w:szCs w:val="24"/>
          <w:lang w:val="en-AU"/>
        </w:rPr>
        <w:t xml:space="preserve"> but the Competition Tribunal </w:t>
      </w:r>
      <w:r w:rsidR="001E1F33">
        <w:rPr>
          <w:sz w:val="24"/>
          <w:szCs w:val="24"/>
          <w:lang w:val="en-AU"/>
        </w:rPr>
        <w:t xml:space="preserve">outcome for </w:t>
      </w:r>
      <w:r w:rsidR="001021FC">
        <w:rPr>
          <w:sz w:val="24"/>
          <w:szCs w:val="24"/>
          <w:lang w:val="en-AU"/>
        </w:rPr>
        <w:t xml:space="preserve">the South Australian Power Networks appeal would seem to indicate that the AER cost of capital guideline might be applied in its entirety to the TND final decision. </w:t>
      </w:r>
    </w:p>
    <w:p w:rsidR="00937D56" w:rsidRPr="001608A7" w:rsidRDefault="007C17B2" w:rsidP="00AA5B97">
      <w:pPr>
        <w:spacing w:line="240" w:lineRule="auto"/>
        <w:rPr>
          <w:color w:val="C00000"/>
          <w:sz w:val="24"/>
          <w:szCs w:val="24"/>
          <w:lang w:val="en-AU"/>
        </w:rPr>
      </w:pPr>
      <w:r w:rsidRPr="001608A7">
        <w:rPr>
          <w:color w:val="C00000"/>
          <w:sz w:val="24"/>
          <w:szCs w:val="24"/>
          <w:lang w:val="en-AU"/>
        </w:rPr>
        <w:t>In its revised proposal, TND now only expresses a desire to only benefit from the lower value for gamma if this is the result of the full bench of the Federal Court upholding this element of the AER appeal process. This decision by TND has been made despite the decision of the Competition Tribunal in the SA Power Networks appeal case</w:t>
      </w:r>
      <w:r w:rsidR="00591BA8" w:rsidRPr="001608A7">
        <w:rPr>
          <w:color w:val="C00000"/>
          <w:sz w:val="24"/>
          <w:szCs w:val="24"/>
          <w:lang w:val="en-AU"/>
        </w:rPr>
        <w:t xml:space="preserve"> to support the AER decision for gamma.</w:t>
      </w:r>
      <w:r w:rsidR="00937D56" w:rsidRPr="001608A7">
        <w:rPr>
          <w:color w:val="C00000"/>
          <w:sz w:val="24"/>
          <w:szCs w:val="24"/>
          <w:lang w:val="en-AU"/>
        </w:rPr>
        <w:br w:type="page"/>
      </w:r>
    </w:p>
    <w:p w:rsidR="00937D56" w:rsidRPr="00AA5B97" w:rsidRDefault="00937D56" w:rsidP="00937D56">
      <w:pPr>
        <w:pStyle w:val="AERbulletlistfirststyle"/>
        <w:numPr>
          <w:ilvl w:val="0"/>
          <w:numId w:val="0"/>
        </w:numPr>
        <w:rPr>
          <w:rFonts w:asciiTheme="minorHAnsi" w:hAnsiTheme="minorHAnsi"/>
          <w:b/>
          <w:sz w:val="28"/>
          <w:szCs w:val="28"/>
        </w:rPr>
      </w:pPr>
      <w:r w:rsidRPr="00AA5B97">
        <w:rPr>
          <w:rFonts w:asciiTheme="minorHAnsi" w:hAnsiTheme="minorHAnsi"/>
          <w:b/>
          <w:sz w:val="28"/>
          <w:szCs w:val="28"/>
        </w:rPr>
        <w:lastRenderedPageBreak/>
        <w:t xml:space="preserve">2. </w:t>
      </w:r>
      <w:r w:rsidR="00766677" w:rsidRPr="00AA5B97">
        <w:rPr>
          <w:rFonts w:asciiTheme="minorHAnsi" w:hAnsiTheme="minorHAnsi"/>
          <w:b/>
          <w:sz w:val="28"/>
          <w:szCs w:val="28"/>
        </w:rPr>
        <w:t>Consumer Engagement</w:t>
      </w:r>
    </w:p>
    <w:p w:rsidR="00D17207" w:rsidRDefault="00D17207" w:rsidP="00EC0EB4">
      <w:pPr>
        <w:pStyle w:val="AERbulletlistfirststyle"/>
        <w:numPr>
          <w:ilvl w:val="0"/>
          <w:numId w:val="0"/>
        </w:numPr>
        <w:spacing w:line="240" w:lineRule="auto"/>
        <w:rPr>
          <w:rFonts w:asciiTheme="minorHAnsi" w:hAnsiTheme="minorHAnsi"/>
          <w:sz w:val="24"/>
        </w:rPr>
      </w:pPr>
      <w:r>
        <w:rPr>
          <w:rFonts w:asciiTheme="minorHAnsi" w:hAnsiTheme="minorHAnsi"/>
          <w:sz w:val="24"/>
        </w:rPr>
        <w:t>In the response to the TND proposal, CCP4(DH) reported that the TND consumer engagement program was and continues to be well conceived and implemented.</w:t>
      </w:r>
    </w:p>
    <w:p w:rsidR="001021FC" w:rsidRDefault="001021FC" w:rsidP="00EC0EB4">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This report recognises that CCP4 member Jo de Silva is providing a </w:t>
      </w:r>
      <w:r w:rsidR="00E92921">
        <w:rPr>
          <w:rFonts w:asciiTheme="minorHAnsi" w:hAnsiTheme="minorHAnsi"/>
          <w:sz w:val="24"/>
        </w:rPr>
        <w:t xml:space="preserve">more detailed </w:t>
      </w:r>
      <w:r>
        <w:rPr>
          <w:rFonts w:asciiTheme="minorHAnsi" w:hAnsiTheme="minorHAnsi"/>
          <w:sz w:val="24"/>
        </w:rPr>
        <w:t>review of the TND consumer engagement program</w:t>
      </w:r>
      <w:r w:rsidR="00D17207">
        <w:rPr>
          <w:rFonts w:asciiTheme="minorHAnsi" w:hAnsiTheme="minorHAnsi"/>
          <w:sz w:val="24"/>
        </w:rPr>
        <w:t xml:space="preserve"> </w:t>
      </w:r>
      <w:r w:rsidR="00E92921">
        <w:rPr>
          <w:rFonts w:asciiTheme="minorHAnsi" w:hAnsiTheme="minorHAnsi"/>
          <w:sz w:val="24"/>
        </w:rPr>
        <w:t xml:space="preserve">subsequent to the earlier report provided by this CCP member </w:t>
      </w:r>
      <w:r w:rsidR="00D17207">
        <w:rPr>
          <w:rFonts w:asciiTheme="minorHAnsi" w:hAnsiTheme="minorHAnsi"/>
          <w:sz w:val="24"/>
        </w:rPr>
        <w:t xml:space="preserve">and the </w:t>
      </w:r>
      <w:r w:rsidR="00E92921">
        <w:rPr>
          <w:rFonts w:asciiTheme="minorHAnsi" w:hAnsiTheme="minorHAnsi"/>
          <w:sz w:val="24"/>
        </w:rPr>
        <w:t xml:space="preserve">comments by the </w:t>
      </w:r>
      <w:r w:rsidR="00D17207">
        <w:rPr>
          <w:rFonts w:asciiTheme="minorHAnsi" w:hAnsiTheme="minorHAnsi"/>
          <w:sz w:val="24"/>
        </w:rPr>
        <w:t xml:space="preserve">AER </w:t>
      </w:r>
      <w:r w:rsidR="00E92921">
        <w:rPr>
          <w:rFonts w:asciiTheme="minorHAnsi" w:hAnsiTheme="minorHAnsi"/>
          <w:sz w:val="24"/>
        </w:rPr>
        <w:t xml:space="preserve">in its </w:t>
      </w:r>
      <w:r w:rsidR="00D17207">
        <w:rPr>
          <w:rFonts w:asciiTheme="minorHAnsi" w:hAnsiTheme="minorHAnsi"/>
          <w:sz w:val="24"/>
        </w:rPr>
        <w:t>draft decision</w:t>
      </w:r>
      <w:r>
        <w:rPr>
          <w:rFonts w:asciiTheme="minorHAnsi" w:hAnsiTheme="minorHAnsi"/>
          <w:sz w:val="24"/>
        </w:rPr>
        <w:t xml:space="preserve">, so this report does not specifically address this aspect of the AER draft decision. </w:t>
      </w:r>
    </w:p>
    <w:p w:rsidR="00557959" w:rsidRDefault="00557959" w:rsidP="009770B4">
      <w:pPr>
        <w:pStyle w:val="AERbulletlistfirststyle"/>
        <w:numPr>
          <w:ilvl w:val="0"/>
          <w:numId w:val="0"/>
        </w:numPr>
        <w:spacing w:line="240" w:lineRule="auto"/>
        <w:rPr>
          <w:rFonts w:asciiTheme="minorHAnsi" w:hAnsiTheme="minorHAnsi"/>
          <w:sz w:val="24"/>
        </w:rPr>
      </w:pPr>
      <w:r>
        <w:rPr>
          <w:rFonts w:asciiTheme="minorHAnsi" w:hAnsiTheme="minorHAnsi"/>
          <w:sz w:val="24"/>
        </w:rPr>
        <w:t>However, it is important to note that the consumer engagement carried out by TND to date is considered to be of a high standard (as reported in the earlier report) and has clearly identified that consumers have focused their views to three key aspects, viz:</w:t>
      </w:r>
    </w:p>
    <w:p w:rsidR="00CA46FF" w:rsidRDefault="00557959">
      <w:pPr>
        <w:pStyle w:val="AERbulletlistfirststyle"/>
        <w:numPr>
          <w:ilvl w:val="0"/>
          <w:numId w:val="34"/>
        </w:numPr>
        <w:spacing w:line="240" w:lineRule="auto"/>
        <w:rPr>
          <w:rFonts w:asciiTheme="minorHAnsi" w:hAnsiTheme="minorHAnsi"/>
          <w:sz w:val="24"/>
        </w:rPr>
      </w:pPr>
      <w:r>
        <w:rPr>
          <w:rFonts w:asciiTheme="minorHAnsi" w:hAnsiTheme="minorHAnsi"/>
          <w:sz w:val="24"/>
        </w:rPr>
        <w:t>That prices need to reduce</w:t>
      </w:r>
    </w:p>
    <w:p w:rsidR="00CA46FF" w:rsidRDefault="00557959">
      <w:pPr>
        <w:pStyle w:val="AERbulletlistfirststyle"/>
        <w:numPr>
          <w:ilvl w:val="0"/>
          <w:numId w:val="34"/>
        </w:numPr>
        <w:spacing w:line="240" w:lineRule="auto"/>
        <w:rPr>
          <w:rFonts w:asciiTheme="minorHAnsi" w:hAnsiTheme="minorHAnsi"/>
          <w:sz w:val="24"/>
        </w:rPr>
      </w:pPr>
      <w:r>
        <w:rPr>
          <w:rFonts w:asciiTheme="minorHAnsi" w:hAnsiTheme="minorHAnsi"/>
          <w:sz w:val="24"/>
        </w:rPr>
        <w:t xml:space="preserve">Current levels of reliability are generally acceptable </w:t>
      </w:r>
    </w:p>
    <w:p w:rsidR="00CA46FF" w:rsidRDefault="00557959">
      <w:pPr>
        <w:pStyle w:val="AERbulletlistfirststyle"/>
        <w:numPr>
          <w:ilvl w:val="0"/>
          <w:numId w:val="34"/>
        </w:numPr>
        <w:spacing w:line="240" w:lineRule="auto"/>
        <w:rPr>
          <w:rFonts w:asciiTheme="minorHAnsi" w:hAnsiTheme="minorHAnsi"/>
          <w:sz w:val="24"/>
        </w:rPr>
      </w:pPr>
      <w:r>
        <w:rPr>
          <w:rFonts w:asciiTheme="minorHAnsi" w:hAnsiTheme="minorHAnsi"/>
          <w:sz w:val="24"/>
        </w:rPr>
        <w:t>Consumers do not want to pay for increased reliability.</w:t>
      </w:r>
    </w:p>
    <w:p w:rsidR="0025169D" w:rsidRPr="00AA5B97" w:rsidRDefault="00557959" w:rsidP="009770B4">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These three overarching considerations have been used to base the observations made in this report. </w:t>
      </w:r>
    </w:p>
    <w:p w:rsidR="003E1B99" w:rsidRPr="00AA5B97" w:rsidRDefault="003E1B99" w:rsidP="009770B4">
      <w:pPr>
        <w:spacing w:after="0" w:line="240" w:lineRule="auto"/>
        <w:rPr>
          <w:rFonts w:eastAsia="Times New Roman" w:cs="Times New Roman"/>
          <w:b/>
          <w:sz w:val="28"/>
          <w:szCs w:val="28"/>
          <w:lang w:val="en-AU" w:bidi="ar-SA"/>
        </w:rPr>
      </w:pPr>
      <w:r w:rsidRPr="00AA5B97">
        <w:rPr>
          <w:b/>
          <w:sz w:val="28"/>
          <w:szCs w:val="28"/>
          <w:lang w:val="en-AU"/>
        </w:rPr>
        <w:br w:type="page"/>
      </w:r>
    </w:p>
    <w:p w:rsidR="00937D56" w:rsidRPr="00AA5B97" w:rsidRDefault="00937D56" w:rsidP="00937D56">
      <w:pPr>
        <w:pStyle w:val="AERbulletlistfirststyle"/>
        <w:numPr>
          <w:ilvl w:val="0"/>
          <w:numId w:val="0"/>
        </w:numPr>
        <w:rPr>
          <w:rFonts w:asciiTheme="minorHAnsi" w:hAnsiTheme="minorHAnsi"/>
          <w:b/>
          <w:sz w:val="28"/>
          <w:szCs w:val="28"/>
        </w:rPr>
      </w:pPr>
      <w:r w:rsidRPr="00AA5B97">
        <w:rPr>
          <w:rFonts w:asciiTheme="minorHAnsi" w:hAnsiTheme="minorHAnsi"/>
          <w:b/>
          <w:sz w:val="28"/>
          <w:szCs w:val="28"/>
        </w:rPr>
        <w:lastRenderedPageBreak/>
        <w:t xml:space="preserve">3. </w:t>
      </w:r>
      <w:r w:rsidR="00766677" w:rsidRPr="00AA5B97">
        <w:rPr>
          <w:rFonts w:asciiTheme="minorHAnsi" w:hAnsiTheme="minorHAnsi"/>
          <w:b/>
          <w:sz w:val="28"/>
          <w:szCs w:val="28"/>
        </w:rPr>
        <w:t>Benchmarking</w:t>
      </w:r>
    </w:p>
    <w:p w:rsidR="0090716D" w:rsidRPr="0090716D" w:rsidRDefault="00613DCC" w:rsidP="00345E27">
      <w:pPr>
        <w:pStyle w:val="AERbulletlistfirststyle"/>
        <w:numPr>
          <w:ilvl w:val="0"/>
          <w:numId w:val="0"/>
        </w:numPr>
        <w:spacing w:line="240" w:lineRule="auto"/>
        <w:rPr>
          <w:rFonts w:asciiTheme="minorHAnsi" w:hAnsiTheme="minorHAnsi"/>
          <w:b/>
          <w:sz w:val="24"/>
        </w:rPr>
      </w:pPr>
      <w:r w:rsidRPr="00613DCC">
        <w:rPr>
          <w:rFonts w:asciiTheme="minorHAnsi" w:hAnsiTheme="minorHAnsi"/>
          <w:b/>
          <w:sz w:val="24"/>
        </w:rPr>
        <w:t xml:space="preserve">3.1 Benchmarking cost of debt </w:t>
      </w:r>
    </w:p>
    <w:p w:rsidR="0090716D" w:rsidRDefault="0090716D" w:rsidP="00345E27">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In its </w:t>
      </w:r>
      <w:r w:rsidR="00E92921">
        <w:rPr>
          <w:rFonts w:asciiTheme="minorHAnsi" w:hAnsiTheme="minorHAnsi"/>
          <w:sz w:val="24"/>
        </w:rPr>
        <w:t xml:space="preserve">earlier </w:t>
      </w:r>
      <w:r>
        <w:rPr>
          <w:rFonts w:asciiTheme="minorHAnsi" w:hAnsiTheme="minorHAnsi"/>
          <w:sz w:val="24"/>
        </w:rPr>
        <w:t xml:space="preserve">report on the TND proposal, CCP4(DH) commented that the AER had not implemented any benchmarking regarding the cost of debt and that such </w:t>
      </w:r>
      <w:r w:rsidR="00693A2D">
        <w:rPr>
          <w:rFonts w:asciiTheme="minorHAnsi" w:hAnsiTheme="minorHAnsi"/>
          <w:sz w:val="24"/>
        </w:rPr>
        <w:t>benchmarking</w:t>
      </w:r>
      <w:r>
        <w:rPr>
          <w:rFonts w:asciiTheme="minorHAnsi" w:hAnsiTheme="minorHAnsi"/>
          <w:sz w:val="24"/>
        </w:rPr>
        <w:t xml:space="preserve"> would provide valuable input into assessing whether the wider CCP view that the AER guideline delivers a higher allowance for the cost of debt than is efficient. </w:t>
      </w:r>
    </w:p>
    <w:p w:rsidR="002A0A86" w:rsidRDefault="0090716D" w:rsidP="00345E27">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The rate of return objective requires that </w:t>
      </w:r>
      <w:r w:rsidR="002A0A86">
        <w:rPr>
          <w:rFonts w:asciiTheme="minorHAnsi" w:hAnsiTheme="minorHAnsi"/>
          <w:sz w:val="24"/>
        </w:rPr>
        <w:t xml:space="preserve">rate of return for a network service provider </w:t>
      </w:r>
    </w:p>
    <w:p w:rsidR="00CA46FF" w:rsidRDefault="002A0A86">
      <w:pPr>
        <w:pStyle w:val="AERbulletlistfirststyle"/>
        <w:numPr>
          <w:ilvl w:val="0"/>
          <w:numId w:val="0"/>
        </w:numPr>
        <w:spacing w:line="240" w:lineRule="auto"/>
        <w:ind w:left="357"/>
        <w:rPr>
          <w:rFonts w:asciiTheme="minorHAnsi" w:hAnsiTheme="minorHAnsi"/>
          <w:sz w:val="24"/>
        </w:rPr>
      </w:pPr>
      <w:r>
        <w:rPr>
          <w:rFonts w:asciiTheme="minorHAnsi" w:hAnsiTheme="minorHAnsi"/>
          <w:sz w:val="24"/>
        </w:rPr>
        <w:t>“... is to be commensurate with the efficient financing costs of a benchmark efficient entity with a similar degree of risk as applies to the [network service provider] ...”</w:t>
      </w:r>
      <w:r w:rsidR="0090716D">
        <w:rPr>
          <w:rFonts w:asciiTheme="minorHAnsi" w:hAnsiTheme="minorHAnsi"/>
          <w:sz w:val="24"/>
        </w:rPr>
        <w:t xml:space="preserve"> </w:t>
      </w:r>
    </w:p>
    <w:p w:rsidR="002A0A86" w:rsidRDefault="002A0A86" w:rsidP="00345E27">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CCP4(DH) questions how the AER can assess whether its return on debt allowance is efficient without assessing what actual costs of debt are incurred by network service providers and comparing these to the assessed costs of debt used by the AER in setting an allowance. </w:t>
      </w:r>
    </w:p>
    <w:p w:rsidR="002A0A86" w:rsidRDefault="002A0A86" w:rsidP="00345E27">
      <w:pPr>
        <w:pStyle w:val="AERbulletlistfirststyle"/>
        <w:numPr>
          <w:ilvl w:val="0"/>
          <w:numId w:val="0"/>
        </w:numPr>
        <w:spacing w:line="240" w:lineRule="auto"/>
        <w:rPr>
          <w:rFonts w:asciiTheme="minorHAnsi" w:hAnsiTheme="minorHAnsi"/>
          <w:sz w:val="24"/>
        </w:rPr>
      </w:pPr>
      <w:r>
        <w:rPr>
          <w:rFonts w:asciiTheme="minorHAnsi" w:hAnsiTheme="minorHAnsi"/>
          <w:sz w:val="24"/>
        </w:rPr>
        <w:t>In its draft decision (attachment 3) the AER comments (page 3-77)</w:t>
      </w:r>
    </w:p>
    <w:p w:rsidR="00CA46FF" w:rsidRDefault="002A0A86">
      <w:pPr>
        <w:autoSpaceDE w:val="0"/>
        <w:autoSpaceDN w:val="0"/>
        <w:adjustRightInd w:val="0"/>
        <w:spacing w:line="240" w:lineRule="auto"/>
        <w:ind w:left="720"/>
        <w:jc w:val="left"/>
        <w:rPr>
          <w:sz w:val="24"/>
        </w:rPr>
      </w:pPr>
      <w:r>
        <w:rPr>
          <w:rFonts w:eastAsia="Times New Roman" w:cstheme="minorHAnsi"/>
          <w:color w:val="000000"/>
          <w:sz w:val="24"/>
          <w:szCs w:val="24"/>
          <w:lang w:val="en-AU" w:eastAsia="en-AU" w:bidi="ar-SA"/>
        </w:rPr>
        <w:t>“</w:t>
      </w:r>
      <w:r w:rsidR="00613DCC" w:rsidRPr="00613DCC">
        <w:rPr>
          <w:rFonts w:eastAsia="Times New Roman" w:cstheme="minorHAnsi"/>
          <w:color w:val="000000"/>
          <w:sz w:val="24"/>
          <w:szCs w:val="24"/>
          <w:lang w:val="en-AU" w:eastAsia="en-AU" w:bidi="ar-SA"/>
        </w:rPr>
        <w:t>We are satisfied that using a third party data series (or multiple series), appropriately</w:t>
      </w:r>
      <w:r>
        <w:rPr>
          <w:rFonts w:eastAsia="Times New Roman" w:cstheme="minorHAnsi"/>
          <w:color w:val="000000"/>
          <w:sz w:val="24"/>
          <w:szCs w:val="24"/>
          <w:lang w:val="en-AU" w:eastAsia="en-AU" w:bidi="ar-SA"/>
        </w:rPr>
        <w:t xml:space="preserve"> </w:t>
      </w:r>
      <w:r w:rsidR="00613DCC" w:rsidRPr="00613DCC">
        <w:rPr>
          <w:rFonts w:eastAsia="Times New Roman" w:cstheme="minorHAnsi"/>
          <w:color w:val="000000"/>
          <w:sz w:val="24"/>
          <w:szCs w:val="24"/>
          <w:lang w:val="en-AU" w:eastAsia="en-AU" w:bidi="ar-SA"/>
        </w:rPr>
        <w:t>chosen, is commensurate with the efficient debt financing costs of a benchmark</w:t>
      </w:r>
      <w:r>
        <w:rPr>
          <w:rFonts w:eastAsia="Times New Roman" w:cstheme="minorHAnsi"/>
          <w:color w:val="000000"/>
          <w:sz w:val="24"/>
          <w:szCs w:val="24"/>
          <w:lang w:val="en-AU" w:eastAsia="en-AU" w:bidi="ar-SA"/>
        </w:rPr>
        <w:t xml:space="preserve"> </w:t>
      </w:r>
      <w:r w:rsidR="00613DCC" w:rsidRPr="00613DCC">
        <w:rPr>
          <w:rFonts w:eastAsia="Times New Roman" w:cstheme="minorHAnsi"/>
          <w:color w:val="000000"/>
          <w:sz w:val="24"/>
          <w:szCs w:val="24"/>
          <w:lang w:val="en-AU" w:eastAsia="en-AU" w:bidi="ar-SA"/>
        </w:rPr>
        <w:t>efficient entity.</w:t>
      </w:r>
      <w:r>
        <w:rPr>
          <w:rFonts w:eastAsia="Times New Roman" w:cstheme="minorHAnsi"/>
          <w:color w:val="000000"/>
          <w:sz w:val="24"/>
          <w:szCs w:val="24"/>
          <w:lang w:val="en-AU" w:eastAsia="en-AU" w:bidi="ar-SA"/>
        </w:rPr>
        <w:t>”</w:t>
      </w:r>
      <w:r>
        <w:rPr>
          <w:rFonts w:ascii="Arial" w:eastAsia="Times New Roman" w:hAnsi="Arial" w:cs="Arial"/>
          <w:color w:val="000000"/>
          <w:lang w:val="en-AU" w:eastAsia="en-AU" w:bidi="ar-SA"/>
        </w:rPr>
        <w:t xml:space="preserve"> </w:t>
      </w:r>
      <w:r>
        <w:rPr>
          <w:sz w:val="24"/>
        </w:rPr>
        <w:t xml:space="preserve"> </w:t>
      </w:r>
    </w:p>
    <w:p w:rsidR="002A0A86" w:rsidRDefault="002A0A86" w:rsidP="00345E27">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It is clear that there is significant disagreement (by CCP members and consumer groups) with the AER contention that it can set an efficient cost of debt by merely assessing independent third party data. The AER avers that its approach (page 3-77) conforms with the </w:t>
      </w:r>
      <w:r w:rsidR="000748EC">
        <w:rPr>
          <w:rFonts w:asciiTheme="minorHAnsi" w:hAnsiTheme="minorHAnsi"/>
          <w:sz w:val="24"/>
        </w:rPr>
        <w:t>Rules because:</w:t>
      </w:r>
    </w:p>
    <w:p w:rsidR="00CA46FF" w:rsidRDefault="000748EC">
      <w:pPr>
        <w:pStyle w:val="AERbulletlistfirststyle"/>
        <w:numPr>
          <w:ilvl w:val="0"/>
          <w:numId w:val="32"/>
        </w:numPr>
        <w:spacing w:line="240" w:lineRule="auto"/>
        <w:rPr>
          <w:rFonts w:asciiTheme="minorHAnsi" w:hAnsiTheme="minorHAnsi"/>
          <w:sz w:val="24"/>
        </w:rPr>
      </w:pPr>
      <w:r>
        <w:rPr>
          <w:rFonts w:asciiTheme="minorHAnsi" w:hAnsiTheme="minorHAnsi"/>
          <w:sz w:val="24"/>
        </w:rPr>
        <w:t>The use of third party data can be practically applied</w:t>
      </w:r>
    </w:p>
    <w:p w:rsidR="00CA46FF" w:rsidRDefault="000748EC">
      <w:pPr>
        <w:pStyle w:val="AERbulletlistfirststyle"/>
        <w:numPr>
          <w:ilvl w:val="0"/>
          <w:numId w:val="32"/>
        </w:numPr>
        <w:spacing w:line="240" w:lineRule="auto"/>
        <w:rPr>
          <w:rFonts w:asciiTheme="minorHAnsi" w:hAnsiTheme="minorHAnsi"/>
          <w:sz w:val="24"/>
        </w:rPr>
      </w:pPr>
      <w:r>
        <w:rPr>
          <w:rFonts w:asciiTheme="minorHAnsi" w:hAnsiTheme="minorHAnsi"/>
          <w:sz w:val="24"/>
        </w:rPr>
        <w:t>It is independent from the regulatory process</w:t>
      </w:r>
    </w:p>
    <w:p w:rsidR="00CA46FF" w:rsidRDefault="000748EC">
      <w:pPr>
        <w:pStyle w:val="AERbulletlistfirststyle"/>
        <w:numPr>
          <w:ilvl w:val="0"/>
          <w:numId w:val="32"/>
        </w:numPr>
        <w:spacing w:line="240" w:lineRule="auto"/>
        <w:rPr>
          <w:rFonts w:asciiTheme="minorHAnsi" w:hAnsiTheme="minorHAnsi"/>
          <w:sz w:val="24"/>
        </w:rPr>
      </w:pPr>
      <w:r>
        <w:rPr>
          <w:rFonts w:asciiTheme="minorHAnsi" w:hAnsiTheme="minorHAnsi"/>
          <w:sz w:val="24"/>
        </w:rPr>
        <w:t xml:space="preserve">It reduces the scope for debate, </w:t>
      </w:r>
    </w:p>
    <w:p w:rsidR="00CA46FF" w:rsidRDefault="000748EC">
      <w:pPr>
        <w:pStyle w:val="AERbulletlistfirststyle"/>
        <w:numPr>
          <w:ilvl w:val="0"/>
          <w:numId w:val="32"/>
        </w:numPr>
        <w:spacing w:line="240" w:lineRule="auto"/>
        <w:rPr>
          <w:rFonts w:asciiTheme="minorHAnsi" w:hAnsiTheme="minorHAnsi"/>
          <w:sz w:val="24"/>
        </w:rPr>
      </w:pPr>
      <w:r>
        <w:rPr>
          <w:rFonts w:asciiTheme="minorHAnsi" w:hAnsiTheme="minorHAnsi"/>
          <w:sz w:val="24"/>
        </w:rPr>
        <w:t xml:space="preserve">There is no consensus amongst regulators </w:t>
      </w:r>
      <w:r w:rsidR="00693A2D">
        <w:rPr>
          <w:rFonts w:asciiTheme="minorHAnsi" w:hAnsiTheme="minorHAnsi"/>
          <w:sz w:val="24"/>
        </w:rPr>
        <w:t>about</w:t>
      </w:r>
      <w:r>
        <w:rPr>
          <w:rFonts w:asciiTheme="minorHAnsi" w:hAnsiTheme="minorHAnsi"/>
          <w:sz w:val="24"/>
        </w:rPr>
        <w:t xml:space="preserve"> the best method to estimate the return on debt.</w:t>
      </w:r>
    </w:p>
    <w:p w:rsidR="000748EC" w:rsidRDefault="000748EC" w:rsidP="000748EC">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This report does not dispute each of these reasons, but highlights that they only cover part of the story. The fact that the actual costs of debt incurred by networks is significantly lower than the costs of debt estimated by the AER implies that the AER approach does not ensure the allowances are efficient – a requirement of the rate of return objective. </w:t>
      </w:r>
    </w:p>
    <w:p w:rsidR="00A602CD" w:rsidRDefault="000748EC" w:rsidP="000748EC">
      <w:pPr>
        <w:pStyle w:val="AERbulletlistfirststyle"/>
        <w:numPr>
          <w:ilvl w:val="0"/>
          <w:numId w:val="0"/>
        </w:numPr>
        <w:spacing w:line="240" w:lineRule="auto"/>
        <w:rPr>
          <w:rFonts w:asciiTheme="minorHAnsi" w:hAnsiTheme="minorHAnsi"/>
          <w:sz w:val="24"/>
        </w:rPr>
      </w:pPr>
      <w:r>
        <w:rPr>
          <w:rFonts w:asciiTheme="minorHAnsi" w:hAnsiTheme="minorHAnsi"/>
          <w:sz w:val="24"/>
        </w:rPr>
        <w:t>The National Electricity Objective (NEO) requires the revenue allowances for networks be set at levels which are in the long term interests of consumers. If it can be demonstrated that consistently the return on debt allowances exceed the actual costs of</w:t>
      </w:r>
      <w:r w:rsidR="00A602CD">
        <w:rPr>
          <w:rFonts w:asciiTheme="minorHAnsi" w:hAnsiTheme="minorHAnsi"/>
          <w:sz w:val="24"/>
        </w:rPr>
        <w:t xml:space="preserve"> </w:t>
      </w:r>
      <w:r>
        <w:rPr>
          <w:rFonts w:asciiTheme="minorHAnsi" w:hAnsiTheme="minorHAnsi"/>
          <w:sz w:val="24"/>
        </w:rPr>
        <w:t xml:space="preserve">debt incurred by networks, then the AER has failed to comply with the requirements of the NEO </w:t>
      </w:r>
      <w:r w:rsidR="00A602CD">
        <w:rPr>
          <w:rFonts w:asciiTheme="minorHAnsi" w:hAnsiTheme="minorHAnsi"/>
          <w:sz w:val="24"/>
        </w:rPr>
        <w:lastRenderedPageBreak/>
        <w:t xml:space="preserve">because it will be not </w:t>
      </w:r>
      <w:r w:rsidR="00E92921">
        <w:rPr>
          <w:rFonts w:asciiTheme="minorHAnsi" w:hAnsiTheme="minorHAnsi"/>
          <w:sz w:val="24"/>
        </w:rPr>
        <w:t xml:space="preserve">be basing its assessment of a reasonable revenue stream based on </w:t>
      </w:r>
      <w:r w:rsidR="00A602CD">
        <w:rPr>
          <w:rFonts w:asciiTheme="minorHAnsi" w:hAnsiTheme="minorHAnsi"/>
          <w:sz w:val="24"/>
        </w:rPr>
        <w:t xml:space="preserve">providing an efficient allowance. </w:t>
      </w:r>
    </w:p>
    <w:p w:rsidR="00A602CD" w:rsidRDefault="00A602CD" w:rsidP="000748EC">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In the development of the cost of capital guideline, the AER used the actual performance of the networks in the assessment of the gearing and equity beta. It is therefore inconsistent that the AER does not use the actual costs of debt </w:t>
      </w:r>
      <w:r w:rsidR="00E92921">
        <w:rPr>
          <w:rFonts w:asciiTheme="minorHAnsi" w:hAnsiTheme="minorHAnsi"/>
          <w:sz w:val="24"/>
        </w:rPr>
        <w:t xml:space="preserve">incurred by the network businesses </w:t>
      </w:r>
      <w:r>
        <w:rPr>
          <w:rFonts w:asciiTheme="minorHAnsi" w:hAnsiTheme="minorHAnsi"/>
          <w:sz w:val="24"/>
        </w:rPr>
        <w:t xml:space="preserve">to </w:t>
      </w:r>
      <w:r w:rsidR="00E92921">
        <w:rPr>
          <w:rFonts w:asciiTheme="minorHAnsi" w:hAnsiTheme="minorHAnsi"/>
          <w:sz w:val="24"/>
        </w:rPr>
        <w:t xml:space="preserve">inform </w:t>
      </w:r>
      <w:r>
        <w:rPr>
          <w:rFonts w:asciiTheme="minorHAnsi" w:hAnsiTheme="minorHAnsi"/>
          <w:sz w:val="24"/>
        </w:rPr>
        <w:t>the efficient cost of debt for the benchmark entity when there is no assessment of the cost of debt by actual entities with a similar risk profile</w:t>
      </w:r>
      <w:r w:rsidR="00E92921">
        <w:rPr>
          <w:rFonts w:asciiTheme="minorHAnsi" w:hAnsiTheme="minorHAnsi"/>
          <w:sz w:val="24"/>
        </w:rPr>
        <w:t xml:space="preserve"> and similar credit rating</w:t>
      </w:r>
      <w:r>
        <w:rPr>
          <w:rFonts w:asciiTheme="minorHAnsi" w:hAnsiTheme="minorHAnsi"/>
          <w:sz w:val="24"/>
        </w:rPr>
        <w:t xml:space="preserve">. </w:t>
      </w:r>
    </w:p>
    <w:p w:rsidR="00A602CD" w:rsidRDefault="00A602CD" w:rsidP="000748EC">
      <w:pPr>
        <w:pStyle w:val="AERbulletlistfirststyle"/>
        <w:numPr>
          <w:ilvl w:val="0"/>
          <w:numId w:val="0"/>
        </w:numPr>
        <w:spacing w:line="240" w:lineRule="auto"/>
        <w:rPr>
          <w:rFonts w:asciiTheme="minorHAnsi" w:hAnsiTheme="minorHAnsi"/>
          <w:sz w:val="24"/>
        </w:rPr>
      </w:pPr>
      <w:r>
        <w:rPr>
          <w:rFonts w:asciiTheme="minorHAnsi" w:hAnsiTheme="minorHAnsi"/>
          <w:sz w:val="24"/>
        </w:rPr>
        <w:t>A concern consistently raised by consumers is that the AER has identified that the benchmark credit rating data is for BBB+ rated acquirers of debt. However the actual costs of debt for entities with the same credit rating shows a significant variation, with energy networks with a credit rating of BBB+ actually acquir</w:t>
      </w:r>
      <w:r w:rsidR="00E92921">
        <w:rPr>
          <w:rFonts w:asciiTheme="minorHAnsi" w:hAnsiTheme="minorHAnsi"/>
          <w:sz w:val="24"/>
        </w:rPr>
        <w:t>ing</w:t>
      </w:r>
      <w:r>
        <w:rPr>
          <w:rFonts w:asciiTheme="minorHAnsi" w:hAnsiTheme="minorHAnsi"/>
          <w:sz w:val="24"/>
        </w:rPr>
        <w:t xml:space="preserve"> debt at lower rates than other entities with the same credit rating. This implies that credit rating might not be the prime driver behind the cost of debt</w:t>
      </w:r>
      <w:r w:rsidR="00E92921">
        <w:rPr>
          <w:rStyle w:val="FootnoteReference"/>
          <w:rFonts w:asciiTheme="minorHAnsi" w:hAnsiTheme="minorHAnsi"/>
          <w:sz w:val="24"/>
        </w:rPr>
        <w:footnoteReference w:id="3"/>
      </w:r>
      <w:r>
        <w:rPr>
          <w:rFonts w:asciiTheme="minorHAnsi" w:hAnsiTheme="minorHAnsi"/>
          <w:sz w:val="24"/>
        </w:rPr>
        <w:t xml:space="preserve">. </w:t>
      </w:r>
    </w:p>
    <w:p w:rsidR="003133A4" w:rsidRDefault="00A602CD" w:rsidP="000748EC">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If there is variation between the actual costs of debt for entities with the same credit rating, then the AER needs to benchmark the actual costs of debt incurred by the networks so that it can demonstrate that they are </w:t>
      </w:r>
      <w:r w:rsidR="00E92921">
        <w:rPr>
          <w:rFonts w:asciiTheme="minorHAnsi" w:hAnsiTheme="minorHAnsi"/>
          <w:sz w:val="24"/>
        </w:rPr>
        <w:t xml:space="preserve">allowing </w:t>
      </w:r>
      <w:r>
        <w:rPr>
          <w:rFonts w:asciiTheme="minorHAnsi" w:hAnsiTheme="minorHAnsi"/>
          <w:sz w:val="24"/>
        </w:rPr>
        <w:t>r</w:t>
      </w:r>
      <w:r w:rsidR="003133A4">
        <w:rPr>
          <w:rFonts w:asciiTheme="minorHAnsi" w:hAnsiTheme="minorHAnsi"/>
          <w:sz w:val="24"/>
        </w:rPr>
        <w:t>eturns on</w:t>
      </w:r>
      <w:r>
        <w:rPr>
          <w:rFonts w:asciiTheme="minorHAnsi" w:hAnsiTheme="minorHAnsi"/>
          <w:sz w:val="24"/>
        </w:rPr>
        <w:t xml:space="preserve"> debt which </w:t>
      </w:r>
      <w:r w:rsidR="00E92921">
        <w:rPr>
          <w:rFonts w:asciiTheme="minorHAnsi" w:hAnsiTheme="minorHAnsi"/>
          <w:sz w:val="24"/>
        </w:rPr>
        <w:t xml:space="preserve">are </w:t>
      </w:r>
      <w:r>
        <w:rPr>
          <w:rFonts w:asciiTheme="minorHAnsi" w:hAnsiTheme="minorHAnsi"/>
          <w:sz w:val="24"/>
        </w:rPr>
        <w:t>consistent with th</w:t>
      </w:r>
      <w:r w:rsidR="003133A4">
        <w:rPr>
          <w:rFonts w:asciiTheme="minorHAnsi" w:hAnsiTheme="minorHAnsi"/>
          <w:sz w:val="24"/>
        </w:rPr>
        <w:t xml:space="preserve">ose applying to an benchmark efficient entity with a similar degree of risk. </w:t>
      </w:r>
    </w:p>
    <w:p w:rsidR="000748EC" w:rsidRDefault="003133A4" w:rsidP="000748EC">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As there are few examples of monopoly entities with a similar degree of risk to energy networks, the AER must commence benchmarking the actual costs of debt incurred by the networks to ensure that their independent third party sources of costs of debt actually do deliver outcomes that are efficient.   </w:t>
      </w:r>
      <w:r w:rsidR="00A602CD">
        <w:rPr>
          <w:rFonts w:asciiTheme="minorHAnsi" w:hAnsiTheme="minorHAnsi"/>
          <w:sz w:val="24"/>
        </w:rPr>
        <w:t xml:space="preserve">    </w:t>
      </w:r>
    </w:p>
    <w:p w:rsidR="002A0A86" w:rsidRDefault="003133A4" w:rsidP="00345E27">
      <w:pPr>
        <w:pStyle w:val="AERbulletlistfirststyle"/>
        <w:numPr>
          <w:ilvl w:val="0"/>
          <w:numId w:val="0"/>
        </w:numPr>
        <w:spacing w:line="240" w:lineRule="auto"/>
        <w:rPr>
          <w:rFonts w:asciiTheme="minorHAnsi" w:hAnsiTheme="minorHAnsi"/>
          <w:sz w:val="24"/>
        </w:rPr>
      </w:pPr>
      <w:r>
        <w:rPr>
          <w:rFonts w:asciiTheme="minorHAnsi" w:hAnsiTheme="minorHAnsi"/>
          <w:sz w:val="24"/>
        </w:rPr>
        <w:t>This report</w:t>
      </w:r>
      <w:r w:rsidRPr="00AA5B97">
        <w:rPr>
          <w:rFonts w:asciiTheme="minorHAnsi" w:hAnsiTheme="minorHAnsi"/>
          <w:sz w:val="24"/>
        </w:rPr>
        <w:t xml:space="preserve"> considers that undertaking detailed benchmarking of actual costs of debt is in the long term interests of consumers.   This benchmarking should be used in the future to </w:t>
      </w:r>
      <w:r>
        <w:rPr>
          <w:rFonts w:asciiTheme="minorHAnsi" w:hAnsiTheme="minorHAnsi"/>
          <w:sz w:val="24"/>
        </w:rPr>
        <w:t>assist in identifying</w:t>
      </w:r>
      <w:r w:rsidRPr="00AA5B97">
        <w:rPr>
          <w:rFonts w:asciiTheme="minorHAnsi" w:hAnsiTheme="minorHAnsi"/>
          <w:sz w:val="24"/>
        </w:rPr>
        <w:t xml:space="preserve"> the most cost eff</w:t>
      </w:r>
      <w:r>
        <w:rPr>
          <w:rFonts w:asciiTheme="minorHAnsi" w:hAnsiTheme="minorHAnsi"/>
          <w:sz w:val="24"/>
        </w:rPr>
        <w:t>icient</w:t>
      </w:r>
      <w:r w:rsidRPr="00AA5B97">
        <w:rPr>
          <w:rFonts w:asciiTheme="minorHAnsi" w:hAnsiTheme="minorHAnsi"/>
          <w:sz w:val="24"/>
        </w:rPr>
        <w:t xml:space="preserve"> approach to debt provision.</w:t>
      </w:r>
    </w:p>
    <w:p w:rsidR="002A0A86" w:rsidRDefault="002A0A86" w:rsidP="00345E27">
      <w:pPr>
        <w:pStyle w:val="AERbulletlistfirststyle"/>
        <w:numPr>
          <w:ilvl w:val="0"/>
          <w:numId w:val="0"/>
        </w:numPr>
        <w:spacing w:line="240" w:lineRule="auto"/>
        <w:rPr>
          <w:rFonts w:asciiTheme="minorHAnsi" w:hAnsiTheme="minorHAnsi"/>
          <w:sz w:val="24"/>
        </w:rPr>
      </w:pPr>
    </w:p>
    <w:p w:rsidR="00766677" w:rsidRPr="00AA5B97" w:rsidRDefault="003133A4" w:rsidP="00345E27">
      <w:pPr>
        <w:pStyle w:val="AERbulletlistfirststyle"/>
        <w:numPr>
          <w:ilvl w:val="0"/>
          <w:numId w:val="0"/>
        </w:numPr>
        <w:spacing w:line="240" w:lineRule="auto"/>
        <w:rPr>
          <w:rFonts w:asciiTheme="minorHAnsi" w:hAnsiTheme="minorHAnsi"/>
          <w:b/>
          <w:sz w:val="24"/>
        </w:rPr>
      </w:pPr>
      <w:r>
        <w:rPr>
          <w:rFonts w:asciiTheme="minorHAnsi" w:hAnsiTheme="minorHAnsi"/>
          <w:b/>
          <w:sz w:val="24"/>
        </w:rPr>
        <w:t>3</w:t>
      </w:r>
      <w:r w:rsidR="0024444A" w:rsidRPr="00AA5B97">
        <w:rPr>
          <w:rFonts w:asciiTheme="minorHAnsi" w:hAnsiTheme="minorHAnsi"/>
          <w:b/>
          <w:sz w:val="24"/>
        </w:rPr>
        <w:t>.</w:t>
      </w:r>
      <w:r>
        <w:rPr>
          <w:rFonts w:asciiTheme="minorHAnsi" w:hAnsiTheme="minorHAnsi"/>
          <w:b/>
          <w:sz w:val="24"/>
        </w:rPr>
        <w:t>2</w:t>
      </w:r>
      <w:r w:rsidRPr="00AA5B97">
        <w:rPr>
          <w:rFonts w:asciiTheme="minorHAnsi" w:hAnsiTheme="minorHAnsi"/>
          <w:b/>
          <w:sz w:val="24"/>
        </w:rPr>
        <w:t xml:space="preserve"> </w:t>
      </w:r>
      <w:r w:rsidR="0024444A" w:rsidRPr="00AA5B97">
        <w:rPr>
          <w:rFonts w:asciiTheme="minorHAnsi" w:hAnsiTheme="minorHAnsi"/>
          <w:b/>
          <w:sz w:val="24"/>
        </w:rPr>
        <w:t>Asset benchmarking</w:t>
      </w:r>
    </w:p>
    <w:p w:rsidR="00E21A19" w:rsidRDefault="003133A4" w:rsidP="00321397">
      <w:pPr>
        <w:pStyle w:val="AERbulletlistfirststyle"/>
        <w:numPr>
          <w:ilvl w:val="0"/>
          <w:numId w:val="0"/>
        </w:numPr>
        <w:spacing w:line="240" w:lineRule="auto"/>
        <w:rPr>
          <w:rFonts w:asciiTheme="minorHAnsi" w:hAnsiTheme="minorHAnsi"/>
          <w:sz w:val="24"/>
        </w:rPr>
      </w:pPr>
      <w:r>
        <w:rPr>
          <w:rFonts w:asciiTheme="minorHAnsi" w:hAnsiTheme="minorHAnsi"/>
          <w:sz w:val="24"/>
        </w:rPr>
        <w:t>In the report to the AER regarding the TND proposal, it was highlighted that TND is one of the le</w:t>
      </w:r>
      <w:r w:rsidR="006F3E06">
        <w:rPr>
          <w:rFonts w:asciiTheme="minorHAnsi" w:hAnsiTheme="minorHAnsi"/>
          <w:sz w:val="24"/>
        </w:rPr>
        <w:t>ss</w:t>
      </w:r>
      <w:r>
        <w:rPr>
          <w:rFonts w:asciiTheme="minorHAnsi" w:hAnsiTheme="minorHAnsi"/>
          <w:sz w:val="24"/>
        </w:rPr>
        <w:t xml:space="preserve"> efficient networks in the NEM with regard to asset productivity. </w:t>
      </w:r>
      <w:r w:rsidR="00037BFD">
        <w:rPr>
          <w:rFonts w:asciiTheme="minorHAnsi" w:hAnsiTheme="minorHAnsi"/>
          <w:sz w:val="24"/>
        </w:rPr>
        <w:t xml:space="preserve">That report also highlighted that the RAB in real and relative terms was increasing. </w:t>
      </w:r>
      <w:r w:rsidR="00E21A19">
        <w:rPr>
          <w:rFonts w:asciiTheme="minorHAnsi" w:hAnsiTheme="minorHAnsi"/>
          <w:sz w:val="24"/>
        </w:rPr>
        <w:t>Despite this the AER has permitted the regulatory asset base of TND to further increase in nominal terms</w:t>
      </w:r>
      <w:r w:rsidR="006F3E06">
        <w:rPr>
          <w:rFonts w:asciiTheme="minorHAnsi" w:hAnsiTheme="minorHAnsi"/>
          <w:sz w:val="24"/>
        </w:rPr>
        <w:t xml:space="preserve"> (although not in “real” terms</w:t>
      </w:r>
      <w:r w:rsidR="00BD041C">
        <w:rPr>
          <w:rFonts w:asciiTheme="minorHAnsi" w:hAnsiTheme="minorHAnsi"/>
          <w:sz w:val="24"/>
        </w:rPr>
        <w:t>)</w:t>
      </w:r>
      <w:r w:rsidR="00E21A19">
        <w:rPr>
          <w:rFonts w:asciiTheme="minorHAnsi" w:hAnsiTheme="minorHAnsi"/>
          <w:sz w:val="24"/>
        </w:rPr>
        <w:t>. This increase in asset value is despite the fact that TND asset utilisation is falling, demand is static and consumption flat or falling.</w:t>
      </w:r>
    </w:p>
    <w:p w:rsidR="003133A4" w:rsidRDefault="00E21A19" w:rsidP="00321397">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As can be seen from the following </w:t>
      </w:r>
      <w:r w:rsidR="006F3E06">
        <w:rPr>
          <w:rFonts w:asciiTheme="minorHAnsi" w:hAnsiTheme="minorHAnsi"/>
          <w:sz w:val="24"/>
        </w:rPr>
        <w:t xml:space="preserve">two </w:t>
      </w:r>
      <w:r>
        <w:rPr>
          <w:rFonts w:asciiTheme="minorHAnsi" w:hAnsiTheme="minorHAnsi"/>
          <w:sz w:val="24"/>
        </w:rPr>
        <w:t>chart</w:t>
      </w:r>
      <w:r w:rsidR="006F3E06">
        <w:rPr>
          <w:rFonts w:asciiTheme="minorHAnsi" w:hAnsiTheme="minorHAnsi"/>
          <w:sz w:val="24"/>
        </w:rPr>
        <w:t>s</w:t>
      </w:r>
      <w:r>
        <w:rPr>
          <w:rFonts w:asciiTheme="minorHAnsi" w:hAnsiTheme="minorHAnsi"/>
          <w:sz w:val="24"/>
        </w:rPr>
        <w:t xml:space="preserve">, the value of the </w:t>
      </w:r>
      <w:r w:rsidR="00C95BEF">
        <w:rPr>
          <w:rFonts w:asciiTheme="minorHAnsi" w:hAnsiTheme="minorHAnsi"/>
          <w:sz w:val="24"/>
        </w:rPr>
        <w:t xml:space="preserve">TND </w:t>
      </w:r>
      <w:r>
        <w:rPr>
          <w:rFonts w:asciiTheme="minorHAnsi" w:hAnsiTheme="minorHAnsi"/>
          <w:sz w:val="24"/>
        </w:rPr>
        <w:t>RAB remains essentially constant</w:t>
      </w:r>
      <w:r w:rsidR="006F3E06">
        <w:rPr>
          <w:rFonts w:asciiTheme="minorHAnsi" w:hAnsiTheme="minorHAnsi"/>
          <w:sz w:val="24"/>
        </w:rPr>
        <w:t xml:space="preserve"> relative to customers served</w:t>
      </w:r>
      <w:r>
        <w:rPr>
          <w:rFonts w:asciiTheme="minorHAnsi" w:hAnsiTheme="minorHAnsi"/>
          <w:sz w:val="24"/>
        </w:rPr>
        <w:t xml:space="preserve">, with little change from the high growth </w:t>
      </w:r>
      <w:r>
        <w:rPr>
          <w:rFonts w:asciiTheme="minorHAnsi" w:hAnsiTheme="minorHAnsi"/>
          <w:sz w:val="24"/>
        </w:rPr>
        <w:lastRenderedPageBreak/>
        <w:t xml:space="preserve">seen since 2007. </w:t>
      </w:r>
      <w:r w:rsidR="006F3E06">
        <w:rPr>
          <w:rFonts w:asciiTheme="minorHAnsi" w:hAnsiTheme="minorHAnsi"/>
          <w:sz w:val="24"/>
        </w:rPr>
        <w:t xml:space="preserve">The second chart shows that relative to </w:t>
      </w:r>
      <w:r w:rsidR="00BD041C">
        <w:rPr>
          <w:rFonts w:asciiTheme="minorHAnsi" w:hAnsiTheme="minorHAnsi"/>
          <w:sz w:val="24"/>
        </w:rPr>
        <w:t>peak demand, there has been a slight reduction. The changes made in the AER draft decision have little impact on the relative value of the TND RAB.</w:t>
      </w:r>
    </w:p>
    <w:p w:rsidR="00CA46FF" w:rsidRDefault="00CA46FF">
      <w:pPr>
        <w:pStyle w:val="AERbulletlistfirststyle"/>
        <w:numPr>
          <w:ilvl w:val="0"/>
          <w:numId w:val="0"/>
        </w:numPr>
        <w:spacing w:after="0" w:line="240" w:lineRule="auto"/>
        <w:rPr>
          <w:rFonts w:asciiTheme="minorHAnsi" w:hAnsiTheme="minorHAnsi"/>
          <w:sz w:val="24"/>
        </w:rPr>
      </w:pPr>
      <w:r>
        <w:rPr>
          <w:rFonts w:asciiTheme="minorHAnsi" w:hAnsiTheme="minorHAnsi"/>
          <w:noProof/>
          <w:sz w:val="24"/>
          <w:lang w:eastAsia="en-AU"/>
        </w:rPr>
        <w:drawing>
          <wp:inline distT="0" distB="0" distL="0" distR="0">
            <wp:extent cx="5581650" cy="32766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581650" cy="3276600"/>
                    </a:xfrm>
                    <a:prstGeom prst="rect">
                      <a:avLst/>
                    </a:prstGeom>
                    <a:noFill/>
                    <a:ln w="9525">
                      <a:noFill/>
                      <a:miter lim="800000"/>
                      <a:headEnd/>
                      <a:tailEnd/>
                    </a:ln>
                  </pic:spPr>
                </pic:pic>
              </a:graphicData>
            </a:graphic>
          </wp:inline>
        </w:drawing>
      </w:r>
    </w:p>
    <w:p w:rsidR="00037BFD" w:rsidRDefault="00037BFD" w:rsidP="00037BFD">
      <w:pPr>
        <w:pStyle w:val="AERbulletlistfirststyle"/>
        <w:numPr>
          <w:ilvl w:val="0"/>
          <w:numId w:val="0"/>
        </w:numPr>
        <w:spacing w:line="240" w:lineRule="auto"/>
        <w:rPr>
          <w:rFonts w:asciiTheme="minorHAnsi" w:hAnsiTheme="minorHAnsi"/>
          <w:b/>
          <w:szCs w:val="20"/>
        </w:rPr>
      </w:pPr>
      <w:r w:rsidRPr="005733A2">
        <w:rPr>
          <w:rFonts w:asciiTheme="minorHAnsi" w:hAnsiTheme="minorHAnsi"/>
          <w:b/>
          <w:szCs w:val="20"/>
        </w:rPr>
        <w:t xml:space="preserve">Source: RIN data, TND proposal, </w:t>
      </w:r>
      <w:r w:rsidR="00E21A19">
        <w:rPr>
          <w:rFonts w:asciiTheme="minorHAnsi" w:hAnsiTheme="minorHAnsi"/>
          <w:b/>
          <w:szCs w:val="20"/>
        </w:rPr>
        <w:t xml:space="preserve">AER DD, </w:t>
      </w:r>
      <w:r>
        <w:rPr>
          <w:rFonts w:asciiTheme="minorHAnsi" w:hAnsiTheme="minorHAnsi"/>
          <w:b/>
          <w:szCs w:val="20"/>
        </w:rPr>
        <w:t>CCP4(DH)</w:t>
      </w:r>
      <w:r w:rsidRPr="005733A2">
        <w:rPr>
          <w:rFonts w:asciiTheme="minorHAnsi" w:hAnsiTheme="minorHAnsi"/>
          <w:b/>
          <w:szCs w:val="20"/>
        </w:rPr>
        <w:t xml:space="preserve"> analysis</w:t>
      </w:r>
    </w:p>
    <w:p w:rsidR="00CA46FF" w:rsidRDefault="00CA46FF">
      <w:pPr>
        <w:pStyle w:val="AERbulletlistfirststyle"/>
        <w:numPr>
          <w:ilvl w:val="0"/>
          <w:numId w:val="0"/>
        </w:numPr>
        <w:spacing w:after="0" w:line="240" w:lineRule="auto"/>
        <w:rPr>
          <w:rFonts w:asciiTheme="minorHAnsi" w:hAnsiTheme="minorHAnsi"/>
          <w:b/>
          <w:szCs w:val="20"/>
        </w:rPr>
      </w:pPr>
      <w:r>
        <w:rPr>
          <w:rFonts w:asciiTheme="minorHAnsi" w:hAnsiTheme="minorHAnsi"/>
          <w:b/>
          <w:noProof/>
          <w:szCs w:val="20"/>
          <w:lang w:eastAsia="en-AU"/>
        </w:rPr>
        <w:drawing>
          <wp:inline distT="0" distB="0" distL="0" distR="0">
            <wp:extent cx="5581650" cy="338137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581650" cy="3381375"/>
                    </a:xfrm>
                    <a:prstGeom prst="rect">
                      <a:avLst/>
                    </a:prstGeom>
                    <a:noFill/>
                    <a:ln w="9525">
                      <a:noFill/>
                      <a:miter lim="800000"/>
                      <a:headEnd/>
                      <a:tailEnd/>
                    </a:ln>
                  </pic:spPr>
                </pic:pic>
              </a:graphicData>
            </a:graphic>
          </wp:inline>
        </w:drawing>
      </w:r>
    </w:p>
    <w:p w:rsidR="00BD041C" w:rsidRDefault="00BD041C" w:rsidP="00BD041C">
      <w:pPr>
        <w:pStyle w:val="AERbulletlistfirststyle"/>
        <w:numPr>
          <w:ilvl w:val="0"/>
          <w:numId w:val="0"/>
        </w:numPr>
        <w:spacing w:line="240" w:lineRule="auto"/>
        <w:rPr>
          <w:rFonts w:asciiTheme="minorHAnsi" w:hAnsiTheme="minorHAnsi"/>
          <w:b/>
          <w:szCs w:val="20"/>
        </w:rPr>
      </w:pPr>
      <w:r w:rsidRPr="005733A2">
        <w:rPr>
          <w:rFonts w:asciiTheme="minorHAnsi" w:hAnsiTheme="minorHAnsi"/>
          <w:b/>
          <w:szCs w:val="20"/>
        </w:rPr>
        <w:t xml:space="preserve">Source: RIN data, TND proposal, </w:t>
      </w:r>
      <w:r>
        <w:rPr>
          <w:rFonts w:asciiTheme="minorHAnsi" w:hAnsiTheme="minorHAnsi"/>
          <w:b/>
          <w:szCs w:val="20"/>
        </w:rPr>
        <w:t>AER DD, CCP4(DH)</w:t>
      </w:r>
      <w:r w:rsidRPr="005733A2">
        <w:rPr>
          <w:rFonts w:asciiTheme="minorHAnsi" w:hAnsiTheme="minorHAnsi"/>
          <w:b/>
          <w:szCs w:val="20"/>
        </w:rPr>
        <w:t xml:space="preserve"> analysis</w:t>
      </w:r>
    </w:p>
    <w:p w:rsidR="00BD041C" w:rsidRPr="005733A2" w:rsidRDefault="00BD041C" w:rsidP="00037BFD">
      <w:pPr>
        <w:pStyle w:val="AERbulletlistfirststyle"/>
        <w:numPr>
          <w:ilvl w:val="0"/>
          <w:numId w:val="0"/>
        </w:numPr>
        <w:spacing w:line="240" w:lineRule="auto"/>
        <w:rPr>
          <w:rFonts w:asciiTheme="minorHAnsi" w:hAnsiTheme="minorHAnsi"/>
          <w:b/>
          <w:szCs w:val="20"/>
        </w:rPr>
      </w:pPr>
    </w:p>
    <w:p w:rsidR="00BD041C" w:rsidRDefault="00037BFD" w:rsidP="00321397">
      <w:pPr>
        <w:pStyle w:val="AERbulletlistfirststyle"/>
        <w:numPr>
          <w:ilvl w:val="0"/>
          <w:numId w:val="0"/>
        </w:numPr>
        <w:spacing w:line="240" w:lineRule="auto"/>
        <w:rPr>
          <w:rFonts w:asciiTheme="minorHAnsi" w:hAnsiTheme="minorHAnsi"/>
          <w:sz w:val="24"/>
        </w:rPr>
      </w:pPr>
      <w:r>
        <w:rPr>
          <w:rFonts w:asciiTheme="minorHAnsi" w:hAnsiTheme="minorHAnsi"/>
          <w:sz w:val="24"/>
        </w:rPr>
        <w:lastRenderedPageBreak/>
        <w:t xml:space="preserve">It is recommended that the AER should benchmark the RAB </w:t>
      </w:r>
      <w:r w:rsidR="00C95BEF">
        <w:rPr>
          <w:rFonts w:asciiTheme="minorHAnsi" w:hAnsiTheme="minorHAnsi"/>
          <w:sz w:val="24"/>
        </w:rPr>
        <w:t xml:space="preserve">for networks </w:t>
      </w:r>
      <w:r>
        <w:rPr>
          <w:rFonts w:asciiTheme="minorHAnsi" w:hAnsiTheme="minorHAnsi"/>
          <w:sz w:val="24"/>
        </w:rPr>
        <w:t xml:space="preserve">over time in relative terms (eg </w:t>
      </w:r>
      <w:r w:rsidR="006F3E06">
        <w:rPr>
          <w:rFonts w:asciiTheme="minorHAnsi" w:hAnsiTheme="minorHAnsi"/>
          <w:sz w:val="24"/>
        </w:rPr>
        <w:t xml:space="preserve">against </w:t>
      </w:r>
      <w:r>
        <w:rPr>
          <w:rFonts w:asciiTheme="minorHAnsi" w:hAnsiTheme="minorHAnsi"/>
          <w:sz w:val="24"/>
        </w:rPr>
        <w:t>peak demand and numbers of customers served) to assess the liability that future consumers will incur in terms of capital tied up in the assets used to provide the network services</w:t>
      </w:r>
      <w:r w:rsidR="00BD041C">
        <w:rPr>
          <w:rFonts w:asciiTheme="minorHAnsi" w:hAnsiTheme="minorHAnsi"/>
          <w:sz w:val="24"/>
        </w:rPr>
        <w:t>.</w:t>
      </w:r>
    </w:p>
    <w:p w:rsidR="00037BFD" w:rsidRDefault="00CB1539" w:rsidP="00321397">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In the earlier report, it was noted that reliability of supply was relatively flat (even increasing) and utilisation was falling. These further indicated that there was little need for capex. This led to the conclusion that with such a low productivity of its asset base, great care was needed in assessment of the capex program initiated by TND. Despite this </w:t>
      </w:r>
      <w:r w:rsidR="00C95BEF">
        <w:rPr>
          <w:rFonts w:asciiTheme="minorHAnsi" w:hAnsiTheme="minorHAnsi"/>
          <w:sz w:val="24"/>
        </w:rPr>
        <w:t xml:space="preserve">it is noted that </w:t>
      </w:r>
      <w:r>
        <w:rPr>
          <w:rFonts w:asciiTheme="minorHAnsi" w:hAnsiTheme="minorHAnsi"/>
          <w:sz w:val="24"/>
        </w:rPr>
        <w:t xml:space="preserve">the AER has accepted the TND capex program with no change. </w:t>
      </w:r>
    </w:p>
    <w:p w:rsidR="00CB1539" w:rsidRDefault="00CB1539" w:rsidP="00321397">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While it is accepted that asset benchmarking is in its infancy with regard to the NEM, this should not detract from the need to ensure that the liability for future users is minimised without imposing higher costs on current consumers </w:t>
      </w:r>
    </w:p>
    <w:p w:rsidR="00257C76" w:rsidRDefault="00257C76" w:rsidP="00345E27">
      <w:pPr>
        <w:pStyle w:val="AERbulletlistfirststyle"/>
        <w:numPr>
          <w:ilvl w:val="0"/>
          <w:numId w:val="0"/>
        </w:numPr>
        <w:spacing w:line="240" w:lineRule="auto"/>
        <w:rPr>
          <w:rFonts w:asciiTheme="minorHAnsi" w:hAnsiTheme="minorHAnsi"/>
          <w:b/>
          <w:sz w:val="24"/>
        </w:rPr>
      </w:pPr>
    </w:p>
    <w:p w:rsidR="00591CF9" w:rsidRPr="00AA5B97" w:rsidRDefault="00591CF9" w:rsidP="00345E27">
      <w:pPr>
        <w:pStyle w:val="AERbulletlistfirststyle"/>
        <w:numPr>
          <w:ilvl w:val="0"/>
          <w:numId w:val="0"/>
        </w:numPr>
        <w:spacing w:line="240" w:lineRule="auto"/>
        <w:rPr>
          <w:rFonts w:asciiTheme="minorHAnsi" w:hAnsiTheme="minorHAnsi"/>
          <w:b/>
          <w:sz w:val="24"/>
        </w:rPr>
      </w:pPr>
      <w:r w:rsidRPr="00AA5B97">
        <w:rPr>
          <w:rFonts w:asciiTheme="minorHAnsi" w:hAnsiTheme="minorHAnsi"/>
          <w:b/>
          <w:sz w:val="24"/>
        </w:rPr>
        <w:t>3.2 Opex benchmarking</w:t>
      </w:r>
    </w:p>
    <w:p w:rsidR="002F08EA" w:rsidRDefault="002F08EA" w:rsidP="00321397">
      <w:pPr>
        <w:pStyle w:val="AERbulletlistfirststyle"/>
        <w:numPr>
          <w:ilvl w:val="0"/>
          <w:numId w:val="0"/>
        </w:numPr>
        <w:spacing w:line="240" w:lineRule="auto"/>
        <w:rPr>
          <w:rFonts w:asciiTheme="minorHAnsi" w:hAnsiTheme="minorHAnsi"/>
          <w:sz w:val="24"/>
        </w:rPr>
      </w:pPr>
      <w:r>
        <w:rPr>
          <w:rFonts w:asciiTheme="minorHAnsi" w:hAnsiTheme="minorHAnsi"/>
          <w:sz w:val="24"/>
        </w:rPr>
        <w:t>In the earlier report, it was noted that TND opex productivity was improving, although it was not at the efficient frontier.</w:t>
      </w:r>
    </w:p>
    <w:p w:rsidR="002F08EA" w:rsidRDefault="002F08EA" w:rsidP="00321397">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 What the AER draft decision fails to assess is whether the accepted level of opex for the next regulatory period continues moving TND to the efficient frontier. The AER assessed opex indicated that the opex forecast by TND was lower than the AER would have allowed and, on this basis, it </w:t>
      </w:r>
      <w:r w:rsidR="00693A2D">
        <w:rPr>
          <w:rFonts w:asciiTheme="minorHAnsi" w:hAnsiTheme="minorHAnsi"/>
          <w:sz w:val="24"/>
        </w:rPr>
        <w:t>could</w:t>
      </w:r>
      <w:r>
        <w:rPr>
          <w:rFonts w:asciiTheme="minorHAnsi" w:hAnsiTheme="minorHAnsi"/>
          <w:sz w:val="24"/>
        </w:rPr>
        <w:t xml:space="preserve"> be assumed that the TND forecast opex would reflect greater productivity (in fact this was the assessment made in the earlier report)</w:t>
      </w:r>
      <w:r w:rsidR="00C95BEF">
        <w:rPr>
          <w:rFonts w:asciiTheme="minorHAnsi" w:hAnsiTheme="minorHAnsi"/>
          <w:sz w:val="24"/>
        </w:rPr>
        <w:t>. However,</w:t>
      </w:r>
      <w:r>
        <w:rPr>
          <w:rFonts w:asciiTheme="minorHAnsi" w:hAnsiTheme="minorHAnsi"/>
          <w:sz w:val="24"/>
        </w:rPr>
        <w:t xml:space="preserve"> it is still important that such assessments are </w:t>
      </w:r>
      <w:r w:rsidR="00693A2D">
        <w:rPr>
          <w:rFonts w:asciiTheme="minorHAnsi" w:hAnsiTheme="minorHAnsi"/>
          <w:sz w:val="24"/>
        </w:rPr>
        <w:t>demonstrated</w:t>
      </w:r>
      <w:r>
        <w:rPr>
          <w:rFonts w:asciiTheme="minorHAnsi" w:hAnsiTheme="minorHAnsi"/>
          <w:sz w:val="24"/>
        </w:rPr>
        <w:t>.</w:t>
      </w:r>
    </w:p>
    <w:p w:rsidR="002F08EA" w:rsidRDefault="002F08EA" w:rsidP="00345E27">
      <w:pPr>
        <w:pStyle w:val="AERbulletlistfirststyle"/>
        <w:numPr>
          <w:ilvl w:val="0"/>
          <w:numId w:val="0"/>
        </w:numPr>
        <w:spacing w:line="240" w:lineRule="auto"/>
        <w:rPr>
          <w:rFonts w:asciiTheme="minorHAnsi" w:hAnsiTheme="minorHAnsi"/>
          <w:sz w:val="24"/>
        </w:rPr>
      </w:pPr>
      <w:r>
        <w:rPr>
          <w:rFonts w:asciiTheme="minorHAnsi" w:hAnsiTheme="minorHAnsi"/>
          <w:sz w:val="24"/>
        </w:rPr>
        <w:t xml:space="preserve">With this in mind, it is considered that an assessment of opex should include extrapolating the benchmarking of the allowed levels of opex into the future to identify if the allowed levels really do result in opex </w:t>
      </w:r>
      <w:r w:rsidR="00C95BEF">
        <w:rPr>
          <w:rFonts w:asciiTheme="minorHAnsi" w:hAnsiTheme="minorHAnsi"/>
          <w:sz w:val="24"/>
        </w:rPr>
        <w:t xml:space="preserve">becoming </w:t>
      </w:r>
      <w:r>
        <w:rPr>
          <w:rFonts w:asciiTheme="minorHAnsi" w:hAnsiTheme="minorHAnsi"/>
          <w:sz w:val="24"/>
        </w:rPr>
        <w:t>more efficient.</w:t>
      </w:r>
    </w:p>
    <w:p w:rsidR="00257C76" w:rsidRDefault="00257C76" w:rsidP="00345E27">
      <w:pPr>
        <w:spacing w:line="240" w:lineRule="auto"/>
        <w:rPr>
          <w:b/>
          <w:color w:val="000000"/>
          <w:sz w:val="24"/>
          <w:szCs w:val="24"/>
          <w:lang w:val="en-AU"/>
        </w:rPr>
      </w:pPr>
    </w:p>
    <w:p w:rsidR="00C7647A" w:rsidRPr="00AA5B97" w:rsidRDefault="005E0A75" w:rsidP="00345E27">
      <w:pPr>
        <w:spacing w:line="240" w:lineRule="auto"/>
        <w:rPr>
          <w:b/>
          <w:color w:val="000000"/>
          <w:sz w:val="24"/>
          <w:szCs w:val="24"/>
          <w:lang w:val="en-AU"/>
        </w:rPr>
      </w:pPr>
      <w:r w:rsidRPr="00AA5B97">
        <w:rPr>
          <w:b/>
          <w:color w:val="000000"/>
          <w:sz w:val="24"/>
          <w:szCs w:val="24"/>
          <w:lang w:val="en-AU"/>
        </w:rPr>
        <w:t xml:space="preserve">3.3 </w:t>
      </w:r>
      <w:r w:rsidR="00E25E5C">
        <w:rPr>
          <w:b/>
          <w:color w:val="000000"/>
          <w:sz w:val="24"/>
          <w:szCs w:val="24"/>
          <w:lang w:val="en-AU"/>
        </w:rPr>
        <w:t>Conclusions</w:t>
      </w:r>
    </w:p>
    <w:p w:rsidR="00F21805" w:rsidRDefault="00F21805" w:rsidP="00F21805">
      <w:pPr>
        <w:pStyle w:val="AERbulletlistfirststyle"/>
        <w:numPr>
          <w:ilvl w:val="0"/>
          <w:numId w:val="0"/>
        </w:numPr>
        <w:spacing w:line="240" w:lineRule="auto"/>
        <w:rPr>
          <w:rFonts w:asciiTheme="minorHAnsi" w:hAnsiTheme="minorHAnsi"/>
          <w:sz w:val="24"/>
        </w:rPr>
      </w:pPr>
      <w:r>
        <w:rPr>
          <w:rFonts w:asciiTheme="minorHAnsi" w:hAnsiTheme="minorHAnsi"/>
          <w:sz w:val="24"/>
        </w:rPr>
        <w:t>This report considers that the AER, in its assessments of various inputs to the revenue allowance, has not sufficiently taken into account the outcomes of the benchmarking carried out by it or CCP4 in its responses to the TND proposal</w:t>
      </w:r>
      <w:r w:rsidR="00E25E5C">
        <w:rPr>
          <w:rFonts w:asciiTheme="minorHAnsi" w:hAnsiTheme="minorHAnsi"/>
          <w:sz w:val="24"/>
        </w:rPr>
        <w:t>, and nor has the draft decision demonstrated that the allowances assessed are efficient when extrapolating the allowances and benchmarking the</w:t>
      </w:r>
      <w:r w:rsidR="00C95BEF">
        <w:rPr>
          <w:rFonts w:asciiTheme="minorHAnsi" w:hAnsiTheme="minorHAnsi"/>
          <w:sz w:val="24"/>
        </w:rPr>
        <w:t>se</w:t>
      </w:r>
      <w:r w:rsidR="00E25E5C">
        <w:rPr>
          <w:rFonts w:asciiTheme="minorHAnsi" w:hAnsiTheme="minorHAnsi"/>
          <w:sz w:val="24"/>
        </w:rPr>
        <w:t xml:space="preserve"> allowances</w:t>
      </w:r>
      <w:r w:rsidR="00C95BEF" w:rsidRPr="00C95BEF">
        <w:rPr>
          <w:rFonts w:asciiTheme="minorHAnsi" w:hAnsiTheme="minorHAnsi"/>
          <w:sz w:val="24"/>
        </w:rPr>
        <w:t xml:space="preserve"> </w:t>
      </w:r>
      <w:r w:rsidR="00C95BEF">
        <w:rPr>
          <w:rFonts w:asciiTheme="minorHAnsi" w:hAnsiTheme="minorHAnsi"/>
          <w:sz w:val="24"/>
        </w:rPr>
        <w:t>to the end of the next regulatory period</w:t>
      </w:r>
      <w:r>
        <w:rPr>
          <w:rFonts w:asciiTheme="minorHAnsi" w:hAnsiTheme="minorHAnsi"/>
          <w:sz w:val="24"/>
        </w:rPr>
        <w:t xml:space="preserve">. </w:t>
      </w:r>
    </w:p>
    <w:p w:rsidR="003E1B99" w:rsidRPr="00AA5B97" w:rsidRDefault="003E1B99" w:rsidP="00345E27">
      <w:pPr>
        <w:spacing w:after="0" w:line="240" w:lineRule="auto"/>
        <w:rPr>
          <w:rFonts w:eastAsia="Times New Roman" w:cs="Times New Roman"/>
          <w:b/>
          <w:sz w:val="28"/>
          <w:szCs w:val="28"/>
          <w:lang w:val="en-AU" w:bidi="ar-SA"/>
        </w:rPr>
      </w:pPr>
      <w:r w:rsidRPr="00AA5B97">
        <w:rPr>
          <w:b/>
          <w:sz w:val="28"/>
          <w:szCs w:val="28"/>
          <w:lang w:val="en-AU"/>
        </w:rPr>
        <w:br w:type="page"/>
      </w:r>
    </w:p>
    <w:p w:rsidR="00EA6BEE" w:rsidRPr="00AA5B97" w:rsidRDefault="00937D56" w:rsidP="00937D56">
      <w:pPr>
        <w:pStyle w:val="AERbulletlistfirststyle"/>
        <w:numPr>
          <w:ilvl w:val="0"/>
          <w:numId w:val="0"/>
        </w:numPr>
        <w:rPr>
          <w:rFonts w:asciiTheme="minorHAnsi" w:hAnsiTheme="minorHAnsi"/>
          <w:b/>
          <w:sz w:val="28"/>
          <w:szCs w:val="28"/>
        </w:rPr>
      </w:pPr>
      <w:r w:rsidRPr="00AA5B97">
        <w:rPr>
          <w:rFonts w:asciiTheme="minorHAnsi" w:hAnsiTheme="minorHAnsi"/>
          <w:b/>
          <w:sz w:val="28"/>
          <w:szCs w:val="28"/>
        </w:rPr>
        <w:lastRenderedPageBreak/>
        <w:t xml:space="preserve">4. </w:t>
      </w:r>
      <w:r w:rsidR="00766677" w:rsidRPr="00AA5B97">
        <w:rPr>
          <w:rFonts w:asciiTheme="minorHAnsi" w:hAnsiTheme="minorHAnsi"/>
          <w:b/>
          <w:sz w:val="28"/>
          <w:szCs w:val="28"/>
        </w:rPr>
        <w:t>Operating Expenditure</w:t>
      </w:r>
      <w:r w:rsidR="00663047" w:rsidRPr="00AA5B97">
        <w:rPr>
          <w:rFonts w:asciiTheme="minorHAnsi" w:hAnsiTheme="minorHAnsi"/>
          <w:b/>
          <w:sz w:val="28"/>
          <w:szCs w:val="28"/>
        </w:rPr>
        <w:t xml:space="preserve"> (opex)</w:t>
      </w:r>
    </w:p>
    <w:p w:rsidR="00B76268" w:rsidRDefault="00613DCC" w:rsidP="00E267EA">
      <w:pPr>
        <w:pStyle w:val="AERbulletlistfirststyle"/>
        <w:numPr>
          <w:ilvl w:val="0"/>
          <w:numId w:val="0"/>
        </w:numPr>
        <w:rPr>
          <w:rFonts w:asciiTheme="minorHAnsi" w:hAnsiTheme="minorHAnsi"/>
          <w:sz w:val="24"/>
        </w:rPr>
      </w:pPr>
      <w:r w:rsidRPr="00613DCC">
        <w:rPr>
          <w:rFonts w:asciiTheme="minorHAnsi" w:hAnsiTheme="minorHAnsi"/>
          <w:sz w:val="24"/>
        </w:rPr>
        <w:t xml:space="preserve">In the earlier </w:t>
      </w:r>
      <w:r w:rsidR="003C697D">
        <w:rPr>
          <w:rFonts w:asciiTheme="minorHAnsi" w:hAnsiTheme="minorHAnsi"/>
          <w:sz w:val="24"/>
        </w:rPr>
        <w:t>report, it was concluded that</w:t>
      </w:r>
      <w:r w:rsidR="00B76268">
        <w:rPr>
          <w:rFonts w:asciiTheme="minorHAnsi" w:hAnsiTheme="minorHAnsi"/>
          <w:sz w:val="24"/>
        </w:rPr>
        <w:t>:</w:t>
      </w:r>
      <w:r w:rsidR="003C697D">
        <w:rPr>
          <w:rFonts w:asciiTheme="minorHAnsi" w:hAnsiTheme="minorHAnsi"/>
          <w:sz w:val="24"/>
        </w:rPr>
        <w:t xml:space="preserve"> </w:t>
      </w:r>
    </w:p>
    <w:p w:rsidR="00CA46FF" w:rsidRDefault="00B76268">
      <w:pPr>
        <w:spacing w:line="240" w:lineRule="auto"/>
        <w:ind w:left="720"/>
        <w:rPr>
          <w:sz w:val="24"/>
          <w:szCs w:val="24"/>
        </w:rPr>
      </w:pPr>
      <w:r>
        <w:rPr>
          <w:sz w:val="24"/>
          <w:szCs w:val="24"/>
        </w:rPr>
        <w:t xml:space="preserve">“On balance, [it was considered] that the proposed opex is acceptable, closer to the efficient frontier but still on the high side of that target although CCP4(DH) [could not] identify by how much.”  </w:t>
      </w:r>
    </w:p>
    <w:p w:rsidR="003C697D" w:rsidRDefault="00B76268" w:rsidP="00E267EA">
      <w:pPr>
        <w:pStyle w:val="AERbulletlistfirststyle"/>
        <w:numPr>
          <w:ilvl w:val="0"/>
          <w:numId w:val="0"/>
        </w:numPr>
        <w:rPr>
          <w:rFonts w:asciiTheme="minorHAnsi" w:hAnsiTheme="minorHAnsi"/>
          <w:sz w:val="24"/>
        </w:rPr>
      </w:pPr>
      <w:r>
        <w:rPr>
          <w:rFonts w:asciiTheme="minorHAnsi" w:hAnsiTheme="minorHAnsi"/>
          <w:sz w:val="24"/>
        </w:rPr>
        <w:t xml:space="preserve">This observation is supported by the AER draft decision which (based on its base-step-trend analysis) considered that as the TND proposed opex was less than the AER might otherwise have allowed, it would accept the TND proposed opex. </w:t>
      </w:r>
    </w:p>
    <w:p w:rsidR="00B76268" w:rsidRDefault="00B76268" w:rsidP="00E267EA">
      <w:pPr>
        <w:pStyle w:val="AERbulletlistfirststyle"/>
        <w:numPr>
          <w:ilvl w:val="0"/>
          <w:numId w:val="0"/>
        </w:numPr>
        <w:rPr>
          <w:rFonts w:asciiTheme="minorHAnsi" w:hAnsiTheme="minorHAnsi"/>
          <w:sz w:val="24"/>
        </w:rPr>
      </w:pPr>
      <w:r>
        <w:rPr>
          <w:rFonts w:asciiTheme="minorHAnsi" w:hAnsiTheme="minorHAnsi"/>
          <w:sz w:val="24"/>
        </w:rPr>
        <w:t xml:space="preserve">However, the earlier report did make observations that there were aspects of the TND proposed opex which might lead to a conclusion that the TND proposed opex was not as efficient as it could be. </w:t>
      </w:r>
    </w:p>
    <w:p w:rsidR="00E746CE" w:rsidRDefault="00180EB5" w:rsidP="00E267EA">
      <w:pPr>
        <w:pStyle w:val="AERbulletlistfirststyle"/>
        <w:numPr>
          <w:ilvl w:val="0"/>
          <w:numId w:val="0"/>
        </w:numPr>
        <w:rPr>
          <w:rFonts w:asciiTheme="minorHAnsi" w:hAnsiTheme="minorHAnsi"/>
          <w:sz w:val="24"/>
        </w:rPr>
      </w:pPr>
      <w:r>
        <w:rPr>
          <w:rFonts w:asciiTheme="minorHAnsi" w:hAnsiTheme="minorHAnsi"/>
          <w:sz w:val="24"/>
        </w:rPr>
        <w:t>There is a specific assumption by AER and TND that the opex for year 2014/15 is efficient</w:t>
      </w:r>
      <w:r w:rsidR="00E746CE">
        <w:rPr>
          <w:rFonts w:asciiTheme="minorHAnsi" w:hAnsiTheme="minorHAnsi"/>
          <w:sz w:val="24"/>
        </w:rPr>
        <w:t xml:space="preserve"> as it is the result of a program to incentivise increasing efficiency in opex (</w:t>
      </w:r>
      <w:r w:rsidR="00C95BEF">
        <w:rPr>
          <w:rFonts w:asciiTheme="minorHAnsi" w:hAnsiTheme="minorHAnsi"/>
          <w:sz w:val="24"/>
        </w:rPr>
        <w:t xml:space="preserve">via </w:t>
      </w:r>
      <w:r w:rsidR="00E746CE">
        <w:rPr>
          <w:rFonts w:asciiTheme="minorHAnsi" w:hAnsiTheme="minorHAnsi"/>
          <w:sz w:val="24"/>
        </w:rPr>
        <w:t>the E</w:t>
      </w:r>
      <w:r w:rsidR="00711F66">
        <w:rPr>
          <w:rFonts w:asciiTheme="minorHAnsi" w:hAnsiTheme="minorHAnsi"/>
          <w:sz w:val="24"/>
        </w:rPr>
        <w:t>fficiency Benefit Sharing Scheme - EB</w:t>
      </w:r>
      <w:r w:rsidR="00E746CE">
        <w:rPr>
          <w:rFonts w:asciiTheme="minorHAnsi" w:hAnsiTheme="minorHAnsi"/>
          <w:sz w:val="24"/>
        </w:rPr>
        <w:t>SS).</w:t>
      </w:r>
      <w:r>
        <w:rPr>
          <w:rFonts w:asciiTheme="minorHAnsi" w:hAnsiTheme="minorHAnsi"/>
          <w:sz w:val="24"/>
        </w:rPr>
        <w:t xml:space="preserve"> </w:t>
      </w:r>
      <w:r w:rsidR="00711F66">
        <w:rPr>
          <w:rFonts w:asciiTheme="minorHAnsi" w:hAnsiTheme="minorHAnsi"/>
          <w:sz w:val="24"/>
        </w:rPr>
        <w:t xml:space="preserve">Two key </w:t>
      </w:r>
      <w:r w:rsidR="00256842">
        <w:rPr>
          <w:rFonts w:asciiTheme="minorHAnsi" w:hAnsiTheme="minorHAnsi"/>
          <w:sz w:val="24"/>
        </w:rPr>
        <w:t>observation</w:t>
      </w:r>
      <w:r w:rsidR="00711F66">
        <w:rPr>
          <w:rFonts w:asciiTheme="minorHAnsi" w:hAnsiTheme="minorHAnsi"/>
          <w:sz w:val="24"/>
        </w:rPr>
        <w:t>s arise from this assumption</w:t>
      </w:r>
      <w:r w:rsidR="00E746CE">
        <w:rPr>
          <w:rFonts w:asciiTheme="minorHAnsi" w:hAnsiTheme="minorHAnsi"/>
          <w:sz w:val="24"/>
        </w:rPr>
        <w:t xml:space="preserve"> – to what extent does the EBSS incentivise a network to maximise efficiency and whether the base year opex is efficient.</w:t>
      </w:r>
    </w:p>
    <w:p w:rsidR="00256842" w:rsidRDefault="00256842" w:rsidP="00E267EA">
      <w:pPr>
        <w:pStyle w:val="AERbulletlistfirststyle"/>
        <w:numPr>
          <w:ilvl w:val="0"/>
          <w:numId w:val="0"/>
        </w:numPr>
        <w:rPr>
          <w:rFonts w:asciiTheme="minorHAnsi" w:hAnsiTheme="minorHAnsi"/>
          <w:sz w:val="24"/>
        </w:rPr>
      </w:pPr>
      <w:r w:rsidRPr="00526C4F">
        <w:rPr>
          <w:rFonts w:asciiTheme="minorHAnsi" w:hAnsiTheme="minorHAnsi"/>
          <w:sz w:val="24"/>
        </w:rPr>
        <w:t xml:space="preserve">Firstly, </w:t>
      </w:r>
      <w:r w:rsidR="00E746CE" w:rsidRPr="00526C4F">
        <w:rPr>
          <w:rFonts w:asciiTheme="minorHAnsi" w:hAnsiTheme="minorHAnsi"/>
          <w:sz w:val="24"/>
        </w:rPr>
        <w:t>TND</w:t>
      </w:r>
      <w:r w:rsidR="00E746CE">
        <w:rPr>
          <w:rFonts w:asciiTheme="minorHAnsi" w:hAnsiTheme="minorHAnsi"/>
          <w:sz w:val="24"/>
        </w:rPr>
        <w:t xml:space="preserve"> has decided that its existing opex is not efficient</w:t>
      </w:r>
      <w:r>
        <w:rPr>
          <w:rFonts w:asciiTheme="minorHAnsi" w:hAnsiTheme="minorHAnsi"/>
          <w:sz w:val="24"/>
        </w:rPr>
        <w:t>. TND</w:t>
      </w:r>
      <w:r w:rsidR="00E746CE">
        <w:rPr>
          <w:rFonts w:asciiTheme="minorHAnsi" w:hAnsiTheme="minorHAnsi"/>
          <w:sz w:val="24"/>
        </w:rPr>
        <w:t xml:space="preserve"> has proposed a significant opex reduction from current levels and even </w:t>
      </w:r>
      <w:r>
        <w:rPr>
          <w:rFonts w:asciiTheme="minorHAnsi" w:hAnsiTheme="minorHAnsi"/>
          <w:sz w:val="24"/>
        </w:rPr>
        <w:t xml:space="preserve">less than </w:t>
      </w:r>
      <w:r w:rsidR="00E746CE">
        <w:rPr>
          <w:rFonts w:asciiTheme="minorHAnsi" w:hAnsiTheme="minorHAnsi"/>
          <w:sz w:val="24"/>
        </w:rPr>
        <w:t>the opex the AER would probably have accepted</w:t>
      </w:r>
      <w:r>
        <w:rPr>
          <w:rFonts w:asciiTheme="minorHAnsi" w:hAnsiTheme="minorHAnsi"/>
          <w:sz w:val="24"/>
        </w:rPr>
        <w:t xml:space="preserve"> based on its base-step-trend approach; both of these make it clear </w:t>
      </w:r>
      <w:r w:rsidR="00E746CE">
        <w:rPr>
          <w:rFonts w:asciiTheme="minorHAnsi" w:hAnsiTheme="minorHAnsi"/>
          <w:sz w:val="24"/>
        </w:rPr>
        <w:t xml:space="preserve">that TND considers that its opex is not efficient. The benchmarking carried out by the AER implies that TND current opex </w:t>
      </w:r>
      <w:r w:rsidR="00621BD2">
        <w:rPr>
          <w:rFonts w:asciiTheme="minorHAnsi" w:hAnsiTheme="minorHAnsi"/>
          <w:sz w:val="24"/>
        </w:rPr>
        <w:t xml:space="preserve">productivity </w:t>
      </w:r>
      <w:r w:rsidR="00E746CE">
        <w:rPr>
          <w:rFonts w:asciiTheme="minorHAnsi" w:hAnsiTheme="minorHAnsi"/>
          <w:sz w:val="24"/>
        </w:rPr>
        <w:t xml:space="preserve">is </w:t>
      </w:r>
      <w:r w:rsidR="00621BD2">
        <w:rPr>
          <w:rFonts w:asciiTheme="minorHAnsi" w:hAnsiTheme="minorHAnsi"/>
          <w:sz w:val="24"/>
        </w:rPr>
        <w:t xml:space="preserve">about </w:t>
      </w:r>
      <w:r>
        <w:rPr>
          <w:rFonts w:asciiTheme="minorHAnsi" w:hAnsiTheme="minorHAnsi"/>
          <w:sz w:val="24"/>
        </w:rPr>
        <w:t xml:space="preserve">(maybe even above) </w:t>
      </w:r>
      <w:r w:rsidR="00621BD2">
        <w:rPr>
          <w:rFonts w:asciiTheme="minorHAnsi" w:hAnsiTheme="minorHAnsi"/>
          <w:sz w:val="24"/>
        </w:rPr>
        <w:t xml:space="preserve">average in the cohort of all NEM distribution businesses. </w:t>
      </w:r>
      <w:r>
        <w:rPr>
          <w:rFonts w:asciiTheme="minorHAnsi" w:hAnsiTheme="minorHAnsi"/>
          <w:sz w:val="24"/>
        </w:rPr>
        <w:t xml:space="preserve">That TND is in this position </w:t>
      </w:r>
      <w:r w:rsidR="00526C4F">
        <w:rPr>
          <w:rFonts w:asciiTheme="minorHAnsi" w:hAnsiTheme="minorHAnsi"/>
          <w:sz w:val="24"/>
        </w:rPr>
        <w:t xml:space="preserve">in </w:t>
      </w:r>
      <w:r>
        <w:rPr>
          <w:rFonts w:asciiTheme="minorHAnsi" w:hAnsiTheme="minorHAnsi"/>
          <w:sz w:val="24"/>
        </w:rPr>
        <w:t xml:space="preserve">the “opex productivity benchmark stakes”, </w:t>
      </w:r>
      <w:r w:rsidR="00621BD2">
        <w:rPr>
          <w:rFonts w:asciiTheme="minorHAnsi" w:hAnsiTheme="minorHAnsi"/>
          <w:sz w:val="24"/>
        </w:rPr>
        <w:t>it is assumed that TND opex has responded to the EBSS incentive yet</w:t>
      </w:r>
      <w:r w:rsidR="00526C4F">
        <w:rPr>
          <w:rFonts w:asciiTheme="minorHAnsi" w:hAnsiTheme="minorHAnsi"/>
          <w:sz w:val="24"/>
        </w:rPr>
        <w:t>,</w:t>
      </w:r>
      <w:r w:rsidR="00621BD2">
        <w:rPr>
          <w:rFonts w:asciiTheme="minorHAnsi" w:hAnsiTheme="minorHAnsi"/>
          <w:sz w:val="24"/>
        </w:rPr>
        <w:t xml:space="preserve"> despite this</w:t>
      </w:r>
      <w:r w:rsidR="00526C4F">
        <w:rPr>
          <w:rFonts w:asciiTheme="minorHAnsi" w:hAnsiTheme="minorHAnsi"/>
          <w:sz w:val="24"/>
        </w:rPr>
        <w:t>,</w:t>
      </w:r>
      <w:r w:rsidR="00621BD2">
        <w:rPr>
          <w:rFonts w:asciiTheme="minorHAnsi" w:hAnsiTheme="minorHAnsi"/>
          <w:sz w:val="24"/>
        </w:rPr>
        <w:t xml:space="preserve"> TND consider</w:t>
      </w:r>
      <w:r>
        <w:rPr>
          <w:rFonts w:asciiTheme="minorHAnsi" w:hAnsiTheme="minorHAnsi"/>
          <w:sz w:val="24"/>
        </w:rPr>
        <w:t>s</w:t>
      </w:r>
      <w:r w:rsidR="00621BD2">
        <w:rPr>
          <w:rFonts w:asciiTheme="minorHAnsi" w:hAnsiTheme="minorHAnsi"/>
          <w:sz w:val="24"/>
        </w:rPr>
        <w:t xml:space="preserve"> that they can be more productive and have proposed an opex lower than that </w:t>
      </w:r>
      <w:r>
        <w:rPr>
          <w:rFonts w:asciiTheme="minorHAnsi" w:hAnsiTheme="minorHAnsi"/>
          <w:sz w:val="24"/>
        </w:rPr>
        <w:t>which assumes</w:t>
      </w:r>
      <w:r w:rsidR="00621BD2">
        <w:rPr>
          <w:rFonts w:asciiTheme="minorHAnsi" w:hAnsiTheme="minorHAnsi"/>
          <w:sz w:val="24"/>
        </w:rPr>
        <w:t xml:space="preserve"> they are already near the efficient frontier. This report considers that the AER assumption that the EBSS drives a</w:t>
      </w:r>
      <w:r>
        <w:rPr>
          <w:rFonts w:asciiTheme="minorHAnsi" w:hAnsiTheme="minorHAnsi"/>
          <w:sz w:val="24"/>
        </w:rPr>
        <w:t xml:space="preserve"> </w:t>
      </w:r>
      <w:r w:rsidR="00621BD2">
        <w:rPr>
          <w:rFonts w:asciiTheme="minorHAnsi" w:hAnsiTheme="minorHAnsi"/>
          <w:sz w:val="24"/>
        </w:rPr>
        <w:t>n</w:t>
      </w:r>
      <w:r>
        <w:rPr>
          <w:rFonts w:asciiTheme="minorHAnsi" w:hAnsiTheme="minorHAnsi"/>
          <w:sz w:val="24"/>
        </w:rPr>
        <w:t>etwork to</w:t>
      </w:r>
      <w:r w:rsidR="00621BD2">
        <w:rPr>
          <w:rFonts w:asciiTheme="minorHAnsi" w:hAnsiTheme="minorHAnsi"/>
          <w:sz w:val="24"/>
        </w:rPr>
        <w:t xml:space="preserve"> efficient opex, is not supported by the actions of TND.</w:t>
      </w:r>
      <w:r w:rsidR="00E746CE">
        <w:rPr>
          <w:rFonts w:asciiTheme="minorHAnsi" w:hAnsiTheme="minorHAnsi"/>
          <w:sz w:val="24"/>
        </w:rPr>
        <w:t xml:space="preserve"> </w:t>
      </w:r>
    </w:p>
    <w:p w:rsidR="00256842" w:rsidRDefault="00256842" w:rsidP="00E267EA">
      <w:pPr>
        <w:pStyle w:val="AERbulletlistfirststyle"/>
        <w:numPr>
          <w:ilvl w:val="0"/>
          <w:numId w:val="0"/>
        </w:numPr>
        <w:rPr>
          <w:rFonts w:asciiTheme="minorHAnsi" w:hAnsiTheme="minorHAnsi"/>
          <w:sz w:val="24"/>
        </w:rPr>
      </w:pPr>
      <w:r>
        <w:rPr>
          <w:rFonts w:asciiTheme="minorHAnsi" w:hAnsiTheme="minorHAnsi"/>
          <w:sz w:val="24"/>
        </w:rPr>
        <w:t xml:space="preserve">On this basis, this report considers that the AER needs to assess more closely the degree to which the EBSS is actually achieving significant productivity improvements. </w:t>
      </w:r>
      <w:r w:rsidR="00526C4F">
        <w:rPr>
          <w:rFonts w:asciiTheme="minorHAnsi" w:hAnsiTheme="minorHAnsi"/>
          <w:sz w:val="24"/>
        </w:rPr>
        <w:t>As a point of comparison, the earlier report commented that capital intensive firms operating in a competitive environment are reducing their opex in nominal terms to stay competitive.</w:t>
      </w:r>
    </w:p>
    <w:p w:rsidR="00E746CE" w:rsidRDefault="00256842" w:rsidP="00E267EA">
      <w:pPr>
        <w:pStyle w:val="AERbulletlistfirststyle"/>
        <w:numPr>
          <w:ilvl w:val="0"/>
          <w:numId w:val="0"/>
        </w:numPr>
        <w:rPr>
          <w:rFonts w:asciiTheme="minorHAnsi" w:hAnsiTheme="minorHAnsi"/>
          <w:sz w:val="24"/>
        </w:rPr>
      </w:pPr>
      <w:r>
        <w:rPr>
          <w:rFonts w:asciiTheme="minorHAnsi" w:hAnsiTheme="minorHAnsi"/>
          <w:sz w:val="24"/>
        </w:rPr>
        <w:t xml:space="preserve">The AER approach to identifying whether a deeper investigation is warranted into the proposed opex through comparisons with its base-step-trend approach </w:t>
      </w:r>
      <w:r w:rsidR="00526C4F">
        <w:rPr>
          <w:rFonts w:asciiTheme="minorHAnsi" w:hAnsiTheme="minorHAnsi"/>
          <w:sz w:val="24"/>
        </w:rPr>
        <w:t xml:space="preserve">is not supported </w:t>
      </w:r>
      <w:r w:rsidR="00526C4F">
        <w:rPr>
          <w:rFonts w:asciiTheme="minorHAnsi" w:hAnsiTheme="minorHAnsi"/>
          <w:sz w:val="24"/>
        </w:rPr>
        <w:lastRenderedPageBreak/>
        <w:t>by TND actions as</w:t>
      </w:r>
      <w:r w:rsidR="00795E5C">
        <w:rPr>
          <w:rFonts w:asciiTheme="minorHAnsi" w:hAnsiTheme="minorHAnsi"/>
          <w:sz w:val="24"/>
        </w:rPr>
        <w:t xml:space="preserve"> it </w:t>
      </w:r>
      <w:r>
        <w:rPr>
          <w:rFonts w:asciiTheme="minorHAnsi" w:hAnsiTheme="minorHAnsi"/>
          <w:sz w:val="24"/>
        </w:rPr>
        <w:t xml:space="preserve">is patently </w:t>
      </w:r>
      <w:r w:rsidR="00795E5C">
        <w:rPr>
          <w:rFonts w:asciiTheme="minorHAnsi" w:hAnsiTheme="minorHAnsi"/>
          <w:sz w:val="24"/>
        </w:rPr>
        <w:t>obvious that</w:t>
      </w:r>
      <w:r>
        <w:rPr>
          <w:rFonts w:asciiTheme="minorHAnsi" w:hAnsiTheme="minorHAnsi"/>
          <w:sz w:val="24"/>
        </w:rPr>
        <w:t xml:space="preserve"> TND </w:t>
      </w:r>
      <w:r w:rsidR="00795E5C">
        <w:rPr>
          <w:rFonts w:asciiTheme="minorHAnsi" w:hAnsiTheme="minorHAnsi"/>
          <w:sz w:val="24"/>
        </w:rPr>
        <w:t xml:space="preserve">does </w:t>
      </w:r>
      <w:r>
        <w:rPr>
          <w:rFonts w:asciiTheme="minorHAnsi" w:hAnsiTheme="minorHAnsi"/>
          <w:sz w:val="24"/>
        </w:rPr>
        <w:t xml:space="preserve">not </w:t>
      </w:r>
      <w:r w:rsidR="00526C4F">
        <w:rPr>
          <w:rFonts w:asciiTheme="minorHAnsi" w:hAnsiTheme="minorHAnsi"/>
          <w:sz w:val="24"/>
        </w:rPr>
        <w:t xml:space="preserve">consider that it did </w:t>
      </w:r>
      <w:r>
        <w:rPr>
          <w:rFonts w:asciiTheme="minorHAnsi" w:hAnsiTheme="minorHAnsi"/>
          <w:sz w:val="24"/>
        </w:rPr>
        <w:t>deli</w:t>
      </w:r>
      <w:r w:rsidR="00795E5C">
        <w:rPr>
          <w:rFonts w:asciiTheme="minorHAnsi" w:hAnsiTheme="minorHAnsi"/>
          <w:sz w:val="24"/>
        </w:rPr>
        <w:t xml:space="preserve">ver an efficient opex allowance </w:t>
      </w:r>
      <w:r w:rsidR="00526C4F">
        <w:rPr>
          <w:rFonts w:asciiTheme="minorHAnsi" w:hAnsiTheme="minorHAnsi"/>
          <w:sz w:val="24"/>
        </w:rPr>
        <w:t xml:space="preserve">through </w:t>
      </w:r>
      <w:r w:rsidR="00795E5C">
        <w:rPr>
          <w:rFonts w:asciiTheme="minorHAnsi" w:hAnsiTheme="minorHAnsi"/>
          <w:sz w:val="24"/>
        </w:rPr>
        <w:t xml:space="preserve">this process. The AER approach does not require any forecast productivity gain yet TND consider that their opex can be further reduced by improved productivity and notionally have built in 2.2% improvement. This report considers that the AER base-step-trend approach needs to incorporate a productivity improvement for all networks to incentivise networks to </w:t>
      </w:r>
      <w:r w:rsidR="00693A2D">
        <w:rPr>
          <w:rFonts w:asciiTheme="minorHAnsi" w:hAnsiTheme="minorHAnsi"/>
          <w:sz w:val="24"/>
        </w:rPr>
        <w:t>redress</w:t>
      </w:r>
      <w:r w:rsidR="00795E5C">
        <w:rPr>
          <w:rFonts w:asciiTheme="minorHAnsi" w:hAnsiTheme="minorHAnsi"/>
          <w:sz w:val="24"/>
        </w:rPr>
        <w:t xml:space="preserve"> the consistent decline in productivity observed by the AER benchmarking </w:t>
      </w:r>
      <w:r w:rsidR="00526C4F">
        <w:rPr>
          <w:rFonts w:asciiTheme="minorHAnsi" w:hAnsiTheme="minorHAnsi"/>
          <w:sz w:val="24"/>
        </w:rPr>
        <w:t xml:space="preserve">of opex </w:t>
      </w:r>
      <w:r w:rsidR="00795E5C">
        <w:rPr>
          <w:rFonts w:asciiTheme="minorHAnsi" w:hAnsiTheme="minorHAnsi"/>
          <w:sz w:val="24"/>
        </w:rPr>
        <w:t>over the past decade.</w:t>
      </w:r>
      <w:r>
        <w:rPr>
          <w:rFonts w:asciiTheme="minorHAnsi" w:hAnsiTheme="minorHAnsi"/>
          <w:sz w:val="24"/>
        </w:rPr>
        <w:t xml:space="preserve">  </w:t>
      </w:r>
    </w:p>
    <w:p w:rsidR="00180EB5" w:rsidRPr="003C697D" w:rsidRDefault="00256842" w:rsidP="00E267EA">
      <w:pPr>
        <w:pStyle w:val="AERbulletlistfirststyle"/>
        <w:numPr>
          <w:ilvl w:val="0"/>
          <w:numId w:val="0"/>
        </w:numPr>
        <w:rPr>
          <w:rFonts w:asciiTheme="minorHAnsi" w:hAnsiTheme="minorHAnsi"/>
          <w:sz w:val="24"/>
        </w:rPr>
      </w:pPr>
      <w:r>
        <w:rPr>
          <w:rFonts w:asciiTheme="minorHAnsi" w:hAnsiTheme="minorHAnsi"/>
          <w:sz w:val="24"/>
        </w:rPr>
        <w:t xml:space="preserve">Secondly, </w:t>
      </w:r>
      <w:r w:rsidR="00180EB5">
        <w:rPr>
          <w:rFonts w:asciiTheme="minorHAnsi" w:hAnsiTheme="minorHAnsi"/>
          <w:sz w:val="24"/>
        </w:rPr>
        <w:t xml:space="preserve">TND forecasts that the opex for 2015/16 (a year that is now complete) will be lower than the opex for 2014/15. As the subsequent year has an opex forecast to be lower than the opex for the base year, this implies that the base year opex </w:t>
      </w:r>
      <w:r w:rsidR="00621BD2">
        <w:rPr>
          <w:rFonts w:asciiTheme="minorHAnsi" w:hAnsiTheme="minorHAnsi"/>
          <w:sz w:val="24"/>
        </w:rPr>
        <w:t xml:space="preserve">used by the AER </w:t>
      </w:r>
      <w:r w:rsidR="00180EB5">
        <w:rPr>
          <w:rFonts w:asciiTheme="minorHAnsi" w:hAnsiTheme="minorHAnsi"/>
          <w:sz w:val="24"/>
        </w:rPr>
        <w:t xml:space="preserve">is not </w:t>
      </w:r>
      <w:r w:rsidR="0049332B">
        <w:rPr>
          <w:rFonts w:asciiTheme="minorHAnsi" w:hAnsiTheme="minorHAnsi"/>
          <w:sz w:val="24"/>
        </w:rPr>
        <w:t>the efficient</w:t>
      </w:r>
      <w:r w:rsidR="00621BD2">
        <w:rPr>
          <w:rFonts w:asciiTheme="minorHAnsi" w:hAnsiTheme="minorHAnsi"/>
          <w:sz w:val="24"/>
        </w:rPr>
        <w:t xml:space="preserve"> base year</w:t>
      </w:r>
      <w:r w:rsidR="00180EB5">
        <w:rPr>
          <w:rFonts w:asciiTheme="minorHAnsi" w:hAnsiTheme="minorHAnsi"/>
          <w:sz w:val="24"/>
        </w:rPr>
        <w:t xml:space="preserve">. The AER should </w:t>
      </w:r>
      <w:r w:rsidR="0049332B">
        <w:rPr>
          <w:rFonts w:asciiTheme="minorHAnsi" w:hAnsiTheme="minorHAnsi"/>
          <w:sz w:val="24"/>
        </w:rPr>
        <w:t>re</w:t>
      </w:r>
      <w:r w:rsidR="00180EB5">
        <w:rPr>
          <w:rFonts w:asciiTheme="minorHAnsi" w:hAnsiTheme="minorHAnsi"/>
          <w:sz w:val="24"/>
        </w:rPr>
        <w:t xml:space="preserve">assess </w:t>
      </w:r>
      <w:r w:rsidR="0049332B">
        <w:rPr>
          <w:rFonts w:asciiTheme="minorHAnsi" w:hAnsiTheme="minorHAnsi"/>
          <w:sz w:val="24"/>
        </w:rPr>
        <w:t>its</w:t>
      </w:r>
      <w:r w:rsidR="00180EB5">
        <w:rPr>
          <w:rFonts w:asciiTheme="minorHAnsi" w:hAnsiTheme="minorHAnsi"/>
          <w:sz w:val="24"/>
        </w:rPr>
        <w:t xml:space="preserve"> opex for</w:t>
      </w:r>
      <w:r w:rsidR="0049332B">
        <w:rPr>
          <w:rFonts w:asciiTheme="minorHAnsi" w:hAnsiTheme="minorHAnsi"/>
          <w:sz w:val="24"/>
        </w:rPr>
        <w:t>ecast based on the actual</w:t>
      </w:r>
      <w:r w:rsidR="00180EB5">
        <w:rPr>
          <w:rFonts w:asciiTheme="minorHAnsi" w:hAnsiTheme="minorHAnsi"/>
          <w:sz w:val="24"/>
        </w:rPr>
        <w:t xml:space="preserve"> 2015/16 </w:t>
      </w:r>
      <w:r w:rsidR="0049332B">
        <w:rPr>
          <w:rFonts w:asciiTheme="minorHAnsi" w:hAnsiTheme="minorHAnsi"/>
          <w:sz w:val="24"/>
        </w:rPr>
        <w:t xml:space="preserve">data (which should now be available) </w:t>
      </w:r>
      <w:r w:rsidR="00180EB5">
        <w:rPr>
          <w:rFonts w:asciiTheme="minorHAnsi" w:hAnsiTheme="minorHAnsi"/>
          <w:sz w:val="24"/>
        </w:rPr>
        <w:t xml:space="preserve">to identify if </w:t>
      </w:r>
      <w:r w:rsidR="0049332B">
        <w:rPr>
          <w:rFonts w:asciiTheme="minorHAnsi" w:hAnsiTheme="minorHAnsi"/>
          <w:sz w:val="24"/>
        </w:rPr>
        <w:t xml:space="preserve">its forecast </w:t>
      </w:r>
      <w:r w:rsidR="00621BD2">
        <w:rPr>
          <w:rFonts w:asciiTheme="minorHAnsi" w:hAnsiTheme="minorHAnsi"/>
          <w:sz w:val="24"/>
        </w:rPr>
        <w:t xml:space="preserve">for opex </w:t>
      </w:r>
      <w:r w:rsidR="0049332B">
        <w:rPr>
          <w:rFonts w:asciiTheme="minorHAnsi" w:hAnsiTheme="minorHAnsi"/>
          <w:sz w:val="24"/>
        </w:rPr>
        <w:t>is still higher than that forecast by TND</w:t>
      </w:r>
      <w:r w:rsidR="00180EB5">
        <w:rPr>
          <w:rFonts w:asciiTheme="minorHAnsi" w:hAnsiTheme="minorHAnsi"/>
          <w:sz w:val="24"/>
        </w:rPr>
        <w:t xml:space="preserve">. </w:t>
      </w:r>
    </w:p>
    <w:p w:rsidR="00076F40" w:rsidRDefault="00613DCC" w:rsidP="00E267EA">
      <w:pPr>
        <w:pStyle w:val="AERbulletlistfirststyle"/>
        <w:numPr>
          <w:ilvl w:val="0"/>
          <w:numId w:val="0"/>
        </w:numPr>
        <w:rPr>
          <w:rFonts w:asciiTheme="minorHAnsi" w:hAnsiTheme="minorHAnsi"/>
          <w:sz w:val="24"/>
        </w:rPr>
      </w:pPr>
      <w:r w:rsidRPr="00613DCC">
        <w:rPr>
          <w:rFonts w:asciiTheme="minorHAnsi" w:hAnsiTheme="minorHAnsi"/>
          <w:sz w:val="24"/>
        </w:rPr>
        <w:t>This report notes th</w:t>
      </w:r>
      <w:r w:rsidR="00076F40">
        <w:rPr>
          <w:rFonts w:asciiTheme="minorHAnsi" w:hAnsiTheme="minorHAnsi"/>
          <w:sz w:val="24"/>
        </w:rPr>
        <w:t>e AER observation made in the draft decision</w:t>
      </w:r>
      <w:r w:rsidR="00526C4F">
        <w:rPr>
          <w:rFonts w:asciiTheme="minorHAnsi" w:hAnsiTheme="minorHAnsi"/>
          <w:sz w:val="24"/>
        </w:rPr>
        <w:t xml:space="preserve"> (page 7-21)</w:t>
      </w:r>
      <w:r w:rsidR="00076F40">
        <w:rPr>
          <w:rFonts w:asciiTheme="minorHAnsi" w:hAnsiTheme="minorHAnsi"/>
          <w:sz w:val="24"/>
        </w:rPr>
        <w:t xml:space="preserve"> – that:</w:t>
      </w:r>
    </w:p>
    <w:p w:rsidR="00CA46FF" w:rsidRDefault="00076F40">
      <w:pPr>
        <w:autoSpaceDE w:val="0"/>
        <w:autoSpaceDN w:val="0"/>
        <w:adjustRightInd w:val="0"/>
        <w:spacing w:line="240" w:lineRule="auto"/>
        <w:ind w:left="720"/>
        <w:jc w:val="left"/>
        <w:rPr>
          <w:rFonts w:cstheme="minorHAnsi"/>
          <w:b/>
          <w:sz w:val="24"/>
        </w:rPr>
      </w:pPr>
      <w:r>
        <w:rPr>
          <w:rFonts w:eastAsia="Times New Roman" w:cstheme="minorHAnsi"/>
          <w:color w:val="000000"/>
          <w:sz w:val="24"/>
          <w:szCs w:val="24"/>
          <w:lang w:val="en-AU" w:eastAsia="en-AU" w:bidi="ar-SA"/>
        </w:rPr>
        <w:t>“</w:t>
      </w:r>
      <w:r w:rsidR="00613DCC" w:rsidRPr="00613DCC">
        <w:rPr>
          <w:rFonts w:eastAsia="Times New Roman" w:cstheme="minorHAnsi"/>
          <w:color w:val="000000"/>
          <w:sz w:val="24"/>
          <w:szCs w:val="24"/>
          <w:lang w:val="en-AU" w:eastAsia="en-AU" w:bidi="ar-SA"/>
        </w:rPr>
        <w:t>Because some capital intensive industries have achieved good productivity growth does not necessarily mean TasNetworks can achieve the same productivity growth. In particular, declining demand reduces TasNetworks' ability to achieve productivity growth.</w:t>
      </w:r>
      <w:r>
        <w:rPr>
          <w:rFonts w:eastAsia="Times New Roman" w:cstheme="minorHAnsi"/>
          <w:color w:val="000000"/>
          <w:sz w:val="24"/>
          <w:szCs w:val="24"/>
          <w:lang w:val="en-AU" w:eastAsia="en-AU" w:bidi="ar-SA"/>
        </w:rPr>
        <w:t>”</w:t>
      </w:r>
      <w:r w:rsidR="00613DCC" w:rsidRPr="00613DCC">
        <w:rPr>
          <w:rFonts w:eastAsia="Times New Roman" w:cstheme="minorHAnsi"/>
          <w:color w:val="000000"/>
          <w:sz w:val="24"/>
          <w:szCs w:val="24"/>
          <w:lang w:val="en-AU" w:eastAsia="en-AU" w:bidi="ar-SA"/>
        </w:rPr>
        <w:t xml:space="preserve"> </w:t>
      </w:r>
      <w:r w:rsidRPr="00076F40">
        <w:rPr>
          <w:rFonts w:cstheme="minorHAnsi"/>
          <w:sz w:val="24"/>
          <w:szCs w:val="24"/>
        </w:rPr>
        <w:t xml:space="preserve"> </w:t>
      </w:r>
      <w:r w:rsidRPr="00076F40">
        <w:rPr>
          <w:rFonts w:cstheme="minorHAnsi"/>
          <w:b/>
          <w:sz w:val="24"/>
          <w:szCs w:val="24"/>
        </w:rPr>
        <w:t xml:space="preserve"> </w:t>
      </w:r>
    </w:p>
    <w:p w:rsidR="00076F40" w:rsidRDefault="00613DCC" w:rsidP="00E267EA">
      <w:pPr>
        <w:pStyle w:val="AERbulletlistfirststyle"/>
        <w:numPr>
          <w:ilvl w:val="0"/>
          <w:numId w:val="0"/>
        </w:numPr>
        <w:rPr>
          <w:rFonts w:asciiTheme="minorHAnsi" w:hAnsiTheme="minorHAnsi"/>
          <w:sz w:val="24"/>
        </w:rPr>
      </w:pPr>
      <w:r w:rsidRPr="00613DCC">
        <w:rPr>
          <w:rFonts w:asciiTheme="minorHAnsi" w:hAnsiTheme="minorHAnsi"/>
          <w:sz w:val="24"/>
        </w:rPr>
        <w:t xml:space="preserve">This report </w:t>
      </w:r>
      <w:r w:rsidR="00076F40">
        <w:rPr>
          <w:rFonts w:asciiTheme="minorHAnsi" w:hAnsiTheme="minorHAnsi"/>
          <w:sz w:val="24"/>
        </w:rPr>
        <w:t xml:space="preserve">disagrees with </w:t>
      </w:r>
      <w:r w:rsidR="00526C4F">
        <w:rPr>
          <w:rFonts w:asciiTheme="minorHAnsi" w:hAnsiTheme="minorHAnsi"/>
          <w:sz w:val="24"/>
        </w:rPr>
        <w:t xml:space="preserve">that </w:t>
      </w:r>
      <w:r w:rsidR="00076F40">
        <w:rPr>
          <w:rFonts w:asciiTheme="minorHAnsi" w:hAnsiTheme="minorHAnsi"/>
          <w:sz w:val="24"/>
        </w:rPr>
        <w:t xml:space="preserve">AER observation. It notes that other capital intensive industries have achieved improved productivity as a result of the imperative that, if they hadn’t, they would have gone out of business. As noted above, the AER assessment of TND opex implies that the AER approach has not resulted in the highest productivity achievable. Further, this report considers that declining demand is not a cause leading to reduced productivity as opex is almost entirely related to the assets actually used (eg the length of powerlines, the numbers of hardware, etc). If anything reduced demand should result in increased productivity as this imposes less stress on equipment and thereby increases life (ie increases asset productivity) and  reduces the amount of maintenance (reduces opex). </w:t>
      </w:r>
    </w:p>
    <w:p w:rsidR="002969EE" w:rsidRPr="00076F40" w:rsidRDefault="002969EE" w:rsidP="00E267EA">
      <w:pPr>
        <w:pStyle w:val="AERbulletlistfirststyle"/>
        <w:numPr>
          <w:ilvl w:val="0"/>
          <w:numId w:val="0"/>
        </w:numPr>
        <w:rPr>
          <w:rFonts w:asciiTheme="minorHAnsi" w:hAnsiTheme="minorHAnsi"/>
          <w:sz w:val="24"/>
        </w:rPr>
      </w:pPr>
      <w:r>
        <w:rPr>
          <w:rFonts w:asciiTheme="minorHAnsi" w:hAnsiTheme="minorHAnsi"/>
          <w:sz w:val="24"/>
        </w:rPr>
        <w:t xml:space="preserve">In the earlier report, it was observed that TND was seeking a higher level of repex than it had used in the past, although overall, capex forecast was much the same average spend as for the current five year period. What has not been recognised by the AER (although it might be from the TND decision to build in increased productivity) is the impact of this increased repex and the expectation that as a result of increased repex, there should be increased opex productivity. Repex impacts opex by reducing maintenance costs through replacement of old with new. </w:t>
      </w:r>
    </w:p>
    <w:p w:rsidR="003C697D" w:rsidRDefault="00613DCC" w:rsidP="00E267EA">
      <w:pPr>
        <w:pStyle w:val="AERbulletlistfirststyle"/>
        <w:numPr>
          <w:ilvl w:val="0"/>
          <w:numId w:val="0"/>
        </w:numPr>
        <w:rPr>
          <w:rFonts w:asciiTheme="minorHAnsi" w:hAnsiTheme="minorHAnsi"/>
          <w:sz w:val="24"/>
        </w:rPr>
      </w:pPr>
      <w:r w:rsidRPr="00613DCC">
        <w:rPr>
          <w:rFonts w:asciiTheme="minorHAnsi" w:hAnsiTheme="minorHAnsi"/>
          <w:sz w:val="24"/>
        </w:rPr>
        <w:lastRenderedPageBreak/>
        <w:t>The earlier report reached the following conclusions</w:t>
      </w:r>
      <w:r w:rsidR="00795E5C">
        <w:rPr>
          <w:rFonts w:asciiTheme="minorHAnsi" w:hAnsiTheme="minorHAnsi"/>
          <w:sz w:val="24"/>
        </w:rPr>
        <w:t>:</w:t>
      </w:r>
    </w:p>
    <w:p w:rsidR="00CA46FF" w:rsidRDefault="00795E5C">
      <w:pPr>
        <w:spacing w:line="240" w:lineRule="auto"/>
        <w:ind w:left="720"/>
        <w:rPr>
          <w:sz w:val="24"/>
          <w:szCs w:val="24"/>
        </w:rPr>
      </w:pPr>
      <w:r>
        <w:rPr>
          <w:sz w:val="24"/>
          <w:szCs w:val="24"/>
        </w:rPr>
        <w:t>“</w:t>
      </w:r>
      <w:r w:rsidRPr="00366BC6">
        <w:rPr>
          <w:sz w:val="24"/>
          <w:szCs w:val="24"/>
        </w:rPr>
        <w:t xml:space="preserve">The TND approach to setting opex </w:t>
      </w:r>
      <w:r>
        <w:rPr>
          <w:sz w:val="24"/>
          <w:szCs w:val="24"/>
        </w:rPr>
        <w:t xml:space="preserve">(by holding opex in nominal terms based on the 2014/15 actual) is supported to a significant extent as this reflects what occurs in competitive industry. </w:t>
      </w:r>
    </w:p>
    <w:p w:rsidR="00CA46FF" w:rsidRDefault="00807F49">
      <w:pPr>
        <w:spacing w:line="240" w:lineRule="auto"/>
        <w:ind w:left="720"/>
        <w:rPr>
          <w:sz w:val="24"/>
          <w:szCs w:val="24"/>
        </w:rPr>
      </w:pPr>
      <w:r>
        <w:rPr>
          <w:sz w:val="24"/>
          <w:szCs w:val="24"/>
        </w:rPr>
        <w:t>…</w:t>
      </w:r>
    </w:p>
    <w:p w:rsidR="00CA46FF" w:rsidRDefault="00613DCC">
      <w:pPr>
        <w:pStyle w:val="AERbulletlistfirststyle"/>
        <w:numPr>
          <w:ilvl w:val="0"/>
          <w:numId w:val="0"/>
        </w:numPr>
        <w:ind w:left="720"/>
        <w:rPr>
          <w:rFonts w:asciiTheme="minorHAnsi" w:hAnsiTheme="minorHAnsi" w:cstheme="minorHAnsi"/>
          <w:sz w:val="24"/>
        </w:rPr>
      </w:pPr>
      <w:r w:rsidRPr="00613DCC">
        <w:rPr>
          <w:rFonts w:asciiTheme="minorHAnsi" w:hAnsiTheme="minorHAnsi" w:cstheme="minorHAnsi"/>
          <w:sz w:val="24"/>
        </w:rPr>
        <w:t>On balance, CCP4(DH) considers that the proposed opex is acceptable, closer to the efficient frontier but still on the high side of that target although CCP4(DH) cannot identify by how much.</w:t>
      </w:r>
      <w:r w:rsidR="00807F49">
        <w:rPr>
          <w:rFonts w:asciiTheme="minorHAnsi" w:hAnsiTheme="minorHAnsi" w:cstheme="minorHAnsi"/>
          <w:sz w:val="24"/>
        </w:rPr>
        <w:t>”</w:t>
      </w:r>
    </w:p>
    <w:p w:rsidR="00807F49" w:rsidRDefault="00807F49" w:rsidP="00E267EA">
      <w:pPr>
        <w:pStyle w:val="AERbulletlistfirststyle"/>
        <w:numPr>
          <w:ilvl w:val="0"/>
          <w:numId w:val="0"/>
        </w:numPr>
        <w:rPr>
          <w:rFonts w:asciiTheme="minorHAnsi" w:hAnsiTheme="minorHAnsi"/>
          <w:sz w:val="24"/>
        </w:rPr>
      </w:pPr>
      <w:r>
        <w:rPr>
          <w:rFonts w:asciiTheme="minorHAnsi" w:hAnsiTheme="minorHAnsi"/>
          <w:sz w:val="24"/>
        </w:rPr>
        <w:t xml:space="preserve">This report considers that the earlier conclusions are still appropriate but based on the draft decision, the concerns that the opex is still on the high side of efficient are reinforced. Equally, the extent of how much overstated the opex is could be </w:t>
      </w:r>
      <w:r w:rsidR="007F1581">
        <w:rPr>
          <w:rFonts w:asciiTheme="minorHAnsi" w:hAnsiTheme="minorHAnsi"/>
          <w:sz w:val="24"/>
        </w:rPr>
        <w:t xml:space="preserve">used </w:t>
      </w:r>
      <w:r>
        <w:rPr>
          <w:rFonts w:asciiTheme="minorHAnsi" w:hAnsiTheme="minorHAnsi"/>
          <w:sz w:val="24"/>
        </w:rPr>
        <w:t xml:space="preserve">to enable a better decision to be made for the next review. </w:t>
      </w:r>
    </w:p>
    <w:p w:rsidR="00807F49" w:rsidRDefault="00807F49" w:rsidP="00591BA8">
      <w:pPr>
        <w:pStyle w:val="AERbulletlistfirststyle"/>
        <w:numPr>
          <w:ilvl w:val="0"/>
          <w:numId w:val="0"/>
        </w:numPr>
        <w:rPr>
          <w:rFonts w:asciiTheme="minorHAnsi" w:hAnsiTheme="minorHAnsi"/>
          <w:sz w:val="24"/>
        </w:rPr>
      </w:pPr>
      <w:r>
        <w:rPr>
          <w:rFonts w:asciiTheme="minorHAnsi" w:hAnsiTheme="minorHAnsi"/>
          <w:sz w:val="24"/>
        </w:rPr>
        <w:t>This report also considers that it is appropriate to congratulate TND on its approach to setting opex – its approach is a welcome change from the actions of other networks where they use the AER approach to maximise the opex allowance included in the allowed revenue.</w:t>
      </w:r>
    </w:p>
    <w:p w:rsidR="00D8149C" w:rsidRPr="001608A7" w:rsidRDefault="00591BA8" w:rsidP="00E267EA">
      <w:pPr>
        <w:pStyle w:val="AERbulletlistfirststyle"/>
        <w:numPr>
          <w:ilvl w:val="0"/>
          <w:numId w:val="0"/>
        </w:numPr>
        <w:rPr>
          <w:rFonts w:asciiTheme="minorHAnsi" w:hAnsiTheme="minorHAnsi"/>
          <w:color w:val="C00000"/>
          <w:sz w:val="24"/>
        </w:rPr>
      </w:pPr>
      <w:r w:rsidRPr="001608A7">
        <w:rPr>
          <w:rFonts w:asciiTheme="minorHAnsi" w:hAnsiTheme="minorHAnsi"/>
          <w:color w:val="C00000"/>
          <w:sz w:val="24"/>
        </w:rPr>
        <w:t xml:space="preserve">In its revised proposal, TND makes the observation that its </w:t>
      </w:r>
      <w:r w:rsidR="00F169BF">
        <w:rPr>
          <w:rFonts w:asciiTheme="minorHAnsi" w:hAnsiTheme="minorHAnsi"/>
          <w:color w:val="C00000"/>
          <w:sz w:val="24"/>
        </w:rPr>
        <w:t xml:space="preserve">further </w:t>
      </w:r>
      <w:r w:rsidRPr="001608A7">
        <w:rPr>
          <w:rFonts w:asciiTheme="minorHAnsi" w:hAnsiTheme="minorHAnsi"/>
          <w:color w:val="C00000"/>
          <w:sz w:val="24"/>
        </w:rPr>
        <w:t>review of its opex indicates that the initial proposal under</w:t>
      </w:r>
      <w:r w:rsidR="00F169BF">
        <w:rPr>
          <w:rFonts w:asciiTheme="minorHAnsi" w:hAnsiTheme="minorHAnsi"/>
          <w:color w:val="C00000"/>
          <w:sz w:val="24"/>
        </w:rPr>
        <w:t>-</w:t>
      </w:r>
      <w:r w:rsidRPr="001608A7">
        <w:rPr>
          <w:rFonts w:asciiTheme="minorHAnsi" w:hAnsiTheme="minorHAnsi"/>
          <w:color w:val="C00000"/>
          <w:sz w:val="24"/>
        </w:rPr>
        <w:t xml:space="preserve">estimates the amount of opex required. TND advises that the actual opex for the 2015/16 year was higher than was forecast in the initial proposal by some $4.6 m with </w:t>
      </w:r>
      <w:r w:rsidR="00D26C41" w:rsidRPr="001608A7">
        <w:rPr>
          <w:rFonts w:asciiTheme="minorHAnsi" w:hAnsiTheme="minorHAnsi"/>
          <w:color w:val="C00000"/>
          <w:sz w:val="24"/>
        </w:rPr>
        <w:t>al</w:t>
      </w:r>
      <w:r w:rsidRPr="001608A7">
        <w:rPr>
          <w:rFonts w:asciiTheme="minorHAnsi" w:hAnsiTheme="minorHAnsi"/>
          <w:color w:val="C00000"/>
          <w:sz w:val="24"/>
        </w:rPr>
        <w:t xml:space="preserve">most </w:t>
      </w:r>
      <w:r w:rsidR="00D26C41" w:rsidRPr="001608A7">
        <w:rPr>
          <w:rFonts w:asciiTheme="minorHAnsi" w:hAnsiTheme="minorHAnsi"/>
          <w:color w:val="C00000"/>
          <w:sz w:val="24"/>
        </w:rPr>
        <w:t xml:space="preserve">all </w:t>
      </w:r>
      <w:r w:rsidRPr="001608A7">
        <w:rPr>
          <w:rFonts w:asciiTheme="minorHAnsi" w:hAnsiTheme="minorHAnsi"/>
          <w:color w:val="C00000"/>
          <w:sz w:val="24"/>
        </w:rPr>
        <w:t xml:space="preserve">of the increase attributed to maintenance and vegetation management. </w:t>
      </w:r>
      <w:r w:rsidR="00FE758E" w:rsidRPr="001608A7">
        <w:rPr>
          <w:rFonts w:asciiTheme="minorHAnsi" w:hAnsiTheme="minorHAnsi"/>
          <w:color w:val="C00000"/>
          <w:sz w:val="24"/>
        </w:rPr>
        <w:t>The increase between the actual opex in the 2015/16 year and the forecast is basically the difference between the initial opex proposals for 2017/18 and 2018/19 and the revised proposals</w:t>
      </w:r>
      <w:r w:rsidR="00D26C41" w:rsidRPr="001608A7">
        <w:rPr>
          <w:rFonts w:asciiTheme="minorHAnsi" w:hAnsiTheme="minorHAnsi"/>
          <w:color w:val="C00000"/>
          <w:sz w:val="24"/>
        </w:rPr>
        <w:t>.</w:t>
      </w:r>
    </w:p>
    <w:p w:rsidR="004D4C14" w:rsidRPr="001608A7" w:rsidRDefault="00D8149C" w:rsidP="00E267EA">
      <w:pPr>
        <w:pStyle w:val="AERbulletlistfirststyle"/>
        <w:numPr>
          <w:ilvl w:val="0"/>
          <w:numId w:val="0"/>
        </w:numPr>
        <w:rPr>
          <w:rFonts w:asciiTheme="minorHAnsi" w:hAnsiTheme="minorHAnsi"/>
          <w:color w:val="C00000"/>
          <w:sz w:val="24"/>
        </w:rPr>
      </w:pPr>
      <w:r w:rsidRPr="001608A7">
        <w:rPr>
          <w:rFonts w:asciiTheme="minorHAnsi" w:hAnsiTheme="minorHAnsi"/>
          <w:color w:val="C00000"/>
          <w:sz w:val="24"/>
        </w:rPr>
        <w:t xml:space="preserve">It is noted that if the AER had used the 2015/16 for the base year opex as the assumed efficient opex allowance, the AER assessed opex for 2017-2019 would probably be </w:t>
      </w:r>
      <w:r w:rsidR="00F169BF">
        <w:rPr>
          <w:rFonts w:asciiTheme="minorHAnsi" w:hAnsiTheme="minorHAnsi"/>
          <w:color w:val="C00000"/>
          <w:sz w:val="24"/>
        </w:rPr>
        <w:t>even higher than in its draft decision</w:t>
      </w:r>
      <w:r w:rsidRPr="001608A7">
        <w:rPr>
          <w:rFonts w:asciiTheme="minorHAnsi" w:hAnsiTheme="minorHAnsi"/>
          <w:color w:val="C00000"/>
          <w:sz w:val="24"/>
        </w:rPr>
        <w:t>, although it is noted that the 2015/16 opex has included for extensive storm damage</w:t>
      </w:r>
      <w:r w:rsidR="004D4C14" w:rsidRPr="001608A7">
        <w:rPr>
          <w:rFonts w:asciiTheme="minorHAnsi" w:hAnsiTheme="minorHAnsi"/>
          <w:color w:val="C00000"/>
          <w:sz w:val="24"/>
        </w:rPr>
        <w:t>,</w:t>
      </w:r>
      <w:r w:rsidRPr="001608A7">
        <w:rPr>
          <w:rFonts w:asciiTheme="minorHAnsi" w:hAnsiTheme="minorHAnsi"/>
          <w:color w:val="C00000"/>
          <w:sz w:val="24"/>
        </w:rPr>
        <w:t xml:space="preserve"> some of which might be considered </w:t>
      </w:r>
      <w:r w:rsidR="004D4C14" w:rsidRPr="001608A7">
        <w:rPr>
          <w:rFonts w:asciiTheme="minorHAnsi" w:hAnsiTheme="minorHAnsi"/>
          <w:color w:val="C00000"/>
          <w:sz w:val="24"/>
        </w:rPr>
        <w:t>to be</w:t>
      </w:r>
      <w:r w:rsidRPr="001608A7">
        <w:rPr>
          <w:rFonts w:asciiTheme="minorHAnsi" w:hAnsiTheme="minorHAnsi"/>
          <w:color w:val="C00000"/>
          <w:sz w:val="24"/>
        </w:rPr>
        <w:t xml:space="preserve"> one-off incidents</w:t>
      </w:r>
      <w:r w:rsidRPr="001608A7">
        <w:rPr>
          <w:rStyle w:val="FootnoteReference"/>
          <w:rFonts w:asciiTheme="minorHAnsi" w:hAnsiTheme="minorHAnsi"/>
          <w:color w:val="C00000"/>
          <w:sz w:val="24"/>
        </w:rPr>
        <w:footnoteReference w:id="4"/>
      </w:r>
      <w:r w:rsidRPr="001608A7">
        <w:rPr>
          <w:rFonts w:asciiTheme="minorHAnsi" w:hAnsiTheme="minorHAnsi"/>
          <w:color w:val="C00000"/>
          <w:sz w:val="24"/>
        </w:rPr>
        <w:t xml:space="preserve">. </w:t>
      </w:r>
    </w:p>
    <w:p w:rsidR="004D4C14" w:rsidRPr="001608A7" w:rsidRDefault="004D4C14" w:rsidP="00E267EA">
      <w:pPr>
        <w:pStyle w:val="AERbulletlistfirststyle"/>
        <w:numPr>
          <w:ilvl w:val="0"/>
          <w:numId w:val="0"/>
        </w:numPr>
        <w:rPr>
          <w:rFonts w:asciiTheme="minorHAnsi" w:hAnsiTheme="minorHAnsi"/>
          <w:color w:val="C00000"/>
          <w:sz w:val="24"/>
        </w:rPr>
      </w:pPr>
      <w:r w:rsidRPr="001608A7">
        <w:rPr>
          <w:rFonts w:asciiTheme="minorHAnsi" w:hAnsiTheme="minorHAnsi"/>
          <w:color w:val="C00000"/>
          <w:sz w:val="24"/>
        </w:rPr>
        <w:t xml:space="preserve">As a result of the higher opex in 2015/16, TND has advised that the program it had introduced to reduce opex costs </w:t>
      </w:r>
      <w:r w:rsidR="00F169BF">
        <w:rPr>
          <w:rFonts w:asciiTheme="minorHAnsi" w:hAnsiTheme="minorHAnsi"/>
          <w:color w:val="C00000"/>
          <w:sz w:val="24"/>
        </w:rPr>
        <w:t xml:space="preserve">in its initial proposal </w:t>
      </w:r>
      <w:r w:rsidRPr="001608A7">
        <w:rPr>
          <w:rFonts w:asciiTheme="minorHAnsi" w:hAnsiTheme="minorHAnsi"/>
          <w:color w:val="C00000"/>
          <w:sz w:val="24"/>
        </w:rPr>
        <w:t xml:space="preserve">is considered to be too aggressive and that to achieve the </w:t>
      </w:r>
      <w:r w:rsidR="00F169BF">
        <w:rPr>
          <w:rFonts w:asciiTheme="minorHAnsi" w:hAnsiTheme="minorHAnsi"/>
          <w:color w:val="C00000"/>
          <w:sz w:val="24"/>
        </w:rPr>
        <w:t>most efficient level of</w:t>
      </w:r>
      <w:r w:rsidRPr="001608A7">
        <w:rPr>
          <w:rFonts w:asciiTheme="minorHAnsi" w:hAnsiTheme="minorHAnsi"/>
          <w:color w:val="C00000"/>
          <w:sz w:val="24"/>
        </w:rPr>
        <w:t xml:space="preserve"> opex will take more time that had been </w:t>
      </w:r>
      <w:r w:rsidR="00F169BF">
        <w:rPr>
          <w:rFonts w:asciiTheme="minorHAnsi" w:hAnsiTheme="minorHAnsi"/>
          <w:color w:val="C00000"/>
          <w:sz w:val="24"/>
        </w:rPr>
        <w:t xml:space="preserve">initially </w:t>
      </w:r>
      <w:r w:rsidRPr="001608A7">
        <w:rPr>
          <w:rFonts w:asciiTheme="minorHAnsi" w:hAnsiTheme="minorHAnsi"/>
          <w:color w:val="C00000"/>
          <w:sz w:val="24"/>
        </w:rPr>
        <w:t xml:space="preserve">estimated. This slower drive to the efficient boundary has resulted in a </w:t>
      </w:r>
      <w:r w:rsidRPr="001608A7">
        <w:rPr>
          <w:rFonts w:asciiTheme="minorHAnsi" w:hAnsiTheme="minorHAnsi"/>
          <w:color w:val="C00000"/>
          <w:sz w:val="24"/>
        </w:rPr>
        <w:lastRenderedPageBreak/>
        <w:t xml:space="preserve">requirement for higher opex allowance in this period and </w:t>
      </w:r>
      <w:r w:rsidR="00F169BF">
        <w:rPr>
          <w:rFonts w:asciiTheme="minorHAnsi" w:hAnsiTheme="minorHAnsi"/>
          <w:color w:val="C00000"/>
          <w:sz w:val="24"/>
        </w:rPr>
        <w:t xml:space="preserve">probably </w:t>
      </w:r>
      <w:r w:rsidRPr="001608A7">
        <w:rPr>
          <w:rFonts w:asciiTheme="minorHAnsi" w:hAnsiTheme="minorHAnsi"/>
          <w:color w:val="C00000"/>
          <w:sz w:val="24"/>
        </w:rPr>
        <w:t>in the next</w:t>
      </w:r>
      <w:r w:rsidR="00F169BF">
        <w:rPr>
          <w:rFonts w:asciiTheme="minorHAnsi" w:hAnsiTheme="minorHAnsi"/>
          <w:color w:val="C00000"/>
          <w:sz w:val="24"/>
        </w:rPr>
        <w:t xml:space="preserve"> regulatory period</w:t>
      </w:r>
      <w:r w:rsidRPr="001608A7">
        <w:rPr>
          <w:rFonts w:asciiTheme="minorHAnsi" w:hAnsiTheme="minorHAnsi"/>
          <w:color w:val="C00000"/>
          <w:sz w:val="24"/>
        </w:rPr>
        <w:t xml:space="preserve">. </w:t>
      </w:r>
    </w:p>
    <w:p w:rsidR="009045B2" w:rsidRPr="001608A7" w:rsidRDefault="004D4C14" w:rsidP="00E267EA">
      <w:pPr>
        <w:pStyle w:val="AERbulletlistfirststyle"/>
        <w:numPr>
          <w:ilvl w:val="0"/>
          <w:numId w:val="0"/>
        </w:numPr>
        <w:rPr>
          <w:rFonts w:asciiTheme="minorHAnsi" w:hAnsiTheme="minorHAnsi"/>
          <w:color w:val="C00000"/>
          <w:sz w:val="24"/>
        </w:rPr>
      </w:pPr>
      <w:r w:rsidRPr="001608A7">
        <w:rPr>
          <w:rFonts w:asciiTheme="minorHAnsi" w:hAnsiTheme="minorHAnsi"/>
          <w:color w:val="C00000"/>
          <w:sz w:val="24"/>
        </w:rPr>
        <w:t xml:space="preserve">CCP4(DH) is concerned that the AER estimate (based on its base step trend analysis) has, at least in part, been a </w:t>
      </w:r>
      <w:r w:rsidR="00F169BF">
        <w:rPr>
          <w:rFonts w:asciiTheme="minorHAnsi" w:hAnsiTheme="minorHAnsi"/>
          <w:color w:val="C00000"/>
          <w:sz w:val="24"/>
        </w:rPr>
        <w:t>significant</w:t>
      </w:r>
      <w:r w:rsidRPr="001608A7">
        <w:rPr>
          <w:rFonts w:asciiTheme="minorHAnsi" w:hAnsiTheme="minorHAnsi"/>
          <w:color w:val="C00000"/>
          <w:sz w:val="24"/>
        </w:rPr>
        <w:t xml:space="preserve"> influence </w:t>
      </w:r>
      <w:r w:rsidR="00F169BF">
        <w:rPr>
          <w:rFonts w:asciiTheme="minorHAnsi" w:hAnsiTheme="minorHAnsi"/>
          <w:color w:val="C00000"/>
          <w:sz w:val="24"/>
        </w:rPr>
        <w:t>on</w:t>
      </w:r>
      <w:r w:rsidRPr="001608A7">
        <w:rPr>
          <w:rFonts w:asciiTheme="minorHAnsi" w:hAnsiTheme="minorHAnsi"/>
          <w:color w:val="C00000"/>
          <w:sz w:val="24"/>
        </w:rPr>
        <w:t xml:space="preserve"> TND deciding to increase its opex allowance</w:t>
      </w:r>
      <w:r w:rsidR="00F169BF">
        <w:rPr>
          <w:rFonts w:asciiTheme="minorHAnsi" w:hAnsiTheme="minorHAnsi"/>
          <w:color w:val="C00000"/>
          <w:sz w:val="24"/>
        </w:rPr>
        <w:t>,</w:t>
      </w:r>
      <w:r w:rsidRPr="001608A7">
        <w:rPr>
          <w:rFonts w:asciiTheme="minorHAnsi" w:hAnsiTheme="minorHAnsi"/>
          <w:color w:val="C00000"/>
          <w:sz w:val="24"/>
        </w:rPr>
        <w:t xml:space="preserve"> in that the AER approach highlighted that the TND initial</w:t>
      </w:r>
      <w:r w:rsidR="00F169BF">
        <w:rPr>
          <w:rFonts w:asciiTheme="minorHAnsi" w:hAnsiTheme="minorHAnsi"/>
          <w:color w:val="C00000"/>
          <w:sz w:val="24"/>
        </w:rPr>
        <w:t>ly</w:t>
      </w:r>
      <w:r w:rsidRPr="001608A7">
        <w:rPr>
          <w:rFonts w:asciiTheme="minorHAnsi" w:hAnsiTheme="minorHAnsi"/>
          <w:color w:val="C00000"/>
          <w:sz w:val="24"/>
        </w:rPr>
        <w:t xml:space="preserve"> forecast for opex was significantly lower than the amount considered by the AER to be acceptable. </w:t>
      </w:r>
    </w:p>
    <w:p w:rsidR="009045B2" w:rsidRPr="001608A7" w:rsidRDefault="009045B2" w:rsidP="00E267EA">
      <w:pPr>
        <w:pStyle w:val="AERbulletlistfirststyle"/>
        <w:numPr>
          <w:ilvl w:val="0"/>
          <w:numId w:val="0"/>
        </w:numPr>
        <w:rPr>
          <w:rFonts w:asciiTheme="minorHAnsi" w:hAnsiTheme="minorHAnsi"/>
          <w:color w:val="C00000"/>
          <w:sz w:val="24"/>
        </w:rPr>
      </w:pPr>
      <w:r w:rsidRPr="001608A7">
        <w:rPr>
          <w:rFonts w:asciiTheme="minorHAnsi" w:hAnsiTheme="minorHAnsi"/>
          <w:color w:val="C00000"/>
          <w:sz w:val="24"/>
        </w:rPr>
        <w:t xml:space="preserve">What the AER approach has shown is that if TND can reduce its opex below that forecast generated by the AER using its </w:t>
      </w:r>
      <w:r w:rsidR="00F169BF">
        <w:rPr>
          <w:rFonts w:asciiTheme="minorHAnsi" w:hAnsiTheme="minorHAnsi"/>
          <w:color w:val="C00000"/>
          <w:sz w:val="24"/>
        </w:rPr>
        <w:t xml:space="preserve">base step trend </w:t>
      </w:r>
      <w:r w:rsidRPr="001608A7">
        <w:rPr>
          <w:rFonts w:asciiTheme="minorHAnsi" w:hAnsiTheme="minorHAnsi"/>
          <w:color w:val="C00000"/>
          <w:sz w:val="24"/>
        </w:rPr>
        <w:t xml:space="preserve">approach highlights that the AER assumption that the EBSS drives networks to the efficient boundary through the incentive, may well be overstated. That TND, already ranked “in the middle of the pack” of opex partial factor productivity </w:t>
      </w:r>
      <w:r w:rsidR="00D557A3" w:rsidRPr="001608A7">
        <w:rPr>
          <w:rFonts w:asciiTheme="minorHAnsi" w:hAnsiTheme="minorHAnsi"/>
          <w:color w:val="C00000"/>
          <w:sz w:val="24"/>
        </w:rPr>
        <w:t xml:space="preserve">for electricity networks, </w:t>
      </w:r>
      <w:r w:rsidRPr="001608A7">
        <w:rPr>
          <w:rFonts w:asciiTheme="minorHAnsi" w:hAnsiTheme="minorHAnsi"/>
          <w:color w:val="C00000"/>
          <w:sz w:val="24"/>
        </w:rPr>
        <w:t xml:space="preserve">can reduce its opex below that which is generated by the AER approach, indicates that there may well be a flaw in the AER approach. </w:t>
      </w:r>
    </w:p>
    <w:p w:rsidR="00D557A3" w:rsidRPr="001608A7" w:rsidRDefault="009045B2" w:rsidP="00E267EA">
      <w:pPr>
        <w:pStyle w:val="AERbulletlistfirststyle"/>
        <w:numPr>
          <w:ilvl w:val="0"/>
          <w:numId w:val="0"/>
        </w:numPr>
        <w:rPr>
          <w:rFonts w:asciiTheme="minorHAnsi" w:hAnsiTheme="minorHAnsi"/>
          <w:color w:val="C00000"/>
          <w:sz w:val="24"/>
        </w:rPr>
      </w:pPr>
      <w:r w:rsidRPr="001608A7">
        <w:rPr>
          <w:rFonts w:asciiTheme="minorHAnsi" w:hAnsiTheme="minorHAnsi"/>
          <w:color w:val="C00000"/>
          <w:sz w:val="24"/>
        </w:rPr>
        <w:t>This report accepts that TND has some justification to increase its opex forecast because of the outcome of the actual costs for 2015/16</w:t>
      </w:r>
      <w:r w:rsidR="00F169BF">
        <w:rPr>
          <w:rFonts w:asciiTheme="minorHAnsi" w:hAnsiTheme="minorHAnsi"/>
          <w:color w:val="C00000"/>
          <w:sz w:val="24"/>
        </w:rPr>
        <w:t>. A</w:t>
      </w:r>
      <w:r w:rsidRPr="001608A7">
        <w:rPr>
          <w:rFonts w:asciiTheme="minorHAnsi" w:hAnsiTheme="minorHAnsi"/>
          <w:color w:val="C00000"/>
          <w:sz w:val="24"/>
        </w:rPr>
        <w:t>t the same time</w:t>
      </w:r>
      <w:r w:rsidR="00F169BF">
        <w:rPr>
          <w:rFonts w:asciiTheme="minorHAnsi" w:hAnsiTheme="minorHAnsi"/>
          <w:color w:val="C00000"/>
          <w:sz w:val="24"/>
        </w:rPr>
        <w:t>,</w:t>
      </w:r>
      <w:r w:rsidRPr="001608A7">
        <w:rPr>
          <w:rFonts w:asciiTheme="minorHAnsi" w:hAnsiTheme="minorHAnsi"/>
          <w:color w:val="C00000"/>
          <w:sz w:val="24"/>
        </w:rPr>
        <w:t xml:space="preserve"> CCP4(DH) is disappointed that TND has resiled from its earlier decision to more aggressively address productivity increases in its opex. As has been pointed out by many of TasNetworks customers, they have had to significantly reduce their opex in nominal terms just to retain their market share. </w:t>
      </w:r>
    </w:p>
    <w:p w:rsidR="00D557A3" w:rsidRDefault="00D557A3" w:rsidP="00D557A3">
      <w:pPr>
        <w:pStyle w:val="AERbulletlistfirststyle"/>
        <w:numPr>
          <w:ilvl w:val="0"/>
          <w:numId w:val="0"/>
        </w:numPr>
        <w:rPr>
          <w:rFonts w:asciiTheme="minorHAnsi" w:hAnsiTheme="minorHAnsi"/>
          <w:color w:val="1F497D" w:themeColor="text2"/>
          <w:sz w:val="24"/>
        </w:rPr>
      </w:pPr>
      <w:r>
        <w:rPr>
          <w:rFonts w:asciiTheme="minorHAnsi" w:hAnsiTheme="minorHAnsi"/>
          <w:color w:val="1F497D" w:themeColor="text2"/>
          <w:sz w:val="24"/>
        </w:rPr>
        <w:t xml:space="preserve"> </w:t>
      </w:r>
    </w:p>
    <w:p w:rsidR="00591BA8" w:rsidRPr="00591BA8" w:rsidRDefault="009045B2" w:rsidP="00E267EA">
      <w:pPr>
        <w:pStyle w:val="AERbulletlistfirststyle"/>
        <w:numPr>
          <w:ilvl w:val="0"/>
          <w:numId w:val="0"/>
        </w:numPr>
        <w:rPr>
          <w:rFonts w:asciiTheme="minorHAnsi" w:hAnsiTheme="minorHAnsi"/>
          <w:color w:val="1F497D" w:themeColor="text2"/>
          <w:sz w:val="24"/>
        </w:rPr>
      </w:pPr>
      <w:r>
        <w:rPr>
          <w:rFonts w:asciiTheme="minorHAnsi" w:hAnsiTheme="minorHAnsi"/>
          <w:color w:val="1F497D" w:themeColor="text2"/>
          <w:sz w:val="24"/>
        </w:rPr>
        <w:t xml:space="preserve">  </w:t>
      </w:r>
      <w:r w:rsidR="00FE758E">
        <w:rPr>
          <w:rFonts w:asciiTheme="minorHAnsi" w:hAnsiTheme="minorHAnsi"/>
          <w:color w:val="1F497D" w:themeColor="text2"/>
          <w:sz w:val="24"/>
        </w:rPr>
        <w:t xml:space="preserve"> </w:t>
      </w:r>
    </w:p>
    <w:p w:rsidR="00E40CFF" w:rsidRPr="00AA5B97" w:rsidRDefault="00E40CFF">
      <w:pPr>
        <w:spacing w:after="0" w:line="240" w:lineRule="auto"/>
        <w:rPr>
          <w:rFonts w:eastAsia="Times New Roman" w:cs="Times New Roman"/>
          <w:b/>
          <w:sz w:val="28"/>
          <w:szCs w:val="28"/>
          <w:lang w:val="en-AU" w:bidi="ar-SA"/>
        </w:rPr>
      </w:pPr>
      <w:r w:rsidRPr="00AA5B97">
        <w:rPr>
          <w:b/>
          <w:sz w:val="28"/>
          <w:szCs w:val="28"/>
          <w:lang w:val="en-AU"/>
        </w:rPr>
        <w:br w:type="page"/>
      </w:r>
    </w:p>
    <w:p w:rsidR="00B43088" w:rsidRPr="00AA5B97" w:rsidRDefault="00B43088" w:rsidP="00632C41">
      <w:pPr>
        <w:pStyle w:val="AERbulletlistfirststyle"/>
        <w:numPr>
          <w:ilvl w:val="0"/>
          <w:numId w:val="0"/>
        </w:numPr>
        <w:tabs>
          <w:tab w:val="clear" w:pos="357"/>
          <w:tab w:val="left" w:pos="0"/>
        </w:tabs>
        <w:rPr>
          <w:rFonts w:asciiTheme="minorHAnsi" w:hAnsiTheme="minorHAnsi"/>
          <w:b/>
          <w:sz w:val="28"/>
          <w:szCs w:val="28"/>
        </w:rPr>
      </w:pPr>
      <w:r w:rsidRPr="00AA5B97">
        <w:rPr>
          <w:rFonts w:asciiTheme="minorHAnsi" w:hAnsiTheme="minorHAnsi"/>
          <w:b/>
          <w:sz w:val="28"/>
          <w:szCs w:val="28"/>
        </w:rPr>
        <w:lastRenderedPageBreak/>
        <w:t xml:space="preserve">5. </w:t>
      </w:r>
      <w:r w:rsidR="00766677" w:rsidRPr="00AA5B97">
        <w:rPr>
          <w:rStyle w:val="AERbody"/>
          <w:rFonts w:asciiTheme="minorHAnsi" w:hAnsiTheme="minorHAnsi"/>
          <w:b/>
          <w:sz w:val="28"/>
          <w:szCs w:val="28"/>
        </w:rPr>
        <w:t xml:space="preserve">Forecasting </w:t>
      </w:r>
      <w:r w:rsidR="00E40CFF" w:rsidRPr="00AA5B97">
        <w:rPr>
          <w:rStyle w:val="AERbody"/>
          <w:rFonts w:asciiTheme="minorHAnsi" w:hAnsiTheme="minorHAnsi"/>
          <w:b/>
          <w:sz w:val="28"/>
          <w:szCs w:val="28"/>
        </w:rPr>
        <w:t>–</w:t>
      </w:r>
      <w:r w:rsidR="00766677" w:rsidRPr="00AA5B97">
        <w:rPr>
          <w:rStyle w:val="AERbody"/>
          <w:rFonts w:asciiTheme="minorHAnsi" w:hAnsiTheme="minorHAnsi"/>
          <w:b/>
          <w:sz w:val="28"/>
          <w:szCs w:val="28"/>
        </w:rPr>
        <w:t xml:space="preserve"> demand, customer numbers</w:t>
      </w:r>
    </w:p>
    <w:p w:rsidR="005A4C9D" w:rsidRPr="00AA5B97" w:rsidRDefault="005A4C9D" w:rsidP="000671B5">
      <w:pPr>
        <w:pStyle w:val="AERbulletlistfirststyle"/>
        <w:numPr>
          <w:ilvl w:val="0"/>
          <w:numId w:val="0"/>
        </w:numPr>
        <w:tabs>
          <w:tab w:val="clear" w:pos="357"/>
          <w:tab w:val="left" w:pos="0"/>
        </w:tabs>
        <w:spacing w:line="240" w:lineRule="auto"/>
        <w:rPr>
          <w:rFonts w:asciiTheme="minorHAnsi" w:hAnsiTheme="minorHAnsi"/>
          <w:sz w:val="24"/>
        </w:rPr>
      </w:pPr>
      <w:r w:rsidRPr="00AA5B97">
        <w:rPr>
          <w:rFonts w:asciiTheme="minorHAnsi" w:hAnsiTheme="minorHAnsi"/>
          <w:sz w:val="24"/>
        </w:rPr>
        <w:t>This section covers forecasts of customer numbers</w:t>
      </w:r>
      <w:r w:rsidR="00A03261">
        <w:rPr>
          <w:rFonts w:asciiTheme="minorHAnsi" w:hAnsiTheme="minorHAnsi"/>
          <w:sz w:val="24"/>
        </w:rPr>
        <w:t xml:space="preserve"> and</w:t>
      </w:r>
      <w:r w:rsidRPr="00AA5B97">
        <w:rPr>
          <w:rFonts w:asciiTheme="minorHAnsi" w:hAnsiTheme="minorHAnsi"/>
          <w:sz w:val="24"/>
        </w:rPr>
        <w:t xml:space="preserve"> peak energy demands</w:t>
      </w:r>
      <w:r w:rsidR="007F1581">
        <w:rPr>
          <w:rFonts w:asciiTheme="minorHAnsi" w:hAnsiTheme="minorHAnsi"/>
          <w:sz w:val="24"/>
        </w:rPr>
        <w:t>;</w:t>
      </w:r>
      <w:r w:rsidRPr="00AA5B97">
        <w:rPr>
          <w:rFonts w:asciiTheme="minorHAnsi" w:hAnsiTheme="minorHAnsi"/>
          <w:sz w:val="24"/>
        </w:rPr>
        <w:t xml:space="preserve"> </w:t>
      </w:r>
      <w:r w:rsidR="00A03261">
        <w:rPr>
          <w:rFonts w:asciiTheme="minorHAnsi" w:hAnsiTheme="minorHAnsi"/>
          <w:sz w:val="24"/>
        </w:rPr>
        <w:t>these</w:t>
      </w:r>
      <w:r w:rsidRPr="00AA5B97">
        <w:rPr>
          <w:rFonts w:asciiTheme="minorHAnsi" w:hAnsiTheme="minorHAnsi"/>
          <w:sz w:val="24"/>
        </w:rPr>
        <w:t xml:space="preserve"> </w:t>
      </w:r>
      <w:r w:rsidR="00EF432E">
        <w:rPr>
          <w:rFonts w:asciiTheme="minorHAnsi" w:hAnsiTheme="minorHAnsi"/>
          <w:sz w:val="24"/>
        </w:rPr>
        <w:t>provide a basis for the</w:t>
      </w:r>
      <w:r w:rsidR="00EF432E" w:rsidRPr="00AA5B97">
        <w:rPr>
          <w:rFonts w:asciiTheme="minorHAnsi" w:hAnsiTheme="minorHAnsi"/>
          <w:sz w:val="24"/>
        </w:rPr>
        <w:t xml:space="preserve"> </w:t>
      </w:r>
      <w:r w:rsidRPr="00AA5B97">
        <w:rPr>
          <w:rFonts w:asciiTheme="minorHAnsi" w:hAnsiTheme="minorHAnsi"/>
          <w:sz w:val="24"/>
        </w:rPr>
        <w:t xml:space="preserve">forecasts of capital expenditure, </w:t>
      </w:r>
      <w:r w:rsidR="007F1581">
        <w:rPr>
          <w:rFonts w:asciiTheme="minorHAnsi" w:hAnsiTheme="minorHAnsi"/>
          <w:sz w:val="24"/>
        </w:rPr>
        <w:t>a</w:t>
      </w:r>
      <w:r w:rsidRPr="00AA5B97">
        <w:rPr>
          <w:rFonts w:asciiTheme="minorHAnsi" w:hAnsiTheme="minorHAnsi"/>
          <w:sz w:val="24"/>
        </w:rPr>
        <w:t xml:space="preserve"> key component in the building block analysis </w:t>
      </w:r>
      <w:r w:rsidR="00EF432E">
        <w:rPr>
          <w:rFonts w:asciiTheme="minorHAnsi" w:hAnsiTheme="minorHAnsi"/>
          <w:sz w:val="24"/>
        </w:rPr>
        <w:t>used</w:t>
      </w:r>
      <w:r w:rsidR="00EF432E" w:rsidRPr="00AA5B97">
        <w:rPr>
          <w:rFonts w:asciiTheme="minorHAnsi" w:hAnsiTheme="minorHAnsi"/>
          <w:sz w:val="24"/>
        </w:rPr>
        <w:t xml:space="preserve"> </w:t>
      </w:r>
      <w:r w:rsidRPr="00AA5B97">
        <w:rPr>
          <w:rFonts w:asciiTheme="minorHAnsi" w:hAnsiTheme="minorHAnsi"/>
          <w:sz w:val="24"/>
        </w:rPr>
        <w:t xml:space="preserve">by the AER to set the DNSPs’ </w:t>
      </w:r>
      <w:r w:rsidR="00EF432E">
        <w:rPr>
          <w:rFonts w:asciiTheme="minorHAnsi" w:hAnsiTheme="minorHAnsi"/>
          <w:sz w:val="24"/>
        </w:rPr>
        <w:t xml:space="preserve">efficient </w:t>
      </w:r>
      <w:r w:rsidRPr="00AA5B97">
        <w:rPr>
          <w:rFonts w:asciiTheme="minorHAnsi" w:hAnsiTheme="minorHAnsi"/>
          <w:sz w:val="24"/>
        </w:rPr>
        <w:t xml:space="preserve">future revenue requirements.  All other things being equal, over-forecasts of these numbers would result in a higher revenue requirement </w:t>
      </w:r>
      <w:r w:rsidR="00EF432E" w:rsidRPr="00AA5B97">
        <w:rPr>
          <w:rFonts w:asciiTheme="minorHAnsi" w:hAnsiTheme="minorHAnsi"/>
          <w:sz w:val="24"/>
        </w:rPr>
        <w:t xml:space="preserve">being determined by the AER </w:t>
      </w:r>
      <w:r w:rsidRPr="00AA5B97">
        <w:rPr>
          <w:rFonts w:asciiTheme="minorHAnsi" w:hAnsiTheme="minorHAnsi"/>
          <w:sz w:val="24"/>
        </w:rPr>
        <w:t>than is appropriate.</w:t>
      </w:r>
    </w:p>
    <w:p w:rsidR="004F56F1" w:rsidRDefault="004F56F1" w:rsidP="000671B5">
      <w:pPr>
        <w:spacing w:line="240" w:lineRule="auto"/>
        <w:rPr>
          <w:sz w:val="24"/>
        </w:rPr>
      </w:pPr>
    </w:p>
    <w:p w:rsidR="005A4C9D" w:rsidRPr="00AA5B97" w:rsidRDefault="005A4C9D" w:rsidP="000671B5">
      <w:pPr>
        <w:spacing w:line="240" w:lineRule="auto"/>
        <w:rPr>
          <w:b/>
          <w:color w:val="000000"/>
          <w:sz w:val="24"/>
          <w:szCs w:val="24"/>
          <w:lang w:val="en-AU"/>
        </w:rPr>
      </w:pPr>
      <w:r w:rsidRPr="00AA5B97">
        <w:rPr>
          <w:b/>
          <w:color w:val="000000"/>
          <w:sz w:val="24"/>
          <w:szCs w:val="24"/>
          <w:lang w:val="en-AU"/>
        </w:rPr>
        <w:t>5.1 Customer numbers</w:t>
      </w:r>
    </w:p>
    <w:p w:rsidR="004B1C1B" w:rsidRDefault="004B1C1B" w:rsidP="004B1C1B">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The earlier report identified an inconsistency between the TND forecast of new connections and the forecast of its consultant (NIEIR) which provided a lower estimate of new connections</w:t>
      </w:r>
      <w:r w:rsidR="00DB756A">
        <w:rPr>
          <w:rFonts w:asciiTheme="minorHAnsi" w:hAnsiTheme="minorHAnsi"/>
          <w:sz w:val="24"/>
        </w:rPr>
        <w:t>; this raised some concerns.</w:t>
      </w:r>
      <w:r>
        <w:rPr>
          <w:rFonts w:asciiTheme="minorHAnsi" w:hAnsiTheme="minorHAnsi"/>
          <w:sz w:val="24"/>
        </w:rPr>
        <w:t xml:space="preserve"> </w:t>
      </w:r>
    </w:p>
    <w:p w:rsidR="004B1C1B" w:rsidRDefault="004B1C1B" w:rsidP="000671B5">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This report notes that the AER </w:t>
      </w:r>
      <w:r w:rsidR="00DB756A">
        <w:rPr>
          <w:rFonts w:asciiTheme="minorHAnsi" w:hAnsiTheme="minorHAnsi"/>
          <w:sz w:val="24"/>
        </w:rPr>
        <w:t>tested</w:t>
      </w:r>
      <w:r>
        <w:rPr>
          <w:rFonts w:asciiTheme="minorHAnsi" w:hAnsiTheme="minorHAnsi"/>
          <w:sz w:val="24"/>
        </w:rPr>
        <w:t xml:space="preserve"> the NIEIR </w:t>
      </w:r>
      <w:r w:rsidR="00DB756A">
        <w:rPr>
          <w:rFonts w:asciiTheme="minorHAnsi" w:hAnsiTheme="minorHAnsi"/>
          <w:sz w:val="24"/>
        </w:rPr>
        <w:t>methodology</w:t>
      </w:r>
      <w:r>
        <w:rPr>
          <w:rFonts w:asciiTheme="minorHAnsi" w:hAnsiTheme="minorHAnsi"/>
          <w:sz w:val="24"/>
        </w:rPr>
        <w:t xml:space="preserve"> and has carried out a </w:t>
      </w:r>
      <w:r w:rsidR="00DB756A">
        <w:rPr>
          <w:rFonts w:asciiTheme="minorHAnsi" w:hAnsiTheme="minorHAnsi"/>
          <w:sz w:val="24"/>
        </w:rPr>
        <w:t xml:space="preserve">trend </w:t>
      </w:r>
      <w:r>
        <w:rPr>
          <w:rFonts w:asciiTheme="minorHAnsi" w:hAnsiTheme="minorHAnsi"/>
          <w:sz w:val="24"/>
        </w:rPr>
        <w:t>assessment of new connections</w:t>
      </w:r>
      <w:r w:rsidR="00DB756A">
        <w:rPr>
          <w:rFonts w:asciiTheme="minorHAnsi" w:hAnsiTheme="minorHAnsi"/>
          <w:sz w:val="24"/>
        </w:rPr>
        <w:t xml:space="preserve"> made</w:t>
      </w:r>
      <w:r>
        <w:rPr>
          <w:rFonts w:asciiTheme="minorHAnsi" w:hAnsiTheme="minorHAnsi"/>
          <w:sz w:val="24"/>
        </w:rPr>
        <w:t xml:space="preserve">. It then compared this with independent data (from HIA); this independent assessment supported the </w:t>
      </w:r>
      <w:r w:rsidR="00DB756A">
        <w:rPr>
          <w:rFonts w:asciiTheme="minorHAnsi" w:hAnsiTheme="minorHAnsi"/>
          <w:sz w:val="24"/>
        </w:rPr>
        <w:t>forecast used for developing the new customer connections</w:t>
      </w:r>
      <w:r>
        <w:rPr>
          <w:rFonts w:asciiTheme="minorHAnsi" w:hAnsiTheme="minorHAnsi"/>
          <w:sz w:val="24"/>
        </w:rPr>
        <w:t xml:space="preserve">. </w:t>
      </w:r>
    </w:p>
    <w:p w:rsidR="00452E47" w:rsidRPr="00AA5B97" w:rsidRDefault="00452E47" w:rsidP="00452E47">
      <w:pPr>
        <w:pStyle w:val="AERbulletlistfirststyle"/>
        <w:numPr>
          <w:ilvl w:val="0"/>
          <w:numId w:val="0"/>
        </w:numPr>
        <w:tabs>
          <w:tab w:val="clear" w:pos="357"/>
          <w:tab w:val="left" w:pos="0"/>
        </w:tabs>
        <w:spacing w:line="240" w:lineRule="auto"/>
        <w:rPr>
          <w:rFonts w:asciiTheme="minorHAnsi" w:hAnsiTheme="minorHAnsi"/>
          <w:sz w:val="24"/>
        </w:rPr>
      </w:pPr>
    </w:p>
    <w:p w:rsidR="005A4C9D" w:rsidRPr="00AA5B97" w:rsidRDefault="005A4C9D">
      <w:pPr>
        <w:spacing w:line="240" w:lineRule="auto"/>
        <w:rPr>
          <w:b/>
          <w:color w:val="000000"/>
          <w:sz w:val="24"/>
          <w:szCs w:val="24"/>
          <w:lang w:val="en-AU"/>
        </w:rPr>
      </w:pPr>
      <w:r w:rsidRPr="00AA5B97">
        <w:rPr>
          <w:b/>
          <w:color w:val="000000"/>
          <w:sz w:val="24"/>
          <w:szCs w:val="24"/>
          <w:lang w:val="en-AU"/>
        </w:rPr>
        <w:t xml:space="preserve">5.2 Energy </w:t>
      </w:r>
      <w:r w:rsidR="001D43F7">
        <w:rPr>
          <w:b/>
          <w:color w:val="000000"/>
          <w:sz w:val="24"/>
          <w:szCs w:val="24"/>
          <w:lang w:val="en-AU"/>
        </w:rPr>
        <w:t xml:space="preserve">peak </w:t>
      </w:r>
      <w:r w:rsidRPr="00AA5B97">
        <w:rPr>
          <w:b/>
          <w:color w:val="000000"/>
          <w:sz w:val="24"/>
          <w:szCs w:val="24"/>
          <w:lang w:val="en-AU"/>
        </w:rPr>
        <w:t xml:space="preserve">demands </w:t>
      </w:r>
    </w:p>
    <w:p w:rsidR="005A4C9D" w:rsidRDefault="004F56F1" w:rsidP="00452E4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A</w:t>
      </w:r>
      <w:r w:rsidR="001952EA" w:rsidRPr="00AA5B97">
        <w:rPr>
          <w:rFonts w:asciiTheme="minorHAnsi" w:hAnsiTheme="minorHAnsi"/>
          <w:sz w:val="24"/>
        </w:rPr>
        <w:t xml:space="preserve">nother key driver of the cost of providing distribution network services is the maximum </w:t>
      </w:r>
      <w:r>
        <w:rPr>
          <w:rFonts w:asciiTheme="minorHAnsi" w:hAnsiTheme="minorHAnsi"/>
          <w:sz w:val="24"/>
        </w:rPr>
        <w:t xml:space="preserve">rate of </w:t>
      </w:r>
      <w:r w:rsidR="001952EA" w:rsidRPr="00AA5B97">
        <w:rPr>
          <w:rFonts w:asciiTheme="minorHAnsi" w:hAnsiTheme="minorHAnsi"/>
          <w:sz w:val="24"/>
        </w:rPr>
        <w:t xml:space="preserve">flow of electricity, which must be accommodated at each point on the network. </w:t>
      </w:r>
      <w:r w:rsidR="00452E47" w:rsidRPr="00AA5B97">
        <w:rPr>
          <w:rFonts w:asciiTheme="minorHAnsi" w:hAnsiTheme="minorHAnsi"/>
          <w:sz w:val="24"/>
        </w:rPr>
        <w:t xml:space="preserve"> </w:t>
      </w:r>
      <w:r w:rsidR="001952EA" w:rsidRPr="00AA5B97">
        <w:rPr>
          <w:rFonts w:asciiTheme="minorHAnsi" w:hAnsiTheme="minorHAnsi"/>
          <w:sz w:val="24"/>
        </w:rPr>
        <w:t>The larger the peak flow on a given part of that network, the larger the capacity of network assets must be at that location.</w:t>
      </w:r>
    </w:p>
    <w:p w:rsidR="00DB756A" w:rsidRDefault="00DB756A" w:rsidP="00452E4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In its earlier report, it was noted there was some significant difference between three different estimates of expected peak demands. The AER draft decision examines this issue in some detail and concludes that the AEMO forecasts of peak demand is the more realistic. This report concurs.</w:t>
      </w:r>
    </w:p>
    <w:p w:rsidR="002F5677" w:rsidRDefault="002F5677" w:rsidP="00452E4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AER concludes that despite the differences between the forecasts, peak demand is unlikely to exceed historical levels in the next regulatory period and this observation impacts the assessment for capex.  </w:t>
      </w:r>
    </w:p>
    <w:p w:rsidR="0033666A" w:rsidRDefault="00EF7D0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   </w:t>
      </w:r>
      <w:r w:rsidR="0033666A">
        <w:rPr>
          <w:rFonts w:asciiTheme="minorHAnsi" w:hAnsiTheme="minorHAnsi"/>
          <w:sz w:val="24"/>
        </w:rPr>
        <w:t xml:space="preserve">    </w:t>
      </w:r>
    </w:p>
    <w:p w:rsidR="005A4C9D" w:rsidRPr="00AA5B97" w:rsidRDefault="00452E47">
      <w:pPr>
        <w:spacing w:line="240" w:lineRule="auto"/>
        <w:rPr>
          <w:b/>
          <w:color w:val="000000"/>
          <w:sz w:val="24"/>
          <w:szCs w:val="24"/>
          <w:lang w:val="en-AU"/>
        </w:rPr>
      </w:pPr>
      <w:r w:rsidRPr="00AA5B97">
        <w:rPr>
          <w:b/>
          <w:color w:val="000000"/>
          <w:sz w:val="24"/>
          <w:szCs w:val="24"/>
          <w:lang w:val="en-AU"/>
        </w:rPr>
        <w:t>5.3 Total energy</w:t>
      </w:r>
    </w:p>
    <w:p w:rsidR="002F5677" w:rsidRDefault="002F567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The AER draft decision has not commented on the TND forecasts for energy consumption as this has little impact on the assessment of the allowed revenue, as the allowed revenue is subject to a revenue cap</w:t>
      </w:r>
      <w:r>
        <w:rPr>
          <w:rStyle w:val="FootnoteReference"/>
          <w:rFonts w:asciiTheme="minorHAnsi" w:hAnsiTheme="minorHAnsi"/>
          <w:sz w:val="24"/>
        </w:rPr>
        <w:footnoteReference w:id="5"/>
      </w:r>
      <w:r>
        <w:rPr>
          <w:rFonts w:asciiTheme="minorHAnsi" w:hAnsiTheme="minorHAnsi"/>
          <w:sz w:val="24"/>
        </w:rPr>
        <w:t xml:space="preserve">. </w:t>
      </w:r>
    </w:p>
    <w:p w:rsidR="002F5677" w:rsidRDefault="002F567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lastRenderedPageBreak/>
        <w:t>However, it is important to have such information to develop a view of what the notional tariff will be. A notional tariff provides guidance to consumers about what the likely price for the services will be and how they compare with prices in the past.</w:t>
      </w:r>
    </w:p>
    <w:p w:rsidR="00C17732" w:rsidRDefault="002F567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For the purposes of developing a notional tariff, this report uses the actual volumes of sales included in the RIN data and the TND forecast developed by TND consultant NIEIR</w:t>
      </w:r>
      <w:r w:rsidR="00184071">
        <w:rPr>
          <w:rFonts w:asciiTheme="minorHAnsi" w:hAnsiTheme="minorHAnsi"/>
          <w:sz w:val="24"/>
        </w:rPr>
        <w:t xml:space="preserve"> which </w:t>
      </w:r>
      <w:r w:rsidR="00056482">
        <w:rPr>
          <w:rFonts w:asciiTheme="minorHAnsi" w:hAnsiTheme="minorHAnsi"/>
          <w:sz w:val="24"/>
        </w:rPr>
        <w:t>is shown in the following chart.</w:t>
      </w:r>
    </w:p>
    <w:p w:rsidR="00142C50" w:rsidRDefault="00142C50">
      <w:pPr>
        <w:pStyle w:val="AERbulletlistfirststyle"/>
        <w:numPr>
          <w:ilvl w:val="0"/>
          <w:numId w:val="0"/>
        </w:numPr>
        <w:tabs>
          <w:tab w:val="clear" w:pos="357"/>
          <w:tab w:val="left" w:pos="0"/>
        </w:tabs>
        <w:spacing w:after="0" w:line="240" w:lineRule="auto"/>
        <w:rPr>
          <w:rFonts w:asciiTheme="minorHAnsi" w:hAnsiTheme="minorHAnsi"/>
          <w:sz w:val="24"/>
        </w:rPr>
      </w:pPr>
      <w:r>
        <w:rPr>
          <w:rFonts w:asciiTheme="minorHAnsi" w:hAnsiTheme="minorHAnsi"/>
          <w:noProof/>
          <w:sz w:val="24"/>
          <w:lang w:eastAsia="en-AU"/>
        </w:rPr>
        <w:drawing>
          <wp:inline distT="0" distB="0" distL="0" distR="0">
            <wp:extent cx="5641521" cy="3211285"/>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638734" cy="3209699"/>
                    </a:xfrm>
                    <a:prstGeom prst="rect">
                      <a:avLst/>
                    </a:prstGeom>
                    <a:noFill/>
                    <a:ln w="9525">
                      <a:noFill/>
                      <a:miter lim="800000"/>
                      <a:headEnd/>
                      <a:tailEnd/>
                    </a:ln>
                  </pic:spPr>
                </pic:pic>
              </a:graphicData>
            </a:graphic>
          </wp:inline>
        </w:drawing>
      </w:r>
    </w:p>
    <w:p w:rsidR="00056482" w:rsidRPr="00056482" w:rsidRDefault="00F35823">
      <w:pPr>
        <w:pStyle w:val="AERbulletlistfirststyle"/>
        <w:numPr>
          <w:ilvl w:val="0"/>
          <w:numId w:val="0"/>
        </w:numPr>
        <w:tabs>
          <w:tab w:val="clear" w:pos="357"/>
          <w:tab w:val="left" w:pos="0"/>
        </w:tabs>
        <w:spacing w:line="240" w:lineRule="auto"/>
        <w:rPr>
          <w:rFonts w:asciiTheme="minorHAnsi" w:hAnsiTheme="minorHAnsi"/>
          <w:b/>
          <w:szCs w:val="20"/>
        </w:rPr>
      </w:pPr>
      <w:r w:rsidRPr="00F35823">
        <w:rPr>
          <w:rFonts w:asciiTheme="minorHAnsi" w:hAnsiTheme="minorHAnsi"/>
          <w:b/>
          <w:szCs w:val="20"/>
        </w:rPr>
        <w:t>Source: TND proposal</w:t>
      </w:r>
    </w:p>
    <w:p w:rsidR="007F1581" w:rsidRDefault="00056482">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This modest increase in forecast consumption impacts on the notional tariff referred to in section 1.1 above</w:t>
      </w:r>
      <w:r w:rsidR="00184071">
        <w:rPr>
          <w:rFonts w:asciiTheme="minorHAnsi" w:hAnsiTheme="minorHAnsi"/>
          <w:sz w:val="24"/>
        </w:rPr>
        <w:t xml:space="preserve"> which compare</w:t>
      </w:r>
      <w:r w:rsidR="004A500E">
        <w:rPr>
          <w:rFonts w:asciiTheme="minorHAnsi" w:hAnsiTheme="minorHAnsi"/>
          <w:sz w:val="24"/>
        </w:rPr>
        <w:t>s</w:t>
      </w:r>
      <w:r w:rsidR="00184071">
        <w:rPr>
          <w:rFonts w:asciiTheme="minorHAnsi" w:hAnsiTheme="minorHAnsi"/>
          <w:sz w:val="24"/>
        </w:rPr>
        <w:t xml:space="preserve"> the AER draft decision with the TND proposal</w:t>
      </w:r>
      <w:r w:rsidR="00D87884">
        <w:rPr>
          <w:rFonts w:asciiTheme="minorHAnsi" w:hAnsiTheme="minorHAnsi"/>
          <w:sz w:val="24"/>
        </w:rPr>
        <w:t>.</w:t>
      </w:r>
      <w:r>
        <w:rPr>
          <w:rFonts w:asciiTheme="minorHAnsi" w:hAnsiTheme="minorHAnsi"/>
          <w:sz w:val="24"/>
        </w:rPr>
        <w:t xml:space="preserve"> </w:t>
      </w:r>
    </w:p>
    <w:p w:rsidR="00C17732" w:rsidRDefault="007F1581">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outturn of this analysis is that with the forecast fall in revenue and increased sales, the tariffs facing consumers will fall as noted in section 1. However, if the forecasts are too high, tariffs will be higher than implied by the reduced revenue.  </w:t>
      </w:r>
      <w:r w:rsidR="00056482">
        <w:rPr>
          <w:rFonts w:asciiTheme="minorHAnsi" w:hAnsiTheme="minorHAnsi"/>
          <w:sz w:val="24"/>
        </w:rPr>
        <w:t xml:space="preserve"> </w:t>
      </w:r>
    </w:p>
    <w:p w:rsidR="003E1B99" w:rsidRPr="00AA5B97" w:rsidRDefault="003E1B99" w:rsidP="000C5479">
      <w:pPr>
        <w:spacing w:after="0" w:line="240" w:lineRule="auto"/>
        <w:rPr>
          <w:rFonts w:eastAsia="Times New Roman" w:cs="Times New Roman"/>
          <w:b/>
          <w:sz w:val="28"/>
          <w:szCs w:val="28"/>
          <w:lang w:val="en-AU" w:bidi="ar-SA"/>
        </w:rPr>
      </w:pPr>
      <w:r w:rsidRPr="00AA5B97">
        <w:rPr>
          <w:b/>
          <w:sz w:val="28"/>
          <w:szCs w:val="28"/>
          <w:lang w:val="en-AU"/>
        </w:rPr>
        <w:br w:type="page"/>
      </w:r>
    </w:p>
    <w:p w:rsidR="00AA4419" w:rsidRPr="00AA5B97" w:rsidRDefault="00B43088" w:rsidP="00632C41">
      <w:pPr>
        <w:pStyle w:val="AERbulletlistfirststyle"/>
        <w:numPr>
          <w:ilvl w:val="0"/>
          <w:numId w:val="0"/>
        </w:numPr>
        <w:tabs>
          <w:tab w:val="clear" w:pos="357"/>
          <w:tab w:val="left" w:pos="0"/>
        </w:tabs>
        <w:rPr>
          <w:rFonts w:asciiTheme="minorHAnsi" w:hAnsiTheme="minorHAnsi"/>
          <w:b/>
          <w:sz w:val="28"/>
          <w:szCs w:val="28"/>
        </w:rPr>
      </w:pPr>
      <w:r w:rsidRPr="00AA5B97">
        <w:rPr>
          <w:rFonts w:asciiTheme="minorHAnsi" w:hAnsiTheme="minorHAnsi"/>
          <w:b/>
          <w:sz w:val="28"/>
          <w:szCs w:val="28"/>
        </w:rPr>
        <w:lastRenderedPageBreak/>
        <w:t xml:space="preserve">6. </w:t>
      </w:r>
      <w:r w:rsidR="0024444A" w:rsidRPr="00AA5B97">
        <w:rPr>
          <w:rStyle w:val="AERbody"/>
          <w:rFonts w:asciiTheme="minorHAnsi" w:hAnsiTheme="minorHAnsi"/>
          <w:b/>
          <w:sz w:val="28"/>
          <w:szCs w:val="28"/>
        </w:rPr>
        <w:t>Capital expenditure</w:t>
      </w:r>
      <w:r w:rsidR="00115F55" w:rsidRPr="00AA5B97">
        <w:rPr>
          <w:rStyle w:val="AERbody"/>
          <w:rFonts w:asciiTheme="minorHAnsi" w:hAnsiTheme="minorHAnsi"/>
          <w:b/>
          <w:sz w:val="28"/>
          <w:szCs w:val="28"/>
        </w:rPr>
        <w:t xml:space="preserve"> (capex)</w:t>
      </w:r>
    </w:p>
    <w:p w:rsidR="000A5569" w:rsidRDefault="000A5569" w:rsidP="000A5569">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As noted in section 3 above, CCP4(DH) is very concerned at the continuing growth in the RAB in relative terms and therefore great care is needed to ensure that the capex allowed is efficient and does not result in the RAB further increasing.</w:t>
      </w:r>
    </w:p>
    <w:p w:rsidR="001608A7" w:rsidRDefault="00CA68E4" w:rsidP="000A5569">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Despite the growth in the RAB (in nominal terms</w:t>
      </w:r>
      <w:r w:rsidR="007F1581">
        <w:rPr>
          <w:rFonts w:asciiTheme="minorHAnsi" w:hAnsiTheme="minorHAnsi"/>
          <w:sz w:val="24"/>
        </w:rPr>
        <w:t xml:space="preserve"> but not in “real” terms</w:t>
      </w:r>
      <w:r>
        <w:rPr>
          <w:rFonts w:asciiTheme="minorHAnsi" w:hAnsiTheme="minorHAnsi"/>
          <w:sz w:val="24"/>
        </w:rPr>
        <w:t xml:space="preserve">) proposed by TND, the AER has accepted the TND proposed capex as being efficient, This report does </w:t>
      </w:r>
      <w:r w:rsidR="001738D0">
        <w:rPr>
          <w:rFonts w:asciiTheme="minorHAnsi" w:hAnsiTheme="minorHAnsi"/>
          <w:sz w:val="24"/>
        </w:rPr>
        <w:t>not</w:t>
      </w:r>
      <w:r>
        <w:rPr>
          <w:rFonts w:asciiTheme="minorHAnsi" w:hAnsiTheme="minorHAnsi"/>
          <w:sz w:val="24"/>
        </w:rPr>
        <w:t xml:space="preserve"> </w:t>
      </w:r>
      <w:r w:rsidR="001738D0">
        <w:rPr>
          <w:rFonts w:asciiTheme="minorHAnsi" w:hAnsiTheme="minorHAnsi"/>
          <w:sz w:val="24"/>
        </w:rPr>
        <w:t>agree</w:t>
      </w:r>
      <w:r>
        <w:rPr>
          <w:rFonts w:asciiTheme="minorHAnsi" w:hAnsiTheme="minorHAnsi"/>
          <w:sz w:val="24"/>
        </w:rPr>
        <w:t xml:space="preserve"> with the AER in all respects and the comments in the following sections expand on this observation</w:t>
      </w:r>
      <w:r w:rsidR="001608A7">
        <w:rPr>
          <w:rFonts w:asciiTheme="minorHAnsi" w:hAnsiTheme="minorHAnsi"/>
          <w:sz w:val="24"/>
        </w:rPr>
        <w:t>.</w:t>
      </w:r>
    </w:p>
    <w:p w:rsidR="00CA68E4" w:rsidRPr="001608A7" w:rsidRDefault="001608A7" w:rsidP="000A5569">
      <w:pPr>
        <w:pStyle w:val="AERbulletlistfirststyle"/>
        <w:numPr>
          <w:ilvl w:val="0"/>
          <w:numId w:val="0"/>
        </w:numPr>
        <w:tabs>
          <w:tab w:val="clear" w:pos="357"/>
          <w:tab w:val="left" w:pos="0"/>
        </w:tabs>
        <w:spacing w:line="240" w:lineRule="auto"/>
        <w:rPr>
          <w:rFonts w:asciiTheme="minorHAnsi" w:hAnsiTheme="minorHAnsi"/>
          <w:color w:val="C00000"/>
          <w:sz w:val="24"/>
        </w:rPr>
      </w:pPr>
      <w:r w:rsidRPr="001608A7">
        <w:rPr>
          <w:rFonts w:asciiTheme="minorHAnsi" w:hAnsiTheme="minorHAnsi"/>
          <w:color w:val="C00000"/>
          <w:sz w:val="24"/>
        </w:rPr>
        <w:t xml:space="preserve">This report notes that TND has accepted the AER draft decision on capex. This is not surprising as the AER draft decision accepted the capex proposed in the TND initial proposal. With this in mind, the comments made in this section remain are applicable to the </w:t>
      </w:r>
      <w:r w:rsidR="00F169BF">
        <w:rPr>
          <w:rFonts w:asciiTheme="minorHAnsi" w:hAnsiTheme="minorHAnsi"/>
          <w:color w:val="C00000"/>
          <w:sz w:val="24"/>
        </w:rPr>
        <w:t xml:space="preserve">AER draft decision and the </w:t>
      </w:r>
      <w:r w:rsidRPr="001608A7">
        <w:rPr>
          <w:rFonts w:asciiTheme="minorHAnsi" w:hAnsiTheme="minorHAnsi"/>
          <w:color w:val="C00000"/>
          <w:sz w:val="24"/>
        </w:rPr>
        <w:t xml:space="preserve">TND revised proposal. </w:t>
      </w:r>
      <w:r w:rsidR="00CA68E4" w:rsidRPr="001608A7">
        <w:rPr>
          <w:rFonts w:asciiTheme="minorHAnsi" w:hAnsiTheme="minorHAnsi"/>
          <w:color w:val="C00000"/>
          <w:sz w:val="24"/>
        </w:rPr>
        <w:t xml:space="preserve"> </w:t>
      </w:r>
    </w:p>
    <w:p w:rsidR="000A5569" w:rsidRPr="000A5569" w:rsidRDefault="000A5569" w:rsidP="000A5569">
      <w:pPr>
        <w:pStyle w:val="AERbulletlistfirststyle"/>
        <w:numPr>
          <w:ilvl w:val="0"/>
          <w:numId w:val="0"/>
        </w:numPr>
        <w:tabs>
          <w:tab w:val="clear" w:pos="357"/>
          <w:tab w:val="left" w:pos="0"/>
        </w:tabs>
        <w:spacing w:line="240" w:lineRule="auto"/>
        <w:rPr>
          <w:rFonts w:asciiTheme="minorHAnsi" w:hAnsiTheme="minorHAnsi"/>
          <w:sz w:val="24"/>
        </w:rPr>
      </w:pPr>
    </w:p>
    <w:p w:rsidR="006657A3" w:rsidRDefault="006657A3" w:rsidP="006657A3">
      <w:pPr>
        <w:pStyle w:val="AERbulletlistfirststyle"/>
        <w:numPr>
          <w:ilvl w:val="0"/>
          <w:numId w:val="0"/>
        </w:numPr>
        <w:tabs>
          <w:tab w:val="clear" w:pos="357"/>
          <w:tab w:val="left" w:pos="0"/>
        </w:tabs>
        <w:spacing w:line="240" w:lineRule="auto"/>
        <w:ind w:left="60"/>
        <w:rPr>
          <w:rFonts w:asciiTheme="minorHAnsi" w:hAnsiTheme="minorHAnsi"/>
          <w:b/>
          <w:sz w:val="24"/>
        </w:rPr>
      </w:pPr>
      <w:r w:rsidRPr="00AA5B97">
        <w:rPr>
          <w:rFonts w:asciiTheme="minorHAnsi" w:hAnsiTheme="minorHAnsi"/>
          <w:b/>
          <w:sz w:val="24"/>
        </w:rPr>
        <w:t>6.</w:t>
      </w:r>
      <w:r>
        <w:rPr>
          <w:rFonts w:asciiTheme="minorHAnsi" w:hAnsiTheme="minorHAnsi"/>
          <w:b/>
          <w:sz w:val="24"/>
        </w:rPr>
        <w:t>1</w:t>
      </w:r>
      <w:r w:rsidRPr="00AA5B97">
        <w:rPr>
          <w:rFonts w:asciiTheme="minorHAnsi" w:hAnsiTheme="minorHAnsi"/>
          <w:b/>
          <w:sz w:val="24"/>
        </w:rPr>
        <w:t xml:space="preserve"> General comments on capex</w:t>
      </w:r>
    </w:p>
    <w:p w:rsidR="00C0656C" w:rsidRPr="00AA5B97" w:rsidRDefault="00C0656C" w:rsidP="00C0656C">
      <w:pPr>
        <w:pStyle w:val="AERbulletlistfirststyle"/>
        <w:numPr>
          <w:ilvl w:val="0"/>
          <w:numId w:val="0"/>
        </w:numPr>
        <w:tabs>
          <w:tab w:val="clear" w:pos="357"/>
          <w:tab w:val="left" w:pos="0"/>
        </w:tabs>
        <w:spacing w:line="240" w:lineRule="auto"/>
        <w:ind w:left="60"/>
        <w:rPr>
          <w:rFonts w:asciiTheme="minorHAnsi" w:hAnsiTheme="minorHAnsi"/>
          <w:b/>
          <w:bCs/>
          <w:sz w:val="24"/>
        </w:rPr>
      </w:pPr>
      <w:r w:rsidRPr="00AA5B97">
        <w:rPr>
          <w:rFonts w:asciiTheme="minorHAnsi" w:hAnsiTheme="minorHAnsi"/>
          <w:b/>
          <w:bCs/>
          <w:sz w:val="24"/>
        </w:rPr>
        <w:t>6.</w:t>
      </w:r>
      <w:r>
        <w:rPr>
          <w:rFonts w:asciiTheme="minorHAnsi" w:hAnsiTheme="minorHAnsi"/>
          <w:b/>
          <w:bCs/>
          <w:sz w:val="24"/>
        </w:rPr>
        <w:t>1</w:t>
      </w:r>
      <w:r w:rsidRPr="00AA5B97">
        <w:rPr>
          <w:rFonts w:asciiTheme="minorHAnsi" w:hAnsiTheme="minorHAnsi"/>
          <w:b/>
          <w:bCs/>
          <w:sz w:val="24"/>
        </w:rPr>
        <w:t xml:space="preserve">.1 Category based costing </w:t>
      </w:r>
    </w:p>
    <w:p w:rsidR="00C0656C" w:rsidRDefault="00CA68E4" w:rsidP="00C0656C">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t xml:space="preserve">In its earlier report, it was noted that there were concerns raised by networks regarding the shortcomings of the category based benchmarking, especially that unit costs vary considerably between networks, but this issue has not been addressed other to imply that the AER has used “standardised category data” which </w:t>
      </w:r>
      <w:r w:rsidR="00C0656C">
        <w:rPr>
          <w:rFonts w:asciiTheme="minorHAnsi" w:hAnsiTheme="minorHAnsi"/>
          <w:sz w:val="24"/>
        </w:rPr>
        <w:t>allows identification and scrutiny of (page 6</w:t>
      </w:r>
      <w:r w:rsidR="007F1581">
        <w:rPr>
          <w:rFonts w:asciiTheme="minorHAnsi" w:hAnsiTheme="minorHAnsi"/>
          <w:sz w:val="24"/>
        </w:rPr>
        <w:t>-</w:t>
      </w:r>
      <w:r w:rsidR="00C0656C">
        <w:rPr>
          <w:rFonts w:asciiTheme="minorHAnsi" w:hAnsiTheme="minorHAnsi"/>
          <w:sz w:val="24"/>
        </w:rPr>
        <w:t xml:space="preserve">28) </w:t>
      </w:r>
    </w:p>
    <w:p w:rsidR="00CA68E4" w:rsidRPr="00C0656C" w:rsidRDefault="00C0656C" w:rsidP="00C0656C">
      <w:pPr>
        <w:autoSpaceDE w:val="0"/>
        <w:autoSpaceDN w:val="0"/>
        <w:adjustRightInd w:val="0"/>
        <w:spacing w:line="240" w:lineRule="auto"/>
        <w:ind w:left="1380"/>
        <w:jc w:val="left"/>
        <w:rPr>
          <w:rFonts w:cstheme="minorHAnsi"/>
          <w:sz w:val="24"/>
          <w:szCs w:val="24"/>
        </w:rPr>
      </w:pPr>
      <w:r w:rsidRPr="00C0656C">
        <w:rPr>
          <w:rFonts w:eastAsia="Times New Roman" w:cstheme="minorHAnsi"/>
          <w:color w:val="000000"/>
          <w:sz w:val="24"/>
          <w:szCs w:val="24"/>
          <w:lang w:val="en-AU" w:eastAsia="en-AU" w:bidi="ar-SA"/>
        </w:rPr>
        <w:t>“...different operating and environmental factors that affect the amount and cost of works performed by distributors, and how these factors may change over time.”</w:t>
      </w:r>
      <w:r w:rsidRPr="00C0656C">
        <w:rPr>
          <w:rFonts w:cstheme="minorHAnsi"/>
          <w:sz w:val="24"/>
          <w:szCs w:val="24"/>
        </w:rPr>
        <w:t xml:space="preserve"> </w:t>
      </w:r>
      <w:r w:rsidR="00CA68E4" w:rsidRPr="00C0656C">
        <w:rPr>
          <w:rFonts w:cstheme="minorHAnsi"/>
          <w:sz w:val="24"/>
          <w:szCs w:val="24"/>
        </w:rPr>
        <w:t xml:space="preserve"> </w:t>
      </w:r>
    </w:p>
    <w:p w:rsidR="00E71077" w:rsidRDefault="00C0656C" w:rsidP="00E71077">
      <w:pPr>
        <w:pStyle w:val="AERbulletlistfirststyle"/>
        <w:numPr>
          <w:ilvl w:val="0"/>
          <w:numId w:val="0"/>
        </w:numPr>
        <w:tabs>
          <w:tab w:val="clear" w:pos="357"/>
          <w:tab w:val="left" w:pos="0"/>
        </w:tabs>
        <w:spacing w:line="240" w:lineRule="auto"/>
        <w:ind w:left="720"/>
        <w:rPr>
          <w:rFonts w:asciiTheme="minorHAnsi" w:hAnsiTheme="minorHAnsi"/>
          <w:bCs/>
          <w:sz w:val="24"/>
        </w:rPr>
      </w:pPr>
      <w:r w:rsidRPr="00C0656C">
        <w:rPr>
          <w:rFonts w:asciiTheme="minorHAnsi" w:hAnsiTheme="minorHAnsi"/>
          <w:bCs/>
          <w:sz w:val="24"/>
        </w:rPr>
        <w:t>It is not clear</w:t>
      </w:r>
      <w:r>
        <w:rPr>
          <w:rFonts w:asciiTheme="minorHAnsi" w:hAnsiTheme="minorHAnsi"/>
          <w:bCs/>
          <w:sz w:val="24"/>
        </w:rPr>
        <w:t xml:space="preserve"> whether the AER uses standardised cost data or has only used the data provided by TND for its assessment</w:t>
      </w:r>
      <w:r w:rsidR="007F1581">
        <w:rPr>
          <w:rFonts w:asciiTheme="minorHAnsi" w:hAnsiTheme="minorHAnsi"/>
          <w:bCs/>
          <w:sz w:val="24"/>
        </w:rPr>
        <w:t xml:space="preserve"> of capex</w:t>
      </w:r>
      <w:r>
        <w:rPr>
          <w:rFonts w:asciiTheme="minorHAnsi" w:hAnsiTheme="minorHAnsi"/>
          <w:bCs/>
          <w:sz w:val="24"/>
        </w:rPr>
        <w:t>. Further, the category analysis identifies the frequency with assets are replaced. Again, it is not clear whether the AER has used standardised replacement periods in its analysis or used data provided by TND alone.</w:t>
      </w:r>
    </w:p>
    <w:p w:rsidR="00C0656C" w:rsidRPr="00C0656C" w:rsidRDefault="00C0656C" w:rsidP="00C0656C">
      <w:pPr>
        <w:pStyle w:val="AERbulletlistfirststyle"/>
        <w:numPr>
          <w:ilvl w:val="0"/>
          <w:numId w:val="0"/>
        </w:numPr>
        <w:tabs>
          <w:tab w:val="clear" w:pos="357"/>
          <w:tab w:val="left" w:pos="0"/>
        </w:tabs>
        <w:spacing w:line="240" w:lineRule="auto"/>
        <w:ind w:left="720"/>
        <w:rPr>
          <w:rFonts w:asciiTheme="minorHAnsi" w:hAnsiTheme="minorHAnsi"/>
          <w:bCs/>
          <w:sz w:val="24"/>
        </w:rPr>
      </w:pPr>
      <w:r>
        <w:rPr>
          <w:rFonts w:asciiTheme="minorHAnsi" w:hAnsiTheme="minorHAnsi"/>
          <w:bCs/>
          <w:sz w:val="24"/>
        </w:rPr>
        <w:t xml:space="preserve">What needs to be clearly identified is whether the draft decision is based on TND data or whether the evaluation is based on benchmarking data </w:t>
      </w:r>
      <w:r w:rsidRPr="00C0656C">
        <w:rPr>
          <w:rFonts w:asciiTheme="minorHAnsi" w:hAnsiTheme="minorHAnsi"/>
          <w:bCs/>
          <w:sz w:val="24"/>
        </w:rPr>
        <w:t xml:space="preserve"> </w:t>
      </w:r>
    </w:p>
    <w:p w:rsidR="006657A3" w:rsidRPr="00AA5B97" w:rsidRDefault="006657A3" w:rsidP="006657A3">
      <w:pPr>
        <w:pStyle w:val="AERbulletlistfirststyle"/>
        <w:numPr>
          <w:ilvl w:val="0"/>
          <w:numId w:val="0"/>
        </w:numPr>
        <w:tabs>
          <w:tab w:val="clear" w:pos="357"/>
          <w:tab w:val="left" w:pos="0"/>
        </w:tabs>
        <w:spacing w:line="240" w:lineRule="auto"/>
        <w:ind w:left="60"/>
        <w:rPr>
          <w:rFonts w:asciiTheme="minorHAnsi" w:hAnsiTheme="minorHAnsi"/>
          <w:b/>
          <w:bCs/>
          <w:sz w:val="24"/>
        </w:rPr>
      </w:pPr>
      <w:r w:rsidRPr="00AA5B97">
        <w:rPr>
          <w:rFonts w:asciiTheme="minorHAnsi" w:hAnsiTheme="minorHAnsi"/>
          <w:b/>
          <w:bCs/>
          <w:sz w:val="24"/>
        </w:rPr>
        <w:t>6.</w:t>
      </w:r>
      <w:r>
        <w:rPr>
          <w:rFonts w:asciiTheme="minorHAnsi" w:hAnsiTheme="minorHAnsi"/>
          <w:b/>
          <w:bCs/>
          <w:sz w:val="24"/>
        </w:rPr>
        <w:t>1</w:t>
      </w:r>
      <w:r w:rsidRPr="00AA5B97">
        <w:rPr>
          <w:rFonts w:asciiTheme="minorHAnsi" w:hAnsiTheme="minorHAnsi"/>
          <w:b/>
          <w:bCs/>
          <w:sz w:val="24"/>
        </w:rPr>
        <w:t>.</w:t>
      </w:r>
      <w:r>
        <w:rPr>
          <w:rFonts w:asciiTheme="minorHAnsi" w:hAnsiTheme="minorHAnsi"/>
          <w:b/>
          <w:bCs/>
          <w:sz w:val="24"/>
        </w:rPr>
        <w:t>2</w:t>
      </w:r>
      <w:r w:rsidRPr="00AA5B97">
        <w:rPr>
          <w:rFonts w:asciiTheme="minorHAnsi" w:hAnsiTheme="minorHAnsi"/>
          <w:b/>
          <w:bCs/>
          <w:sz w:val="24"/>
        </w:rPr>
        <w:t xml:space="preserve"> </w:t>
      </w:r>
      <w:r w:rsidR="00D87884">
        <w:rPr>
          <w:rFonts w:asciiTheme="minorHAnsi" w:hAnsiTheme="minorHAnsi"/>
          <w:b/>
          <w:bCs/>
          <w:sz w:val="24"/>
        </w:rPr>
        <w:t>Environmental impact on c</w:t>
      </w:r>
      <w:r w:rsidRPr="00AA5B97">
        <w:rPr>
          <w:rFonts w:asciiTheme="minorHAnsi" w:hAnsiTheme="minorHAnsi"/>
          <w:b/>
          <w:bCs/>
          <w:sz w:val="24"/>
        </w:rPr>
        <w:t>ategory costs</w:t>
      </w:r>
    </w:p>
    <w:p w:rsidR="00E71077" w:rsidRDefault="006657A3" w:rsidP="006657A3">
      <w:pPr>
        <w:pStyle w:val="AERbulletlistfirststyle"/>
        <w:numPr>
          <w:ilvl w:val="0"/>
          <w:numId w:val="0"/>
        </w:numPr>
        <w:tabs>
          <w:tab w:val="clear" w:pos="357"/>
          <w:tab w:val="left" w:pos="0"/>
        </w:tabs>
        <w:spacing w:line="240" w:lineRule="auto"/>
        <w:ind w:left="720"/>
        <w:rPr>
          <w:rFonts w:asciiTheme="minorHAnsi" w:hAnsiTheme="minorHAnsi"/>
          <w:sz w:val="24"/>
        </w:rPr>
      </w:pPr>
      <w:r w:rsidRPr="00AA5B97">
        <w:rPr>
          <w:rFonts w:asciiTheme="minorHAnsi" w:hAnsiTheme="minorHAnsi"/>
          <w:sz w:val="24"/>
        </w:rPr>
        <w:t xml:space="preserve">As </w:t>
      </w:r>
      <w:r w:rsidR="00E71077">
        <w:rPr>
          <w:rFonts w:asciiTheme="minorHAnsi" w:hAnsiTheme="minorHAnsi"/>
          <w:sz w:val="24"/>
        </w:rPr>
        <w:t xml:space="preserve">with the category benchmarking, it is important to explain to what extent the environmental factors are being accommodated in the predictive modelling using the category analysis data, especially as the Ofgem assessment </w:t>
      </w:r>
      <w:r w:rsidR="007F1581">
        <w:rPr>
          <w:rFonts w:asciiTheme="minorHAnsi" w:hAnsiTheme="minorHAnsi"/>
          <w:sz w:val="24"/>
        </w:rPr>
        <w:t xml:space="preserve">(referred to in the earlier report) </w:t>
      </w:r>
      <w:r w:rsidR="00E71077">
        <w:rPr>
          <w:rFonts w:asciiTheme="minorHAnsi" w:hAnsiTheme="minorHAnsi"/>
          <w:sz w:val="24"/>
        </w:rPr>
        <w:t xml:space="preserve">implies that these are minor. This report notes that the only environmental aspect that might have to be taken into account is that for coastal </w:t>
      </w:r>
      <w:r w:rsidR="00E71077">
        <w:rPr>
          <w:rFonts w:asciiTheme="minorHAnsi" w:hAnsiTheme="minorHAnsi"/>
          <w:sz w:val="24"/>
        </w:rPr>
        <w:lastRenderedPageBreak/>
        <w:t>areas (salt degradation).</w:t>
      </w:r>
      <w:r w:rsidR="007F1581">
        <w:rPr>
          <w:rFonts w:asciiTheme="minorHAnsi" w:hAnsiTheme="minorHAnsi"/>
          <w:sz w:val="24"/>
        </w:rPr>
        <w:t xml:space="preserve"> </w:t>
      </w:r>
      <w:r w:rsidR="00E71077">
        <w:rPr>
          <w:rFonts w:asciiTheme="minorHAnsi" w:hAnsiTheme="minorHAnsi"/>
          <w:sz w:val="24"/>
        </w:rPr>
        <w:t>As all distribution networks have assets impacted by ocean environments, again, the net effect of this environmental issue might be marginal between networks.</w:t>
      </w:r>
    </w:p>
    <w:p w:rsidR="009D165C" w:rsidRDefault="00E71077" w:rsidP="009D165C">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t xml:space="preserve">What is important is to identify the extent to which TND category analysis data reveals differences to the averages seen across all networks. </w:t>
      </w:r>
      <w:r w:rsidR="007F1581">
        <w:rPr>
          <w:rFonts w:asciiTheme="minorHAnsi" w:hAnsiTheme="minorHAnsi"/>
          <w:sz w:val="24"/>
        </w:rPr>
        <w:t xml:space="preserve">On page 6-42, the draft decision implies that the AER has used </w:t>
      </w:r>
      <w:r w:rsidR="009D165C">
        <w:rPr>
          <w:rFonts w:asciiTheme="minorHAnsi" w:hAnsiTheme="minorHAnsi"/>
          <w:sz w:val="24"/>
        </w:rPr>
        <w:t>TND</w:t>
      </w:r>
      <w:r w:rsidR="007F1581">
        <w:rPr>
          <w:rFonts w:asciiTheme="minorHAnsi" w:hAnsiTheme="minorHAnsi"/>
          <w:sz w:val="24"/>
        </w:rPr>
        <w:t xml:space="preserve"> data</w:t>
      </w:r>
      <w:r w:rsidR="009D165C">
        <w:rPr>
          <w:rFonts w:asciiTheme="minorHAnsi" w:hAnsiTheme="minorHAnsi"/>
          <w:sz w:val="24"/>
        </w:rPr>
        <w:t xml:space="preserve"> as it states</w:t>
      </w:r>
    </w:p>
    <w:p w:rsidR="009D165C" w:rsidRDefault="009D165C" w:rsidP="009D165C">
      <w:pPr>
        <w:autoSpaceDE w:val="0"/>
        <w:autoSpaceDN w:val="0"/>
        <w:adjustRightInd w:val="0"/>
        <w:spacing w:line="240" w:lineRule="auto"/>
        <w:ind w:left="1440"/>
        <w:rPr>
          <w:rFonts w:cstheme="minorHAnsi"/>
          <w:sz w:val="24"/>
          <w:szCs w:val="24"/>
        </w:rPr>
      </w:pPr>
      <w:r>
        <w:rPr>
          <w:rFonts w:eastAsia="Times New Roman" w:cstheme="minorHAnsi"/>
          <w:color w:val="000000"/>
          <w:sz w:val="24"/>
          <w:szCs w:val="24"/>
          <w:lang w:val="en-AU" w:eastAsia="en-AU" w:bidi="ar-SA"/>
        </w:rPr>
        <w:t>“</w:t>
      </w:r>
      <w:r w:rsidRPr="009D165C">
        <w:rPr>
          <w:rFonts w:eastAsia="Times New Roman" w:cstheme="minorHAnsi"/>
          <w:color w:val="000000"/>
          <w:sz w:val="24"/>
          <w:szCs w:val="24"/>
          <w:lang w:val="en-AU" w:eastAsia="en-AU" w:bidi="ar-SA"/>
        </w:rPr>
        <w:t>In our modelling, we found that TasNetworks' forecast for the modelled categories was significantly lower than the repex model estimate derived from its past replacement practices, and is closer to (though slightly higher than) a benchmark derived from other service providers.</w:t>
      </w:r>
      <w:r>
        <w:rPr>
          <w:rFonts w:eastAsia="Times New Roman" w:cstheme="minorHAnsi"/>
          <w:color w:val="000000"/>
          <w:sz w:val="24"/>
          <w:szCs w:val="24"/>
          <w:lang w:val="en-AU" w:eastAsia="en-AU" w:bidi="ar-SA"/>
        </w:rPr>
        <w:t>”</w:t>
      </w:r>
      <w:r w:rsidR="00E71077" w:rsidRPr="009D165C">
        <w:rPr>
          <w:rFonts w:cstheme="minorHAnsi"/>
          <w:sz w:val="24"/>
          <w:szCs w:val="24"/>
        </w:rPr>
        <w:t xml:space="preserve"> </w:t>
      </w:r>
    </w:p>
    <w:p w:rsidR="006657A3" w:rsidRPr="009D165C" w:rsidRDefault="009D165C" w:rsidP="009D165C">
      <w:pPr>
        <w:autoSpaceDE w:val="0"/>
        <w:autoSpaceDN w:val="0"/>
        <w:adjustRightInd w:val="0"/>
        <w:spacing w:line="240" w:lineRule="auto"/>
        <w:ind w:left="720"/>
        <w:rPr>
          <w:rFonts w:cstheme="minorHAnsi"/>
          <w:sz w:val="24"/>
          <w:szCs w:val="24"/>
        </w:rPr>
      </w:pPr>
      <w:r>
        <w:rPr>
          <w:rFonts w:cstheme="minorHAnsi"/>
          <w:sz w:val="24"/>
          <w:szCs w:val="24"/>
        </w:rPr>
        <w:t xml:space="preserve">This report considers that benchmark data should be used to assess the reasonableness of repex forecasts as each network could implement a replacement process that consistently increases the rates of replacement which, following a trend analysis, reinforces poor asset management practices. </w:t>
      </w:r>
      <w:r w:rsidR="00E71077" w:rsidRPr="009D165C">
        <w:rPr>
          <w:rFonts w:cstheme="minorHAnsi"/>
          <w:sz w:val="24"/>
          <w:szCs w:val="24"/>
        </w:rPr>
        <w:t xml:space="preserve"> </w:t>
      </w:r>
    </w:p>
    <w:p w:rsidR="006657A3" w:rsidRPr="00AA5B97" w:rsidRDefault="006657A3" w:rsidP="006657A3">
      <w:pPr>
        <w:pStyle w:val="AERbulletlistfirststyle"/>
        <w:keepNext/>
        <w:numPr>
          <w:ilvl w:val="0"/>
          <w:numId w:val="0"/>
        </w:numPr>
        <w:tabs>
          <w:tab w:val="clear" w:pos="357"/>
          <w:tab w:val="left" w:pos="0"/>
        </w:tabs>
        <w:spacing w:line="240" w:lineRule="auto"/>
        <w:ind w:left="62"/>
        <w:rPr>
          <w:rFonts w:asciiTheme="minorHAnsi" w:hAnsiTheme="minorHAnsi"/>
          <w:b/>
          <w:bCs/>
          <w:sz w:val="24"/>
        </w:rPr>
      </w:pPr>
      <w:r w:rsidRPr="00AA5B97">
        <w:rPr>
          <w:rFonts w:asciiTheme="minorHAnsi" w:hAnsiTheme="minorHAnsi"/>
          <w:b/>
          <w:bCs/>
          <w:sz w:val="24"/>
        </w:rPr>
        <w:t>6.</w:t>
      </w:r>
      <w:r>
        <w:rPr>
          <w:rFonts w:asciiTheme="minorHAnsi" w:hAnsiTheme="minorHAnsi"/>
          <w:b/>
          <w:bCs/>
          <w:sz w:val="24"/>
        </w:rPr>
        <w:t>1</w:t>
      </w:r>
      <w:r w:rsidRPr="00AA5B97">
        <w:rPr>
          <w:rFonts w:asciiTheme="minorHAnsi" w:hAnsiTheme="minorHAnsi"/>
          <w:b/>
          <w:bCs/>
          <w:sz w:val="24"/>
        </w:rPr>
        <w:t>.</w:t>
      </w:r>
      <w:r>
        <w:rPr>
          <w:rFonts w:asciiTheme="minorHAnsi" w:hAnsiTheme="minorHAnsi"/>
          <w:b/>
          <w:bCs/>
          <w:sz w:val="24"/>
        </w:rPr>
        <w:t>3</w:t>
      </w:r>
      <w:r w:rsidRPr="00AA5B97">
        <w:rPr>
          <w:rFonts w:asciiTheme="minorHAnsi" w:hAnsiTheme="minorHAnsi"/>
          <w:b/>
          <w:bCs/>
          <w:sz w:val="24"/>
        </w:rPr>
        <w:t xml:space="preserve"> Capitalisation policies</w:t>
      </w:r>
    </w:p>
    <w:p w:rsidR="00E71077" w:rsidRDefault="00E71077" w:rsidP="006657A3">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t xml:space="preserve">In its earlier report it was noted that there are </w:t>
      </w:r>
      <w:r w:rsidRPr="00AA5B97">
        <w:rPr>
          <w:rFonts w:asciiTheme="minorHAnsi" w:hAnsiTheme="minorHAnsi"/>
          <w:sz w:val="24"/>
        </w:rPr>
        <w:t>apparently</w:t>
      </w:r>
      <w:r>
        <w:rPr>
          <w:rFonts w:asciiTheme="minorHAnsi" w:hAnsiTheme="minorHAnsi"/>
          <w:sz w:val="24"/>
        </w:rPr>
        <w:t xml:space="preserve"> </w:t>
      </w:r>
      <w:r w:rsidRPr="00AA5B97">
        <w:rPr>
          <w:rFonts w:asciiTheme="minorHAnsi" w:hAnsiTheme="minorHAnsi"/>
          <w:sz w:val="24"/>
        </w:rPr>
        <w:t xml:space="preserve">different approaches taken by each DNSP </w:t>
      </w:r>
      <w:r>
        <w:rPr>
          <w:rFonts w:asciiTheme="minorHAnsi" w:hAnsiTheme="minorHAnsi"/>
          <w:sz w:val="24"/>
        </w:rPr>
        <w:t xml:space="preserve">with regard to capitalisation policies </w:t>
      </w:r>
      <w:r w:rsidRPr="00AA5B97">
        <w:rPr>
          <w:rFonts w:asciiTheme="minorHAnsi" w:hAnsiTheme="minorHAnsi"/>
          <w:sz w:val="24"/>
        </w:rPr>
        <w:t xml:space="preserve">and </w:t>
      </w:r>
      <w:r>
        <w:rPr>
          <w:rFonts w:asciiTheme="minorHAnsi" w:hAnsiTheme="minorHAnsi"/>
          <w:sz w:val="24"/>
        </w:rPr>
        <w:t xml:space="preserve">if this is the case, this will impact </w:t>
      </w:r>
      <w:r w:rsidRPr="00AA5B97">
        <w:rPr>
          <w:rFonts w:asciiTheme="minorHAnsi" w:hAnsiTheme="minorHAnsi"/>
          <w:sz w:val="24"/>
        </w:rPr>
        <w:t xml:space="preserve">the trend analyses </w:t>
      </w:r>
      <w:r>
        <w:rPr>
          <w:rFonts w:asciiTheme="minorHAnsi" w:hAnsiTheme="minorHAnsi"/>
          <w:sz w:val="24"/>
        </w:rPr>
        <w:t>used</w:t>
      </w:r>
      <w:r w:rsidRPr="00AA5B97">
        <w:rPr>
          <w:rFonts w:asciiTheme="minorHAnsi" w:hAnsiTheme="minorHAnsi"/>
          <w:sz w:val="24"/>
        </w:rPr>
        <w:t xml:space="preserve"> for assessing forecast capex.</w:t>
      </w:r>
    </w:p>
    <w:p w:rsidR="00E71077" w:rsidRDefault="00E71077" w:rsidP="006657A3">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t>The draft decision notes that the capitalisation policy used for TND assets is the same that has been used in the past</w:t>
      </w:r>
      <w:r w:rsidR="009D165C">
        <w:rPr>
          <w:rFonts w:asciiTheme="minorHAnsi" w:hAnsiTheme="minorHAnsi"/>
          <w:sz w:val="24"/>
        </w:rPr>
        <w:t xml:space="preserve"> by TND</w:t>
      </w:r>
      <w:r>
        <w:rPr>
          <w:rFonts w:asciiTheme="minorHAnsi" w:hAnsiTheme="minorHAnsi"/>
          <w:sz w:val="24"/>
        </w:rPr>
        <w:t>. What is not clear is the extent to which this policy varies from other networks and whether this impacts the benchmarking that has been undertaken.</w:t>
      </w:r>
    </w:p>
    <w:p w:rsidR="00E71077" w:rsidRDefault="00E71077" w:rsidP="006657A3">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t xml:space="preserve">For example, </w:t>
      </w:r>
      <w:r w:rsidR="009D165C">
        <w:rPr>
          <w:rFonts w:asciiTheme="minorHAnsi" w:hAnsiTheme="minorHAnsi"/>
          <w:sz w:val="24"/>
        </w:rPr>
        <w:t xml:space="preserve">benchmarking of the </w:t>
      </w:r>
      <w:r>
        <w:rPr>
          <w:rFonts w:asciiTheme="minorHAnsi" w:hAnsiTheme="minorHAnsi"/>
          <w:sz w:val="24"/>
        </w:rPr>
        <w:t xml:space="preserve">TND asset management approach reveals that it is the least productive network in this partial productivity factor. This raises the question is this low productivity driven in part by a different capitalisation policy and whether this has impacted the partial productivity factor related to opex. </w:t>
      </w:r>
    </w:p>
    <w:p w:rsidR="00847D7F" w:rsidRDefault="00E71077" w:rsidP="006657A3">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t xml:space="preserve">If the policy is significantly different it could explain why TND opex is seen to be in the more productive area of the comparisons and why its </w:t>
      </w:r>
      <w:r w:rsidR="001738D0">
        <w:rPr>
          <w:rFonts w:asciiTheme="minorHAnsi" w:hAnsiTheme="minorHAnsi"/>
          <w:sz w:val="24"/>
        </w:rPr>
        <w:t>asset</w:t>
      </w:r>
      <w:r>
        <w:rPr>
          <w:rFonts w:asciiTheme="minorHAnsi" w:hAnsiTheme="minorHAnsi"/>
          <w:sz w:val="24"/>
        </w:rPr>
        <w:t xml:space="preserve"> management is so low in productivity. </w:t>
      </w:r>
    </w:p>
    <w:p w:rsidR="006657A3" w:rsidRPr="00AA5B97" w:rsidRDefault="00847D7F" w:rsidP="006657A3">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t>This issue needs to be resolved and a common approach used across all networks.</w:t>
      </w:r>
      <w:r w:rsidR="00E71077">
        <w:rPr>
          <w:rFonts w:asciiTheme="minorHAnsi" w:hAnsiTheme="minorHAnsi"/>
          <w:sz w:val="24"/>
        </w:rPr>
        <w:t xml:space="preserve">  </w:t>
      </w:r>
    </w:p>
    <w:p w:rsidR="006657A3" w:rsidRDefault="006657A3" w:rsidP="006657A3">
      <w:pPr>
        <w:pStyle w:val="AERbulletlistfirststyle"/>
        <w:numPr>
          <w:ilvl w:val="0"/>
          <w:numId w:val="0"/>
        </w:numPr>
        <w:tabs>
          <w:tab w:val="clear" w:pos="357"/>
          <w:tab w:val="left" w:pos="0"/>
        </w:tabs>
        <w:spacing w:line="240" w:lineRule="auto"/>
        <w:rPr>
          <w:rFonts w:asciiTheme="minorHAnsi" w:hAnsiTheme="minorHAnsi"/>
          <w:sz w:val="24"/>
        </w:rPr>
      </w:pPr>
    </w:p>
    <w:p w:rsidR="006657A3" w:rsidRPr="006657A3" w:rsidRDefault="006657A3" w:rsidP="006657A3">
      <w:pPr>
        <w:pStyle w:val="AERbulletlistfirststyle"/>
        <w:numPr>
          <w:ilvl w:val="0"/>
          <w:numId w:val="0"/>
        </w:numPr>
        <w:tabs>
          <w:tab w:val="clear" w:pos="357"/>
          <w:tab w:val="left" w:pos="0"/>
        </w:tabs>
        <w:spacing w:line="240" w:lineRule="auto"/>
        <w:rPr>
          <w:rFonts w:asciiTheme="minorHAnsi" w:hAnsiTheme="minorHAnsi"/>
          <w:b/>
          <w:sz w:val="24"/>
        </w:rPr>
      </w:pPr>
      <w:r w:rsidRPr="006657A3">
        <w:rPr>
          <w:rFonts w:asciiTheme="minorHAnsi" w:hAnsiTheme="minorHAnsi"/>
          <w:b/>
          <w:sz w:val="24"/>
        </w:rPr>
        <w:t xml:space="preserve">6.2 </w:t>
      </w:r>
      <w:r>
        <w:rPr>
          <w:rFonts w:asciiTheme="minorHAnsi" w:hAnsiTheme="minorHAnsi"/>
          <w:b/>
          <w:sz w:val="24"/>
        </w:rPr>
        <w:t>TND capex o</w:t>
      </w:r>
      <w:r w:rsidRPr="006657A3">
        <w:rPr>
          <w:rFonts w:asciiTheme="minorHAnsi" w:hAnsiTheme="minorHAnsi"/>
          <w:b/>
          <w:sz w:val="24"/>
        </w:rPr>
        <w:t>verview</w:t>
      </w:r>
    </w:p>
    <w:p w:rsidR="005300B2" w:rsidRDefault="00016721" w:rsidP="006657A3">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In the earlier report, it was stated that </w:t>
      </w:r>
      <w:r w:rsidR="00534082">
        <w:rPr>
          <w:rFonts w:asciiTheme="minorHAnsi" w:hAnsiTheme="minorHAnsi"/>
          <w:sz w:val="24"/>
        </w:rPr>
        <w:t xml:space="preserve">TND proposed increasing its total capex needs for the next regulatory period </w:t>
      </w:r>
      <w:r w:rsidR="009D165C">
        <w:rPr>
          <w:rFonts w:asciiTheme="minorHAnsi" w:hAnsiTheme="minorHAnsi"/>
          <w:sz w:val="24"/>
        </w:rPr>
        <w:t>(</w:t>
      </w:r>
      <w:r w:rsidR="00534082">
        <w:rPr>
          <w:rFonts w:asciiTheme="minorHAnsi" w:hAnsiTheme="minorHAnsi"/>
          <w:sz w:val="24"/>
        </w:rPr>
        <w:t>and the three years after that</w:t>
      </w:r>
      <w:r w:rsidR="009D165C">
        <w:rPr>
          <w:rFonts w:asciiTheme="minorHAnsi" w:hAnsiTheme="minorHAnsi"/>
          <w:sz w:val="24"/>
        </w:rPr>
        <w:t>)</w:t>
      </w:r>
      <w:r w:rsidR="00534082">
        <w:rPr>
          <w:rFonts w:asciiTheme="minorHAnsi" w:hAnsiTheme="minorHAnsi"/>
          <w:sz w:val="24"/>
        </w:rPr>
        <w:t xml:space="preserve"> from the current $106.7m actually used in 2014/15. </w:t>
      </w:r>
    </w:p>
    <w:p w:rsidR="00016721" w:rsidRDefault="00016721" w:rsidP="00016721">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lastRenderedPageBreak/>
        <w:t xml:space="preserve">In its draft decision, the AER has accepted the TND capex program as proposed yet the earlier report suggested that the forecast capex for the next 2 year regulatory period appeared to be too high, especially when considering the significant step up on capex estimated for the last two years of the current period when the actual capex for the first three years was so low. </w:t>
      </w:r>
    </w:p>
    <w:p w:rsidR="00016721" w:rsidRDefault="00016721" w:rsidP="00016721">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concerns </w:t>
      </w:r>
      <w:r w:rsidR="009D165C">
        <w:rPr>
          <w:rFonts w:asciiTheme="minorHAnsi" w:hAnsiTheme="minorHAnsi"/>
          <w:sz w:val="24"/>
        </w:rPr>
        <w:t>are</w:t>
      </w:r>
      <w:r>
        <w:rPr>
          <w:rFonts w:asciiTheme="minorHAnsi" w:hAnsiTheme="minorHAnsi"/>
          <w:sz w:val="24"/>
        </w:rPr>
        <w:t xml:space="preserve"> pictorially shown in the following chart where the forecast expenditure in the early years of the current program capex was significantly lower than </w:t>
      </w:r>
      <w:r w:rsidR="00ED2AA7">
        <w:rPr>
          <w:rFonts w:asciiTheme="minorHAnsi" w:hAnsiTheme="minorHAnsi"/>
          <w:sz w:val="24"/>
        </w:rPr>
        <w:t xml:space="preserve">that </w:t>
      </w:r>
      <w:r>
        <w:rPr>
          <w:rFonts w:asciiTheme="minorHAnsi" w:hAnsiTheme="minorHAnsi"/>
          <w:sz w:val="24"/>
        </w:rPr>
        <w:t>now forecast</w:t>
      </w:r>
      <w:r w:rsidR="009D165C">
        <w:rPr>
          <w:rStyle w:val="FootnoteReference"/>
          <w:rFonts w:asciiTheme="minorHAnsi" w:hAnsiTheme="minorHAnsi"/>
          <w:sz w:val="24"/>
        </w:rPr>
        <w:footnoteReference w:id="6"/>
      </w:r>
      <w:r>
        <w:rPr>
          <w:rFonts w:asciiTheme="minorHAnsi" w:hAnsiTheme="minorHAnsi"/>
          <w:sz w:val="24"/>
        </w:rPr>
        <w:t>; that TND has forecast much higher c</w:t>
      </w:r>
      <w:r w:rsidR="006A05F5">
        <w:rPr>
          <w:rFonts w:asciiTheme="minorHAnsi" w:hAnsiTheme="minorHAnsi"/>
          <w:sz w:val="24"/>
        </w:rPr>
        <w:t>a</w:t>
      </w:r>
      <w:r>
        <w:rPr>
          <w:rFonts w:asciiTheme="minorHAnsi" w:hAnsiTheme="minorHAnsi"/>
          <w:sz w:val="24"/>
        </w:rPr>
        <w:t xml:space="preserve">pex in the last two years of the current program still results in an </w:t>
      </w:r>
      <w:r w:rsidR="009D165C">
        <w:rPr>
          <w:rFonts w:asciiTheme="minorHAnsi" w:hAnsiTheme="minorHAnsi"/>
          <w:sz w:val="24"/>
        </w:rPr>
        <w:t xml:space="preserve">overall </w:t>
      </w:r>
      <w:r>
        <w:rPr>
          <w:rFonts w:asciiTheme="minorHAnsi" w:hAnsiTheme="minorHAnsi"/>
          <w:sz w:val="24"/>
        </w:rPr>
        <w:t>underspend compared to the capex allowance provided for the current period</w:t>
      </w:r>
      <w:r w:rsidR="006A05F5">
        <w:rPr>
          <w:rFonts w:asciiTheme="minorHAnsi" w:hAnsiTheme="minorHAnsi"/>
          <w:sz w:val="24"/>
        </w:rPr>
        <w:t xml:space="preserve">. </w:t>
      </w:r>
      <w:r>
        <w:rPr>
          <w:rFonts w:asciiTheme="minorHAnsi" w:hAnsiTheme="minorHAnsi"/>
          <w:sz w:val="24"/>
        </w:rPr>
        <w:t xml:space="preserve">   </w:t>
      </w:r>
    </w:p>
    <w:p w:rsidR="00F838A0" w:rsidRDefault="00713C5A"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The chart shows the overall trend of total capex</w:t>
      </w:r>
      <w:r w:rsidR="00ED2AA7">
        <w:rPr>
          <w:rStyle w:val="FootnoteReference"/>
          <w:rFonts w:asciiTheme="minorHAnsi" w:hAnsiTheme="minorHAnsi"/>
          <w:sz w:val="24"/>
        </w:rPr>
        <w:footnoteReference w:id="7"/>
      </w:r>
      <w:r>
        <w:rPr>
          <w:rFonts w:asciiTheme="minorHAnsi" w:hAnsiTheme="minorHAnsi"/>
          <w:sz w:val="24"/>
        </w:rPr>
        <w:t xml:space="preserve"> for the current period, the next 2 year period and the </w:t>
      </w:r>
      <w:r w:rsidR="00D1419E">
        <w:rPr>
          <w:rFonts w:asciiTheme="minorHAnsi" w:hAnsiTheme="minorHAnsi"/>
          <w:sz w:val="24"/>
        </w:rPr>
        <w:t>subsequent</w:t>
      </w:r>
      <w:r>
        <w:rPr>
          <w:rFonts w:asciiTheme="minorHAnsi" w:hAnsiTheme="minorHAnsi"/>
          <w:sz w:val="24"/>
        </w:rPr>
        <w:t xml:space="preserve"> three years</w:t>
      </w:r>
      <w:r w:rsidR="00ED2AA7">
        <w:rPr>
          <w:rFonts w:asciiTheme="minorHAnsi" w:hAnsiTheme="minorHAnsi"/>
          <w:sz w:val="24"/>
        </w:rPr>
        <w:t>, including the AER draft decision capex allowed</w:t>
      </w:r>
      <w:r>
        <w:rPr>
          <w:rFonts w:asciiTheme="minorHAnsi" w:hAnsiTheme="minorHAnsi"/>
          <w:sz w:val="24"/>
        </w:rPr>
        <w:t xml:space="preserve">. </w:t>
      </w:r>
    </w:p>
    <w:p w:rsidR="00713C5A" w:rsidRDefault="00ED2AA7" w:rsidP="00713C5A">
      <w:pPr>
        <w:pStyle w:val="AERbulletlistfirststyle"/>
        <w:numPr>
          <w:ilvl w:val="0"/>
          <w:numId w:val="0"/>
        </w:numPr>
        <w:tabs>
          <w:tab w:val="clear" w:pos="357"/>
          <w:tab w:val="left" w:pos="0"/>
        </w:tabs>
        <w:spacing w:after="0" w:line="240" w:lineRule="auto"/>
        <w:rPr>
          <w:rFonts w:asciiTheme="minorHAnsi" w:hAnsiTheme="minorHAnsi"/>
          <w:sz w:val="24"/>
        </w:rPr>
      </w:pPr>
      <w:r>
        <w:rPr>
          <w:rFonts w:asciiTheme="minorHAnsi" w:hAnsiTheme="minorHAnsi"/>
          <w:noProof/>
          <w:sz w:val="24"/>
          <w:lang w:eastAsia="en-AU"/>
        </w:rPr>
        <w:drawing>
          <wp:inline distT="0" distB="0" distL="0" distR="0">
            <wp:extent cx="5572125" cy="390525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572125" cy="3905250"/>
                    </a:xfrm>
                    <a:prstGeom prst="rect">
                      <a:avLst/>
                    </a:prstGeom>
                    <a:noFill/>
                    <a:ln w="9525">
                      <a:noFill/>
                      <a:miter lim="800000"/>
                      <a:headEnd/>
                      <a:tailEnd/>
                    </a:ln>
                  </pic:spPr>
                </pic:pic>
              </a:graphicData>
            </a:graphic>
          </wp:inline>
        </w:drawing>
      </w:r>
    </w:p>
    <w:p w:rsidR="005300B2" w:rsidRDefault="00713C5A" w:rsidP="00345E27">
      <w:pPr>
        <w:pStyle w:val="AERbulletlistfirststyle"/>
        <w:numPr>
          <w:ilvl w:val="0"/>
          <w:numId w:val="0"/>
        </w:numPr>
        <w:tabs>
          <w:tab w:val="clear" w:pos="357"/>
          <w:tab w:val="left" w:pos="0"/>
        </w:tabs>
        <w:spacing w:line="240" w:lineRule="auto"/>
        <w:rPr>
          <w:rFonts w:asciiTheme="minorHAnsi" w:hAnsiTheme="minorHAnsi"/>
          <w:b/>
          <w:sz w:val="16"/>
          <w:szCs w:val="16"/>
        </w:rPr>
      </w:pPr>
      <w:r>
        <w:rPr>
          <w:rFonts w:asciiTheme="minorHAnsi" w:hAnsiTheme="minorHAnsi"/>
          <w:b/>
          <w:sz w:val="16"/>
          <w:szCs w:val="16"/>
        </w:rPr>
        <w:t xml:space="preserve">Source: AER FD 2012, Aurora revised applic, TND proposal, </w:t>
      </w:r>
      <w:r w:rsidR="009D165C">
        <w:rPr>
          <w:rFonts w:asciiTheme="minorHAnsi" w:hAnsiTheme="minorHAnsi"/>
          <w:b/>
          <w:sz w:val="16"/>
          <w:szCs w:val="16"/>
        </w:rPr>
        <w:t xml:space="preserve">AER DD, </w:t>
      </w:r>
      <w:r w:rsidR="00703BEF">
        <w:rPr>
          <w:rFonts w:asciiTheme="minorHAnsi" w:hAnsiTheme="minorHAnsi"/>
          <w:b/>
          <w:sz w:val="16"/>
          <w:szCs w:val="16"/>
        </w:rPr>
        <w:t>CCP4(DH)</w:t>
      </w:r>
      <w:r>
        <w:rPr>
          <w:rFonts w:asciiTheme="minorHAnsi" w:hAnsiTheme="minorHAnsi"/>
          <w:b/>
          <w:sz w:val="16"/>
          <w:szCs w:val="16"/>
        </w:rPr>
        <w:t xml:space="preserve"> analysis</w:t>
      </w:r>
    </w:p>
    <w:p w:rsidR="00713C5A" w:rsidRDefault="00ED2AA7"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The earlier report</w:t>
      </w:r>
      <w:r w:rsidR="00713C5A">
        <w:rPr>
          <w:rFonts w:asciiTheme="minorHAnsi" w:hAnsiTheme="minorHAnsi"/>
          <w:sz w:val="24"/>
        </w:rPr>
        <w:t xml:space="preserve"> </w:t>
      </w:r>
      <w:r>
        <w:rPr>
          <w:rFonts w:asciiTheme="minorHAnsi" w:hAnsiTheme="minorHAnsi"/>
          <w:sz w:val="24"/>
        </w:rPr>
        <w:t xml:space="preserve">made </w:t>
      </w:r>
      <w:r w:rsidR="00713C5A">
        <w:rPr>
          <w:rFonts w:asciiTheme="minorHAnsi" w:hAnsiTheme="minorHAnsi"/>
          <w:sz w:val="24"/>
        </w:rPr>
        <w:t xml:space="preserve">a number of </w:t>
      </w:r>
      <w:r w:rsidR="00830227">
        <w:rPr>
          <w:rFonts w:asciiTheme="minorHAnsi" w:hAnsiTheme="minorHAnsi"/>
          <w:sz w:val="24"/>
        </w:rPr>
        <w:t>observations regarding the historic capex</w:t>
      </w:r>
      <w:r>
        <w:rPr>
          <w:rFonts w:asciiTheme="minorHAnsi" w:hAnsiTheme="minorHAnsi"/>
          <w:sz w:val="24"/>
        </w:rPr>
        <w:t xml:space="preserve">, but </w:t>
      </w:r>
      <w:r w:rsidR="001738D0">
        <w:rPr>
          <w:rFonts w:asciiTheme="minorHAnsi" w:hAnsiTheme="minorHAnsi"/>
          <w:sz w:val="24"/>
        </w:rPr>
        <w:t>specifically, the</w:t>
      </w:r>
      <w:r>
        <w:rPr>
          <w:rFonts w:asciiTheme="minorHAnsi" w:hAnsiTheme="minorHAnsi"/>
          <w:sz w:val="24"/>
        </w:rPr>
        <w:t xml:space="preserve"> forecast capex is mainly due to increased repex, asset management systems and IT expenditure</w:t>
      </w:r>
      <w:r w:rsidR="00713C5A">
        <w:rPr>
          <w:rFonts w:asciiTheme="minorHAnsi" w:hAnsiTheme="minorHAnsi"/>
          <w:sz w:val="24"/>
        </w:rPr>
        <w:t>.</w:t>
      </w:r>
    </w:p>
    <w:p w:rsidR="000A5569" w:rsidRDefault="00ED2AA7"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What is concerning is that the AER has assessed the TND proposed capex as efficient but deeper investigation does not support this contention.</w:t>
      </w:r>
    </w:p>
    <w:p w:rsidR="003428D1" w:rsidRPr="003428D1" w:rsidRDefault="003428D1" w:rsidP="00305EF4">
      <w:pPr>
        <w:pStyle w:val="AERbulletlistfirststyle"/>
        <w:numPr>
          <w:ilvl w:val="0"/>
          <w:numId w:val="0"/>
        </w:numPr>
        <w:tabs>
          <w:tab w:val="clear" w:pos="357"/>
          <w:tab w:val="left" w:pos="0"/>
        </w:tabs>
        <w:spacing w:line="240" w:lineRule="auto"/>
        <w:rPr>
          <w:rFonts w:asciiTheme="minorHAnsi" w:hAnsiTheme="minorHAnsi"/>
          <w:b/>
          <w:sz w:val="24"/>
        </w:rPr>
      </w:pPr>
      <w:r w:rsidRPr="003428D1">
        <w:rPr>
          <w:rFonts w:asciiTheme="minorHAnsi" w:hAnsiTheme="minorHAnsi"/>
          <w:b/>
          <w:sz w:val="24"/>
        </w:rPr>
        <w:lastRenderedPageBreak/>
        <w:t>6.</w:t>
      </w:r>
      <w:r w:rsidR="006657A3">
        <w:rPr>
          <w:rFonts w:asciiTheme="minorHAnsi" w:hAnsiTheme="minorHAnsi"/>
          <w:b/>
          <w:sz w:val="24"/>
        </w:rPr>
        <w:t>3</w:t>
      </w:r>
      <w:r w:rsidRPr="003428D1">
        <w:rPr>
          <w:rFonts w:asciiTheme="minorHAnsi" w:hAnsiTheme="minorHAnsi"/>
          <w:b/>
          <w:sz w:val="24"/>
        </w:rPr>
        <w:t xml:space="preserve"> Augex</w:t>
      </w:r>
    </w:p>
    <w:p w:rsidR="005613AF" w:rsidRDefault="003428D1"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Augex comprises two main elements – customer initiated and reinforcement capex. </w:t>
      </w:r>
    </w:p>
    <w:p w:rsidR="002369BC" w:rsidRDefault="002369BC"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b/>
          <w:sz w:val="24"/>
        </w:rPr>
        <w:t xml:space="preserve">6.3.1 </w:t>
      </w:r>
      <w:r w:rsidR="009D165C">
        <w:rPr>
          <w:rFonts w:asciiTheme="minorHAnsi" w:hAnsiTheme="minorHAnsi"/>
          <w:b/>
          <w:sz w:val="24"/>
        </w:rPr>
        <w:t xml:space="preserve">TND </w:t>
      </w:r>
      <w:r>
        <w:rPr>
          <w:rFonts w:asciiTheme="minorHAnsi" w:hAnsiTheme="minorHAnsi"/>
          <w:b/>
          <w:sz w:val="24"/>
        </w:rPr>
        <w:t xml:space="preserve">Reinforcement augex </w:t>
      </w:r>
      <w:r w:rsidR="001738D0" w:rsidRPr="002369BC">
        <w:rPr>
          <w:rFonts w:asciiTheme="minorHAnsi" w:hAnsiTheme="minorHAnsi"/>
          <w:sz w:val="24"/>
        </w:rPr>
        <w:t>proposal</w:t>
      </w:r>
      <w:r w:rsidRPr="002369BC">
        <w:rPr>
          <w:rFonts w:asciiTheme="minorHAnsi" w:hAnsiTheme="minorHAnsi"/>
          <w:sz w:val="24"/>
        </w:rPr>
        <w:t xml:space="preserve"> </w:t>
      </w:r>
      <w:r>
        <w:rPr>
          <w:rFonts w:asciiTheme="minorHAnsi" w:hAnsiTheme="minorHAnsi"/>
          <w:sz w:val="24"/>
        </w:rPr>
        <w:t xml:space="preserve">and accepted in the draft decision </w:t>
      </w:r>
      <w:r w:rsidR="003428D1" w:rsidRPr="002369BC">
        <w:rPr>
          <w:rFonts w:asciiTheme="minorHAnsi" w:hAnsiTheme="minorHAnsi"/>
          <w:sz w:val="24"/>
        </w:rPr>
        <w:t xml:space="preserve">is forecast to </w:t>
      </w:r>
      <w:r w:rsidR="005613AF" w:rsidRPr="002369BC">
        <w:rPr>
          <w:rFonts w:asciiTheme="minorHAnsi" w:hAnsiTheme="minorHAnsi"/>
          <w:sz w:val="24"/>
        </w:rPr>
        <w:t>remain</w:t>
      </w:r>
      <w:r w:rsidR="005613AF">
        <w:rPr>
          <w:rFonts w:asciiTheme="minorHAnsi" w:hAnsiTheme="minorHAnsi"/>
          <w:sz w:val="24"/>
        </w:rPr>
        <w:t xml:space="preserve"> virtually constant for the next 2 year period</w:t>
      </w:r>
      <w:r>
        <w:rPr>
          <w:rFonts w:asciiTheme="minorHAnsi" w:hAnsiTheme="minorHAnsi"/>
          <w:sz w:val="24"/>
        </w:rPr>
        <w:t xml:space="preserve">. In the earlier report this was considered to be inconsistent as there was no forecast increase in demand. </w:t>
      </w:r>
    </w:p>
    <w:p w:rsidR="002369BC" w:rsidRDefault="002369BC"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reality is that this augex is to increase the capacity on some highly loaded feeders, to increase the reliability of some poorly performing feeders and to relieve some congestion. </w:t>
      </w:r>
    </w:p>
    <w:p w:rsidR="00AD3BCC" w:rsidRPr="00AD3BCC" w:rsidRDefault="002369BC" w:rsidP="009C51FC">
      <w:pPr>
        <w:pStyle w:val="AERbulletlistfirststyle"/>
        <w:numPr>
          <w:ilvl w:val="0"/>
          <w:numId w:val="0"/>
        </w:numPr>
        <w:tabs>
          <w:tab w:val="clear" w:pos="357"/>
          <w:tab w:val="left" w:pos="0"/>
        </w:tabs>
        <w:spacing w:line="240" w:lineRule="auto"/>
        <w:rPr>
          <w:rFonts w:asciiTheme="minorHAnsi" w:hAnsiTheme="minorHAnsi" w:cstheme="minorHAnsi"/>
          <w:sz w:val="24"/>
        </w:rPr>
      </w:pPr>
      <w:r>
        <w:rPr>
          <w:rFonts w:asciiTheme="minorHAnsi" w:hAnsiTheme="minorHAnsi"/>
          <w:sz w:val="24"/>
        </w:rPr>
        <w:t>TND, and supported by the draft decision</w:t>
      </w:r>
      <w:r w:rsidR="009C51FC">
        <w:rPr>
          <w:rFonts w:asciiTheme="minorHAnsi" w:hAnsiTheme="minorHAnsi"/>
          <w:sz w:val="24"/>
        </w:rPr>
        <w:t>,</w:t>
      </w:r>
      <w:r>
        <w:rPr>
          <w:rFonts w:asciiTheme="minorHAnsi" w:hAnsiTheme="minorHAnsi"/>
          <w:sz w:val="24"/>
        </w:rPr>
        <w:t xml:space="preserve"> considers that there are some highly loaded feeders (with capacity utilisation of over 70%) that need to be increased in capacity. At the same time, overall utilisation of the network is falling and peak demand is static. </w:t>
      </w:r>
      <w:r w:rsidR="009C51FC">
        <w:rPr>
          <w:rFonts w:asciiTheme="minorHAnsi" w:hAnsiTheme="minorHAnsi"/>
          <w:sz w:val="24"/>
        </w:rPr>
        <w:t xml:space="preserve">Increasing capacity of the network adds to the RAB yet there is no certainty that the </w:t>
      </w:r>
      <w:r w:rsidR="009C51FC" w:rsidRPr="00AD3BCC">
        <w:rPr>
          <w:rFonts w:asciiTheme="minorHAnsi" w:hAnsiTheme="minorHAnsi" w:cstheme="minorHAnsi"/>
          <w:sz w:val="24"/>
        </w:rPr>
        <w:t xml:space="preserve">existing more highly utilised feeders cannot accommodate the expected levels of demand, despite being more highly loaded than other feeders. </w:t>
      </w:r>
    </w:p>
    <w:p w:rsidR="00AD3BCC" w:rsidRPr="00AD3BCC" w:rsidRDefault="00AD3BCC" w:rsidP="009C51FC">
      <w:pPr>
        <w:pStyle w:val="AERbulletlistfirststyle"/>
        <w:numPr>
          <w:ilvl w:val="0"/>
          <w:numId w:val="0"/>
        </w:numPr>
        <w:tabs>
          <w:tab w:val="clear" w:pos="357"/>
          <w:tab w:val="left" w:pos="0"/>
        </w:tabs>
        <w:spacing w:line="240" w:lineRule="auto"/>
        <w:rPr>
          <w:rFonts w:asciiTheme="minorHAnsi" w:hAnsiTheme="minorHAnsi" w:cstheme="minorHAnsi"/>
          <w:sz w:val="24"/>
        </w:rPr>
      </w:pPr>
      <w:r w:rsidRPr="00AD3BCC">
        <w:rPr>
          <w:rFonts w:asciiTheme="minorHAnsi" w:hAnsiTheme="minorHAnsi" w:cstheme="minorHAnsi"/>
          <w:color w:val="000000"/>
          <w:sz w:val="24"/>
          <w:lang w:eastAsia="en-AU"/>
        </w:rPr>
        <w:t xml:space="preserve">This report also notes that the expected peak demand over the next period is still considerably less than the actual peak demand incurred in previous times. For example, </w:t>
      </w:r>
      <w:r>
        <w:rPr>
          <w:rFonts w:asciiTheme="minorHAnsi" w:hAnsiTheme="minorHAnsi" w:cstheme="minorHAnsi"/>
          <w:color w:val="000000"/>
          <w:sz w:val="24"/>
          <w:lang w:eastAsia="en-AU"/>
        </w:rPr>
        <w:t xml:space="preserve">the coincident raw peak demand in 2007 was significantly higher than that forecast for the next regulatory period and the forecasts are significantly higher than the latest actual coincident raw peak demands recorded, implying that the forecasts may be overstated.     </w:t>
      </w:r>
    </w:p>
    <w:p w:rsidR="009C51FC" w:rsidRDefault="009C51FC" w:rsidP="009C51FC">
      <w:pPr>
        <w:pStyle w:val="AERbulletlistfirststyle"/>
        <w:numPr>
          <w:ilvl w:val="0"/>
          <w:numId w:val="0"/>
        </w:numPr>
        <w:tabs>
          <w:tab w:val="clear" w:pos="357"/>
          <w:tab w:val="left" w:pos="0"/>
        </w:tabs>
        <w:spacing w:line="240" w:lineRule="auto"/>
        <w:rPr>
          <w:rFonts w:asciiTheme="minorHAnsi" w:hAnsiTheme="minorHAnsi"/>
          <w:sz w:val="24"/>
        </w:rPr>
      </w:pPr>
      <w:r w:rsidRPr="00AD3BCC">
        <w:rPr>
          <w:rFonts w:asciiTheme="minorHAnsi" w:hAnsiTheme="minorHAnsi" w:cstheme="minorHAnsi"/>
          <w:sz w:val="24"/>
        </w:rPr>
        <w:t>For the draft decision to observe that the amount</w:t>
      </w:r>
      <w:r>
        <w:rPr>
          <w:rFonts w:asciiTheme="minorHAnsi" w:hAnsiTheme="minorHAnsi"/>
          <w:sz w:val="24"/>
        </w:rPr>
        <w:t xml:space="preserve"> of capacity augex is</w:t>
      </w:r>
      <w:r w:rsidR="006A6000">
        <w:rPr>
          <w:rFonts w:asciiTheme="minorHAnsi" w:hAnsiTheme="minorHAnsi"/>
          <w:sz w:val="24"/>
        </w:rPr>
        <w:t xml:space="preserve"> (page 6-30)</w:t>
      </w:r>
    </w:p>
    <w:p w:rsidR="009C51FC" w:rsidRPr="009C51FC" w:rsidRDefault="009C51FC" w:rsidP="009C51FC">
      <w:pPr>
        <w:autoSpaceDE w:val="0"/>
        <w:autoSpaceDN w:val="0"/>
        <w:adjustRightInd w:val="0"/>
        <w:spacing w:line="240" w:lineRule="auto"/>
        <w:ind w:left="720"/>
        <w:rPr>
          <w:rFonts w:eastAsia="Times New Roman" w:cstheme="minorHAnsi"/>
          <w:color w:val="000000"/>
          <w:sz w:val="24"/>
          <w:szCs w:val="24"/>
          <w:lang w:val="en-AU" w:eastAsia="en-AU" w:bidi="ar-SA"/>
        </w:rPr>
      </w:pPr>
      <w:r>
        <w:rPr>
          <w:rFonts w:eastAsia="Times New Roman" w:cstheme="minorHAnsi"/>
          <w:color w:val="000000"/>
          <w:sz w:val="24"/>
          <w:szCs w:val="24"/>
          <w:lang w:val="en-AU" w:eastAsia="en-AU" w:bidi="ar-SA"/>
        </w:rPr>
        <w:t>“...a</w:t>
      </w:r>
      <w:r w:rsidRPr="009C51FC">
        <w:rPr>
          <w:rFonts w:eastAsia="Times New Roman" w:cstheme="minorHAnsi"/>
          <w:color w:val="000000"/>
          <w:sz w:val="24"/>
          <w:szCs w:val="24"/>
          <w:lang w:val="en-AU" w:eastAsia="en-AU" w:bidi="ar-SA"/>
        </w:rPr>
        <w:t xml:space="preserve"> continuation of the historical volumes and expenditures in this area, based on addressing existing capacity constraints and risks identified in high-voltage network.</w:t>
      </w:r>
      <w:r>
        <w:rPr>
          <w:rFonts w:eastAsia="Times New Roman" w:cstheme="minorHAnsi"/>
          <w:color w:val="000000"/>
          <w:sz w:val="24"/>
          <w:szCs w:val="24"/>
          <w:lang w:val="en-AU" w:eastAsia="en-AU" w:bidi="ar-SA"/>
        </w:rPr>
        <w:t>”</w:t>
      </w:r>
    </w:p>
    <w:p w:rsidR="00AD3BCC" w:rsidRDefault="009C51FC" w:rsidP="009C51FC">
      <w:pPr>
        <w:autoSpaceDE w:val="0"/>
        <w:autoSpaceDN w:val="0"/>
        <w:adjustRightInd w:val="0"/>
        <w:spacing w:line="240" w:lineRule="auto"/>
        <w:rPr>
          <w:rFonts w:eastAsia="Times New Roman" w:cstheme="minorHAnsi"/>
          <w:color w:val="000000"/>
          <w:sz w:val="24"/>
          <w:szCs w:val="24"/>
          <w:lang w:val="en-AU" w:eastAsia="en-AU" w:bidi="ar-SA"/>
        </w:rPr>
      </w:pPr>
      <w:r>
        <w:rPr>
          <w:rFonts w:eastAsia="Times New Roman" w:cstheme="minorHAnsi"/>
          <w:color w:val="000000"/>
          <w:sz w:val="24"/>
          <w:szCs w:val="24"/>
          <w:lang w:val="en-AU" w:eastAsia="en-AU" w:bidi="ar-SA"/>
        </w:rPr>
        <w:t xml:space="preserve">is the </w:t>
      </w:r>
      <w:r w:rsidR="006A6000">
        <w:rPr>
          <w:rFonts w:eastAsia="Times New Roman" w:cstheme="minorHAnsi"/>
          <w:color w:val="000000"/>
          <w:sz w:val="24"/>
          <w:szCs w:val="24"/>
          <w:lang w:val="en-AU" w:eastAsia="en-AU" w:bidi="ar-SA"/>
        </w:rPr>
        <w:t xml:space="preserve">very </w:t>
      </w:r>
      <w:r>
        <w:rPr>
          <w:rFonts w:eastAsia="Times New Roman" w:cstheme="minorHAnsi"/>
          <w:color w:val="000000"/>
          <w:sz w:val="24"/>
          <w:szCs w:val="24"/>
          <w:lang w:val="en-AU" w:eastAsia="en-AU" w:bidi="ar-SA"/>
        </w:rPr>
        <w:t xml:space="preserve">approach that has led to the burgeoning RABs seen throughout the NEM – just because this </w:t>
      </w:r>
      <w:r w:rsidR="006A6000">
        <w:rPr>
          <w:rFonts w:eastAsia="Times New Roman" w:cstheme="minorHAnsi"/>
          <w:color w:val="000000"/>
          <w:sz w:val="24"/>
          <w:szCs w:val="24"/>
          <w:lang w:val="en-AU" w:eastAsia="en-AU" w:bidi="ar-SA"/>
        </w:rPr>
        <w:t xml:space="preserve">repex </w:t>
      </w:r>
      <w:r>
        <w:rPr>
          <w:rFonts w:eastAsia="Times New Roman" w:cstheme="minorHAnsi"/>
          <w:color w:val="000000"/>
          <w:sz w:val="24"/>
          <w:szCs w:val="24"/>
          <w:lang w:val="en-AU" w:eastAsia="en-AU" w:bidi="ar-SA"/>
        </w:rPr>
        <w:t xml:space="preserve">is the same as in the past is not a reason to continue the practice into the future. </w:t>
      </w:r>
      <w:r w:rsidR="006A6000">
        <w:rPr>
          <w:rFonts w:eastAsia="Times New Roman" w:cstheme="minorHAnsi"/>
          <w:color w:val="000000"/>
          <w:sz w:val="24"/>
          <w:szCs w:val="24"/>
          <w:lang w:val="en-AU" w:eastAsia="en-AU" w:bidi="ar-SA"/>
        </w:rPr>
        <w:t>In the case of TND, this is even more pertinent as TND has the lowest asset productivity in the NEM</w:t>
      </w:r>
    </w:p>
    <w:p w:rsidR="009F4AB7" w:rsidRDefault="009C51FC" w:rsidP="00BF1510">
      <w:pPr>
        <w:autoSpaceDE w:val="0"/>
        <w:autoSpaceDN w:val="0"/>
        <w:adjustRightInd w:val="0"/>
        <w:spacing w:line="240" w:lineRule="auto"/>
        <w:rPr>
          <w:rFonts w:eastAsia="Times New Roman" w:cstheme="minorHAnsi"/>
          <w:color w:val="000000"/>
          <w:sz w:val="24"/>
          <w:szCs w:val="24"/>
          <w:lang w:val="en-AU" w:eastAsia="en-AU" w:bidi="ar-SA"/>
        </w:rPr>
      </w:pPr>
      <w:r>
        <w:rPr>
          <w:rFonts w:eastAsia="Times New Roman" w:cstheme="minorHAnsi"/>
          <w:color w:val="000000"/>
          <w:sz w:val="24"/>
          <w:szCs w:val="24"/>
          <w:lang w:val="en-AU" w:eastAsia="en-AU" w:bidi="ar-SA"/>
        </w:rPr>
        <w:t xml:space="preserve">This report does not consider that the proposed </w:t>
      </w:r>
      <w:r w:rsidR="009F4AB7">
        <w:rPr>
          <w:rFonts w:eastAsia="Times New Roman" w:cstheme="minorHAnsi"/>
          <w:color w:val="000000"/>
          <w:sz w:val="24"/>
          <w:szCs w:val="24"/>
          <w:lang w:val="en-AU" w:eastAsia="en-AU" w:bidi="ar-SA"/>
        </w:rPr>
        <w:t xml:space="preserve">capacity </w:t>
      </w:r>
      <w:r>
        <w:rPr>
          <w:rFonts w:eastAsia="Times New Roman" w:cstheme="minorHAnsi"/>
          <w:color w:val="000000"/>
          <w:sz w:val="24"/>
          <w:szCs w:val="24"/>
          <w:lang w:val="en-AU" w:eastAsia="en-AU" w:bidi="ar-SA"/>
        </w:rPr>
        <w:t>augex has been sufficiently substantiated as required</w:t>
      </w:r>
      <w:r w:rsidR="009F4AB7">
        <w:rPr>
          <w:rFonts w:eastAsia="Times New Roman" w:cstheme="minorHAnsi"/>
          <w:color w:val="000000"/>
          <w:sz w:val="24"/>
          <w:szCs w:val="24"/>
          <w:lang w:val="en-AU" w:eastAsia="en-AU" w:bidi="ar-SA"/>
        </w:rPr>
        <w:t xml:space="preserve"> by the NEO and the capex accepted in the draft decision is unnecessary. </w:t>
      </w:r>
    </w:p>
    <w:p w:rsidR="009F4AB7" w:rsidRDefault="009F4AB7" w:rsidP="00BF1510">
      <w:pPr>
        <w:autoSpaceDE w:val="0"/>
        <w:autoSpaceDN w:val="0"/>
        <w:adjustRightInd w:val="0"/>
        <w:spacing w:line="240" w:lineRule="auto"/>
        <w:rPr>
          <w:rFonts w:eastAsia="Times New Roman" w:cstheme="minorHAnsi"/>
          <w:color w:val="000000"/>
          <w:sz w:val="24"/>
          <w:szCs w:val="24"/>
          <w:lang w:val="en-AU" w:eastAsia="en-AU" w:bidi="ar-SA"/>
        </w:rPr>
      </w:pPr>
      <w:r>
        <w:rPr>
          <w:rFonts w:eastAsia="Times New Roman" w:cstheme="minorHAnsi"/>
          <w:color w:val="000000"/>
          <w:sz w:val="24"/>
          <w:szCs w:val="24"/>
          <w:lang w:val="en-AU" w:eastAsia="en-AU" w:bidi="ar-SA"/>
        </w:rPr>
        <w:t>With regard to the allowances for reliability and constraints, the observation in the draft decision (page 6-18)</w:t>
      </w:r>
    </w:p>
    <w:p w:rsidR="009F4AB7" w:rsidRDefault="009F4AB7" w:rsidP="00BF1510">
      <w:pPr>
        <w:autoSpaceDE w:val="0"/>
        <w:autoSpaceDN w:val="0"/>
        <w:adjustRightInd w:val="0"/>
        <w:spacing w:line="240" w:lineRule="auto"/>
        <w:ind w:left="720"/>
        <w:rPr>
          <w:rFonts w:eastAsia="Times New Roman" w:cstheme="minorHAnsi"/>
          <w:color w:val="000000"/>
          <w:sz w:val="24"/>
          <w:szCs w:val="24"/>
          <w:lang w:val="en-AU" w:eastAsia="en-AU" w:bidi="ar-SA"/>
        </w:rPr>
      </w:pPr>
      <w:r>
        <w:rPr>
          <w:rFonts w:eastAsia="Times New Roman" w:cstheme="minorHAnsi"/>
          <w:color w:val="000000"/>
          <w:sz w:val="24"/>
          <w:szCs w:val="24"/>
          <w:lang w:val="en-AU" w:eastAsia="en-AU" w:bidi="ar-SA"/>
        </w:rPr>
        <w:t>“</w:t>
      </w:r>
      <w:r w:rsidRPr="009F4AB7">
        <w:rPr>
          <w:rFonts w:eastAsia="Times New Roman" w:cstheme="minorHAnsi"/>
          <w:color w:val="000000"/>
          <w:sz w:val="24"/>
          <w:szCs w:val="24"/>
          <w:lang w:val="en-AU" w:eastAsia="en-AU" w:bidi="ar-SA"/>
        </w:rPr>
        <w:t>We consider that our approved capex forecast is consistent with the setting of targets</w:t>
      </w:r>
      <w:r>
        <w:rPr>
          <w:rFonts w:eastAsia="Times New Roman" w:cstheme="minorHAnsi"/>
          <w:color w:val="000000"/>
          <w:sz w:val="24"/>
          <w:szCs w:val="24"/>
          <w:lang w:val="en-AU" w:eastAsia="en-AU" w:bidi="ar-SA"/>
        </w:rPr>
        <w:t xml:space="preserve"> </w:t>
      </w:r>
      <w:r w:rsidRPr="009F4AB7">
        <w:rPr>
          <w:rFonts w:eastAsia="Times New Roman" w:cstheme="minorHAnsi"/>
          <w:color w:val="000000"/>
          <w:sz w:val="24"/>
          <w:szCs w:val="24"/>
          <w:lang w:val="en-AU" w:eastAsia="en-AU" w:bidi="ar-SA"/>
        </w:rPr>
        <w:t>under the STPIS. In particular, we consider that the capex allowance should not be set</w:t>
      </w:r>
      <w:r>
        <w:rPr>
          <w:rFonts w:eastAsia="Times New Roman" w:cstheme="minorHAnsi"/>
          <w:color w:val="000000"/>
          <w:sz w:val="24"/>
          <w:szCs w:val="24"/>
          <w:lang w:val="en-AU" w:eastAsia="en-AU" w:bidi="ar-SA"/>
        </w:rPr>
        <w:t xml:space="preserve"> </w:t>
      </w:r>
      <w:r w:rsidRPr="009F4AB7">
        <w:rPr>
          <w:rFonts w:eastAsia="Times New Roman" w:cstheme="minorHAnsi"/>
          <w:color w:val="000000"/>
          <w:sz w:val="24"/>
          <w:szCs w:val="24"/>
          <w:lang w:val="en-AU" w:eastAsia="en-AU" w:bidi="ar-SA"/>
        </w:rPr>
        <w:t>such that it would lead to TasNetworks systemically under or over performing against</w:t>
      </w:r>
      <w:r>
        <w:rPr>
          <w:rFonts w:eastAsia="Times New Roman" w:cstheme="minorHAnsi"/>
          <w:color w:val="000000"/>
          <w:sz w:val="24"/>
          <w:szCs w:val="24"/>
          <w:lang w:val="en-AU" w:eastAsia="en-AU" w:bidi="ar-SA"/>
        </w:rPr>
        <w:t xml:space="preserve"> </w:t>
      </w:r>
      <w:r w:rsidRPr="009F4AB7">
        <w:rPr>
          <w:rFonts w:eastAsia="Times New Roman" w:cstheme="minorHAnsi"/>
          <w:color w:val="000000"/>
          <w:sz w:val="24"/>
          <w:szCs w:val="24"/>
          <w:lang w:val="en-AU" w:eastAsia="en-AU" w:bidi="ar-SA"/>
        </w:rPr>
        <w:t>its STPIS targets.</w:t>
      </w:r>
      <w:r>
        <w:rPr>
          <w:rFonts w:eastAsia="Times New Roman" w:cstheme="minorHAnsi"/>
          <w:color w:val="000000"/>
          <w:sz w:val="24"/>
          <w:szCs w:val="24"/>
          <w:lang w:val="en-AU" w:eastAsia="en-AU" w:bidi="ar-SA"/>
        </w:rPr>
        <w:t>”</w:t>
      </w:r>
    </w:p>
    <w:p w:rsidR="00BF1510" w:rsidRDefault="009F4AB7" w:rsidP="00BF1510">
      <w:pPr>
        <w:autoSpaceDE w:val="0"/>
        <w:autoSpaceDN w:val="0"/>
        <w:adjustRightInd w:val="0"/>
        <w:spacing w:line="240" w:lineRule="auto"/>
        <w:rPr>
          <w:rFonts w:eastAsia="Times New Roman" w:cstheme="minorHAnsi"/>
          <w:color w:val="000000"/>
          <w:sz w:val="24"/>
          <w:szCs w:val="24"/>
          <w:lang w:val="en-AU" w:eastAsia="en-AU" w:bidi="ar-SA"/>
        </w:rPr>
      </w:pPr>
      <w:r>
        <w:rPr>
          <w:rFonts w:eastAsia="Times New Roman" w:cstheme="minorHAnsi"/>
          <w:color w:val="000000"/>
          <w:sz w:val="24"/>
          <w:szCs w:val="24"/>
          <w:lang w:val="en-AU" w:eastAsia="en-AU" w:bidi="ar-SA"/>
        </w:rPr>
        <w:t>This report does not agree</w:t>
      </w:r>
      <w:r w:rsidR="006A6000">
        <w:rPr>
          <w:rFonts w:eastAsia="Times New Roman" w:cstheme="minorHAnsi"/>
          <w:color w:val="000000"/>
          <w:sz w:val="24"/>
          <w:szCs w:val="24"/>
          <w:lang w:val="en-AU" w:eastAsia="en-AU" w:bidi="ar-SA"/>
        </w:rPr>
        <w:t xml:space="preserve"> that the augex allowed delivers this outcome</w:t>
      </w:r>
      <w:r>
        <w:rPr>
          <w:rFonts w:eastAsia="Times New Roman" w:cstheme="minorHAnsi"/>
          <w:color w:val="000000"/>
          <w:sz w:val="24"/>
          <w:szCs w:val="24"/>
          <w:lang w:val="en-AU" w:eastAsia="en-AU" w:bidi="ar-SA"/>
        </w:rPr>
        <w:t xml:space="preserve">. The </w:t>
      </w:r>
      <w:r w:rsidR="00466AB8">
        <w:rPr>
          <w:rFonts w:eastAsia="Times New Roman" w:cstheme="minorHAnsi"/>
          <w:color w:val="000000"/>
          <w:sz w:val="24"/>
          <w:szCs w:val="24"/>
          <w:lang w:val="en-AU" w:eastAsia="en-AU" w:bidi="ar-SA"/>
        </w:rPr>
        <w:t xml:space="preserve">augex for </w:t>
      </w:r>
      <w:r>
        <w:rPr>
          <w:rFonts w:eastAsia="Times New Roman" w:cstheme="minorHAnsi"/>
          <w:color w:val="000000"/>
          <w:sz w:val="24"/>
          <w:szCs w:val="24"/>
          <w:lang w:val="en-AU" w:eastAsia="en-AU" w:bidi="ar-SA"/>
        </w:rPr>
        <w:t xml:space="preserve">reliability and constraints </w:t>
      </w:r>
      <w:r w:rsidR="00466AB8">
        <w:rPr>
          <w:rFonts w:eastAsia="Times New Roman" w:cstheme="minorHAnsi"/>
          <w:color w:val="000000"/>
          <w:sz w:val="24"/>
          <w:szCs w:val="24"/>
          <w:lang w:val="en-AU" w:eastAsia="en-AU" w:bidi="ar-SA"/>
        </w:rPr>
        <w:t>is</w:t>
      </w:r>
      <w:r>
        <w:rPr>
          <w:rFonts w:eastAsia="Times New Roman" w:cstheme="minorHAnsi"/>
          <w:color w:val="000000"/>
          <w:sz w:val="24"/>
          <w:szCs w:val="24"/>
          <w:lang w:val="en-AU" w:eastAsia="en-AU" w:bidi="ar-SA"/>
        </w:rPr>
        <w:t xml:space="preserve"> specifically designed to increase the reliability of </w:t>
      </w:r>
      <w:r w:rsidR="00BF1510">
        <w:rPr>
          <w:rFonts w:eastAsia="Times New Roman" w:cstheme="minorHAnsi"/>
          <w:color w:val="000000"/>
          <w:sz w:val="24"/>
          <w:szCs w:val="24"/>
          <w:lang w:val="en-AU" w:eastAsia="en-AU" w:bidi="ar-SA"/>
        </w:rPr>
        <w:t xml:space="preserve">supply </w:t>
      </w:r>
      <w:r w:rsidR="006A6000">
        <w:rPr>
          <w:rFonts w:eastAsia="Times New Roman" w:cstheme="minorHAnsi"/>
          <w:color w:val="000000"/>
          <w:sz w:val="24"/>
          <w:szCs w:val="24"/>
          <w:lang w:val="en-AU" w:eastAsia="en-AU" w:bidi="ar-SA"/>
        </w:rPr>
        <w:t xml:space="preserve">on </w:t>
      </w:r>
      <w:r>
        <w:rPr>
          <w:rFonts w:eastAsia="Times New Roman" w:cstheme="minorHAnsi"/>
          <w:color w:val="000000"/>
          <w:sz w:val="24"/>
          <w:szCs w:val="24"/>
          <w:lang w:val="en-AU" w:eastAsia="en-AU" w:bidi="ar-SA"/>
        </w:rPr>
        <w:lastRenderedPageBreak/>
        <w:t xml:space="preserve">the </w:t>
      </w:r>
      <w:r w:rsidR="00466AB8">
        <w:rPr>
          <w:rFonts w:eastAsia="Times New Roman" w:cstheme="minorHAnsi"/>
          <w:color w:val="000000"/>
          <w:sz w:val="24"/>
          <w:szCs w:val="24"/>
          <w:lang w:val="en-AU" w:eastAsia="en-AU" w:bidi="ar-SA"/>
        </w:rPr>
        <w:t xml:space="preserve">poorly performing feeders </w:t>
      </w:r>
      <w:r>
        <w:rPr>
          <w:rFonts w:eastAsia="Times New Roman" w:cstheme="minorHAnsi"/>
          <w:color w:val="000000"/>
          <w:sz w:val="24"/>
          <w:szCs w:val="24"/>
          <w:lang w:val="en-AU" w:eastAsia="en-AU" w:bidi="ar-SA"/>
        </w:rPr>
        <w:t xml:space="preserve">and to reduce congestion so that the reliability of supply to consumers is increased. A direct result of these investments will </w:t>
      </w:r>
      <w:r w:rsidR="00BF1510">
        <w:rPr>
          <w:rFonts w:eastAsia="Times New Roman" w:cstheme="minorHAnsi"/>
          <w:color w:val="000000"/>
          <w:sz w:val="24"/>
          <w:szCs w:val="24"/>
          <w:lang w:val="en-AU" w:eastAsia="en-AU" w:bidi="ar-SA"/>
        </w:rPr>
        <w:t xml:space="preserve">be an </w:t>
      </w:r>
      <w:r>
        <w:rPr>
          <w:rFonts w:eastAsia="Times New Roman" w:cstheme="minorHAnsi"/>
          <w:color w:val="000000"/>
          <w:sz w:val="24"/>
          <w:szCs w:val="24"/>
          <w:lang w:val="en-AU" w:eastAsia="en-AU" w:bidi="ar-SA"/>
        </w:rPr>
        <w:t>improve</w:t>
      </w:r>
      <w:r w:rsidR="00BF1510">
        <w:rPr>
          <w:rFonts w:eastAsia="Times New Roman" w:cstheme="minorHAnsi"/>
          <w:color w:val="000000"/>
          <w:sz w:val="24"/>
          <w:szCs w:val="24"/>
          <w:lang w:val="en-AU" w:eastAsia="en-AU" w:bidi="ar-SA"/>
        </w:rPr>
        <w:t>ment in reliability of supply. A natural outcome of this will be a</w:t>
      </w:r>
      <w:r>
        <w:rPr>
          <w:rFonts w:eastAsia="Times New Roman" w:cstheme="minorHAnsi"/>
          <w:color w:val="000000"/>
          <w:sz w:val="24"/>
          <w:szCs w:val="24"/>
          <w:lang w:val="en-AU" w:eastAsia="en-AU" w:bidi="ar-SA"/>
        </w:rPr>
        <w:t xml:space="preserve"> performance </w:t>
      </w:r>
      <w:r w:rsidR="00BF1510">
        <w:rPr>
          <w:rFonts w:eastAsia="Times New Roman" w:cstheme="minorHAnsi"/>
          <w:color w:val="000000"/>
          <w:sz w:val="24"/>
          <w:szCs w:val="24"/>
          <w:lang w:val="en-AU" w:eastAsia="en-AU" w:bidi="ar-SA"/>
        </w:rPr>
        <w:t>improvement</w:t>
      </w:r>
      <w:r>
        <w:rPr>
          <w:rFonts w:eastAsia="Times New Roman" w:cstheme="minorHAnsi"/>
          <w:color w:val="000000"/>
          <w:sz w:val="24"/>
          <w:szCs w:val="24"/>
          <w:lang w:val="en-AU" w:eastAsia="en-AU" w:bidi="ar-SA"/>
        </w:rPr>
        <w:t xml:space="preserve"> as measured by the STPIS. </w:t>
      </w:r>
      <w:r w:rsidR="00BF1510">
        <w:rPr>
          <w:rFonts w:eastAsia="Times New Roman" w:cstheme="minorHAnsi"/>
          <w:color w:val="000000"/>
          <w:sz w:val="24"/>
          <w:szCs w:val="24"/>
          <w:lang w:val="en-AU" w:eastAsia="en-AU" w:bidi="ar-SA"/>
        </w:rPr>
        <w:t xml:space="preserve">This observation is </w:t>
      </w:r>
      <w:r w:rsidR="006A6000">
        <w:rPr>
          <w:rFonts w:eastAsia="Times New Roman" w:cstheme="minorHAnsi"/>
          <w:color w:val="000000"/>
          <w:sz w:val="24"/>
          <w:szCs w:val="24"/>
          <w:lang w:val="en-AU" w:eastAsia="en-AU" w:bidi="ar-SA"/>
        </w:rPr>
        <w:t xml:space="preserve">also </w:t>
      </w:r>
      <w:r w:rsidR="00BF1510">
        <w:rPr>
          <w:rFonts w:eastAsia="Times New Roman" w:cstheme="minorHAnsi"/>
          <w:color w:val="000000"/>
          <w:sz w:val="24"/>
          <w:szCs w:val="24"/>
          <w:lang w:val="en-AU" w:eastAsia="en-AU" w:bidi="ar-SA"/>
        </w:rPr>
        <w:t>made in section 7.1 below.</w:t>
      </w:r>
    </w:p>
    <w:p w:rsidR="009C51FC" w:rsidRPr="009C51FC" w:rsidRDefault="00BF1510" w:rsidP="009C51FC">
      <w:pPr>
        <w:autoSpaceDE w:val="0"/>
        <w:autoSpaceDN w:val="0"/>
        <w:adjustRightInd w:val="0"/>
        <w:spacing w:line="240" w:lineRule="auto"/>
        <w:rPr>
          <w:rFonts w:eastAsia="Times New Roman" w:cstheme="minorHAnsi"/>
          <w:color w:val="000000"/>
          <w:sz w:val="24"/>
          <w:szCs w:val="24"/>
          <w:lang w:val="en-AU" w:eastAsia="en-AU" w:bidi="ar-SA"/>
        </w:rPr>
      </w:pPr>
      <w:r>
        <w:rPr>
          <w:rFonts w:eastAsia="Times New Roman" w:cstheme="minorHAnsi"/>
          <w:color w:val="000000"/>
          <w:sz w:val="24"/>
          <w:szCs w:val="24"/>
          <w:lang w:val="en-AU" w:eastAsia="en-AU" w:bidi="ar-SA"/>
        </w:rPr>
        <w:t xml:space="preserve">This report does not advocate for these investments </w:t>
      </w:r>
      <w:r w:rsidR="006A6000">
        <w:rPr>
          <w:rFonts w:eastAsia="Times New Roman" w:cstheme="minorHAnsi"/>
          <w:color w:val="000000"/>
          <w:sz w:val="24"/>
          <w:szCs w:val="24"/>
          <w:lang w:val="en-AU" w:eastAsia="en-AU" w:bidi="ar-SA"/>
        </w:rPr>
        <w:t xml:space="preserve">should </w:t>
      </w:r>
      <w:r>
        <w:rPr>
          <w:rFonts w:eastAsia="Times New Roman" w:cstheme="minorHAnsi"/>
          <w:color w:val="000000"/>
          <w:sz w:val="24"/>
          <w:szCs w:val="24"/>
          <w:lang w:val="en-AU" w:eastAsia="en-AU" w:bidi="ar-SA"/>
        </w:rPr>
        <w:t>not occur</w:t>
      </w:r>
      <w:r w:rsidR="006A6000">
        <w:rPr>
          <w:rStyle w:val="FootnoteReference"/>
          <w:rFonts w:eastAsia="Times New Roman" w:cstheme="minorHAnsi"/>
          <w:color w:val="000000"/>
          <w:sz w:val="24"/>
          <w:szCs w:val="24"/>
          <w:lang w:val="en-AU" w:eastAsia="en-AU" w:bidi="ar-SA"/>
        </w:rPr>
        <w:footnoteReference w:id="8"/>
      </w:r>
      <w:r>
        <w:rPr>
          <w:rFonts w:eastAsia="Times New Roman" w:cstheme="minorHAnsi"/>
          <w:color w:val="000000"/>
          <w:sz w:val="24"/>
          <w:szCs w:val="24"/>
          <w:lang w:val="en-AU" w:eastAsia="en-AU" w:bidi="ar-SA"/>
        </w:rPr>
        <w:t xml:space="preserve">, but points out that the intent of the STPIS is to provide an incentive for the networks to invest their own funds to generate a revenue stream from the STPIS. Alternatively, if the capex is seen to be appropriate then the STPIS targets need to be adjusted to reflect that it is consumers that are underwriting the investment. If the capex is underwritten by consumers </w:t>
      </w:r>
      <w:r w:rsidRPr="006A6000">
        <w:rPr>
          <w:rFonts w:eastAsia="Times New Roman" w:cstheme="minorHAnsi"/>
          <w:b/>
          <w:color w:val="000000"/>
          <w:sz w:val="24"/>
          <w:szCs w:val="24"/>
          <w:u w:val="single"/>
          <w:lang w:val="en-AU" w:eastAsia="en-AU" w:bidi="ar-SA"/>
        </w:rPr>
        <w:t>and</w:t>
      </w:r>
      <w:r>
        <w:rPr>
          <w:rFonts w:eastAsia="Times New Roman" w:cstheme="minorHAnsi"/>
          <w:color w:val="000000"/>
          <w:sz w:val="24"/>
          <w:szCs w:val="24"/>
          <w:lang w:val="en-AU" w:eastAsia="en-AU" w:bidi="ar-SA"/>
        </w:rPr>
        <w:t xml:space="preserve"> the STPIS targets are not adjusted for the investment, then consumers will be providing capital so that the network can earn a bonus under the STPIS. Such an outcome is inefficient a</w:t>
      </w:r>
      <w:r w:rsidR="006A6000">
        <w:rPr>
          <w:rFonts w:eastAsia="Times New Roman" w:cstheme="minorHAnsi"/>
          <w:color w:val="000000"/>
          <w:sz w:val="24"/>
          <w:szCs w:val="24"/>
          <w:lang w:val="en-AU" w:eastAsia="en-AU" w:bidi="ar-SA"/>
        </w:rPr>
        <w:t>nd</w:t>
      </w:r>
      <w:r>
        <w:rPr>
          <w:rFonts w:eastAsia="Times New Roman" w:cstheme="minorHAnsi"/>
          <w:color w:val="000000"/>
          <w:sz w:val="24"/>
          <w:szCs w:val="24"/>
          <w:lang w:val="en-AU" w:eastAsia="en-AU" w:bidi="ar-SA"/>
        </w:rPr>
        <w:t xml:space="preserve"> is a form of “double dipping”. </w:t>
      </w:r>
      <w:r w:rsidR="009C51FC">
        <w:rPr>
          <w:rFonts w:eastAsia="Times New Roman" w:cstheme="minorHAnsi"/>
          <w:color w:val="000000"/>
          <w:sz w:val="24"/>
          <w:szCs w:val="24"/>
          <w:lang w:val="en-AU" w:eastAsia="en-AU" w:bidi="ar-SA"/>
        </w:rPr>
        <w:t xml:space="preserve">     </w:t>
      </w:r>
    </w:p>
    <w:p w:rsidR="005613AF" w:rsidRDefault="005613AF" w:rsidP="00342324">
      <w:pPr>
        <w:autoSpaceDE w:val="0"/>
        <w:autoSpaceDN w:val="0"/>
        <w:adjustRightInd w:val="0"/>
        <w:spacing w:after="0" w:line="240" w:lineRule="auto"/>
        <w:jc w:val="left"/>
        <w:rPr>
          <w:sz w:val="24"/>
        </w:rPr>
      </w:pPr>
      <w:r>
        <w:rPr>
          <w:sz w:val="24"/>
        </w:rPr>
        <w:t xml:space="preserve"> </w:t>
      </w:r>
    </w:p>
    <w:p w:rsidR="00342324" w:rsidRDefault="00342324"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b/>
          <w:sz w:val="24"/>
        </w:rPr>
        <w:t xml:space="preserve">6.3.2 </w:t>
      </w:r>
      <w:r w:rsidR="005613AF" w:rsidRPr="00260FED">
        <w:rPr>
          <w:rFonts w:asciiTheme="minorHAnsi" w:hAnsiTheme="minorHAnsi"/>
          <w:b/>
          <w:sz w:val="24"/>
        </w:rPr>
        <w:t>Customer initiated capex</w:t>
      </w:r>
      <w:r>
        <w:rPr>
          <w:rFonts w:asciiTheme="minorHAnsi" w:hAnsiTheme="minorHAnsi"/>
          <w:b/>
          <w:sz w:val="24"/>
        </w:rPr>
        <w:t xml:space="preserve">. </w:t>
      </w:r>
      <w:r w:rsidRPr="00342324">
        <w:rPr>
          <w:rFonts w:asciiTheme="minorHAnsi" w:hAnsiTheme="minorHAnsi"/>
          <w:sz w:val="24"/>
        </w:rPr>
        <w:t>This report</w:t>
      </w:r>
      <w:r>
        <w:rPr>
          <w:rFonts w:asciiTheme="minorHAnsi" w:hAnsiTheme="minorHAnsi"/>
          <w:sz w:val="24"/>
        </w:rPr>
        <w:t xml:space="preserve"> notes the assessment made in the draft decision regarding the forecasts of new residential connections and the capital contributions that would result from these.</w:t>
      </w:r>
    </w:p>
    <w:p w:rsidR="00342324" w:rsidRDefault="00342324"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However, this report notes the observation made that (pages 6-38 and 6-39)</w:t>
      </w:r>
    </w:p>
    <w:p w:rsidR="00342324" w:rsidRPr="00342324" w:rsidRDefault="00342324" w:rsidP="00342324">
      <w:pPr>
        <w:autoSpaceDE w:val="0"/>
        <w:autoSpaceDN w:val="0"/>
        <w:adjustRightInd w:val="0"/>
        <w:spacing w:line="240" w:lineRule="auto"/>
        <w:ind w:left="720"/>
        <w:rPr>
          <w:rFonts w:eastAsia="Times New Roman" w:cstheme="minorHAnsi"/>
          <w:sz w:val="24"/>
          <w:szCs w:val="24"/>
          <w:lang w:val="en-AU" w:eastAsia="en-AU" w:bidi="ar-SA"/>
        </w:rPr>
      </w:pPr>
      <w:r>
        <w:rPr>
          <w:rFonts w:eastAsia="Times New Roman" w:cstheme="minorHAnsi"/>
          <w:color w:val="000000"/>
          <w:sz w:val="24"/>
          <w:szCs w:val="24"/>
          <w:lang w:val="en-AU" w:eastAsia="en-AU" w:bidi="ar-SA"/>
        </w:rPr>
        <w:t>“...</w:t>
      </w:r>
      <w:r w:rsidRPr="00342324">
        <w:rPr>
          <w:rFonts w:eastAsia="Times New Roman" w:cstheme="minorHAnsi"/>
          <w:color w:val="000000"/>
          <w:sz w:val="24"/>
          <w:szCs w:val="24"/>
          <w:lang w:val="en-AU" w:eastAsia="en-AU" w:bidi="ar-SA"/>
        </w:rPr>
        <w:t>TasNetworks informed us that the proposed customer</w:t>
      </w:r>
      <w:r w:rsidRPr="00342324">
        <w:rPr>
          <w:rFonts w:cstheme="minorHAnsi"/>
          <w:color w:val="000000"/>
          <w:sz w:val="24"/>
          <w:szCs w:val="24"/>
          <w:lang w:eastAsia="en-AU"/>
        </w:rPr>
        <w:t xml:space="preserve"> </w:t>
      </w:r>
      <w:r w:rsidRPr="00342324">
        <w:rPr>
          <w:rFonts w:eastAsia="Times New Roman" w:cstheme="minorHAnsi"/>
          <w:color w:val="000000"/>
          <w:sz w:val="24"/>
          <w:szCs w:val="24"/>
          <w:lang w:val="en-AU" w:eastAsia="en-AU" w:bidi="ar-SA"/>
        </w:rPr>
        <w:t>contributions costs have taken into account the Government's request for TasNetworks</w:t>
      </w:r>
      <w:r>
        <w:rPr>
          <w:rFonts w:eastAsia="Times New Roman" w:cstheme="minorHAnsi"/>
          <w:color w:val="000000"/>
          <w:sz w:val="24"/>
          <w:szCs w:val="24"/>
          <w:lang w:val="en-AU" w:eastAsia="en-AU" w:bidi="ar-SA"/>
        </w:rPr>
        <w:t xml:space="preserve"> t</w:t>
      </w:r>
      <w:r w:rsidRPr="00342324">
        <w:rPr>
          <w:rFonts w:eastAsia="Times New Roman" w:cstheme="minorHAnsi"/>
          <w:color w:val="000000"/>
          <w:sz w:val="24"/>
          <w:szCs w:val="24"/>
          <w:lang w:val="en-AU" w:eastAsia="en-AU" w:bidi="ar-SA"/>
        </w:rPr>
        <w:t>o continue the current concession for irrigation connection projects.</w:t>
      </w:r>
      <w:r>
        <w:rPr>
          <w:rFonts w:eastAsia="Times New Roman" w:cstheme="minorHAnsi"/>
          <w:color w:val="000000"/>
          <w:sz w:val="24"/>
          <w:szCs w:val="24"/>
          <w:lang w:val="en-AU" w:eastAsia="en-AU" w:bidi="ar-SA"/>
        </w:rPr>
        <w:t>”</w:t>
      </w:r>
    </w:p>
    <w:p w:rsidR="00B5513E" w:rsidRDefault="00342324" w:rsidP="00342324">
      <w:pPr>
        <w:pStyle w:val="AERbulletlistfirststyle"/>
        <w:numPr>
          <w:ilvl w:val="0"/>
          <w:numId w:val="0"/>
        </w:numPr>
        <w:tabs>
          <w:tab w:val="clear" w:pos="357"/>
          <w:tab w:val="left" w:pos="0"/>
        </w:tabs>
        <w:spacing w:line="240" w:lineRule="auto"/>
        <w:rPr>
          <w:rFonts w:asciiTheme="minorHAnsi" w:hAnsiTheme="minorHAnsi" w:cstheme="minorHAnsi"/>
          <w:sz w:val="24"/>
        </w:rPr>
      </w:pPr>
      <w:r>
        <w:rPr>
          <w:rFonts w:asciiTheme="minorHAnsi" w:hAnsiTheme="minorHAnsi" w:cstheme="minorHAnsi"/>
          <w:sz w:val="24"/>
        </w:rPr>
        <w:t xml:space="preserve">This raises a concern that the amount of customer contribution made for irrigation projects has been discounted from what might be considered to be </w:t>
      </w:r>
      <w:r w:rsidR="00B5513E">
        <w:rPr>
          <w:rFonts w:asciiTheme="minorHAnsi" w:hAnsiTheme="minorHAnsi" w:cstheme="minorHAnsi"/>
          <w:sz w:val="24"/>
        </w:rPr>
        <w:t xml:space="preserve">equitable – that other Tasmanian electricity consumers should provide funds to enable implementation irrigation projects is not an appropriate </w:t>
      </w:r>
      <w:r w:rsidR="006A6000">
        <w:rPr>
          <w:rFonts w:asciiTheme="minorHAnsi" w:hAnsiTheme="minorHAnsi" w:cstheme="minorHAnsi"/>
          <w:sz w:val="24"/>
        </w:rPr>
        <w:t xml:space="preserve">outcome </w:t>
      </w:r>
      <w:r w:rsidR="00B5513E">
        <w:rPr>
          <w:rFonts w:asciiTheme="minorHAnsi" w:hAnsiTheme="minorHAnsi" w:cstheme="minorHAnsi"/>
          <w:sz w:val="24"/>
        </w:rPr>
        <w:t xml:space="preserve">under the rules. </w:t>
      </w:r>
    </w:p>
    <w:p w:rsidR="00B5513E" w:rsidRDefault="00B5513E" w:rsidP="00342324">
      <w:pPr>
        <w:pStyle w:val="AERbulletlistfirststyle"/>
        <w:numPr>
          <w:ilvl w:val="0"/>
          <w:numId w:val="0"/>
        </w:numPr>
        <w:tabs>
          <w:tab w:val="clear" w:pos="357"/>
          <w:tab w:val="left" w:pos="0"/>
        </w:tabs>
        <w:spacing w:line="240" w:lineRule="auto"/>
        <w:rPr>
          <w:rFonts w:asciiTheme="minorHAnsi" w:hAnsiTheme="minorHAnsi" w:cstheme="minorHAnsi"/>
          <w:sz w:val="24"/>
        </w:rPr>
      </w:pPr>
      <w:r>
        <w:rPr>
          <w:rFonts w:asciiTheme="minorHAnsi" w:hAnsiTheme="minorHAnsi" w:cstheme="minorHAnsi"/>
          <w:sz w:val="24"/>
        </w:rPr>
        <w:t xml:space="preserve">This report does not object to the Tasmanian government providing concessions to particular sectors of the Tasmanian economy but does consider that such concessions should be funded by the government and not by </w:t>
      </w:r>
      <w:r w:rsidR="006A6000">
        <w:rPr>
          <w:rFonts w:asciiTheme="minorHAnsi" w:hAnsiTheme="minorHAnsi" w:cstheme="minorHAnsi"/>
          <w:sz w:val="24"/>
        </w:rPr>
        <w:t xml:space="preserve">other </w:t>
      </w:r>
      <w:r>
        <w:rPr>
          <w:rFonts w:asciiTheme="minorHAnsi" w:hAnsiTheme="minorHAnsi" w:cstheme="minorHAnsi"/>
          <w:sz w:val="24"/>
        </w:rPr>
        <w:t>electricity consumers. That the AER has accepted this should occur is contrary to the NEO which requires the allowances to be efficient and to require some consumers to subsidise others is not efficient.</w:t>
      </w:r>
    </w:p>
    <w:p w:rsidR="00342324" w:rsidRPr="00342324" w:rsidRDefault="00B5513E" w:rsidP="00342324">
      <w:pPr>
        <w:pStyle w:val="AERbulletlistfirststyle"/>
        <w:numPr>
          <w:ilvl w:val="0"/>
          <w:numId w:val="0"/>
        </w:numPr>
        <w:tabs>
          <w:tab w:val="clear" w:pos="357"/>
          <w:tab w:val="left" w:pos="0"/>
        </w:tabs>
        <w:spacing w:line="240" w:lineRule="auto"/>
        <w:rPr>
          <w:rFonts w:asciiTheme="minorHAnsi" w:hAnsiTheme="minorHAnsi" w:cstheme="minorHAnsi"/>
          <w:sz w:val="24"/>
        </w:rPr>
      </w:pPr>
      <w:r>
        <w:rPr>
          <w:rFonts w:asciiTheme="minorHAnsi" w:hAnsiTheme="minorHAnsi" w:cstheme="minorHAnsi"/>
          <w:sz w:val="24"/>
        </w:rPr>
        <w:t xml:space="preserve">The AER should investigate this issue more deeply with the aim of ensuring there is no inefficient allowance being provided.  </w:t>
      </w:r>
    </w:p>
    <w:p w:rsidR="00342324" w:rsidRDefault="00342324" w:rsidP="00305EF4">
      <w:pPr>
        <w:pStyle w:val="AERbulletlistfirststyle"/>
        <w:numPr>
          <w:ilvl w:val="0"/>
          <w:numId w:val="0"/>
        </w:numPr>
        <w:tabs>
          <w:tab w:val="clear" w:pos="357"/>
          <w:tab w:val="left" w:pos="0"/>
        </w:tabs>
        <w:spacing w:line="240" w:lineRule="auto"/>
        <w:rPr>
          <w:rFonts w:asciiTheme="minorHAnsi" w:hAnsiTheme="minorHAnsi"/>
          <w:sz w:val="24"/>
        </w:rPr>
      </w:pPr>
    </w:p>
    <w:p w:rsidR="00D425BA" w:rsidRPr="00D425BA" w:rsidRDefault="00D425BA" w:rsidP="00305EF4">
      <w:pPr>
        <w:pStyle w:val="AERbulletlistfirststyle"/>
        <w:numPr>
          <w:ilvl w:val="0"/>
          <w:numId w:val="0"/>
        </w:numPr>
        <w:tabs>
          <w:tab w:val="clear" w:pos="357"/>
          <w:tab w:val="left" w:pos="0"/>
        </w:tabs>
        <w:spacing w:line="240" w:lineRule="auto"/>
        <w:rPr>
          <w:rFonts w:asciiTheme="minorHAnsi" w:hAnsiTheme="minorHAnsi"/>
          <w:b/>
          <w:sz w:val="24"/>
        </w:rPr>
      </w:pPr>
      <w:r w:rsidRPr="00D425BA">
        <w:rPr>
          <w:rFonts w:asciiTheme="minorHAnsi" w:hAnsiTheme="minorHAnsi"/>
          <w:b/>
          <w:sz w:val="24"/>
        </w:rPr>
        <w:t>6.</w:t>
      </w:r>
      <w:r w:rsidR="006657A3">
        <w:rPr>
          <w:rFonts w:asciiTheme="minorHAnsi" w:hAnsiTheme="minorHAnsi"/>
          <w:b/>
          <w:sz w:val="24"/>
        </w:rPr>
        <w:t>4</w:t>
      </w:r>
      <w:r w:rsidRPr="00D425BA">
        <w:rPr>
          <w:rFonts w:asciiTheme="minorHAnsi" w:hAnsiTheme="minorHAnsi"/>
          <w:b/>
          <w:sz w:val="24"/>
        </w:rPr>
        <w:t xml:space="preserve"> Repex</w:t>
      </w:r>
    </w:p>
    <w:p w:rsidR="00FA57B7" w:rsidRDefault="00FA57B7"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In the earlier report, it was observed that </w:t>
      </w:r>
    </w:p>
    <w:p w:rsidR="00FA57B7" w:rsidRDefault="00FA57B7" w:rsidP="00FA57B7">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lastRenderedPageBreak/>
        <w:t>“...the repex claimed is too high and probably only needs to be $30-$40m pa as allowed by the AER in its 2012 assessment for the current period.”</w:t>
      </w:r>
    </w:p>
    <w:p w:rsidR="00FA57B7" w:rsidRDefault="00FA57B7"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After reviewing the AER draft decision, this view </w:t>
      </w:r>
      <w:r w:rsidR="00823A66">
        <w:rPr>
          <w:rFonts w:asciiTheme="minorHAnsi" w:hAnsiTheme="minorHAnsi"/>
          <w:sz w:val="24"/>
        </w:rPr>
        <w:t xml:space="preserve">is still </w:t>
      </w:r>
      <w:r w:rsidR="006A6000">
        <w:rPr>
          <w:rFonts w:asciiTheme="minorHAnsi" w:hAnsiTheme="minorHAnsi"/>
          <w:sz w:val="24"/>
        </w:rPr>
        <w:t xml:space="preserve">considered to be </w:t>
      </w:r>
      <w:r w:rsidR="00823A66">
        <w:rPr>
          <w:rFonts w:asciiTheme="minorHAnsi" w:hAnsiTheme="minorHAnsi"/>
          <w:sz w:val="24"/>
        </w:rPr>
        <w:t>valid</w:t>
      </w:r>
      <w:r>
        <w:rPr>
          <w:rFonts w:asciiTheme="minorHAnsi" w:hAnsiTheme="minorHAnsi"/>
          <w:sz w:val="24"/>
        </w:rPr>
        <w:t xml:space="preserve">. </w:t>
      </w:r>
    </w:p>
    <w:p w:rsidR="0033534D" w:rsidRDefault="00E83D29"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One of the major issues facing network regulation at this time is the change from capital expenditure being predominantly for growth assets to being one of replacement of assets. What has been seen across all networks </w:t>
      </w:r>
      <w:r w:rsidR="006A6000">
        <w:rPr>
          <w:rFonts w:asciiTheme="minorHAnsi" w:hAnsiTheme="minorHAnsi"/>
          <w:sz w:val="24"/>
        </w:rPr>
        <w:t xml:space="preserve">(particularly in the latest round of regulatory reviews) </w:t>
      </w:r>
      <w:r>
        <w:rPr>
          <w:rFonts w:asciiTheme="minorHAnsi" w:hAnsiTheme="minorHAnsi"/>
          <w:sz w:val="24"/>
        </w:rPr>
        <w:t xml:space="preserve">is the amount of capex </w:t>
      </w:r>
      <w:r w:rsidR="006A6000">
        <w:rPr>
          <w:rFonts w:asciiTheme="minorHAnsi" w:hAnsiTheme="minorHAnsi"/>
          <w:sz w:val="24"/>
        </w:rPr>
        <w:t xml:space="preserve">claimed is </w:t>
      </w:r>
      <w:r>
        <w:rPr>
          <w:rFonts w:asciiTheme="minorHAnsi" w:hAnsiTheme="minorHAnsi"/>
          <w:sz w:val="24"/>
        </w:rPr>
        <w:t xml:space="preserve">still </w:t>
      </w:r>
      <w:r w:rsidR="006A6000">
        <w:rPr>
          <w:rFonts w:asciiTheme="minorHAnsi" w:hAnsiTheme="minorHAnsi"/>
          <w:sz w:val="24"/>
        </w:rPr>
        <w:t xml:space="preserve">at </w:t>
      </w:r>
      <w:r>
        <w:rPr>
          <w:rFonts w:asciiTheme="minorHAnsi" w:hAnsiTheme="minorHAnsi"/>
          <w:sz w:val="24"/>
        </w:rPr>
        <w:t xml:space="preserve">very high </w:t>
      </w:r>
      <w:r w:rsidR="0033534D">
        <w:rPr>
          <w:rFonts w:asciiTheme="minorHAnsi" w:hAnsiTheme="minorHAnsi"/>
          <w:sz w:val="24"/>
        </w:rPr>
        <w:t xml:space="preserve">levels </w:t>
      </w:r>
      <w:r>
        <w:rPr>
          <w:rFonts w:asciiTheme="minorHAnsi" w:hAnsiTheme="minorHAnsi"/>
          <w:sz w:val="24"/>
        </w:rPr>
        <w:t xml:space="preserve">although there has been little or no growth in demand – the primary driver of augmentation. </w:t>
      </w:r>
      <w:r w:rsidR="0033534D">
        <w:rPr>
          <w:rFonts w:asciiTheme="minorHAnsi" w:hAnsiTheme="minorHAnsi"/>
          <w:sz w:val="24"/>
        </w:rPr>
        <w:t xml:space="preserve">Coincident </w:t>
      </w:r>
      <w:r w:rsidR="001D7CA1">
        <w:rPr>
          <w:rFonts w:asciiTheme="minorHAnsi" w:hAnsiTheme="minorHAnsi"/>
          <w:sz w:val="24"/>
        </w:rPr>
        <w:t xml:space="preserve">with the growth in repex </w:t>
      </w:r>
      <w:r w:rsidR="0033534D">
        <w:rPr>
          <w:rFonts w:asciiTheme="minorHAnsi" w:hAnsiTheme="minorHAnsi"/>
          <w:sz w:val="24"/>
        </w:rPr>
        <w:t xml:space="preserve">has </w:t>
      </w:r>
      <w:r w:rsidR="001738D0">
        <w:rPr>
          <w:rFonts w:asciiTheme="minorHAnsi" w:hAnsiTheme="minorHAnsi"/>
          <w:sz w:val="24"/>
        </w:rPr>
        <w:t>been</w:t>
      </w:r>
      <w:r w:rsidR="0033534D">
        <w:rPr>
          <w:rFonts w:asciiTheme="minorHAnsi" w:hAnsiTheme="minorHAnsi"/>
          <w:sz w:val="24"/>
        </w:rPr>
        <w:t xml:space="preserve"> a reduction in utilisation of assets</w:t>
      </w:r>
      <w:r w:rsidR="001D7CA1">
        <w:rPr>
          <w:rFonts w:asciiTheme="minorHAnsi" w:hAnsiTheme="minorHAnsi"/>
          <w:sz w:val="24"/>
        </w:rPr>
        <w:t>.</w:t>
      </w:r>
    </w:p>
    <w:p w:rsidR="00E83D29" w:rsidRDefault="0033534D"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outcome of the maintenance of these high levels of capex has been that the regulatory asset base when normalised against demand and numbers of consumers has grown considerably, leading to a cost that future consumers will have to carry. </w:t>
      </w:r>
    </w:p>
    <w:p w:rsidR="0033534D" w:rsidRDefault="0033534D"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surge in replacement capex has been in part assisted by the tools used by the AER in assessing the reasonableness of the replacement capex. </w:t>
      </w:r>
    </w:p>
    <w:p w:rsidR="0033534D" w:rsidRDefault="00823A66" w:rsidP="00305EF4">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Analysis of the trend in repex,</w:t>
      </w:r>
      <w:r w:rsidR="0033534D">
        <w:rPr>
          <w:rFonts w:asciiTheme="minorHAnsi" w:hAnsiTheme="minorHAnsi"/>
          <w:sz w:val="24"/>
        </w:rPr>
        <w:t xml:space="preserve"> over the longer term,</w:t>
      </w:r>
      <w:r>
        <w:rPr>
          <w:rFonts w:asciiTheme="minorHAnsi" w:hAnsiTheme="minorHAnsi"/>
          <w:sz w:val="24"/>
        </w:rPr>
        <w:t xml:space="preserve"> shows</w:t>
      </w:r>
      <w:r w:rsidR="0033534D">
        <w:rPr>
          <w:rFonts w:asciiTheme="minorHAnsi" w:hAnsiTheme="minorHAnsi"/>
          <w:sz w:val="24"/>
        </w:rPr>
        <w:t xml:space="preserve"> the amounts of repex by TND have grown yet the AER tends to use the most recent actuals against which to measure forecast repex. The following chart was provided in the earlier report and tracks repex over 10 years.  </w:t>
      </w:r>
    </w:p>
    <w:p w:rsidR="00600F15" w:rsidRDefault="006E34E4" w:rsidP="00600F15">
      <w:pPr>
        <w:pStyle w:val="AERbulletlistfirststyle"/>
        <w:numPr>
          <w:ilvl w:val="0"/>
          <w:numId w:val="0"/>
        </w:numPr>
        <w:tabs>
          <w:tab w:val="clear" w:pos="357"/>
          <w:tab w:val="left" w:pos="0"/>
        </w:tabs>
        <w:spacing w:after="0" w:line="240" w:lineRule="auto"/>
        <w:rPr>
          <w:rFonts w:asciiTheme="minorHAnsi" w:hAnsiTheme="minorHAnsi"/>
          <w:sz w:val="24"/>
        </w:rPr>
      </w:pPr>
      <w:r>
        <w:rPr>
          <w:rFonts w:asciiTheme="minorHAnsi" w:hAnsiTheme="minorHAnsi"/>
          <w:noProof/>
          <w:sz w:val="24"/>
          <w:lang w:eastAsia="en-AU"/>
        </w:rPr>
        <w:drawing>
          <wp:inline distT="0" distB="0" distL="0" distR="0">
            <wp:extent cx="5581650" cy="3571875"/>
            <wp:effectExtent l="19050" t="0" r="0" b="0"/>
            <wp:docPr id="4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5581650" cy="3571875"/>
                    </a:xfrm>
                    <a:prstGeom prst="rect">
                      <a:avLst/>
                    </a:prstGeom>
                    <a:noFill/>
                    <a:ln w="9525">
                      <a:noFill/>
                      <a:miter lim="800000"/>
                      <a:headEnd/>
                      <a:tailEnd/>
                    </a:ln>
                  </pic:spPr>
                </pic:pic>
              </a:graphicData>
            </a:graphic>
          </wp:inline>
        </w:drawing>
      </w:r>
    </w:p>
    <w:p w:rsidR="00600F15" w:rsidRDefault="00600F15" w:rsidP="00600F15">
      <w:pPr>
        <w:pStyle w:val="AERbulletlistfirststyle"/>
        <w:numPr>
          <w:ilvl w:val="0"/>
          <w:numId w:val="0"/>
        </w:numPr>
        <w:tabs>
          <w:tab w:val="clear" w:pos="357"/>
          <w:tab w:val="left" w:pos="0"/>
        </w:tabs>
        <w:spacing w:line="240" w:lineRule="auto"/>
        <w:rPr>
          <w:rFonts w:asciiTheme="minorHAnsi" w:hAnsiTheme="minorHAnsi"/>
          <w:b/>
          <w:sz w:val="16"/>
          <w:szCs w:val="16"/>
        </w:rPr>
      </w:pPr>
      <w:r>
        <w:rPr>
          <w:rFonts w:asciiTheme="minorHAnsi" w:hAnsiTheme="minorHAnsi"/>
          <w:b/>
          <w:sz w:val="16"/>
          <w:szCs w:val="16"/>
        </w:rPr>
        <w:t>Source: TND proposal, Aurora revised applic 2012, AER FD 2012</w:t>
      </w:r>
    </w:p>
    <w:p w:rsidR="00823A66" w:rsidRDefault="0033534D"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This shows the long term trend in repex growth, and specifically the growth in repex in the current period compared to the </w:t>
      </w:r>
      <w:r w:rsidR="001D7CA1">
        <w:rPr>
          <w:rFonts w:asciiTheme="minorHAnsi" w:hAnsiTheme="minorHAnsi"/>
          <w:sz w:val="24"/>
        </w:rPr>
        <w:t xml:space="preserve">allowance for </w:t>
      </w:r>
      <w:r>
        <w:rPr>
          <w:rFonts w:asciiTheme="minorHAnsi" w:hAnsiTheme="minorHAnsi"/>
          <w:sz w:val="24"/>
        </w:rPr>
        <w:t xml:space="preserve">repex made in 2010/11 for the current </w:t>
      </w:r>
      <w:r>
        <w:rPr>
          <w:rFonts w:asciiTheme="minorHAnsi" w:hAnsiTheme="minorHAnsi"/>
          <w:sz w:val="24"/>
        </w:rPr>
        <w:lastRenderedPageBreak/>
        <w:t xml:space="preserve">period. While the 2010/11 </w:t>
      </w:r>
      <w:r w:rsidR="00BD7721">
        <w:rPr>
          <w:rFonts w:asciiTheme="minorHAnsi" w:hAnsiTheme="minorHAnsi"/>
          <w:sz w:val="24"/>
        </w:rPr>
        <w:t xml:space="preserve">allowance </w:t>
      </w:r>
      <w:r>
        <w:rPr>
          <w:rFonts w:asciiTheme="minorHAnsi" w:hAnsiTheme="minorHAnsi"/>
          <w:sz w:val="24"/>
        </w:rPr>
        <w:t xml:space="preserve">basically replicated </w:t>
      </w:r>
      <w:r w:rsidR="00FA57B7">
        <w:rPr>
          <w:rFonts w:asciiTheme="minorHAnsi" w:hAnsiTheme="minorHAnsi"/>
          <w:sz w:val="24"/>
        </w:rPr>
        <w:t xml:space="preserve">the repex for the last two years of the 2007-2012 period (which also showed a significant increase in repex) TND actual repex in 2012-2017 was considerably higher than had </w:t>
      </w:r>
      <w:r w:rsidR="00BD7721">
        <w:rPr>
          <w:rFonts w:asciiTheme="minorHAnsi" w:hAnsiTheme="minorHAnsi"/>
          <w:sz w:val="24"/>
        </w:rPr>
        <w:t>been allowed</w:t>
      </w:r>
      <w:r w:rsidR="00FA57B7">
        <w:rPr>
          <w:rFonts w:asciiTheme="minorHAnsi" w:hAnsiTheme="minorHAnsi"/>
          <w:sz w:val="24"/>
        </w:rPr>
        <w:t xml:space="preserve">. </w:t>
      </w:r>
    </w:p>
    <w:p w:rsidR="00823A66" w:rsidRDefault="00823A66"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In both the repex model and the trend analysis approach, the major drivers are the actual usage in the most recent period. In particular, the rates of replacement of specific assets used in the repex model are heavily influenced by the more recent activity. Similarly, the trend analysis is more dependent on more recent activity. </w:t>
      </w:r>
    </w:p>
    <w:p w:rsidR="00823A66" w:rsidRDefault="00823A66"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What neither approach reflects is that all networks ramped up their repex in the period </w:t>
      </w:r>
      <w:r w:rsidR="00BD7721">
        <w:rPr>
          <w:rFonts w:asciiTheme="minorHAnsi" w:hAnsiTheme="minorHAnsi"/>
          <w:sz w:val="24"/>
        </w:rPr>
        <w:t xml:space="preserve">applying during the current round of regulatory reviews </w:t>
      </w:r>
      <w:r>
        <w:rPr>
          <w:rFonts w:asciiTheme="minorHAnsi" w:hAnsiTheme="minorHAnsi"/>
          <w:sz w:val="24"/>
        </w:rPr>
        <w:t xml:space="preserve">(with most exceeding their forecast repex) and this has set new and higher rates of replacement than applied in previous periods – even back to the late 1990s. This means that the most recent repex activity is being predominantly used as the bases for the </w:t>
      </w:r>
      <w:r w:rsidR="007A190E">
        <w:rPr>
          <w:rFonts w:asciiTheme="minorHAnsi" w:hAnsiTheme="minorHAnsi"/>
          <w:sz w:val="24"/>
        </w:rPr>
        <w:t xml:space="preserve">replacement </w:t>
      </w:r>
      <w:r>
        <w:rPr>
          <w:rFonts w:asciiTheme="minorHAnsi" w:hAnsiTheme="minorHAnsi"/>
          <w:sz w:val="24"/>
        </w:rPr>
        <w:t xml:space="preserve">trend analysis and the repex model, resulting in biased inputs. </w:t>
      </w:r>
      <w:r w:rsidR="00DA3B2D">
        <w:rPr>
          <w:rFonts w:asciiTheme="minorHAnsi" w:hAnsiTheme="minorHAnsi"/>
          <w:sz w:val="24"/>
        </w:rPr>
        <w:t xml:space="preserve">This assessment is supported by the draft decision observation that (page 6-41) </w:t>
      </w:r>
    </w:p>
    <w:p w:rsidR="00DA3B2D" w:rsidRPr="00DA3B2D" w:rsidRDefault="00DA3B2D" w:rsidP="00DA3B2D">
      <w:pPr>
        <w:autoSpaceDE w:val="0"/>
        <w:autoSpaceDN w:val="0"/>
        <w:adjustRightInd w:val="0"/>
        <w:spacing w:line="240" w:lineRule="auto"/>
        <w:ind w:left="720"/>
        <w:jc w:val="left"/>
        <w:rPr>
          <w:rFonts w:cstheme="minorHAnsi"/>
          <w:sz w:val="24"/>
          <w:szCs w:val="24"/>
        </w:rPr>
      </w:pPr>
      <w:r>
        <w:rPr>
          <w:rFonts w:eastAsia="Times New Roman" w:cstheme="minorHAnsi"/>
          <w:color w:val="000000"/>
          <w:sz w:val="24"/>
          <w:szCs w:val="24"/>
          <w:lang w:val="en-AU" w:eastAsia="en-AU" w:bidi="ar-SA"/>
        </w:rPr>
        <w:t>“</w:t>
      </w:r>
      <w:r w:rsidRPr="00DA3B2D">
        <w:rPr>
          <w:rFonts w:eastAsia="Times New Roman" w:cstheme="minorHAnsi"/>
          <w:color w:val="000000"/>
          <w:sz w:val="24"/>
          <w:szCs w:val="24"/>
          <w:lang w:val="en-AU" w:eastAsia="en-AU" w:bidi="ar-SA"/>
        </w:rPr>
        <w:t xml:space="preserve">The repex model estimates future repex by allowing TasNetworks the opportunity to continue </w:t>
      </w:r>
      <w:r w:rsidRPr="00DA3B2D">
        <w:rPr>
          <w:rFonts w:eastAsia="Times New Roman" w:cstheme="minorHAnsi"/>
          <w:b/>
          <w:color w:val="000000"/>
          <w:sz w:val="24"/>
          <w:szCs w:val="24"/>
          <w:lang w:val="en-AU" w:eastAsia="en-AU" w:bidi="ar-SA"/>
        </w:rPr>
        <w:t>its current replacement practices</w:t>
      </w:r>
      <w:r w:rsidRPr="00DA3B2D">
        <w:rPr>
          <w:rFonts w:eastAsia="Times New Roman" w:cstheme="minorHAnsi"/>
          <w:color w:val="000000"/>
          <w:sz w:val="24"/>
          <w:szCs w:val="24"/>
          <w:lang w:val="en-AU" w:eastAsia="en-AU" w:bidi="ar-SA"/>
        </w:rPr>
        <w:t xml:space="preserve"> in the next regulatory control period.</w:t>
      </w:r>
      <w:r>
        <w:rPr>
          <w:rFonts w:eastAsia="Times New Roman" w:cstheme="minorHAnsi"/>
          <w:color w:val="000000"/>
          <w:sz w:val="24"/>
          <w:szCs w:val="24"/>
          <w:lang w:val="en-AU" w:eastAsia="en-AU" w:bidi="ar-SA"/>
        </w:rPr>
        <w:t>” (emphasis added)</w:t>
      </w:r>
    </w:p>
    <w:p w:rsidR="00DA3B2D" w:rsidRDefault="00DA3B2D"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As the current rates of replacement reflect a regulatory period where repex has exceeded the allowances </w:t>
      </w:r>
      <w:r w:rsidR="00BD7721">
        <w:rPr>
          <w:rFonts w:asciiTheme="minorHAnsi" w:hAnsiTheme="minorHAnsi"/>
          <w:sz w:val="24"/>
        </w:rPr>
        <w:t>(</w:t>
      </w:r>
      <w:r>
        <w:rPr>
          <w:rFonts w:asciiTheme="minorHAnsi" w:hAnsiTheme="minorHAnsi"/>
          <w:sz w:val="24"/>
        </w:rPr>
        <w:t>which were based on previous replacement practices</w:t>
      </w:r>
      <w:r w:rsidR="00BD7721">
        <w:rPr>
          <w:rFonts w:asciiTheme="minorHAnsi" w:hAnsiTheme="minorHAnsi"/>
          <w:sz w:val="24"/>
        </w:rPr>
        <w:t>)</w:t>
      </w:r>
      <w:r>
        <w:rPr>
          <w:rFonts w:asciiTheme="minorHAnsi" w:hAnsiTheme="minorHAnsi"/>
          <w:sz w:val="24"/>
        </w:rPr>
        <w:t xml:space="preserve"> this reinforces the view that the current rates of replacement are higher than used in the past, </w:t>
      </w:r>
      <w:r w:rsidR="00BD7721">
        <w:rPr>
          <w:rFonts w:asciiTheme="minorHAnsi" w:hAnsiTheme="minorHAnsi"/>
          <w:sz w:val="24"/>
        </w:rPr>
        <w:t xml:space="preserve">even </w:t>
      </w:r>
      <w:r>
        <w:rPr>
          <w:rFonts w:asciiTheme="minorHAnsi" w:hAnsiTheme="minorHAnsi"/>
          <w:sz w:val="24"/>
        </w:rPr>
        <w:t>when reliability and safety were maintained at the current levels</w:t>
      </w:r>
    </w:p>
    <w:p w:rsidR="00260F31" w:rsidRDefault="00823A66"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As a result, the earlier report raised the issue that the</w:t>
      </w:r>
      <w:r w:rsidR="00BD7721">
        <w:rPr>
          <w:rFonts w:asciiTheme="minorHAnsi" w:hAnsiTheme="minorHAnsi"/>
          <w:sz w:val="24"/>
        </w:rPr>
        <w:t>re</w:t>
      </w:r>
      <w:r>
        <w:rPr>
          <w:rFonts w:asciiTheme="minorHAnsi" w:hAnsiTheme="minorHAnsi"/>
          <w:sz w:val="24"/>
        </w:rPr>
        <w:t xml:space="preserve"> needed to be a more standardised approach (across the NEM) to setting rates of replacement for all network assets </w:t>
      </w:r>
      <w:r w:rsidR="00260F31">
        <w:rPr>
          <w:rFonts w:asciiTheme="minorHAnsi" w:hAnsiTheme="minorHAnsi"/>
          <w:sz w:val="24"/>
        </w:rPr>
        <w:t>and that these should be benchmarked. Specifically, this report considers that the benchmarks for rates of replacement should be carried out over the longer term, preferably over multiple regulatory periods and perhaps even into the periods when the assets were held by the vertically integrated electricity providers</w:t>
      </w:r>
      <w:r w:rsidR="00BD7721">
        <w:rPr>
          <w:rStyle w:val="FootnoteReference"/>
          <w:rFonts w:asciiTheme="minorHAnsi" w:hAnsiTheme="minorHAnsi"/>
          <w:sz w:val="24"/>
        </w:rPr>
        <w:footnoteReference w:id="9"/>
      </w:r>
      <w:r w:rsidR="00260F31">
        <w:rPr>
          <w:rFonts w:asciiTheme="minorHAnsi" w:hAnsiTheme="minorHAnsi"/>
          <w:sz w:val="24"/>
        </w:rPr>
        <w:t xml:space="preserve">. </w:t>
      </w:r>
      <w:r w:rsidR="00BD7721">
        <w:rPr>
          <w:rFonts w:asciiTheme="minorHAnsi" w:hAnsiTheme="minorHAnsi"/>
          <w:sz w:val="24"/>
        </w:rPr>
        <w:t xml:space="preserve">Additionally, </w:t>
      </w:r>
      <w:r w:rsidR="00260F31">
        <w:rPr>
          <w:rFonts w:asciiTheme="minorHAnsi" w:hAnsiTheme="minorHAnsi"/>
          <w:sz w:val="24"/>
        </w:rPr>
        <w:t xml:space="preserve">rates of replacement could be benchmarked using data from overseas as replacement rates </w:t>
      </w:r>
      <w:r w:rsidR="00BD7721">
        <w:rPr>
          <w:rFonts w:asciiTheme="minorHAnsi" w:hAnsiTheme="minorHAnsi"/>
          <w:sz w:val="24"/>
        </w:rPr>
        <w:t>are</w:t>
      </w:r>
      <w:r w:rsidR="00260F31">
        <w:rPr>
          <w:rFonts w:asciiTheme="minorHAnsi" w:hAnsiTheme="minorHAnsi"/>
          <w:sz w:val="24"/>
        </w:rPr>
        <w:t xml:space="preserve"> less influenced by geographical differences</w:t>
      </w:r>
      <w:r w:rsidR="00BD7721">
        <w:rPr>
          <w:rFonts w:asciiTheme="minorHAnsi" w:hAnsiTheme="minorHAnsi"/>
          <w:sz w:val="24"/>
        </w:rPr>
        <w:t xml:space="preserve"> than prices</w:t>
      </w:r>
      <w:r w:rsidR="00260F31">
        <w:rPr>
          <w:rFonts w:asciiTheme="minorHAnsi" w:hAnsiTheme="minorHAnsi"/>
          <w:sz w:val="24"/>
        </w:rPr>
        <w:t xml:space="preserve">. </w:t>
      </w:r>
    </w:p>
    <w:p w:rsidR="00260F31" w:rsidRDefault="00260F31"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draft decision highlights that a proportion of the repex in the last two years of the current period and the first year of the next period are related to the investment in the AMS (Ajilis) program – this is </w:t>
      </w:r>
      <w:r w:rsidR="00BD7721">
        <w:rPr>
          <w:rFonts w:asciiTheme="minorHAnsi" w:hAnsiTheme="minorHAnsi"/>
          <w:sz w:val="24"/>
        </w:rPr>
        <w:t xml:space="preserve">highlighted </w:t>
      </w:r>
      <w:r>
        <w:rPr>
          <w:rFonts w:asciiTheme="minorHAnsi" w:hAnsiTheme="minorHAnsi"/>
          <w:sz w:val="24"/>
        </w:rPr>
        <w:t>in the following chart (</w:t>
      </w:r>
      <w:r w:rsidR="00BD7721">
        <w:rPr>
          <w:rFonts w:asciiTheme="minorHAnsi" w:hAnsiTheme="minorHAnsi"/>
          <w:sz w:val="24"/>
        </w:rPr>
        <w:t xml:space="preserve">DD </w:t>
      </w:r>
      <w:r>
        <w:rPr>
          <w:rFonts w:asciiTheme="minorHAnsi" w:hAnsiTheme="minorHAnsi"/>
          <w:sz w:val="24"/>
        </w:rPr>
        <w:t>page 6-43)</w:t>
      </w:r>
    </w:p>
    <w:p w:rsidR="00260F31" w:rsidRDefault="00260F31"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noProof/>
          <w:sz w:val="24"/>
          <w:lang w:eastAsia="en-AU"/>
        </w:rPr>
        <w:lastRenderedPageBreak/>
        <w:drawing>
          <wp:inline distT="0" distB="0" distL="0" distR="0">
            <wp:extent cx="5486400" cy="414337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486400" cy="4143375"/>
                    </a:xfrm>
                    <a:prstGeom prst="rect">
                      <a:avLst/>
                    </a:prstGeom>
                    <a:noFill/>
                    <a:ln w="9525">
                      <a:noFill/>
                      <a:miter lim="800000"/>
                      <a:headEnd/>
                      <a:tailEnd/>
                    </a:ln>
                  </pic:spPr>
                </pic:pic>
              </a:graphicData>
            </a:graphic>
          </wp:inline>
        </w:drawing>
      </w:r>
    </w:p>
    <w:p w:rsidR="00225D52" w:rsidRDefault="00260F31"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Accepting that the AMS program could be excised</w:t>
      </w:r>
      <w:r w:rsidR="00BD7721">
        <w:rPr>
          <w:rFonts w:asciiTheme="minorHAnsi" w:hAnsiTheme="minorHAnsi"/>
          <w:sz w:val="24"/>
        </w:rPr>
        <w:t xml:space="preserve"> from more generalised repex</w:t>
      </w:r>
      <w:r>
        <w:rPr>
          <w:rFonts w:asciiTheme="minorHAnsi" w:hAnsiTheme="minorHAnsi"/>
          <w:sz w:val="24"/>
        </w:rPr>
        <w:t>, the resulting usage of repex in the period 2007-12 has an average repex of ~$</w:t>
      </w:r>
      <w:r w:rsidR="00225D52">
        <w:rPr>
          <w:rFonts w:asciiTheme="minorHAnsi" w:hAnsiTheme="minorHAnsi"/>
          <w:sz w:val="24"/>
        </w:rPr>
        <w:t>22</w:t>
      </w:r>
      <w:r>
        <w:rPr>
          <w:rFonts w:asciiTheme="minorHAnsi" w:hAnsiTheme="minorHAnsi"/>
          <w:sz w:val="24"/>
        </w:rPr>
        <w:t>m pa</w:t>
      </w:r>
      <w:r w:rsidR="00225D52">
        <w:rPr>
          <w:rFonts w:asciiTheme="minorHAnsi" w:hAnsiTheme="minorHAnsi"/>
          <w:sz w:val="24"/>
        </w:rPr>
        <w:t xml:space="preserve"> yet the current period (excluding AMS) has an average repex of ~$33m pa, a 50% increase between periods. The repex (less AMS) for the forecast period exceeds $40m pa</w:t>
      </w:r>
      <w:r w:rsidR="00BD7721">
        <w:rPr>
          <w:rFonts w:asciiTheme="minorHAnsi" w:hAnsiTheme="minorHAnsi"/>
          <w:sz w:val="24"/>
        </w:rPr>
        <w:t>,</w:t>
      </w:r>
      <w:r w:rsidR="00225D52">
        <w:rPr>
          <w:rFonts w:asciiTheme="minorHAnsi" w:hAnsiTheme="minorHAnsi"/>
          <w:sz w:val="24"/>
        </w:rPr>
        <w:t xml:space="preserve"> a further 25% increase. Compared to the repex in the 2007-12 period, the forecast repex is a massive 90% increase, yet based on the repex model</w:t>
      </w:r>
      <w:r w:rsidR="00BD7721">
        <w:rPr>
          <w:rFonts w:asciiTheme="minorHAnsi" w:hAnsiTheme="minorHAnsi"/>
          <w:sz w:val="24"/>
        </w:rPr>
        <w:t xml:space="preserve"> implies that </w:t>
      </w:r>
      <w:r w:rsidR="00225D52">
        <w:rPr>
          <w:rFonts w:asciiTheme="minorHAnsi" w:hAnsiTheme="minorHAnsi"/>
          <w:sz w:val="24"/>
        </w:rPr>
        <w:t xml:space="preserve">this increase is considered to reflect efficient repex. </w:t>
      </w:r>
      <w:r>
        <w:rPr>
          <w:rFonts w:asciiTheme="minorHAnsi" w:hAnsiTheme="minorHAnsi"/>
          <w:sz w:val="24"/>
        </w:rPr>
        <w:t xml:space="preserve"> </w:t>
      </w:r>
      <w:r w:rsidR="00823A66">
        <w:rPr>
          <w:rFonts w:asciiTheme="minorHAnsi" w:hAnsiTheme="minorHAnsi"/>
          <w:sz w:val="24"/>
        </w:rPr>
        <w:t xml:space="preserve">   </w:t>
      </w:r>
    </w:p>
    <w:p w:rsidR="0033534D" w:rsidRPr="00225D52" w:rsidRDefault="00225D52" w:rsidP="00DA3B2D">
      <w:pPr>
        <w:pStyle w:val="AERbulletlistfirststyle"/>
        <w:numPr>
          <w:ilvl w:val="0"/>
          <w:numId w:val="0"/>
        </w:numPr>
        <w:tabs>
          <w:tab w:val="clear" w:pos="357"/>
          <w:tab w:val="left" w:pos="0"/>
        </w:tabs>
        <w:spacing w:line="240" w:lineRule="auto"/>
        <w:rPr>
          <w:rFonts w:asciiTheme="minorHAnsi" w:hAnsiTheme="minorHAnsi" w:cstheme="minorHAnsi"/>
          <w:sz w:val="24"/>
        </w:rPr>
      </w:pPr>
      <w:r>
        <w:rPr>
          <w:rFonts w:asciiTheme="minorHAnsi" w:hAnsiTheme="minorHAnsi"/>
          <w:sz w:val="24"/>
        </w:rPr>
        <w:t>T</w:t>
      </w:r>
      <w:r w:rsidRPr="00225D52">
        <w:rPr>
          <w:rFonts w:asciiTheme="minorHAnsi" w:hAnsiTheme="minorHAnsi" w:cstheme="minorHAnsi"/>
          <w:sz w:val="24"/>
        </w:rPr>
        <w:t>he draft decision makes the observation that</w:t>
      </w:r>
      <w:r w:rsidR="00DA3B2D">
        <w:rPr>
          <w:rFonts w:asciiTheme="minorHAnsi" w:hAnsiTheme="minorHAnsi" w:cstheme="minorHAnsi"/>
          <w:sz w:val="24"/>
        </w:rPr>
        <w:t xml:space="preserve"> (page 6-44) </w:t>
      </w:r>
      <w:r w:rsidRPr="00225D52">
        <w:rPr>
          <w:rFonts w:asciiTheme="minorHAnsi" w:hAnsiTheme="minorHAnsi" w:cstheme="minorHAnsi"/>
          <w:sz w:val="24"/>
        </w:rPr>
        <w:t xml:space="preserve"> </w:t>
      </w:r>
      <w:r w:rsidR="00823A66" w:rsidRPr="00225D52">
        <w:rPr>
          <w:rFonts w:asciiTheme="minorHAnsi" w:hAnsiTheme="minorHAnsi" w:cstheme="minorHAnsi"/>
          <w:sz w:val="24"/>
        </w:rPr>
        <w:t xml:space="preserve">  </w:t>
      </w:r>
      <w:r w:rsidR="00FA57B7" w:rsidRPr="00225D52">
        <w:rPr>
          <w:rFonts w:asciiTheme="minorHAnsi" w:hAnsiTheme="minorHAnsi" w:cstheme="minorHAnsi"/>
          <w:sz w:val="24"/>
        </w:rPr>
        <w:t xml:space="preserve"> </w:t>
      </w:r>
      <w:r w:rsidR="0033534D" w:rsidRPr="00225D52">
        <w:rPr>
          <w:rFonts w:asciiTheme="minorHAnsi" w:hAnsiTheme="minorHAnsi" w:cstheme="minorHAnsi"/>
          <w:sz w:val="24"/>
        </w:rPr>
        <w:t xml:space="preserve"> </w:t>
      </w:r>
    </w:p>
    <w:p w:rsidR="00225D52" w:rsidRPr="00225D52" w:rsidRDefault="00DA3B2D" w:rsidP="00225D52">
      <w:pPr>
        <w:autoSpaceDE w:val="0"/>
        <w:autoSpaceDN w:val="0"/>
        <w:adjustRightInd w:val="0"/>
        <w:spacing w:line="240" w:lineRule="auto"/>
        <w:ind w:left="720"/>
        <w:jc w:val="left"/>
        <w:rPr>
          <w:rFonts w:eastAsia="Times New Roman" w:cstheme="minorHAnsi"/>
          <w:sz w:val="24"/>
          <w:szCs w:val="24"/>
          <w:lang w:val="en-AU" w:eastAsia="en-AU" w:bidi="ar-SA"/>
        </w:rPr>
      </w:pPr>
      <w:r>
        <w:rPr>
          <w:rFonts w:eastAsia="Times New Roman" w:cstheme="minorHAnsi"/>
          <w:color w:val="000000"/>
          <w:sz w:val="24"/>
          <w:szCs w:val="24"/>
          <w:lang w:val="en-AU" w:eastAsia="en-AU" w:bidi="ar-SA"/>
        </w:rPr>
        <w:t>“</w:t>
      </w:r>
      <w:r w:rsidR="00225D52" w:rsidRPr="00225D52">
        <w:rPr>
          <w:rFonts w:eastAsia="Times New Roman" w:cstheme="minorHAnsi"/>
          <w:color w:val="000000"/>
          <w:sz w:val="24"/>
          <w:szCs w:val="24"/>
          <w:lang w:val="en-AU" w:eastAsia="en-AU" w:bidi="ar-SA"/>
        </w:rPr>
        <w:t xml:space="preserve">TasNetworks' has submitted that its repex over the 2017–19 regulatory control period is driven by: </w:t>
      </w:r>
    </w:p>
    <w:p w:rsidR="00225D52" w:rsidRPr="00DA3B2D" w:rsidRDefault="00225D52" w:rsidP="00DA3B2D">
      <w:pPr>
        <w:pStyle w:val="ListParagraph"/>
        <w:numPr>
          <w:ilvl w:val="1"/>
          <w:numId w:val="32"/>
        </w:numPr>
        <w:autoSpaceDE w:val="0"/>
        <w:autoSpaceDN w:val="0"/>
        <w:adjustRightInd w:val="0"/>
        <w:spacing w:after="200"/>
        <w:jc w:val="left"/>
        <w:rPr>
          <w:rFonts w:asciiTheme="minorHAnsi" w:hAnsiTheme="minorHAnsi" w:cstheme="minorHAnsi"/>
          <w:color w:val="000000"/>
          <w:lang w:eastAsia="en-AU"/>
        </w:rPr>
      </w:pPr>
      <w:r w:rsidRPr="00DA3B2D">
        <w:rPr>
          <w:rFonts w:asciiTheme="minorHAnsi" w:hAnsiTheme="minorHAnsi" w:cstheme="minorHAnsi"/>
          <w:color w:val="000000"/>
          <w:lang w:eastAsia="en-AU"/>
        </w:rPr>
        <w:t xml:space="preserve">safety and environmental performance and compliance requirements; </w:t>
      </w:r>
    </w:p>
    <w:p w:rsidR="00225D52" w:rsidRPr="00DA3B2D" w:rsidRDefault="00225D52" w:rsidP="00DA3B2D">
      <w:pPr>
        <w:pStyle w:val="ListParagraph"/>
        <w:numPr>
          <w:ilvl w:val="1"/>
          <w:numId w:val="32"/>
        </w:numPr>
        <w:autoSpaceDE w:val="0"/>
        <w:autoSpaceDN w:val="0"/>
        <w:adjustRightInd w:val="0"/>
        <w:spacing w:after="200"/>
        <w:jc w:val="left"/>
        <w:rPr>
          <w:rFonts w:asciiTheme="minorHAnsi" w:hAnsiTheme="minorHAnsi" w:cstheme="minorHAnsi"/>
          <w:color w:val="000000"/>
          <w:lang w:eastAsia="en-AU"/>
        </w:rPr>
      </w:pPr>
      <w:r w:rsidRPr="00DA3B2D">
        <w:rPr>
          <w:rFonts w:asciiTheme="minorHAnsi" w:hAnsiTheme="minorHAnsi" w:cstheme="minorHAnsi"/>
          <w:color w:val="000000"/>
          <w:lang w:eastAsia="en-AU"/>
        </w:rPr>
        <w:t xml:space="preserve">asset condition and risk; </w:t>
      </w:r>
    </w:p>
    <w:p w:rsidR="00225D52" w:rsidRPr="00DA3B2D" w:rsidRDefault="00225D52" w:rsidP="00DA3B2D">
      <w:pPr>
        <w:pStyle w:val="ListParagraph"/>
        <w:numPr>
          <w:ilvl w:val="1"/>
          <w:numId w:val="32"/>
        </w:numPr>
        <w:autoSpaceDE w:val="0"/>
        <w:autoSpaceDN w:val="0"/>
        <w:adjustRightInd w:val="0"/>
        <w:spacing w:after="200"/>
        <w:jc w:val="left"/>
        <w:rPr>
          <w:rFonts w:asciiTheme="minorHAnsi" w:hAnsiTheme="minorHAnsi" w:cstheme="minorHAnsi"/>
          <w:color w:val="000000"/>
          <w:lang w:eastAsia="en-AU"/>
        </w:rPr>
      </w:pPr>
      <w:r w:rsidRPr="00DA3B2D">
        <w:rPr>
          <w:rFonts w:asciiTheme="minorHAnsi" w:hAnsiTheme="minorHAnsi" w:cstheme="minorHAnsi"/>
          <w:color w:val="000000"/>
          <w:lang w:eastAsia="en-AU"/>
        </w:rPr>
        <w:t xml:space="preserve">asset performance; </w:t>
      </w:r>
    </w:p>
    <w:p w:rsidR="00225D52" w:rsidRPr="00DA3B2D" w:rsidRDefault="00225D52" w:rsidP="00DA3B2D">
      <w:pPr>
        <w:pStyle w:val="ListParagraph"/>
        <w:numPr>
          <w:ilvl w:val="1"/>
          <w:numId w:val="32"/>
        </w:numPr>
        <w:autoSpaceDE w:val="0"/>
        <w:autoSpaceDN w:val="0"/>
        <w:adjustRightInd w:val="0"/>
        <w:spacing w:after="200"/>
        <w:jc w:val="left"/>
        <w:rPr>
          <w:rFonts w:asciiTheme="minorHAnsi" w:hAnsiTheme="minorHAnsi" w:cstheme="minorHAnsi"/>
          <w:color w:val="000000"/>
          <w:lang w:eastAsia="en-AU"/>
        </w:rPr>
      </w:pPr>
      <w:r w:rsidRPr="00DA3B2D">
        <w:rPr>
          <w:rFonts w:asciiTheme="minorHAnsi" w:hAnsiTheme="minorHAnsi" w:cstheme="minorHAnsi"/>
          <w:color w:val="000000"/>
          <w:lang w:eastAsia="en-AU"/>
        </w:rPr>
        <w:t xml:space="preserve">spares availability and product support; </w:t>
      </w:r>
    </w:p>
    <w:p w:rsidR="00225D52" w:rsidRPr="00DA3B2D" w:rsidRDefault="00225D52" w:rsidP="00DA3B2D">
      <w:pPr>
        <w:pStyle w:val="ListParagraph"/>
        <w:numPr>
          <w:ilvl w:val="1"/>
          <w:numId w:val="32"/>
        </w:numPr>
        <w:autoSpaceDE w:val="0"/>
        <w:autoSpaceDN w:val="0"/>
        <w:adjustRightInd w:val="0"/>
        <w:spacing w:after="200"/>
        <w:jc w:val="left"/>
        <w:rPr>
          <w:rFonts w:asciiTheme="minorHAnsi" w:hAnsiTheme="minorHAnsi" w:cstheme="minorHAnsi"/>
          <w:color w:val="000000"/>
          <w:lang w:eastAsia="en-AU"/>
        </w:rPr>
      </w:pPr>
      <w:r w:rsidRPr="00DA3B2D">
        <w:rPr>
          <w:rFonts w:asciiTheme="minorHAnsi" w:hAnsiTheme="minorHAnsi" w:cstheme="minorHAnsi"/>
          <w:color w:val="000000"/>
          <w:lang w:eastAsia="en-AU"/>
        </w:rPr>
        <w:t xml:space="preserve">technical obsolescence; and </w:t>
      </w:r>
    </w:p>
    <w:p w:rsidR="00225D52" w:rsidRPr="00DA3B2D" w:rsidRDefault="00225D52" w:rsidP="00DA3B2D">
      <w:pPr>
        <w:pStyle w:val="ListParagraph"/>
        <w:numPr>
          <w:ilvl w:val="1"/>
          <w:numId w:val="32"/>
        </w:numPr>
        <w:autoSpaceDE w:val="0"/>
        <w:autoSpaceDN w:val="0"/>
        <w:adjustRightInd w:val="0"/>
        <w:spacing w:after="200"/>
        <w:jc w:val="left"/>
        <w:rPr>
          <w:rFonts w:asciiTheme="minorHAnsi" w:hAnsiTheme="minorHAnsi" w:cstheme="minorHAnsi"/>
          <w:lang w:eastAsia="en-AU"/>
        </w:rPr>
      </w:pPr>
      <w:r w:rsidRPr="00DA3B2D">
        <w:rPr>
          <w:rFonts w:asciiTheme="minorHAnsi" w:hAnsiTheme="minorHAnsi" w:cstheme="minorHAnsi"/>
          <w:color w:val="000000"/>
          <w:lang w:eastAsia="en-AU"/>
        </w:rPr>
        <w:t>physical security.</w:t>
      </w:r>
    </w:p>
    <w:p w:rsidR="0033534D" w:rsidRPr="00225D52" w:rsidRDefault="00225D52" w:rsidP="00DA3B2D">
      <w:pPr>
        <w:autoSpaceDE w:val="0"/>
        <w:autoSpaceDN w:val="0"/>
        <w:adjustRightInd w:val="0"/>
        <w:spacing w:line="240" w:lineRule="auto"/>
        <w:ind w:left="720"/>
        <w:jc w:val="left"/>
        <w:rPr>
          <w:rFonts w:cstheme="minorHAnsi"/>
          <w:sz w:val="24"/>
          <w:szCs w:val="24"/>
        </w:rPr>
      </w:pPr>
      <w:r w:rsidRPr="00225D52">
        <w:rPr>
          <w:rFonts w:eastAsia="Times New Roman" w:cstheme="minorHAnsi"/>
          <w:color w:val="000000"/>
          <w:sz w:val="24"/>
          <w:szCs w:val="24"/>
          <w:lang w:val="en-AU" w:eastAsia="en-AU" w:bidi="ar-SA"/>
        </w:rPr>
        <w:t>We have been mindful of the above trends and the reasons TasNetworks has provided</w:t>
      </w:r>
      <w:r w:rsidR="00DA3B2D">
        <w:rPr>
          <w:rFonts w:eastAsia="Times New Roman" w:cstheme="minorHAnsi"/>
          <w:color w:val="000000"/>
          <w:sz w:val="24"/>
          <w:szCs w:val="24"/>
          <w:lang w:val="en-AU" w:eastAsia="en-AU" w:bidi="ar-SA"/>
        </w:rPr>
        <w:t xml:space="preserve"> </w:t>
      </w:r>
      <w:r w:rsidRPr="00225D52">
        <w:rPr>
          <w:rFonts w:eastAsia="Times New Roman" w:cstheme="minorHAnsi"/>
          <w:color w:val="000000"/>
          <w:sz w:val="24"/>
          <w:szCs w:val="24"/>
          <w:lang w:val="en-AU" w:eastAsia="en-AU" w:bidi="ar-SA"/>
        </w:rPr>
        <w:t>in assessing the repex allowance required for the 2016–20 regulatory control period.</w:t>
      </w:r>
      <w:r w:rsidR="00DA3B2D">
        <w:rPr>
          <w:rFonts w:eastAsia="Times New Roman" w:cstheme="minorHAnsi"/>
          <w:color w:val="000000"/>
          <w:sz w:val="24"/>
          <w:szCs w:val="24"/>
          <w:lang w:val="en-AU" w:eastAsia="en-AU" w:bidi="ar-SA"/>
        </w:rPr>
        <w:t>”</w:t>
      </w:r>
    </w:p>
    <w:p w:rsidR="0033534D" w:rsidRDefault="00DA3B2D"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lastRenderedPageBreak/>
        <w:t xml:space="preserve">This report notes that these self same issues applied in the period 2007-2012 and despite a much lower repex, TND was still able to accommodate </w:t>
      </w:r>
      <w:r w:rsidR="00BD7721">
        <w:rPr>
          <w:rFonts w:asciiTheme="minorHAnsi" w:hAnsiTheme="minorHAnsi"/>
          <w:sz w:val="24"/>
        </w:rPr>
        <w:t xml:space="preserve">all of </w:t>
      </w:r>
      <w:r>
        <w:rPr>
          <w:rFonts w:asciiTheme="minorHAnsi" w:hAnsiTheme="minorHAnsi"/>
          <w:sz w:val="24"/>
        </w:rPr>
        <w:t xml:space="preserve">these </w:t>
      </w:r>
      <w:r w:rsidR="00BD7721">
        <w:rPr>
          <w:rFonts w:asciiTheme="minorHAnsi" w:hAnsiTheme="minorHAnsi"/>
          <w:sz w:val="24"/>
        </w:rPr>
        <w:t>requirements</w:t>
      </w:r>
      <w:r w:rsidR="0071172E">
        <w:rPr>
          <w:rFonts w:asciiTheme="minorHAnsi" w:hAnsiTheme="minorHAnsi"/>
          <w:sz w:val="24"/>
        </w:rPr>
        <w:t>.</w:t>
      </w:r>
    </w:p>
    <w:p w:rsidR="0071172E" w:rsidRDefault="0071172E"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This report also notes that the repex modelling resulted in (page 6-42):</w:t>
      </w:r>
    </w:p>
    <w:p w:rsidR="0033534D" w:rsidRPr="0071172E" w:rsidRDefault="0071172E" w:rsidP="0071172E">
      <w:pPr>
        <w:autoSpaceDE w:val="0"/>
        <w:autoSpaceDN w:val="0"/>
        <w:adjustRightInd w:val="0"/>
        <w:spacing w:line="240" w:lineRule="auto"/>
        <w:ind w:left="720"/>
        <w:jc w:val="left"/>
        <w:rPr>
          <w:rFonts w:cstheme="minorHAnsi"/>
          <w:sz w:val="24"/>
          <w:szCs w:val="24"/>
        </w:rPr>
      </w:pPr>
      <w:r>
        <w:rPr>
          <w:rFonts w:eastAsia="Times New Roman" w:cstheme="minorHAnsi"/>
          <w:color w:val="000000"/>
          <w:sz w:val="24"/>
          <w:szCs w:val="24"/>
          <w:lang w:val="en-AU" w:eastAsia="en-AU" w:bidi="ar-SA"/>
        </w:rPr>
        <w:t>“</w:t>
      </w:r>
      <w:r w:rsidRPr="0071172E">
        <w:rPr>
          <w:rFonts w:eastAsia="Times New Roman" w:cstheme="minorHAnsi"/>
          <w:color w:val="000000"/>
          <w:sz w:val="24"/>
          <w:szCs w:val="24"/>
          <w:lang w:val="en-AU" w:eastAsia="en-AU" w:bidi="ar-SA"/>
        </w:rPr>
        <w:t>TasNetworks' forecast for the modelled categories [being] significantly lower than the repex model estimate derived from its past replacement practices, and is closer to (though slightly higher than) a benchmark derived from other service providers.</w:t>
      </w:r>
      <w:r>
        <w:rPr>
          <w:rFonts w:eastAsia="Times New Roman" w:cstheme="minorHAnsi"/>
          <w:color w:val="000000"/>
          <w:sz w:val="24"/>
          <w:szCs w:val="24"/>
          <w:lang w:val="en-AU" w:eastAsia="en-AU" w:bidi="ar-SA"/>
        </w:rPr>
        <w:t>”</w:t>
      </w:r>
    </w:p>
    <w:p w:rsidR="0033534D" w:rsidRDefault="0071172E" w:rsidP="0071172E">
      <w:pPr>
        <w:pStyle w:val="AERbulletlistfirststyle"/>
        <w:numPr>
          <w:ilvl w:val="0"/>
          <w:numId w:val="0"/>
        </w:numPr>
        <w:tabs>
          <w:tab w:val="clear" w:pos="357"/>
          <w:tab w:val="left" w:pos="0"/>
        </w:tabs>
        <w:spacing w:line="240" w:lineRule="auto"/>
        <w:rPr>
          <w:rFonts w:asciiTheme="minorHAnsi" w:hAnsiTheme="minorHAnsi" w:cstheme="minorHAnsi"/>
          <w:sz w:val="24"/>
        </w:rPr>
      </w:pPr>
      <w:r>
        <w:rPr>
          <w:rFonts w:asciiTheme="minorHAnsi" w:hAnsiTheme="minorHAnsi" w:cstheme="minorHAnsi"/>
          <w:sz w:val="24"/>
        </w:rPr>
        <w:t xml:space="preserve">As all networks in the NEM have increased their repex in the current round of regulatory reviews and overspent on repex compared to the allowances provided, it could be assumed that rates of replacement of assets has increased across all networks so the benchmark replacement rates used to compare the repex modelling for TND would also be expected to be inflated from previous replacement rates exhibited by networks prior to the periods exhibiting the inflated repex usage. </w:t>
      </w:r>
    </w:p>
    <w:p w:rsidR="00B034A5" w:rsidRDefault="0071172E" w:rsidP="0071172E">
      <w:pPr>
        <w:pStyle w:val="AERbulletlistfirststyle"/>
        <w:numPr>
          <w:ilvl w:val="0"/>
          <w:numId w:val="0"/>
        </w:numPr>
        <w:tabs>
          <w:tab w:val="clear" w:pos="357"/>
          <w:tab w:val="left" w:pos="0"/>
        </w:tabs>
        <w:spacing w:line="240" w:lineRule="auto"/>
        <w:rPr>
          <w:rFonts w:asciiTheme="minorHAnsi" w:hAnsiTheme="minorHAnsi" w:cstheme="minorHAnsi"/>
          <w:sz w:val="24"/>
        </w:rPr>
      </w:pPr>
      <w:r>
        <w:rPr>
          <w:rFonts w:asciiTheme="minorHAnsi" w:hAnsiTheme="minorHAnsi" w:cstheme="minorHAnsi"/>
          <w:sz w:val="24"/>
        </w:rPr>
        <w:t xml:space="preserve">This report considers that there is considerable doubt about </w:t>
      </w:r>
      <w:r w:rsidRPr="00BD7721">
        <w:rPr>
          <w:rFonts w:asciiTheme="minorHAnsi" w:hAnsiTheme="minorHAnsi" w:cstheme="minorHAnsi"/>
          <w:sz w:val="24"/>
        </w:rPr>
        <w:t>the</w:t>
      </w:r>
      <w:r w:rsidRPr="009D3B17">
        <w:rPr>
          <w:rFonts w:asciiTheme="minorHAnsi" w:hAnsiTheme="minorHAnsi" w:cstheme="minorHAnsi"/>
          <w:b/>
          <w:sz w:val="24"/>
        </w:rPr>
        <w:t xml:space="preserve"> inputs </w:t>
      </w:r>
      <w:r w:rsidRPr="00BD7721">
        <w:rPr>
          <w:rFonts w:asciiTheme="minorHAnsi" w:hAnsiTheme="minorHAnsi" w:cstheme="minorHAnsi"/>
          <w:sz w:val="24"/>
        </w:rPr>
        <w:t>used</w:t>
      </w:r>
      <w:r>
        <w:rPr>
          <w:rFonts w:asciiTheme="minorHAnsi" w:hAnsiTheme="minorHAnsi" w:cstheme="minorHAnsi"/>
          <w:sz w:val="24"/>
        </w:rPr>
        <w:t xml:space="preserve"> in the repex modelling </w:t>
      </w:r>
      <w:r w:rsidR="009D3B17">
        <w:rPr>
          <w:rFonts w:asciiTheme="minorHAnsi" w:hAnsiTheme="minorHAnsi" w:cstheme="minorHAnsi"/>
          <w:sz w:val="24"/>
        </w:rPr>
        <w:t xml:space="preserve">(although it agrees that the repex model approach provides a significant benefit) </w:t>
      </w:r>
      <w:r>
        <w:rPr>
          <w:rFonts w:asciiTheme="minorHAnsi" w:hAnsiTheme="minorHAnsi" w:cstheme="minorHAnsi"/>
          <w:sz w:val="24"/>
        </w:rPr>
        <w:t xml:space="preserve">and this </w:t>
      </w:r>
      <w:r w:rsidR="00BD7721">
        <w:rPr>
          <w:rFonts w:asciiTheme="minorHAnsi" w:hAnsiTheme="minorHAnsi" w:cstheme="minorHAnsi"/>
          <w:sz w:val="24"/>
        </w:rPr>
        <w:t xml:space="preserve">concern </w:t>
      </w:r>
      <w:r>
        <w:rPr>
          <w:rFonts w:asciiTheme="minorHAnsi" w:hAnsiTheme="minorHAnsi" w:cstheme="minorHAnsi"/>
          <w:sz w:val="24"/>
        </w:rPr>
        <w:t>has been highlighted in other CCP reports (eg CCP3 reports on the Victorian networks reviews)</w:t>
      </w:r>
      <w:r w:rsidR="00B034A5">
        <w:rPr>
          <w:rStyle w:val="FootnoteReference"/>
          <w:rFonts w:asciiTheme="minorHAnsi" w:hAnsiTheme="minorHAnsi" w:cstheme="minorHAnsi"/>
          <w:sz w:val="24"/>
        </w:rPr>
        <w:footnoteReference w:id="10"/>
      </w:r>
      <w:r>
        <w:rPr>
          <w:rFonts w:asciiTheme="minorHAnsi" w:hAnsiTheme="minorHAnsi" w:cstheme="minorHAnsi"/>
          <w:sz w:val="24"/>
        </w:rPr>
        <w:t xml:space="preserve">. </w:t>
      </w:r>
    </w:p>
    <w:p w:rsidR="0071172E" w:rsidRPr="0071172E" w:rsidRDefault="009D3B17" w:rsidP="0071172E">
      <w:pPr>
        <w:pStyle w:val="AERbulletlistfirststyle"/>
        <w:numPr>
          <w:ilvl w:val="0"/>
          <w:numId w:val="0"/>
        </w:numPr>
        <w:tabs>
          <w:tab w:val="clear" w:pos="357"/>
          <w:tab w:val="left" w:pos="0"/>
        </w:tabs>
        <w:spacing w:line="240" w:lineRule="auto"/>
        <w:rPr>
          <w:rFonts w:asciiTheme="minorHAnsi" w:hAnsiTheme="minorHAnsi" w:cstheme="minorHAnsi"/>
          <w:sz w:val="24"/>
        </w:rPr>
      </w:pPr>
      <w:r>
        <w:rPr>
          <w:rFonts w:asciiTheme="minorHAnsi" w:hAnsiTheme="minorHAnsi" w:cstheme="minorHAnsi"/>
          <w:sz w:val="24"/>
        </w:rPr>
        <w:t xml:space="preserve">It is also clear that all networks are using the AER repex model and </w:t>
      </w:r>
      <w:r w:rsidR="00BD7721">
        <w:rPr>
          <w:rFonts w:asciiTheme="minorHAnsi" w:hAnsiTheme="minorHAnsi" w:cstheme="minorHAnsi"/>
          <w:sz w:val="24"/>
        </w:rPr>
        <w:t xml:space="preserve">that </w:t>
      </w:r>
      <w:r>
        <w:rPr>
          <w:rFonts w:asciiTheme="minorHAnsi" w:hAnsiTheme="minorHAnsi" w:cstheme="minorHAnsi"/>
          <w:sz w:val="24"/>
        </w:rPr>
        <w:t xml:space="preserve">modelling </w:t>
      </w:r>
      <w:r w:rsidR="00BD7721">
        <w:rPr>
          <w:rFonts w:asciiTheme="minorHAnsi" w:hAnsiTheme="minorHAnsi" w:cstheme="minorHAnsi"/>
          <w:sz w:val="24"/>
        </w:rPr>
        <w:t xml:space="preserve">provides </w:t>
      </w:r>
      <w:r>
        <w:rPr>
          <w:rFonts w:asciiTheme="minorHAnsi" w:hAnsiTheme="minorHAnsi" w:cstheme="minorHAnsi"/>
          <w:sz w:val="24"/>
        </w:rPr>
        <w:t xml:space="preserve">outputs that are considered by the networks to be acceptable to them. The concern remains that it is the </w:t>
      </w:r>
      <w:r w:rsidRPr="00EE7623">
        <w:rPr>
          <w:rFonts w:asciiTheme="minorHAnsi" w:hAnsiTheme="minorHAnsi" w:cstheme="minorHAnsi"/>
          <w:b/>
          <w:sz w:val="24"/>
        </w:rPr>
        <w:t>inputs</w:t>
      </w:r>
      <w:r>
        <w:rPr>
          <w:rFonts w:asciiTheme="minorHAnsi" w:hAnsiTheme="minorHAnsi" w:cstheme="minorHAnsi"/>
          <w:sz w:val="24"/>
        </w:rPr>
        <w:t xml:space="preserve"> used that must be more closely examined otherwise future consumers will have a legacy of high RABs reflecting low utilisation and therefore imposing a considerable financial impost for future generations. </w:t>
      </w:r>
    </w:p>
    <w:p w:rsidR="0071172E" w:rsidRDefault="009D3B17" w:rsidP="004E361A">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In conclusion, this report remains of the view that the repex claimed by TND and allowed in the draft decision is too high and probably only needs to be $30-$40m pa as allowed by the AER in its 2012 assessment for the current period.   </w:t>
      </w:r>
    </w:p>
    <w:p w:rsidR="006657A3" w:rsidRDefault="006657A3" w:rsidP="004E361A">
      <w:pPr>
        <w:pStyle w:val="AERbulletlistfirststyle"/>
        <w:numPr>
          <w:ilvl w:val="0"/>
          <w:numId w:val="0"/>
        </w:numPr>
        <w:tabs>
          <w:tab w:val="clear" w:pos="357"/>
          <w:tab w:val="left" w:pos="0"/>
        </w:tabs>
        <w:spacing w:line="240" w:lineRule="auto"/>
        <w:rPr>
          <w:rFonts w:asciiTheme="minorHAnsi" w:hAnsiTheme="minorHAnsi"/>
          <w:b/>
          <w:sz w:val="24"/>
        </w:rPr>
      </w:pPr>
    </w:p>
    <w:p w:rsidR="00173437" w:rsidRPr="00173437" w:rsidRDefault="00173437" w:rsidP="004E361A">
      <w:pPr>
        <w:pStyle w:val="AERbulletlistfirststyle"/>
        <w:numPr>
          <w:ilvl w:val="0"/>
          <w:numId w:val="0"/>
        </w:numPr>
        <w:tabs>
          <w:tab w:val="clear" w:pos="357"/>
          <w:tab w:val="left" w:pos="0"/>
        </w:tabs>
        <w:spacing w:line="240" w:lineRule="auto"/>
        <w:rPr>
          <w:rFonts w:asciiTheme="minorHAnsi" w:hAnsiTheme="minorHAnsi"/>
          <w:b/>
          <w:sz w:val="24"/>
        </w:rPr>
      </w:pPr>
      <w:r w:rsidRPr="00173437">
        <w:rPr>
          <w:rFonts w:asciiTheme="minorHAnsi" w:hAnsiTheme="minorHAnsi"/>
          <w:b/>
          <w:sz w:val="24"/>
        </w:rPr>
        <w:t>6.</w:t>
      </w:r>
      <w:r w:rsidR="006657A3">
        <w:rPr>
          <w:rFonts w:asciiTheme="minorHAnsi" w:hAnsiTheme="minorHAnsi"/>
          <w:b/>
          <w:sz w:val="24"/>
        </w:rPr>
        <w:t>5</w:t>
      </w:r>
      <w:r w:rsidRPr="00173437">
        <w:rPr>
          <w:rFonts w:asciiTheme="minorHAnsi" w:hAnsiTheme="minorHAnsi"/>
          <w:b/>
          <w:sz w:val="24"/>
        </w:rPr>
        <w:t xml:space="preserve"> IT, AMS and communications</w:t>
      </w:r>
    </w:p>
    <w:p w:rsidR="00B034A5" w:rsidRDefault="00B034A5" w:rsidP="00B034A5">
      <w:pPr>
        <w:pStyle w:val="AERbulletlistfirststyle"/>
        <w:numPr>
          <w:ilvl w:val="0"/>
          <w:numId w:val="0"/>
        </w:numPr>
        <w:tabs>
          <w:tab w:val="clear" w:pos="357"/>
          <w:tab w:val="left" w:pos="0"/>
        </w:tabs>
        <w:spacing w:line="240" w:lineRule="auto"/>
        <w:rPr>
          <w:rFonts w:asciiTheme="minorHAnsi" w:hAnsiTheme="minorHAnsi"/>
          <w:sz w:val="24"/>
        </w:rPr>
      </w:pPr>
      <w:r>
        <w:rPr>
          <w:rStyle w:val="AERbody"/>
          <w:rFonts w:asciiTheme="minorHAnsi" w:hAnsiTheme="minorHAnsi"/>
          <w:sz w:val="24"/>
        </w:rPr>
        <w:t xml:space="preserve">In the earlier report, it was </w:t>
      </w:r>
      <w:r>
        <w:rPr>
          <w:rFonts w:asciiTheme="minorHAnsi" w:hAnsiTheme="minorHAnsi"/>
          <w:sz w:val="24"/>
        </w:rPr>
        <w:t xml:space="preserve">accepted (with reluctance) that the Ajilis </w:t>
      </w:r>
      <w:r w:rsidR="00210DC7">
        <w:rPr>
          <w:rFonts w:asciiTheme="minorHAnsi" w:hAnsiTheme="minorHAnsi"/>
          <w:sz w:val="24"/>
        </w:rPr>
        <w:t>AMS</w:t>
      </w:r>
      <w:r>
        <w:rPr>
          <w:rFonts w:asciiTheme="minorHAnsi" w:hAnsiTheme="minorHAnsi"/>
          <w:sz w:val="24"/>
        </w:rPr>
        <w:t xml:space="preserve"> program should continue but that the AER must seek from TND the business case </w:t>
      </w:r>
      <w:r w:rsidRPr="00F61082">
        <w:rPr>
          <w:rFonts w:asciiTheme="minorHAnsi" w:hAnsiTheme="minorHAnsi"/>
          <w:b/>
          <w:sz w:val="24"/>
        </w:rPr>
        <w:t>in terms of consumer benefit</w:t>
      </w:r>
      <w:r>
        <w:rPr>
          <w:rFonts w:asciiTheme="minorHAnsi" w:hAnsiTheme="minorHAnsi"/>
          <w:sz w:val="24"/>
        </w:rPr>
        <w:t xml:space="preserve"> why the AER should allow the Ajilis project to be implemented and added to the RAB over the period of 10 years that TND wanted to depreciate the AMS over. </w:t>
      </w:r>
    </w:p>
    <w:p w:rsidR="00210DC7" w:rsidRDefault="00210DC7" w:rsidP="00B034A5">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The draft decision states (page 6-51) that the AER is satisfied</w:t>
      </w:r>
    </w:p>
    <w:p w:rsidR="00210DC7" w:rsidRPr="00210DC7" w:rsidRDefault="00210DC7" w:rsidP="00210DC7">
      <w:pPr>
        <w:autoSpaceDE w:val="0"/>
        <w:autoSpaceDN w:val="0"/>
        <w:adjustRightInd w:val="0"/>
        <w:spacing w:line="240" w:lineRule="auto"/>
        <w:ind w:left="720"/>
        <w:jc w:val="left"/>
        <w:rPr>
          <w:rFonts w:eastAsia="Times New Roman" w:cstheme="minorHAnsi"/>
          <w:sz w:val="24"/>
          <w:szCs w:val="24"/>
          <w:lang w:val="en-AU" w:eastAsia="en-AU" w:bidi="ar-SA"/>
        </w:rPr>
      </w:pPr>
      <w:r>
        <w:rPr>
          <w:rFonts w:eastAsia="Times New Roman" w:cstheme="minorHAnsi"/>
          <w:color w:val="000000"/>
          <w:sz w:val="24"/>
          <w:szCs w:val="24"/>
          <w:lang w:val="en-AU" w:eastAsia="en-AU" w:bidi="ar-SA"/>
        </w:rPr>
        <w:lastRenderedPageBreak/>
        <w:t>“...</w:t>
      </w:r>
      <w:r w:rsidRPr="00210DC7">
        <w:rPr>
          <w:rFonts w:eastAsia="Times New Roman" w:cstheme="minorHAnsi"/>
          <w:color w:val="000000"/>
          <w:sz w:val="24"/>
          <w:szCs w:val="24"/>
          <w:lang w:val="en-AU" w:eastAsia="en-AU" w:bidi="ar-SA"/>
        </w:rPr>
        <w:t>that TasNetworks’ proposed AMS capex is prudent and efficient.</w:t>
      </w:r>
      <w:r>
        <w:rPr>
          <w:rFonts w:eastAsia="Times New Roman" w:cstheme="minorHAnsi"/>
          <w:color w:val="000000"/>
          <w:sz w:val="24"/>
          <w:szCs w:val="24"/>
          <w:lang w:val="en-AU" w:eastAsia="en-AU" w:bidi="ar-SA"/>
        </w:rPr>
        <w:t xml:space="preserve"> </w:t>
      </w:r>
      <w:r w:rsidRPr="00210DC7">
        <w:rPr>
          <w:rFonts w:eastAsia="Times New Roman" w:cstheme="minorHAnsi"/>
          <w:color w:val="000000"/>
          <w:sz w:val="24"/>
          <w:szCs w:val="24"/>
          <w:lang w:val="en-AU" w:eastAsia="en-AU" w:bidi="ar-SA"/>
        </w:rPr>
        <w:t>TasNetworks provided a positive business case in support of its forecast capex. We</w:t>
      </w:r>
      <w:r>
        <w:rPr>
          <w:rFonts w:eastAsia="Times New Roman" w:cstheme="minorHAnsi"/>
          <w:color w:val="000000"/>
          <w:sz w:val="24"/>
          <w:szCs w:val="24"/>
          <w:lang w:val="en-AU" w:eastAsia="en-AU" w:bidi="ar-SA"/>
        </w:rPr>
        <w:t xml:space="preserve"> </w:t>
      </w:r>
      <w:r w:rsidRPr="00210DC7">
        <w:rPr>
          <w:rFonts w:eastAsia="Times New Roman" w:cstheme="minorHAnsi"/>
          <w:color w:val="000000"/>
          <w:sz w:val="24"/>
          <w:szCs w:val="24"/>
          <w:lang w:val="en-AU" w:eastAsia="en-AU" w:bidi="ar-SA"/>
        </w:rPr>
        <w:t xml:space="preserve">have reviewed this business case, and consider that: </w:t>
      </w:r>
    </w:p>
    <w:p w:rsidR="00210DC7" w:rsidRPr="00210DC7" w:rsidRDefault="00210DC7" w:rsidP="00210DC7">
      <w:pPr>
        <w:pStyle w:val="ListParagraph"/>
        <w:numPr>
          <w:ilvl w:val="1"/>
          <w:numId w:val="32"/>
        </w:numPr>
        <w:autoSpaceDE w:val="0"/>
        <w:autoSpaceDN w:val="0"/>
        <w:adjustRightInd w:val="0"/>
        <w:jc w:val="left"/>
        <w:rPr>
          <w:rFonts w:asciiTheme="minorHAnsi" w:hAnsiTheme="minorHAnsi" w:cstheme="minorHAnsi"/>
          <w:lang w:eastAsia="en-AU"/>
        </w:rPr>
      </w:pPr>
      <w:r w:rsidRPr="00210DC7">
        <w:rPr>
          <w:rFonts w:asciiTheme="minorHAnsi" w:hAnsiTheme="minorHAnsi" w:cstheme="minorHAnsi"/>
          <w:color w:val="000000"/>
          <w:lang w:eastAsia="en-AU"/>
        </w:rPr>
        <w:t xml:space="preserve">the need for the investment has been previously identified in the current regulatory control period </w:t>
      </w:r>
    </w:p>
    <w:p w:rsidR="00210DC7" w:rsidRPr="00210DC7" w:rsidRDefault="00210DC7" w:rsidP="00210DC7">
      <w:pPr>
        <w:pStyle w:val="ListParagraph"/>
        <w:numPr>
          <w:ilvl w:val="1"/>
          <w:numId w:val="32"/>
        </w:numPr>
        <w:autoSpaceDE w:val="0"/>
        <w:autoSpaceDN w:val="0"/>
        <w:adjustRightInd w:val="0"/>
        <w:jc w:val="left"/>
        <w:rPr>
          <w:rFonts w:asciiTheme="minorHAnsi" w:hAnsiTheme="minorHAnsi" w:cstheme="minorHAnsi"/>
          <w:lang w:eastAsia="en-AU"/>
        </w:rPr>
      </w:pPr>
      <w:r w:rsidRPr="00210DC7">
        <w:rPr>
          <w:rFonts w:asciiTheme="minorHAnsi" w:hAnsiTheme="minorHAnsi" w:cstheme="minorHAnsi"/>
          <w:color w:val="000000"/>
          <w:lang w:eastAsia="en-AU"/>
        </w:rPr>
        <w:t xml:space="preserve">the options analysis was sufficiently granular in identifying the range of feasible options </w:t>
      </w:r>
    </w:p>
    <w:p w:rsidR="00210DC7" w:rsidRPr="00210DC7" w:rsidRDefault="00210DC7" w:rsidP="00210DC7">
      <w:pPr>
        <w:pStyle w:val="ListParagraph"/>
        <w:numPr>
          <w:ilvl w:val="1"/>
          <w:numId w:val="32"/>
        </w:numPr>
        <w:autoSpaceDE w:val="0"/>
        <w:autoSpaceDN w:val="0"/>
        <w:adjustRightInd w:val="0"/>
        <w:jc w:val="left"/>
        <w:rPr>
          <w:rFonts w:asciiTheme="minorHAnsi" w:hAnsiTheme="minorHAnsi" w:cstheme="minorHAnsi"/>
          <w:lang w:eastAsia="en-AU"/>
        </w:rPr>
      </w:pPr>
      <w:r w:rsidRPr="00210DC7">
        <w:rPr>
          <w:rFonts w:asciiTheme="minorHAnsi" w:hAnsiTheme="minorHAnsi" w:cstheme="minorHAnsi"/>
          <w:color w:val="000000"/>
          <w:lang w:eastAsia="en-AU"/>
        </w:rPr>
        <w:t xml:space="preserve">project costs were subject to an open tender process, such that we are reasonably satisfied that TasNetworks’ proposed costs are prudent and efficient </w:t>
      </w:r>
    </w:p>
    <w:p w:rsidR="00210DC7" w:rsidRPr="00210DC7" w:rsidRDefault="00210DC7" w:rsidP="00210DC7">
      <w:pPr>
        <w:pStyle w:val="AERbulletlistfirststyle"/>
        <w:numPr>
          <w:ilvl w:val="1"/>
          <w:numId w:val="32"/>
        </w:numPr>
        <w:tabs>
          <w:tab w:val="clear" w:pos="357"/>
          <w:tab w:val="left" w:pos="0"/>
        </w:tabs>
        <w:spacing w:line="240" w:lineRule="auto"/>
        <w:rPr>
          <w:rFonts w:asciiTheme="minorHAnsi" w:hAnsiTheme="minorHAnsi" w:cstheme="minorHAnsi"/>
          <w:sz w:val="24"/>
        </w:rPr>
      </w:pPr>
      <w:r w:rsidRPr="00210DC7">
        <w:rPr>
          <w:rFonts w:asciiTheme="minorHAnsi" w:hAnsiTheme="minorHAnsi" w:cstheme="minorHAnsi"/>
          <w:color w:val="000000"/>
          <w:sz w:val="24"/>
          <w:lang w:eastAsia="en-AU"/>
        </w:rPr>
        <w:t>the lowest cost feasible option was selected.</w:t>
      </w:r>
      <w:r>
        <w:rPr>
          <w:rFonts w:asciiTheme="minorHAnsi" w:hAnsiTheme="minorHAnsi" w:cstheme="minorHAnsi"/>
          <w:color w:val="000000"/>
          <w:sz w:val="24"/>
          <w:lang w:eastAsia="en-AU"/>
        </w:rPr>
        <w:t>”</w:t>
      </w:r>
    </w:p>
    <w:p w:rsidR="00210DC7" w:rsidRDefault="00210DC7" w:rsidP="00B034A5">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While this report accepts the assertions of the AER, it would be better if such a business case was made public so that consumers can see what is expected of the investment and where and how the benefits arise</w:t>
      </w:r>
      <w:r w:rsidR="00EE7623">
        <w:rPr>
          <w:rFonts w:asciiTheme="minorHAnsi" w:hAnsiTheme="minorHAnsi"/>
          <w:sz w:val="24"/>
        </w:rPr>
        <w:t>; consumer can than assess whether the forecast benefits have in fact been delivered and so inform future business cases for expenditure</w:t>
      </w:r>
      <w:r>
        <w:rPr>
          <w:rFonts w:asciiTheme="minorHAnsi" w:hAnsiTheme="minorHAnsi"/>
          <w:sz w:val="24"/>
        </w:rPr>
        <w:t xml:space="preserve">. </w:t>
      </w:r>
    </w:p>
    <w:p w:rsidR="00210DC7" w:rsidRDefault="00210DC7" w:rsidP="00B034A5">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AER comments (page 6-52) that the outturn of the AMS program is a forecast reduction in repex over the coming years to 2022. It will be interesting to see if the repex post 2022 shows a continuing decline. </w:t>
      </w:r>
    </w:p>
    <w:p w:rsidR="001738D0" w:rsidRDefault="001738D0" w:rsidP="00B034A5">
      <w:pPr>
        <w:pStyle w:val="AERbulletlistfirststyle"/>
        <w:numPr>
          <w:ilvl w:val="0"/>
          <w:numId w:val="0"/>
        </w:numPr>
        <w:tabs>
          <w:tab w:val="clear" w:pos="357"/>
          <w:tab w:val="left" w:pos="0"/>
        </w:tabs>
        <w:spacing w:line="240" w:lineRule="auto"/>
        <w:rPr>
          <w:rFonts w:asciiTheme="minorHAnsi" w:hAnsiTheme="minorHAnsi"/>
          <w:sz w:val="24"/>
        </w:rPr>
      </w:pPr>
    </w:p>
    <w:p w:rsidR="00053A9E" w:rsidRPr="00097E05" w:rsidRDefault="00097E05" w:rsidP="00053A9E">
      <w:pPr>
        <w:pStyle w:val="AERbulletlistfirststyle"/>
        <w:numPr>
          <w:ilvl w:val="0"/>
          <w:numId w:val="0"/>
        </w:numPr>
        <w:tabs>
          <w:tab w:val="clear" w:pos="357"/>
          <w:tab w:val="left" w:pos="0"/>
        </w:tabs>
        <w:spacing w:line="240" w:lineRule="auto"/>
        <w:rPr>
          <w:rFonts w:asciiTheme="minorHAnsi" w:hAnsiTheme="minorHAnsi"/>
          <w:b/>
          <w:sz w:val="24"/>
        </w:rPr>
      </w:pPr>
      <w:r w:rsidRPr="00097E05">
        <w:rPr>
          <w:rFonts w:asciiTheme="minorHAnsi" w:hAnsiTheme="minorHAnsi"/>
          <w:b/>
          <w:sz w:val="24"/>
        </w:rPr>
        <w:t>6.</w:t>
      </w:r>
      <w:r w:rsidR="006657A3">
        <w:rPr>
          <w:rFonts w:asciiTheme="minorHAnsi" w:hAnsiTheme="minorHAnsi"/>
          <w:b/>
          <w:sz w:val="24"/>
        </w:rPr>
        <w:t>7</w:t>
      </w:r>
      <w:r w:rsidRPr="00097E05">
        <w:rPr>
          <w:rFonts w:asciiTheme="minorHAnsi" w:hAnsiTheme="minorHAnsi"/>
          <w:b/>
          <w:sz w:val="24"/>
        </w:rPr>
        <w:t xml:space="preserve"> </w:t>
      </w:r>
      <w:r w:rsidR="006657A3">
        <w:rPr>
          <w:rFonts w:asciiTheme="minorHAnsi" w:hAnsiTheme="minorHAnsi"/>
          <w:b/>
          <w:sz w:val="24"/>
        </w:rPr>
        <w:t>Conclusions on capex</w:t>
      </w:r>
      <w:r w:rsidR="00F61082" w:rsidRPr="00097E05">
        <w:rPr>
          <w:rFonts w:asciiTheme="minorHAnsi" w:hAnsiTheme="minorHAnsi"/>
          <w:b/>
          <w:sz w:val="24"/>
        </w:rPr>
        <w:t xml:space="preserve">  </w:t>
      </w:r>
      <w:r w:rsidR="00053A9E" w:rsidRPr="00097E05">
        <w:rPr>
          <w:rFonts w:asciiTheme="minorHAnsi" w:hAnsiTheme="minorHAnsi"/>
          <w:b/>
          <w:sz w:val="24"/>
        </w:rPr>
        <w:t xml:space="preserve">   </w:t>
      </w:r>
    </w:p>
    <w:p w:rsidR="001738D0" w:rsidRDefault="001738D0" w:rsidP="001738D0">
      <w:pPr>
        <w:pStyle w:val="AERbulletlistfirststyle"/>
        <w:numPr>
          <w:ilvl w:val="0"/>
          <w:numId w:val="0"/>
        </w:numPr>
        <w:tabs>
          <w:tab w:val="clear" w:pos="357"/>
          <w:tab w:val="left" w:pos="0"/>
        </w:tabs>
        <w:spacing w:line="240" w:lineRule="auto"/>
        <w:rPr>
          <w:rFonts w:asciiTheme="minorHAnsi" w:hAnsiTheme="minorHAnsi" w:cs="Calibri"/>
          <w:color w:val="000000"/>
          <w:sz w:val="24"/>
          <w:lang w:eastAsia="en-AU"/>
        </w:rPr>
      </w:pPr>
      <w:r>
        <w:rPr>
          <w:rFonts w:asciiTheme="minorHAnsi" w:hAnsiTheme="minorHAnsi" w:cs="Calibri"/>
          <w:color w:val="000000"/>
          <w:sz w:val="24"/>
          <w:lang w:eastAsia="en-AU"/>
        </w:rPr>
        <w:t xml:space="preserve">Overall, this report considers that </w:t>
      </w:r>
    </w:p>
    <w:p w:rsidR="001738D0" w:rsidRPr="001738D0" w:rsidRDefault="001738D0" w:rsidP="001738D0">
      <w:pPr>
        <w:pStyle w:val="AERbulletlistfirststyle"/>
        <w:numPr>
          <w:ilvl w:val="0"/>
          <w:numId w:val="42"/>
        </w:numPr>
        <w:tabs>
          <w:tab w:val="clear" w:pos="357"/>
          <w:tab w:val="left" w:pos="0"/>
        </w:tabs>
        <w:spacing w:line="240" w:lineRule="auto"/>
        <w:rPr>
          <w:rFonts w:asciiTheme="minorHAnsi" w:hAnsiTheme="minorHAnsi"/>
          <w:i/>
          <w:sz w:val="24"/>
        </w:rPr>
      </w:pPr>
      <w:r>
        <w:rPr>
          <w:rFonts w:asciiTheme="minorHAnsi" w:hAnsiTheme="minorHAnsi" w:cs="Calibri"/>
          <w:color w:val="000000"/>
          <w:sz w:val="24"/>
          <w:lang w:eastAsia="en-AU"/>
        </w:rPr>
        <w:t xml:space="preserve">the allowed augmentation capex will impact the STPIS resulting in an unearned bonus and there needs to be an adjustment to reflect this </w:t>
      </w:r>
    </w:p>
    <w:p w:rsidR="001738D0" w:rsidRPr="001738D0" w:rsidRDefault="001738D0" w:rsidP="001738D0">
      <w:pPr>
        <w:pStyle w:val="AERbulletlistfirststyle"/>
        <w:numPr>
          <w:ilvl w:val="0"/>
          <w:numId w:val="42"/>
        </w:numPr>
        <w:tabs>
          <w:tab w:val="clear" w:pos="357"/>
          <w:tab w:val="left" w:pos="0"/>
        </w:tabs>
        <w:spacing w:line="240" w:lineRule="auto"/>
        <w:rPr>
          <w:rFonts w:asciiTheme="minorHAnsi" w:hAnsiTheme="minorHAnsi"/>
          <w:i/>
          <w:sz w:val="24"/>
        </w:rPr>
      </w:pPr>
      <w:r>
        <w:rPr>
          <w:rFonts w:asciiTheme="minorHAnsi" w:hAnsiTheme="minorHAnsi" w:cs="Calibri"/>
          <w:color w:val="000000"/>
          <w:sz w:val="24"/>
          <w:lang w:eastAsia="en-AU"/>
        </w:rPr>
        <w:t>the repex is too high when examining the information over a longer period than just the repex incurred in the current period</w:t>
      </w:r>
    </w:p>
    <w:p w:rsidR="001738D0" w:rsidRPr="001738D0" w:rsidRDefault="001738D0" w:rsidP="001738D0">
      <w:pPr>
        <w:pStyle w:val="AERbulletlistfirststyle"/>
        <w:numPr>
          <w:ilvl w:val="0"/>
          <w:numId w:val="42"/>
        </w:numPr>
        <w:tabs>
          <w:tab w:val="clear" w:pos="357"/>
          <w:tab w:val="left" w:pos="0"/>
        </w:tabs>
        <w:spacing w:line="240" w:lineRule="auto"/>
        <w:rPr>
          <w:rFonts w:asciiTheme="minorHAnsi" w:hAnsiTheme="minorHAnsi"/>
          <w:i/>
          <w:sz w:val="24"/>
        </w:rPr>
      </w:pPr>
      <w:r>
        <w:rPr>
          <w:rFonts w:asciiTheme="minorHAnsi" w:hAnsiTheme="minorHAnsi" w:cs="Calibri"/>
          <w:color w:val="000000"/>
          <w:sz w:val="24"/>
          <w:lang w:eastAsia="en-AU"/>
        </w:rPr>
        <w:t>the inputs to the repex model need to be examined and benchmarked more widely</w:t>
      </w:r>
    </w:p>
    <w:p w:rsidR="006A06FC" w:rsidRDefault="001738D0" w:rsidP="001738D0">
      <w:pPr>
        <w:pStyle w:val="AERbulletlistfirststyle"/>
        <w:numPr>
          <w:ilvl w:val="0"/>
          <w:numId w:val="42"/>
        </w:numPr>
        <w:tabs>
          <w:tab w:val="clear" w:pos="357"/>
          <w:tab w:val="left" w:pos="0"/>
        </w:tabs>
        <w:spacing w:line="240" w:lineRule="auto"/>
        <w:rPr>
          <w:rFonts w:asciiTheme="minorHAnsi" w:hAnsiTheme="minorHAnsi"/>
          <w:i/>
          <w:sz w:val="24"/>
        </w:rPr>
      </w:pPr>
      <w:r>
        <w:rPr>
          <w:rFonts w:asciiTheme="minorHAnsi" w:hAnsiTheme="minorHAnsi" w:cs="Calibri"/>
          <w:color w:val="000000"/>
          <w:sz w:val="24"/>
          <w:lang w:eastAsia="en-AU"/>
        </w:rPr>
        <w:t>the business case for the AMS (Ajilis) project needs to be made public</w:t>
      </w:r>
    </w:p>
    <w:p w:rsidR="005300B2" w:rsidRDefault="001738D0" w:rsidP="00097E05">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adjustments proposed in this report should result in there being no increase (and perhaps a slight reduction) in the RAB in nominal terms which reverses the trend seen over recent years.  </w:t>
      </w:r>
      <w:r w:rsidR="002731C2">
        <w:rPr>
          <w:rFonts w:asciiTheme="minorHAnsi" w:hAnsiTheme="minorHAnsi"/>
          <w:sz w:val="24"/>
        </w:rPr>
        <w:t xml:space="preserve">   </w:t>
      </w:r>
    </w:p>
    <w:p w:rsidR="003E1B99" w:rsidRPr="00AA5B97" w:rsidRDefault="003E1B99" w:rsidP="00345E27">
      <w:pPr>
        <w:spacing w:after="0" w:line="240" w:lineRule="auto"/>
        <w:rPr>
          <w:rFonts w:eastAsia="Times New Roman" w:cs="Times New Roman"/>
          <w:b/>
          <w:sz w:val="28"/>
          <w:szCs w:val="28"/>
          <w:lang w:val="en-AU" w:bidi="ar-SA"/>
        </w:rPr>
      </w:pPr>
      <w:r w:rsidRPr="00AA5B97">
        <w:rPr>
          <w:b/>
          <w:sz w:val="28"/>
          <w:szCs w:val="28"/>
          <w:lang w:val="en-AU"/>
        </w:rPr>
        <w:br w:type="page"/>
      </w:r>
    </w:p>
    <w:p w:rsidR="00B951C5" w:rsidRPr="00AA5B97" w:rsidRDefault="00B951C5" w:rsidP="003E1B99">
      <w:pPr>
        <w:pStyle w:val="AERbulletlistfirststyle"/>
        <w:numPr>
          <w:ilvl w:val="0"/>
          <w:numId w:val="0"/>
        </w:numPr>
        <w:tabs>
          <w:tab w:val="clear" w:pos="357"/>
          <w:tab w:val="left" w:pos="0"/>
        </w:tabs>
        <w:rPr>
          <w:rStyle w:val="AERbody"/>
          <w:rFonts w:asciiTheme="minorHAnsi" w:hAnsiTheme="minorHAnsi"/>
          <w:b/>
          <w:sz w:val="28"/>
          <w:szCs w:val="28"/>
        </w:rPr>
      </w:pPr>
      <w:r w:rsidRPr="00AA5B97">
        <w:rPr>
          <w:rFonts w:asciiTheme="minorHAnsi" w:hAnsiTheme="minorHAnsi"/>
          <w:b/>
          <w:sz w:val="28"/>
          <w:szCs w:val="28"/>
        </w:rPr>
        <w:lastRenderedPageBreak/>
        <w:t xml:space="preserve">7. </w:t>
      </w:r>
      <w:r w:rsidR="0024444A" w:rsidRPr="00AA5B97">
        <w:rPr>
          <w:rStyle w:val="AERbody"/>
          <w:rFonts w:asciiTheme="minorHAnsi" w:hAnsiTheme="minorHAnsi"/>
          <w:b/>
          <w:sz w:val="28"/>
          <w:szCs w:val="28"/>
        </w:rPr>
        <w:t>Incentive</w:t>
      </w:r>
      <w:r w:rsidR="00054F6F" w:rsidRPr="00AA5B97">
        <w:rPr>
          <w:rStyle w:val="AERbody"/>
          <w:rFonts w:asciiTheme="minorHAnsi" w:hAnsiTheme="minorHAnsi"/>
          <w:b/>
          <w:sz w:val="28"/>
          <w:szCs w:val="28"/>
        </w:rPr>
        <w:t xml:space="preserve"> </w:t>
      </w:r>
      <w:r w:rsidR="0024444A" w:rsidRPr="00AA5B97">
        <w:rPr>
          <w:rStyle w:val="AERbody"/>
          <w:rFonts w:asciiTheme="minorHAnsi" w:hAnsiTheme="minorHAnsi"/>
          <w:b/>
          <w:sz w:val="28"/>
          <w:szCs w:val="28"/>
        </w:rPr>
        <w:t>s</w:t>
      </w:r>
      <w:r w:rsidR="00054F6F" w:rsidRPr="00AA5B97">
        <w:rPr>
          <w:rStyle w:val="AERbody"/>
          <w:rFonts w:asciiTheme="minorHAnsi" w:hAnsiTheme="minorHAnsi"/>
          <w:b/>
          <w:sz w:val="28"/>
          <w:szCs w:val="28"/>
        </w:rPr>
        <w:t>chemes</w:t>
      </w:r>
    </w:p>
    <w:p w:rsidR="00AC4250" w:rsidRDefault="00AC4250"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This report considers</w:t>
      </w:r>
      <w:r w:rsidR="00054F6F" w:rsidRPr="00AA5B97">
        <w:rPr>
          <w:rFonts w:asciiTheme="minorHAnsi" w:hAnsiTheme="minorHAnsi"/>
          <w:sz w:val="24"/>
        </w:rPr>
        <w:t xml:space="preserve"> that the incentive schemes </w:t>
      </w:r>
      <w:r>
        <w:rPr>
          <w:rFonts w:asciiTheme="minorHAnsi" w:hAnsiTheme="minorHAnsi"/>
          <w:sz w:val="24"/>
        </w:rPr>
        <w:t xml:space="preserve">applying to the TND regulatory program reliability </w:t>
      </w:r>
      <w:r w:rsidR="00054F6F" w:rsidRPr="00AA5B97">
        <w:rPr>
          <w:rFonts w:asciiTheme="minorHAnsi" w:hAnsiTheme="minorHAnsi"/>
          <w:sz w:val="24"/>
        </w:rPr>
        <w:t xml:space="preserve">(service target performance incentive scheme </w:t>
      </w:r>
      <w:r w:rsidR="00127E18" w:rsidRPr="00AA5B97">
        <w:rPr>
          <w:rFonts w:asciiTheme="minorHAnsi" w:hAnsiTheme="minorHAnsi"/>
          <w:sz w:val="24"/>
        </w:rPr>
        <w:t>–</w:t>
      </w:r>
      <w:r w:rsidR="00054F6F" w:rsidRPr="00AA5B97">
        <w:rPr>
          <w:rFonts w:asciiTheme="minorHAnsi" w:hAnsiTheme="minorHAnsi"/>
          <w:sz w:val="24"/>
        </w:rPr>
        <w:t xml:space="preserve"> STPIS), opex (efficiency </w:t>
      </w:r>
      <w:r w:rsidR="00EE7623">
        <w:rPr>
          <w:rFonts w:asciiTheme="minorHAnsi" w:hAnsiTheme="minorHAnsi"/>
          <w:sz w:val="24"/>
        </w:rPr>
        <w:t>b</w:t>
      </w:r>
      <w:r w:rsidR="00EE7623" w:rsidRPr="00AA5B97">
        <w:rPr>
          <w:rFonts w:asciiTheme="minorHAnsi" w:hAnsiTheme="minorHAnsi"/>
          <w:sz w:val="24"/>
        </w:rPr>
        <w:t xml:space="preserve">enefit </w:t>
      </w:r>
      <w:r w:rsidR="00054F6F" w:rsidRPr="00AA5B97">
        <w:rPr>
          <w:rFonts w:asciiTheme="minorHAnsi" w:hAnsiTheme="minorHAnsi"/>
          <w:sz w:val="24"/>
        </w:rPr>
        <w:t xml:space="preserve">sharing scheme </w:t>
      </w:r>
      <w:r w:rsidR="00127E18" w:rsidRPr="00AA5B97">
        <w:rPr>
          <w:rFonts w:asciiTheme="minorHAnsi" w:hAnsiTheme="minorHAnsi"/>
          <w:sz w:val="24"/>
        </w:rPr>
        <w:t>–</w:t>
      </w:r>
      <w:r w:rsidR="00054F6F" w:rsidRPr="00AA5B97">
        <w:rPr>
          <w:rFonts w:asciiTheme="minorHAnsi" w:hAnsiTheme="minorHAnsi"/>
          <w:sz w:val="24"/>
        </w:rPr>
        <w:t xml:space="preserve"> EBSS) and capex (capital expenditure sharing scheme </w:t>
      </w:r>
      <w:r w:rsidR="00127E18" w:rsidRPr="00AA5B97">
        <w:rPr>
          <w:rFonts w:asciiTheme="minorHAnsi" w:hAnsiTheme="minorHAnsi"/>
          <w:sz w:val="24"/>
        </w:rPr>
        <w:t>–</w:t>
      </w:r>
      <w:r w:rsidR="00054F6F" w:rsidRPr="00AA5B97">
        <w:rPr>
          <w:rFonts w:asciiTheme="minorHAnsi" w:hAnsiTheme="minorHAnsi"/>
          <w:sz w:val="24"/>
        </w:rPr>
        <w:t xml:space="preserve"> CESS) provide an inter-related suite of incentives. </w:t>
      </w:r>
      <w:r w:rsidR="00127E18" w:rsidRPr="00AA5B97">
        <w:rPr>
          <w:rFonts w:asciiTheme="minorHAnsi" w:hAnsiTheme="minorHAnsi"/>
          <w:sz w:val="24"/>
        </w:rPr>
        <w:t xml:space="preserve"> </w:t>
      </w:r>
    </w:p>
    <w:p w:rsidR="00054F6F" w:rsidRPr="00AA5B97" w:rsidRDefault="00AC4250"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In its earlier report,</w:t>
      </w:r>
      <w:r w:rsidR="00054F6F" w:rsidRPr="00AA5B97">
        <w:rPr>
          <w:rFonts w:asciiTheme="minorHAnsi" w:hAnsiTheme="minorHAnsi"/>
          <w:sz w:val="24"/>
        </w:rPr>
        <w:t xml:space="preserve"> </w:t>
      </w:r>
      <w:r w:rsidR="00703BEF">
        <w:rPr>
          <w:rFonts w:asciiTheme="minorHAnsi" w:hAnsiTheme="minorHAnsi"/>
          <w:sz w:val="24"/>
        </w:rPr>
        <w:t>CCP4(DH)</w:t>
      </w:r>
      <w:r w:rsidR="00056482" w:rsidRPr="00AA5B97">
        <w:rPr>
          <w:rFonts w:asciiTheme="minorHAnsi" w:hAnsiTheme="minorHAnsi"/>
          <w:sz w:val="24"/>
        </w:rPr>
        <w:t xml:space="preserve"> </w:t>
      </w:r>
      <w:r>
        <w:rPr>
          <w:rFonts w:asciiTheme="minorHAnsi" w:hAnsiTheme="minorHAnsi"/>
          <w:sz w:val="24"/>
        </w:rPr>
        <w:t xml:space="preserve">provided a view </w:t>
      </w:r>
      <w:r w:rsidR="00054F6F" w:rsidRPr="00AA5B97">
        <w:rPr>
          <w:rFonts w:asciiTheme="minorHAnsi" w:hAnsiTheme="minorHAnsi"/>
          <w:sz w:val="24"/>
        </w:rPr>
        <w:t xml:space="preserve">that </w:t>
      </w:r>
      <w:r>
        <w:rPr>
          <w:rFonts w:asciiTheme="minorHAnsi" w:hAnsiTheme="minorHAnsi"/>
          <w:sz w:val="24"/>
        </w:rPr>
        <w:t>no</w:t>
      </w:r>
      <w:r w:rsidRPr="00AA5B97">
        <w:rPr>
          <w:rFonts w:asciiTheme="minorHAnsi" w:hAnsiTheme="minorHAnsi"/>
          <w:sz w:val="24"/>
        </w:rPr>
        <w:t xml:space="preserve"> </w:t>
      </w:r>
      <w:r w:rsidR="00054F6F" w:rsidRPr="00AA5B97">
        <w:rPr>
          <w:rFonts w:asciiTheme="minorHAnsi" w:hAnsiTheme="minorHAnsi"/>
          <w:sz w:val="24"/>
        </w:rPr>
        <w:t>element of the three schemes should be varied from what is detailed in the guide</w:t>
      </w:r>
      <w:r w:rsidR="00127E18" w:rsidRPr="00AA5B97">
        <w:rPr>
          <w:rFonts w:asciiTheme="minorHAnsi" w:hAnsiTheme="minorHAnsi"/>
          <w:sz w:val="24"/>
        </w:rPr>
        <w:t>lines detailing the incentives</w:t>
      </w:r>
      <w:r>
        <w:rPr>
          <w:rFonts w:asciiTheme="minorHAnsi" w:hAnsiTheme="minorHAnsi"/>
          <w:sz w:val="24"/>
        </w:rPr>
        <w:t>; the AER draft decision follows this principle</w:t>
      </w:r>
      <w:r w:rsidR="00127E18" w:rsidRPr="00AA5B97">
        <w:rPr>
          <w:rFonts w:asciiTheme="minorHAnsi" w:hAnsiTheme="minorHAnsi"/>
          <w:sz w:val="24"/>
        </w:rPr>
        <w:t>.</w:t>
      </w:r>
    </w:p>
    <w:p w:rsidR="0037025C" w:rsidRDefault="0037025C" w:rsidP="00345E27">
      <w:pPr>
        <w:pStyle w:val="AERbulletlistfirststyle"/>
        <w:numPr>
          <w:ilvl w:val="0"/>
          <w:numId w:val="0"/>
        </w:numPr>
        <w:tabs>
          <w:tab w:val="clear" w:pos="357"/>
          <w:tab w:val="left" w:pos="0"/>
        </w:tabs>
        <w:spacing w:line="240" w:lineRule="auto"/>
        <w:rPr>
          <w:rFonts w:asciiTheme="minorHAnsi" w:hAnsiTheme="minorHAnsi"/>
          <w:b/>
          <w:sz w:val="24"/>
        </w:rPr>
      </w:pPr>
    </w:p>
    <w:p w:rsidR="00243A31" w:rsidRPr="00243A31" w:rsidRDefault="00BA640A" w:rsidP="00345E27">
      <w:pPr>
        <w:pStyle w:val="AERbulletlistfirststyle"/>
        <w:numPr>
          <w:ilvl w:val="0"/>
          <w:numId w:val="0"/>
        </w:numPr>
        <w:tabs>
          <w:tab w:val="clear" w:pos="357"/>
          <w:tab w:val="left" w:pos="0"/>
        </w:tabs>
        <w:spacing w:line="240" w:lineRule="auto"/>
        <w:rPr>
          <w:rFonts w:asciiTheme="minorHAnsi" w:hAnsiTheme="minorHAnsi"/>
          <w:b/>
          <w:sz w:val="24"/>
        </w:rPr>
      </w:pPr>
      <w:r w:rsidRPr="00BA640A">
        <w:rPr>
          <w:rFonts w:asciiTheme="minorHAnsi" w:hAnsiTheme="minorHAnsi"/>
          <w:b/>
          <w:sz w:val="24"/>
        </w:rPr>
        <w:t>7.</w:t>
      </w:r>
      <w:r w:rsidR="00BF1510">
        <w:rPr>
          <w:rFonts w:asciiTheme="minorHAnsi" w:hAnsiTheme="minorHAnsi"/>
          <w:b/>
          <w:sz w:val="24"/>
        </w:rPr>
        <w:t>1</w:t>
      </w:r>
      <w:r w:rsidR="00BF1510" w:rsidRPr="00BA640A">
        <w:rPr>
          <w:rFonts w:asciiTheme="minorHAnsi" w:hAnsiTheme="minorHAnsi"/>
          <w:b/>
          <w:sz w:val="24"/>
        </w:rPr>
        <w:t xml:space="preserve"> </w:t>
      </w:r>
      <w:r w:rsidRPr="00BA640A">
        <w:rPr>
          <w:rFonts w:asciiTheme="minorHAnsi" w:hAnsiTheme="minorHAnsi"/>
          <w:b/>
          <w:sz w:val="24"/>
        </w:rPr>
        <w:t>STPIS</w:t>
      </w:r>
    </w:p>
    <w:p w:rsidR="009D2002" w:rsidRDefault="009D2002"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In its application,</w:t>
      </w:r>
      <w:r w:rsidR="00D11D25">
        <w:rPr>
          <w:rFonts w:asciiTheme="minorHAnsi" w:hAnsiTheme="minorHAnsi"/>
          <w:sz w:val="24"/>
        </w:rPr>
        <w:t xml:space="preserve"> </w:t>
      </w:r>
      <w:r w:rsidR="00A732A6">
        <w:rPr>
          <w:rFonts w:asciiTheme="minorHAnsi" w:hAnsiTheme="minorHAnsi"/>
          <w:sz w:val="24"/>
        </w:rPr>
        <w:t xml:space="preserve">TND </w:t>
      </w:r>
      <w:r>
        <w:rPr>
          <w:rFonts w:asciiTheme="minorHAnsi" w:hAnsiTheme="minorHAnsi"/>
          <w:sz w:val="24"/>
        </w:rPr>
        <w:t xml:space="preserve">proposed </w:t>
      </w:r>
      <w:r w:rsidR="00A732A6">
        <w:rPr>
          <w:rFonts w:asciiTheme="minorHAnsi" w:hAnsiTheme="minorHAnsi"/>
          <w:sz w:val="24"/>
        </w:rPr>
        <w:t>that the STPIS should be limited to +/- 2.5% of revenue rather than +/- 5%</w:t>
      </w:r>
      <w:r w:rsidR="00F6682B">
        <w:rPr>
          <w:rFonts w:asciiTheme="minorHAnsi" w:hAnsiTheme="minorHAnsi"/>
          <w:sz w:val="24"/>
        </w:rPr>
        <w:t xml:space="preserve"> used in the AER guideline</w:t>
      </w:r>
      <w:r w:rsidR="008F3ADB">
        <w:rPr>
          <w:rFonts w:asciiTheme="minorHAnsi" w:hAnsiTheme="minorHAnsi"/>
          <w:sz w:val="24"/>
        </w:rPr>
        <w:t>.</w:t>
      </w:r>
      <w:r w:rsidR="00A732A6">
        <w:rPr>
          <w:rFonts w:asciiTheme="minorHAnsi" w:hAnsiTheme="minorHAnsi"/>
          <w:sz w:val="24"/>
        </w:rPr>
        <w:t xml:space="preserve"> </w:t>
      </w:r>
      <w:r w:rsidR="00703BEF">
        <w:rPr>
          <w:rFonts w:asciiTheme="minorHAnsi" w:hAnsiTheme="minorHAnsi"/>
          <w:sz w:val="24"/>
        </w:rPr>
        <w:t>CCP4(DH)</w:t>
      </w:r>
      <w:r w:rsidR="00A732A6">
        <w:rPr>
          <w:rFonts w:asciiTheme="minorHAnsi" w:hAnsiTheme="minorHAnsi"/>
          <w:sz w:val="24"/>
        </w:rPr>
        <w:t xml:space="preserve"> </w:t>
      </w:r>
      <w:r>
        <w:rPr>
          <w:rFonts w:asciiTheme="minorHAnsi" w:hAnsiTheme="minorHAnsi"/>
          <w:sz w:val="24"/>
        </w:rPr>
        <w:t xml:space="preserve">provided a view that </w:t>
      </w:r>
      <w:r w:rsidR="00A732A6">
        <w:rPr>
          <w:rFonts w:asciiTheme="minorHAnsi" w:hAnsiTheme="minorHAnsi"/>
          <w:sz w:val="24"/>
        </w:rPr>
        <w:t>the revenue at risk under the S</w:t>
      </w:r>
      <w:r>
        <w:rPr>
          <w:rFonts w:asciiTheme="minorHAnsi" w:hAnsiTheme="minorHAnsi"/>
          <w:sz w:val="24"/>
        </w:rPr>
        <w:t>T</w:t>
      </w:r>
      <w:r w:rsidR="00A732A6">
        <w:rPr>
          <w:rFonts w:asciiTheme="minorHAnsi" w:hAnsiTheme="minorHAnsi"/>
          <w:sz w:val="24"/>
        </w:rPr>
        <w:t>PIS must be kept consistent with the penalty/bonus arrangements applying across the suite of incentive schemes</w:t>
      </w:r>
      <w:r>
        <w:rPr>
          <w:rFonts w:asciiTheme="minorHAnsi" w:hAnsiTheme="minorHAnsi"/>
          <w:sz w:val="24"/>
        </w:rPr>
        <w:t xml:space="preserve"> and that t</w:t>
      </w:r>
      <w:r w:rsidR="00A732A6">
        <w:rPr>
          <w:rFonts w:asciiTheme="minorHAnsi" w:hAnsiTheme="minorHAnsi"/>
          <w:sz w:val="24"/>
        </w:rPr>
        <w:t xml:space="preserve">o reduce the STPIS amount at risk </w:t>
      </w:r>
      <w:r>
        <w:rPr>
          <w:rFonts w:asciiTheme="minorHAnsi" w:hAnsiTheme="minorHAnsi"/>
          <w:sz w:val="24"/>
        </w:rPr>
        <w:t xml:space="preserve">would </w:t>
      </w:r>
      <w:r w:rsidR="00F6682B">
        <w:rPr>
          <w:rFonts w:asciiTheme="minorHAnsi" w:hAnsiTheme="minorHAnsi"/>
          <w:sz w:val="24"/>
        </w:rPr>
        <w:t xml:space="preserve">change </w:t>
      </w:r>
      <w:r w:rsidR="00A732A6">
        <w:rPr>
          <w:rFonts w:asciiTheme="minorHAnsi" w:hAnsiTheme="minorHAnsi"/>
          <w:sz w:val="24"/>
        </w:rPr>
        <w:t>the balance of the incentives.</w:t>
      </w:r>
      <w:r>
        <w:rPr>
          <w:rFonts w:asciiTheme="minorHAnsi" w:hAnsiTheme="minorHAnsi"/>
          <w:sz w:val="24"/>
        </w:rPr>
        <w:t xml:space="preserve"> Implicit in this observation is that the capex provided should also not distort the incentive. </w:t>
      </w:r>
    </w:p>
    <w:p w:rsidR="00CE019A" w:rsidRDefault="009D2002"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This report supports the AER draft decision that the STPIS for TND should continue on the same basis that it currently does – that +/- 5% of allowed revenue should be at risk</w:t>
      </w:r>
      <w:r w:rsidR="00CE019A">
        <w:rPr>
          <w:rFonts w:asciiTheme="minorHAnsi" w:hAnsiTheme="minorHAnsi"/>
          <w:sz w:val="24"/>
        </w:rPr>
        <w:t xml:space="preserve"> in relation to the STPIS</w:t>
      </w:r>
      <w:r>
        <w:rPr>
          <w:rFonts w:asciiTheme="minorHAnsi" w:hAnsiTheme="minorHAnsi"/>
          <w:sz w:val="24"/>
        </w:rPr>
        <w:t xml:space="preserve">. </w:t>
      </w:r>
    </w:p>
    <w:p w:rsidR="009D2002" w:rsidRDefault="009D2002"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However, it is noted that the AER draft decision provides capex specifically to address the </w:t>
      </w:r>
      <w:r w:rsidR="00D11D25">
        <w:rPr>
          <w:rFonts w:asciiTheme="minorHAnsi" w:hAnsiTheme="minorHAnsi"/>
          <w:sz w:val="24"/>
        </w:rPr>
        <w:t>r</w:t>
      </w:r>
      <w:r>
        <w:rPr>
          <w:rFonts w:asciiTheme="minorHAnsi" w:hAnsiTheme="minorHAnsi"/>
          <w:sz w:val="24"/>
        </w:rPr>
        <w:t>eliability of under</w:t>
      </w:r>
      <w:r w:rsidR="00D11D25">
        <w:rPr>
          <w:rFonts w:asciiTheme="minorHAnsi" w:hAnsiTheme="minorHAnsi"/>
          <w:sz w:val="24"/>
        </w:rPr>
        <w:t>-</w:t>
      </w:r>
      <w:r>
        <w:rPr>
          <w:rFonts w:asciiTheme="minorHAnsi" w:hAnsiTheme="minorHAnsi"/>
          <w:sz w:val="24"/>
        </w:rPr>
        <w:t>performing feeders and to relieve congestion that is occurring in the network.</w:t>
      </w:r>
    </w:p>
    <w:p w:rsidR="00DC161A" w:rsidRDefault="009D2002"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Both of these activities will result in an improvement of network reliability yet the targets set for the STPIS are based on historical reliability performance measures and outcomes. Essentially, the AER draft decision (and the TND proposal) requires consumers to fund capital investment which has the primary goal of improving reliability. This is “double dipping”</w:t>
      </w:r>
      <w:r w:rsidR="00DC161A">
        <w:rPr>
          <w:rFonts w:asciiTheme="minorHAnsi" w:hAnsiTheme="minorHAnsi"/>
          <w:sz w:val="24"/>
        </w:rPr>
        <w:t xml:space="preserve"> as it is inappropriate for consumers to fund investment that is targeted to provide TND with a bonus out of the STPIS</w:t>
      </w:r>
      <w:r>
        <w:rPr>
          <w:rFonts w:asciiTheme="minorHAnsi" w:hAnsiTheme="minorHAnsi"/>
          <w:sz w:val="24"/>
        </w:rPr>
        <w:t>.</w:t>
      </w:r>
    </w:p>
    <w:p w:rsidR="00DC161A" w:rsidRDefault="00DC161A"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This report however supports the improvement in reliability of poorly performing feeders as those consumers supplied by those feeders pay the same as other consumers yet get a lower performance. The same observation applies to those consumers that lose supply due to congestion. </w:t>
      </w:r>
    </w:p>
    <w:p w:rsidR="00A732A6" w:rsidRDefault="00DC161A"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To overcome this “double dip”, it is recommended that the targets for reliability under the STPIS are reset (improved) to reflect the expected average improvement in reliability that will occur as a result of the investment to improve the reliability to those consumers that will benefit from the “reliability and congestion capex”.  </w:t>
      </w:r>
      <w:r w:rsidR="009D2002">
        <w:rPr>
          <w:rFonts w:asciiTheme="minorHAnsi" w:hAnsiTheme="minorHAnsi"/>
          <w:sz w:val="24"/>
        </w:rPr>
        <w:t xml:space="preserve"> </w:t>
      </w:r>
    </w:p>
    <w:p w:rsidR="00243A31" w:rsidRDefault="00243A31" w:rsidP="00345E27">
      <w:pPr>
        <w:pStyle w:val="AERbulletlistfirststyle"/>
        <w:numPr>
          <w:ilvl w:val="0"/>
          <w:numId w:val="0"/>
        </w:numPr>
        <w:tabs>
          <w:tab w:val="clear" w:pos="357"/>
          <w:tab w:val="left" w:pos="0"/>
        </w:tabs>
        <w:spacing w:line="240" w:lineRule="auto"/>
        <w:rPr>
          <w:rFonts w:asciiTheme="minorHAnsi" w:hAnsiTheme="minorHAnsi"/>
          <w:b/>
          <w:sz w:val="24"/>
        </w:rPr>
      </w:pPr>
    </w:p>
    <w:p w:rsidR="00243A31" w:rsidRDefault="00243A31" w:rsidP="00345E27">
      <w:pPr>
        <w:pStyle w:val="AERbulletlistfirststyle"/>
        <w:numPr>
          <w:ilvl w:val="0"/>
          <w:numId w:val="0"/>
        </w:numPr>
        <w:tabs>
          <w:tab w:val="clear" w:pos="357"/>
          <w:tab w:val="left" w:pos="0"/>
        </w:tabs>
        <w:spacing w:line="240" w:lineRule="auto"/>
        <w:rPr>
          <w:rFonts w:asciiTheme="minorHAnsi" w:hAnsiTheme="minorHAnsi"/>
          <w:b/>
          <w:sz w:val="24"/>
        </w:rPr>
      </w:pPr>
      <w:r>
        <w:rPr>
          <w:rFonts w:asciiTheme="minorHAnsi" w:hAnsiTheme="minorHAnsi"/>
          <w:b/>
          <w:sz w:val="24"/>
        </w:rPr>
        <w:lastRenderedPageBreak/>
        <w:t>7.</w:t>
      </w:r>
      <w:r w:rsidR="00BF1510">
        <w:rPr>
          <w:rFonts w:asciiTheme="minorHAnsi" w:hAnsiTheme="minorHAnsi"/>
          <w:b/>
          <w:sz w:val="24"/>
        </w:rPr>
        <w:t xml:space="preserve">2 </w:t>
      </w:r>
      <w:r>
        <w:rPr>
          <w:rFonts w:asciiTheme="minorHAnsi" w:hAnsiTheme="minorHAnsi"/>
          <w:b/>
          <w:sz w:val="24"/>
        </w:rPr>
        <w:t>EBSS</w:t>
      </w:r>
    </w:p>
    <w:p w:rsidR="00AC4250" w:rsidRDefault="00AC4250"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In the earlier report, it was noted that the size of the EBSS was significant compared to the actual opex that was proposed. Although the AER draft decision significantly reduces the incentive payment, it is still large</w:t>
      </w:r>
      <w:r w:rsidR="00EE7623">
        <w:rPr>
          <w:rFonts w:asciiTheme="minorHAnsi" w:hAnsiTheme="minorHAnsi"/>
          <w:sz w:val="24"/>
        </w:rPr>
        <w:t xml:space="preserve"> in comparison</w:t>
      </w:r>
      <w:r>
        <w:rPr>
          <w:rFonts w:asciiTheme="minorHAnsi" w:hAnsiTheme="minorHAnsi"/>
          <w:sz w:val="24"/>
        </w:rPr>
        <w:t xml:space="preserve">. The major reason for this is that the incentive payment from a five year program is </w:t>
      </w:r>
      <w:r w:rsidR="00CE019A">
        <w:rPr>
          <w:rFonts w:asciiTheme="minorHAnsi" w:hAnsiTheme="minorHAnsi"/>
          <w:sz w:val="24"/>
        </w:rPr>
        <w:t xml:space="preserve">being </w:t>
      </w:r>
      <w:r>
        <w:rPr>
          <w:rFonts w:asciiTheme="minorHAnsi" w:hAnsiTheme="minorHAnsi"/>
          <w:sz w:val="24"/>
        </w:rPr>
        <w:t xml:space="preserve">recovered in this </w:t>
      </w:r>
      <w:r w:rsidR="00CE019A">
        <w:rPr>
          <w:rFonts w:asciiTheme="minorHAnsi" w:hAnsiTheme="minorHAnsi"/>
          <w:sz w:val="24"/>
        </w:rPr>
        <w:t xml:space="preserve">unique </w:t>
      </w:r>
      <w:r>
        <w:rPr>
          <w:rFonts w:asciiTheme="minorHAnsi" w:hAnsiTheme="minorHAnsi"/>
          <w:sz w:val="24"/>
        </w:rPr>
        <w:t>two year regulatory period.</w:t>
      </w:r>
    </w:p>
    <w:p w:rsidR="00D557A3" w:rsidRPr="007E34EB" w:rsidRDefault="00D557A3" w:rsidP="00345E27">
      <w:pPr>
        <w:pStyle w:val="AERbulletlistfirststyle"/>
        <w:numPr>
          <w:ilvl w:val="0"/>
          <w:numId w:val="0"/>
        </w:numPr>
        <w:tabs>
          <w:tab w:val="clear" w:pos="357"/>
          <w:tab w:val="left" w:pos="0"/>
        </w:tabs>
        <w:spacing w:line="240" w:lineRule="auto"/>
        <w:rPr>
          <w:rFonts w:asciiTheme="minorHAnsi" w:hAnsiTheme="minorHAnsi"/>
          <w:color w:val="C00000"/>
          <w:sz w:val="24"/>
        </w:rPr>
      </w:pPr>
      <w:r w:rsidRPr="007E34EB">
        <w:rPr>
          <w:rFonts w:asciiTheme="minorHAnsi" w:hAnsiTheme="minorHAnsi"/>
          <w:color w:val="C00000"/>
          <w:sz w:val="24"/>
        </w:rPr>
        <w:t>It is noted that in the revised proposal, TND accepts the AER reduction in the EBSS carry forward and has reduced its claim for this bonus. However, it is also noted that TND consider</w:t>
      </w:r>
      <w:r w:rsidR="00F169BF">
        <w:rPr>
          <w:rFonts w:asciiTheme="minorHAnsi" w:hAnsiTheme="minorHAnsi"/>
          <w:color w:val="C00000"/>
          <w:sz w:val="24"/>
        </w:rPr>
        <w:t>s</w:t>
      </w:r>
      <w:r w:rsidRPr="007E34EB">
        <w:rPr>
          <w:rFonts w:asciiTheme="minorHAnsi" w:hAnsiTheme="minorHAnsi"/>
          <w:color w:val="C00000"/>
          <w:sz w:val="24"/>
        </w:rPr>
        <w:t xml:space="preserve"> (along with the AER) that the full bonus from the five year 2012-2017 period should be paid entirely in the 2 year 2017-2019 period. As noted below, it is considered that this approach in inappropriate.</w:t>
      </w:r>
    </w:p>
    <w:p w:rsidR="00CE019A" w:rsidRDefault="004F47F7"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Normally, the EBSS benefit </w:t>
      </w:r>
      <w:r w:rsidR="00EE7623">
        <w:rPr>
          <w:rFonts w:asciiTheme="minorHAnsi" w:hAnsiTheme="minorHAnsi"/>
          <w:sz w:val="24"/>
        </w:rPr>
        <w:t xml:space="preserve">from the current 5 year period </w:t>
      </w:r>
      <w:r>
        <w:rPr>
          <w:rFonts w:asciiTheme="minorHAnsi" w:hAnsiTheme="minorHAnsi"/>
          <w:sz w:val="24"/>
        </w:rPr>
        <w:t xml:space="preserve">is allocated across </w:t>
      </w:r>
      <w:r w:rsidR="00EE7623">
        <w:rPr>
          <w:rFonts w:asciiTheme="minorHAnsi" w:hAnsiTheme="minorHAnsi"/>
          <w:sz w:val="24"/>
        </w:rPr>
        <w:t xml:space="preserve">the next </w:t>
      </w:r>
      <w:r>
        <w:rPr>
          <w:rFonts w:asciiTheme="minorHAnsi" w:hAnsiTheme="minorHAnsi"/>
          <w:sz w:val="24"/>
        </w:rPr>
        <w:t xml:space="preserve">5-year regulatory period implying that only 20% of the EBSS </w:t>
      </w:r>
      <w:r w:rsidR="00CE019A">
        <w:rPr>
          <w:rFonts w:asciiTheme="minorHAnsi" w:hAnsiTheme="minorHAnsi"/>
          <w:sz w:val="24"/>
        </w:rPr>
        <w:t xml:space="preserve">carry forward </w:t>
      </w:r>
      <w:r>
        <w:rPr>
          <w:rFonts w:asciiTheme="minorHAnsi" w:hAnsiTheme="minorHAnsi"/>
          <w:sz w:val="24"/>
        </w:rPr>
        <w:t xml:space="preserve">benefit is </w:t>
      </w:r>
      <w:r w:rsidR="00CE019A">
        <w:rPr>
          <w:rFonts w:asciiTheme="minorHAnsi" w:hAnsiTheme="minorHAnsi"/>
          <w:sz w:val="24"/>
        </w:rPr>
        <w:t>paid</w:t>
      </w:r>
      <w:r>
        <w:rPr>
          <w:rFonts w:asciiTheme="minorHAnsi" w:hAnsiTheme="minorHAnsi"/>
          <w:sz w:val="24"/>
        </w:rPr>
        <w:t xml:space="preserve"> in any one year of </w:t>
      </w:r>
      <w:r w:rsidR="00EE7623">
        <w:rPr>
          <w:rFonts w:asciiTheme="minorHAnsi" w:hAnsiTheme="minorHAnsi"/>
          <w:sz w:val="24"/>
        </w:rPr>
        <w:t>the next</w:t>
      </w:r>
      <w:r>
        <w:rPr>
          <w:rFonts w:asciiTheme="minorHAnsi" w:hAnsiTheme="minorHAnsi"/>
          <w:sz w:val="24"/>
        </w:rPr>
        <w:t xml:space="preserve"> regulatory period</w:t>
      </w:r>
      <w:r w:rsidR="00530D3F">
        <w:rPr>
          <w:rFonts w:asciiTheme="minorHAnsi" w:hAnsiTheme="minorHAnsi"/>
          <w:sz w:val="24"/>
        </w:rPr>
        <w:t xml:space="preserve"> – this occurs because the allowed revenue is smoothed (using an NPV approach) to eliminate year on year variations and to trend to a smoother transition to the next regulatory period</w:t>
      </w:r>
      <w:r>
        <w:rPr>
          <w:rFonts w:asciiTheme="minorHAnsi" w:hAnsiTheme="minorHAnsi"/>
          <w:sz w:val="24"/>
        </w:rPr>
        <w:t xml:space="preserve">. As this next regulatory period is only 2 years, the </w:t>
      </w:r>
      <w:r w:rsidR="00530D3F">
        <w:rPr>
          <w:rFonts w:asciiTheme="minorHAnsi" w:hAnsiTheme="minorHAnsi"/>
          <w:sz w:val="24"/>
        </w:rPr>
        <w:t xml:space="preserve">EBSS </w:t>
      </w:r>
      <w:r>
        <w:rPr>
          <w:rFonts w:asciiTheme="minorHAnsi" w:hAnsiTheme="minorHAnsi"/>
          <w:sz w:val="24"/>
        </w:rPr>
        <w:t xml:space="preserve">benefit </w:t>
      </w:r>
      <w:r w:rsidR="00530D3F">
        <w:rPr>
          <w:rFonts w:asciiTheme="minorHAnsi" w:hAnsiTheme="minorHAnsi"/>
          <w:sz w:val="24"/>
        </w:rPr>
        <w:t xml:space="preserve">from the 2012-17 period </w:t>
      </w:r>
      <w:r>
        <w:rPr>
          <w:rFonts w:asciiTheme="minorHAnsi" w:hAnsiTheme="minorHAnsi"/>
          <w:sz w:val="24"/>
        </w:rPr>
        <w:t>will be recovered over only 2 years</w:t>
      </w:r>
      <w:r w:rsidR="00530D3F">
        <w:rPr>
          <w:rFonts w:asciiTheme="minorHAnsi" w:hAnsiTheme="minorHAnsi"/>
          <w:sz w:val="24"/>
        </w:rPr>
        <w:t>,</w:t>
      </w:r>
      <w:r>
        <w:rPr>
          <w:rFonts w:asciiTheme="minorHAnsi" w:hAnsiTheme="minorHAnsi"/>
          <w:sz w:val="24"/>
        </w:rPr>
        <w:t xml:space="preserve"> effectively imposing on current consumers a cost that would normally be shared with future consumers. </w:t>
      </w:r>
    </w:p>
    <w:p w:rsidR="00AC4250" w:rsidRDefault="00AC4250"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With this in mind, this report proposes that the EBSS benefit that is to be allocated to th</w:t>
      </w:r>
      <w:r w:rsidR="00CE019A">
        <w:rPr>
          <w:rFonts w:asciiTheme="minorHAnsi" w:hAnsiTheme="minorHAnsi"/>
          <w:sz w:val="24"/>
        </w:rPr>
        <w:t>is</w:t>
      </w:r>
      <w:r>
        <w:rPr>
          <w:rFonts w:asciiTheme="minorHAnsi" w:hAnsiTheme="minorHAnsi"/>
          <w:sz w:val="24"/>
        </w:rPr>
        <w:t xml:space="preserve"> two year regulatory period, should be reduced by 60% (ie three years worth</w:t>
      </w:r>
      <w:r w:rsidR="004F47F7">
        <w:rPr>
          <w:rFonts w:asciiTheme="minorHAnsi" w:hAnsiTheme="minorHAnsi"/>
          <w:sz w:val="24"/>
        </w:rPr>
        <w:t xml:space="preserve"> of benefit</w:t>
      </w:r>
      <w:r>
        <w:rPr>
          <w:rFonts w:asciiTheme="minorHAnsi" w:hAnsiTheme="minorHAnsi"/>
          <w:sz w:val="24"/>
        </w:rPr>
        <w:t>)</w:t>
      </w:r>
      <w:r w:rsidR="00CE019A">
        <w:rPr>
          <w:rFonts w:asciiTheme="minorHAnsi" w:hAnsiTheme="minorHAnsi"/>
          <w:sz w:val="24"/>
        </w:rPr>
        <w:t xml:space="preserve"> and this be allocated equally between the two years. So that TND retains the full value of the bonus that it has earned, the 60% of the bonus from the current period should be added to the EBSS payment that will accrue from this 2 year regulatory period</w:t>
      </w:r>
      <w:r w:rsidR="004F47F7">
        <w:rPr>
          <w:rFonts w:asciiTheme="minorHAnsi" w:hAnsiTheme="minorHAnsi"/>
          <w:sz w:val="24"/>
        </w:rPr>
        <w:t>,</w:t>
      </w:r>
      <w:r w:rsidR="00CE019A">
        <w:rPr>
          <w:rFonts w:asciiTheme="minorHAnsi" w:hAnsiTheme="minorHAnsi"/>
          <w:sz w:val="24"/>
        </w:rPr>
        <w:t xml:space="preserve"> effectively</w:t>
      </w:r>
      <w:r w:rsidR="004F47F7">
        <w:rPr>
          <w:rFonts w:asciiTheme="minorHAnsi" w:hAnsiTheme="minorHAnsi"/>
          <w:sz w:val="24"/>
        </w:rPr>
        <w:t xml:space="preserve"> reflecting </w:t>
      </w:r>
      <w:r w:rsidR="00EE7623">
        <w:rPr>
          <w:rFonts w:asciiTheme="minorHAnsi" w:hAnsiTheme="minorHAnsi"/>
          <w:sz w:val="24"/>
        </w:rPr>
        <w:t xml:space="preserve">the benefit from </w:t>
      </w:r>
      <w:r w:rsidR="004F47F7">
        <w:rPr>
          <w:rFonts w:asciiTheme="minorHAnsi" w:hAnsiTheme="minorHAnsi"/>
          <w:sz w:val="24"/>
        </w:rPr>
        <w:t xml:space="preserve">a standard 5 year regulatory </w:t>
      </w:r>
      <w:r w:rsidR="00CE019A">
        <w:rPr>
          <w:rFonts w:asciiTheme="minorHAnsi" w:hAnsiTheme="minorHAnsi"/>
          <w:sz w:val="24"/>
        </w:rPr>
        <w:t>period</w:t>
      </w:r>
      <w:r w:rsidR="00EE7623">
        <w:rPr>
          <w:rFonts w:asciiTheme="minorHAnsi" w:hAnsiTheme="minorHAnsi"/>
          <w:sz w:val="24"/>
        </w:rPr>
        <w:t xml:space="preserve"> </w:t>
      </w:r>
      <w:r w:rsidR="00ED6531">
        <w:rPr>
          <w:rFonts w:asciiTheme="minorHAnsi" w:hAnsiTheme="minorHAnsi"/>
          <w:sz w:val="24"/>
        </w:rPr>
        <w:t>in</w:t>
      </w:r>
      <w:r w:rsidR="00EE7623">
        <w:rPr>
          <w:rFonts w:asciiTheme="minorHAnsi" w:hAnsiTheme="minorHAnsi"/>
          <w:sz w:val="24"/>
        </w:rPr>
        <w:t xml:space="preserve"> the 2019-2014 period</w:t>
      </w:r>
      <w:r w:rsidR="004F47F7">
        <w:rPr>
          <w:rFonts w:asciiTheme="minorHAnsi" w:hAnsiTheme="minorHAnsi"/>
          <w:sz w:val="24"/>
        </w:rPr>
        <w:t xml:space="preserve">. </w:t>
      </w:r>
      <w:r w:rsidR="00EB6447">
        <w:rPr>
          <w:rFonts w:asciiTheme="minorHAnsi" w:hAnsiTheme="minorHAnsi"/>
          <w:sz w:val="24"/>
        </w:rPr>
        <w:t xml:space="preserve">Not to follow such an approach effectively imposes on consumers for the 2 year 2017-19 period an EBSS bonus from a five year period, but deliver a potential cost to consumers of the 5 year 2019-24 period, an EBSS cost from just two years of operation. </w:t>
      </w:r>
    </w:p>
    <w:p w:rsidR="00CE019A" w:rsidRDefault="00ED6531"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This report recommends that, u</w:t>
      </w:r>
      <w:r w:rsidR="00CE019A">
        <w:rPr>
          <w:rFonts w:asciiTheme="minorHAnsi" w:hAnsiTheme="minorHAnsi"/>
          <w:sz w:val="24"/>
        </w:rPr>
        <w:t xml:space="preserve">sing the AER draft decision value for the EBSS bonus NPV of $17.3m, this </w:t>
      </w:r>
      <w:r>
        <w:rPr>
          <w:rFonts w:asciiTheme="minorHAnsi" w:hAnsiTheme="minorHAnsi"/>
          <w:sz w:val="24"/>
        </w:rPr>
        <w:t xml:space="preserve">should </w:t>
      </w:r>
      <w:r w:rsidR="00CE019A">
        <w:rPr>
          <w:rFonts w:asciiTheme="minorHAnsi" w:hAnsiTheme="minorHAnsi"/>
          <w:sz w:val="24"/>
        </w:rPr>
        <w:t xml:space="preserve">be split into 5 equal amounts (ie $3.46m). </w:t>
      </w:r>
      <w:r w:rsidR="00530D3F">
        <w:rPr>
          <w:rFonts w:asciiTheme="minorHAnsi" w:hAnsiTheme="minorHAnsi"/>
          <w:sz w:val="24"/>
        </w:rPr>
        <w:t xml:space="preserve">$6.92m </w:t>
      </w:r>
      <w:r w:rsidR="00EB6447">
        <w:rPr>
          <w:rFonts w:asciiTheme="minorHAnsi" w:hAnsiTheme="minorHAnsi"/>
          <w:sz w:val="24"/>
        </w:rPr>
        <w:t xml:space="preserve">(ie 2 years of the carry forward) </w:t>
      </w:r>
      <w:r w:rsidR="00530D3F">
        <w:rPr>
          <w:rFonts w:asciiTheme="minorHAnsi" w:hAnsiTheme="minorHAnsi"/>
          <w:sz w:val="24"/>
        </w:rPr>
        <w:t>would be allocated to</w:t>
      </w:r>
      <w:r w:rsidR="00EB6447">
        <w:rPr>
          <w:rFonts w:asciiTheme="minorHAnsi" w:hAnsiTheme="minorHAnsi"/>
          <w:sz w:val="24"/>
        </w:rPr>
        <w:t xml:space="preserve"> </w:t>
      </w:r>
      <w:r w:rsidR="00530D3F">
        <w:rPr>
          <w:rFonts w:asciiTheme="minorHAnsi" w:hAnsiTheme="minorHAnsi"/>
          <w:sz w:val="24"/>
        </w:rPr>
        <w:t>the 2017-19</w:t>
      </w:r>
      <w:r w:rsidR="00CE019A">
        <w:rPr>
          <w:rFonts w:asciiTheme="minorHAnsi" w:hAnsiTheme="minorHAnsi"/>
          <w:sz w:val="24"/>
        </w:rPr>
        <w:t xml:space="preserve"> </w:t>
      </w:r>
      <w:r w:rsidR="00530D3F">
        <w:rPr>
          <w:rFonts w:asciiTheme="minorHAnsi" w:hAnsiTheme="minorHAnsi"/>
          <w:sz w:val="24"/>
        </w:rPr>
        <w:t xml:space="preserve">period and the other $10.38m </w:t>
      </w:r>
      <w:r w:rsidR="00EB6447">
        <w:rPr>
          <w:rFonts w:asciiTheme="minorHAnsi" w:hAnsiTheme="minorHAnsi"/>
          <w:sz w:val="24"/>
        </w:rPr>
        <w:t xml:space="preserve">(ie 3 years of the carry forward) </w:t>
      </w:r>
      <w:r w:rsidR="00530D3F">
        <w:rPr>
          <w:rFonts w:asciiTheme="minorHAnsi" w:hAnsiTheme="minorHAnsi"/>
          <w:sz w:val="24"/>
        </w:rPr>
        <w:t xml:space="preserve">allocated to the 2019-24 period along with the carry forward of the EBSS from the 2017-19 period. This approach is more equitable and replicates what would have occurred in the absence of the unique 2 year regulatory period. </w:t>
      </w:r>
    </w:p>
    <w:p w:rsidR="00530D3F" w:rsidRDefault="00530D3F"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If this approach is not carried out it will impose a considerable burden on the consumers in the 2017-19 period and provide a considerable benefit to consumers in the 2019-24 period</w:t>
      </w:r>
      <w:r w:rsidR="00EB6447">
        <w:rPr>
          <w:rFonts w:asciiTheme="minorHAnsi" w:hAnsiTheme="minorHAnsi"/>
          <w:sz w:val="24"/>
        </w:rPr>
        <w:t xml:space="preserve"> which will only have a carry forward cost of just 2 years of EBSS carry forward. The carry forward from the 2 year period is likely to be small </w:t>
      </w:r>
      <w:r>
        <w:rPr>
          <w:rFonts w:asciiTheme="minorHAnsi" w:hAnsiTheme="minorHAnsi"/>
          <w:sz w:val="24"/>
        </w:rPr>
        <w:t>as TND ha</w:t>
      </w:r>
      <w:r w:rsidR="00EB6447">
        <w:rPr>
          <w:rFonts w:asciiTheme="minorHAnsi" w:hAnsiTheme="minorHAnsi"/>
          <w:sz w:val="24"/>
        </w:rPr>
        <w:t>s</w:t>
      </w:r>
      <w:r>
        <w:rPr>
          <w:rFonts w:asciiTheme="minorHAnsi" w:hAnsiTheme="minorHAnsi"/>
          <w:sz w:val="24"/>
        </w:rPr>
        <w:t xml:space="preserve"> applied a significant productivity factor for the 2017-19 period </w:t>
      </w:r>
      <w:r w:rsidR="00ED6531">
        <w:rPr>
          <w:rFonts w:asciiTheme="minorHAnsi" w:hAnsiTheme="minorHAnsi"/>
          <w:sz w:val="24"/>
        </w:rPr>
        <w:t xml:space="preserve">opex </w:t>
      </w:r>
      <w:r>
        <w:rPr>
          <w:rFonts w:asciiTheme="minorHAnsi" w:hAnsiTheme="minorHAnsi"/>
          <w:sz w:val="24"/>
        </w:rPr>
        <w:t xml:space="preserve">and </w:t>
      </w:r>
      <w:r w:rsidR="00ED6531">
        <w:rPr>
          <w:rFonts w:asciiTheme="minorHAnsi" w:hAnsiTheme="minorHAnsi"/>
          <w:sz w:val="24"/>
        </w:rPr>
        <w:t xml:space="preserve">therefore </w:t>
      </w:r>
      <w:r>
        <w:rPr>
          <w:rFonts w:asciiTheme="minorHAnsi" w:hAnsiTheme="minorHAnsi"/>
          <w:sz w:val="24"/>
        </w:rPr>
        <w:t xml:space="preserve">it is more likely than not, that the EBSS carry over from the 2017-2019 period </w:t>
      </w:r>
      <w:r w:rsidR="00EB6447">
        <w:rPr>
          <w:rFonts w:asciiTheme="minorHAnsi" w:hAnsiTheme="minorHAnsi"/>
          <w:sz w:val="24"/>
        </w:rPr>
        <w:t xml:space="preserve">to the 5 year 2019-24 period </w:t>
      </w:r>
      <w:r w:rsidR="00ED6531">
        <w:rPr>
          <w:rFonts w:asciiTheme="minorHAnsi" w:hAnsiTheme="minorHAnsi"/>
          <w:sz w:val="24"/>
        </w:rPr>
        <w:t xml:space="preserve">will </w:t>
      </w:r>
      <w:r w:rsidR="00EB6447">
        <w:rPr>
          <w:rFonts w:asciiTheme="minorHAnsi" w:hAnsiTheme="minorHAnsi"/>
          <w:sz w:val="24"/>
        </w:rPr>
        <w:t>reflect</w:t>
      </w:r>
      <w:r w:rsidR="00ED6531">
        <w:rPr>
          <w:rFonts w:asciiTheme="minorHAnsi" w:hAnsiTheme="minorHAnsi"/>
          <w:sz w:val="24"/>
        </w:rPr>
        <w:t xml:space="preserve"> this</w:t>
      </w:r>
      <w:r w:rsidR="00EB6447">
        <w:rPr>
          <w:rFonts w:asciiTheme="minorHAnsi" w:hAnsiTheme="minorHAnsi"/>
          <w:sz w:val="24"/>
        </w:rPr>
        <w:t xml:space="preserve"> aggressive opex target. </w:t>
      </w:r>
      <w:r>
        <w:rPr>
          <w:rFonts w:asciiTheme="minorHAnsi" w:hAnsiTheme="minorHAnsi"/>
          <w:sz w:val="24"/>
        </w:rPr>
        <w:t xml:space="preserve"> </w:t>
      </w:r>
    </w:p>
    <w:p w:rsidR="00243A31" w:rsidRDefault="00243A31" w:rsidP="00345E27">
      <w:pPr>
        <w:pStyle w:val="AERbulletlistfirststyle"/>
        <w:numPr>
          <w:ilvl w:val="0"/>
          <w:numId w:val="0"/>
        </w:numPr>
        <w:tabs>
          <w:tab w:val="clear" w:pos="357"/>
          <w:tab w:val="left" w:pos="0"/>
        </w:tabs>
        <w:spacing w:line="240" w:lineRule="auto"/>
        <w:rPr>
          <w:rFonts w:asciiTheme="minorHAnsi" w:hAnsiTheme="minorHAnsi"/>
          <w:b/>
          <w:sz w:val="24"/>
        </w:rPr>
      </w:pPr>
    </w:p>
    <w:p w:rsidR="00243A31" w:rsidRPr="00243A31" w:rsidRDefault="00BA640A" w:rsidP="00345E27">
      <w:pPr>
        <w:pStyle w:val="AERbulletlistfirststyle"/>
        <w:numPr>
          <w:ilvl w:val="0"/>
          <w:numId w:val="0"/>
        </w:numPr>
        <w:tabs>
          <w:tab w:val="clear" w:pos="357"/>
          <w:tab w:val="left" w:pos="0"/>
        </w:tabs>
        <w:spacing w:line="240" w:lineRule="auto"/>
        <w:rPr>
          <w:rFonts w:asciiTheme="minorHAnsi" w:hAnsiTheme="minorHAnsi"/>
          <w:b/>
          <w:sz w:val="24"/>
        </w:rPr>
      </w:pPr>
      <w:r w:rsidRPr="00BA640A">
        <w:rPr>
          <w:rFonts w:asciiTheme="minorHAnsi" w:hAnsiTheme="minorHAnsi"/>
          <w:b/>
          <w:sz w:val="24"/>
        </w:rPr>
        <w:t>7.</w:t>
      </w:r>
      <w:r w:rsidR="00BF1510">
        <w:rPr>
          <w:rFonts w:asciiTheme="minorHAnsi" w:hAnsiTheme="minorHAnsi"/>
          <w:b/>
          <w:sz w:val="24"/>
        </w:rPr>
        <w:t>3</w:t>
      </w:r>
      <w:r w:rsidR="00BF1510" w:rsidRPr="00BA640A">
        <w:rPr>
          <w:rFonts w:asciiTheme="minorHAnsi" w:hAnsiTheme="minorHAnsi"/>
          <w:b/>
          <w:sz w:val="24"/>
        </w:rPr>
        <w:t xml:space="preserve"> </w:t>
      </w:r>
      <w:r w:rsidRPr="00BA640A">
        <w:rPr>
          <w:rFonts w:asciiTheme="minorHAnsi" w:hAnsiTheme="minorHAnsi"/>
          <w:b/>
          <w:sz w:val="24"/>
        </w:rPr>
        <w:t>DMIA</w:t>
      </w:r>
    </w:p>
    <w:p w:rsidR="0090704E" w:rsidRDefault="0090704E" w:rsidP="00345E27">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In its response to the TND proposal, it was noted that there were concerns about the extent of the DMIA payments across the NEM and the value that consumers received from these payments. That report noted:</w:t>
      </w:r>
    </w:p>
    <w:p w:rsidR="0090704E" w:rsidRDefault="0090704E" w:rsidP="0090704E">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t>“...</w:t>
      </w:r>
      <w:r w:rsidR="002A4504" w:rsidRPr="00AA5B97">
        <w:rPr>
          <w:rFonts w:asciiTheme="minorHAnsi" w:hAnsiTheme="minorHAnsi"/>
          <w:sz w:val="24"/>
        </w:rPr>
        <w:t>there is a concern among</w:t>
      </w:r>
      <w:r w:rsidR="00D31444" w:rsidRPr="00AA5B97">
        <w:rPr>
          <w:rFonts w:asciiTheme="minorHAnsi" w:hAnsiTheme="minorHAnsi"/>
          <w:sz w:val="24"/>
        </w:rPr>
        <w:t xml:space="preserve"> consumers that the amounts allowed for the DMIA are significant when assessed in aggregate across all of the DNSPs in the NEM.</w:t>
      </w:r>
      <w:r>
        <w:rPr>
          <w:rFonts w:asciiTheme="minorHAnsi" w:hAnsiTheme="minorHAnsi"/>
          <w:sz w:val="24"/>
        </w:rPr>
        <w:t>”</w:t>
      </w:r>
      <w:r w:rsidR="00127E18" w:rsidRPr="00AA5B97">
        <w:rPr>
          <w:rFonts w:asciiTheme="minorHAnsi" w:hAnsiTheme="minorHAnsi"/>
          <w:sz w:val="24"/>
        </w:rPr>
        <w:t xml:space="preserve"> </w:t>
      </w:r>
      <w:r w:rsidR="00D31444" w:rsidRPr="00AA5B97">
        <w:rPr>
          <w:rFonts w:asciiTheme="minorHAnsi" w:hAnsiTheme="minorHAnsi"/>
          <w:sz w:val="24"/>
        </w:rPr>
        <w:t xml:space="preserve"> </w:t>
      </w:r>
    </w:p>
    <w:p w:rsidR="0090704E" w:rsidRDefault="0090704E" w:rsidP="0090704E">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The report questioned </w:t>
      </w:r>
    </w:p>
    <w:p w:rsidR="00D31444" w:rsidRDefault="0090704E" w:rsidP="0090704E">
      <w:pPr>
        <w:pStyle w:val="AERbulletlistfirststyle"/>
        <w:numPr>
          <w:ilvl w:val="0"/>
          <w:numId w:val="0"/>
        </w:numPr>
        <w:tabs>
          <w:tab w:val="clear" w:pos="357"/>
          <w:tab w:val="left" w:pos="0"/>
        </w:tabs>
        <w:spacing w:line="240" w:lineRule="auto"/>
        <w:ind w:left="720"/>
        <w:rPr>
          <w:rFonts w:asciiTheme="minorHAnsi" w:hAnsiTheme="minorHAnsi"/>
          <w:sz w:val="24"/>
        </w:rPr>
      </w:pPr>
      <w:r>
        <w:rPr>
          <w:rFonts w:asciiTheme="minorHAnsi" w:hAnsiTheme="minorHAnsi"/>
          <w:sz w:val="24"/>
        </w:rPr>
        <w:t xml:space="preserve">“... </w:t>
      </w:r>
      <w:r w:rsidR="00D31444" w:rsidRPr="00AA5B97">
        <w:rPr>
          <w:rFonts w:asciiTheme="minorHAnsi" w:hAnsiTheme="minorHAnsi"/>
          <w:sz w:val="24"/>
        </w:rPr>
        <w:t>to what this allowance is to achieve overall, to what extent the programs are managed between DNSPs to prevent duplication and whether there have been cost benefit analyses undertaken to ensure that the maximum value is achieved for the investments made</w:t>
      </w:r>
      <w:r w:rsidR="00127E18" w:rsidRPr="00AA5B97">
        <w:rPr>
          <w:rFonts w:asciiTheme="minorHAnsi" w:hAnsiTheme="minorHAnsi"/>
          <w:sz w:val="24"/>
        </w:rPr>
        <w:t xml:space="preserve"> using consumer contributions.</w:t>
      </w:r>
      <w:r>
        <w:rPr>
          <w:rFonts w:asciiTheme="minorHAnsi" w:hAnsiTheme="minorHAnsi"/>
          <w:sz w:val="24"/>
        </w:rPr>
        <w:t>”</w:t>
      </w:r>
    </w:p>
    <w:p w:rsidR="0090704E" w:rsidRDefault="0090704E">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In its draft decision, the AER has advised that it intends to carry out a review of the Demand </w:t>
      </w:r>
      <w:r w:rsidR="00ED6531">
        <w:rPr>
          <w:rFonts w:asciiTheme="minorHAnsi" w:hAnsiTheme="minorHAnsi"/>
          <w:sz w:val="24"/>
        </w:rPr>
        <w:t xml:space="preserve">Management </w:t>
      </w:r>
      <w:r>
        <w:rPr>
          <w:rFonts w:asciiTheme="minorHAnsi" w:hAnsiTheme="minorHAnsi"/>
          <w:sz w:val="24"/>
        </w:rPr>
        <w:t>Incentive Scheme (DMIS) and its associated DMIA during 2017. With this in mind, this report accepts that to make a change to the TND DMIA is perhaps premature, and an appropriate allowance included for the next two years to allow TND to complete its current programs</w:t>
      </w:r>
    </w:p>
    <w:p w:rsidR="0090704E" w:rsidRDefault="0090704E">
      <w:pPr>
        <w:pStyle w:val="AERbulletlistfirststyle"/>
        <w:numPr>
          <w:ilvl w:val="0"/>
          <w:numId w:val="0"/>
        </w:numPr>
        <w:tabs>
          <w:tab w:val="clear" w:pos="357"/>
          <w:tab w:val="left" w:pos="0"/>
        </w:tabs>
        <w:spacing w:line="240" w:lineRule="auto"/>
        <w:rPr>
          <w:rFonts w:asciiTheme="minorHAnsi" w:hAnsiTheme="minorHAnsi"/>
          <w:sz w:val="24"/>
        </w:rPr>
      </w:pPr>
      <w:r>
        <w:rPr>
          <w:rFonts w:asciiTheme="minorHAnsi" w:hAnsiTheme="minorHAnsi"/>
          <w:sz w:val="24"/>
        </w:rPr>
        <w:t xml:space="preserve">As TND has suggested that its current allowance be effectively maintained (allowing for some inflation from the amount allowed 5 years ago) the AER draft decision has accepted the TND proposal. This report, although still concerned about the amounts allowed across the NEM for the DMIA and the potential for duplication of projects, agrees with the AER that maintaining the current level of DMIA is not unreasonable.  </w:t>
      </w:r>
    </w:p>
    <w:p w:rsidR="0090704E" w:rsidRDefault="0090704E">
      <w:pPr>
        <w:pStyle w:val="AERbulletlistfirststyle"/>
        <w:numPr>
          <w:ilvl w:val="0"/>
          <w:numId w:val="0"/>
        </w:numPr>
        <w:tabs>
          <w:tab w:val="clear" w:pos="357"/>
          <w:tab w:val="left" w:pos="0"/>
        </w:tabs>
        <w:spacing w:line="240" w:lineRule="auto"/>
        <w:rPr>
          <w:rFonts w:asciiTheme="minorHAnsi" w:hAnsiTheme="minorHAnsi"/>
          <w:sz w:val="24"/>
        </w:rPr>
      </w:pPr>
    </w:p>
    <w:p w:rsidR="0090704E" w:rsidRDefault="0090704E">
      <w:pPr>
        <w:spacing w:line="240" w:lineRule="auto"/>
        <w:rPr>
          <w:rFonts w:eastAsia="Times New Roman" w:cs="Times New Roman"/>
          <w:b/>
          <w:sz w:val="28"/>
          <w:szCs w:val="28"/>
          <w:lang w:val="en-AU" w:bidi="ar-SA"/>
        </w:rPr>
      </w:pPr>
      <w:r>
        <w:rPr>
          <w:b/>
          <w:sz w:val="28"/>
          <w:szCs w:val="28"/>
        </w:rPr>
        <w:br w:type="page"/>
      </w:r>
    </w:p>
    <w:p w:rsidR="0024444A" w:rsidRPr="00AA5B97" w:rsidRDefault="0024444A" w:rsidP="00345E27">
      <w:pPr>
        <w:pStyle w:val="AERbulletlistfirststyle"/>
        <w:numPr>
          <w:ilvl w:val="0"/>
          <w:numId w:val="0"/>
        </w:numPr>
        <w:tabs>
          <w:tab w:val="clear" w:pos="357"/>
          <w:tab w:val="left" w:pos="0"/>
        </w:tabs>
        <w:spacing w:line="240" w:lineRule="auto"/>
        <w:rPr>
          <w:rStyle w:val="AERbody"/>
          <w:rFonts w:asciiTheme="minorHAnsi" w:hAnsiTheme="minorHAnsi"/>
          <w:b/>
          <w:sz w:val="28"/>
          <w:szCs w:val="28"/>
        </w:rPr>
      </w:pPr>
      <w:r w:rsidRPr="00AA5B97">
        <w:rPr>
          <w:rFonts w:asciiTheme="minorHAnsi" w:hAnsiTheme="minorHAnsi"/>
          <w:b/>
          <w:sz w:val="28"/>
          <w:szCs w:val="28"/>
        </w:rPr>
        <w:lastRenderedPageBreak/>
        <w:t xml:space="preserve">8. </w:t>
      </w:r>
      <w:r w:rsidRPr="00AA5B97">
        <w:rPr>
          <w:rStyle w:val="AERbody"/>
          <w:rFonts w:asciiTheme="minorHAnsi" w:hAnsiTheme="minorHAnsi"/>
          <w:b/>
          <w:sz w:val="28"/>
          <w:szCs w:val="28"/>
        </w:rPr>
        <w:t>Weighted average cost of capital</w:t>
      </w:r>
    </w:p>
    <w:p w:rsidR="000A1970" w:rsidRDefault="000A1970" w:rsidP="009363FD">
      <w:pPr>
        <w:rPr>
          <w:sz w:val="24"/>
          <w:szCs w:val="24"/>
          <w:lang w:val="en-AU" w:bidi="ar-SA"/>
        </w:rPr>
      </w:pPr>
      <w:r>
        <w:rPr>
          <w:sz w:val="24"/>
          <w:szCs w:val="24"/>
          <w:lang w:val="en-AU" w:bidi="ar-SA"/>
        </w:rPr>
        <w:t>This report notes that the AER draft decision accepts the application by TND of the AER guideline on rate of return</w:t>
      </w:r>
      <w:r w:rsidR="00520457">
        <w:rPr>
          <w:sz w:val="24"/>
          <w:szCs w:val="24"/>
          <w:lang w:val="en-AU" w:bidi="ar-SA"/>
        </w:rPr>
        <w:t xml:space="preserve"> (except on gamma)</w:t>
      </w:r>
      <w:r>
        <w:rPr>
          <w:sz w:val="24"/>
          <w:szCs w:val="24"/>
          <w:lang w:val="en-AU" w:bidi="ar-SA"/>
        </w:rPr>
        <w:t xml:space="preserve">, although TND had commented that it might apply the outcomes of the current appeals other networks have initiated against the AER rate of return guideline. </w:t>
      </w:r>
    </w:p>
    <w:p w:rsidR="000A1970" w:rsidRDefault="000A1970" w:rsidP="009363FD">
      <w:pPr>
        <w:rPr>
          <w:sz w:val="24"/>
          <w:szCs w:val="24"/>
          <w:lang w:val="en-AU" w:bidi="ar-SA"/>
        </w:rPr>
      </w:pPr>
      <w:r>
        <w:rPr>
          <w:sz w:val="24"/>
          <w:szCs w:val="24"/>
          <w:lang w:val="en-AU" w:bidi="ar-SA"/>
        </w:rPr>
        <w:t>This report notes that the Competition Tribunal decision relating to the NSW networks upheld the AER guideline regarding the cost of equity but rejected the AER guideline relating to the transition approach to debt and to gamma. The AER has appealed the Competition Tribunal decision on the NSW networks.</w:t>
      </w:r>
    </w:p>
    <w:p w:rsidR="000A1970" w:rsidRDefault="000A1970" w:rsidP="009363FD">
      <w:pPr>
        <w:rPr>
          <w:sz w:val="24"/>
          <w:szCs w:val="24"/>
          <w:lang w:val="en-AU" w:bidi="ar-SA"/>
        </w:rPr>
      </w:pPr>
      <w:r>
        <w:rPr>
          <w:sz w:val="24"/>
          <w:szCs w:val="24"/>
          <w:lang w:val="en-AU" w:bidi="ar-SA"/>
        </w:rPr>
        <w:t xml:space="preserve">Pleasingly for consumers, the most recent Competition Tribunal decision (regarding the SA Power Networks appeal) effectively applies the AER guideline, specifically in relation to the transition on debt and on gamma, appearing to overturn the previous Competition Tribunal decision relating to the NSW networks appeal. </w:t>
      </w:r>
    </w:p>
    <w:p w:rsidR="003C261C" w:rsidRDefault="000A1970" w:rsidP="009363FD">
      <w:pPr>
        <w:rPr>
          <w:sz w:val="24"/>
          <w:szCs w:val="24"/>
          <w:lang w:val="en-AU" w:bidi="ar-SA"/>
        </w:rPr>
      </w:pPr>
      <w:r>
        <w:rPr>
          <w:sz w:val="24"/>
          <w:szCs w:val="24"/>
          <w:lang w:val="en-AU" w:bidi="ar-SA"/>
        </w:rPr>
        <w:t>On balance, it would appear that the AER draft decision to apply its guideline in its entirety to</w:t>
      </w:r>
      <w:r w:rsidR="003C261C">
        <w:rPr>
          <w:sz w:val="24"/>
          <w:szCs w:val="24"/>
          <w:lang w:val="en-AU" w:bidi="ar-SA"/>
        </w:rPr>
        <w:t xml:space="preserve"> </w:t>
      </w:r>
      <w:r>
        <w:rPr>
          <w:sz w:val="24"/>
          <w:szCs w:val="24"/>
          <w:lang w:val="en-AU" w:bidi="ar-SA"/>
        </w:rPr>
        <w:t xml:space="preserve">the TND proposal would appear to reflect what has been decided by the Competition Tribunal’s most recent decisions. </w:t>
      </w:r>
      <w:r w:rsidR="003C261C">
        <w:rPr>
          <w:sz w:val="24"/>
          <w:szCs w:val="24"/>
          <w:lang w:val="en-AU" w:bidi="ar-SA"/>
        </w:rPr>
        <w:t>It is hoped that TND will, in its revised proposal, accept unquestioned, the AER guideline.</w:t>
      </w:r>
    </w:p>
    <w:p w:rsidR="007E34EB" w:rsidRDefault="007E34EB" w:rsidP="009363FD">
      <w:pPr>
        <w:rPr>
          <w:color w:val="C00000"/>
          <w:sz w:val="24"/>
          <w:szCs w:val="24"/>
          <w:lang w:val="en-AU" w:bidi="ar-SA"/>
        </w:rPr>
      </w:pPr>
      <w:r>
        <w:rPr>
          <w:color w:val="C00000"/>
          <w:sz w:val="24"/>
          <w:szCs w:val="24"/>
          <w:lang w:val="en-AU" w:bidi="ar-SA"/>
        </w:rPr>
        <w:t>In its revised proposal, TND has used the AER assessed value for gamma (ie 0.40) but still considers that the lower value of 0.25 should be applied. TND notes that, should the AER appeal to the Federal Court about the outcomes of the Competition Tribunal decision on the NSW distribution networks appeal result in the Federal Court deciding that gamma should be 0.25, that the AER should apply that value in its final decision</w:t>
      </w:r>
      <w:r w:rsidR="00F169BF">
        <w:rPr>
          <w:color w:val="C00000"/>
          <w:sz w:val="24"/>
          <w:szCs w:val="24"/>
          <w:lang w:val="en-AU" w:bidi="ar-SA"/>
        </w:rPr>
        <w:t>, hoping it is assumed, that</w:t>
      </w:r>
      <w:r>
        <w:rPr>
          <w:color w:val="C00000"/>
          <w:sz w:val="24"/>
          <w:szCs w:val="24"/>
          <w:lang w:val="en-AU" w:bidi="ar-SA"/>
        </w:rPr>
        <w:t xml:space="preserve"> the Federal Court decision </w:t>
      </w:r>
      <w:r w:rsidR="00F169BF">
        <w:rPr>
          <w:color w:val="C00000"/>
          <w:sz w:val="24"/>
          <w:szCs w:val="24"/>
          <w:lang w:val="en-AU" w:bidi="ar-SA"/>
        </w:rPr>
        <w:t>is</w:t>
      </w:r>
      <w:r>
        <w:rPr>
          <w:color w:val="C00000"/>
          <w:sz w:val="24"/>
          <w:szCs w:val="24"/>
          <w:lang w:val="en-AU" w:bidi="ar-SA"/>
        </w:rPr>
        <w:t xml:space="preserve"> brought down before the AER makes its final decision. </w:t>
      </w:r>
    </w:p>
    <w:p w:rsidR="007E34EB" w:rsidRDefault="007E34EB" w:rsidP="009363FD">
      <w:pPr>
        <w:rPr>
          <w:color w:val="C00000"/>
          <w:sz w:val="24"/>
          <w:szCs w:val="24"/>
          <w:lang w:val="en-AU" w:bidi="ar-SA"/>
        </w:rPr>
      </w:pPr>
      <w:r>
        <w:rPr>
          <w:color w:val="C00000"/>
          <w:sz w:val="24"/>
          <w:szCs w:val="24"/>
          <w:lang w:val="en-AU" w:bidi="ar-SA"/>
        </w:rPr>
        <w:t xml:space="preserve">CCP4(DH) considers that TND should not be seeking for this to occur. In its report on the TND </w:t>
      </w:r>
      <w:r w:rsidR="00F169BF">
        <w:rPr>
          <w:color w:val="C00000"/>
          <w:sz w:val="24"/>
          <w:szCs w:val="24"/>
          <w:lang w:val="en-AU" w:bidi="ar-SA"/>
        </w:rPr>
        <w:t xml:space="preserve">initial </w:t>
      </w:r>
      <w:r>
        <w:rPr>
          <w:color w:val="C00000"/>
          <w:sz w:val="24"/>
          <w:szCs w:val="24"/>
          <w:lang w:val="en-AU" w:bidi="ar-SA"/>
        </w:rPr>
        <w:t>proposal, CCP4(DH) commented that it:</w:t>
      </w:r>
    </w:p>
    <w:p w:rsidR="007E34EB" w:rsidRPr="007E34EB" w:rsidRDefault="007E34EB" w:rsidP="007E34EB">
      <w:pPr>
        <w:ind w:left="720"/>
        <w:rPr>
          <w:rStyle w:val="AERbody"/>
          <w:rFonts w:asciiTheme="minorHAnsi" w:hAnsiTheme="minorHAnsi"/>
          <w:b/>
          <w:color w:val="C00000"/>
          <w:sz w:val="28"/>
          <w:szCs w:val="28"/>
        </w:rPr>
      </w:pPr>
      <w:r w:rsidRPr="007E34EB">
        <w:rPr>
          <w:color w:val="C00000"/>
          <w:sz w:val="24"/>
          <w:szCs w:val="24"/>
          <w:lang w:val="en-AU"/>
        </w:rPr>
        <w:t>“...considers that TND should have applied the AER guideline in respect of gamma, especially as gamma only has value where there are shareholders subject to the Commonwealth tax on business profits. As TND is not subject to this tax, setting gamma at a level lower than unity merely increases the revenue to TND with little legitimate basis and therefore this is an unnecessary cost that that is being transferred to consumers. By seeking a value for gamma lower than unity, TND has not applied the concept that it will reduce the costs to consumers by eliminating unnecessary costs.”</w:t>
      </w:r>
    </w:p>
    <w:p w:rsidR="007E34EB" w:rsidRPr="007E34EB" w:rsidRDefault="007E34EB" w:rsidP="009363FD">
      <w:pPr>
        <w:rPr>
          <w:color w:val="C00000"/>
          <w:sz w:val="24"/>
          <w:szCs w:val="24"/>
          <w:lang w:val="en-AU" w:bidi="ar-SA"/>
        </w:rPr>
      </w:pPr>
      <w:r>
        <w:rPr>
          <w:color w:val="C00000"/>
          <w:sz w:val="24"/>
          <w:szCs w:val="24"/>
          <w:lang w:val="en-AU" w:bidi="ar-SA"/>
        </w:rPr>
        <w:lastRenderedPageBreak/>
        <w:t xml:space="preserve"> CCP4(DH) is still of this view and considers the revised proposal should </w:t>
      </w:r>
      <w:r w:rsidR="00303C9F">
        <w:rPr>
          <w:color w:val="C00000"/>
          <w:sz w:val="24"/>
          <w:szCs w:val="24"/>
          <w:lang w:val="en-AU" w:bidi="ar-SA"/>
        </w:rPr>
        <w:t xml:space="preserve">not </w:t>
      </w:r>
      <w:r>
        <w:rPr>
          <w:color w:val="C00000"/>
          <w:sz w:val="24"/>
          <w:szCs w:val="24"/>
          <w:lang w:val="en-AU" w:bidi="ar-SA"/>
        </w:rPr>
        <w:t>be seeking any adjustment.</w:t>
      </w:r>
    </w:p>
    <w:p w:rsidR="003C261C" w:rsidRDefault="003C261C" w:rsidP="009363FD">
      <w:pPr>
        <w:rPr>
          <w:sz w:val="24"/>
          <w:szCs w:val="24"/>
          <w:lang w:val="en-AU" w:bidi="ar-SA"/>
        </w:rPr>
      </w:pPr>
      <w:r>
        <w:rPr>
          <w:sz w:val="24"/>
          <w:szCs w:val="24"/>
          <w:lang w:val="en-AU" w:bidi="ar-SA"/>
        </w:rPr>
        <w:t>However, this report also notes that the risk free rate for cash (the 10 year Australian Commonwealth bond rate) has risen considerably since the AER draft decision and the current rate of about 2.</w:t>
      </w:r>
      <w:r w:rsidR="00520457">
        <w:rPr>
          <w:sz w:val="24"/>
          <w:szCs w:val="24"/>
          <w:lang w:val="en-AU" w:bidi="ar-SA"/>
        </w:rPr>
        <w:t>72</w:t>
      </w:r>
      <w:r>
        <w:rPr>
          <w:sz w:val="24"/>
          <w:szCs w:val="24"/>
          <w:lang w:val="en-AU" w:bidi="ar-SA"/>
        </w:rPr>
        <w:t xml:space="preserve">% is near the risk free rate used by TND in its initial proposal; this effectively removes </w:t>
      </w:r>
      <w:r w:rsidR="00520457">
        <w:rPr>
          <w:sz w:val="24"/>
          <w:szCs w:val="24"/>
          <w:lang w:val="en-AU" w:bidi="ar-SA"/>
        </w:rPr>
        <w:t xml:space="preserve">a significant portion </w:t>
      </w:r>
      <w:r>
        <w:rPr>
          <w:sz w:val="24"/>
          <w:szCs w:val="24"/>
          <w:lang w:val="en-AU" w:bidi="ar-SA"/>
        </w:rPr>
        <w:t xml:space="preserve">of the difference in the </w:t>
      </w:r>
      <w:r w:rsidR="00520457">
        <w:rPr>
          <w:sz w:val="24"/>
          <w:szCs w:val="24"/>
          <w:lang w:val="en-AU" w:bidi="ar-SA"/>
        </w:rPr>
        <w:t xml:space="preserve">revenue allowances (and hence the </w:t>
      </w:r>
      <w:r>
        <w:rPr>
          <w:sz w:val="24"/>
          <w:szCs w:val="24"/>
          <w:lang w:val="en-AU" w:bidi="ar-SA"/>
        </w:rPr>
        <w:t>notional tariff</w:t>
      </w:r>
      <w:r w:rsidR="00520457">
        <w:rPr>
          <w:sz w:val="24"/>
          <w:szCs w:val="24"/>
          <w:lang w:val="en-AU" w:bidi="ar-SA"/>
        </w:rPr>
        <w:t>)</w:t>
      </w:r>
      <w:r>
        <w:rPr>
          <w:sz w:val="24"/>
          <w:szCs w:val="24"/>
          <w:lang w:val="en-AU" w:bidi="ar-SA"/>
        </w:rPr>
        <w:t xml:space="preserve"> between the TND proposal and the draft decision. </w:t>
      </w:r>
    </w:p>
    <w:p w:rsidR="003C261C" w:rsidRDefault="003C261C" w:rsidP="009363FD">
      <w:pPr>
        <w:rPr>
          <w:sz w:val="24"/>
          <w:szCs w:val="24"/>
          <w:lang w:val="en-AU" w:bidi="ar-SA"/>
        </w:rPr>
      </w:pPr>
      <w:r>
        <w:rPr>
          <w:sz w:val="24"/>
          <w:szCs w:val="24"/>
          <w:lang w:val="en-AU" w:bidi="ar-SA"/>
        </w:rPr>
        <w:t>There is every expectation that the 10 year bond rate will continue to increase over the coming months further eroding the lower tariffs implied by the TND proposal</w:t>
      </w:r>
      <w:r w:rsidR="00520457">
        <w:rPr>
          <w:sz w:val="24"/>
          <w:szCs w:val="24"/>
          <w:lang w:val="en-AU" w:bidi="ar-SA"/>
        </w:rPr>
        <w:t xml:space="preserve"> and the draft decision</w:t>
      </w:r>
      <w:r>
        <w:rPr>
          <w:sz w:val="24"/>
          <w:szCs w:val="24"/>
          <w:lang w:val="en-AU" w:bidi="ar-SA"/>
        </w:rPr>
        <w:t xml:space="preserve">. </w:t>
      </w:r>
    </w:p>
    <w:p w:rsidR="003C261C" w:rsidRDefault="003C261C" w:rsidP="009363FD">
      <w:pPr>
        <w:rPr>
          <w:sz w:val="24"/>
          <w:szCs w:val="24"/>
          <w:lang w:val="en-AU" w:bidi="ar-SA"/>
        </w:rPr>
      </w:pPr>
      <w:r>
        <w:rPr>
          <w:sz w:val="24"/>
          <w:szCs w:val="24"/>
          <w:lang w:val="en-AU" w:bidi="ar-SA"/>
        </w:rPr>
        <w:t xml:space="preserve">While this report accepts that the AER is unlikely to change its guideline (and therefore TND has no reason not vary from it), the observed increases in the risk free rate have reinforced CCP4(DH) concerns that the parameters used by the AER in its rate of return are too conservative. In the </w:t>
      </w:r>
      <w:r w:rsidR="00520457">
        <w:rPr>
          <w:sz w:val="24"/>
          <w:szCs w:val="24"/>
          <w:lang w:val="en-AU" w:bidi="ar-SA"/>
        </w:rPr>
        <w:t xml:space="preserve">earlier </w:t>
      </w:r>
      <w:r>
        <w:rPr>
          <w:sz w:val="24"/>
          <w:szCs w:val="24"/>
          <w:lang w:val="en-AU" w:bidi="ar-SA"/>
        </w:rPr>
        <w:t xml:space="preserve">report, </w:t>
      </w:r>
      <w:r w:rsidR="001A59D6">
        <w:rPr>
          <w:sz w:val="24"/>
          <w:szCs w:val="24"/>
          <w:lang w:val="en-AU" w:bidi="ar-SA"/>
        </w:rPr>
        <w:t xml:space="preserve">gearing, market risk premium, equity beta and gamma were all identified as being more conservative than is considered appropriate by consumers and these are to be addressed in the next AER review of the rate </w:t>
      </w:r>
      <w:r w:rsidR="00171F50">
        <w:rPr>
          <w:sz w:val="24"/>
          <w:szCs w:val="24"/>
          <w:lang w:val="en-AU" w:bidi="ar-SA"/>
        </w:rPr>
        <w:t>o</w:t>
      </w:r>
      <w:r w:rsidR="001A59D6">
        <w:rPr>
          <w:sz w:val="24"/>
          <w:szCs w:val="24"/>
          <w:lang w:val="en-AU" w:bidi="ar-SA"/>
        </w:rPr>
        <w:t xml:space="preserve">f return on equity parameters. Accepting that this review is to take place </w:t>
      </w:r>
      <w:r w:rsidR="00171F50">
        <w:rPr>
          <w:sz w:val="24"/>
          <w:szCs w:val="24"/>
          <w:lang w:val="en-AU" w:bidi="ar-SA"/>
        </w:rPr>
        <w:t>within the next 2 years</w:t>
      </w:r>
      <w:r w:rsidR="001A59D6">
        <w:rPr>
          <w:sz w:val="24"/>
          <w:szCs w:val="24"/>
          <w:lang w:val="en-AU" w:bidi="ar-SA"/>
        </w:rPr>
        <w:t>, it is accepted that the current parameters should be applied to the TND decision.</w:t>
      </w:r>
    </w:p>
    <w:p w:rsidR="00171F50" w:rsidRDefault="001A59D6" w:rsidP="009363FD">
      <w:pPr>
        <w:rPr>
          <w:sz w:val="24"/>
          <w:szCs w:val="24"/>
          <w:lang w:val="en-AU" w:bidi="ar-SA"/>
        </w:rPr>
      </w:pPr>
      <w:r>
        <w:rPr>
          <w:sz w:val="24"/>
          <w:szCs w:val="24"/>
          <w:lang w:val="en-AU" w:bidi="ar-SA"/>
        </w:rPr>
        <w:t xml:space="preserve">However, while the current guideline requirements for assessing the cost of debt are also “locked in” in the guideline, this report reinforces the comment made in section 3.1 that the AER should be carrying out a benchmarking study on the cost of debt for energy network firms to assess whether the guideline is in fact delivering outcomes that reflect an efficient acquisition of debt. The Rules require that the AER should </w:t>
      </w:r>
      <w:r w:rsidR="00520457">
        <w:rPr>
          <w:sz w:val="24"/>
          <w:szCs w:val="24"/>
          <w:lang w:val="en-AU" w:bidi="ar-SA"/>
        </w:rPr>
        <w:t>allow for</w:t>
      </w:r>
      <w:r>
        <w:rPr>
          <w:sz w:val="24"/>
          <w:szCs w:val="24"/>
          <w:lang w:val="en-AU" w:bidi="ar-SA"/>
        </w:rPr>
        <w:t xml:space="preserve"> networks to recover the efficient costs for providing the service. An efficient cost should not consistently exceed those actual costs that networks incur. In fact, if networks are permitted to </w:t>
      </w:r>
      <w:r w:rsidR="00C276D5">
        <w:rPr>
          <w:sz w:val="24"/>
          <w:szCs w:val="24"/>
          <w:lang w:val="en-AU" w:bidi="ar-SA"/>
        </w:rPr>
        <w:t xml:space="preserve">consistently </w:t>
      </w:r>
      <w:r>
        <w:rPr>
          <w:sz w:val="24"/>
          <w:szCs w:val="24"/>
          <w:lang w:val="en-AU" w:bidi="ar-SA"/>
        </w:rPr>
        <w:t xml:space="preserve">recover more than their costs, then the allowance is not efficient. </w:t>
      </w:r>
    </w:p>
    <w:p w:rsidR="000A1970" w:rsidRDefault="00560506" w:rsidP="009363FD">
      <w:pPr>
        <w:rPr>
          <w:sz w:val="24"/>
          <w:szCs w:val="24"/>
          <w:lang w:val="en-AU" w:bidi="ar-SA"/>
        </w:rPr>
      </w:pPr>
      <w:r>
        <w:rPr>
          <w:sz w:val="24"/>
          <w:szCs w:val="24"/>
          <w:lang w:val="en-AU" w:bidi="ar-SA"/>
        </w:rPr>
        <w:t xml:space="preserve">However, deep investigation of TasNetworks financial statement 2016 provides an outcome that raises considerable concern. </w:t>
      </w:r>
      <w:r w:rsidR="00C276D5">
        <w:rPr>
          <w:sz w:val="24"/>
          <w:szCs w:val="24"/>
          <w:lang w:val="en-AU" w:bidi="ar-SA"/>
        </w:rPr>
        <w:t xml:space="preserve">The annual report balance sheet states that TasNetworks </w:t>
      </w:r>
      <w:r w:rsidR="00793CD7">
        <w:rPr>
          <w:sz w:val="24"/>
          <w:szCs w:val="24"/>
          <w:lang w:val="en-AU" w:bidi="ar-SA"/>
        </w:rPr>
        <w:t>has an asset base of $3,198m</w:t>
      </w:r>
      <w:r w:rsidR="00C276D5">
        <w:rPr>
          <w:rStyle w:val="FootnoteReference"/>
          <w:sz w:val="24"/>
          <w:szCs w:val="24"/>
          <w:lang w:val="en-AU" w:bidi="ar-SA"/>
        </w:rPr>
        <w:footnoteReference w:id="11"/>
      </w:r>
      <w:r w:rsidR="00793CD7">
        <w:rPr>
          <w:sz w:val="24"/>
          <w:szCs w:val="24"/>
          <w:lang w:val="en-AU" w:bidi="ar-SA"/>
        </w:rPr>
        <w:t xml:space="preserve"> of which </w:t>
      </w:r>
      <w:r w:rsidR="00882493">
        <w:rPr>
          <w:sz w:val="24"/>
          <w:szCs w:val="24"/>
          <w:lang w:val="en-AU" w:bidi="ar-SA"/>
        </w:rPr>
        <w:t xml:space="preserve">$920 is net assets. Of this $920m $675 </w:t>
      </w:r>
      <w:r w:rsidR="00793CD7">
        <w:rPr>
          <w:sz w:val="24"/>
          <w:szCs w:val="24"/>
          <w:lang w:val="en-AU" w:bidi="ar-SA"/>
        </w:rPr>
        <w:t xml:space="preserve">is </w:t>
      </w:r>
      <w:r w:rsidR="00882493">
        <w:rPr>
          <w:sz w:val="24"/>
          <w:szCs w:val="24"/>
          <w:lang w:val="en-AU" w:bidi="ar-SA"/>
        </w:rPr>
        <w:t xml:space="preserve">the asset revaluation reserve (note 14) and </w:t>
      </w:r>
      <w:r w:rsidR="00793CD7">
        <w:rPr>
          <w:sz w:val="24"/>
          <w:szCs w:val="24"/>
          <w:lang w:val="en-AU" w:bidi="ar-SA"/>
        </w:rPr>
        <w:t>notes 12 and 13 state there is $</w:t>
      </w:r>
      <w:r w:rsidR="00882493">
        <w:rPr>
          <w:sz w:val="24"/>
          <w:szCs w:val="24"/>
          <w:lang w:val="en-AU" w:bidi="ar-SA"/>
        </w:rPr>
        <w:t>2</w:t>
      </w:r>
      <w:r w:rsidR="00793CD7">
        <w:rPr>
          <w:sz w:val="24"/>
          <w:szCs w:val="24"/>
          <w:lang w:val="en-AU" w:bidi="ar-SA"/>
        </w:rPr>
        <w:t xml:space="preserve">51m of retained reserves and contributed equity. </w:t>
      </w:r>
    </w:p>
    <w:p w:rsidR="00882493" w:rsidRDefault="00882493" w:rsidP="009363FD">
      <w:pPr>
        <w:rPr>
          <w:sz w:val="24"/>
          <w:szCs w:val="24"/>
          <w:lang w:val="en-AU" w:bidi="ar-SA"/>
        </w:rPr>
      </w:pPr>
      <w:r>
        <w:rPr>
          <w:sz w:val="24"/>
          <w:szCs w:val="24"/>
          <w:lang w:val="en-AU" w:bidi="ar-SA"/>
        </w:rPr>
        <w:lastRenderedPageBreak/>
        <w:t>The implication of these numbers is that total borrowings</w:t>
      </w:r>
      <w:r>
        <w:rPr>
          <w:rStyle w:val="FootnoteReference"/>
          <w:sz w:val="24"/>
          <w:szCs w:val="24"/>
          <w:lang w:val="en-AU" w:bidi="ar-SA"/>
        </w:rPr>
        <w:footnoteReference w:id="12"/>
      </w:r>
      <w:r>
        <w:rPr>
          <w:sz w:val="24"/>
          <w:szCs w:val="24"/>
          <w:lang w:val="en-AU" w:bidi="ar-SA"/>
        </w:rPr>
        <w:t xml:space="preserve"> (total assets less net assets) for TasNetworks is $2,278m implying a debt share of 71% of total assets</w:t>
      </w:r>
      <w:r w:rsidR="00C276D5">
        <w:rPr>
          <w:sz w:val="24"/>
          <w:szCs w:val="24"/>
          <w:lang w:val="en-AU" w:bidi="ar-SA"/>
        </w:rPr>
        <w:t>,</w:t>
      </w:r>
      <w:r>
        <w:rPr>
          <w:sz w:val="24"/>
          <w:szCs w:val="24"/>
          <w:lang w:val="en-AU" w:bidi="ar-SA"/>
        </w:rPr>
        <w:t xml:space="preserve"> an equity share (equity </w:t>
      </w:r>
      <w:r w:rsidR="00C276D5">
        <w:rPr>
          <w:sz w:val="24"/>
          <w:szCs w:val="24"/>
          <w:lang w:val="en-AU" w:bidi="ar-SA"/>
        </w:rPr>
        <w:t xml:space="preserve">injection </w:t>
      </w:r>
      <w:r>
        <w:rPr>
          <w:sz w:val="24"/>
          <w:szCs w:val="24"/>
          <w:lang w:val="en-AU" w:bidi="ar-SA"/>
        </w:rPr>
        <w:t>plus retained earnings) of 8% and a revaluation reserve which is 21% of total assets.</w:t>
      </w:r>
    </w:p>
    <w:p w:rsidR="00340332" w:rsidRDefault="00882493" w:rsidP="009363FD">
      <w:pPr>
        <w:rPr>
          <w:sz w:val="24"/>
          <w:szCs w:val="24"/>
          <w:lang w:val="en-AU" w:bidi="ar-SA"/>
        </w:rPr>
      </w:pPr>
      <w:r>
        <w:rPr>
          <w:sz w:val="24"/>
          <w:szCs w:val="24"/>
          <w:lang w:val="en-AU" w:bidi="ar-SA"/>
        </w:rPr>
        <w:t xml:space="preserve">There is no doubt that the equity share should attract the return on equity calculated via the guideline and probably the debt share </w:t>
      </w:r>
      <w:r w:rsidR="00845972">
        <w:rPr>
          <w:sz w:val="24"/>
          <w:szCs w:val="24"/>
          <w:lang w:val="en-AU" w:bidi="ar-SA"/>
        </w:rPr>
        <w:t xml:space="preserve">might </w:t>
      </w:r>
      <w:r>
        <w:rPr>
          <w:sz w:val="24"/>
          <w:szCs w:val="24"/>
          <w:lang w:val="en-AU" w:bidi="ar-SA"/>
        </w:rPr>
        <w:t>attract the cost of debt</w:t>
      </w:r>
      <w:r w:rsidR="00845972">
        <w:rPr>
          <w:sz w:val="24"/>
          <w:szCs w:val="24"/>
          <w:lang w:val="en-AU" w:bidi="ar-SA"/>
        </w:rPr>
        <w:t xml:space="preserve"> at the rate calculated under the guideline</w:t>
      </w:r>
      <w:r w:rsidR="00845972">
        <w:rPr>
          <w:rStyle w:val="FootnoteReference"/>
          <w:sz w:val="24"/>
          <w:szCs w:val="24"/>
          <w:lang w:val="en-AU" w:bidi="ar-SA"/>
        </w:rPr>
        <w:footnoteReference w:id="13"/>
      </w:r>
      <w:r w:rsidR="00845972">
        <w:rPr>
          <w:sz w:val="24"/>
          <w:szCs w:val="24"/>
          <w:lang w:val="en-AU" w:bidi="ar-SA"/>
        </w:rPr>
        <w:t xml:space="preserve">. However, the asset revaluation reserve </w:t>
      </w:r>
      <w:r w:rsidR="00C276D5">
        <w:rPr>
          <w:sz w:val="24"/>
          <w:szCs w:val="24"/>
          <w:lang w:val="en-AU" w:bidi="ar-SA"/>
        </w:rPr>
        <w:t>does not impose</w:t>
      </w:r>
      <w:r w:rsidR="00845972">
        <w:rPr>
          <w:sz w:val="24"/>
          <w:szCs w:val="24"/>
          <w:lang w:val="en-AU" w:bidi="ar-SA"/>
        </w:rPr>
        <w:t xml:space="preserve"> a cost that TasNetworks incurs and therefore require a return on. The revaluation reserve is the outcome of the automatic inflation adjustment applied to the assets each year. It is noted under note 14 that the reserve cannot be used to pay dividends except in limited circumstances reinforcing the view that </w:t>
      </w:r>
      <w:r w:rsidR="00340332">
        <w:rPr>
          <w:sz w:val="24"/>
          <w:szCs w:val="24"/>
          <w:lang w:val="en-AU" w:bidi="ar-SA"/>
        </w:rPr>
        <w:t xml:space="preserve">this amount is not a benefit that TasNetworks can </w:t>
      </w:r>
      <w:r w:rsidR="00C276D5">
        <w:rPr>
          <w:sz w:val="24"/>
          <w:szCs w:val="24"/>
          <w:lang w:val="en-AU" w:bidi="ar-SA"/>
        </w:rPr>
        <w:t xml:space="preserve">actually </w:t>
      </w:r>
      <w:r w:rsidR="00340332">
        <w:rPr>
          <w:sz w:val="24"/>
          <w:szCs w:val="24"/>
          <w:lang w:val="en-AU" w:bidi="ar-SA"/>
        </w:rPr>
        <w:t xml:space="preserve">realise and is </w:t>
      </w:r>
      <w:r w:rsidR="00C276D5">
        <w:rPr>
          <w:sz w:val="24"/>
          <w:szCs w:val="24"/>
          <w:lang w:val="en-AU" w:bidi="ar-SA"/>
        </w:rPr>
        <w:t xml:space="preserve">effectively </w:t>
      </w:r>
      <w:r w:rsidR="00340332">
        <w:rPr>
          <w:sz w:val="24"/>
          <w:szCs w:val="24"/>
          <w:lang w:val="en-AU" w:bidi="ar-SA"/>
        </w:rPr>
        <w:t>a “paper” entry to the accounts.</w:t>
      </w:r>
    </w:p>
    <w:p w:rsidR="00340332" w:rsidRDefault="00340332" w:rsidP="009363FD">
      <w:pPr>
        <w:rPr>
          <w:sz w:val="24"/>
          <w:szCs w:val="24"/>
          <w:lang w:val="en-AU" w:bidi="ar-SA"/>
        </w:rPr>
      </w:pPr>
      <w:r>
        <w:rPr>
          <w:sz w:val="24"/>
          <w:szCs w:val="24"/>
          <w:lang w:val="en-AU" w:bidi="ar-SA"/>
        </w:rPr>
        <w:t>This means that the assumption that the RAB is geared to 60% debt and 40% equity is quite wrong on t</w:t>
      </w:r>
      <w:r w:rsidR="00B0187F">
        <w:rPr>
          <w:sz w:val="24"/>
          <w:szCs w:val="24"/>
          <w:lang w:val="en-AU" w:bidi="ar-SA"/>
        </w:rPr>
        <w:t>hree</w:t>
      </w:r>
      <w:r>
        <w:rPr>
          <w:sz w:val="24"/>
          <w:szCs w:val="24"/>
          <w:lang w:val="en-AU" w:bidi="ar-SA"/>
        </w:rPr>
        <w:t xml:space="preserve"> counts:</w:t>
      </w:r>
    </w:p>
    <w:p w:rsidR="00340332" w:rsidRDefault="00340332" w:rsidP="009363FD">
      <w:pPr>
        <w:rPr>
          <w:sz w:val="24"/>
          <w:szCs w:val="24"/>
          <w:lang w:val="en-AU" w:bidi="ar-SA"/>
        </w:rPr>
      </w:pPr>
      <w:r>
        <w:rPr>
          <w:sz w:val="24"/>
          <w:szCs w:val="24"/>
          <w:lang w:val="en-AU" w:bidi="ar-SA"/>
        </w:rPr>
        <w:t>Firstly, the debt share is more appropriately assessed at a maximum of 71% of total assets and perhaps as low as 55% when assessing just the debt that TasNetworks has to pay interest on.</w:t>
      </w:r>
      <w:r w:rsidR="004F63E6">
        <w:rPr>
          <w:sz w:val="24"/>
          <w:szCs w:val="24"/>
          <w:lang w:val="en-AU" w:bidi="ar-SA"/>
        </w:rPr>
        <w:t xml:space="preserve"> While the AER guideline assesses the benchmark entity has 60% debt on which the entity pays interest, in fact the interest bearing debt for TasNetworks is less than that assumed for the benchmark entity.</w:t>
      </w:r>
      <w:r w:rsidR="00BD2DEC" w:rsidRPr="00BD2DEC">
        <w:rPr>
          <w:sz w:val="24"/>
          <w:szCs w:val="24"/>
          <w:lang w:val="en-AU" w:bidi="ar-SA"/>
        </w:rPr>
        <w:t xml:space="preserve"> </w:t>
      </w:r>
      <w:r w:rsidR="00BD2DEC">
        <w:rPr>
          <w:sz w:val="24"/>
          <w:szCs w:val="24"/>
          <w:lang w:val="en-AU" w:bidi="ar-SA"/>
        </w:rPr>
        <w:t>While the borrowings that TasNetworks pays interest on (ie 55%) is near the assumed amount of debt under the guideline gearing (ie 60%). This means the balance of the debt (much of which TasNetworks does not incur a cost on) is being reimbursed to TasNetworks at the same rate of return as applies to the higher risk element of equity.</w:t>
      </w:r>
    </w:p>
    <w:p w:rsidR="00340332" w:rsidRDefault="00340332" w:rsidP="009363FD">
      <w:pPr>
        <w:rPr>
          <w:sz w:val="24"/>
          <w:szCs w:val="24"/>
          <w:lang w:val="en-AU" w:bidi="ar-SA"/>
        </w:rPr>
      </w:pPr>
      <w:r>
        <w:rPr>
          <w:sz w:val="24"/>
          <w:szCs w:val="24"/>
          <w:lang w:val="en-AU" w:bidi="ar-SA"/>
        </w:rPr>
        <w:t>Secondly, the equity share of the total assets that should receive a return on equity is no more than 8%.</w:t>
      </w:r>
      <w:r w:rsidR="004F63E6">
        <w:rPr>
          <w:sz w:val="24"/>
          <w:szCs w:val="24"/>
          <w:lang w:val="en-AU" w:bidi="ar-SA"/>
        </w:rPr>
        <w:t xml:space="preserve"> This compares with the AER guideline assumption that the equity used by the benchmark entity is 40%. </w:t>
      </w:r>
    </w:p>
    <w:p w:rsidR="00B0187F" w:rsidRDefault="00340332" w:rsidP="009363FD">
      <w:pPr>
        <w:rPr>
          <w:sz w:val="24"/>
          <w:szCs w:val="24"/>
          <w:lang w:val="en-AU" w:bidi="ar-SA"/>
        </w:rPr>
      </w:pPr>
      <w:r>
        <w:rPr>
          <w:sz w:val="24"/>
          <w:szCs w:val="24"/>
          <w:lang w:val="en-AU" w:bidi="ar-SA"/>
        </w:rPr>
        <w:t>Thirdly, there is 2</w:t>
      </w:r>
      <w:r w:rsidR="00B0187F">
        <w:rPr>
          <w:sz w:val="24"/>
          <w:szCs w:val="24"/>
          <w:lang w:val="en-AU" w:bidi="ar-SA"/>
        </w:rPr>
        <w:t>1</w:t>
      </w:r>
      <w:r>
        <w:rPr>
          <w:sz w:val="24"/>
          <w:szCs w:val="24"/>
          <w:lang w:val="en-AU" w:bidi="ar-SA"/>
        </w:rPr>
        <w:t xml:space="preserve">% of the total assets that is merely a paper entry which does not incur any cost </w:t>
      </w:r>
      <w:r w:rsidR="00C276D5">
        <w:rPr>
          <w:sz w:val="24"/>
          <w:szCs w:val="24"/>
          <w:lang w:val="en-AU" w:bidi="ar-SA"/>
        </w:rPr>
        <w:t xml:space="preserve">or impose a liability </w:t>
      </w:r>
      <w:r>
        <w:rPr>
          <w:sz w:val="24"/>
          <w:szCs w:val="24"/>
          <w:lang w:val="en-AU" w:bidi="ar-SA"/>
        </w:rPr>
        <w:t>to TasNetworks</w:t>
      </w:r>
      <w:r w:rsidR="00C276D5">
        <w:rPr>
          <w:sz w:val="24"/>
          <w:szCs w:val="24"/>
          <w:lang w:val="en-AU" w:bidi="ar-SA"/>
        </w:rPr>
        <w:t xml:space="preserve"> – the </w:t>
      </w:r>
      <w:r>
        <w:rPr>
          <w:sz w:val="24"/>
          <w:szCs w:val="24"/>
          <w:lang w:val="en-AU" w:bidi="ar-SA"/>
        </w:rPr>
        <w:t xml:space="preserve">asset revaluation reserve. </w:t>
      </w:r>
      <w:r w:rsidR="00B0187F">
        <w:rPr>
          <w:sz w:val="24"/>
          <w:szCs w:val="24"/>
          <w:lang w:val="en-AU" w:bidi="ar-SA"/>
        </w:rPr>
        <w:t>This report considers that TasNetworks should receive no return at all on this element of the total assets</w:t>
      </w:r>
      <w:r w:rsidR="00645962">
        <w:rPr>
          <w:sz w:val="24"/>
          <w:szCs w:val="24"/>
          <w:lang w:val="en-AU" w:bidi="ar-SA"/>
        </w:rPr>
        <w:t xml:space="preserve"> as to require consumers to pay a return on an amount that TasNetworks incurs no cost on is contrary to the Rules which allow TasNetworks to recover its reasonable costs; </w:t>
      </w:r>
      <w:r w:rsidR="00645962">
        <w:rPr>
          <w:sz w:val="24"/>
          <w:szCs w:val="24"/>
          <w:lang w:val="en-AU" w:bidi="ar-SA"/>
        </w:rPr>
        <w:lastRenderedPageBreak/>
        <w:t>certainly the NEO does not contemplate consumers paying for something that TasNetworks does not incur a cost for.</w:t>
      </w:r>
      <w:r w:rsidR="00B0187F">
        <w:rPr>
          <w:sz w:val="24"/>
          <w:szCs w:val="24"/>
          <w:lang w:val="en-AU" w:bidi="ar-SA"/>
        </w:rPr>
        <w:t xml:space="preserve"> </w:t>
      </w:r>
    </w:p>
    <w:p w:rsidR="004F63E6" w:rsidRDefault="004F63E6" w:rsidP="009363FD">
      <w:pPr>
        <w:rPr>
          <w:sz w:val="24"/>
          <w:szCs w:val="24"/>
          <w:lang w:val="en-AU" w:bidi="ar-SA"/>
        </w:rPr>
      </w:pPr>
      <w:r>
        <w:rPr>
          <w:sz w:val="24"/>
          <w:szCs w:val="24"/>
          <w:lang w:val="en-AU" w:bidi="ar-SA"/>
        </w:rPr>
        <w:t>As TasNetworks earned a profit of $98.4m, this implies that the return on equity for the financial year ending 2016, was about 40% based on the equity injection plus retained earnings. While not as extreme as the return on equity achieved by other networks</w:t>
      </w:r>
      <w:r>
        <w:rPr>
          <w:rStyle w:val="FootnoteReference"/>
          <w:sz w:val="24"/>
          <w:szCs w:val="24"/>
          <w:lang w:val="en-AU" w:bidi="ar-SA"/>
        </w:rPr>
        <w:footnoteReference w:id="14"/>
      </w:r>
      <w:r>
        <w:rPr>
          <w:sz w:val="24"/>
          <w:szCs w:val="24"/>
          <w:lang w:val="en-AU" w:bidi="ar-SA"/>
        </w:rPr>
        <w:t xml:space="preserve">, it is still very high compared to the returns on equity achieved by firms in the competitive sector, and well above the notional return on equity allowed in the draft decision of 6.5% or even that claimed by TND of </w:t>
      </w:r>
      <w:r w:rsidR="00D26EF8">
        <w:rPr>
          <w:sz w:val="24"/>
          <w:szCs w:val="24"/>
          <w:lang w:val="en-AU" w:bidi="ar-SA"/>
        </w:rPr>
        <w:t>7.30%</w:t>
      </w:r>
      <w:r>
        <w:rPr>
          <w:sz w:val="24"/>
          <w:szCs w:val="24"/>
          <w:lang w:val="en-AU" w:bidi="ar-SA"/>
        </w:rPr>
        <w:t>.</w:t>
      </w:r>
    </w:p>
    <w:p w:rsidR="00645962" w:rsidRDefault="00D26EF8" w:rsidP="00D26EF8">
      <w:pPr>
        <w:pStyle w:val="AERtitle1"/>
        <w:jc w:val="both"/>
        <w:rPr>
          <w:rFonts w:asciiTheme="minorHAnsi" w:hAnsiTheme="minorHAnsi" w:cstheme="minorHAnsi"/>
          <w:b w:val="0"/>
          <w:sz w:val="24"/>
        </w:rPr>
      </w:pPr>
      <w:r w:rsidRPr="00D26EF8">
        <w:rPr>
          <w:rFonts w:asciiTheme="minorHAnsi" w:hAnsiTheme="minorHAnsi" w:cstheme="minorHAnsi"/>
          <w:b w:val="0"/>
          <w:sz w:val="24"/>
        </w:rPr>
        <w:t xml:space="preserve">The AER has stated that its assessment of the rate of return it calculates is based on the notion of a benchmark entity operating as a pure-play regulated energy network business. It has derived its assessment </w:t>
      </w:r>
      <w:r w:rsidR="00645962">
        <w:rPr>
          <w:rFonts w:asciiTheme="minorHAnsi" w:hAnsiTheme="minorHAnsi" w:cstheme="minorHAnsi"/>
          <w:b w:val="0"/>
          <w:sz w:val="24"/>
        </w:rPr>
        <w:t xml:space="preserve">of the inputs used for the rate of return guideline </w:t>
      </w:r>
      <w:r w:rsidRPr="00D26EF8">
        <w:rPr>
          <w:rFonts w:asciiTheme="minorHAnsi" w:hAnsiTheme="minorHAnsi" w:cstheme="minorHAnsi"/>
          <w:b w:val="0"/>
          <w:sz w:val="24"/>
        </w:rPr>
        <w:t>from the actual performance of the Australian energy networks and identified the gearing based on what it has observed from these businesses (see appendix F of the AER Better Regulation</w:t>
      </w:r>
      <w:r>
        <w:rPr>
          <w:rFonts w:asciiTheme="minorHAnsi" w:hAnsiTheme="minorHAnsi" w:cstheme="minorHAnsi"/>
          <w:b w:val="0"/>
          <w:sz w:val="24"/>
        </w:rPr>
        <w:t xml:space="preserve"> E</w:t>
      </w:r>
      <w:r w:rsidRPr="00D26EF8">
        <w:rPr>
          <w:rFonts w:asciiTheme="minorHAnsi" w:hAnsiTheme="minorHAnsi" w:cstheme="minorHAnsi"/>
          <w:b w:val="0"/>
          <w:sz w:val="24"/>
        </w:rPr>
        <w:t>xplanatory Statement</w:t>
      </w:r>
      <w:r>
        <w:rPr>
          <w:rFonts w:asciiTheme="minorHAnsi" w:hAnsiTheme="minorHAnsi" w:cstheme="minorHAnsi"/>
          <w:b w:val="0"/>
          <w:sz w:val="24"/>
        </w:rPr>
        <w:t xml:space="preserve"> </w:t>
      </w:r>
      <w:r w:rsidRPr="00D26EF8">
        <w:rPr>
          <w:rFonts w:asciiTheme="minorHAnsi" w:hAnsiTheme="minorHAnsi" w:cstheme="minorHAnsi"/>
          <w:b w:val="0"/>
          <w:sz w:val="24"/>
        </w:rPr>
        <w:t>Rate of Return Guideline</w:t>
      </w:r>
      <w:r>
        <w:rPr>
          <w:rFonts w:asciiTheme="minorHAnsi" w:hAnsiTheme="minorHAnsi" w:cstheme="minorHAnsi"/>
          <w:b w:val="0"/>
          <w:sz w:val="24"/>
        </w:rPr>
        <w:t xml:space="preserve"> </w:t>
      </w:r>
      <w:r w:rsidRPr="00D26EF8">
        <w:rPr>
          <w:rFonts w:asciiTheme="minorHAnsi" w:hAnsiTheme="minorHAnsi" w:cstheme="minorHAnsi"/>
          <w:b w:val="0"/>
          <w:sz w:val="24"/>
        </w:rPr>
        <w:t>December 2013</w:t>
      </w:r>
      <w:r>
        <w:rPr>
          <w:rFonts w:asciiTheme="minorHAnsi" w:hAnsiTheme="minorHAnsi" w:cstheme="minorHAnsi"/>
          <w:b w:val="0"/>
          <w:sz w:val="24"/>
        </w:rPr>
        <w:t xml:space="preserve">). </w:t>
      </w:r>
    </w:p>
    <w:p w:rsidR="00D26EF8" w:rsidRDefault="00D26EF8" w:rsidP="00D26EF8">
      <w:pPr>
        <w:pStyle w:val="AERtitle1"/>
        <w:jc w:val="both"/>
        <w:rPr>
          <w:rFonts w:asciiTheme="minorHAnsi" w:hAnsiTheme="minorHAnsi" w:cstheme="minorHAnsi"/>
          <w:b w:val="0"/>
          <w:sz w:val="24"/>
        </w:rPr>
      </w:pPr>
      <w:r>
        <w:rPr>
          <w:rFonts w:asciiTheme="minorHAnsi" w:hAnsiTheme="minorHAnsi" w:cstheme="minorHAnsi"/>
          <w:b w:val="0"/>
          <w:sz w:val="24"/>
        </w:rPr>
        <w:t xml:space="preserve">In </w:t>
      </w:r>
      <w:r w:rsidR="00FC759A">
        <w:rPr>
          <w:rFonts w:asciiTheme="minorHAnsi" w:hAnsiTheme="minorHAnsi" w:cstheme="minorHAnsi"/>
          <w:b w:val="0"/>
          <w:sz w:val="24"/>
        </w:rPr>
        <w:t>its</w:t>
      </w:r>
      <w:r>
        <w:rPr>
          <w:rFonts w:asciiTheme="minorHAnsi" w:hAnsiTheme="minorHAnsi" w:cstheme="minorHAnsi"/>
          <w:b w:val="0"/>
          <w:sz w:val="24"/>
        </w:rPr>
        <w:t xml:space="preserve"> assessment the AER has identified the levels of debt a regulated energy firm has and then assumed that the balance of the </w:t>
      </w:r>
      <w:r w:rsidR="008C39D3">
        <w:rPr>
          <w:rFonts w:asciiTheme="minorHAnsi" w:hAnsiTheme="minorHAnsi" w:cstheme="minorHAnsi"/>
          <w:b w:val="0"/>
          <w:sz w:val="24"/>
        </w:rPr>
        <w:t xml:space="preserve">capital is all equity. For firms in the ASX, there is no automatic indexation of assets each year by CPI as there is for regulated energy firms as plant and equipment (the bulk of the assets held by energy networks) is </w:t>
      </w:r>
      <w:r w:rsidR="00FC759A">
        <w:rPr>
          <w:rFonts w:asciiTheme="minorHAnsi" w:hAnsiTheme="minorHAnsi" w:cstheme="minorHAnsi"/>
          <w:b w:val="0"/>
          <w:sz w:val="24"/>
        </w:rPr>
        <w:t>considered</w:t>
      </w:r>
      <w:r w:rsidR="008C39D3">
        <w:rPr>
          <w:rFonts w:asciiTheme="minorHAnsi" w:hAnsiTheme="minorHAnsi" w:cstheme="minorHAnsi"/>
          <w:b w:val="0"/>
          <w:sz w:val="24"/>
        </w:rPr>
        <w:t xml:space="preserve"> to reduce in value each year as a used asset most commonly seen to be worth less than a new asset.  </w:t>
      </w:r>
    </w:p>
    <w:p w:rsidR="00BD2DEC" w:rsidRDefault="00BD2DEC" w:rsidP="00FC759A">
      <w:pPr>
        <w:rPr>
          <w:sz w:val="24"/>
          <w:szCs w:val="24"/>
          <w:lang w:val="en-AU" w:bidi="ar-SA"/>
        </w:rPr>
      </w:pPr>
      <w:r>
        <w:rPr>
          <w:sz w:val="24"/>
          <w:szCs w:val="24"/>
          <w:lang w:val="en-AU" w:bidi="ar-SA"/>
        </w:rPr>
        <w:t>This report notes that the increase in asset values required by the regulatory requirement to increase asset values by CPI each year is transferred by TasNetworks to a “revaluation reserve</w:t>
      </w:r>
      <w:r w:rsidR="00645962">
        <w:rPr>
          <w:sz w:val="24"/>
          <w:szCs w:val="24"/>
          <w:lang w:val="en-AU" w:bidi="ar-SA"/>
        </w:rPr>
        <w:t>” in order to balance its books</w:t>
      </w:r>
      <w:r>
        <w:rPr>
          <w:sz w:val="24"/>
          <w:szCs w:val="24"/>
          <w:lang w:val="en-AU" w:bidi="ar-SA"/>
        </w:rPr>
        <w:t>. Under the accounting rules, an asset should only be re-valued if there is every chance that the sale of the asset will actually result in a sale reflecting the new valuation</w:t>
      </w:r>
      <w:r>
        <w:rPr>
          <w:rStyle w:val="FootnoteReference"/>
          <w:sz w:val="24"/>
          <w:szCs w:val="24"/>
          <w:lang w:val="en-AU" w:bidi="ar-SA"/>
        </w:rPr>
        <w:footnoteReference w:id="15"/>
      </w:r>
      <w:r>
        <w:rPr>
          <w:sz w:val="24"/>
          <w:szCs w:val="24"/>
          <w:lang w:val="en-AU" w:bidi="ar-SA"/>
        </w:rPr>
        <w:t xml:space="preserve">. However, the assets held by TasNetworks are unlikely to increase in value if sold. For example, a transformer once bought will normally sell for less than the purchase price as it will have been used and therefore have less residual life. </w:t>
      </w:r>
      <w:r w:rsidR="00FC759A">
        <w:rPr>
          <w:sz w:val="24"/>
          <w:szCs w:val="24"/>
          <w:lang w:val="en-AU" w:bidi="ar-SA"/>
        </w:rPr>
        <w:t xml:space="preserve">On this basis, TasNetworks has not followed accounting rules in assessment of the “fair value” of the asset as TasNetworks has assumed the assets will sell for more than the purchase price – this is demonstrated in the tables in note 7 of the accounts where </w:t>
      </w:r>
      <w:r w:rsidR="00FC759A">
        <w:rPr>
          <w:sz w:val="24"/>
          <w:szCs w:val="24"/>
          <w:lang w:val="en-AU" w:bidi="ar-SA"/>
        </w:rPr>
        <w:lastRenderedPageBreak/>
        <w:t xml:space="preserve">TasNetworks has </w:t>
      </w:r>
      <w:r w:rsidR="00FC759A" w:rsidRPr="00FB19FD">
        <w:rPr>
          <w:sz w:val="24"/>
          <w:szCs w:val="24"/>
          <w:u w:val="single"/>
          <w:lang w:val="en-AU" w:bidi="ar-SA"/>
        </w:rPr>
        <w:t>increased</w:t>
      </w:r>
      <w:r w:rsidR="00FC759A">
        <w:rPr>
          <w:sz w:val="24"/>
          <w:szCs w:val="24"/>
          <w:lang w:val="en-AU" w:bidi="ar-SA"/>
        </w:rPr>
        <w:t xml:space="preserve"> the value of the assets</w:t>
      </w:r>
      <w:r w:rsidR="00645962">
        <w:rPr>
          <w:sz w:val="24"/>
          <w:szCs w:val="24"/>
          <w:lang w:val="en-AU" w:bidi="ar-SA"/>
        </w:rPr>
        <w:t xml:space="preserve"> but effectively ring fenced the amount of the increase</w:t>
      </w:r>
      <w:r w:rsidR="00FC759A">
        <w:rPr>
          <w:sz w:val="24"/>
          <w:szCs w:val="24"/>
          <w:lang w:val="en-AU" w:bidi="ar-SA"/>
        </w:rPr>
        <w:t xml:space="preserve">. </w:t>
      </w:r>
    </w:p>
    <w:p w:rsidR="00BD2DEC" w:rsidRDefault="00FC759A" w:rsidP="00FC759A">
      <w:pPr>
        <w:rPr>
          <w:sz w:val="24"/>
          <w:szCs w:val="24"/>
          <w:lang w:val="en-AU" w:bidi="ar-SA"/>
        </w:rPr>
      </w:pPr>
      <w:r>
        <w:rPr>
          <w:sz w:val="24"/>
          <w:szCs w:val="24"/>
          <w:lang w:val="en-AU" w:bidi="ar-SA"/>
        </w:rPr>
        <w:t xml:space="preserve">TasNetworks has assumed that because the regulatory environment is such that it is permitted by the regulation to index its value of the assets it holds, then it is following accounting guidelines. </w:t>
      </w:r>
      <w:r w:rsidR="00BD2DEC">
        <w:rPr>
          <w:sz w:val="24"/>
          <w:szCs w:val="24"/>
          <w:lang w:val="en-AU" w:bidi="ar-SA"/>
        </w:rPr>
        <w:t xml:space="preserve">Furthermore, </w:t>
      </w:r>
      <w:r>
        <w:rPr>
          <w:sz w:val="24"/>
          <w:szCs w:val="24"/>
          <w:lang w:val="en-AU" w:bidi="ar-SA"/>
        </w:rPr>
        <w:t>TasNetworks has to index the assets otherwise its accounting would be at odds with the regulatory process</w:t>
      </w:r>
      <w:r w:rsidR="00052290">
        <w:rPr>
          <w:sz w:val="24"/>
          <w:szCs w:val="24"/>
          <w:lang w:val="en-AU" w:bidi="ar-SA"/>
        </w:rPr>
        <w:t>.</w:t>
      </w:r>
      <w:r>
        <w:rPr>
          <w:sz w:val="24"/>
          <w:szCs w:val="24"/>
          <w:lang w:val="en-AU" w:bidi="ar-SA"/>
        </w:rPr>
        <w:t xml:space="preserve"> </w:t>
      </w:r>
    </w:p>
    <w:p w:rsidR="00FC759A" w:rsidRDefault="00FC759A" w:rsidP="00FC759A">
      <w:pPr>
        <w:rPr>
          <w:sz w:val="24"/>
          <w:szCs w:val="24"/>
          <w:lang w:val="en-AU" w:bidi="ar-SA"/>
        </w:rPr>
      </w:pPr>
      <w:r>
        <w:rPr>
          <w:sz w:val="24"/>
          <w:szCs w:val="24"/>
          <w:lang w:val="en-AU" w:bidi="ar-SA"/>
        </w:rPr>
        <w:t>It is noted that TasNetworks has not declared the revaluation increase in the profit and loss statement (which is what accounting rules require) as if it did so it would have to pay tax on the revaluation</w:t>
      </w:r>
      <w:r w:rsidR="00052290">
        <w:rPr>
          <w:sz w:val="24"/>
          <w:szCs w:val="24"/>
          <w:lang w:val="en-AU" w:bidi="ar-SA"/>
        </w:rPr>
        <w:t>; this supports</w:t>
      </w:r>
      <w:r>
        <w:rPr>
          <w:sz w:val="24"/>
          <w:szCs w:val="24"/>
          <w:lang w:val="en-AU" w:bidi="ar-SA"/>
        </w:rPr>
        <w:t xml:space="preserve"> the view that the increase in asset value is merely a paper entry and not a real cost incurred by TasNetworks.   </w:t>
      </w:r>
    </w:p>
    <w:p w:rsidR="00BD2DEC" w:rsidRDefault="00BD2DEC" w:rsidP="009363FD">
      <w:pPr>
        <w:rPr>
          <w:sz w:val="24"/>
          <w:szCs w:val="24"/>
          <w:lang w:val="en-AU" w:bidi="ar-SA"/>
        </w:rPr>
      </w:pPr>
      <w:r>
        <w:rPr>
          <w:sz w:val="24"/>
          <w:szCs w:val="24"/>
          <w:lang w:val="en-AU" w:bidi="ar-SA"/>
        </w:rPr>
        <w:t>There are two core issues that need to be further noted</w:t>
      </w:r>
    </w:p>
    <w:p w:rsidR="00B0187F" w:rsidRPr="00BD2DEC" w:rsidRDefault="00B0187F" w:rsidP="00BD2DEC">
      <w:pPr>
        <w:pStyle w:val="ListParagraph"/>
        <w:numPr>
          <w:ilvl w:val="0"/>
          <w:numId w:val="39"/>
        </w:numPr>
        <w:spacing w:after="200"/>
        <w:rPr>
          <w:rFonts w:asciiTheme="minorHAnsi" w:hAnsiTheme="minorHAnsi" w:cstheme="minorHAnsi"/>
        </w:rPr>
      </w:pPr>
      <w:r w:rsidRPr="00BD2DEC">
        <w:rPr>
          <w:rFonts w:asciiTheme="minorHAnsi" w:hAnsiTheme="minorHAnsi" w:cstheme="minorHAnsi"/>
        </w:rPr>
        <w:t>This assessment means that the AER guideline imposes on consumer an obligation to pay TasNetworks for costs that TasNetworks does not incur. As the NEO only requires consumers to pay the efficient costs, to require consumers to reimburse TasNetworks for costs that are not incurred is contrary to the NEO. This report considers that the rate of return</w:t>
      </w:r>
      <w:r w:rsidR="00C70AF4" w:rsidRPr="00BD2DEC">
        <w:rPr>
          <w:rFonts w:asciiTheme="minorHAnsi" w:hAnsiTheme="minorHAnsi" w:cstheme="minorHAnsi"/>
        </w:rPr>
        <w:t xml:space="preserve"> on equity</w:t>
      </w:r>
      <w:r w:rsidRPr="00BD2DEC">
        <w:rPr>
          <w:rFonts w:asciiTheme="minorHAnsi" w:hAnsiTheme="minorHAnsi" w:cstheme="minorHAnsi"/>
        </w:rPr>
        <w:t xml:space="preserve"> should only be applied to the equity that has actually been injected into the business</w:t>
      </w:r>
      <w:r w:rsidR="00C70AF4" w:rsidRPr="00BD2DEC">
        <w:rPr>
          <w:rFonts w:asciiTheme="minorHAnsi" w:hAnsiTheme="minorHAnsi" w:cstheme="minorHAnsi"/>
        </w:rPr>
        <w:t xml:space="preserve"> (ie 8% of the RAB) and not a notional 40% as in the guideline</w:t>
      </w:r>
      <w:r w:rsidRPr="00BD2DEC">
        <w:rPr>
          <w:rFonts w:asciiTheme="minorHAnsi" w:hAnsiTheme="minorHAnsi" w:cstheme="minorHAnsi"/>
        </w:rPr>
        <w:t>.</w:t>
      </w:r>
    </w:p>
    <w:p w:rsidR="00BD2DEC" w:rsidRPr="00BD2DEC" w:rsidRDefault="00BD2DEC" w:rsidP="00BD2DEC">
      <w:pPr>
        <w:pStyle w:val="ListParagraph"/>
        <w:numPr>
          <w:ilvl w:val="0"/>
          <w:numId w:val="39"/>
        </w:numPr>
        <w:spacing w:after="200"/>
        <w:rPr>
          <w:rFonts w:asciiTheme="minorHAnsi" w:hAnsiTheme="minorHAnsi" w:cstheme="minorHAnsi"/>
        </w:rPr>
      </w:pPr>
      <w:r w:rsidRPr="00BD2DEC">
        <w:rPr>
          <w:rFonts w:asciiTheme="minorHAnsi" w:hAnsiTheme="minorHAnsi" w:cstheme="minorHAnsi"/>
        </w:rPr>
        <w:t xml:space="preserve">Firms listed on the ASX carry out their accounting </w:t>
      </w:r>
      <w:r w:rsidR="00052290">
        <w:rPr>
          <w:rFonts w:asciiTheme="minorHAnsi" w:hAnsiTheme="minorHAnsi" w:cstheme="minorHAnsi"/>
        </w:rPr>
        <w:t>with</w:t>
      </w:r>
      <w:r w:rsidRPr="00BD2DEC">
        <w:rPr>
          <w:rFonts w:asciiTheme="minorHAnsi" w:hAnsiTheme="minorHAnsi" w:cstheme="minorHAnsi"/>
        </w:rPr>
        <w:t xml:space="preserve"> revaluations above (or below) the depreciated purchase price being considered to be profits. The derivation of the market risk premium is from the growth in the accumulation index which reflects the dividends paid and the growth in the value of the stocks listed. This means that the market risk premium reflects the impact of revaluations being taken to the profit and loss. </w:t>
      </w:r>
      <w:r w:rsidR="00052290">
        <w:rPr>
          <w:rFonts w:asciiTheme="minorHAnsi" w:hAnsiTheme="minorHAnsi" w:cstheme="minorHAnsi"/>
        </w:rPr>
        <w:t>I</w:t>
      </w:r>
      <w:r w:rsidRPr="00BD2DEC">
        <w:rPr>
          <w:rFonts w:asciiTheme="minorHAnsi" w:hAnsiTheme="minorHAnsi" w:cstheme="minorHAnsi"/>
        </w:rPr>
        <w:t xml:space="preserve">n the case of </w:t>
      </w:r>
      <w:r w:rsidR="00052290">
        <w:rPr>
          <w:rFonts w:asciiTheme="minorHAnsi" w:hAnsiTheme="minorHAnsi" w:cstheme="minorHAnsi"/>
        </w:rPr>
        <w:t>setting the market risk premium applied to</w:t>
      </w:r>
      <w:r w:rsidRPr="00BD2DEC">
        <w:rPr>
          <w:rFonts w:asciiTheme="minorHAnsi" w:hAnsiTheme="minorHAnsi" w:cstheme="minorHAnsi"/>
        </w:rPr>
        <w:t xml:space="preserve"> regulated entities, th</w:t>
      </w:r>
      <w:r w:rsidR="00052290">
        <w:rPr>
          <w:rFonts w:asciiTheme="minorHAnsi" w:hAnsiTheme="minorHAnsi" w:cstheme="minorHAnsi"/>
        </w:rPr>
        <w:t xml:space="preserve">is is calculated from data which </w:t>
      </w:r>
      <w:r w:rsidR="00052290" w:rsidRPr="00052290">
        <w:rPr>
          <w:rFonts w:asciiTheme="minorHAnsi" w:hAnsiTheme="minorHAnsi" w:cstheme="minorHAnsi"/>
          <w:b/>
        </w:rPr>
        <w:t>includes</w:t>
      </w:r>
      <w:r w:rsidR="00052290">
        <w:rPr>
          <w:rFonts w:asciiTheme="minorHAnsi" w:hAnsiTheme="minorHAnsi" w:cstheme="minorHAnsi"/>
        </w:rPr>
        <w:t xml:space="preserve"> revaluations of assets being declared as a profit. This discontinuity effectively results in “</w:t>
      </w:r>
      <w:r w:rsidRPr="00BD2DEC">
        <w:rPr>
          <w:rFonts w:asciiTheme="minorHAnsi" w:hAnsiTheme="minorHAnsi" w:cstheme="minorHAnsi"/>
        </w:rPr>
        <w:t>double dipping</w:t>
      </w:r>
      <w:r w:rsidR="00052290">
        <w:rPr>
          <w:rFonts w:asciiTheme="minorHAnsi" w:hAnsiTheme="minorHAnsi" w:cstheme="minorHAnsi"/>
        </w:rPr>
        <w:t>”</w:t>
      </w:r>
      <w:r w:rsidRPr="00BD2DEC">
        <w:rPr>
          <w:rFonts w:asciiTheme="minorHAnsi" w:hAnsiTheme="minorHAnsi" w:cstheme="minorHAnsi"/>
        </w:rPr>
        <w:t>.</w:t>
      </w:r>
    </w:p>
    <w:p w:rsidR="006A2F53" w:rsidRDefault="00B64E5E" w:rsidP="009363FD">
      <w:pPr>
        <w:rPr>
          <w:sz w:val="24"/>
          <w:szCs w:val="24"/>
          <w:lang w:val="en-AU" w:bidi="ar-SA"/>
        </w:rPr>
      </w:pPr>
      <w:r>
        <w:rPr>
          <w:sz w:val="24"/>
          <w:szCs w:val="24"/>
          <w:lang w:val="en-AU" w:bidi="ar-SA"/>
        </w:rPr>
        <w:t xml:space="preserve">This report notes that the rate of return guideline is </w:t>
      </w:r>
      <w:r w:rsidR="00052290">
        <w:rPr>
          <w:sz w:val="24"/>
          <w:szCs w:val="24"/>
          <w:lang w:val="en-AU" w:bidi="ar-SA"/>
        </w:rPr>
        <w:t xml:space="preserve">considered by the AER to be focused </w:t>
      </w:r>
      <w:r>
        <w:rPr>
          <w:sz w:val="24"/>
          <w:szCs w:val="24"/>
          <w:lang w:val="en-AU" w:bidi="ar-SA"/>
        </w:rPr>
        <w:t xml:space="preserve">the financial practices of the benchmark efficient entity and not about specific networks. What is not identified in this bland assertion is that the inputs to the benchmark efficient entity are all drawn from the practices of the Australian energy networks, with some minor “shading” of the inputs </w:t>
      </w:r>
      <w:r w:rsidR="006A2F53">
        <w:rPr>
          <w:sz w:val="24"/>
          <w:szCs w:val="24"/>
          <w:lang w:val="en-AU" w:bidi="ar-SA"/>
        </w:rPr>
        <w:t>from</w:t>
      </w:r>
      <w:r>
        <w:rPr>
          <w:sz w:val="24"/>
          <w:szCs w:val="24"/>
          <w:lang w:val="en-AU" w:bidi="ar-SA"/>
        </w:rPr>
        <w:t xml:space="preserve"> some international</w:t>
      </w:r>
      <w:r w:rsidR="006A2F53">
        <w:rPr>
          <w:sz w:val="24"/>
          <w:szCs w:val="24"/>
          <w:lang w:val="en-AU" w:bidi="ar-SA"/>
        </w:rPr>
        <w:t xml:space="preserve"> firms. So essentially, the benchmark efficient entity reflects an amalgam of the operations of the Australian regulated energy networks. </w:t>
      </w:r>
    </w:p>
    <w:p w:rsidR="006A2F53" w:rsidRDefault="006A2F53" w:rsidP="009363FD">
      <w:pPr>
        <w:rPr>
          <w:sz w:val="24"/>
          <w:szCs w:val="24"/>
          <w:lang w:val="en-AU" w:bidi="ar-SA"/>
        </w:rPr>
      </w:pPr>
      <w:r>
        <w:rPr>
          <w:sz w:val="24"/>
          <w:szCs w:val="24"/>
          <w:lang w:val="en-AU" w:bidi="ar-SA"/>
        </w:rPr>
        <w:t xml:space="preserve">As many of the Australian energy networks reflect similar outcomes to that seen of TasNetworks (ie about 55-65% interest bearing debt and 5-15% of actual injected equity and retained earnings), it is quite clear that the AER guideline fails to reflect the actuality </w:t>
      </w:r>
      <w:r>
        <w:rPr>
          <w:sz w:val="24"/>
          <w:szCs w:val="24"/>
          <w:lang w:val="en-AU" w:bidi="ar-SA"/>
        </w:rPr>
        <w:lastRenderedPageBreak/>
        <w:t>of how the networks are structured</w:t>
      </w:r>
      <w:r w:rsidR="00052290">
        <w:rPr>
          <w:sz w:val="24"/>
          <w:szCs w:val="24"/>
          <w:lang w:val="en-AU" w:bidi="ar-SA"/>
        </w:rPr>
        <w:t xml:space="preserve"> financially</w:t>
      </w:r>
      <w:r>
        <w:rPr>
          <w:sz w:val="24"/>
          <w:szCs w:val="24"/>
          <w:lang w:val="en-AU" w:bidi="ar-SA"/>
        </w:rPr>
        <w:t>. A direct result of this is that the networks are extremely profitable (</w:t>
      </w:r>
      <w:r w:rsidR="00052290">
        <w:rPr>
          <w:sz w:val="24"/>
          <w:szCs w:val="24"/>
          <w:lang w:val="en-AU" w:bidi="ar-SA"/>
        </w:rPr>
        <w:t xml:space="preserve">much </w:t>
      </w:r>
      <w:r>
        <w:rPr>
          <w:sz w:val="24"/>
          <w:szCs w:val="24"/>
          <w:lang w:val="en-AU" w:bidi="ar-SA"/>
        </w:rPr>
        <w:t xml:space="preserve">more </w:t>
      </w:r>
      <w:r w:rsidR="00052290">
        <w:rPr>
          <w:sz w:val="24"/>
          <w:szCs w:val="24"/>
          <w:lang w:val="en-AU" w:bidi="ar-SA"/>
        </w:rPr>
        <w:t xml:space="preserve">so </w:t>
      </w:r>
      <w:r>
        <w:rPr>
          <w:sz w:val="24"/>
          <w:szCs w:val="24"/>
          <w:lang w:val="en-AU" w:bidi="ar-SA"/>
        </w:rPr>
        <w:t>than firms operating in the competitive sector) because of the AER decision to allow the networks to gain a rate of return on equity for the indexation element of the regulated asset base.</w:t>
      </w:r>
    </w:p>
    <w:p w:rsidR="00C70AF4" w:rsidRDefault="006A2F53" w:rsidP="009363FD">
      <w:pPr>
        <w:rPr>
          <w:sz w:val="24"/>
          <w:szCs w:val="24"/>
          <w:lang w:val="en-AU" w:bidi="ar-SA"/>
        </w:rPr>
      </w:pPr>
      <w:r>
        <w:rPr>
          <w:sz w:val="24"/>
          <w:szCs w:val="24"/>
          <w:lang w:val="en-AU" w:bidi="ar-SA"/>
        </w:rPr>
        <w:t xml:space="preserve">This report considers that this aspect is </w:t>
      </w:r>
      <w:r w:rsidR="00052290">
        <w:rPr>
          <w:sz w:val="24"/>
          <w:szCs w:val="24"/>
          <w:lang w:val="en-AU" w:bidi="ar-SA"/>
        </w:rPr>
        <w:t xml:space="preserve">one element </w:t>
      </w:r>
      <w:r w:rsidR="00725D14">
        <w:rPr>
          <w:sz w:val="24"/>
          <w:szCs w:val="24"/>
          <w:lang w:val="en-AU" w:bidi="ar-SA"/>
        </w:rPr>
        <w:t>as</w:t>
      </w:r>
      <w:r w:rsidR="00052290">
        <w:rPr>
          <w:sz w:val="24"/>
          <w:szCs w:val="24"/>
          <w:lang w:val="en-AU" w:bidi="ar-SA"/>
        </w:rPr>
        <w:t xml:space="preserve"> to why</w:t>
      </w:r>
      <w:r>
        <w:rPr>
          <w:sz w:val="24"/>
          <w:szCs w:val="24"/>
          <w:lang w:val="en-AU" w:bidi="ar-SA"/>
        </w:rPr>
        <w:t xml:space="preserve"> energy networks </w:t>
      </w:r>
      <w:r w:rsidR="00052290">
        <w:rPr>
          <w:sz w:val="24"/>
          <w:szCs w:val="24"/>
          <w:lang w:val="en-AU" w:bidi="ar-SA"/>
        </w:rPr>
        <w:t xml:space="preserve">are </w:t>
      </w:r>
      <w:r>
        <w:rPr>
          <w:sz w:val="24"/>
          <w:szCs w:val="24"/>
          <w:lang w:val="en-AU" w:bidi="ar-SA"/>
        </w:rPr>
        <w:t xml:space="preserve">being sold for significant premiums </w:t>
      </w:r>
      <w:r w:rsidR="00052290">
        <w:rPr>
          <w:sz w:val="24"/>
          <w:szCs w:val="24"/>
          <w:lang w:val="en-AU" w:bidi="ar-SA"/>
        </w:rPr>
        <w:t xml:space="preserve">to </w:t>
      </w:r>
      <w:r>
        <w:rPr>
          <w:sz w:val="24"/>
          <w:szCs w:val="24"/>
          <w:lang w:val="en-AU" w:bidi="ar-SA"/>
        </w:rPr>
        <w:t xml:space="preserve">the regulated asset base.  </w:t>
      </w:r>
      <w:r w:rsidR="00CF54F0">
        <w:rPr>
          <w:sz w:val="24"/>
          <w:szCs w:val="24"/>
          <w:lang w:val="en-AU" w:bidi="ar-SA"/>
        </w:rPr>
        <w:t xml:space="preserve">    </w:t>
      </w:r>
      <w:r w:rsidR="00FB19FD">
        <w:rPr>
          <w:sz w:val="24"/>
          <w:szCs w:val="24"/>
          <w:lang w:val="en-AU" w:bidi="ar-SA"/>
        </w:rPr>
        <w:t xml:space="preserve">  </w:t>
      </w:r>
    </w:p>
    <w:p w:rsidR="00FB19FD" w:rsidRDefault="00FB19FD" w:rsidP="009363FD">
      <w:pPr>
        <w:rPr>
          <w:sz w:val="24"/>
          <w:szCs w:val="24"/>
          <w:lang w:val="en-AU" w:bidi="ar-SA"/>
        </w:rPr>
      </w:pPr>
    </w:p>
    <w:p w:rsidR="00295BC2" w:rsidRPr="00637C82" w:rsidRDefault="00295BC2" w:rsidP="00345E27">
      <w:pPr>
        <w:spacing w:line="240" w:lineRule="auto"/>
        <w:rPr>
          <w:rStyle w:val="AERbody"/>
          <w:rFonts w:asciiTheme="minorHAnsi" w:hAnsiTheme="minorHAnsi"/>
          <w:b/>
          <w:sz w:val="24"/>
          <w:szCs w:val="24"/>
          <w:lang w:val="en-AU"/>
        </w:rPr>
      </w:pPr>
      <w:r w:rsidRPr="00637C82">
        <w:rPr>
          <w:rStyle w:val="AERbody"/>
          <w:rFonts w:asciiTheme="minorHAnsi" w:hAnsiTheme="minorHAnsi"/>
          <w:b/>
          <w:sz w:val="24"/>
          <w:szCs w:val="24"/>
          <w:lang w:val="en-AU"/>
        </w:rPr>
        <w:t xml:space="preserve">8.1 Depreciation </w:t>
      </w:r>
    </w:p>
    <w:p w:rsidR="005613CD" w:rsidRDefault="005613CD" w:rsidP="00345E27">
      <w:pPr>
        <w:spacing w:line="240" w:lineRule="auto"/>
        <w:rPr>
          <w:rStyle w:val="AERbody"/>
          <w:rFonts w:asciiTheme="minorHAnsi" w:hAnsiTheme="minorHAnsi"/>
          <w:sz w:val="24"/>
          <w:szCs w:val="24"/>
          <w:lang w:val="en-AU"/>
        </w:rPr>
      </w:pPr>
      <w:r>
        <w:rPr>
          <w:rStyle w:val="AERbody"/>
          <w:rFonts w:asciiTheme="minorHAnsi" w:hAnsiTheme="minorHAnsi"/>
          <w:sz w:val="24"/>
          <w:szCs w:val="24"/>
          <w:lang w:val="en-AU"/>
        </w:rPr>
        <w:t>As noted in the earlier submission, the depreciation allowance sought by TND is a significant portion of the total revenue and larger than in previous years, probably due to the lower inflation incurred in recent years and forecast for the next period. It was this concern of increasing regulatory depreciation that initiated many of the observations in the earlier report.</w:t>
      </w:r>
    </w:p>
    <w:p w:rsidR="006240E4" w:rsidRDefault="006240E4" w:rsidP="00345E27">
      <w:pPr>
        <w:spacing w:line="240" w:lineRule="auto"/>
        <w:rPr>
          <w:rStyle w:val="AERbody"/>
          <w:rFonts w:asciiTheme="minorHAnsi" w:hAnsiTheme="minorHAnsi"/>
          <w:sz w:val="24"/>
          <w:szCs w:val="24"/>
          <w:lang w:val="en-AU"/>
        </w:rPr>
      </w:pPr>
      <w:r>
        <w:rPr>
          <w:rStyle w:val="AERbody"/>
          <w:rFonts w:asciiTheme="minorHAnsi" w:hAnsiTheme="minorHAnsi"/>
          <w:sz w:val="24"/>
          <w:szCs w:val="24"/>
          <w:lang w:val="en-AU"/>
        </w:rPr>
        <w:t xml:space="preserve">In the earlier report, it was raised that the depreciation for the Business Management Systems (BMS – the Ajiilis system) at 10 years could be considered to be too short, particularly with the ever increasing amounts of capex across the NEM being committed to upgrade or institute new IT systems when consumers see little benefit </w:t>
      </w:r>
      <w:r w:rsidR="005D4F30">
        <w:rPr>
          <w:rStyle w:val="AERbody"/>
          <w:rFonts w:asciiTheme="minorHAnsi" w:hAnsiTheme="minorHAnsi"/>
          <w:sz w:val="24"/>
          <w:szCs w:val="24"/>
          <w:lang w:val="en-AU"/>
        </w:rPr>
        <w:t xml:space="preserve">from the investment </w:t>
      </w:r>
      <w:r>
        <w:rPr>
          <w:rStyle w:val="AERbody"/>
          <w:rFonts w:asciiTheme="minorHAnsi" w:hAnsiTheme="minorHAnsi"/>
          <w:sz w:val="24"/>
          <w:szCs w:val="24"/>
          <w:lang w:val="en-AU"/>
        </w:rPr>
        <w:t xml:space="preserve">as the existing systems </w:t>
      </w:r>
      <w:r w:rsidR="005D4F30">
        <w:rPr>
          <w:rStyle w:val="AERbody"/>
          <w:rFonts w:asciiTheme="minorHAnsi" w:hAnsiTheme="minorHAnsi"/>
          <w:sz w:val="24"/>
          <w:szCs w:val="24"/>
          <w:lang w:val="en-AU"/>
        </w:rPr>
        <w:t xml:space="preserve">meet </w:t>
      </w:r>
      <w:r>
        <w:rPr>
          <w:rStyle w:val="AERbody"/>
          <w:rFonts w:asciiTheme="minorHAnsi" w:hAnsiTheme="minorHAnsi"/>
          <w:sz w:val="24"/>
          <w:szCs w:val="24"/>
          <w:lang w:val="en-AU"/>
        </w:rPr>
        <w:t xml:space="preserve">the requirements of consumers. This issue was also raised in the section in the </w:t>
      </w:r>
      <w:r w:rsidR="005D4F30">
        <w:rPr>
          <w:rStyle w:val="AERbody"/>
          <w:rFonts w:asciiTheme="minorHAnsi" w:hAnsiTheme="minorHAnsi"/>
          <w:sz w:val="24"/>
          <w:szCs w:val="24"/>
          <w:lang w:val="en-AU"/>
        </w:rPr>
        <w:t xml:space="preserve">earlier </w:t>
      </w:r>
      <w:r>
        <w:rPr>
          <w:rStyle w:val="AERbody"/>
          <w:rFonts w:asciiTheme="minorHAnsi" w:hAnsiTheme="minorHAnsi"/>
          <w:sz w:val="24"/>
          <w:szCs w:val="24"/>
          <w:lang w:val="en-AU"/>
        </w:rPr>
        <w:t xml:space="preserve">report on capex. By allowing networks to depreciate IT assets over short periods, provides an incentive to replace or upgrade IT systems. While it is recognised that there are always being offered better IT systems than those already in operation it is not always necessary to replace them, especially if they offer little benefit to the consumers that fund them. </w:t>
      </w:r>
    </w:p>
    <w:p w:rsidR="00654DE6" w:rsidRDefault="006240E4" w:rsidP="00345E27">
      <w:pPr>
        <w:spacing w:line="240" w:lineRule="auto"/>
        <w:rPr>
          <w:rStyle w:val="AERbody"/>
          <w:rFonts w:asciiTheme="minorHAnsi" w:hAnsiTheme="minorHAnsi"/>
          <w:sz w:val="24"/>
          <w:szCs w:val="24"/>
          <w:lang w:val="en-AU"/>
        </w:rPr>
      </w:pPr>
      <w:r>
        <w:rPr>
          <w:rStyle w:val="AERbody"/>
          <w:rFonts w:asciiTheme="minorHAnsi" w:hAnsiTheme="minorHAnsi"/>
          <w:sz w:val="24"/>
          <w:szCs w:val="24"/>
          <w:lang w:val="en-AU"/>
        </w:rPr>
        <w:t xml:space="preserve">With this in mind, this report considers that the AER draft decision to allow the TND </w:t>
      </w:r>
      <w:r w:rsidR="005D4F30">
        <w:rPr>
          <w:rStyle w:val="AERbody"/>
          <w:rFonts w:asciiTheme="minorHAnsi" w:hAnsiTheme="minorHAnsi"/>
          <w:sz w:val="24"/>
          <w:szCs w:val="24"/>
          <w:lang w:val="en-AU"/>
        </w:rPr>
        <w:t xml:space="preserve">AMS </w:t>
      </w:r>
      <w:r>
        <w:rPr>
          <w:rStyle w:val="AERbody"/>
          <w:rFonts w:asciiTheme="minorHAnsi" w:hAnsiTheme="minorHAnsi"/>
          <w:sz w:val="24"/>
          <w:szCs w:val="24"/>
          <w:lang w:val="en-AU"/>
        </w:rPr>
        <w:t>to be depreciated over 10 years is not in consumers’ best interests</w:t>
      </w:r>
      <w:r w:rsidR="00654DE6">
        <w:rPr>
          <w:rStyle w:val="AERbody"/>
          <w:rFonts w:asciiTheme="minorHAnsi" w:hAnsiTheme="minorHAnsi"/>
          <w:sz w:val="24"/>
          <w:szCs w:val="24"/>
          <w:lang w:val="en-AU"/>
        </w:rPr>
        <w:t xml:space="preserve"> as there is no demonstrable benefit to consumers to effectively replace the </w:t>
      </w:r>
      <w:r w:rsidR="005D4F30">
        <w:rPr>
          <w:rStyle w:val="AERbody"/>
          <w:rFonts w:asciiTheme="minorHAnsi" w:hAnsiTheme="minorHAnsi"/>
          <w:sz w:val="24"/>
          <w:szCs w:val="24"/>
          <w:lang w:val="en-AU"/>
        </w:rPr>
        <w:t xml:space="preserve">AMS </w:t>
      </w:r>
      <w:r w:rsidR="00654DE6">
        <w:rPr>
          <w:rStyle w:val="AERbody"/>
          <w:rFonts w:asciiTheme="minorHAnsi" w:hAnsiTheme="minorHAnsi"/>
          <w:sz w:val="24"/>
          <w:szCs w:val="24"/>
          <w:lang w:val="en-AU"/>
        </w:rPr>
        <w:t xml:space="preserve">in 10 years time. The draft decision points out that 10 years is longer than the average depreciation period used by other networks, but this report highlights that </w:t>
      </w:r>
      <w:r w:rsidR="005D4F30">
        <w:rPr>
          <w:rStyle w:val="AERbody"/>
          <w:rFonts w:asciiTheme="minorHAnsi" w:hAnsiTheme="minorHAnsi"/>
          <w:sz w:val="24"/>
          <w:szCs w:val="24"/>
          <w:lang w:val="en-AU"/>
        </w:rPr>
        <w:t xml:space="preserve">it was </w:t>
      </w:r>
      <w:r w:rsidR="00654DE6">
        <w:rPr>
          <w:rStyle w:val="AERbody"/>
          <w:rFonts w:asciiTheme="minorHAnsi" w:hAnsiTheme="minorHAnsi"/>
          <w:sz w:val="24"/>
          <w:szCs w:val="24"/>
          <w:lang w:val="en-AU"/>
        </w:rPr>
        <w:t xml:space="preserve">the AER previous decisions </w:t>
      </w:r>
      <w:r w:rsidR="005D4F30">
        <w:rPr>
          <w:rStyle w:val="AERbody"/>
          <w:rFonts w:asciiTheme="minorHAnsi" w:hAnsiTheme="minorHAnsi"/>
          <w:sz w:val="24"/>
          <w:szCs w:val="24"/>
          <w:lang w:val="en-AU"/>
        </w:rPr>
        <w:t xml:space="preserve">led to this outcome by </w:t>
      </w:r>
      <w:r w:rsidR="00654DE6">
        <w:rPr>
          <w:rStyle w:val="AERbody"/>
          <w:rFonts w:asciiTheme="minorHAnsi" w:hAnsiTheme="minorHAnsi"/>
          <w:sz w:val="24"/>
          <w:szCs w:val="24"/>
          <w:lang w:val="en-AU"/>
        </w:rPr>
        <w:t>allowing these shorter times</w:t>
      </w:r>
      <w:r w:rsidR="005D4F30">
        <w:rPr>
          <w:rStyle w:val="AERbody"/>
          <w:rFonts w:asciiTheme="minorHAnsi" w:hAnsiTheme="minorHAnsi"/>
          <w:sz w:val="24"/>
          <w:szCs w:val="24"/>
          <w:lang w:val="en-AU"/>
        </w:rPr>
        <w:t>,</w:t>
      </w:r>
      <w:r w:rsidR="00654DE6">
        <w:rPr>
          <w:rStyle w:val="AERbody"/>
          <w:rFonts w:asciiTheme="minorHAnsi" w:hAnsiTheme="minorHAnsi"/>
          <w:sz w:val="24"/>
          <w:szCs w:val="24"/>
          <w:lang w:val="en-AU"/>
        </w:rPr>
        <w:t xml:space="preserve"> so the comparison is not reasonable.</w:t>
      </w:r>
    </w:p>
    <w:p w:rsidR="00654DE6" w:rsidRDefault="00654DE6" w:rsidP="00345E27">
      <w:pPr>
        <w:spacing w:line="240" w:lineRule="auto"/>
        <w:rPr>
          <w:rStyle w:val="AERbody"/>
          <w:rFonts w:asciiTheme="minorHAnsi" w:hAnsiTheme="minorHAnsi"/>
          <w:sz w:val="24"/>
          <w:szCs w:val="24"/>
          <w:lang w:val="en-AU"/>
        </w:rPr>
      </w:pPr>
      <w:r>
        <w:rPr>
          <w:rStyle w:val="AERbody"/>
          <w:rFonts w:asciiTheme="minorHAnsi" w:hAnsiTheme="minorHAnsi"/>
          <w:sz w:val="24"/>
          <w:szCs w:val="24"/>
          <w:lang w:val="en-AU"/>
        </w:rPr>
        <w:t xml:space="preserve">The earlier report also raised a concern about the inconsistency seen between the various life expectancies identified for the various assets provided by networks – specifically </w:t>
      </w:r>
      <w:r w:rsidR="005D4F30">
        <w:rPr>
          <w:rStyle w:val="AERbody"/>
          <w:rFonts w:asciiTheme="minorHAnsi" w:hAnsiTheme="minorHAnsi"/>
          <w:sz w:val="24"/>
          <w:szCs w:val="24"/>
          <w:lang w:val="en-AU"/>
        </w:rPr>
        <w:t xml:space="preserve">between </w:t>
      </w:r>
      <w:r>
        <w:rPr>
          <w:rStyle w:val="AERbody"/>
          <w:rFonts w:asciiTheme="minorHAnsi" w:hAnsiTheme="minorHAnsi"/>
          <w:sz w:val="24"/>
          <w:szCs w:val="24"/>
          <w:lang w:val="en-AU"/>
        </w:rPr>
        <w:t xml:space="preserve">the depreciation schedule, the RIN data and the asset lives used in the repex calculation. The draft decision provides a view that comparisons between the three are difficult </w:t>
      </w:r>
      <w:r w:rsidR="005D4F30">
        <w:rPr>
          <w:rStyle w:val="AERbody"/>
          <w:rFonts w:asciiTheme="minorHAnsi" w:hAnsiTheme="minorHAnsi"/>
          <w:sz w:val="24"/>
          <w:szCs w:val="24"/>
          <w:lang w:val="en-AU"/>
        </w:rPr>
        <w:t xml:space="preserve">to </w:t>
      </w:r>
      <w:r w:rsidR="00725D14">
        <w:rPr>
          <w:rStyle w:val="AERbody"/>
          <w:rFonts w:asciiTheme="minorHAnsi" w:hAnsiTheme="minorHAnsi"/>
          <w:sz w:val="24"/>
          <w:szCs w:val="24"/>
          <w:lang w:val="en-AU"/>
        </w:rPr>
        <w:t>compare</w:t>
      </w:r>
      <w:r w:rsidR="005D4F30">
        <w:rPr>
          <w:rStyle w:val="AERbody"/>
          <w:rFonts w:asciiTheme="minorHAnsi" w:hAnsiTheme="minorHAnsi"/>
          <w:sz w:val="24"/>
          <w:szCs w:val="24"/>
          <w:lang w:val="en-AU"/>
        </w:rPr>
        <w:t xml:space="preserve"> </w:t>
      </w:r>
      <w:r>
        <w:rPr>
          <w:rStyle w:val="AERbody"/>
          <w:rFonts w:asciiTheme="minorHAnsi" w:hAnsiTheme="minorHAnsi"/>
          <w:sz w:val="24"/>
          <w:szCs w:val="24"/>
          <w:lang w:val="en-AU"/>
        </w:rPr>
        <w:t>as the</w:t>
      </w:r>
      <w:r w:rsidR="005D4F30">
        <w:rPr>
          <w:rStyle w:val="AERbody"/>
          <w:rFonts w:asciiTheme="minorHAnsi" w:hAnsiTheme="minorHAnsi"/>
          <w:sz w:val="24"/>
          <w:szCs w:val="24"/>
          <w:lang w:val="en-AU"/>
        </w:rPr>
        <w:t xml:space="preserve"> data used is</w:t>
      </w:r>
      <w:r>
        <w:rPr>
          <w:rStyle w:val="AERbody"/>
          <w:rFonts w:asciiTheme="minorHAnsi" w:hAnsiTheme="minorHAnsi"/>
          <w:sz w:val="24"/>
          <w:szCs w:val="24"/>
          <w:lang w:val="en-AU"/>
        </w:rPr>
        <w:t xml:space="preserve"> developed and aggregated in different ways</w:t>
      </w:r>
      <w:r w:rsidR="005D4F30">
        <w:rPr>
          <w:rStyle w:val="AERbody"/>
          <w:rFonts w:asciiTheme="minorHAnsi" w:hAnsiTheme="minorHAnsi"/>
          <w:sz w:val="24"/>
          <w:szCs w:val="24"/>
          <w:lang w:val="en-AU"/>
        </w:rPr>
        <w:t xml:space="preserve"> for each report</w:t>
      </w:r>
      <w:r>
        <w:rPr>
          <w:rStyle w:val="AERbody"/>
          <w:rFonts w:asciiTheme="minorHAnsi" w:hAnsiTheme="minorHAnsi"/>
          <w:sz w:val="24"/>
          <w:szCs w:val="24"/>
          <w:lang w:val="en-AU"/>
        </w:rPr>
        <w:t>. This is accepted but the analysis by CCP4(DH) does not result in outcomes that support the assertion in the draft decision that they do deliver similar outcomes</w:t>
      </w:r>
      <w:r w:rsidR="005D4F30">
        <w:rPr>
          <w:rStyle w:val="FootnoteReference"/>
          <w:sz w:val="24"/>
          <w:szCs w:val="24"/>
          <w:lang w:val="en-AU"/>
        </w:rPr>
        <w:footnoteReference w:id="16"/>
      </w:r>
      <w:r>
        <w:rPr>
          <w:rStyle w:val="AERbody"/>
          <w:rFonts w:asciiTheme="minorHAnsi" w:hAnsiTheme="minorHAnsi"/>
          <w:sz w:val="24"/>
          <w:szCs w:val="24"/>
          <w:lang w:val="en-AU"/>
        </w:rPr>
        <w:t xml:space="preserve">. </w:t>
      </w:r>
    </w:p>
    <w:p w:rsidR="00534EAE" w:rsidRDefault="00654DE6" w:rsidP="00345E27">
      <w:pPr>
        <w:spacing w:line="240" w:lineRule="auto"/>
        <w:rPr>
          <w:rStyle w:val="AERbody"/>
          <w:rFonts w:asciiTheme="minorHAnsi" w:hAnsiTheme="minorHAnsi"/>
          <w:sz w:val="24"/>
          <w:szCs w:val="24"/>
          <w:lang w:val="en-AU"/>
        </w:rPr>
      </w:pPr>
      <w:r>
        <w:rPr>
          <w:rStyle w:val="AERbody"/>
          <w:rFonts w:asciiTheme="minorHAnsi" w:hAnsiTheme="minorHAnsi"/>
          <w:sz w:val="24"/>
          <w:szCs w:val="24"/>
          <w:lang w:val="en-AU"/>
        </w:rPr>
        <w:lastRenderedPageBreak/>
        <w:t>Further, the draft decision provides evidence that the TND weighted average standard asset lives compared to other distribution networks are not materially different – this is shown in figure 5.2</w:t>
      </w:r>
      <w:r w:rsidR="005D4F30">
        <w:rPr>
          <w:rStyle w:val="AERbody"/>
          <w:rFonts w:asciiTheme="minorHAnsi" w:hAnsiTheme="minorHAnsi"/>
          <w:sz w:val="24"/>
          <w:szCs w:val="24"/>
          <w:lang w:val="en-AU"/>
        </w:rPr>
        <w:t xml:space="preserve"> page 5-14</w:t>
      </w:r>
      <w:r>
        <w:rPr>
          <w:rStyle w:val="AERbody"/>
          <w:rFonts w:asciiTheme="minorHAnsi" w:hAnsiTheme="minorHAnsi"/>
          <w:sz w:val="24"/>
          <w:szCs w:val="24"/>
          <w:lang w:val="en-AU"/>
        </w:rPr>
        <w:t xml:space="preserve">. Analysis of this figure shows that the </w:t>
      </w:r>
      <w:r w:rsidR="00534EAE">
        <w:rPr>
          <w:rStyle w:val="AERbody"/>
          <w:rFonts w:asciiTheme="minorHAnsi" w:hAnsiTheme="minorHAnsi"/>
          <w:sz w:val="24"/>
          <w:szCs w:val="24"/>
          <w:lang w:val="en-AU"/>
        </w:rPr>
        <w:t xml:space="preserve">arithmetic </w:t>
      </w:r>
      <w:r>
        <w:rPr>
          <w:rStyle w:val="AERbody"/>
          <w:rFonts w:asciiTheme="minorHAnsi" w:hAnsiTheme="minorHAnsi"/>
          <w:sz w:val="24"/>
          <w:szCs w:val="24"/>
          <w:lang w:val="en-AU"/>
        </w:rPr>
        <w:t xml:space="preserve">average weighted asset lives </w:t>
      </w:r>
      <w:r w:rsidR="00534EAE">
        <w:rPr>
          <w:rStyle w:val="AERbody"/>
          <w:rFonts w:asciiTheme="minorHAnsi" w:hAnsiTheme="minorHAnsi"/>
          <w:sz w:val="24"/>
          <w:szCs w:val="24"/>
          <w:lang w:val="en-AU"/>
        </w:rPr>
        <w:t xml:space="preserve">across the 13 distribution businesses is over 46 years but a weighted average (based on RABs) is higher. Even using the arithmetic average, TND weighted asset life is ~10% lower than the arithmetic average which is a not an immaterial amount as asserted in the draft decision </w:t>
      </w:r>
      <w:r w:rsidR="005D4F30">
        <w:rPr>
          <w:rStyle w:val="AERbody"/>
          <w:rFonts w:asciiTheme="minorHAnsi" w:hAnsiTheme="minorHAnsi"/>
          <w:sz w:val="24"/>
          <w:szCs w:val="24"/>
          <w:lang w:val="en-AU"/>
        </w:rPr>
        <w:t xml:space="preserve">(page 5-13) </w:t>
      </w:r>
      <w:r w:rsidR="00534EAE">
        <w:rPr>
          <w:rStyle w:val="AERbody"/>
          <w:rFonts w:asciiTheme="minorHAnsi" w:hAnsiTheme="minorHAnsi"/>
          <w:sz w:val="24"/>
          <w:szCs w:val="24"/>
          <w:lang w:val="en-AU"/>
        </w:rPr>
        <w:t xml:space="preserve">as it results in a higher depreciation requirement for Tasmanian consumers. </w:t>
      </w:r>
      <w:r w:rsidR="006240E4">
        <w:rPr>
          <w:rStyle w:val="AERbody"/>
          <w:rFonts w:asciiTheme="minorHAnsi" w:hAnsiTheme="minorHAnsi"/>
          <w:sz w:val="24"/>
          <w:szCs w:val="24"/>
          <w:lang w:val="en-AU"/>
        </w:rPr>
        <w:t xml:space="preserve"> </w:t>
      </w:r>
    </w:p>
    <w:p w:rsidR="00534EAE" w:rsidRDefault="00534EAE" w:rsidP="00345E27">
      <w:pPr>
        <w:spacing w:line="240" w:lineRule="auto"/>
        <w:rPr>
          <w:rStyle w:val="AERbody"/>
          <w:rFonts w:asciiTheme="minorHAnsi" w:hAnsiTheme="minorHAnsi"/>
          <w:sz w:val="24"/>
          <w:szCs w:val="24"/>
          <w:lang w:val="en-AU"/>
        </w:rPr>
      </w:pPr>
      <w:r>
        <w:rPr>
          <w:rStyle w:val="AERbody"/>
          <w:rFonts w:asciiTheme="minorHAnsi" w:hAnsiTheme="minorHAnsi"/>
          <w:sz w:val="24"/>
          <w:szCs w:val="24"/>
          <w:lang w:val="en-AU"/>
        </w:rPr>
        <w:t>As noted in the earlier report:</w:t>
      </w:r>
    </w:p>
    <w:p w:rsidR="005613CD" w:rsidRDefault="006F384A" w:rsidP="006F384A">
      <w:pPr>
        <w:spacing w:line="240" w:lineRule="auto"/>
        <w:ind w:left="720"/>
        <w:rPr>
          <w:rStyle w:val="AERbody"/>
          <w:rFonts w:asciiTheme="minorHAnsi" w:hAnsiTheme="minorHAnsi"/>
          <w:sz w:val="24"/>
          <w:szCs w:val="24"/>
          <w:lang w:val="en-AU"/>
        </w:rPr>
      </w:pPr>
      <w:r>
        <w:rPr>
          <w:rStyle w:val="AERbody"/>
          <w:rFonts w:asciiTheme="minorHAnsi" w:hAnsiTheme="minorHAnsi"/>
          <w:sz w:val="24"/>
          <w:szCs w:val="24"/>
          <w:lang w:val="en-AU"/>
        </w:rPr>
        <w:t xml:space="preserve">“...the development of the regulatory asset base (RAB) is a tool to assist in the assessment of an appropriate revenue stream. Because of this the RAB should reflect the actual asset lives rather than a notional expected life of the assets used in providing the service. In this regard it is important to recognise that faster depreciation of assets than actually occurs, results in a transference of wealth between generations and this is not consistent with the regulatory concept of equity between current and future consumers.” </w:t>
      </w:r>
    </w:p>
    <w:p w:rsidR="005613CD" w:rsidRDefault="006F384A" w:rsidP="00345E27">
      <w:pPr>
        <w:spacing w:line="240" w:lineRule="auto"/>
        <w:rPr>
          <w:rStyle w:val="AERbody"/>
          <w:rFonts w:asciiTheme="minorHAnsi" w:hAnsiTheme="minorHAnsi"/>
          <w:sz w:val="24"/>
          <w:szCs w:val="24"/>
          <w:lang w:val="en-AU"/>
        </w:rPr>
      </w:pPr>
      <w:r>
        <w:rPr>
          <w:rStyle w:val="AERbody"/>
          <w:rFonts w:asciiTheme="minorHAnsi" w:hAnsiTheme="minorHAnsi"/>
          <w:sz w:val="24"/>
          <w:szCs w:val="24"/>
          <w:lang w:val="en-AU"/>
        </w:rPr>
        <w:t>The observations in the draft decision do not address this very real concern</w:t>
      </w:r>
      <w:r w:rsidR="00F84BCB">
        <w:rPr>
          <w:rStyle w:val="AERbody"/>
          <w:rFonts w:asciiTheme="minorHAnsi" w:hAnsiTheme="minorHAnsi"/>
          <w:sz w:val="24"/>
          <w:szCs w:val="24"/>
          <w:lang w:val="en-AU"/>
        </w:rPr>
        <w:t xml:space="preserve">, especially as </w:t>
      </w:r>
      <w:r w:rsidR="005D4F30">
        <w:rPr>
          <w:rStyle w:val="AERbody"/>
          <w:rFonts w:asciiTheme="minorHAnsi" w:hAnsiTheme="minorHAnsi"/>
          <w:sz w:val="24"/>
          <w:szCs w:val="24"/>
          <w:lang w:val="en-AU"/>
        </w:rPr>
        <w:t xml:space="preserve">full </w:t>
      </w:r>
      <w:r w:rsidR="00F84BCB">
        <w:rPr>
          <w:rStyle w:val="AERbody"/>
          <w:rFonts w:asciiTheme="minorHAnsi" w:hAnsiTheme="minorHAnsi"/>
          <w:sz w:val="24"/>
          <w:szCs w:val="24"/>
          <w:lang w:val="en-AU"/>
        </w:rPr>
        <w:t xml:space="preserve">depreciation of assets means that networks are incentivised to replace assets as soon as they are fully depreciated. This incentive recognised that a fully depreciated asset does not deliver a return on or of the asset whereas a new </w:t>
      </w:r>
      <w:r w:rsidR="005D4F30">
        <w:rPr>
          <w:rStyle w:val="AERbody"/>
          <w:rFonts w:asciiTheme="minorHAnsi" w:hAnsiTheme="minorHAnsi"/>
          <w:sz w:val="24"/>
          <w:szCs w:val="24"/>
          <w:lang w:val="en-AU"/>
        </w:rPr>
        <w:t xml:space="preserve">replacement immediately </w:t>
      </w:r>
      <w:r w:rsidR="00F84BCB">
        <w:rPr>
          <w:rStyle w:val="AERbody"/>
          <w:rFonts w:asciiTheme="minorHAnsi" w:hAnsiTheme="minorHAnsi"/>
          <w:sz w:val="24"/>
          <w:szCs w:val="24"/>
          <w:lang w:val="en-AU"/>
        </w:rPr>
        <w:t>delivers considerable value.</w:t>
      </w:r>
    </w:p>
    <w:p w:rsidR="00F84BCB" w:rsidRDefault="00F84BCB" w:rsidP="00345E27">
      <w:pPr>
        <w:spacing w:line="240" w:lineRule="auto"/>
        <w:rPr>
          <w:rStyle w:val="AERbody"/>
          <w:rFonts w:asciiTheme="minorHAnsi" w:hAnsiTheme="minorHAnsi"/>
          <w:sz w:val="24"/>
          <w:szCs w:val="24"/>
          <w:lang w:val="en-AU"/>
        </w:rPr>
      </w:pPr>
      <w:r>
        <w:rPr>
          <w:rStyle w:val="AERbody"/>
          <w:rFonts w:asciiTheme="minorHAnsi" w:hAnsiTheme="minorHAnsi"/>
          <w:sz w:val="24"/>
          <w:szCs w:val="24"/>
          <w:lang w:val="en-AU"/>
        </w:rPr>
        <w:t xml:space="preserve">This report considers that reporting of expected lives of assets should be consistent between the depreciation schedule, the economic benchmarking RIN and the category analysis as this is more transparent and allows stakeholders to make informed observations on revenue decisions. </w:t>
      </w:r>
    </w:p>
    <w:p w:rsidR="00F84BCB" w:rsidRDefault="00F84BCB" w:rsidP="00345E27">
      <w:pPr>
        <w:spacing w:line="240" w:lineRule="auto"/>
        <w:rPr>
          <w:rStyle w:val="AERbody"/>
          <w:rFonts w:asciiTheme="minorHAnsi" w:hAnsiTheme="minorHAnsi"/>
          <w:sz w:val="24"/>
          <w:szCs w:val="24"/>
          <w:lang w:val="en-AU"/>
        </w:rPr>
      </w:pPr>
      <w:r>
        <w:rPr>
          <w:rStyle w:val="AERbody"/>
          <w:rFonts w:asciiTheme="minorHAnsi" w:hAnsiTheme="minorHAnsi"/>
          <w:sz w:val="24"/>
          <w:szCs w:val="24"/>
          <w:lang w:val="en-AU"/>
        </w:rPr>
        <w:t xml:space="preserve">Further, there needs to be better benchmarking of assets between the 13 distribution networks (15 </w:t>
      </w:r>
      <w:r w:rsidR="005D4F30">
        <w:rPr>
          <w:rStyle w:val="AERbody"/>
          <w:rFonts w:asciiTheme="minorHAnsi" w:hAnsiTheme="minorHAnsi"/>
          <w:sz w:val="24"/>
          <w:szCs w:val="24"/>
          <w:lang w:val="en-AU"/>
        </w:rPr>
        <w:t xml:space="preserve">if </w:t>
      </w:r>
      <w:r>
        <w:rPr>
          <w:rStyle w:val="AERbody"/>
          <w:rFonts w:asciiTheme="minorHAnsi" w:hAnsiTheme="minorHAnsi"/>
          <w:sz w:val="24"/>
          <w:szCs w:val="24"/>
          <w:lang w:val="en-AU"/>
        </w:rPr>
        <w:t xml:space="preserve">WA and NT networks are added), again to ensure there is consistency across all networks and to ensure that consumers of some networks are not being disadvantaged. </w:t>
      </w:r>
    </w:p>
    <w:p w:rsidR="0024444A" w:rsidRPr="00AA5B97" w:rsidRDefault="0024444A" w:rsidP="00345E27">
      <w:pPr>
        <w:spacing w:line="240" w:lineRule="auto"/>
        <w:rPr>
          <w:rStyle w:val="AERbody"/>
          <w:rFonts w:asciiTheme="minorHAnsi" w:eastAsia="Times New Roman" w:hAnsiTheme="minorHAnsi" w:cs="Times New Roman"/>
          <w:b/>
          <w:sz w:val="28"/>
          <w:szCs w:val="28"/>
          <w:lang w:val="en-AU" w:bidi="ar-SA"/>
        </w:rPr>
      </w:pPr>
      <w:r w:rsidRPr="00AA5B97">
        <w:rPr>
          <w:rStyle w:val="AERbody"/>
          <w:rFonts w:asciiTheme="minorHAnsi" w:hAnsiTheme="minorHAnsi"/>
          <w:b/>
          <w:sz w:val="28"/>
          <w:szCs w:val="28"/>
          <w:lang w:val="en-AU"/>
        </w:rPr>
        <w:br w:type="page"/>
      </w:r>
    </w:p>
    <w:p w:rsidR="0024444A" w:rsidRPr="00AA5B97" w:rsidRDefault="005C34A5" w:rsidP="00345E27">
      <w:pPr>
        <w:pStyle w:val="AERbulletlistfirststyle"/>
        <w:numPr>
          <w:ilvl w:val="0"/>
          <w:numId w:val="0"/>
        </w:numPr>
        <w:tabs>
          <w:tab w:val="clear" w:pos="357"/>
          <w:tab w:val="left" w:pos="0"/>
        </w:tabs>
        <w:spacing w:line="240" w:lineRule="auto"/>
        <w:rPr>
          <w:rStyle w:val="AERbody"/>
          <w:rFonts w:asciiTheme="minorHAnsi" w:hAnsiTheme="minorHAnsi"/>
          <w:b/>
          <w:sz w:val="28"/>
          <w:szCs w:val="28"/>
        </w:rPr>
      </w:pPr>
      <w:r>
        <w:rPr>
          <w:rFonts w:asciiTheme="minorHAnsi" w:hAnsiTheme="minorHAnsi"/>
          <w:b/>
          <w:sz w:val="28"/>
          <w:szCs w:val="28"/>
        </w:rPr>
        <w:lastRenderedPageBreak/>
        <w:t>9</w:t>
      </w:r>
      <w:r w:rsidR="0024444A" w:rsidRPr="00AA5B97">
        <w:rPr>
          <w:rFonts w:asciiTheme="minorHAnsi" w:hAnsiTheme="minorHAnsi"/>
          <w:b/>
          <w:sz w:val="28"/>
          <w:szCs w:val="28"/>
        </w:rPr>
        <w:t xml:space="preserve">. </w:t>
      </w:r>
      <w:r w:rsidR="0024444A" w:rsidRPr="00AA5B97">
        <w:rPr>
          <w:rStyle w:val="AERbody"/>
          <w:rFonts w:asciiTheme="minorHAnsi" w:hAnsiTheme="minorHAnsi"/>
          <w:b/>
          <w:sz w:val="28"/>
          <w:szCs w:val="28"/>
        </w:rPr>
        <w:t>Pass through events</w:t>
      </w:r>
    </w:p>
    <w:p w:rsidR="00184071" w:rsidRDefault="00613DCC" w:rsidP="00345E27">
      <w:pPr>
        <w:spacing w:line="240" w:lineRule="auto"/>
        <w:rPr>
          <w:sz w:val="24"/>
          <w:szCs w:val="24"/>
          <w:lang w:val="en-AU"/>
        </w:rPr>
      </w:pPr>
      <w:r w:rsidRPr="00613DCC">
        <w:rPr>
          <w:sz w:val="24"/>
          <w:szCs w:val="24"/>
          <w:lang w:val="en-AU"/>
        </w:rPr>
        <w:t xml:space="preserve">Despite expressing some reservations on the extent of pass through provisions, the earlier report </w:t>
      </w:r>
      <w:r w:rsidR="00184071">
        <w:rPr>
          <w:sz w:val="24"/>
          <w:szCs w:val="24"/>
          <w:lang w:val="en-AU"/>
        </w:rPr>
        <w:t>noted that the pass through provisions proposed by TND reflected those that the AER had previously accepted and therefore there would be regulatory inconsistency if the pass through provisions were rejected</w:t>
      </w:r>
    </w:p>
    <w:p w:rsidR="00184071" w:rsidRPr="00184071" w:rsidRDefault="00184071" w:rsidP="00345E27">
      <w:pPr>
        <w:spacing w:line="240" w:lineRule="auto"/>
        <w:rPr>
          <w:sz w:val="24"/>
          <w:szCs w:val="24"/>
          <w:lang w:val="en-AU"/>
        </w:rPr>
      </w:pPr>
      <w:r>
        <w:rPr>
          <w:sz w:val="24"/>
          <w:szCs w:val="24"/>
          <w:lang w:val="en-AU"/>
        </w:rPr>
        <w:t xml:space="preserve">This report notes that the AER has accepted the pass through provisions as proposed. </w:t>
      </w:r>
    </w:p>
    <w:p w:rsidR="00184071" w:rsidRPr="00184071" w:rsidRDefault="00184071" w:rsidP="00345E27">
      <w:pPr>
        <w:spacing w:line="240" w:lineRule="auto"/>
        <w:rPr>
          <w:sz w:val="24"/>
          <w:szCs w:val="24"/>
          <w:lang w:val="en-AU"/>
        </w:rPr>
      </w:pPr>
    </w:p>
    <w:p w:rsidR="009F1DB7" w:rsidRDefault="009F1DB7" w:rsidP="00345E27">
      <w:pPr>
        <w:spacing w:line="240" w:lineRule="auto"/>
        <w:rPr>
          <w:rStyle w:val="AERbody"/>
          <w:rFonts w:asciiTheme="minorHAnsi" w:hAnsiTheme="minorHAnsi"/>
          <w:sz w:val="24"/>
          <w:szCs w:val="24"/>
          <w:lang w:val="en-AU"/>
        </w:rPr>
      </w:pPr>
    </w:p>
    <w:p w:rsidR="0024444A" w:rsidRPr="00AA5B97" w:rsidRDefault="00C76948" w:rsidP="00345E27">
      <w:pPr>
        <w:spacing w:line="240" w:lineRule="auto"/>
        <w:rPr>
          <w:rStyle w:val="AERbody"/>
          <w:rFonts w:asciiTheme="minorHAnsi" w:eastAsia="Times New Roman" w:hAnsiTheme="minorHAnsi" w:cs="Times New Roman"/>
          <w:b/>
          <w:sz w:val="28"/>
          <w:szCs w:val="28"/>
          <w:lang w:val="en-AU" w:bidi="ar-SA"/>
        </w:rPr>
      </w:pPr>
      <w:r w:rsidRPr="00AA5B97">
        <w:rPr>
          <w:rStyle w:val="AERbody"/>
          <w:rFonts w:asciiTheme="minorHAnsi" w:hAnsiTheme="minorHAnsi"/>
          <w:sz w:val="24"/>
          <w:szCs w:val="24"/>
          <w:lang w:val="en-AU"/>
        </w:rPr>
        <w:t xml:space="preserve"> </w:t>
      </w:r>
      <w:r w:rsidR="00465ACF" w:rsidRPr="00AA5B97">
        <w:rPr>
          <w:rStyle w:val="AERbody"/>
          <w:rFonts w:asciiTheme="minorHAnsi" w:hAnsiTheme="minorHAnsi"/>
          <w:sz w:val="24"/>
          <w:szCs w:val="24"/>
          <w:lang w:val="en-AU"/>
        </w:rPr>
        <w:t xml:space="preserve"> </w:t>
      </w:r>
      <w:r w:rsidR="0024444A" w:rsidRPr="00AA5B97">
        <w:rPr>
          <w:rStyle w:val="AERbody"/>
          <w:rFonts w:asciiTheme="minorHAnsi" w:hAnsiTheme="minorHAnsi"/>
          <w:b/>
          <w:sz w:val="28"/>
          <w:szCs w:val="28"/>
          <w:lang w:val="en-AU"/>
        </w:rPr>
        <w:br w:type="page"/>
      </w:r>
    </w:p>
    <w:p w:rsidR="0024444A" w:rsidRPr="00AA5B97" w:rsidRDefault="006E5F36" w:rsidP="00345E27">
      <w:pPr>
        <w:pStyle w:val="AERbulletlistfirststyle"/>
        <w:numPr>
          <w:ilvl w:val="0"/>
          <w:numId w:val="0"/>
        </w:numPr>
        <w:tabs>
          <w:tab w:val="clear" w:pos="357"/>
          <w:tab w:val="left" w:pos="0"/>
        </w:tabs>
        <w:spacing w:line="240" w:lineRule="auto"/>
        <w:rPr>
          <w:rStyle w:val="AERbody"/>
          <w:rFonts w:asciiTheme="minorHAnsi" w:hAnsiTheme="minorHAnsi"/>
          <w:b/>
          <w:sz w:val="28"/>
          <w:szCs w:val="28"/>
        </w:rPr>
      </w:pPr>
      <w:r w:rsidRPr="00AA5B97">
        <w:rPr>
          <w:rFonts w:asciiTheme="minorHAnsi" w:hAnsiTheme="minorHAnsi"/>
          <w:b/>
          <w:sz w:val="28"/>
          <w:szCs w:val="28"/>
        </w:rPr>
        <w:lastRenderedPageBreak/>
        <w:t>1</w:t>
      </w:r>
      <w:r>
        <w:rPr>
          <w:rFonts w:asciiTheme="minorHAnsi" w:hAnsiTheme="minorHAnsi"/>
          <w:b/>
          <w:sz w:val="28"/>
          <w:szCs w:val="28"/>
        </w:rPr>
        <w:t>0</w:t>
      </w:r>
      <w:r w:rsidR="0024444A" w:rsidRPr="00AA5B97">
        <w:rPr>
          <w:rFonts w:asciiTheme="minorHAnsi" w:hAnsiTheme="minorHAnsi"/>
          <w:b/>
          <w:sz w:val="28"/>
          <w:szCs w:val="28"/>
        </w:rPr>
        <w:t xml:space="preserve">. </w:t>
      </w:r>
      <w:r w:rsidR="00661D32">
        <w:rPr>
          <w:rStyle w:val="AERbody"/>
          <w:rFonts w:asciiTheme="minorHAnsi" w:hAnsiTheme="minorHAnsi"/>
          <w:b/>
          <w:sz w:val="28"/>
          <w:szCs w:val="28"/>
        </w:rPr>
        <w:t>Classification of services</w:t>
      </w:r>
      <w:r w:rsidR="00E06E59">
        <w:rPr>
          <w:rStyle w:val="AERbody"/>
          <w:rFonts w:asciiTheme="minorHAnsi" w:hAnsiTheme="minorHAnsi"/>
          <w:b/>
          <w:sz w:val="28"/>
          <w:szCs w:val="28"/>
        </w:rPr>
        <w:t xml:space="preserve"> and ACS</w:t>
      </w:r>
    </w:p>
    <w:p w:rsidR="00B91446" w:rsidRPr="00B91446" w:rsidRDefault="00613DCC" w:rsidP="00B2533C">
      <w:pPr>
        <w:pStyle w:val="AERbodytext"/>
        <w:spacing w:after="200" w:line="240" w:lineRule="auto"/>
        <w:rPr>
          <w:rStyle w:val="AERbody"/>
          <w:rFonts w:asciiTheme="minorHAnsi" w:eastAsiaTheme="minorEastAsia" w:hAnsiTheme="minorHAnsi" w:cstheme="minorBidi"/>
          <w:b/>
          <w:sz w:val="24"/>
          <w:lang w:bidi="en-US"/>
        </w:rPr>
      </w:pPr>
      <w:r w:rsidRPr="00613DCC">
        <w:rPr>
          <w:rStyle w:val="AERbody"/>
          <w:rFonts w:asciiTheme="minorHAnsi" w:eastAsiaTheme="minorEastAsia" w:hAnsiTheme="minorHAnsi" w:cstheme="minorBidi"/>
          <w:b/>
          <w:sz w:val="24"/>
          <w:lang w:bidi="en-US"/>
        </w:rPr>
        <w:t>10.1 Connections</w:t>
      </w:r>
    </w:p>
    <w:p w:rsidR="00661D32" w:rsidRDefault="00661D32" w:rsidP="00B2533C">
      <w:pPr>
        <w:pStyle w:val="AERbodytext"/>
        <w:spacing w:after="200" w:line="240" w:lineRule="auto"/>
        <w:rPr>
          <w:rStyle w:val="AERbody"/>
          <w:rFonts w:asciiTheme="minorHAnsi" w:eastAsiaTheme="minorEastAsia" w:hAnsiTheme="minorHAnsi" w:cstheme="minorBidi"/>
          <w:sz w:val="24"/>
          <w:lang w:bidi="en-US"/>
        </w:rPr>
      </w:pPr>
      <w:r>
        <w:rPr>
          <w:rStyle w:val="AERbody"/>
          <w:rFonts w:asciiTheme="minorHAnsi" w:eastAsiaTheme="minorEastAsia" w:hAnsiTheme="minorHAnsi" w:cstheme="minorBidi"/>
          <w:sz w:val="24"/>
          <w:lang w:bidi="en-US"/>
        </w:rPr>
        <w:t>The acceptance by the AER of the TND proposal (supported by the Tasmanian government) to reclassify basic connection services to alternative control services (ACS) is noted.</w:t>
      </w:r>
    </w:p>
    <w:p w:rsidR="00661D32" w:rsidRDefault="00661D32" w:rsidP="00B2533C">
      <w:pPr>
        <w:pStyle w:val="AERbodytext"/>
        <w:spacing w:after="200" w:line="240" w:lineRule="auto"/>
        <w:rPr>
          <w:rStyle w:val="AERbody"/>
          <w:rFonts w:asciiTheme="minorHAnsi" w:eastAsiaTheme="minorEastAsia" w:hAnsiTheme="minorHAnsi" w:cstheme="minorBidi"/>
          <w:sz w:val="24"/>
          <w:lang w:bidi="en-US"/>
        </w:rPr>
      </w:pPr>
      <w:r>
        <w:rPr>
          <w:rStyle w:val="AERbody"/>
          <w:rFonts w:asciiTheme="minorHAnsi" w:eastAsiaTheme="minorEastAsia" w:hAnsiTheme="minorHAnsi" w:cstheme="minorBidi"/>
          <w:sz w:val="24"/>
          <w:lang w:bidi="en-US"/>
        </w:rPr>
        <w:t>In principle, this change is supported especially as there is an intent to make such connections subject to competition at some time in the future.</w:t>
      </w:r>
    </w:p>
    <w:p w:rsidR="003C5A8D" w:rsidRDefault="00661D32" w:rsidP="00B2533C">
      <w:pPr>
        <w:pStyle w:val="AERbodytext"/>
        <w:spacing w:after="200" w:line="240" w:lineRule="auto"/>
        <w:rPr>
          <w:rStyle w:val="AERbody"/>
          <w:rFonts w:asciiTheme="minorHAnsi" w:eastAsiaTheme="minorEastAsia" w:hAnsiTheme="minorHAnsi" w:cstheme="minorBidi"/>
          <w:sz w:val="24"/>
          <w:lang w:bidi="en-US"/>
        </w:rPr>
      </w:pPr>
      <w:r>
        <w:rPr>
          <w:rStyle w:val="AERbody"/>
          <w:rFonts w:asciiTheme="minorHAnsi" w:eastAsiaTheme="minorEastAsia" w:hAnsiTheme="minorHAnsi" w:cstheme="minorBidi"/>
          <w:sz w:val="24"/>
          <w:lang w:bidi="en-US"/>
        </w:rPr>
        <w:t xml:space="preserve">However, there is concern that this reclassification moves costs out of standard control services </w:t>
      </w:r>
      <w:r w:rsidR="003D1E13">
        <w:rPr>
          <w:rStyle w:val="AERbody"/>
          <w:rFonts w:asciiTheme="minorHAnsi" w:eastAsiaTheme="minorEastAsia" w:hAnsiTheme="minorHAnsi" w:cstheme="minorBidi"/>
          <w:sz w:val="24"/>
          <w:lang w:bidi="en-US"/>
        </w:rPr>
        <w:t xml:space="preserve">(SCS) </w:t>
      </w:r>
      <w:r>
        <w:rPr>
          <w:rStyle w:val="AERbody"/>
          <w:rFonts w:asciiTheme="minorHAnsi" w:eastAsiaTheme="minorEastAsia" w:hAnsiTheme="minorHAnsi" w:cstheme="minorBidi"/>
          <w:sz w:val="24"/>
          <w:lang w:bidi="en-US"/>
        </w:rPr>
        <w:t xml:space="preserve">to ACS. It is not clear that the costs included in the opex for the base year has been adjusted for the move to include these costs as ACS. </w:t>
      </w:r>
    </w:p>
    <w:p w:rsidR="00B91446" w:rsidRDefault="00661D32" w:rsidP="00B2533C">
      <w:pPr>
        <w:pStyle w:val="AERbodytext"/>
        <w:spacing w:after="200" w:line="240" w:lineRule="auto"/>
        <w:rPr>
          <w:rStyle w:val="AERbody"/>
          <w:rFonts w:asciiTheme="minorHAnsi" w:eastAsiaTheme="minorEastAsia" w:hAnsiTheme="minorHAnsi" w:cstheme="minorBidi"/>
          <w:sz w:val="24"/>
          <w:lang w:bidi="en-US"/>
        </w:rPr>
      </w:pPr>
      <w:r>
        <w:rPr>
          <w:rStyle w:val="AERbody"/>
          <w:rFonts w:asciiTheme="minorHAnsi" w:eastAsiaTheme="minorEastAsia" w:hAnsiTheme="minorHAnsi" w:cstheme="minorBidi"/>
          <w:sz w:val="24"/>
          <w:lang w:bidi="en-US"/>
        </w:rPr>
        <w:t xml:space="preserve">It is important that there is no </w:t>
      </w:r>
      <w:r w:rsidR="003D1E13">
        <w:rPr>
          <w:rStyle w:val="AERbody"/>
          <w:rFonts w:asciiTheme="minorHAnsi" w:eastAsiaTheme="minorEastAsia" w:hAnsiTheme="minorHAnsi" w:cstheme="minorBidi"/>
          <w:sz w:val="24"/>
          <w:lang w:bidi="en-US"/>
        </w:rPr>
        <w:t>“</w:t>
      </w:r>
      <w:r>
        <w:rPr>
          <w:rStyle w:val="AERbody"/>
          <w:rFonts w:asciiTheme="minorHAnsi" w:eastAsiaTheme="minorEastAsia" w:hAnsiTheme="minorHAnsi" w:cstheme="minorBidi"/>
          <w:sz w:val="24"/>
          <w:lang w:bidi="en-US"/>
        </w:rPr>
        <w:t>double dipping</w:t>
      </w:r>
      <w:r w:rsidR="003D1E13">
        <w:rPr>
          <w:rStyle w:val="AERbody"/>
          <w:rFonts w:asciiTheme="minorHAnsi" w:eastAsiaTheme="minorEastAsia" w:hAnsiTheme="minorHAnsi" w:cstheme="minorBidi"/>
          <w:sz w:val="24"/>
          <w:lang w:bidi="en-US"/>
        </w:rPr>
        <w:t>”</w:t>
      </w:r>
      <w:r>
        <w:rPr>
          <w:rStyle w:val="AERbody"/>
          <w:rFonts w:asciiTheme="minorHAnsi" w:eastAsiaTheme="minorEastAsia" w:hAnsiTheme="minorHAnsi" w:cstheme="minorBidi"/>
          <w:sz w:val="24"/>
          <w:lang w:bidi="en-US"/>
        </w:rPr>
        <w:t xml:space="preserve"> and consumers need to be assured that TND and the AER have not included in the allowance</w:t>
      </w:r>
      <w:r w:rsidR="00CA4E98">
        <w:rPr>
          <w:rStyle w:val="AERbody"/>
          <w:rFonts w:asciiTheme="minorHAnsi" w:eastAsiaTheme="minorEastAsia" w:hAnsiTheme="minorHAnsi" w:cstheme="minorBidi"/>
          <w:sz w:val="24"/>
          <w:lang w:bidi="en-US"/>
        </w:rPr>
        <w:t xml:space="preserve">s for capex and opex to generate the allowance for </w:t>
      </w:r>
      <w:r>
        <w:rPr>
          <w:rStyle w:val="AERbody"/>
          <w:rFonts w:asciiTheme="minorHAnsi" w:eastAsiaTheme="minorEastAsia" w:hAnsiTheme="minorHAnsi" w:cstheme="minorBidi"/>
          <w:sz w:val="24"/>
          <w:lang w:bidi="en-US"/>
        </w:rPr>
        <w:t xml:space="preserve">standard control services, </w:t>
      </w:r>
      <w:r w:rsidR="009C1DCC">
        <w:rPr>
          <w:rStyle w:val="AERbody"/>
          <w:rFonts w:asciiTheme="minorHAnsi" w:eastAsiaTheme="minorEastAsia" w:hAnsiTheme="minorHAnsi" w:cstheme="minorBidi"/>
          <w:sz w:val="24"/>
          <w:lang w:bidi="en-US"/>
        </w:rPr>
        <w:t xml:space="preserve">when </w:t>
      </w:r>
      <w:r>
        <w:rPr>
          <w:rStyle w:val="AERbody"/>
          <w:rFonts w:asciiTheme="minorHAnsi" w:eastAsiaTheme="minorEastAsia" w:hAnsiTheme="minorHAnsi" w:cstheme="minorBidi"/>
          <w:sz w:val="24"/>
          <w:lang w:bidi="en-US"/>
        </w:rPr>
        <w:t xml:space="preserve">those costs are now to be recovered directly from consumers through reclassifying these costs as ACS. </w:t>
      </w:r>
    </w:p>
    <w:p w:rsidR="00661D32" w:rsidRDefault="00661D32" w:rsidP="00B2533C">
      <w:pPr>
        <w:pStyle w:val="AERbodytext"/>
        <w:spacing w:after="200" w:line="240" w:lineRule="auto"/>
        <w:rPr>
          <w:rStyle w:val="AERbody"/>
          <w:rFonts w:asciiTheme="minorHAnsi" w:eastAsiaTheme="minorEastAsia" w:hAnsiTheme="minorHAnsi" w:cstheme="minorBidi"/>
          <w:sz w:val="24"/>
          <w:lang w:bidi="en-US"/>
        </w:rPr>
      </w:pPr>
      <w:r>
        <w:rPr>
          <w:rStyle w:val="AERbody"/>
          <w:rFonts w:asciiTheme="minorHAnsi" w:eastAsiaTheme="minorEastAsia" w:hAnsiTheme="minorHAnsi" w:cstheme="minorBidi"/>
          <w:sz w:val="24"/>
          <w:lang w:bidi="en-US"/>
        </w:rPr>
        <w:t xml:space="preserve">  </w:t>
      </w:r>
    </w:p>
    <w:p w:rsidR="00B91446" w:rsidRPr="00B91446" w:rsidRDefault="00613DCC" w:rsidP="00B2533C">
      <w:pPr>
        <w:pStyle w:val="AERbodytext"/>
        <w:spacing w:after="200" w:line="240" w:lineRule="auto"/>
        <w:rPr>
          <w:rStyle w:val="AERbody"/>
          <w:rFonts w:asciiTheme="minorHAnsi" w:eastAsiaTheme="minorEastAsia" w:hAnsiTheme="minorHAnsi" w:cstheme="minorBidi"/>
          <w:b/>
          <w:sz w:val="24"/>
          <w:lang w:bidi="en-US"/>
        </w:rPr>
      </w:pPr>
      <w:r w:rsidRPr="00613DCC">
        <w:rPr>
          <w:rStyle w:val="AERbody"/>
          <w:rFonts w:asciiTheme="minorHAnsi" w:eastAsiaTheme="minorEastAsia" w:hAnsiTheme="minorHAnsi" w:cstheme="minorBidi"/>
          <w:b/>
          <w:sz w:val="24"/>
          <w:lang w:bidi="en-US"/>
        </w:rPr>
        <w:t>10.2 Public lighting</w:t>
      </w:r>
    </w:p>
    <w:p w:rsidR="00A84D5C" w:rsidRDefault="00A84D5C" w:rsidP="00B2533C">
      <w:pPr>
        <w:pStyle w:val="AERbodytext"/>
        <w:spacing w:after="200" w:line="240" w:lineRule="auto"/>
        <w:rPr>
          <w:rStyle w:val="AERbody"/>
          <w:rFonts w:asciiTheme="minorHAnsi" w:eastAsiaTheme="minorEastAsia" w:hAnsiTheme="minorHAnsi" w:cstheme="minorBidi"/>
          <w:sz w:val="24"/>
          <w:lang w:bidi="en-US"/>
        </w:rPr>
      </w:pPr>
      <w:r>
        <w:rPr>
          <w:rStyle w:val="AERbody"/>
          <w:rFonts w:asciiTheme="minorHAnsi" w:eastAsiaTheme="minorEastAsia" w:hAnsiTheme="minorHAnsi" w:cstheme="minorBidi"/>
          <w:sz w:val="24"/>
          <w:lang w:bidi="en-US"/>
        </w:rPr>
        <w:t>In the earlier report, it was noted that Councils had commented that they did not know how the public lighting prices were developed, nor were they convinced that the prices reflected the costs for the services. With this in mind, the earlier report suggested that public lighting prices could be disaggregated a little, at least to reflect urban</w:t>
      </w:r>
      <w:r w:rsidR="009C1DCC">
        <w:rPr>
          <w:rStyle w:val="AERbody"/>
          <w:rFonts w:asciiTheme="minorHAnsi" w:eastAsiaTheme="minorEastAsia" w:hAnsiTheme="minorHAnsi" w:cstheme="minorBidi"/>
          <w:sz w:val="24"/>
          <w:lang w:bidi="en-US"/>
        </w:rPr>
        <w:t>,</w:t>
      </w:r>
      <w:r>
        <w:rPr>
          <w:rStyle w:val="AERbody"/>
          <w:rFonts w:asciiTheme="minorHAnsi" w:eastAsiaTheme="minorEastAsia" w:hAnsiTheme="minorHAnsi" w:cstheme="minorBidi"/>
          <w:sz w:val="24"/>
          <w:lang w:bidi="en-US"/>
        </w:rPr>
        <w:t xml:space="preserve"> regional</w:t>
      </w:r>
      <w:r w:rsidR="009C1DCC">
        <w:rPr>
          <w:rStyle w:val="AERbody"/>
          <w:rFonts w:asciiTheme="minorHAnsi" w:eastAsiaTheme="minorEastAsia" w:hAnsiTheme="minorHAnsi" w:cstheme="minorBidi"/>
          <w:sz w:val="24"/>
          <w:lang w:bidi="en-US"/>
        </w:rPr>
        <w:t>,</w:t>
      </w:r>
      <w:r>
        <w:rPr>
          <w:rStyle w:val="AERbody"/>
          <w:rFonts w:asciiTheme="minorHAnsi" w:eastAsiaTheme="minorEastAsia" w:hAnsiTheme="minorHAnsi" w:cstheme="minorBidi"/>
          <w:sz w:val="24"/>
          <w:lang w:bidi="en-US"/>
        </w:rPr>
        <w:t xml:space="preserve"> city and rural</w:t>
      </w:r>
      <w:r w:rsidR="009C1DCC">
        <w:rPr>
          <w:rStyle w:val="AERbody"/>
          <w:rFonts w:asciiTheme="minorHAnsi" w:eastAsiaTheme="minorEastAsia" w:hAnsiTheme="minorHAnsi" w:cstheme="minorBidi"/>
          <w:sz w:val="24"/>
          <w:lang w:bidi="en-US"/>
        </w:rPr>
        <w:t xml:space="preserve"> divisions</w:t>
      </w:r>
      <w:r>
        <w:rPr>
          <w:rStyle w:val="AERbody"/>
          <w:rFonts w:asciiTheme="minorHAnsi" w:eastAsiaTheme="minorEastAsia" w:hAnsiTheme="minorHAnsi" w:cstheme="minorBidi"/>
          <w:sz w:val="24"/>
          <w:lang w:bidi="en-US"/>
        </w:rPr>
        <w:t xml:space="preserve">.  It is noted that the AER responded to this stating (page 16-22): </w:t>
      </w:r>
    </w:p>
    <w:p w:rsidR="00CA46FF" w:rsidRDefault="00A84D5C">
      <w:pPr>
        <w:autoSpaceDE w:val="0"/>
        <w:autoSpaceDN w:val="0"/>
        <w:adjustRightInd w:val="0"/>
        <w:spacing w:line="240" w:lineRule="auto"/>
        <w:ind w:left="720"/>
        <w:jc w:val="left"/>
        <w:rPr>
          <w:rStyle w:val="AERbody"/>
          <w:rFonts w:asciiTheme="minorHAnsi" w:hAnsiTheme="minorHAnsi" w:cstheme="minorHAnsi"/>
          <w:sz w:val="24"/>
        </w:rPr>
      </w:pPr>
      <w:r>
        <w:rPr>
          <w:rFonts w:eastAsia="Times New Roman" w:cstheme="minorHAnsi"/>
          <w:color w:val="000000"/>
          <w:sz w:val="24"/>
          <w:szCs w:val="24"/>
          <w:lang w:val="en-AU" w:eastAsia="en-AU" w:bidi="ar-SA"/>
        </w:rPr>
        <w:t>“</w:t>
      </w:r>
      <w:r w:rsidR="00613DCC" w:rsidRPr="00613DCC">
        <w:rPr>
          <w:rFonts w:eastAsia="Times New Roman" w:cstheme="minorHAnsi"/>
          <w:color w:val="000000"/>
          <w:sz w:val="24"/>
          <w:szCs w:val="24"/>
          <w:lang w:val="en-AU" w:eastAsia="en-AU" w:bidi="ar-SA"/>
        </w:rPr>
        <w:t>If the costs were further disaggregated by Tasmanian region, or urban compared to rural, it is not expected that this it would result in any significant change in prices. To attempt to break prices down further would increase TasNetworks administrative costs without providing any improvement in cost reflectivity to customers.</w:t>
      </w:r>
      <w:r>
        <w:rPr>
          <w:rFonts w:eastAsia="Times New Roman" w:cstheme="minorHAnsi"/>
          <w:color w:val="000000"/>
          <w:sz w:val="24"/>
          <w:szCs w:val="24"/>
          <w:lang w:val="en-AU" w:eastAsia="en-AU" w:bidi="ar-SA"/>
        </w:rPr>
        <w:t>”</w:t>
      </w:r>
    </w:p>
    <w:p w:rsidR="00A84D5C" w:rsidRDefault="00A84D5C" w:rsidP="00B2533C">
      <w:pPr>
        <w:pStyle w:val="AERbodytext"/>
        <w:spacing w:after="200" w:line="240" w:lineRule="auto"/>
        <w:rPr>
          <w:rStyle w:val="AERbody"/>
          <w:rFonts w:asciiTheme="minorHAnsi" w:eastAsiaTheme="minorEastAsia" w:hAnsiTheme="minorHAnsi" w:cstheme="minorBidi"/>
          <w:sz w:val="24"/>
          <w:lang w:bidi="en-US"/>
        </w:rPr>
      </w:pPr>
      <w:r>
        <w:rPr>
          <w:rStyle w:val="AERbody"/>
          <w:rFonts w:asciiTheme="minorHAnsi" w:eastAsiaTheme="minorEastAsia" w:hAnsiTheme="minorHAnsi" w:cstheme="minorBidi"/>
          <w:sz w:val="24"/>
          <w:lang w:bidi="en-US"/>
        </w:rPr>
        <w:t>CCP4(DH) does not agree. In this case, consumers (councils) need to be assured that the prices they have to pay as an ACS should be reflective of the costs they are charged. F</w:t>
      </w:r>
      <w:r w:rsidR="00E06E59">
        <w:rPr>
          <w:rStyle w:val="AERbody"/>
          <w:rFonts w:asciiTheme="minorHAnsi" w:eastAsiaTheme="minorEastAsia" w:hAnsiTheme="minorHAnsi" w:cstheme="minorBidi"/>
          <w:sz w:val="24"/>
          <w:lang w:bidi="en-US"/>
        </w:rPr>
        <w:t>o</w:t>
      </w:r>
      <w:r>
        <w:rPr>
          <w:rStyle w:val="AERbody"/>
          <w:rFonts w:asciiTheme="minorHAnsi" w:eastAsiaTheme="minorEastAsia" w:hAnsiTheme="minorHAnsi" w:cstheme="minorBidi"/>
          <w:sz w:val="24"/>
          <w:lang w:bidi="en-US"/>
        </w:rPr>
        <w:t xml:space="preserve">r the AER to assert that the prices do reflect the costs </w:t>
      </w:r>
      <w:r w:rsidR="00E06E59">
        <w:rPr>
          <w:rStyle w:val="AERbody"/>
          <w:rFonts w:asciiTheme="minorHAnsi" w:eastAsiaTheme="minorEastAsia" w:hAnsiTheme="minorHAnsi" w:cstheme="minorBidi"/>
          <w:sz w:val="24"/>
          <w:lang w:bidi="en-US"/>
        </w:rPr>
        <w:t xml:space="preserve">for the service </w:t>
      </w:r>
      <w:r>
        <w:rPr>
          <w:rStyle w:val="AERbody"/>
          <w:rFonts w:asciiTheme="minorHAnsi" w:eastAsiaTheme="minorEastAsia" w:hAnsiTheme="minorHAnsi" w:cstheme="minorBidi"/>
          <w:sz w:val="24"/>
          <w:lang w:bidi="en-US"/>
        </w:rPr>
        <w:t xml:space="preserve">is not borne out by council officers’ observations. For example, the councils commented that they do understand that prices </w:t>
      </w:r>
      <w:r w:rsidR="009C1DCC">
        <w:rPr>
          <w:rStyle w:val="AERbody"/>
          <w:rFonts w:asciiTheme="minorHAnsi" w:eastAsiaTheme="minorEastAsia" w:hAnsiTheme="minorHAnsi" w:cstheme="minorBidi"/>
          <w:sz w:val="24"/>
          <w:lang w:bidi="en-US"/>
        </w:rPr>
        <w:t xml:space="preserve">probably </w:t>
      </w:r>
      <w:r>
        <w:rPr>
          <w:rStyle w:val="AERbody"/>
          <w:rFonts w:asciiTheme="minorHAnsi" w:eastAsiaTheme="minorEastAsia" w:hAnsiTheme="minorHAnsi" w:cstheme="minorBidi"/>
          <w:sz w:val="24"/>
          <w:lang w:bidi="en-US"/>
        </w:rPr>
        <w:t xml:space="preserve">vary with location </w:t>
      </w:r>
      <w:r w:rsidR="00E06E59">
        <w:rPr>
          <w:rStyle w:val="AERbody"/>
          <w:rFonts w:asciiTheme="minorHAnsi" w:eastAsiaTheme="minorEastAsia" w:hAnsiTheme="minorHAnsi" w:cstheme="minorBidi"/>
          <w:sz w:val="24"/>
          <w:lang w:bidi="en-US"/>
        </w:rPr>
        <w:t xml:space="preserve">and light types </w:t>
      </w:r>
      <w:r>
        <w:rPr>
          <w:rStyle w:val="AERbody"/>
          <w:rFonts w:asciiTheme="minorHAnsi" w:eastAsiaTheme="minorEastAsia" w:hAnsiTheme="minorHAnsi" w:cstheme="minorBidi"/>
          <w:sz w:val="24"/>
          <w:lang w:bidi="en-US"/>
        </w:rPr>
        <w:t>and they are entitled to be assured that the prices they do pay are reflective of costs</w:t>
      </w:r>
      <w:r w:rsidR="00E06E59">
        <w:rPr>
          <w:rStyle w:val="AERbody"/>
          <w:rFonts w:asciiTheme="minorHAnsi" w:eastAsiaTheme="minorEastAsia" w:hAnsiTheme="minorHAnsi" w:cstheme="minorBidi"/>
          <w:sz w:val="24"/>
          <w:lang w:bidi="en-US"/>
        </w:rPr>
        <w:t xml:space="preserve"> (including replacements)</w:t>
      </w:r>
      <w:r>
        <w:rPr>
          <w:rStyle w:val="AERbody"/>
          <w:rFonts w:asciiTheme="minorHAnsi" w:eastAsiaTheme="minorEastAsia" w:hAnsiTheme="minorHAnsi" w:cstheme="minorBidi"/>
          <w:sz w:val="24"/>
          <w:lang w:bidi="en-US"/>
        </w:rPr>
        <w:t xml:space="preserve">; the administrative costs to provide some breakdown would be minimal if there is already a detailed cost build up. </w:t>
      </w:r>
      <w:r w:rsidR="00E06E59">
        <w:rPr>
          <w:rStyle w:val="AERbody"/>
          <w:rFonts w:asciiTheme="minorHAnsi" w:eastAsiaTheme="minorEastAsia" w:hAnsiTheme="minorHAnsi" w:cstheme="minorBidi"/>
          <w:sz w:val="24"/>
          <w:lang w:bidi="en-US"/>
        </w:rPr>
        <w:t xml:space="preserve">If there is no detailed build up of the costs, it becomes difficult to accept the AER assertion that the prices are reflective of the costs. </w:t>
      </w:r>
    </w:p>
    <w:p w:rsidR="00E06E59" w:rsidRDefault="00E06E59" w:rsidP="00B2533C">
      <w:pPr>
        <w:pStyle w:val="AERbodytext"/>
        <w:spacing w:after="200" w:line="240" w:lineRule="auto"/>
        <w:rPr>
          <w:rStyle w:val="AERbody"/>
          <w:rFonts w:asciiTheme="minorHAnsi" w:eastAsiaTheme="minorEastAsia" w:hAnsiTheme="minorHAnsi" w:cstheme="minorBidi"/>
          <w:sz w:val="24"/>
          <w:lang w:bidi="en-US"/>
        </w:rPr>
      </w:pPr>
      <w:r>
        <w:rPr>
          <w:rStyle w:val="AERbody"/>
          <w:rFonts w:asciiTheme="minorHAnsi" w:eastAsiaTheme="minorEastAsia" w:hAnsiTheme="minorHAnsi" w:cstheme="minorBidi"/>
          <w:sz w:val="24"/>
          <w:lang w:bidi="en-US"/>
        </w:rPr>
        <w:t xml:space="preserve">The actual prices provided </w:t>
      </w:r>
      <w:r w:rsidR="009C1DCC">
        <w:rPr>
          <w:rStyle w:val="AERbody"/>
          <w:rFonts w:asciiTheme="minorHAnsi" w:eastAsiaTheme="minorEastAsia" w:hAnsiTheme="minorHAnsi" w:cstheme="minorBidi"/>
          <w:sz w:val="24"/>
          <w:lang w:bidi="en-US"/>
        </w:rPr>
        <w:t xml:space="preserve">in the ACS schedule </w:t>
      </w:r>
      <w:r>
        <w:rPr>
          <w:rStyle w:val="AERbody"/>
          <w:rFonts w:asciiTheme="minorHAnsi" w:eastAsiaTheme="minorEastAsia" w:hAnsiTheme="minorHAnsi" w:cstheme="minorBidi"/>
          <w:sz w:val="24"/>
          <w:lang w:bidi="en-US"/>
        </w:rPr>
        <w:t xml:space="preserve">highlight this concern. The difference in prices between a 100w sodium vapour light ($43.64 pa) and a 400w sodium vapour light </w:t>
      </w:r>
      <w:r>
        <w:rPr>
          <w:rStyle w:val="AERbody"/>
          <w:rFonts w:asciiTheme="minorHAnsi" w:eastAsiaTheme="minorEastAsia" w:hAnsiTheme="minorHAnsi" w:cstheme="minorBidi"/>
          <w:sz w:val="24"/>
          <w:lang w:bidi="en-US"/>
        </w:rPr>
        <w:lastRenderedPageBreak/>
        <w:t xml:space="preserve">($47.67 pa) clearly shows that the price is not based </w:t>
      </w:r>
      <w:r w:rsidR="00B91446">
        <w:rPr>
          <w:rStyle w:val="AERbody"/>
          <w:rFonts w:asciiTheme="minorHAnsi" w:eastAsiaTheme="minorEastAsia" w:hAnsiTheme="minorHAnsi" w:cstheme="minorBidi"/>
          <w:sz w:val="24"/>
          <w:lang w:bidi="en-US"/>
        </w:rPr>
        <w:t xml:space="preserve">so much </w:t>
      </w:r>
      <w:r>
        <w:rPr>
          <w:rStyle w:val="AERbody"/>
          <w:rFonts w:asciiTheme="minorHAnsi" w:eastAsiaTheme="minorEastAsia" w:hAnsiTheme="minorHAnsi" w:cstheme="minorBidi"/>
          <w:sz w:val="24"/>
          <w:lang w:bidi="en-US"/>
        </w:rPr>
        <w:t xml:space="preserve">on the energy provided or the capital cost, but heavily biased towards the physical cost of a replacement </w:t>
      </w:r>
      <w:r w:rsidR="00B91446">
        <w:rPr>
          <w:rStyle w:val="AERbody"/>
          <w:rFonts w:asciiTheme="minorHAnsi" w:eastAsiaTheme="minorEastAsia" w:hAnsiTheme="minorHAnsi" w:cstheme="minorBidi"/>
          <w:sz w:val="24"/>
          <w:lang w:bidi="en-US"/>
        </w:rPr>
        <w:t xml:space="preserve">when needed </w:t>
      </w:r>
      <w:r>
        <w:rPr>
          <w:rStyle w:val="AERbody"/>
          <w:rFonts w:asciiTheme="minorHAnsi" w:eastAsiaTheme="minorEastAsia" w:hAnsiTheme="minorHAnsi" w:cstheme="minorBidi"/>
          <w:sz w:val="24"/>
          <w:lang w:bidi="en-US"/>
        </w:rPr>
        <w:t xml:space="preserve">(it would be expected that the cost for a team to replace a light would be much the same regardless of </w:t>
      </w:r>
      <w:r w:rsidR="00B91446">
        <w:rPr>
          <w:rStyle w:val="AERbody"/>
          <w:rFonts w:asciiTheme="minorHAnsi" w:eastAsiaTheme="minorEastAsia" w:hAnsiTheme="minorHAnsi" w:cstheme="minorBidi"/>
          <w:sz w:val="24"/>
          <w:lang w:bidi="en-US"/>
        </w:rPr>
        <w:t xml:space="preserve">size). If this is the case, then location of the light becomes a key driver of the annual cost. </w:t>
      </w:r>
      <w:r>
        <w:rPr>
          <w:rStyle w:val="AERbody"/>
          <w:rFonts w:asciiTheme="minorHAnsi" w:eastAsiaTheme="minorEastAsia" w:hAnsiTheme="minorHAnsi" w:cstheme="minorBidi"/>
          <w:sz w:val="24"/>
          <w:lang w:bidi="en-US"/>
        </w:rPr>
        <w:t xml:space="preserve"> </w:t>
      </w:r>
    </w:p>
    <w:p w:rsidR="00E06E59" w:rsidRDefault="00E06E59" w:rsidP="00B2533C">
      <w:pPr>
        <w:pStyle w:val="AERbodytext"/>
        <w:spacing w:after="200" w:line="240" w:lineRule="auto"/>
        <w:rPr>
          <w:rStyle w:val="AERbody"/>
          <w:rFonts w:asciiTheme="minorHAnsi" w:eastAsiaTheme="minorEastAsia" w:hAnsiTheme="minorHAnsi" w:cstheme="minorBidi"/>
          <w:sz w:val="24"/>
          <w:lang w:bidi="en-US"/>
        </w:rPr>
      </w:pPr>
      <w:r>
        <w:rPr>
          <w:rStyle w:val="AERbody"/>
          <w:rFonts w:asciiTheme="minorHAnsi" w:eastAsiaTheme="minorEastAsia" w:hAnsiTheme="minorHAnsi" w:cstheme="minorBidi"/>
          <w:sz w:val="24"/>
          <w:lang w:bidi="en-US"/>
        </w:rPr>
        <w:t>This aspect needs further work.</w:t>
      </w:r>
    </w:p>
    <w:p w:rsidR="000A74E1" w:rsidRDefault="000A74E1" w:rsidP="000A74E1">
      <w:pPr>
        <w:pStyle w:val="AERbodytext"/>
        <w:numPr>
          <w:ilvl w:val="0"/>
          <w:numId w:val="0"/>
        </w:numPr>
        <w:spacing w:after="200" w:line="240" w:lineRule="auto"/>
        <w:rPr>
          <w:rStyle w:val="AERbody"/>
          <w:rFonts w:asciiTheme="minorHAnsi" w:eastAsiaTheme="minorEastAsia" w:hAnsiTheme="minorHAnsi" w:cstheme="minorBidi"/>
          <w:sz w:val="24"/>
          <w:lang w:bidi="en-US"/>
        </w:rPr>
      </w:pPr>
    </w:p>
    <w:p w:rsidR="00CA46FF" w:rsidRDefault="00CA46FF">
      <w:pPr>
        <w:spacing w:line="240" w:lineRule="auto"/>
        <w:rPr>
          <w:rStyle w:val="AERbody"/>
          <w:rFonts w:asciiTheme="minorHAnsi" w:hAnsiTheme="minorHAnsi"/>
          <w:sz w:val="24"/>
          <w:szCs w:val="24"/>
          <w:lang w:val="en-AU"/>
        </w:rPr>
      </w:pPr>
      <w:r>
        <w:rPr>
          <w:rStyle w:val="AERbody"/>
          <w:rFonts w:asciiTheme="minorHAnsi" w:hAnsiTheme="minorHAnsi"/>
          <w:sz w:val="24"/>
        </w:rPr>
        <w:br w:type="page"/>
      </w:r>
    </w:p>
    <w:p w:rsidR="00CA46FF" w:rsidRPr="00CA46FF" w:rsidRDefault="00CA46FF" w:rsidP="00B91446">
      <w:pPr>
        <w:pStyle w:val="AERbodytext"/>
        <w:spacing w:after="200" w:line="240" w:lineRule="auto"/>
        <w:rPr>
          <w:rStyle w:val="AERbody"/>
          <w:rFonts w:asciiTheme="minorHAnsi" w:eastAsiaTheme="minorEastAsia" w:hAnsiTheme="minorHAnsi" w:cstheme="minorBidi"/>
          <w:b/>
          <w:sz w:val="28"/>
          <w:szCs w:val="28"/>
          <w:lang w:val="en-US" w:bidi="en-US"/>
        </w:rPr>
      </w:pPr>
      <w:r w:rsidRPr="00CA46FF">
        <w:rPr>
          <w:rStyle w:val="AERbody"/>
          <w:rFonts w:asciiTheme="minorHAnsi" w:eastAsiaTheme="minorEastAsia" w:hAnsiTheme="minorHAnsi" w:cstheme="minorBidi"/>
          <w:b/>
          <w:sz w:val="28"/>
          <w:szCs w:val="28"/>
          <w:lang w:bidi="en-US"/>
        </w:rPr>
        <w:lastRenderedPageBreak/>
        <w:t>11. Tariff Structure Statement</w:t>
      </w:r>
    </w:p>
    <w:p w:rsidR="00CA46FF" w:rsidRDefault="00CA46FF" w:rsidP="00B91446">
      <w:pPr>
        <w:pStyle w:val="AERbodytext"/>
        <w:spacing w:after="200" w:line="240" w:lineRule="auto"/>
        <w:rPr>
          <w:rStyle w:val="AERbody"/>
          <w:rFonts w:asciiTheme="minorHAnsi" w:eastAsiaTheme="minorEastAsia" w:hAnsiTheme="minorHAnsi" w:cstheme="minorBidi"/>
          <w:sz w:val="24"/>
          <w:szCs w:val="22"/>
          <w:lang w:val="en-US" w:bidi="en-US"/>
        </w:rPr>
      </w:pPr>
      <w:r>
        <w:rPr>
          <w:rStyle w:val="AERbody"/>
          <w:rFonts w:asciiTheme="minorHAnsi" w:eastAsiaTheme="minorEastAsia" w:hAnsiTheme="minorHAnsi" w:cstheme="minorBidi"/>
          <w:sz w:val="24"/>
          <w:szCs w:val="22"/>
          <w:lang w:val="en-US" w:bidi="en-US"/>
        </w:rPr>
        <w:t>The new rules and setting tariffs requires a distribution network to prepare a tariff structure statement (TSS).</w:t>
      </w:r>
    </w:p>
    <w:p w:rsidR="00CA46FF" w:rsidRDefault="00CA46FF" w:rsidP="00B91446">
      <w:pPr>
        <w:pStyle w:val="AERbodytext"/>
        <w:spacing w:after="200" w:line="240" w:lineRule="auto"/>
        <w:rPr>
          <w:rStyle w:val="AERbody"/>
          <w:rFonts w:asciiTheme="minorHAnsi" w:eastAsiaTheme="minorEastAsia" w:hAnsiTheme="minorHAnsi" w:cstheme="minorBidi"/>
          <w:sz w:val="24"/>
          <w:szCs w:val="22"/>
          <w:lang w:val="en-US" w:bidi="en-US"/>
        </w:rPr>
      </w:pPr>
      <w:r>
        <w:rPr>
          <w:rStyle w:val="AERbody"/>
          <w:rFonts w:asciiTheme="minorHAnsi" w:eastAsiaTheme="minorEastAsia" w:hAnsiTheme="minorHAnsi" w:cstheme="minorBidi"/>
          <w:sz w:val="24"/>
          <w:szCs w:val="22"/>
          <w:lang w:val="en-US" w:bidi="en-US"/>
        </w:rPr>
        <w:t>The purpose of the TSS and the review which initiated this requirement was to provide more cost reflective tariffs and to provide an incentive for consumers to use electricity more responsively to pricing signals. From a network point of view, if consumers moderate their electricity usage (particularly shift</w:t>
      </w:r>
      <w:r w:rsidR="009C1DCC">
        <w:rPr>
          <w:rStyle w:val="AERbody"/>
          <w:rFonts w:asciiTheme="minorHAnsi" w:eastAsiaTheme="minorEastAsia" w:hAnsiTheme="minorHAnsi" w:cstheme="minorBidi"/>
          <w:sz w:val="24"/>
          <w:szCs w:val="22"/>
          <w:lang w:val="en-US" w:bidi="en-US"/>
        </w:rPr>
        <w:t>ing</w:t>
      </w:r>
      <w:r>
        <w:rPr>
          <w:rStyle w:val="AERbody"/>
          <w:rFonts w:asciiTheme="minorHAnsi" w:eastAsiaTheme="minorEastAsia" w:hAnsiTheme="minorHAnsi" w:cstheme="minorBidi"/>
          <w:sz w:val="24"/>
          <w:szCs w:val="22"/>
          <w:lang w:val="en-US" w:bidi="en-US"/>
        </w:rPr>
        <w:t xml:space="preserve"> </w:t>
      </w:r>
      <w:r w:rsidR="009C1DCC">
        <w:rPr>
          <w:rStyle w:val="AERbody"/>
          <w:rFonts w:asciiTheme="minorHAnsi" w:eastAsiaTheme="minorEastAsia" w:hAnsiTheme="minorHAnsi" w:cstheme="minorBidi"/>
          <w:sz w:val="24"/>
          <w:szCs w:val="22"/>
          <w:lang w:val="en-US" w:bidi="en-US"/>
        </w:rPr>
        <w:t xml:space="preserve">usage </w:t>
      </w:r>
      <w:r>
        <w:rPr>
          <w:rStyle w:val="AERbody"/>
          <w:rFonts w:asciiTheme="minorHAnsi" w:eastAsiaTheme="minorEastAsia" w:hAnsiTheme="minorHAnsi" w:cstheme="minorBidi"/>
          <w:sz w:val="24"/>
          <w:szCs w:val="22"/>
          <w:lang w:val="en-US" w:bidi="en-US"/>
        </w:rPr>
        <w:t>away from time</w:t>
      </w:r>
      <w:r w:rsidR="009C1DCC">
        <w:rPr>
          <w:rStyle w:val="AERbody"/>
          <w:rFonts w:asciiTheme="minorHAnsi" w:eastAsiaTheme="minorEastAsia" w:hAnsiTheme="minorHAnsi" w:cstheme="minorBidi"/>
          <w:sz w:val="24"/>
          <w:szCs w:val="22"/>
          <w:lang w:val="en-US" w:bidi="en-US"/>
        </w:rPr>
        <w:t>s</w:t>
      </w:r>
      <w:r>
        <w:rPr>
          <w:rStyle w:val="AERbody"/>
          <w:rFonts w:asciiTheme="minorHAnsi" w:eastAsiaTheme="minorEastAsia" w:hAnsiTheme="minorHAnsi" w:cstheme="minorBidi"/>
          <w:sz w:val="24"/>
          <w:szCs w:val="22"/>
          <w:lang w:val="en-US" w:bidi="en-US"/>
        </w:rPr>
        <w:t xml:space="preserve"> of peak demand) this will result in less need for investment in assets that are used only infrequently; the price signals from the tariff structure should provide an incentive for consumers to load shift from assets that are operating at near capacity. The benefit for consumers is that by better utilisation of networks, ultimately lower prices for all</w:t>
      </w:r>
      <w:r w:rsidR="009C1DCC">
        <w:rPr>
          <w:rStyle w:val="AERbody"/>
          <w:rFonts w:asciiTheme="minorHAnsi" w:eastAsiaTheme="minorEastAsia" w:hAnsiTheme="minorHAnsi" w:cstheme="minorBidi"/>
          <w:sz w:val="24"/>
          <w:szCs w:val="22"/>
          <w:lang w:val="en-US" w:bidi="en-US"/>
        </w:rPr>
        <w:t xml:space="preserve"> will result</w:t>
      </w:r>
      <w:r>
        <w:rPr>
          <w:rStyle w:val="AERbody"/>
          <w:rFonts w:asciiTheme="minorHAnsi" w:eastAsiaTheme="minorEastAsia" w:hAnsiTheme="minorHAnsi" w:cstheme="minorBidi"/>
          <w:sz w:val="24"/>
          <w:szCs w:val="22"/>
          <w:lang w:val="en-US" w:bidi="en-US"/>
        </w:rPr>
        <w:t>.</w:t>
      </w:r>
      <w:r w:rsidR="00BB1C34">
        <w:rPr>
          <w:rStyle w:val="AERbody"/>
          <w:rFonts w:asciiTheme="minorHAnsi" w:eastAsiaTheme="minorEastAsia" w:hAnsiTheme="minorHAnsi" w:cstheme="minorBidi"/>
          <w:sz w:val="24"/>
          <w:szCs w:val="22"/>
          <w:lang w:val="en-US" w:bidi="en-US"/>
        </w:rPr>
        <w:t xml:space="preserve"> This report supports </w:t>
      </w:r>
      <w:r>
        <w:rPr>
          <w:rStyle w:val="AERbody"/>
          <w:rFonts w:asciiTheme="minorHAnsi" w:eastAsiaTheme="minorEastAsia" w:hAnsiTheme="minorHAnsi" w:cstheme="minorBidi"/>
          <w:sz w:val="24"/>
          <w:szCs w:val="22"/>
          <w:lang w:val="en-US" w:bidi="en-US"/>
        </w:rPr>
        <w:t>these aims</w:t>
      </w:r>
      <w:r w:rsidR="00BB1C34">
        <w:rPr>
          <w:rStyle w:val="AERbody"/>
          <w:rFonts w:asciiTheme="minorHAnsi" w:eastAsiaTheme="minorEastAsia" w:hAnsiTheme="minorHAnsi" w:cstheme="minorBidi"/>
          <w:sz w:val="24"/>
          <w:szCs w:val="22"/>
          <w:lang w:val="en-US" w:bidi="en-US"/>
        </w:rPr>
        <w:t>.</w:t>
      </w:r>
    </w:p>
    <w:p w:rsidR="00BB1C34" w:rsidRDefault="00BB1C34" w:rsidP="00B91446">
      <w:pPr>
        <w:pStyle w:val="AERbodytext"/>
        <w:spacing w:after="200" w:line="240" w:lineRule="auto"/>
        <w:rPr>
          <w:rStyle w:val="AERbody"/>
          <w:rFonts w:asciiTheme="minorHAnsi" w:eastAsiaTheme="minorEastAsia" w:hAnsiTheme="minorHAnsi" w:cstheme="minorBidi"/>
          <w:sz w:val="24"/>
          <w:szCs w:val="22"/>
          <w:lang w:val="en-US" w:bidi="en-US"/>
        </w:rPr>
      </w:pPr>
      <w:r>
        <w:rPr>
          <w:rStyle w:val="AERbody"/>
          <w:rFonts w:asciiTheme="minorHAnsi" w:eastAsiaTheme="minorEastAsia" w:hAnsiTheme="minorHAnsi" w:cstheme="minorBidi"/>
          <w:sz w:val="24"/>
          <w:szCs w:val="22"/>
          <w:lang w:val="en-US" w:bidi="en-US"/>
        </w:rPr>
        <w:t xml:space="preserve">However, involvement by governments in this process has resulted in a distortion. For example, governments require consumers of the same usage class to pay the same tariffs for the use of the networks </w:t>
      </w:r>
      <w:r w:rsidR="009C1DCC">
        <w:rPr>
          <w:rStyle w:val="AERbody"/>
          <w:rFonts w:asciiTheme="minorHAnsi" w:eastAsiaTheme="minorEastAsia" w:hAnsiTheme="minorHAnsi" w:cstheme="minorBidi"/>
          <w:sz w:val="24"/>
          <w:szCs w:val="22"/>
          <w:lang w:val="en-US" w:bidi="en-US"/>
        </w:rPr>
        <w:t xml:space="preserve">regardless of location </w:t>
      </w:r>
      <w:r>
        <w:rPr>
          <w:rStyle w:val="AERbody"/>
          <w:rFonts w:asciiTheme="minorHAnsi" w:eastAsiaTheme="minorEastAsia" w:hAnsiTheme="minorHAnsi" w:cstheme="minorBidi"/>
          <w:sz w:val="24"/>
          <w:szCs w:val="22"/>
          <w:lang w:val="en-US" w:bidi="en-US"/>
        </w:rPr>
        <w:t>and also governments consider that an opt in approach will mitigate price shock that might result from imposition on all consumers of a demand based tariff</w:t>
      </w:r>
      <w:r w:rsidR="009C1DCC">
        <w:rPr>
          <w:rStyle w:val="FootnoteReference"/>
          <w:rFonts w:asciiTheme="minorHAnsi" w:eastAsiaTheme="minorEastAsia" w:hAnsiTheme="minorHAnsi" w:cstheme="minorBidi"/>
          <w:sz w:val="24"/>
          <w:szCs w:val="22"/>
          <w:lang w:val="en-US" w:bidi="en-US"/>
        </w:rPr>
        <w:footnoteReference w:id="17"/>
      </w:r>
      <w:r>
        <w:rPr>
          <w:rStyle w:val="AERbody"/>
          <w:rFonts w:asciiTheme="minorHAnsi" w:eastAsiaTheme="minorEastAsia" w:hAnsiTheme="minorHAnsi" w:cstheme="minorBidi"/>
          <w:sz w:val="24"/>
          <w:szCs w:val="22"/>
          <w:lang w:val="en-US" w:bidi="en-US"/>
        </w:rPr>
        <w:t xml:space="preserve">. Yet it is predominantly demand that sets the size of the networks and the cost of it to consumers. </w:t>
      </w:r>
    </w:p>
    <w:p w:rsidR="001B71C5" w:rsidRDefault="00BB1C34" w:rsidP="00B91446">
      <w:pPr>
        <w:pStyle w:val="AERbodytext"/>
        <w:spacing w:after="200" w:line="240" w:lineRule="auto"/>
        <w:rPr>
          <w:rStyle w:val="AERbody"/>
          <w:rFonts w:asciiTheme="minorHAnsi" w:eastAsiaTheme="minorEastAsia" w:hAnsiTheme="minorHAnsi" w:cstheme="minorBidi"/>
          <w:sz w:val="24"/>
          <w:szCs w:val="22"/>
          <w:lang w:val="en-US" w:bidi="en-US"/>
        </w:rPr>
      </w:pPr>
      <w:r>
        <w:rPr>
          <w:rStyle w:val="AERbody"/>
          <w:rFonts w:asciiTheme="minorHAnsi" w:eastAsiaTheme="minorEastAsia" w:hAnsiTheme="minorHAnsi" w:cstheme="minorBidi"/>
          <w:sz w:val="24"/>
          <w:szCs w:val="22"/>
          <w:lang w:val="en-US" w:bidi="en-US"/>
        </w:rPr>
        <w:t>While this report generally supports the AER draft decision</w:t>
      </w:r>
      <w:r w:rsidR="001B71C5">
        <w:rPr>
          <w:rStyle w:val="AERbody"/>
          <w:rFonts w:asciiTheme="minorHAnsi" w:eastAsiaTheme="minorEastAsia" w:hAnsiTheme="minorHAnsi" w:cstheme="minorBidi"/>
          <w:sz w:val="24"/>
          <w:szCs w:val="22"/>
          <w:lang w:val="en-US" w:bidi="en-US"/>
        </w:rPr>
        <w:t xml:space="preserve"> and considers that the AER draft decision is in accordance with the NER</w:t>
      </w:r>
      <w:r>
        <w:rPr>
          <w:rStyle w:val="AERbody"/>
          <w:rFonts w:asciiTheme="minorHAnsi" w:eastAsiaTheme="minorEastAsia" w:hAnsiTheme="minorHAnsi" w:cstheme="minorBidi"/>
          <w:sz w:val="24"/>
          <w:szCs w:val="22"/>
          <w:lang w:val="en-US" w:bidi="en-US"/>
        </w:rPr>
        <w:t xml:space="preserve">. </w:t>
      </w:r>
      <w:r w:rsidR="00017314">
        <w:rPr>
          <w:rStyle w:val="AERbody"/>
          <w:rFonts w:asciiTheme="minorHAnsi" w:eastAsiaTheme="minorEastAsia" w:hAnsiTheme="minorHAnsi" w:cstheme="minorBidi"/>
          <w:sz w:val="24"/>
          <w:szCs w:val="22"/>
          <w:lang w:val="en-US" w:bidi="en-US"/>
        </w:rPr>
        <w:t>CCP4(DH) provides the following observations regarding the proposed TSS and the AER draft decision.</w:t>
      </w:r>
    </w:p>
    <w:p w:rsidR="000A74E1" w:rsidRDefault="001B71C5" w:rsidP="000A74E1">
      <w:pPr>
        <w:pStyle w:val="AERbodytext"/>
        <w:rPr>
          <w:rStyle w:val="AERbody"/>
          <w:rFonts w:asciiTheme="minorHAnsi" w:eastAsiaTheme="minorEastAsia" w:hAnsiTheme="minorHAnsi" w:cstheme="minorBidi"/>
          <w:sz w:val="24"/>
          <w:szCs w:val="22"/>
          <w:lang w:val="en-US" w:bidi="en-US"/>
        </w:rPr>
      </w:pPr>
      <w:r w:rsidRPr="000A74E1">
        <w:rPr>
          <w:rStyle w:val="AERbody"/>
          <w:rFonts w:asciiTheme="minorHAnsi" w:eastAsiaTheme="minorEastAsia" w:hAnsiTheme="minorHAnsi" w:cstheme="minorBidi"/>
          <w:sz w:val="24"/>
          <w:szCs w:val="22"/>
          <w:lang w:val="en-US" w:bidi="en-US"/>
        </w:rPr>
        <w:t>A</w:t>
      </w:r>
      <w:r w:rsidR="000A74E1" w:rsidRPr="000A74E1">
        <w:rPr>
          <w:rStyle w:val="AERbody"/>
          <w:rFonts w:asciiTheme="minorHAnsi" w:eastAsiaTheme="minorEastAsia" w:hAnsiTheme="minorHAnsi" w:cstheme="minorBidi"/>
          <w:sz w:val="24"/>
          <w:szCs w:val="22"/>
          <w:lang w:val="en-US" w:bidi="en-US"/>
        </w:rPr>
        <w:t>s</w:t>
      </w:r>
      <w:r w:rsidRPr="000A74E1">
        <w:rPr>
          <w:rStyle w:val="AERbody"/>
          <w:rFonts w:asciiTheme="minorHAnsi" w:eastAsiaTheme="minorEastAsia" w:hAnsiTheme="minorHAnsi" w:cstheme="minorBidi"/>
          <w:sz w:val="24"/>
          <w:szCs w:val="22"/>
          <w:lang w:val="en-US" w:bidi="en-US"/>
        </w:rPr>
        <w:t xml:space="preserve"> a general observation, this report considers that a well designed TSS should</w:t>
      </w:r>
      <w:r w:rsidR="000A74E1" w:rsidRPr="000A74E1">
        <w:rPr>
          <w:rStyle w:val="AERbody"/>
          <w:rFonts w:asciiTheme="minorHAnsi" w:eastAsiaTheme="minorEastAsia" w:hAnsiTheme="minorHAnsi" w:cstheme="minorBidi"/>
          <w:sz w:val="24"/>
          <w:szCs w:val="22"/>
          <w:lang w:val="en-US" w:bidi="en-US"/>
        </w:rPr>
        <w:t xml:space="preserve"> </w:t>
      </w:r>
      <w:r w:rsidR="000A74E1">
        <w:rPr>
          <w:rStyle w:val="AERbody"/>
          <w:rFonts w:asciiTheme="minorHAnsi" w:eastAsiaTheme="minorEastAsia" w:hAnsiTheme="minorHAnsi" w:cstheme="minorBidi"/>
          <w:sz w:val="24"/>
          <w:szCs w:val="22"/>
          <w:lang w:val="en-US" w:bidi="en-US"/>
        </w:rPr>
        <w:t>p</w:t>
      </w:r>
      <w:r w:rsidRPr="000A74E1">
        <w:rPr>
          <w:rStyle w:val="AERbody"/>
          <w:rFonts w:asciiTheme="minorHAnsi" w:eastAsiaTheme="minorEastAsia" w:hAnsiTheme="minorHAnsi" w:cstheme="minorBidi"/>
          <w:sz w:val="24"/>
          <w:szCs w:val="22"/>
          <w:lang w:val="en-US" w:bidi="en-US"/>
        </w:rPr>
        <w:t>rovide a</w:t>
      </w:r>
      <w:r w:rsidR="000A74E1" w:rsidRPr="000A74E1">
        <w:rPr>
          <w:rStyle w:val="AERbody"/>
          <w:rFonts w:asciiTheme="minorHAnsi" w:eastAsiaTheme="minorEastAsia" w:hAnsiTheme="minorHAnsi" w:cstheme="minorBidi"/>
          <w:sz w:val="24"/>
          <w:szCs w:val="22"/>
          <w:lang w:val="en-US" w:bidi="en-US"/>
        </w:rPr>
        <w:t xml:space="preserve"> signal that </w:t>
      </w:r>
      <w:r w:rsidR="000A74E1">
        <w:rPr>
          <w:rStyle w:val="AERbody"/>
          <w:rFonts w:asciiTheme="minorHAnsi" w:eastAsiaTheme="minorEastAsia" w:hAnsiTheme="minorHAnsi" w:cstheme="minorBidi"/>
          <w:sz w:val="24"/>
          <w:szCs w:val="22"/>
          <w:lang w:val="en-US" w:bidi="en-US"/>
        </w:rPr>
        <w:t xml:space="preserve">reflects that demand </w:t>
      </w:r>
      <w:r w:rsidR="000A74E1" w:rsidRPr="000A74E1">
        <w:rPr>
          <w:rStyle w:val="AERbody"/>
          <w:rFonts w:asciiTheme="minorHAnsi" w:eastAsiaTheme="minorEastAsia" w:hAnsiTheme="minorHAnsi" w:cstheme="minorBidi"/>
          <w:sz w:val="24"/>
          <w:szCs w:val="22"/>
          <w:lang w:val="en-US" w:bidi="en-US"/>
        </w:rPr>
        <w:t xml:space="preserve">is the primary element that needs to </w:t>
      </w:r>
      <w:r w:rsidR="009C1DCC">
        <w:rPr>
          <w:rStyle w:val="AERbody"/>
          <w:rFonts w:asciiTheme="minorHAnsi" w:eastAsiaTheme="minorEastAsia" w:hAnsiTheme="minorHAnsi" w:cstheme="minorBidi"/>
          <w:sz w:val="24"/>
          <w:szCs w:val="22"/>
          <w:lang w:val="en-US" w:bidi="en-US"/>
        </w:rPr>
        <w:t>be reduced</w:t>
      </w:r>
      <w:r w:rsidR="009C1DCC" w:rsidRPr="000A74E1">
        <w:rPr>
          <w:rStyle w:val="AERbody"/>
          <w:rFonts w:asciiTheme="minorHAnsi" w:eastAsiaTheme="minorEastAsia" w:hAnsiTheme="minorHAnsi" w:cstheme="minorBidi"/>
          <w:sz w:val="24"/>
          <w:szCs w:val="22"/>
          <w:lang w:val="en-US" w:bidi="en-US"/>
        </w:rPr>
        <w:t xml:space="preserve"> </w:t>
      </w:r>
      <w:r w:rsidR="000A74E1" w:rsidRPr="000A74E1">
        <w:rPr>
          <w:rStyle w:val="AERbody"/>
          <w:rFonts w:asciiTheme="minorHAnsi" w:eastAsiaTheme="minorEastAsia" w:hAnsiTheme="minorHAnsi" w:cstheme="minorBidi"/>
          <w:sz w:val="24"/>
          <w:szCs w:val="22"/>
          <w:lang w:val="en-US" w:bidi="en-US"/>
        </w:rPr>
        <w:t xml:space="preserve">whether by </w:t>
      </w:r>
      <w:r w:rsidR="009C1DCC">
        <w:rPr>
          <w:rStyle w:val="AERbody"/>
          <w:rFonts w:asciiTheme="minorHAnsi" w:eastAsiaTheme="minorEastAsia" w:hAnsiTheme="minorHAnsi" w:cstheme="minorBidi"/>
          <w:sz w:val="24"/>
          <w:szCs w:val="22"/>
          <w:lang w:val="en-US" w:bidi="en-US"/>
        </w:rPr>
        <w:t xml:space="preserve">net </w:t>
      </w:r>
      <w:r w:rsidR="000A74E1" w:rsidRPr="000A74E1">
        <w:rPr>
          <w:rStyle w:val="AERbody"/>
          <w:rFonts w:asciiTheme="minorHAnsi" w:eastAsiaTheme="minorEastAsia" w:hAnsiTheme="minorHAnsi" w:cstheme="minorBidi"/>
          <w:sz w:val="24"/>
          <w:szCs w:val="22"/>
          <w:lang w:val="en-US" w:bidi="en-US"/>
        </w:rPr>
        <w:t>reduction or by time shifting</w:t>
      </w:r>
      <w:r w:rsidR="000A74E1">
        <w:rPr>
          <w:rStyle w:val="AERbody"/>
          <w:rFonts w:asciiTheme="minorHAnsi" w:eastAsiaTheme="minorEastAsia" w:hAnsiTheme="minorHAnsi" w:cstheme="minorBidi"/>
          <w:sz w:val="24"/>
          <w:szCs w:val="22"/>
          <w:lang w:val="en-US" w:bidi="en-US"/>
        </w:rPr>
        <w:t xml:space="preserve">. Opt-in tariffs should not be used as these distort cost reflectivity as consumers </w:t>
      </w:r>
      <w:r w:rsidR="009C1DCC">
        <w:rPr>
          <w:rStyle w:val="AERbody"/>
          <w:rFonts w:asciiTheme="minorHAnsi" w:eastAsiaTheme="minorEastAsia" w:hAnsiTheme="minorHAnsi" w:cstheme="minorBidi"/>
          <w:sz w:val="24"/>
          <w:szCs w:val="22"/>
          <w:lang w:val="en-US" w:bidi="en-US"/>
        </w:rPr>
        <w:t xml:space="preserve">will </w:t>
      </w:r>
      <w:r w:rsidR="000A74E1">
        <w:rPr>
          <w:rStyle w:val="AERbody"/>
          <w:rFonts w:asciiTheme="minorHAnsi" w:eastAsiaTheme="minorEastAsia" w:hAnsiTheme="minorHAnsi" w:cstheme="minorBidi"/>
          <w:sz w:val="24"/>
          <w:szCs w:val="22"/>
          <w:lang w:val="en-US" w:bidi="en-US"/>
        </w:rPr>
        <w:t>only opt-in if they get a lower price. Cross subsidies whether explicit or implicit (such as PV roof top solar) need to be wound out</w:t>
      </w:r>
      <w:r w:rsidR="009C1DCC">
        <w:rPr>
          <w:rStyle w:val="AERbody"/>
          <w:rFonts w:asciiTheme="minorHAnsi" w:eastAsiaTheme="minorEastAsia" w:hAnsiTheme="minorHAnsi" w:cstheme="minorBidi"/>
          <w:sz w:val="24"/>
          <w:szCs w:val="22"/>
          <w:lang w:val="en-US" w:bidi="en-US"/>
        </w:rPr>
        <w:t xml:space="preserve"> of the tariffs.</w:t>
      </w:r>
      <w:r w:rsidR="000A74E1">
        <w:rPr>
          <w:rStyle w:val="AERbody"/>
          <w:rFonts w:asciiTheme="minorHAnsi" w:eastAsiaTheme="minorEastAsia" w:hAnsiTheme="minorHAnsi" w:cstheme="minorBidi"/>
          <w:sz w:val="24"/>
          <w:szCs w:val="22"/>
          <w:lang w:val="en-US" w:bidi="en-US"/>
        </w:rPr>
        <w:t xml:space="preserve"> </w:t>
      </w:r>
    </w:p>
    <w:p w:rsidR="00F84BCB" w:rsidRDefault="00F84BCB" w:rsidP="000A74E1">
      <w:pPr>
        <w:pStyle w:val="AERbodytext"/>
        <w:rPr>
          <w:rFonts w:asciiTheme="minorHAnsi" w:eastAsiaTheme="minorEastAsia" w:hAnsiTheme="minorHAnsi" w:cstheme="minorBidi"/>
          <w:sz w:val="24"/>
          <w:szCs w:val="22"/>
          <w:lang w:bidi="en-US"/>
        </w:rPr>
      </w:pPr>
      <w:r w:rsidRPr="00164452">
        <w:rPr>
          <w:rFonts w:asciiTheme="minorHAnsi" w:eastAsiaTheme="minorEastAsia" w:hAnsiTheme="minorHAnsi" w:cstheme="minorBidi"/>
          <w:sz w:val="24"/>
          <w:szCs w:val="22"/>
          <w:lang w:bidi="en-US"/>
        </w:rPr>
        <w:t xml:space="preserve">The fixed elements </w:t>
      </w:r>
      <w:r w:rsidR="009C1DCC">
        <w:rPr>
          <w:rFonts w:asciiTheme="minorHAnsi" w:eastAsiaTheme="minorEastAsia" w:hAnsiTheme="minorHAnsi" w:cstheme="minorBidi"/>
          <w:sz w:val="24"/>
          <w:szCs w:val="22"/>
          <w:lang w:bidi="en-US"/>
        </w:rPr>
        <w:t xml:space="preserve">of tariffs </w:t>
      </w:r>
      <w:r w:rsidRPr="00164452">
        <w:rPr>
          <w:rFonts w:asciiTheme="minorHAnsi" w:eastAsiaTheme="minorEastAsia" w:hAnsiTheme="minorHAnsi" w:cstheme="minorBidi"/>
          <w:sz w:val="24"/>
          <w:szCs w:val="22"/>
          <w:lang w:bidi="en-US"/>
        </w:rPr>
        <w:t>should be minimal to maximise the incentive to change usage patterns</w:t>
      </w:r>
      <w:r w:rsidR="00164452" w:rsidRPr="00164452">
        <w:rPr>
          <w:rFonts w:asciiTheme="minorHAnsi" w:eastAsiaTheme="minorEastAsia" w:hAnsiTheme="minorHAnsi" w:cstheme="minorBidi"/>
          <w:sz w:val="24"/>
          <w:szCs w:val="22"/>
          <w:lang w:bidi="en-US"/>
        </w:rPr>
        <w:t xml:space="preserve">. </w:t>
      </w:r>
      <w:r w:rsidR="009C1DCC">
        <w:rPr>
          <w:rFonts w:asciiTheme="minorHAnsi" w:eastAsiaTheme="minorEastAsia" w:hAnsiTheme="minorHAnsi" w:cstheme="minorBidi"/>
          <w:sz w:val="24"/>
          <w:szCs w:val="22"/>
          <w:lang w:bidi="en-US"/>
        </w:rPr>
        <w:t xml:space="preserve">The higher the proportion of fixed charges, the less the incentive to change usage patterns. </w:t>
      </w:r>
      <w:r w:rsidRPr="00164452">
        <w:rPr>
          <w:rFonts w:asciiTheme="minorHAnsi" w:eastAsiaTheme="minorEastAsia" w:hAnsiTheme="minorHAnsi" w:cstheme="minorBidi"/>
          <w:sz w:val="24"/>
          <w:szCs w:val="22"/>
          <w:lang w:bidi="en-US"/>
        </w:rPr>
        <w:t xml:space="preserve">Therefore </w:t>
      </w:r>
      <w:r w:rsidR="009C1DCC">
        <w:rPr>
          <w:rFonts w:asciiTheme="minorHAnsi" w:eastAsiaTheme="minorEastAsia" w:hAnsiTheme="minorHAnsi" w:cstheme="minorBidi"/>
          <w:sz w:val="24"/>
          <w:szCs w:val="22"/>
          <w:lang w:bidi="en-US"/>
        </w:rPr>
        <w:t>this report</w:t>
      </w:r>
      <w:r w:rsidR="009C1DCC" w:rsidRPr="00164452">
        <w:rPr>
          <w:rFonts w:asciiTheme="minorHAnsi" w:eastAsiaTheme="minorEastAsia" w:hAnsiTheme="minorHAnsi" w:cstheme="minorBidi"/>
          <w:sz w:val="24"/>
          <w:szCs w:val="22"/>
          <w:lang w:bidi="en-US"/>
        </w:rPr>
        <w:t xml:space="preserve"> </w:t>
      </w:r>
      <w:r w:rsidRPr="00164452">
        <w:rPr>
          <w:rFonts w:asciiTheme="minorHAnsi" w:eastAsiaTheme="minorEastAsia" w:hAnsiTheme="minorHAnsi" w:cstheme="minorBidi"/>
          <w:sz w:val="24"/>
          <w:szCs w:val="22"/>
          <w:lang w:bidi="en-US"/>
        </w:rPr>
        <w:t>agree</w:t>
      </w:r>
      <w:r w:rsidR="009C1DCC">
        <w:rPr>
          <w:rFonts w:asciiTheme="minorHAnsi" w:eastAsiaTheme="minorEastAsia" w:hAnsiTheme="minorHAnsi" w:cstheme="minorBidi"/>
          <w:sz w:val="24"/>
          <w:szCs w:val="22"/>
          <w:lang w:bidi="en-US"/>
        </w:rPr>
        <w:t>s</w:t>
      </w:r>
      <w:r w:rsidRPr="00164452">
        <w:rPr>
          <w:rFonts w:asciiTheme="minorHAnsi" w:eastAsiaTheme="minorEastAsia" w:hAnsiTheme="minorHAnsi" w:cstheme="minorBidi"/>
          <w:sz w:val="24"/>
          <w:szCs w:val="22"/>
          <w:lang w:bidi="en-US"/>
        </w:rPr>
        <w:t xml:space="preserve"> with the AER that although network costs are fixed, having a high fixed element in a tariff reduces incentives</w:t>
      </w:r>
      <w:r w:rsidR="009C1DCC">
        <w:rPr>
          <w:rFonts w:asciiTheme="minorHAnsi" w:eastAsiaTheme="minorEastAsia" w:hAnsiTheme="minorHAnsi" w:cstheme="minorBidi"/>
          <w:sz w:val="24"/>
          <w:szCs w:val="22"/>
          <w:lang w:bidi="en-US"/>
        </w:rPr>
        <w:t xml:space="preserve"> to respond to price. Further</w:t>
      </w:r>
      <w:r w:rsidRPr="00164452">
        <w:rPr>
          <w:rFonts w:asciiTheme="minorHAnsi" w:eastAsiaTheme="minorEastAsia" w:hAnsiTheme="minorHAnsi" w:cstheme="minorBidi"/>
          <w:sz w:val="24"/>
          <w:szCs w:val="22"/>
          <w:lang w:bidi="en-US"/>
        </w:rPr>
        <w:t>,</w:t>
      </w:r>
      <w:r w:rsidR="00164452">
        <w:rPr>
          <w:rFonts w:asciiTheme="minorHAnsi" w:eastAsiaTheme="minorEastAsia" w:hAnsiTheme="minorHAnsi" w:cstheme="minorBidi"/>
          <w:sz w:val="24"/>
          <w:szCs w:val="22"/>
          <w:lang w:bidi="en-US"/>
        </w:rPr>
        <w:t xml:space="preserve"> under revenue cap regulation, having any element as a fixed charge is unnecessary </w:t>
      </w:r>
      <w:r w:rsidRPr="00164452">
        <w:rPr>
          <w:rFonts w:asciiTheme="minorHAnsi" w:eastAsiaTheme="minorEastAsia" w:hAnsiTheme="minorHAnsi" w:cstheme="minorBidi"/>
          <w:sz w:val="24"/>
          <w:szCs w:val="22"/>
          <w:lang w:bidi="en-US"/>
        </w:rPr>
        <w:t xml:space="preserve">as any revenue under-run in one year can be </w:t>
      </w:r>
      <w:r w:rsidR="00725D14" w:rsidRPr="00164452">
        <w:rPr>
          <w:rFonts w:asciiTheme="minorHAnsi" w:eastAsiaTheme="minorEastAsia" w:hAnsiTheme="minorHAnsi" w:cstheme="minorBidi"/>
          <w:sz w:val="24"/>
          <w:szCs w:val="22"/>
          <w:lang w:bidi="en-US"/>
        </w:rPr>
        <w:t>recovered in</w:t>
      </w:r>
      <w:r w:rsidRPr="00164452">
        <w:rPr>
          <w:rFonts w:asciiTheme="minorHAnsi" w:eastAsiaTheme="minorEastAsia" w:hAnsiTheme="minorHAnsi" w:cstheme="minorBidi"/>
          <w:sz w:val="24"/>
          <w:szCs w:val="22"/>
          <w:lang w:bidi="en-US"/>
        </w:rPr>
        <w:t xml:space="preserve"> the next. </w:t>
      </w:r>
    </w:p>
    <w:p w:rsidR="005F53CC" w:rsidRPr="005F53CC" w:rsidRDefault="005F53CC" w:rsidP="000A74E1">
      <w:pPr>
        <w:pStyle w:val="AERbodytext"/>
        <w:rPr>
          <w:rFonts w:asciiTheme="minorHAnsi" w:eastAsiaTheme="minorEastAsia" w:hAnsiTheme="minorHAnsi" w:cstheme="minorBidi"/>
          <w:sz w:val="24"/>
          <w:szCs w:val="22"/>
          <w:lang w:bidi="en-US"/>
        </w:rPr>
      </w:pPr>
      <w:r>
        <w:rPr>
          <w:rFonts w:asciiTheme="minorHAnsi" w:eastAsiaTheme="minorEastAsia" w:hAnsiTheme="minorHAnsi" w:cstheme="minorBidi"/>
          <w:color w:val="C00000"/>
          <w:sz w:val="24"/>
          <w:szCs w:val="22"/>
          <w:lang w:bidi="en-US"/>
        </w:rPr>
        <w:t xml:space="preserve">It is noted that TND has not implemented the AER draft decision to limit increases in the fixed components of some tariffs. TND observes that after consultation with some customers, they are appreciative of the overall lower cost of distribution services and </w:t>
      </w:r>
      <w:r>
        <w:rPr>
          <w:rFonts w:asciiTheme="minorHAnsi" w:eastAsiaTheme="minorEastAsia" w:hAnsiTheme="minorHAnsi" w:cstheme="minorBidi"/>
          <w:color w:val="C00000"/>
          <w:sz w:val="24"/>
          <w:szCs w:val="22"/>
          <w:lang w:bidi="en-US"/>
        </w:rPr>
        <w:lastRenderedPageBreak/>
        <w:t xml:space="preserve">accept the increase in the fixed component – it is probable that the acceptance of the higher fixed component was driven by the overall lower tariff rather than any intrinsic understanding of why fixed components should be smaller rather than larger. </w:t>
      </w:r>
    </w:p>
    <w:p w:rsidR="00FD74FC" w:rsidRPr="00FD74FC" w:rsidRDefault="005F53CC" w:rsidP="000A74E1">
      <w:pPr>
        <w:pStyle w:val="AERbodytext"/>
        <w:rPr>
          <w:rFonts w:asciiTheme="minorHAnsi" w:eastAsiaTheme="minorEastAsia" w:hAnsiTheme="minorHAnsi" w:cstheme="minorBidi"/>
          <w:sz w:val="24"/>
          <w:szCs w:val="22"/>
          <w:lang w:bidi="en-US"/>
        </w:rPr>
      </w:pPr>
      <w:r>
        <w:rPr>
          <w:rFonts w:asciiTheme="minorHAnsi" w:eastAsiaTheme="minorEastAsia" w:hAnsiTheme="minorHAnsi" w:cstheme="minorBidi"/>
          <w:color w:val="C00000"/>
          <w:sz w:val="24"/>
          <w:szCs w:val="22"/>
          <w:lang w:bidi="en-US"/>
        </w:rPr>
        <w:t>TND still does not explain why they have increased the fixed component</w:t>
      </w:r>
      <w:r w:rsidR="0046791E">
        <w:rPr>
          <w:rFonts w:asciiTheme="minorHAnsi" w:eastAsiaTheme="minorEastAsia" w:hAnsiTheme="minorHAnsi" w:cstheme="minorBidi"/>
          <w:color w:val="C00000"/>
          <w:sz w:val="24"/>
          <w:szCs w:val="22"/>
          <w:lang w:bidi="en-US"/>
        </w:rPr>
        <w:t xml:space="preserve"> other than </w:t>
      </w:r>
      <w:r w:rsidR="00303C9F">
        <w:rPr>
          <w:rFonts w:asciiTheme="minorHAnsi" w:eastAsiaTheme="minorEastAsia" w:hAnsiTheme="minorHAnsi" w:cstheme="minorBidi"/>
          <w:color w:val="C00000"/>
          <w:sz w:val="24"/>
          <w:szCs w:val="22"/>
          <w:lang w:bidi="en-US"/>
        </w:rPr>
        <w:t xml:space="preserve">they assert </w:t>
      </w:r>
      <w:r w:rsidR="0046791E">
        <w:rPr>
          <w:rFonts w:asciiTheme="minorHAnsi" w:eastAsiaTheme="minorEastAsia" w:hAnsiTheme="minorHAnsi" w:cstheme="minorBidi"/>
          <w:color w:val="C00000"/>
          <w:sz w:val="24"/>
          <w:szCs w:val="22"/>
          <w:lang w:bidi="en-US"/>
        </w:rPr>
        <w:t xml:space="preserve">it is a result of </w:t>
      </w:r>
      <w:r w:rsidR="00FD74FC">
        <w:rPr>
          <w:rFonts w:asciiTheme="minorHAnsi" w:eastAsiaTheme="minorEastAsia" w:hAnsiTheme="minorHAnsi" w:cstheme="minorBidi"/>
          <w:color w:val="C00000"/>
          <w:sz w:val="24"/>
          <w:szCs w:val="22"/>
          <w:lang w:bidi="en-US"/>
        </w:rPr>
        <w:t xml:space="preserve">needing to comply with </w:t>
      </w:r>
      <w:r w:rsidR="0046791E">
        <w:rPr>
          <w:rFonts w:asciiTheme="minorHAnsi" w:eastAsiaTheme="minorEastAsia" w:hAnsiTheme="minorHAnsi" w:cstheme="minorBidi"/>
          <w:color w:val="C00000"/>
          <w:sz w:val="24"/>
          <w:szCs w:val="22"/>
          <w:lang w:bidi="en-US"/>
        </w:rPr>
        <w:t xml:space="preserve">the pricing principles and </w:t>
      </w:r>
      <w:r w:rsidR="00FD74FC">
        <w:rPr>
          <w:rFonts w:asciiTheme="minorHAnsi" w:eastAsiaTheme="minorEastAsia" w:hAnsiTheme="minorHAnsi" w:cstheme="minorBidi"/>
          <w:color w:val="C00000"/>
          <w:sz w:val="24"/>
          <w:szCs w:val="22"/>
          <w:lang w:bidi="en-US"/>
        </w:rPr>
        <w:t>having a smaller fixed component would mean the tariff would be non-compliant</w:t>
      </w:r>
      <w:r w:rsidR="00303C9F">
        <w:rPr>
          <w:rFonts w:asciiTheme="minorHAnsi" w:eastAsiaTheme="minorEastAsia" w:hAnsiTheme="minorHAnsi" w:cstheme="minorBidi"/>
          <w:color w:val="C00000"/>
          <w:sz w:val="24"/>
          <w:szCs w:val="22"/>
          <w:lang w:bidi="en-US"/>
        </w:rPr>
        <w:t>, presumably because the variable component being based on demand would increase, reducing the effect of driving demand away from peak times</w:t>
      </w:r>
      <w:r w:rsidR="00FD74FC">
        <w:rPr>
          <w:rFonts w:asciiTheme="minorHAnsi" w:eastAsiaTheme="minorEastAsia" w:hAnsiTheme="minorHAnsi" w:cstheme="minorBidi"/>
          <w:color w:val="C00000"/>
          <w:sz w:val="24"/>
          <w:szCs w:val="22"/>
          <w:lang w:bidi="en-US"/>
        </w:rPr>
        <w:t>.</w:t>
      </w:r>
      <w:r w:rsidR="0046791E">
        <w:rPr>
          <w:rFonts w:asciiTheme="minorHAnsi" w:eastAsiaTheme="minorEastAsia" w:hAnsiTheme="minorHAnsi" w:cstheme="minorBidi"/>
          <w:color w:val="C00000"/>
          <w:sz w:val="24"/>
          <w:szCs w:val="22"/>
          <w:lang w:bidi="en-US"/>
        </w:rPr>
        <w:t xml:space="preserve"> </w:t>
      </w:r>
    </w:p>
    <w:p w:rsidR="00FD74FC" w:rsidRPr="008C258E" w:rsidRDefault="004A0F42" w:rsidP="000A74E1">
      <w:pPr>
        <w:pStyle w:val="AERbodytext"/>
        <w:rPr>
          <w:rFonts w:asciiTheme="minorHAnsi" w:eastAsiaTheme="minorEastAsia" w:hAnsiTheme="minorHAnsi" w:cstheme="minorBidi"/>
          <w:sz w:val="24"/>
          <w:szCs w:val="22"/>
          <w:lang w:bidi="en-US"/>
        </w:rPr>
      </w:pPr>
      <w:r>
        <w:rPr>
          <w:rFonts w:asciiTheme="minorHAnsi" w:eastAsiaTheme="minorEastAsia" w:hAnsiTheme="minorHAnsi" w:cstheme="minorBidi"/>
          <w:color w:val="C00000"/>
          <w:sz w:val="24"/>
          <w:szCs w:val="22"/>
          <w:lang w:bidi="en-US"/>
        </w:rPr>
        <w:t xml:space="preserve">A review of the pricing principles </w:t>
      </w:r>
      <w:r w:rsidR="00FD74FC">
        <w:rPr>
          <w:rFonts w:asciiTheme="minorHAnsi" w:eastAsiaTheme="minorEastAsia" w:hAnsiTheme="minorHAnsi" w:cstheme="minorBidi"/>
          <w:color w:val="C00000"/>
          <w:sz w:val="24"/>
          <w:szCs w:val="22"/>
          <w:lang w:bidi="en-US"/>
        </w:rPr>
        <w:t>shows that there is no stipulation as to</w:t>
      </w:r>
      <w:r>
        <w:rPr>
          <w:rFonts w:asciiTheme="minorHAnsi" w:eastAsiaTheme="minorEastAsia" w:hAnsiTheme="minorHAnsi" w:cstheme="minorBidi"/>
          <w:color w:val="C00000"/>
          <w:sz w:val="24"/>
          <w:szCs w:val="22"/>
          <w:lang w:bidi="en-US"/>
        </w:rPr>
        <w:t xml:space="preserve"> what share of a tariff should be subject to a fixed element, but only that the return from the tariff in aggregate must achieve </w:t>
      </w:r>
      <w:r w:rsidR="00FD74FC">
        <w:rPr>
          <w:rFonts w:asciiTheme="minorHAnsi" w:eastAsiaTheme="minorEastAsia" w:hAnsiTheme="minorHAnsi" w:cstheme="minorBidi"/>
          <w:color w:val="C00000"/>
          <w:sz w:val="24"/>
          <w:szCs w:val="22"/>
          <w:lang w:bidi="en-US"/>
        </w:rPr>
        <w:t>a revenue which reflects the costs to provide the service to that class of customers</w:t>
      </w:r>
      <w:r>
        <w:rPr>
          <w:rFonts w:asciiTheme="minorHAnsi" w:eastAsiaTheme="minorEastAsia" w:hAnsiTheme="minorHAnsi" w:cstheme="minorBidi"/>
          <w:color w:val="C00000"/>
          <w:sz w:val="24"/>
          <w:szCs w:val="22"/>
          <w:lang w:bidi="en-US"/>
        </w:rPr>
        <w:t xml:space="preserve">. Effectively, the tariff can comprise varying amounts of fixed and variable elements </w:t>
      </w:r>
      <w:r w:rsidR="00D12D6D">
        <w:rPr>
          <w:rFonts w:asciiTheme="minorHAnsi" w:eastAsiaTheme="minorEastAsia" w:hAnsiTheme="minorHAnsi" w:cstheme="minorBidi"/>
          <w:color w:val="C00000"/>
          <w:sz w:val="24"/>
          <w:szCs w:val="22"/>
          <w:lang w:bidi="en-US"/>
        </w:rPr>
        <w:t>(</w:t>
      </w:r>
      <w:r>
        <w:rPr>
          <w:rFonts w:asciiTheme="minorHAnsi" w:eastAsiaTheme="minorEastAsia" w:hAnsiTheme="minorHAnsi" w:cstheme="minorBidi"/>
          <w:color w:val="C00000"/>
          <w:sz w:val="24"/>
          <w:szCs w:val="22"/>
          <w:lang w:bidi="en-US"/>
        </w:rPr>
        <w:t>and this apportionment is at the discretion of the DNSP</w:t>
      </w:r>
      <w:r w:rsidR="00D12D6D">
        <w:rPr>
          <w:rFonts w:asciiTheme="minorHAnsi" w:eastAsiaTheme="minorEastAsia" w:hAnsiTheme="minorHAnsi" w:cstheme="minorBidi"/>
          <w:color w:val="C00000"/>
          <w:sz w:val="24"/>
          <w:szCs w:val="22"/>
          <w:lang w:bidi="en-US"/>
        </w:rPr>
        <w:t>) as long as that the revenue stream reflects the costs of providing the service</w:t>
      </w:r>
      <w:r>
        <w:rPr>
          <w:rFonts w:asciiTheme="minorHAnsi" w:eastAsiaTheme="minorEastAsia" w:hAnsiTheme="minorHAnsi" w:cstheme="minorBidi"/>
          <w:color w:val="C00000"/>
          <w:sz w:val="24"/>
          <w:szCs w:val="22"/>
          <w:lang w:bidi="en-US"/>
        </w:rPr>
        <w:t xml:space="preserve">. </w:t>
      </w:r>
      <w:r w:rsidR="00D17F8E">
        <w:rPr>
          <w:rFonts w:asciiTheme="minorHAnsi" w:eastAsiaTheme="minorEastAsia" w:hAnsiTheme="minorHAnsi" w:cstheme="minorBidi"/>
          <w:color w:val="C00000"/>
          <w:sz w:val="24"/>
          <w:szCs w:val="22"/>
          <w:lang w:bidi="en-US"/>
        </w:rPr>
        <w:t xml:space="preserve">It is noted that after assessing the LRMC element of a tariff (which converts to the demand charge – see </w:t>
      </w:r>
      <w:r w:rsidR="00303C9F">
        <w:rPr>
          <w:rFonts w:asciiTheme="minorHAnsi" w:eastAsiaTheme="minorEastAsia" w:hAnsiTheme="minorHAnsi" w:cstheme="minorBidi"/>
          <w:color w:val="C00000"/>
          <w:sz w:val="24"/>
          <w:szCs w:val="22"/>
          <w:lang w:bidi="en-US"/>
        </w:rPr>
        <w:t xml:space="preserve">TND </w:t>
      </w:r>
      <w:r w:rsidR="00D17F8E">
        <w:rPr>
          <w:rFonts w:asciiTheme="minorHAnsi" w:eastAsiaTheme="minorEastAsia" w:hAnsiTheme="minorHAnsi" w:cstheme="minorBidi"/>
          <w:color w:val="C00000"/>
          <w:sz w:val="24"/>
          <w:szCs w:val="22"/>
          <w:lang w:bidi="en-US"/>
        </w:rPr>
        <w:t>revised TSS section 4.2) the residual costs are allocated between fixed and variable charges. It would appear to be that this is the cause of TND increasing the fixed charge as</w:t>
      </w:r>
      <w:r w:rsidR="008C258E">
        <w:rPr>
          <w:rFonts w:asciiTheme="minorHAnsi" w:eastAsiaTheme="minorEastAsia" w:hAnsiTheme="minorHAnsi" w:cstheme="minorBidi"/>
          <w:color w:val="C00000"/>
          <w:sz w:val="24"/>
          <w:szCs w:val="22"/>
          <w:lang w:bidi="en-US"/>
        </w:rPr>
        <w:t xml:space="preserve"> it comments (page 18 of 58):</w:t>
      </w:r>
    </w:p>
    <w:p w:rsidR="008C258E" w:rsidRPr="008C258E" w:rsidRDefault="008C258E" w:rsidP="008C258E">
      <w:pPr>
        <w:autoSpaceDE w:val="0"/>
        <w:autoSpaceDN w:val="0"/>
        <w:adjustRightInd w:val="0"/>
        <w:spacing w:line="240" w:lineRule="auto"/>
        <w:ind w:left="720"/>
        <w:rPr>
          <w:rFonts w:cstheme="minorHAnsi"/>
          <w:color w:val="C00000"/>
          <w:sz w:val="24"/>
          <w:szCs w:val="24"/>
        </w:rPr>
      </w:pPr>
      <w:r>
        <w:rPr>
          <w:rFonts w:eastAsia="Times New Roman" w:cstheme="minorHAnsi"/>
          <w:color w:val="C00000"/>
          <w:sz w:val="24"/>
          <w:szCs w:val="24"/>
          <w:lang w:val="en-AU" w:eastAsia="en-AU" w:bidi="ar-SA"/>
        </w:rPr>
        <w:t>“</w:t>
      </w:r>
      <w:r w:rsidRPr="008C258E">
        <w:rPr>
          <w:rFonts w:eastAsia="Times New Roman" w:cstheme="minorHAnsi"/>
          <w:color w:val="C00000"/>
          <w:sz w:val="24"/>
          <w:szCs w:val="24"/>
          <w:lang w:val="en-AU" w:eastAsia="en-AU" w:bidi="ar-SA"/>
        </w:rPr>
        <w:t>Allocating the residual costs in a manner which seeks to minimise distortions to the long run marginal cost signals.  Residual costs are allocated between the service charge ($) and variable charge/s ($).  Allocation is dependent on the characteristics of the network tariff. In terms of the time of use demand based tariffs the majority of the residual costs are recovered via the service charge and the off-peak demand charges.</w:t>
      </w:r>
      <w:r>
        <w:rPr>
          <w:rFonts w:eastAsia="Times New Roman" w:cstheme="minorHAnsi"/>
          <w:color w:val="C00000"/>
          <w:sz w:val="24"/>
          <w:szCs w:val="24"/>
          <w:lang w:val="en-AU" w:eastAsia="en-AU" w:bidi="ar-SA"/>
        </w:rPr>
        <w:t>”</w:t>
      </w:r>
    </w:p>
    <w:p w:rsidR="00F45FCA" w:rsidRPr="00F45FCA" w:rsidRDefault="008C258E" w:rsidP="000A74E1">
      <w:pPr>
        <w:pStyle w:val="AERbodytext"/>
        <w:rPr>
          <w:rFonts w:asciiTheme="minorHAnsi" w:eastAsiaTheme="minorEastAsia" w:hAnsiTheme="minorHAnsi" w:cstheme="minorBidi"/>
          <w:sz w:val="24"/>
          <w:szCs w:val="22"/>
          <w:lang w:bidi="en-US"/>
        </w:rPr>
      </w:pPr>
      <w:r w:rsidRPr="00CA06A6">
        <w:rPr>
          <w:rFonts w:asciiTheme="minorHAnsi" w:eastAsiaTheme="minorEastAsia" w:hAnsiTheme="minorHAnsi" w:cstheme="minorBidi"/>
          <w:color w:val="C00000"/>
          <w:sz w:val="24"/>
          <w:szCs w:val="22"/>
          <w:lang w:bidi="en-US"/>
        </w:rPr>
        <w:t>This report points out that the residual cost can be allocated on a</w:t>
      </w:r>
      <w:r w:rsidR="00F45FCA">
        <w:rPr>
          <w:rFonts w:asciiTheme="minorHAnsi" w:eastAsiaTheme="minorEastAsia" w:hAnsiTheme="minorHAnsi" w:cstheme="minorBidi"/>
          <w:color w:val="C00000"/>
          <w:sz w:val="24"/>
          <w:szCs w:val="22"/>
          <w:lang w:bidi="en-US"/>
        </w:rPr>
        <w:t>n energy</w:t>
      </w:r>
      <w:r w:rsidRPr="00CA06A6">
        <w:rPr>
          <w:rFonts w:asciiTheme="minorHAnsi" w:eastAsiaTheme="minorEastAsia" w:hAnsiTheme="minorHAnsi" w:cstheme="minorBidi"/>
          <w:color w:val="C00000"/>
          <w:sz w:val="24"/>
          <w:szCs w:val="22"/>
          <w:lang w:bidi="en-US"/>
        </w:rPr>
        <w:t xml:space="preserve"> basis (as is traditionally the case </w:t>
      </w:r>
      <w:r w:rsidR="00303C9F">
        <w:rPr>
          <w:rFonts w:asciiTheme="minorHAnsi" w:eastAsiaTheme="minorEastAsia" w:hAnsiTheme="minorHAnsi" w:cstheme="minorBidi"/>
          <w:color w:val="C00000"/>
          <w:sz w:val="24"/>
          <w:szCs w:val="22"/>
          <w:lang w:bidi="en-US"/>
        </w:rPr>
        <w:t xml:space="preserve">even </w:t>
      </w:r>
      <w:r w:rsidRPr="00CA06A6">
        <w:rPr>
          <w:rFonts w:asciiTheme="minorHAnsi" w:eastAsiaTheme="minorEastAsia" w:hAnsiTheme="minorHAnsi" w:cstheme="minorBidi"/>
          <w:color w:val="C00000"/>
          <w:sz w:val="24"/>
          <w:szCs w:val="22"/>
          <w:lang w:bidi="en-US"/>
        </w:rPr>
        <w:t>with demand based tariffs</w:t>
      </w:r>
      <w:r w:rsidR="00F45FCA">
        <w:rPr>
          <w:rFonts w:asciiTheme="minorHAnsi" w:eastAsiaTheme="minorEastAsia" w:hAnsiTheme="minorHAnsi" w:cstheme="minorBidi"/>
          <w:color w:val="C00000"/>
          <w:sz w:val="24"/>
          <w:szCs w:val="22"/>
          <w:lang w:bidi="en-US"/>
        </w:rPr>
        <w:t>)</w:t>
      </w:r>
      <w:r w:rsidRPr="00CA06A6">
        <w:rPr>
          <w:rFonts w:asciiTheme="minorHAnsi" w:eastAsiaTheme="minorEastAsia" w:hAnsiTheme="minorHAnsi" w:cstheme="minorBidi"/>
          <w:color w:val="C00000"/>
          <w:sz w:val="24"/>
          <w:szCs w:val="22"/>
          <w:lang w:bidi="en-US"/>
        </w:rPr>
        <w:t xml:space="preserve">. While it is accepted that charging much of the residual costs based on off-peak demand would distort the primary driver for shifting demand from peak to off-peak times, this same effect </w:t>
      </w:r>
      <w:r w:rsidR="00F45FCA">
        <w:rPr>
          <w:rFonts w:asciiTheme="minorHAnsi" w:eastAsiaTheme="minorEastAsia" w:hAnsiTheme="minorHAnsi" w:cstheme="minorBidi"/>
          <w:color w:val="C00000"/>
          <w:sz w:val="24"/>
          <w:szCs w:val="22"/>
          <w:lang w:bidi="en-US"/>
        </w:rPr>
        <w:t>c</w:t>
      </w:r>
      <w:r w:rsidRPr="00CA06A6">
        <w:rPr>
          <w:rFonts w:asciiTheme="minorHAnsi" w:eastAsiaTheme="minorEastAsia" w:hAnsiTheme="minorHAnsi" w:cstheme="minorBidi"/>
          <w:color w:val="C00000"/>
          <w:sz w:val="24"/>
          <w:szCs w:val="22"/>
          <w:lang w:bidi="en-US"/>
        </w:rPr>
        <w:t xml:space="preserve">ould be </w:t>
      </w:r>
      <w:r w:rsidR="00303C9F">
        <w:rPr>
          <w:rFonts w:asciiTheme="minorHAnsi" w:eastAsiaTheme="minorEastAsia" w:hAnsiTheme="minorHAnsi" w:cstheme="minorBidi"/>
          <w:color w:val="C00000"/>
          <w:sz w:val="24"/>
          <w:szCs w:val="22"/>
          <w:lang w:bidi="en-US"/>
        </w:rPr>
        <w:t>achieved by</w:t>
      </w:r>
      <w:r w:rsidRPr="00CA06A6">
        <w:rPr>
          <w:rFonts w:asciiTheme="minorHAnsi" w:eastAsiaTheme="minorEastAsia" w:hAnsiTheme="minorHAnsi" w:cstheme="minorBidi"/>
          <w:color w:val="C00000"/>
          <w:sz w:val="24"/>
          <w:szCs w:val="22"/>
          <w:lang w:bidi="en-US"/>
        </w:rPr>
        <w:t xml:space="preserve"> recover</w:t>
      </w:r>
      <w:r w:rsidR="00303C9F">
        <w:rPr>
          <w:rFonts w:asciiTheme="minorHAnsi" w:eastAsiaTheme="minorEastAsia" w:hAnsiTheme="minorHAnsi" w:cstheme="minorBidi"/>
          <w:color w:val="C00000"/>
          <w:sz w:val="24"/>
          <w:szCs w:val="22"/>
          <w:lang w:bidi="en-US"/>
        </w:rPr>
        <w:t>ing</w:t>
      </w:r>
      <w:r w:rsidRPr="00CA06A6">
        <w:rPr>
          <w:rFonts w:asciiTheme="minorHAnsi" w:eastAsiaTheme="minorEastAsia" w:hAnsiTheme="minorHAnsi" w:cstheme="minorBidi"/>
          <w:color w:val="C00000"/>
          <w:sz w:val="24"/>
          <w:szCs w:val="22"/>
          <w:lang w:bidi="en-US"/>
        </w:rPr>
        <w:t xml:space="preserve"> the residual costs on a</w:t>
      </w:r>
      <w:r w:rsidR="00F45FCA">
        <w:rPr>
          <w:rFonts w:asciiTheme="minorHAnsi" w:eastAsiaTheme="minorEastAsia" w:hAnsiTheme="minorHAnsi" w:cstheme="minorBidi"/>
          <w:color w:val="C00000"/>
          <w:sz w:val="24"/>
          <w:szCs w:val="22"/>
          <w:lang w:bidi="en-US"/>
        </w:rPr>
        <w:t>n energy</w:t>
      </w:r>
      <w:r w:rsidRPr="00CA06A6">
        <w:rPr>
          <w:rFonts w:asciiTheme="minorHAnsi" w:eastAsiaTheme="minorEastAsia" w:hAnsiTheme="minorHAnsi" w:cstheme="minorBidi"/>
          <w:color w:val="C00000"/>
          <w:sz w:val="24"/>
          <w:szCs w:val="22"/>
          <w:lang w:bidi="en-US"/>
        </w:rPr>
        <w:t xml:space="preserve"> </w:t>
      </w:r>
      <w:r w:rsidR="00303C9F">
        <w:rPr>
          <w:rFonts w:asciiTheme="minorHAnsi" w:eastAsiaTheme="minorEastAsia" w:hAnsiTheme="minorHAnsi" w:cstheme="minorBidi"/>
          <w:color w:val="C00000"/>
          <w:sz w:val="24"/>
          <w:szCs w:val="22"/>
          <w:lang w:bidi="en-US"/>
        </w:rPr>
        <w:t xml:space="preserve">usage </w:t>
      </w:r>
      <w:r w:rsidRPr="00CA06A6">
        <w:rPr>
          <w:rFonts w:asciiTheme="minorHAnsi" w:eastAsiaTheme="minorEastAsia" w:hAnsiTheme="minorHAnsi" w:cstheme="minorBidi"/>
          <w:color w:val="C00000"/>
          <w:sz w:val="24"/>
          <w:szCs w:val="22"/>
          <w:lang w:bidi="en-US"/>
        </w:rPr>
        <w:t>basis as well as an off-peak demand basis. Introducing a</w:t>
      </w:r>
      <w:r w:rsidR="00F45FCA">
        <w:rPr>
          <w:rFonts w:asciiTheme="minorHAnsi" w:eastAsiaTheme="minorEastAsia" w:hAnsiTheme="minorHAnsi" w:cstheme="minorBidi"/>
          <w:color w:val="C00000"/>
          <w:sz w:val="24"/>
          <w:szCs w:val="22"/>
          <w:lang w:bidi="en-US"/>
        </w:rPr>
        <w:t>n energy usage</w:t>
      </w:r>
      <w:r w:rsidRPr="00CA06A6">
        <w:rPr>
          <w:rFonts w:asciiTheme="minorHAnsi" w:eastAsiaTheme="minorEastAsia" w:hAnsiTheme="minorHAnsi" w:cstheme="minorBidi"/>
          <w:color w:val="C00000"/>
          <w:sz w:val="24"/>
          <w:szCs w:val="22"/>
          <w:lang w:bidi="en-US"/>
        </w:rPr>
        <w:t xml:space="preserve"> element into the tariff would provide a signal not only to reduce peak demand, but to also reduce overall consumption which is also a target of the Power of Choice program.</w:t>
      </w:r>
      <w:r w:rsidR="00CA06A6" w:rsidRPr="00CA06A6">
        <w:rPr>
          <w:rFonts w:asciiTheme="minorHAnsi" w:eastAsiaTheme="minorEastAsia" w:hAnsiTheme="minorHAnsi" w:cstheme="minorBidi"/>
          <w:color w:val="C00000"/>
          <w:sz w:val="24"/>
          <w:szCs w:val="22"/>
          <w:lang w:bidi="en-US"/>
        </w:rPr>
        <w:t xml:space="preserve"> By introducing a</w:t>
      </w:r>
      <w:r w:rsidR="00F45FCA">
        <w:rPr>
          <w:rFonts w:asciiTheme="minorHAnsi" w:eastAsiaTheme="minorEastAsia" w:hAnsiTheme="minorHAnsi" w:cstheme="minorBidi"/>
          <w:color w:val="C00000"/>
          <w:sz w:val="24"/>
          <w:szCs w:val="22"/>
          <w:lang w:bidi="en-US"/>
        </w:rPr>
        <w:t>n energy usage</w:t>
      </w:r>
      <w:r w:rsidR="00CA06A6" w:rsidRPr="00CA06A6">
        <w:rPr>
          <w:rFonts w:asciiTheme="minorHAnsi" w:eastAsiaTheme="minorEastAsia" w:hAnsiTheme="minorHAnsi" w:cstheme="minorBidi"/>
          <w:color w:val="C00000"/>
          <w:sz w:val="24"/>
          <w:szCs w:val="22"/>
          <w:lang w:bidi="en-US"/>
        </w:rPr>
        <w:t xml:space="preserve"> charge ($/kWh) still provides appropriate signals and allows the reduction of the fixed element which acts to reduce the incentive to modify usage patterns.</w:t>
      </w:r>
      <w:r w:rsidR="00FD74FC" w:rsidRPr="00CA06A6">
        <w:rPr>
          <w:rFonts w:asciiTheme="minorHAnsi" w:eastAsiaTheme="minorEastAsia" w:hAnsiTheme="minorHAnsi" w:cstheme="minorBidi"/>
          <w:color w:val="C00000"/>
          <w:sz w:val="24"/>
          <w:szCs w:val="22"/>
          <w:lang w:bidi="en-US"/>
        </w:rPr>
        <w:t xml:space="preserve"> </w:t>
      </w:r>
    </w:p>
    <w:p w:rsidR="00F45FCA" w:rsidRPr="00F45FCA" w:rsidRDefault="00F45FCA" w:rsidP="000A74E1">
      <w:pPr>
        <w:pStyle w:val="AERbodytext"/>
        <w:rPr>
          <w:rFonts w:asciiTheme="minorHAnsi" w:eastAsiaTheme="minorEastAsia" w:hAnsiTheme="minorHAnsi" w:cstheme="minorBidi"/>
          <w:sz w:val="24"/>
          <w:szCs w:val="22"/>
          <w:lang w:bidi="en-US"/>
        </w:rPr>
      </w:pPr>
      <w:r>
        <w:rPr>
          <w:rFonts w:asciiTheme="minorHAnsi" w:eastAsiaTheme="minorEastAsia" w:hAnsiTheme="minorHAnsi" w:cstheme="minorBidi"/>
          <w:color w:val="C00000"/>
          <w:sz w:val="24"/>
          <w:szCs w:val="22"/>
          <w:lang w:bidi="en-US"/>
        </w:rPr>
        <w:lastRenderedPageBreak/>
        <w:t xml:space="preserve">This option was contemplated in the AEMC final determination on </w:t>
      </w:r>
      <w:r w:rsidR="00303C9F">
        <w:rPr>
          <w:rFonts w:asciiTheme="minorHAnsi" w:eastAsiaTheme="minorEastAsia" w:hAnsiTheme="minorHAnsi" w:cstheme="minorBidi"/>
          <w:color w:val="C00000"/>
          <w:sz w:val="24"/>
          <w:szCs w:val="22"/>
          <w:lang w:bidi="en-US"/>
        </w:rPr>
        <w:t xml:space="preserve">distribution </w:t>
      </w:r>
      <w:r>
        <w:rPr>
          <w:rFonts w:asciiTheme="minorHAnsi" w:eastAsiaTheme="minorEastAsia" w:hAnsiTheme="minorHAnsi" w:cstheme="minorBidi"/>
          <w:color w:val="C00000"/>
          <w:sz w:val="24"/>
          <w:szCs w:val="22"/>
          <w:lang w:bidi="en-US"/>
        </w:rPr>
        <w:t xml:space="preserve">network </w:t>
      </w:r>
      <w:r w:rsidR="00303C9F">
        <w:rPr>
          <w:rFonts w:asciiTheme="minorHAnsi" w:eastAsiaTheme="minorEastAsia" w:hAnsiTheme="minorHAnsi" w:cstheme="minorBidi"/>
          <w:color w:val="C00000"/>
          <w:sz w:val="24"/>
          <w:szCs w:val="22"/>
          <w:lang w:bidi="en-US"/>
        </w:rPr>
        <w:t>pricing arrangements</w:t>
      </w:r>
      <w:r w:rsidR="00303C9F">
        <w:rPr>
          <w:rStyle w:val="FootnoteReference"/>
          <w:rFonts w:asciiTheme="minorHAnsi" w:eastAsiaTheme="minorEastAsia" w:hAnsiTheme="minorHAnsi" w:cstheme="minorBidi"/>
          <w:color w:val="C00000"/>
          <w:sz w:val="24"/>
          <w:szCs w:val="22"/>
          <w:lang w:bidi="en-US"/>
        </w:rPr>
        <w:footnoteReference w:id="18"/>
      </w:r>
      <w:r>
        <w:rPr>
          <w:rFonts w:asciiTheme="minorHAnsi" w:eastAsiaTheme="minorEastAsia" w:hAnsiTheme="minorHAnsi" w:cstheme="minorBidi"/>
          <w:color w:val="C00000"/>
          <w:sz w:val="24"/>
          <w:szCs w:val="22"/>
          <w:lang w:bidi="en-US"/>
        </w:rPr>
        <w:t xml:space="preserve"> where the AEMC comments (page 160 in appendix A3)</w:t>
      </w:r>
    </w:p>
    <w:p w:rsidR="00F45FCA" w:rsidRPr="00F45FCA" w:rsidRDefault="00F45FCA" w:rsidP="00F45FCA">
      <w:pPr>
        <w:autoSpaceDE w:val="0"/>
        <w:autoSpaceDN w:val="0"/>
        <w:adjustRightInd w:val="0"/>
        <w:spacing w:after="0" w:line="240" w:lineRule="auto"/>
        <w:ind w:left="720"/>
        <w:jc w:val="left"/>
        <w:rPr>
          <w:rFonts w:eastAsia="Times New Roman" w:cstheme="minorHAnsi"/>
          <w:color w:val="C00000"/>
          <w:sz w:val="24"/>
          <w:szCs w:val="24"/>
          <w:lang w:val="en-AU" w:eastAsia="en-AU" w:bidi="ar-SA"/>
        </w:rPr>
      </w:pPr>
      <w:r>
        <w:rPr>
          <w:rFonts w:eastAsia="Times New Roman" w:cstheme="minorHAnsi"/>
          <w:color w:val="C00000"/>
          <w:sz w:val="24"/>
          <w:szCs w:val="24"/>
          <w:lang w:val="en-AU" w:eastAsia="en-AU" w:bidi="ar-SA"/>
        </w:rPr>
        <w:t>“</w:t>
      </w:r>
      <w:r w:rsidRPr="00F45FCA">
        <w:rPr>
          <w:rFonts w:eastAsia="Times New Roman" w:cstheme="minorHAnsi"/>
          <w:color w:val="C00000"/>
          <w:sz w:val="24"/>
          <w:szCs w:val="24"/>
          <w:lang w:val="en-AU" w:eastAsia="en-AU" w:bidi="ar-SA"/>
        </w:rPr>
        <w:t>In particular, analysis from both reports [from NERA and Brattle] demonstrate that this principle does not require that residual costs are recovered though increases to fixed charges. Many consumer groups were concerned that higher fixed charges could adversely affect vulnerable consumers. Brattle's report</w:t>
      </w:r>
      <w:r>
        <w:rPr>
          <w:rStyle w:val="FootnoteReference"/>
          <w:rFonts w:eastAsia="Times New Roman" w:cstheme="minorHAnsi"/>
          <w:color w:val="C00000"/>
          <w:sz w:val="24"/>
          <w:szCs w:val="24"/>
          <w:lang w:val="en-AU" w:eastAsia="en-AU" w:bidi="ar-SA"/>
        </w:rPr>
        <w:footnoteReference w:id="19"/>
      </w:r>
      <w:r w:rsidRPr="00F45FCA">
        <w:rPr>
          <w:rFonts w:eastAsia="Times New Roman" w:cstheme="minorHAnsi"/>
          <w:color w:val="C00000"/>
          <w:sz w:val="24"/>
          <w:szCs w:val="24"/>
          <w:lang w:val="en-AU" w:eastAsia="en-AU" w:bidi="ar-SA"/>
        </w:rPr>
        <w:t xml:space="preserve"> sets out several approaches that could be used to recover residual costs in a way that does not involve increases in fixed charges or minimises the impact of any increases in fixed charges on vulnerable consumers. ... The final rule implements the principles suggested by NERA and Brattle by requiring DNSPs to recover their revenues in a way that minimises distortions to the price signals for efficient usage that would be sent by LRMC based tariffs.</w:t>
      </w:r>
      <w:r>
        <w:rPr>
          <w:rFonts w:eastAsia="Times New Roman" w:cstheme="minorHAnsi"/>
          <w:color w:val="C00000"/>
          <w:sz w:val="24"/>
          <w:szCs w:val="24"/>
          <w:lang w:val="en-AU" w:eastAsia="en-AU" w:bidi="ar-SA"/>
        </w:rPr>
        <w:t>”</w:t>
      </w:r>
      <w:r w:rsidRPr="00F45FCA">
        <w:rPr>
          <w:rFonts w:eastAsia="Times New Roman" w:cstheme="minorHAnsi"/>
          <w:color w:val="C00000"/>
          <w:sz w:val="24"/>
          <w:szCs w:val="24"/>
          <w:lang w:val="en-AU" w:eastAsia="en-AU" w:bidi="ar-SA"/>
        </w:rPr>
        <w:t xml:space="preserve"> </w:t>
      </w:r>
    </w:p>
    <w:p w:rsidR="00FD74FC" w:rsidRPr="00CA06A6" w:rsidRDefault="00FD74FC" w:rsidP="00F45FCA">
      <w:pPr>
        <w:autoSpaceDE w:val="0"/>
        <w:autoSpaceDN w:val="0"/>
        <w:adjustRightInd w:val="0"/>
        <w:spacing w:after="0" w:line="240" w:lineRule="auto"/>
        <w:jc w:val="left"/>
        <w:rPr>
          <w:sz w:val="24"/>
        </w:rPr>
      </w:pPr>
      <w:r w:rsidRPr="00CA06A6">
        <w:rPr>
          <w:color w:val="C00000"/>
          <w:sz w:val="24"/>
        </w:rPr>
        <w:t xml:space="preserve"> </w:t>
      </w:r>
    </w:p>
    <w:p w:rsidR="00D12D6D" w:rsidRPr="00D12D6D" w:rsidRDefault="004A0F42" w:rsidP="000A74E1">
      <w:pPr>
        <w:pStyle w:val="AERbodytext"/>
        <w:rPr>
          <w:rFonts w:asciiTheme="minorHAnsi" w:eastAsiaTheme="minorEastAsia" w:hAnsiTheme="minorHAnsi" w:cstheme="minorBidi"/>
          <w:sz w:val="24"/>
          <w:szCs w:val="22"/>
          <w:lang w:bidi="en-US"/>
        </w:rPr>
      </w:pPr>
      <w:r>
        <w:rPr>
          <w:rFonts w:asciiTheme="minorHAnsi" w:eastAsiaTheme="minorEastAsia" w:hAnsiTheme="minorHAnsi" w:cstheme="minorBidi"/>
          <w:color w:val="C00000"/>
          <w:sz w:val="24"/>
          <w:szCs w:val="22"/>
          <w:lang w:bidi="en-US"/>
        </w:rPr>
        <w:t xml:space="preserve">As TND is subject to revenue cap regulation, it has no </w:t>
      </w:r>
      <w:r w:rsidR="00FD74FC">
        <w:rPr>
          <w:rFonts w:asciiTheme="minorHAnsi" w:eastAsiaTheme="minorEastAsia" w:hAnsiTheme="minorHAnsi" w:cstheme="minorBidi"/>
          <w:color w:val="C00000"/>
          <w:sz w:val="24"/>
          <w:szCs w:val="22"/>
          <w:lang w:bidi="en-US"/>
        </w:rPr>
        <w:t>need to maximise the fixed component of a tariff to ensure it recovers its allowed revenue.</w:t>
      </w:r>
      <w:r>
        <w:rPr>
          <w:rFonts w:asciiTheme="minorHAnsi" w:eastAsiaTheme="minorEastAsia" w:hAnsiTheme="minorHAnsi" w:cstheme="minorBidi"/>
          <w:color w:val="C00000"/>
          <w:sz w:val="24"/>
          <w:szCs w:val="22"/>
          <w:lang w:bidi="en-US"/>
        </w:rPr>
        <w:t xml:space="preserve"> </w:t>
      </w:r>
    </w:p>
    <w:p w:rsidR="00F84BCB" w:rsidRDefault="00F84BCB" w:rsidP="000A74E1">
      <w:pPr>
        <w:pStyle w:val="AERbodytext"/>
        <w:rPr>
          <w:rFonts w:asciiTheme="minorHAnsi" w:eastAsiaTheme="minorEastAsia" w:hAnsiTheme="minorHAnsi" w:cstheme="minorBidi"/>
          <w:sz w:val="24"/>
          <w:szCs w:val="22"/>
          <w:lang w:bidi="en-US"/>
        </w:rPr>
      </w:pPr>
      <w:r w:rsidRPr="000A74E1">
        <w:rPr>
          <w:rFonts w:asciiTheme="minorHAnsi" w:eastAsiaTheme="minorEastAsia" w:hAnsiTheme="minorHAnsi" w:cstheme="minorBidi"/>
          <w:sz w:val="24"/>
          <w:szCs w:val="22"/>
          <w:lang w:bidi="en-US"/>
        </w:rPr>
        <w:t>We agree with the AER that a demand tariff at the residential and small business level is cost reflective, although making them opt-in defeats their purpose</w:t>
      </w:r>
      <w:r w:rsidR="00164452">
        <w:rPr>
          <w:rFonts w:asciiTheme="minorHAnsi" w:eastAsiaTheme="minorEastAsia" w:hAnsiTheme="minorHAnsi" w:cstheme="minorBidi"/>
          <w:sz w:val="24"/>
          <w:szCs w:val="22"/>
          <w:lang w:bidi="en-US"/>
        </w:rPr>
        <w:t xml:space="preserve"> as an opt-in approach distorts cost reflectivity as a user will only opt-in when there is a benefit, which results in others having to pay more.</w:t>
      </w:r>
    </w:p>
    <w:p w:rsidR="00164452" w:rsidRPr="000A74E1" w:rsidRDefault="00164452" w:rsidP="000A74E1">
      <w:pPr>
        <w:pStyle w:val="AERbodytext"/>
        <w:rPr>
          <w:rFonts w:asciiTheme="minorHAnsi" w:eastAsiaTheme="minorEastAsia" w:hAnsiTheme="minorHAnsi" w:cstheme="minorBidi"/>
          <w:sz w:val="24"/>
          <w:szCs w:val="22"/>
          <w:lang w:bidi="en-US"/>
        </w:rPr>
      </w:pPr>
      <w:r>
        <w:rPr>
          <w:rFonts w:asciiTheme="minorHAnsi" w:eastAsiaTheme="minorEastAsia" w:hAnsiTheme="minorHAnsi" w:cstheme="minorBidi"/>
          <w:sz w:val="24"/>
          <w:szCs w:val="22"/>
          <w:lang w:bidi="en-US"/>
        </w:rPr>
        <w:t xml:space="preserve">Cross subsidies need to be eliminated as these distort cost reflectivity. Such cross subsidies include implicit cross subsidies (such as occur from residential PV rooftop solar where with this feature </w:t>
      </w:r>
      <w:r w:rsidR="009C1DCC">
        <w:rPr>
          <w:rFonts w:asciiTheme="minorHAnsi" w:eastAsiaTheme="minorEastAsia" w:hAnsiTheme="minorHAnsi" w:cstheme="minorBidi"/>
          <w:sz w:val="24"/>
          <w:szCs w:val="22"/>
          <w:lang w:bidi="en-US"/>
        </w:rPr>
        <w:t xml:space="preserve">users </w:t>
      </w:r>
      <w:r>
        <w:rPr>
          <w:rFonts w:asciiTheme="minorHAnsi" w:eastAsiaTheme="minorEastAsia" w:hAnsiTheme="minorHAnsi" w:cstheme="minorBidi"/>
          <w:sz w:val="24"/>
          <w:szCs w:val="22"/>
          <w:lang w:bidi="en-US"/>
        </w:rPr>
        <w:t>do not pay for the cost of ensuring the network is sized sufficiently to provide back up) as well as explicit cross subsidies</w:t>
      </w:r>
      <w:r w:rsidR="009C1DCC">
        <w:rPr>
          <w:rFonts w:asciiTheme="minorHAnsi" w:eastAsiaTheme="minorEastAsia" w:hAnsiTheme="minorHAnsi" w:cstheme="minorBidi"/>
          <w:sz w:val="24"/>
          <w:szCs w:val="22"/>
          <w:lang w:bidi="en-US"/>
        </w:rPr>
        <w:t xml:space="preserve"> (such as proposed for irrigators see section 6.3.2)</w:t>
      </w:r>
      <w:r>
        <w:rPr>
          <w:rFonts w:asciiTheme="minorHAnsi" w:eastAsiaTheme="minorEastAsia" w:hAnsiTheme="minorHAnsi" w:cstheme="minorBidi"/>
          <w:sz w:val="24"/>
          <w:szCs w:val="22"/>
          <w:lang w:bidi="en-US"/>
        </w:rPr>
        <w:t xml:space="preserve">. </w:t>
      </w:r>
    </w:p>
    <w:p w:rsidR="00F84BCB" w:rsidRPr="000A74E1" w:rsidRDefault="00164452" w:rsidP="000A74E1">
      <w:pPr>
        <w:pStyle w:val="AERbodytext"/>
        <w:rPr>
          <w:rFonts w:asciiTheme="minorHAnsi" w:eastAsiaTheme="minorEastAsia" w:hAnsiTheme="minorHAnsi" w:cstheme="minorBidi"/>
          <w:sz w:val="24"/>
          <w:szCs w:val="22"/>
          <w:lang w:bidi="en-US"/>
        </w:rPr>
      </w:pPr>
      <w:r>
        <w:rPr>
          <w:rFonts w:asciiTheme="minorHAnsi" w:eastAsiaTheme="minorEastAsia" w:hAnsiTheme="minorHAnsi" w:cstheme="minorBidi"/>
          <w:sz w:val="24"/>
          <w:szCs w:val="22"/>
          <w:lang w:bidi="en-US"/>
        </w:rPr>
        <w:t>There is particular concern</w:t>
      </w:r>
      <w:r w:rsidR="00F84BCB" w:rsidRPr="000A74E1">
        <w:rPr>
          <w:rFonts w:asciiTheme="minorHAnsi" w:eastAsiaTheme="minorEastAsia" w:hAnsiTheme="minorHAnsi" w:cstheme="minorBidi"/>
          <w:sz w:val="24"/>
          <w:szCs w:val="22"/>
          <w:lang w:bidi="en-US"/>
        </w:rPr>
        <w:t xml:space="preserve"> about the timeframes for assessing the peak demand</w:t>
      </w:r>
      <w:r>
        <w:rPr>
          <w:rFonts w:asciiTheme="minorHAnsi" w:eastAsiaTheme="minorEastAsia" w:hAnsiTheme="minorHAnsi" w:cstheme="minorBidi"/>
          <w:sz w:val="24"/>
          <w:szCs w:val="22"/>
          <w:lang w:bidi="en-US"/>
        </w:rPr>
        <w:t xml:space="preserve"> </w:t>
      </w:r>
      <w:r w:rsidR="00725D14">
        <w:rPr>
          <w:rFonts w:asciiTheme="minorHAnsi" w:eastAsiaTheme="minorEastAsia" w:hAnsiTheme="minorHAnsi" w:cstheme="minorBidi"/>
          <w:sz w:val="24"/>
          <w:szCs w:val="22"/>
          <w:lang w:bidi="en-US"/>
        </w:rPr>
        <w:t xml:space="preserve">to be applied </w:t>
      </w:r>
      <w:r>
        <w:rPr>
          <w:rFonts w:asciiTheme="minorHAnsi" w:eastAsiaTheme="minorEastAsia" w:hAnsiTheme="minorHAnsi" w:cstheme="minorBidi"/>
          <w:sz w:val="24"/>
          <w:szCs w:val="22"/>
          <w:lang w:bidi="en-US"/>
        </w:rPr>
        <w:t>for the peak demand tariffs because o</w:t>
      </w:r>
      <w:r w:rsidR="00F84BCB" w:rsidRPr="000A74E1">
        <w:rPr>
          <w:rFonts w:asciiTheme="minorHAnsi" w:eastAsiaTheme="minorEastAsia" w:hAnsiTheme="minorHAnsi" w:cstheme="minorBidi"/>
          <w:sz w:val="24"/>
          <w:szCs w:val="22"/>
          <w:lang w:bidi="en-US"/>
        </w:rPr>
        <w:t xml:space="preserve">nce </w:t>
      </w:r>
      <w:r w:rsidR="00725D14">
        <w:rPr>
          <w:rFonts w:asciiTheme="minorHAnsi" w:eastAsiaTheme="minorEastAsia" w:hAnsiTheme="minorHAnsi" w:cstheme="minorBidi"/>
          <w:sz w:val="24"/>
          <w:szCs w:val="22"/>
          <w:lang w:bidi="en-US"/>
        </w:rPr>
        <w:t xml:space="preserve">the peak demand is </w:t>
      </w:r>
      <w:r w:rsidR="00F84BCB" w:rsidRPr="000A74E1">
        <w:rPr>
          <w:rFonts w:asciiTheme="minorHAnsi" w:eastAsiaTheme="minorEastAsia" w:hAnsiTheme="minorHAnsi" w:cstheme="minorBidi"/>
          <w:sz w:val="24"/>
          <w:szCs w:val="22"/>
          <w:lang w:bidi="en-US"/>
        </w:rPr>
        <w:t>reached</w:t>
      </w:r>
      <w:r>
        <w:rPr>
          <w:rFonts w:asciiTheme="minorHAnsi" w:eastAsiaTheme="minorEastAsia" w:hAnsiTheme="minorHAnsi" w:cstheme="minorBidi"/>
          <w:sz w:val="24"/>
          <w:szCs w:val="22"/>
          <w:lang w:bidi="en-US"/>
        </w:rPr>
        <w:t xml:space="preserve"> in any particular set period, </w:t>
      </w:r>
      <w:r w:rsidR="00F84BCB" w:rsidRPr="000A74E1">
        <w:rPr>
          <w:rFonts w:asciiTheme="minorHAnsi" w:eastAsiaTheme="minorEastAsia" w:hAnsiTheme="minorHAnsi" w:cstheme="minorBidi"/>
          <w:sz w:val="24"/>
          <w:szCs w:val="22"/>
          <w:lang w:bidi="en-US"/>
        </w:rPr>
        <w:t xml:space="preserve">the peak demand </w:t>
      </w:r>
      <w:r>
        <w:rPr>
          <w:rFonts w:asciiTheme="minorHAnsi" w:eastAsiaTheme="minorEastAsia" w:hAnsiTheme="minorHAnsi" w:cstheme="minorBidi"/>
          <w:sz w:val="24"/>
          <w:szCs w:val="22"/>
          <w:lang w:bidi="en-US"/>
        </w:rPr>
        <w:t xml:space="preserve">cost </w:t>
      </w:r>
      <w:r w:rsidR="00F84BCB" w:rsidRPr="000A74E1">
        <w:rPr>
          <w:rFonts w:asciiTheme="minorHAnsi" w:eastAsiaTheme="minorEastAsia" w:hAnsiTheme="minorHAnsi" w:cstheme="minorBidi"/>
          <w:sz w:val="24"/>
          <w:szCs w:val="22"/>
          <w:lang w:bidi="en-US"/>
        </w:rPr>
        <w:t xml:space="preserve">is </w:t>
      </w:r>
      <w:r>
        <w:rPr>
          <w:rFonts w:asciiTheme="minorHAnsi" w:eastAsiaTheme="minorEastAsia" w:hAnsiTheme="minorHAnsi" w:cstheme="minorBidi"/>
          <w:sz w:val="24"/>
          <w:szCs w:val="22"/>
          <w:lang w:bidi="en-US"/>
        </w:rPr>
        <w:t xml:space="preserve">then </w:t>
      </w:r>
      <w:r w:rsidR="00F84BCB" w:rsidRPr="000A74E1">
        <w:rPr>
          <w:rFonts w:asciiTheme="minorHAnsi" w:eastAsiaTheme="minorEastAsia" w:hAnsiTheme="minorHAnsi" w:cstheme="minorBidi"/>
          <w:sz w:val="24"/>
          <w:szCs w:val="22"/>
          <w:lang w:bidi="en-US"/>
        </w:rPr>
        <w:t>fixed and becomes a dis</w:t>
      </w:r>
      <w:r>
        <w:rPr>
          <w:rFonts w:asciiTheme="minorHAnsi" w:eastAsiaTheme="minorEastAsia" w:hAnsiTheme="minorHAnsi" w:cstheme="minorBidi"/>
          <w:sz w:val="24"/>
          <w:szCs w:val="22"/>
          <w:lang w:bidi="en-US"/>
        </w:rPr>
        <w:t>incentive for subsequent action. CCP4(DH) considers</w:t>
      </w:r>
      <w:r w:rsidR="00285BCF">
        <w:rPr>
          <w:rFonts w:asciiTheme="minorHAnsi" w:eastAsiaTheme="minorEastAsia" w:hAnsiTheme="minorHAnsi" w:cstheme="minorBidi"/>
          <w:sz w:val="24"/>
          <w:szCs w:val="22"/>
          <w:lang w:bidi="en-US"/>
        </w:rPr>
        <w:t xml:space="preserve"> that there should be a continuous incentive</w:t>
      </w:r>
      <w:r w:rsidR="00285BCF">
        <w:rPr>
          <w:rStyle w:val="FootnoteReference"/>
          <w:rFonts w:asciiTheme="minorHAnsi" w:eastAsiaTheme="minorEastAsia" w:hAnsiTheme="minorHAnsi" w:cstheme="minorBidi"/>
          <w:sz w:val="24"/>
          <w:szCs w:val="22"/>
          <w:lang w:bidi="en-US"/>
        </w:rPr>
        <w:footnoteReference w:id="20"/>
      </w:r>
      <w:r w:rsidR="00285BCF">
        <w:rPr>
          <w:rFonts w:asciiTheme="minorHAnsi" w:eastAsiaTheme="minorEastAsia" w:hAnsiTheme="minorHAnsi" w:cstheme="minorBidi"/>
          <w:sz w:val="24"/>
          <w:szCs w:val="22"/>
          <w:lang w:bidi="en-US"/>
        </w:rPr>
        <w:t xml:space="preserve"> to limit peak demand. </w:t>
      </w:r>
    </w:p>
    <w:p w:rsidR="00F84BCB" w:rsidRPr="000A74E1" w:rsidRDefault="00F84BCB" w:rsidP="000A74E1">
      <w:pPr>
        <w:pStyle w:val="AERbodytext"/>
        <w:rPr>
          <w:rFonts w:asciiTheme="minorHAnsi" w:eastAsiaTheme="minorEastAsia" w:hAnsiTheme="minorHAnsi" w:cstheme="minorBidi"/>
          <w:sz w:val="24"/>
          <w:szCs w:val="22"/>
          <w:lang w:bidi="en-US"/>
        </w:rPr>
      </w:pPr>
      <w:r w:rsidRPr="000A74E1">
        <w:rPr>
          <w:rFonts w:asciiTheme="minorHAnsi" w:eastAsiaTheme="minorEastAsia" w:hAnsiTheme="minorHAnsi" w:cstheme="minorBidi"/>
          <w:sz w:val="24"/>
          <w:szCs w:val="22"/>
          <w:lang w:bidi="en-US"/>
        </w:rPr>
        <w:lastRenderedPageBreak/>
        <w:t>There is a need to harmonise distribution tariffs with retailer tariffs</w:t>
      </w:r>
      <w:r w:rsidR="00164452">
        <w:rPr>
          <w:rFonts w:asciiTheme="minorHAnsi" w:eastAsiaTheme="minorEastAsia" w:hAnsiTheme="minorHAnsi" w:cstheme="minorBidi"/>
          <w:sz w:val="24"/>
          <w:szCs w:val="22"/>
          <w:lang w:bidi="en-US"/>
        </w:rPr>
        <w:t xml:space="preserve"> and it is not clear that this has been done</w:t>
      </w:r>
      <w:r w:rsidR="00285BCF">
        <w:rPr>
          <w:rFonts w:asciiTheme="minorHAnsi" w:eastAsiaTheme="minorEastAsia" w:hAnsiTheme="minorHAnsi" w:cstheme="minorBidi"/>
          <w:sz w:val="24"/>
          <w:szCs w:val="22"/>
          <w:lang w:bidi="en-US"/>
        </w:rPr>
        <w:t xml:space="preserve"> or was a key element of the development of the TSS</w:t>
      </w:r>
    </w:p>
    <w:p w:rsidR="00303C9F" w:rsidRDefault="00017314">
      <w:pPr>
        <w:spacing w:line="240" w:lineRule="auto"/>
        <w:rPr>
          <w:sz w:val="24"/>
        </w:rPr>
      </w:pPr>
      <w:r>
        <w:rPr>
          <w:sz w:val="24"/>
        </w:rPr>
        <w:t xml:space="preserve">It is noted that too fast a transition to a more cost reflective tariff arrangement will result in price shocks to some consumers. With this in mind, this report considers that there must be a transition to unwind non-cost reflective tariffs. While a 15 year transition period is proposed, this period of time is excessive and reduced, perhaps to be fully operational before the completion of the regulatory period after the next period. </w:t>
      </w:r>
      <w:r w:rsidR="00285BCF" w:rsidRPr="000A74E1">
        <w:rPr>
          <w:sz w:val="24"/>
        </w:rPr>
        <w:t xml:space="preserve"> </w:t>
      </w:r>
    </w:p>
    <w:p w:rsidR="001B242F" w:rsidRDefault="001B242F" w:rsidP="00303C9F">
      <w:pPr>
        <w:pStyle w:val="AERbodytext"/>
        <w:rPr>
          <w:sz w:val="24"/>
        </w:rPr>
      </w:pPr>
    </w:p>
    <w:sectPr w:rsidR="001B242F" w:rsidSect="007E491A">
      <w:headerReference w:type="default" r:id="rId17"/>
      <w:footerReference w:type="default" r:id="rId18"/>
      <w:pgSz w:w="11906" w:h="16838" w:code="9"/>
      <w:pgMar w:top="500" w:right="1558" w:bottom="1797"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20" w:rsidRDefault="00F14420" w:rsidP="00054BA4">
      <w:pPr>
        <w:spacing w:after="0" w:line="240" w:lineRule="auto"/>
      </w:pPr>
      <w:r>
        <w:separator/>
      </w:r>
    </w:p>
  </w:endnote>
  <w:endnote w:type="continuationSeparator" w:id="0">
    <w:p w:rsidR="00F14420" w:rsidRDefault="00F14420" w:rsidP="0005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B2" w:rsidRPr="00350C05" w:rsidRDefault="009045B2" w:rsidP="00350C05">
    <w:pPr>
      <w:pStyle w:val="Footer"/>
      <w:jc w:val="right"/>
    </w:pPr>
    <w:r w:rsidRPr="00350C05">
      <w:rPr>
        <w:rFonts w:cs="Arial"/>
        <w:b/>
        <w:color w:val="7F7F7F"/>
        <w:spacing w:val="60"/>
        <w:sz w:val="24"/>
        <w:szCs w:val="24"/>
      </w:rPr>
      <w:t>Page</w:t>
    </w:r>
    <w:r w:rsidRPr="00350C05">
      <w:rPr>
        <w:rFonts w:cs="Arial"/>
        <w:b/>
        <w:sz w:val="24"/>
        <w:szCs w:val="24"/>
      </w:rPr>
      <w:t xml:space="preserve"> | </w:t>
    </w:r>
    <w:r w:rsidR="00DA4068" w:rsidRPr="00350C05">
      <w:rPr>
        <w:rFonts w:cs="Arial"/>
        <w:b/>
        <w:sz w:val="24"/>
        <w:szCs w:val="24"/>
      </w:rPr>
      <w:fldChar w:fldCharType="begin"/>
    </w:r>
    <w:r w:rsidRPr="00350C05">
      <w:rPr>
        <w:rFonts w:cs="Arial"/>
        <w:b/>
        <w:sz w:val="24"/>
        <w:szCs w:val="24"/>
      </w:rPr>
      <w:instrText xml:space="preserve"> PAGE   \* MERGEFORMAT </w:instrText>
    </w:r>
    <w:r w:rsidR="00DA4068" w:rsidRPr="00350C05">
      <w:rPr>
        <w:rFonts w:cs="Arial"/>
        <w:b/>
        <w:sz w:val="24"/>
        <w:szCs w:val="24"/>
      </w:rPr>
      <w:fldChar w:fldCharType="separate"/>
    </w:r>
    <w:r w:rsidR="007E602D">
      <w:rPr>
        <w:rFonts w:cs="Arial"/>
        <w:b/>
        <w:noProof/>
        <w:sz w:val="24"/>
        <w:szCs w:val="24"/>
      </w:rPr>
      <w:t>4</w:t>
    </w:r>
    <w:r w:rsidR="00DA4068" w:rsidRPr="00350C05">
      <w:rPr>
        <w:rFonts w:cs="Arial"/>
        <w:b/>
        <w:sz w:val="24"/>
        <w:szCs w:val="24"/>
      </w:rPr>
      <w:fldChar w:fldCharType="end"/>
    </w:r>
  </w:p>
  <w:p w:rsidR="009045B2" w:rsidRDefault="00904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20" w:rsidRDefault="00F14420" w:rsidP="00054BA4">
      <w:pPr>
        <w:spacing w:after="0" w:line="240" w:lineRule="auto"/>
      </w:pPr>
      <w:r>
        <w:separator/>
      </w:r>
    </w:p>
  </w:footnote>
  <w:footnote w:type="continuationSeparator" w:id="0">
    <w:p w:rsidR="00F14420" w:rsidRDefault="00F14420" w:rsidP="00054BA4">
      <w:pPr>
        <w:spacing w:after="0" w:line="240" w:lineRule="auto"/>
      </w:pPr>
      <w:r>
        <w:continuationSeparator/>
      </w:r>
    </w:p>
  </w:footnote>
  <w:footnote w:id="1">
    <w:p w:rsidR="009045B2" w:rsidRPr="00F21805" w:rsidRDefault="009045B2" w:rsidP="00367146">
      <w:pPr>
        <w:pStyle w:val="FootnoteText"/>
        <w:tabs>
          <w:tab w:val="clear" w:pos="426"/>
          <w:tab w:val="left" w:pos="0"/>
        </w:tabs>
        <w:ind w:left="0" w:firstLine="0"/>
        <w:rPr>
          <w:rFonts w:asciiTheme="minorHAnsi" w:hAnsiTheme="minorHAnsi" w:cstheme="minorHAnsi"/>
          <w:sz w:val="20"/>
        </w:rPr>
      </w:pPr>
      <w:r w:rsidRPr="00613DCC">
        <w:rPr>
          <w:rStyle w:val="FootnoteReference"/>
          <w:rFonts w:asciiTheme="minorHAnsi" w:hAnsiTheme="minorHAnsi" w:cstheme="minorHAnsi"/>
          <w:sz w:val="20"/>
        </w:rPr>
        <w:footnoteRef/>
      </w:r>
      <w:r w:rsidRPr="00613DCC">
        <w:rPr>
          <w:rFonts w:asciiTheme="minorHAnsi" w:hAnsiTheme="minorHAnsi" w:cstheme="minorHAnsi"/>
          <w:sz w:val="20"/>
        </w:rPr>
        <w:t xml:space="preserve"> The sales used for this comparison are derived from the NIEIR report (</w:t>
      </w:r>
      <w:r w:rsidRPr="00613DCC">
        <w:rPr>
          <w:rFonts w:asciiTheme="minorHAnsi" w:hAnsiTheme="minorHAnsi" w:cstheme="minorHAnsi"/>
          <w:sz w:val="20"/>
          <w:lang w:eastAsia="en-AU"/>
        </w:rPr>
        <w:t>Electricity sales and maximum demand forecasts for Tasmania to 2045, base case</w:t>
      </w:r>
      <w:r w:rsidRPr="00613DCC">
        <w:rPr>
          <w:rStyle w:val="FootnoteReference"/>
          <w:rFonts w:asciiTheme="minorHAnsi" w:hAnsiTheme="minorHAnsi" w:cstheme="minorHAnsi"/>
          <w:sz w:val="20"/>
          <w:lang w:eastAsia="en-AU"/>
        </w:rPr>
        <w:footnoteRef/>
      </w:r>
      <w:r w:rsidRPr="00613DCC">
        <w:rPr>
          <w:rFonts w:asciiTheme="minorHAnsi" w:hAnsiTheme="minorHAnsi" w:cstheme="minorHAnsi"/>
          <w:sz w:val="20"/>
          <w:lang w:eastAsia="en-AU"/>
        </w:rPr>
        <w:t xml:space="preserve">) </w:t>
      </w:r>
      <w:r w:rsidRPr="00613DCC">
        <w:rPr>
          <w:rFonts w:asciiTheme="minorHAnsi" w:hAnsiTheme="minorHAnsi" w:cstheme="minorHAnsi"/>
          <w:sz w:val="20"/>
        </w:rPr>
        <w:t>and the revenue (adjusted for inflation differences) from TND TN059 Post Tax Revenue Model (PTRM) Summary page</w:t>
      </w:r>
    </w:p>
  </w:footnote>
  <w:footnote w:id="2">
    <w:p w:rsidR="009045B2" w:rsidRDefault="009045B2">
      <w:pPr>
        <w:pStyle w:val="FootnoteText"/>
        <w:tabs>
          <w:tab w:val="clear" w:pos="426"/>
          <w:tab w:val="left" w:pos="0"/>
        </w:tabs>
        <w:ind w:left="0" w:firstLine="0"/>
        <w:rPr>
          <w:rFonts w:asciiTheme="minorHAnsi" w:hAnsiTheme="minorHAnsi" w:cstheme="minorHAnsi"/>
          <w:sz w:val="20"/>
        </w:rPr>
      </w:pPr>
      <w:r w:rsidRPr="00613DCC">
        <w:rPr>
          <w:rStyle w:val="FootnoteReference"/>
          <w:rFonts w:asciiTheme="minorHAnsi" w:hAnsiTheme="minorHAnsi" w:cstheme="minorHAnsi"/>
          <w:sz w:val="20"/>
        </w:rPr>
        <w:footnoteRef/>
      </w:r>
      <w:r w:rsidRPr="00613DCC">
        <w:rPr>
          <w:rFonts w:asciiTheme="minorHAnsi" w:hAnsiTheme="minorHAnsi" w:cstheme="minorHAnsi"/>
          <w:sz w:val="20"/>
        </w:rPr>
        <w:t xml:space="preserve"> Since the AER published its draft decision, the risk free rate has nearly returned to the value used by TND, removing much of the difference between the TND and AER allowed revenue streams</w:t>
      </w:r>
    </w:p>
  </w:footnote>
  <w:footnote w:id="3">
    <w:p w:rsidR="009045B2" w:rsidRPr="00E92921" w:rsidRDefault="009045B2" w:rsidP="00E92921">
      <w:pPr>
        <w:pStyle w:val="FootnoteText"/>
        <w:tabs>
          <w:tab w:val="clear" w:pos="426"/>
          <w:tab w:val="left" w:pos="0"/>
        </w:tabs>
        <w:ind w:left="0" w:firstLine="0"/>
        <w:rPr>
          <w:rStyle w:val="FootnoteReference"/>
          <w:rFonts w:asciiTheme="minorHAnsi" w:hAnsiTheme="minorHAnsi" w:cstheme="minorHAnsi"/>
          <w:sz w:val="20"/>
        </w:rPr>
      </w:pPr>
      <w:r w:rsidRPr="00E92921">
        <w:rPr>
          <w:rStyle w:val="FootnoteReference"/>
          <w:rFonts w:asciiTheme="minorHAnsi" w:hAnsiTheme="minorHAnsi" w:cstheme="minorHAnsi"/>
          <w:sz w:val="20"/>
        </w:rPr>
        <w:footnoteRef/>
      </w:r>
      <w:r w:rsidRPr="00E92921">
        <w:rPr>
          <w:rFonts w:asciiTheme="minorHAnsi" w:hAnsiTheme="minorHAnsi" w:cstheme="minorHAnsi"/>
          <w:sz w:val="20"/>
        </w:rPr>
        <w:t xml:space="preserve"> It is also noted that both the USA and Australia</w:t>
      </w:r>
      <w:r>
        <w:rPr>
          <w:rFonts w:asciiTheme="minorHAnsi" w:hAnsiTheme="minorHAnsi" w:cstheme="minorHAnsi"/>
          <w:sz w:val="20"/>
        </w:rPr>
        <w:t xml:space="preserve"> both have a credit rating of AAA yet the USA has a much lower cost for its debt than does Australia</w:t>
      </w:r>
    </w:p>
  </w:footnote>
  <w:footnote w:id="4">
    <w:p w:rsidR="009045B2" w:rsidRPr="001608A7" w:rsidRDefault="009045B2" w:rsidP="00D8149C">
      <w:pPr>
        <w:pStyle w:val="FootnoteText"/>
        <w:tabs>
          <w:tab w:val="clear" w:pos="426"/>
          <w:tab w:val="left" w:pos="0"/>
        </w:tabs>
        <w:ind w:left="0" w:firstLine="0"/>
        <w:rPr>
          <w:rStyle w:val="FootnoteReference"/>
          <w:color w:val="C00000"/>
        </w:rPr>
      </w:pPr>
      <w:r w:rsidRPr="001608A7">
        <w:rPr>
          <w:rStyle w:val="FootnoteReference"/>
          <w:rFonts w:asciiTheme="minorHAnsi" w:hAnsiTheme="minorHAnsi" w:cstheme="minorHAnsi"/>
          <w:color w:val="C00000"/>
          <w:sz w:val="20"/>
        </w:rPr>
        <w:footnoteRef/>
      </w:r>
      <w:r w:rsidRPr="001608A7">
        <w:rPr>
          <w:rFonts w:asciiTheme="minorHAnsi" w:hAnsiTheme="minorHAnsi" w:cstheme="minorHAnsi"/>
          <w:color w:val="C00000"/>
          <w:sz w:val="20"/>
        </w:rPr>
        <w:t xml:space="preserve"> TND notes that the impact of these storms has been taken forward into the estimates of opex so they are at least in part seen as continuing costs</w:t>
      </w:r>
    </w:p>
  </w:footnote>
  <w:footnote w:id="5">
    <w:p w:rsidR="009045B2" w:rsidRPr="002F5677" w:rsidRDefault="009045B2">
      <w:pPr>
        <w:pStyle w:val="FootnoteText"/>
        <w:rPr>
          <w:rFonts w:asciiTheme="minorHAnsi" w:hAnsiTheme="minorHAnsi" w:cstheme="minorHAnsi"/>
          <w:sz w:val="20"/>
        </w:rPr>
      </w:pPr>
      <w:r w:rsidRPr="00613DCC">
        <w:rPr>
          <w:rStyle w:val="FootnoteReference"/>
          <w:rFonts w:asciiTheme="minorHAnsi" w:hAnsiTheme="minorHAnsi" w:cstheme="minorHAnsi"/>
          <w:sz w:val="20"/>
        </w:rPr>
        <w:footnoteRef/>
      </w:r>
      <w:r w:rsidRPr="00613DCC">
        <w:rPr>
          <w:rFonts w:asciiTheme="minorHAnsi" w:hAnsiTheme="minorHAnsi" w:cstheme="minorHAnsi"/>
          <w:sz w:val="20"/>
        </w:rPr>
        <w:t xml:space="preserve"> A price cap regulatory decision requires a detailed assessment of expected volumes of sales.</w:t>
      </w:r>
    </w:p>
  </w:footnote>
  <w:footnote w:id="6">
    <w:p w:rsidR="009045B2" w:rsidRPr="009D165C" w:rsidRDefault="009045B2">
      <w:pPr>
        <w:pStyle w:val="FootnoteText"/>
        <w:rPr>
          <w:rFonts w:asciiTheme="minorHAnsi" w:hAnsiTheme="minorHAnsi" w:cstheme="minorHAnsi"/>
          <w:sz w:val="20"/>
        </w:rPr>
      </w:pPr>
      <w:r w:rsidRPr="009D165C">
        <w:rPr>
          <w:rStyle w:val="FootnoteReference"/>
          <w:rFonts w:asciiTheme="minorHAnsi" w:hAnsiTheme="minorHAnsi" w:cstheme="minorHAnsi"/>
          <w:sz w:val="20"/>
        </w:rPr>
        <w:footnoteRef/>
      </w:r>
      <w:r w:rsidRPr="009D165C">
        <w:rPr>
          <w:rFonts w:asciiTheme="minorHAnsi" w:hAnsiTheme="minorHAnsi" w:cstheme="minorHAnsi"/>
          <w:sz w:val="20"/>
        </w:rPr>
        <w:t xml:space="preserve"> Such “back loading” by TND provides a considerable financial benefit to TND</w:t>
      </w:r>
    </w:p>
  </w:footnote>
  <w:footnote w:id="7">
    <w:p w:rsidR="009045B2" w:rsidRPr="00ED2AA7" w:rsidRDefault="009045B2">
      <w:pPr>
        <w:pStyle w:val="FootnoteText"/>
        <w:rPr>
          <w:rFonts w:asciiTheme="minorHAnsi" w:hAnsiTheme="minorHAnsi" w:cstheme="minorHAnsi"/>
          <w:sz w:val="20"/>
        </w:rPr>
      </w:pPr>
      <w:r w:rsidRPr="00ED2AA7">
        <w:rPr>
          <w:rStyle w:val="FootnoteReference"/>
          <w:rFonts w:asciiTheme="minorHAnsi" w:hAnsiTheme="minorHAnsi" w:cstheme="minorHAnsi"/>
          <w:sz w:val="20"/>
        </w:rPr>
        <w:footnoteRef/>
      </w:r>
      <w:r w:rsidRPr="00ED2AA7">
        <w:rPr>
          <w:rFonts w:asciiTheme="minorHAnsi" w:hAnsiTheme="minorHAnsi" w:cstheme="minorHAnsi"/>
          <w:sz w:val="20"/>
        </w:rPr>
        <w:t xml:space="preserve"> Note that the amounts are gross ie exclude customer contributions</w:t>
      </w:r>
    </w:p>
  </w:footnote>
  <w:footnote w:id="8">
    <w:p w:rsidR="009045B2" w:rsidRPr="006A6000" w:rsidRDefault="009045B2" w:rsidP="006A6000">
      <w:pPr>
        <w:pStyle w:val="FootnoteText"/>
        <w:tabs>
          <w:tab w:val="clear" w:pos="426"/>
          <w:tab w:val="left" w:pos="0"/>
        </w:tabs>
        <w:ind w:left="0" w:firstLine="0"/>
        <w:rPr>
          <w:rFonts w:asciiTheme="minorHAnsi" w:hAnsiTheme="minorHAnsi" w:cstheme="minorHAnsi"/>
          <w:sz w:val="20"/>
        </w:rPr>
      </w:pPr>
      <w:r w:rsidRPr="006A6000">
        <w:rPr>
          <w:rStyle w:val="FootnoteReference"/>
          <w:rFonts w:asciiTheme="minorHAnsi" w:hAnsiTheme="minorHAnsi" w:cstheme="minorHAnsi"/>
          <w:sz w:val="20"/>
        </w:rPr>
        <w:footnoteRef/>
      </w:r>
      <w:r w:rsidRPr="006A6000">
        <w:rPr>
          <w:rFonts w:asciiTheme="minorHAnsi" w:hAnsiTheme="minorHAnsi" w:cstheme="minorHAnsi"/>
          <w:sz w:val="20"/>
        </w:rPr>
        <w:t xml:space="preserve"> </w:t>
      </w:r>
      <w:r>
        <w:rPr>
          <w:rFonts w:asciiTheme="minorHAnsi" w:hAnsiTheme="minorHAnsi" w:cstheme="minorHAnsi"/>
          <w:sz w:val="20"/>
        </w:rPr>
        <w:t>In fact, this report considers that all consumers of the same class paying the same tariff for the service provided, should get the same reliability.</w:t>
      </w:r>
    </w:p>
  </w:footnote>
  <w:footnote w:id="9">
    <w:p w:rsidR="009045B2" w:rsidRPr="00BD7721" w:rsidRDefault="009045B2">
      <w:pPr>
        <w:pStyle w:val="FootnoteText"/>
        <w:rPr>
          <w:rFonts w:asciiTheme="minorHAnsi" w:hAnsiTheme="minorHAnsi" w:cstheme="minorHAnsi"/>
          <w:sz w:val="20"/>
        </w:rPr>
      </w:pPr>
      <w:r w:rsidRPr="00BD7721">
        <w:rPr>
          <w:rStyle w:val="FootnoteReference"/>
          <w:rFonts w:asciiTheme="minorHAnsi" w:hAnsiTheme="minorHAnsi" w:cstheme="minorHAnsi"/>
          <w:sz w:val="20"/>
        </w:rPr>
        <w:footnoteRef/>
      </w:r>
      <w:r w:rsidRPr="00BD7721">
        <w:rPr>
          <w:rFonts w:asciiTheme="minorHAnsi" w:hAnsiTheme="minorHAnsi" w:cstheme="minorHAnsi"/>
          <w:sz w:val="20"/>
        </w:rPr>
        <w:t xml:space="preserve"> </w:t>
      </w:r>
      <w:r>
        <w:rPr>
          <w:rFonts w:asciiTheme="minorHAnsi" w:hAnsiTheme="minorHAnsi" w:cstheme="minorHAnsi"/>
          <w:sz w:val="20"/>
        </w:rPr>
        <w:t>It is noted that the repex model does include some data earlier than the 1990s</w:t>
      </w:r>
    </w:p>
  </w:footnote>
  <w:footnote w:id="10">
    <w:p w:rsidR="009045B2" w:rsidRPr="00B034A5" w:rsidRDefault="009045B2" w:rsidP="00B034A5">
      <w:pPr>
        <w:pStyle w:val="FootnoteText"/>
        <w:tabs>
          <w:tab w:val="clear" w:pos="426"/>
          <w:tab w:val="left" w:pos="0"/>
        </w:tabs>
        <w:ind w:left="0" w:firstLine="0"/>
        <w:rPr>
          <w:rFonts w:asciiTheme="minorHAnsi" w:hAnsiTheme="minorHAnsi" w:cstheme="minorHAnsi"/>
          <w:sz w:val="20"/>
        </w:rPr>
      </w:pPr>
      <w:r w:rsidRPr="00B034A5">
        <w:rPr>
          <w:rStyle w:val="FootnoteReference"/>
          <w:rFonts w:asciiTheme="minorHAnsi" w:hAnsiTheme="minorHAnsi" w:cstheme="minorHAnsi"/>
          <w:sz w:val="20"/>
        </w:rPr>
        <w:footnoteRef/>
      </w:r>
      <w:r w:rsidRPr="00B034A5">
        <w:rPr>
          <w:rFonts w:asciiTheme="minorHAnsi" w:hAnsiTheme="minorHAnsi" w:cstheme="minorHAnsi"/>
          <w:sz w:val="20"/>
        </w:rPr>
        <w:t xml:space="preserve"> For example, the input data price and expected lives of assets used in the repex model show some distinct </w:t>
      </w:r>
      <w:r>
        <w:rPr>
          <w:rFonts w:asciiTheme="minorHAnsi" w:hAnsiTheme="minorHAnsi" w:cstheme="minorHAnsi"/>
          <w:sz w:val="20"/>
        </w:rPr>
        <w:t xml:space="preserve">anomalies between different classifications (eg why is a staked pole just as expensive as a new concrete pole, why is the life of a concrete pole vary so much with the voltage of the conductors it carries?  </w:t>
      </w:r>
    </w:p>
  </w:footnote>
  <w:footnote w:id="11">
    <w:p w:rsidR="009045B2" w:rsidRPr="00C276D5" w:rsidRDefault="009045B2">
      <w:pPr>
        <w:pStyle w:val="FootnoteText"/>
        <w:rPr>
          <w:rFonts w:asciiTheme="minorHAnsi" w:hAnsiTheme="minorHAnsi" w:cstheme="minorHAnsi"/>
          <w:sz w:val="20"/>
        </w:rPr>
      </w:pPr>
      <w:r w:rsidRPr="00C276D5">
        <w:rPr>
          <w:rStyle w:val="FootnoteReference"/>
          <w:rFonts w:asciiTheme="minorHAnsi" w:hAnsiTheme="minorHAnsi" w:cstheme="minorHAnsi"/>
          <w:sz w:val="20"/>
        </w:rPr>
        <w:footnoteRef/>
      </w:r>
      <w:r w:rsidRPr="00C276D5">
        <w:rPr>
          <w:rFonts w:asciiTheme="minorHAnsi" w:hAnsiTheme="minorHAnsi" w:cstheme="minorHAnsi"/>
          <w:sz w:val="20"/>
        </w:rPr>
        <w:t xml:space="preserve"> This includes both distribution and transmission assets </w:t>
      </w:r>
    </w:p>
  </w:footnote>
  <w:footnote w:id="12">
    <w:p w:rsidR="009045B2" w:rsidRPr="00845972" w:rsidRDefault="009045B2" w:rsidP="00882493">
      <w:pPr>
        <w:pStyle w:val="FootnoteText"/>
        <w:tabs>
          <w:tab w:val="clear" w:pos="426"/>
          <w:tab w:val="left" w:pos="0"/>
        </w:tabs>
        <w:ind w:left="0" w:firstLine="0"/>
        <w:rPr>
          <w:rFonts w:asciiTheme="minorHAnsi" w:hAnsiTheme="minorHAnsi" w:cstheme="minorHAnsi"/>
          <w:sz w:val="20"/>
        </w:rPr>
      </w:pPr>
      <w:r w:rsidRPr="00882493">
        <w:rPr>
          <w:rStyle w:val="FootnoteReference"/>
          <w:rFonts w:asciiTheme="minorHAnsi" w:hAnsiTheme="minorHAnsi" w:cstheme="minorHAnsi"/>
          <w:sz w:val="20"/>
        </w:rPr>
        <w:footnoteRef/>
      </w:r>
      <w:r w:rsidRPr="00882493">
        <w:rPr>
          <w:rFonts w:asciiTheme="minorHAnsi" w:hAnsiTheme="minorHAnsi" w:cstheme="minorHAnsi"/>
          <w:sz w:val="20"/>
        </w:rPr>
        <w:t xml:space="preserve"> </w:t>
      </w:r>
      <w:r>
        <w:rPr>
          <w:rFonts w:asciiTheme="minorHAnsi" w:hAnsiTheme="minorHAnsi" w:cstheme="minorHAnsi"/>
          <w:sz w:val="20"/>
        </w:rPr>
        <w:t xml:space="preserve">It should be noted that not all of the net debt is interest bearing (eg employee benefits and deferred tax </w:t>
      </w:r>
      <w:r w:rsidRPr="00845972">
        <w:rPr>
          <w:rFonts w:asciiTheme="minorHAnsi" w:hAnsiTheme="minorHAnsi" w:cstheme="minorHAnsi"/>
          <w:sz w:val="20"/>
        </w:rPr>
        <w:t>benefits</w:t>
      </w:r>
    </w:p>
  </w:footnote>
  <w:footnote w:id="13">
    <w:p w:rsidR="009045B2" w:rsidRPr="00845972" w:rsidRDefault="009045B2" w:rsidP="00845972">
      <w:pPr>
        <w:pStyle w:val="FootnoteText"/>
        <w:tabs>
          <w:tab w:val="clear" w:pos="426"/>
          <w:tab w:val="left" w:pos="-90"/>
        </w:tabs>
        <w:ind w:left="0" w:firstLine="0"/>
        <w:rPr>
          <w:rFonts w:asciiTheme="minorHAnsi" w:hAnsiTheme="minorHAnsi" w:cstheme="minorHAnsi"/>
          <w:sz w:val="20"/>
        </w:rPr>
      </w:pPr>
      <w:r w:rsidRPr="00845972">
        <w:rPr>
          <w:rStyle w:val="FootnoteReference"/>
          <w:rFonts w:asciiTheme="minorHAnsi" w:hAnsiTheme="minorHAnsi" w:cstheme="minorHAnsi"/>
          <w:sz w:val="20"/>
        </w:rPr>
        <w:footnoteRef/>
      </w:r>
      <w:r w:rsidRPr="00845972">
        <w:rPr>
          <w:rFonts w:asciiTheme="minorHAnsi" w:hAnsiTheme="minorHAnsi" w:cstheme="minorHAnsi"/>
          <w:sz w:val="20"/>
        </w:rPr>
        <w:t xml:space="preserve"> </w:t>
      </w:r>
      <w:r>
        <w:rPr>
          <w:rFonts w:asciiTheme="minorHAnsi" w:hAnsiTheme="minorHAnsi" w:cstheme="minorHAnsi"/>
          <w:sz w:val="20"/>
        </w:rPr>
        <w:t>This is arguable because TasNetworks does not pay any cost in relation to a number of debt elements (eg the employee benefits or trade and other payables)</w:t>
      </w:r>
    </w:p>
  </w:footnote>
  <w:footnote w:id="14">
    <w:p w:rsidR="009045B2" w:rsidRPr="004F63E6" w:rsidRDefault="009045B2" w:rsidP="004F63E6">
      <w:pPr>
        <w:pStyle w:val="FootnoteText"/>
        <w:tabs>
          <w:tab w:val="clear" w:pos="426"/>
          <w:tab w:val="left" w:pos="0"/>
        </w:tabs>
        <w:ind w:left="0" w:firstLine="0"/>
        <w:rPr>
          <w:rFonts w:asciiTheme="minorHAnsi" w:hAnsiTheme="minorHAnsi" w:cstheme="minorHAnsi"/>
          <w:sz w:val="20"/>
        </w:rPr>
      </w:pPr>
      <w:r w:rsidRPr="004F63E6">
        <w:rPr>
          <w:rStyle w:val="FootnoteReference"/>
          <w:rFonts w:asciiTheme="minorHAnsi" w:hAnsiTheme="minorHAnsi" w:cstheme="minorHAnsi"/>
          <w:sz w:val="20"/>
        </w:rPr>
        <w:footnoteRef/>
      </w:r>
      <w:r w:rsidRPr="004F63E6">
        <w:rPr>
          <w:rFonts w:asciiTheme="minorHAnsi" w:hAnsiTheme="minorHAnsi" w:cstheme="minorHAnsi"/>
          <w:sz w:val="20"/>
        </w:rPr>
        <w:t xml:space="preserve"> See for example the CCP4 </w:t>
      </w:r>
      <w:r>
        <w:rPr>
          <w:rFonts w:asciiTheme="minorHAnsi" w:hAnsiTheme="minorHAnsi" w:cstheme="minorHAnsi"/>
          <w:sz w:val="20"/>
        </w:rPr>
        <w:t xml:space="preserve">(Grant and Headberry) </w:t>
      </w:r>
      <w:r w:rsidRPr="004F63E6">
        <w:rPr>
          <w:rFonts w:asciiTheme="minorHAnsi" w:hAnsiTheme="minorHAnsi" w:cstheme="minorHAnsi"/>
          <w:sz w:val="20"/>
        </w:rPr>
        <w:t>work carried out on the Powerlink proposal</w:t>
      </w:r>
      <w:r>
        <w:rPr>
          <w:rFonts w:asciiTheme="minorHAnsi" w:hAnsiTheme="minorHAnsi" w:cstheme="minorHAnsi"/>
          <w:sz w:val="20"/>
        </w:rPr>
        <w:t xml:space="preserve"> available at </w:t>
      </w:r>
      <w:hyperlink r:id="rId1" w:history="1">
        <w:r w:rsidRPr="00343BBB">
          <w:rPr>
            <w:rStyle w:val="Hyperlink"/>
            <w:rFonts w:asciiTheme="minorHAnsi" w:hAnsiTheme="minorHAnsi" w:cstheme="minorHAnsi"/>
            <w:sz w:val="20"/>
          </w:rPr>
          <w:t>https://www.aer.gov.au/networks-pipelines/determinations-access-arrangements/powerlink-determination-2017-2022/challenge-panel</w:t>
        </w:r>
      </w:hyperlink>
      <w:r>
        <w:rPr>
          <w:rFonts w:asciiTheme="minorHAnsi" w:hAnsiTheme="minorHAnsi" w:cstheme="minorHAnsi"/>
          <w:sz w:val="20"/>
        </w:rPr>
        <w:t xml:space="preserve"> </w:t>
      </w:r>
    </w:p>
  </w:footnote>
  <w:footnote w:id="15">
    <w:p w:rsidR="009045B2" w:rsidRPr="00C70AF4" w:rsidRDefault="009045B2" w:rsidP="00BD2DEC">
      <w:pPr>
        <w:pStyle w:val="FootnoteText"/>
        <w:tabs>
          <w:tab w:val="clear" w:pos="426"/>
          <w:tab w:val="left" w:pos="0"/>
        </w:tabs>
        <w:ind w:left="0" w:firstLine="0"/>
        <w:rPr>
          <w:rFonts w:asciiTheme="minorHAnsi" w:hAnsiTheme="minorHAnsi" w:cstheme="minorHAnsi"/>
          <w:sz w:val="20"/>
        </w:rPr>
      </w:pPr>
      <w:r w:rsidRPr="00C70AF4">
        <w:rPr>
          <w:rStyle w:val="FootnoteReference"/>
          <w:rFonts w:asciiTheme="minorHAnsi" w:hAnsiTheme="minorHAnsi" w:cstheme="minorHAnsi"/>
          <w:sz w:val="20"/>
        </w:rPr>
        <w:footnoteRef/>
      </w:r>
      <w:r w:rsidRPr="00C70AF4">
        <w:rPr>
          <w:rFonts w:asciiTheme="minorHAnsi" w:hAnsiTheme="minorHAnsi" w:cstheme="minorHAnsi"/>
          <w:sz w:val="20"/>
        </w:rPr>
        <w:t xml:space="preserve"> </w:t>
      </w:r>
      <w:r>
        <w:rPr>
          <w:rFonts w:asciiTheme="minorHAnsi" w:hAnsiTheme="minorHAnsi" w:cstheme="minorHAnsi"/>
          <w:sz w:val="20"/>
        </w:rPr>
        <w:t xml:space="preserve">For example, if a block of land is rezoned, it is likely that the asset will have appreciated in value and the increase in the land value is then taken as an increase in profit and declared in the profit/loss statement. Similarly, if a building has significant vacancy, it will be revalued downwards to reflect the lower cashflow from the significant vacancy </w:t>
      </w:r>
    </w:p>
  </w:footnote>
  <w:footnote w:id="16">
    <w:p w:rsidR="009045B2" w:rsidRPr="005D4F30" w:rsidRDefault="009045B2">
      <w:pPr>
        <w:pStyle w:val="FootnoteText"/>
        <w:rPr>
          <w:rFonts w:asciiTheme="minorHAnsi" w:hAnsiTheme="minorHAnsi" w:cstheme="minorHAnsi"/>
          <w:sz w:val="20"/>
        </w:rPr>
      </w:pPr>
      <w:r w:rsidRPr="005D4F30">
        <w:rPr>
          <w:rStyle w:val="FootnoteReference"/>
          <w:rFonts w:asciiTheme="minorHAnsi" w:hAnsiTheme="minorHAnsi" w:cstheme="minorHAnsi"/>
          <w:sz w:val="20"/>
        </w:rPr>
        <w:footnoteRef/>
      </w:r>
      <w:r w:rsidRPr="005D4F30">
        <w:rPr>
          <w:rFonts w:asciiTheme="minorHAnsi" w:hAnsiTheme="minorHAnsi" w:cstheme="minorHAnsi"/>
          <w:sz w:val="20"/>
        </w:rPr>
        <w:t xml:space="preserve"> </w:t>
      </w:r>
      <w:r>
        <w:rPr>
          <w:rFonts w:asciiTheme="minorHAnsi" w:hAnsiTheme="minorHAnsi" w:cstheme="minorHAnsi"/>
          <w:sz w:val="20"/>
        </w:rPr>
        <w:t>See page 5-13</w:t>
      </w:r>
    </w:p>
  </w:footnote>
  <w:footnote w:id="17">
    <w:p w:rsidR="009045B2" w:rsidRPr="009C1DCC" w:rsidRDefault="009045B2">
      <w:pPr>
        <w:pStyle w:val="FootnoteText"/>
        <w:rPr>
          <w:rFonts w:asciiTheme="minorHAnsi" w:hAnsiTheme="minorHAnsi" w:cstheme="minorHAnsi"/>
          <w:sz w:val="20"/>
        </w:rPr>
      </w:pPr>
      <w:r w:rsidRPr="009C1DCC">
        <w:rPr>
          <w:rStyle w:val="FootnoteReference"/>
          <w:rFonts w:asciiTheme="minorHAnsi" w:hAnsiTheme="minorHAnsi" w:cstheme="minorHAnsi"/>
          <w:sz w:val="20"/>
        </w:rPr>
        <w:footnoteRef/>
      </w:r>
      <w:r w:rsidRPr="009C1DCC">
        <w:rPr>
          <w:rFonts w:asciiTheme="minorHAnsi" w:hAnsiTheme="minorHAnsi" w:cstheme="minorHAnsi"/>
          <w:sz w:val="20"/>
        </w:rPr>
        <w:t xml:space="preserve"> </w:t>
      </w:r>
      <w:r>
        <w:rPr>
          <w:rFonts w:asciiTheme="minorHAnsi" w:hAnsiTheme="minorHAnsi" w:cstheme="minorHAnsi"/>
          <w:sz w:val="20"/>
        </w:rPr>
        <w:t>Demand based tariffs have been used for large consumers for many years</w:t>
      </w:r>
    </w:p>
  </w:footnote>
  <w:footnote w:id="18">
    <w:p w:rsidR="00303C9F" w:rsidRPr="00303C9F" w:rsidRDefault="00303C9F">
      <w:pPr>
        <w:pStyle w:val="FootnoteText"/>
        <w:rPr>
          <w:rFonts w:asciiTheme="minorHAnsi" w:hAnsiTheme="minorHAnsi" w:cstheme="minorHAnsi"/>
          <w:color w:val="C00000"/>
          <w:sz w:val="20"/>
        </w:rPr>
      </w:pPr>
      <w:r w:rsidRPr="00303C9F">
        <w:rPr>
          <w:rStyle w:val="FootnoteReference"/>
          <w:rFonts w:asciiTheme="minorHAnsi" w:hAnsiTheme="minorHAnsi" w:cstheme="minorHAnsi"/>
          <w:color w:val="C00000"/>
          <w:sz w:val="20"/>
        </w:rPr>
        <w:footnoteRef/>
      </w:r>
      <w:r w:rsidRPr="00303C9F">
        <w:rPr>
          <w:rFonts w:asciiTheme="minorHAnsi" w:hAnsiTheme="minorHAnsi" w:cstheme="minorHAnsi"/>
          <w:color w:val="C00000"/>
          <w:sz w:val="20"/>
        </w:rPr>
        <w:t xml:space="preserve"> See </w:t>
      </w:r>
      <w:hyperlink r:id="rId2" w:history="1">
        <w:r w:rsidRPr="00303C9F">
          <w:rPr>
            <w:rStyle w:val="Hyperlink"/>
            <w:rFonts w:asciiTheme="minorHAnsi" w:hAnsiTheme="minorHAnsi" w:cstheme="minorHAnsi"/>
            <w:color w:val="C00000"/>
            <w:sz w:val="20"/>
          </w:rPr>
          <w:t>http://www.aemc.gov.au/Rule-Changes/Distribution-Network-Pricing-Arrangements</w:t>
        </w:r>
      </w:hyperlink>
      <w:r w:rsidRPr="00303C9F">
        <w:rPr>
          <w:rFonts w:asciiTheme="minorHAnsi" w:hAnsiTheme="minorHAnsi" w:cstheme="minorHAnsi"/>
          <w:color w:val="C00000"/>
          <w:sz w:val="20"/>
        </w:rPr>
        <w:t xml:space="preserve"> </w:t>
      </w:r>
    </w:p>
  </w:footnote>
  <w:footnote w:id="19">
    <w:p w:rsidR="00F45FCA" w:rsidRPr="00F45FCA" w:rsidRDefault="00F45FCA" w:rsidP="00F45FCA">
      <w:pPr>
        <w:autoSpaceDE w:val="0"/>
        <w:autoSpaceDN w:val="0"/>
        <w:adjustRightInd w:val="0"/>
        <w:spacing w:after="0" w:line="240" w:lineRule="auto"/>
        <w:jc w:val="left"/>
        <w:rPr>
          <w:rFonts w:cstheme="minorHAnsi"/>
          <w:color w:val="C00000"/>
          <w:sz w:val="20"/>
          <w:szCs w:val="20"/>
        </w:rPr>
      </w:pPr>
      <w:r w:rsidRPr="00F45FCA">
        <w:rPr>
          <w:rStyle w:val="FootnoteReference"/>
          <w:rFonts w:cstheme="minorHAnsi"/>
          <w:color w:val="C00000"/>
          <w:sz w:val="20"/>
          <w:szCs w:val="20"/>
        </w:rPr>
        <w:footnoteRef/>
      </w:r>
      <w:r w:rsidRPr="00F45FCA">
        <w:rPr>
          <w:rFonts w:cstheme="minorHAnsi"/>
          <w:color w:val="C00000"/>
          <w:sz w:val="20"/>
          <w:szCs w:val="20"/>
        </w:rPr>
        <w:t xml:space="preserve"> Brattle comments in its report </w:t>
      </w:r>
      <w:r w:rsidRPr="00F45FCA">
        <w:rPr>
          <w:rFonts w:eastAsia="Times New Roman" w:cstheme="minorHAnsi"/>
          <w:bCs/>
          <w:color w:val="C00000"/>
          <w:sz w:val="20"/>
          <w:szCs w:val="20"/>
          <w:lang w:val="en-AU" w:eastAsia="en-AU" w:bidi="ar-SA"/>
        </w:rPr>
        <w:t>Structure of Electricity Distribution Network Tariffs: Recovery of Residual</w:t>
      </w:r>
      <w:r>
        <w:rPr>
          <w:rFonts w:eastAsia="Times New Roman" w:cstheme="minorHAnsi"/>
          <w:bCs/>
          <w:color w:val="C00000"/>
          <w:sz w:val="20"/>
          <w:szCs w:val="20"/>
          <w:lang w:val="en-AU" w:eastAsia="en-AU" w:bidi="ar-SA"/>
        </w:rPr>
        <w:t xml:space="preserve"> </w:t>
      </w:r>
      <w:r w:rsidRPr="00F45FCA">
        <w:rPr>
          <w:rFonts w:eastAsia="Times New Roman" w:cstheme="minorHAnsi"/>
          <w:bCs/>
          <w:color w:val="C00000"/>
          <w:sz w:val="20"/>
          <w:szCs w:val="20"/>
          <w:lang w:val="en-AU" w:eastAsia="en-AU" w:bidi="ar-SA"/>
        </w:rPr>
        <w:t xml:space="preserve">Costs (August 2014) </w:t>
      </w:r>
      <w:r w:rsidRPr="00F45FCA">
        <w:rPr>
          <w:rFonts w:cstheme="minorHAnsi"/>
          <w:color w:val="C00000"/>
          <w:sz w:val="20"/>
          <w:szCs w:val="20"/>
        </w:rPr>
        <w:t>to the AEMC (page 42) that “</w:t>
      </w:r>
      <w:r w:rsidRPr="00F45FCA">
        <w:rPr>
          <w:rFonts w:eastAsia="Times New Roman" w:cstheme="minorHAnsi"/>
          <w:color w:val="C00000"/>
          <w:sz w:val="20"/>
          <w:szCs w:val="20"/>
          <w:lang w:val="en-AU" w:eastAsia="en-AU" w:bidi="ar-SA"/>
        </w:rPr>
        <w:t>It is uncommon to have large fixed charges and instead residual costs are recovered in the volumetric charge.”</w:t>
      </w:r>
    </w:p>
  </w:footnote>
  <w:footnote w:id="20">
    <w:p w:rsidR="009045B2" w:rsidRPr="00285BCF" w:rsidRDefault="009045B2" w:rsidP="00285BCF">
      <w:pPr>
        <w:pStyle w:val="FootnoteText"/>
        <w:tabs>
          <w:tab w:val="clear" w:pos="426"/>
          <w:tab w:val="left" w:pos="0"/>
        </w:tabs>
        <w:ind w:left="0" w:firstLine="0"/>
        <w:rPr>
          <w:rFonts w:asciiTheme="minorHAnsi" w:hAnsiTheme="minorHAnsi" w:cstheme="minorHAnsi"/>
          <w:sz w:val="20"/>
        </w:rPr>
      </w:pPr>
      <w:r w:rsidRPr="00285BCF">
        <w:rPr>
          <w:rStyle w:val="FootnoteReference"/>
          <w:rFonts w:asciiTheme="minorHAnsi" w:hAnsiTheme="minorHAnsi" w:cstheme="minorHAnsi"/>
          <w:sz w:val="20"/>
        </w:rPr>
        <w:footnoteRef/>
      </w:r>
      <w:r w:rsidRPr="00285BCF">
        <w:rPr>
          <w:rFonts w:asciiTheme="minorHAnsi" w:hAnsiTheme="minorHAnsi" w:cstheme="minorHAnsi"/>
          <w:sz w:val="20"/>
        </w:rPr>
        <w:t xml:space="preserve"> </w:t>
      </w:r>
      <w:r w:rsidRPr="00285BCF">
        <w:rPr>
          <w:rFonts w:asciiTheme="minorHAnsi" w:eastAsiaTheme="minorEastAsia" w:hAnsiTheme="minorHAnsi" w:cstheme="minorHAnsi"/>
          <w:sz w:val="20"/>
          <w:lang w:bidi="en-US"/>
        </w:rPr>
        <w:t>An example of such a continuous incentive is that used by AEMO in Victorian transmission where the peak tariff is applied to the historic average of the peak demands that occur on the 10 peak system weekdays in a year during the periods of 11 am to 7 pm.</w:t>
      </w:r>
      <w:r>
        <w:rPr>
          <w:rFonts w:asciiTheme="minorHAnsi" w:eastAsiaTheme="minorEastAsia" w:hAnsiTheme="minorHAnsi" w:cstheme="minorHAnsi"/>
          <w:sz w:val="20"/>
          <w:lang w:bidi="en-US"/>
        </w:rPr>
        <w:t xml:space="preserve"> This provides an incentive to still seek to reduce peak demands as it is the average that will apply over the set period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B2" w:rsidRDefault="009045B2">
    <w:pPr>
      <w:pStyle w:val="Header"/>
      <w:rPr>
        <w:b/>
        <w:sz w:val="16"/>
        <w:szCs w:val="16"/>
      </w:rPr>
    </w:pPr>
    <w:r w:rsidRPr="00054BA4">
      <w:rPr>
        <w:b/>
        <w:sz w:val="16"/>
        <w:szCs w:val="16"/>
      </w:rPr>
      <w:t xml:space="preserve">Consumer Challenge Panel </w:t>
    </w:r>
    <w:r>
      <w:rPr>
        <w:b/>
        <w:sz w:val="16"/>
        <w:szCs w:val="16"/>
      </w:rPr>
      <w:t>CCP4(DH)</w:t>
    </w:r>
  </w:p>
  <w:p w:rsidR="009045B2" w:rsidRDefault="009045B2" w:rsidP="00933F5F">
    <w:pPr>
      <w:pStyle w:val="Header"/>
      <w:tabs>
        <w:tab w:val="clear" w:pos="4513"/>
        <w:tab w:val="clear" w:pos="9026"/>
        <w:tab w:val="center" w:pos="4252"/>
      </w:tabs>
      <w:rPr>
        <w:b/>
        <w:sz w:val="16"/>
        <w:szCs w:val="16"/>
      </w:rPr>
    </w:pPr>
    <w:r>
      <w:rPr>
        <w:b/>
        <w:sz w:val="16"/>
        <w:szCs w:val="16"/>
      </w:rPr>
      <w:t>Tasmania DNSP revenue reset</w:t>
    </w:r>
    <w:r>
      <w:rPr>
        <w:b/>
        <w:sz w:val="16"/>
        <w:szCs w:val="16"/>
      </w:rPr>
      <w:tab/>
    </w:r>
  </w:p>
  <w:p w:rsidR="009045B2" w:rsidRPr="00933F5F" w:rsidRDefault="009045B2" w:rsidP="00937D56">
    <w:pPr>
      <w:pStyle w:val="Header"/>
      <w:tabs>
        <w:tab w:val="clear" w:pos="4513"/>
        <w:tab w:val="clear" w:pos="9026"/>
        <w:tab w:val="center" w:pos="4252"/>
      </w:tabs>
      <w:rPr>
        <w:b/>
        <w:sz w:val="24"/>
        <w:szCs w:val="24"/>
      </w:rPr>
    </w:pPr>
    <w:r>
      <w:rPr>
        <w:b/>
        <w:sz w:val="16"/>
        <w:szCs w:val="16"/>
      </w:rPr>
      <w:t>Comments on the AER Draft Decision and Revised proposal</w:t>
    </w:r>
  </w:p>
  <w:p w:rsidR="009045B2" w:rsidRDefault="009045B2">
    <w:pPr>
      <w:pStyle w:val="Header"/>
      <w:rPr>
        <w:b/>
        <w:sz w:val="16"/>
        <w:szCs w:val="16"/>
      </w:rPr>
    </w:pPr>
  </w:p>
  <w:p w:rsidR="009045B2" w:rsidRPr="00933F5F" w:rsidRDefault="009045B2">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6C1"/>
    <w:multiLevelType w:val="hybridMultilevel"/>
    <w:tmpl w:val="40EE7C94"/>
    <w:lvl w:ilvl="0" w:tplc="04090001">
      <w:start w:val="1"/>
      <w:numFmt w:val="bullet"/>
      <w:lvlText w:val=""/>
      <w:lvlJc w:val="left"/>
      <w:pPr>
        <w:ind w:left="-351" w:hanging="360"/>
      </w:pPr>
      <w:rPr>
        <w:rFonts w:ascii="Symbol" w:hAnsi="Symbol" w:hint="default"/>
      </w:rPr>
    </w:lvl>
    <w:lvl w:ilvl="1" w:tplc="04090003">
      <w:start w:val="1"/>
      <w:numFmt w:val="bullet"/>
      <w:lvlText w:val="o"/>
      <w:lvlJc w:val="left"/>
      <w:pPr>
        <w:ind w:left="369" w:hanging="360"/>
      </w:pPr>
      <w:rPr>
        <w:rFonts w:ascii="Courier New" w:hAnsi="Courier New" w:cs="Times New Roman" w:hint="default"/>
      </w:rPr>
    </w:lvl>
    <w:lvl w:ilvl="2" w:tplc="04090005">
      <w:start w:val="1"/>
      <w:numFmt w:val="bullet"/>
      <w:lvlText w:val=""/>
      <w:lvlJc w:val="left"/>
      <w:pPr>
        <w:ind w:left="1089" w:hanging="360"/>
      </w:pPr>
      <w:rPr>
        <w:rFonts w:ascii="Wingdings" w:hAnsi="Wingdings" w:hint="default"/>
      </w:rPr>
    </w:lvl>
    <w:lvl w:ilvl="3" w:tplc="04090001">
      <w:start w:val="1"/>
      <w:numFmt w:val="bullet"/>
      <w:lvlText w:val=""/>
      <w:lvlJc w:val="left"/>
      <w:pPr>
        <w:ind w:left="1809" w:hanging="360"/>
      </w:pPr>
      <w:rPr>
        <w:rFonts w:ascii="Symbol" w:hAnsi="Symbol" w:hint="default"/>
      </w:rPr>
    </w:lvl>
    <w:lvl w:ilvl="4" w:tplc="04090003">
      <w:start w:val="1"/>
      <w:numFmt w:val="bullet"/>
      <w:lvlText w:val="o"/>
      <w:lvlJc w:val="left"/>
      <w:pPr>
        <w:ind w:left="2529" w:hanging="360"/>
      </w:pPr>
      <w:rPr>
        <w:rFonts w:ascii="Courier New" w:hAnsi="Courier New" w:cs="Times New Roman" w:hint="default"/>
      </w:rPr>
    </w:lvl>
    <w:lvl w:ilvl="5" w:tplc="04090005">
      <w:start w:val="1"/>
      <w:numFmt w:val="bullet"/>
      <w:lvlText w:val=""/>
      <w:lvlJc w:val="left"/>
      <w:pPr>
        <w:ind w:left="3249" w:hanging="360"/>
      </w:pPr>
      <w:rPr>
        <w:rFonts w:ascii="Wingdings" w:hAnsi="Wingdings" w:hint="default"/>
      </w:rPr>
    </w:lvl>
    <w:lvl w:ilvl="6" w:tplc="04090001">
      <w:start w:val="1"/>
      <w:numFmt w:val="bullet"/>
      <w:lvlText w:val=""/>
      <w:lvlJc w:val="left"/>
      <w:pPr>
        <w:ind w:left="3969" w:hanging="360"/>
      </w:pPr>
      <w:rPr>
        <w:rFonts w:ascii="Symbol" w:hAnsi="Symbol" w:hint="default"/>
      </w:rPr>
    </w:lvl>
    <w:lvl w:ilvl="7" w:tplc="04090003">
      <w:start w:val="1"/>
      <w:numFmt w:val="bullet"/>
      <w:lvlText w:val="o"/>
      <w:lvlJc w:val="left"/>
      <w:pPr>
        <w:ind w:left="4689" w:hanging="360"/>
      </w:pPr>
      <w:rPr>
        <w:rFonts w:ascii="Courier New" w:hAnsi="Courier New" w:cs="Times New Roman" w:hint="default"/>
      </w:rPr>
    </w:lvl>
    <w:lvl w:ilvl="8" w:tplc="04090005">
      <w:start w:val="1"/>
      <w:numFmt w:val="bullet"/>
      <w:lvlText w:val=""/>
      <w:lvlJc w:val="left"/>
      <w:pPr>
        <w:ind w:left="5409" w:hanging="360"/>
      </w:pPr>
      <w:rPr>
        <w:rFonts w:ascii="Wingdings" w:hAnsi="Wingdings" w:hint="default"/>
      </w:rPr>
    </w:lvl>
  </w:abstractNum>
  <w:abstractNum w:abstractNumId="1">
    <w:nsid w:val="07DC3145"/>
    <w:multiLevelType w:val="hybridMultilevel"/>
    <w:tmpl w:val="A678C5F4"/>
    <w:lvl w:ilvl="0" w:tplc="0C090001">
      <w:start w:val="1"/>
      <w:numFmt w:val="bullet"/>
      <w:lvlText w:val=""/>
      <w:lvlJc w:val="left"/>
      <w:pPr>
        <w:ind w:left="2460" w:hanging="360"/>
      </w:pPr>
      <w:rPr>
        <w:rFonts w:ascii="Symbol" w:hAnsi="Symbol" w:hint="default"/>
      </w:rPr>
    </w:lvl>
    <w:lvl w:ilvl="1" w:tplc="0C090003" w:tentative="1">
      <w:start w:val="1"/>
      <w:numFmt w:val="bullet"/>
      <w:lvlText w:val="o"/>
      <w:lvlJc w:val="left"/>
      <w:pPr>
        <w:ind w:left="3180" w:hanging="360"/>
      </w:pPr>
      <w:rPr>
        <w:rFonts w:ascii="Courier New" w:hAnsi="Courier New" w:cs="Courier New" w:hint="default"/>
      </w:rPr>
    </w:lvl>
    <w:lvl w:ilvl="2" w:tplc="0C090005" w:tentative="1">
      <w:start w:val="1"/>
      <w:numFmt w:val="bullet"/>
      <w:lvlText w:val=""/>
      <w:lvlJc w:val="left"/>
      <w:pPr>
        <w:ind w:left="3900" w:hanging="360"/>
      </w:pPr>
      <w:rPr>
        <w:rFonts w:ascii="Wingdings" w:hAnsi="Wingdings" w:hint="default"/>
      </w:rPr>
    </w:lvl>
    <w:lvl w:ilvl="3" w:tplc="0C090001" w:tentative="1">
      <w:start w:val="1"/>
      <w:numFmt w:val="bullet"/>
      <w:lvlText w:val=""/>
      <w:lvlJc w:val="left"/>
      <w:pPr>
        <w:ind w:left="4620" w:hanging="360"/>
      </w:pPr>
      <w:rPr>
        <w:rFonts w:ascii="Symbol" w:hAnsi="Symbol" w:hint="default"/>
      </w:rPr>
    </w:lvl>
    <w:lvl w:ilvl="4" w:tplc="0C090003" w:tentative="1">
      <w:start w:val="1"/>
      <w:numFmt w:val="bullet"/>
      <w:lvlText w:val="o"/>
      <w:lvlJc w:val="left"/>
      <w:pPr>
        <w:ind w:left="5340" w:hanging="360"/>
      </w:pPr>
      <w:rPr>
        <w:rFonts w:ascii="Courier New" w:hAnsi="Courier New" w:cs="Courier New" w:hint="default"/>
      </w:rPr>
    </w:lvl>
    <w:lvl w:ilvl="5" w:tplc="0C090005" w:tentative="1">
      <w:start w:val="1"/>
      <w:numFmt w:val="bullet"/>
      <w:lvlText w:val=""/>
      <w:lvlJc w:val="left"/>
      <w:pPr>
        <w:ind w:left="6060" w:hanging="360"/>
      </w:pPr>
      <w:rPr>
        <w:rFonts w:ascii="Wingdings" w:hAnsi="Wingdings" w:hint="default"/>
      </w:rPr>
    </w:lvl>
    <w:lvl w:ilvl="6" w:tplc="0C090001" w:tentative="1">
      <w:start w:val="1"/>
      <w:numFmt w:val="bullet"/>
      <w:lvlText w:val=""/>
      <w:lvlJc w:val="left"/>
      <w:pPr>
        <w:ind w:left="6780" w:hanging="360"/>
      </w:pPr>
      <w:rPr>
        <w:rFonts w:ascii="Symbol" w:hAnsi="Symbol" w:hint="default"/>
      </w:rPr>
    </w:lvl>
    <w:lvl w:ilvl="7" w:tplc="0C090003" w:tentative="1">
      <w:start w:val="1"/>
      <w:numFmt w:val="bullet"/>
      <w:lvlText w:val="o"/>
      <w:lvlJc w:val="left"/>
      <w:pPr>
        <w:ind w:left="7500" w:hanging="360"/>
      </w:pPr>
      <w:rPr>
        <w:rFonts w:ascii="Courier New" w:hAnsi="Courier New" w:cs="Courier New" w:hint="default"/>
      </w:rPr>
    </w:lvl>
    <w:lvl w:ilvl="8" w:tplc="0C090005" w:tentative="1">
      <w:start w:val="1"/>
      <w:numFmt w:val="bullet"/>
      <w:lvlText w:val=""/>
      <w:lvlJc w:val="left"/>
      <w:pPr>
        <w:ind w:left="8220" w:hanging="360"/>
      </w:pPr>
      <w:rPr>
        <w:rFonts w:ascii="Wingdings" w:hAnsi="Wingdings" w:hint="default"/>
      </w:rPr>
    </w:lvl>
  </w:abstractNum>
  <w:abstractNum w:abstractNumId="2">
    <w:nsid w:val="214D3033"/>
    <w:multiLevelType w:val="multilevel"/>
    <w:tmpl w:val="39D4CB02"/>
    <w:numStyleLink w:val="AERnumberedlist"/>
  </w:abstractNum>
  <w:abstractNum w:abstractNumId="3">
    <w:nsid w:val="27105997"/>
    <w:multiLevelType w:val="hybridMultilevel"/>
    <w:tmpl w:val="63F0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1C2164"/>
    <w:multiLevelType w:val="hybridMultilevel"/>
    <w:tmpl w:val="4EE05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8C5A4B"/>
    <w:multiLevelType w:val="multilevel"/>
    <w:tmpl w:val="88968A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2BE5EFE"/>
    <w:multiLevelType w:val="hybridMultilevel"/>
    <w:tmpl w:val="C0E49638"/>
    <w:lvl w:ilvl="0" w:tplc="34DAE6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F4408"/>
    <w:multiLevelType w:val="hybridMultilevel"/>
    <w:tmpl w:val="D88287EC"/>
    <w:lvl w:ilvl="0" w:tplc="0409000D">
      <w:start w:val="1"/>
      <w:numFmt w:val="bullet"/>
      <w:lvlText w:val=""/>
      <w:lvlJc w:val="left"/>
      <w:pPr>
        <w:ind w:left="720" w:hanging="360"/>
      </w:pPr>
      <w:rPr>
        <w:rFonts w:ascii="Wingdings" w:hAnsi="Wingdings" w:hint="default"/>
      </w:rPr>
    </w:lvl>
    <w:lvl w:ilvl="1" w:tplc="FEE4FB64">
      <w:numFmt w:val="bullet"/>
      <w:lvlText w:val="•"/>
      <w:lvlJc w:val="left"/>
      <w:pPr>
        <w:ind w:left="1440" w:hanging="360"/>
      </w:pPr>
      <w:rPr>
        <w:rFonts w:ascii="Calibri" w:eastAsia="Times New Roman" w:hAnsi="Calibri"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12F6C"/>
    <w:multiLevelType w:val="hybridMultilevel"/>
    <w:tmpl w:val="02C0FD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nsid w:val="3AF336BC"/>
    <w:multiLevelType w:val="hybridMultilevel"/>
    <w:tmpl w:val="955A02CC"/>
    <w:lvl w:ilvl="0" w:tplc="C90C7928">
      <w:start w:val="1"/>
      <w:numFmt w:val="bullet"/>
      <w:pStyle w:val="AERbulletlistfirststyle"/>
      <w:lvlText w:val=""/>
      <w:lvlJc w:val="left"/>
      <w:pPr>
        <w:ind w:left="2148" w:hanging="360"/>
      </w:pPr>
      <w:rPr>
        <w:rFonts w:ascii="Wingdings" w:hAnsi="Wingdings" w:hint="default"/>
      </w:rPr>
    </w:lvl>
    <w:lvl w:ilvl="1" w:tplc="0C090003">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abstractNum w:abstractNumId="10">
    <w:nsid w:val="447F79E8"/>
    <w:multiLevelType w:val="hybridMultilevel"/>
    <w:tmpl w:val="154E9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C965FC"/>
    <w:multiLevelType w:val="hybridMultilevel"/>
    <w:tmpl w:val="93B4C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CE2522"/>
    <w:multiLevelType w:val="hybridMultilevel"/>
    <w:tmpl w:val="A2205006"/>
    <w:lvl w:ilvl="0" w:tplc="616265FA">
      <w:start w:val="1"/>
      <w:numFmt w:val="bullet"/>
      <w:lvlText w:val=""/>
      <w:lvlJc w:val="left"/>
      <w:pPr>
        <w:tabs>
          <w:tab w:val="num" w:pos="720"/>
        </w:tabs>
        <w:ind w:left="720" w:hanging="360"/>
      </w:pPr>
      <w:rPr>
        <w:rFonts w:ascii="Wingdings 3" w:hAnsi="Wingdings 3" w:hint="default"/>
      </w:rPr>
    </w:lvl>
    <w:lvl w:ilvl="1" w:tplc="BE86B222" w:tentative="1">
      <w:start w:val="1"/>
      <w:numFmt w:val="bullet"/>
      <w:lvlText w:val=""/>
      <w:lvlJc w:val="left"/>
      <w:pPr>
        <w:tabs>
          <w:tab w:val="num" w:pos="1440"/>
        </w:tabs>
        <w:ind w:left="1440" w:hanging="360"/>
      </w:pPr>
      <w:rPr>
        <w:rFonts w:ascii="Wingdings 3" w:hAnsi="Wingdings 3" w:hint="default"/>
      </w:rPr>
    </w:lvl>
    <w:lvl w:ilvl="2" w:tplc="4476B7AE" w:tentative="1">
      <w:start w:val="1"/>
      <w:numFmt w:val="bullet"/>
      <w:lvlText w:val=""/>
      <w:lvlJc w:val="left"/>
      <w:pPr>
        <w:tabs>
          <w:tab w:val="num" w:pos="2160"/>
        </w:tabs>
        <w:ind w:left="2160" w:hanging="360"/>
      </w:pPr>
      <w:rPr>
        <w:rFonts w:ascii="Wingdings 3" w:hAnsi="Wingdings 3" w:hint="default"/>
      </w:rPr>
    </w:lvl>
    <w:lvl w:ilvl="3" w:tplc="0E3A4518" w:tentative="1">
      <w:start w:val="1"/>
      <w:numFmt w:val="bullet"/>
      <w:lvlText w:val=""/>
      <w:lvlJc w:val="left"/>
      <w:pPr>
        <w:tabs>
          <w:tab w:val="num" w:pos="2880"/>
        </w:tabs>
        <w:ind w:left="2880" w:hanging="360"/>
      </w:pPr>
      <w:rPr>
        <w:rFonts w:ascii="Wingdings 3" w:hAnsi="Wingdings 3" w:hint="default"/>
      </w:rPr>
    </w:lvl>
    <w:lvl w:ilvl="4" w:tplc="FAEA6EAE" w:tentative="1">
      <w:start w:val="1"/>
      <w:numFmt w:val="bullet"/>
      <w:lvlText w:val=""/>
      <w:lvlJc w:val="left"/>
      <w:pPr>
        <w:tabs>
          <w:tab w:val="num" w:pos="3600"/>
        </w:tabs>
        <w:ind w:left="3600" w:hanging="360"/>
      </w:pPr>
      <w:rPr>
        <w:rFonts w:ascii="Wingdings 3" w:hAnsi="Wingdings 3" w:hint="default"/>
      </w:rPr>
    </w:lvl>
    <w:lvl w:ilvl="5" w:tplc="73F28BF8" w:tentative="1">
      <w:start w:val="1"/>
      <w:numFmt w:val="bullet"/>
      <w:lvlText w:val=""/>
      <w:lvlJc w:val="left"/>
      <w:pPr>
        <w:tabs>
          <w:tab w:val="num" w:pos="4320"/>
        </w:tabs>
        <w:ind w:left="4320" w:hanging="360"/>
      </w:pPr>
      <w:rPr>
        <w:rFonts w:ascii="Wingdings 3" w:hAnsi="Wingdings 3" w:hint="default"/>
      </w:rPr>
    </w:lvl>
    <w:lvl w:ilvl="6" w:tplc="4A4E1F12" w:tentative="1">
      <w:start w:val="1"/>
      <w:numFmt w:val="bullet"/>
      <w:lvlText w:val=""/>
      <w:lvlJc w:val="left"/>
      <w:pPr>
        <w:tabs>
          <w:tab w:val="num" w:pos="5040"/>
        </w:tabs>
        <w:ind w:left="5040" w:hanging="360"/>
      </w:pPr>
      <w:rPr>
        <w:rFonts w:ascii="Wingdings 3" w:hAnsi="Wingdings 3" w:hint="default"/>
      </w:rPr>
    </w:lvl>
    <w:lvl w:ilvl="7" w:tplc="5364A890" w:tentative="1">
      <w:start w:val="1"/>
      <w:numFmt w:val="bullet"/>
      <w:lvlText w:val=""/>
      <w:lvlJc w:val="left"/>
      <w:pPr>
        <w:tabs>
          <w:tab w:val="num" w:pos="5760"/>
        </w:tabs>
        <w:ind w:left="5760" w:hanging="360"/>
      </w:pPr>
      <w:rPr>
        <w:rFonts w:ascii="Wingdings 3" w:hAnsi="Wingdings 3" w:hint="default"/>
      </w:rPr>
    </w:lvl>
    <w:lvl w:ilvl="8" w:tplc="1CB6F1DA" w:tentative="1">
      <w:start w:val="1"/>
      <w:numFmt w:val="bullet"/>
      <w:lvlText w:val=""/>
      <w:lvlJc w:val="left"/>
      <w:pPr>
        <w:tabs>
          <w:tab w:val="num" w:pos="6480"/>
        </w:tabs>
        <w:ind w:left="6480" w:hanging="360"/>
      </w:pPr>
      <w:rPr>
        <w:rFonts w:ascii="Wingdings 3" w:hAnsi="Wingdings 3" w:hint="default"/>
      </w:rPr>
    </w:lvl>
  </w:abstractNum>
  <w:abstractNum w:abstractNumId="13">
    <w:nsid w:val="4727739E"/>
    <w:multiLevelType w:val="hybridMultilevel"/>
    <w:tmpl w:val="9446B0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48082293"/>
    <w:multiLevelType w:val="hybridMultilevel"/>
    <w:tmpl w:val="4D60B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4C3EE4"/>
    <w:multiLevelType w:val="hybridMultilevel"/>
    <w:tmpl w:val="C4406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F44AA8"/>
    <w:multiLevelType w:val="multilevel"/>
    <w:tmpl w:val="C4406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2C4E95"/>
    <w:multiLevelType w:val="hybridMultilevel"/>
    <w:tmpl w:val="BA5E5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19B6DC7"/>
    <w:multiLevelType w:val="multilevel"/>
    <w:tmpl w:val="39D4CB02"/>
    <w:numStyleLink w:val="AERnumberedlist"/>
  </w:abstractNum>
  <w:abstractNum w:abstractNumId="20">
    <w:nsid w:val="5B6F6CF5"/>
    <w:multiLevelType w:val="multilevel"/>
    <w:tmpl w:val="39D4CB02"/>
    <w:numStyleLink w:val="AERnumberedlist"/>
  </w:abstractNum>
  <w:abstractNum w:abstractNumId="21">
    <w:nsid w:val="60D33CF7"/>
    <w:multiLevelType w:val="hybridMultilevel"/>
    <w:tmpl w:val="2F82D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AAD4B77"/>
    <w:multiLevelType w:val="hybridMultilevel"/>
    <w:tmpl w:val="D1E49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3153D1"/>
    <w:multiLevelType w:val="hybridMultilevel"/>
    <w:tmpl w:val="939C5A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70AB216C"/>
    <w:multiLevelType w:val="hybridMultilevel"/>
    <w:tmpl w:val="E306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31195"/>
    <w:multiLevelType w:val="multilevel"/>
    <w:tmpl w:val="C4406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47449AC"/>
    <w:multiLevelType w:val="hybridMultilevel"/>
    <w:tmpl w:val="304E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551671F"/>
    <w:multiLevelType w:val="hybridMultilevel"/>
    <w:tmpl w:val="D012B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7E2ADD"/>
    <w:multiLevelType w:val="hybridMultilevel"/>
    <w:tmpl w:val="E9DE6766"/>
    <w:lvl w:ilvl="0" w:tplc="98B01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0365E0"/>
    <w:multiLevelType w:val="multilevel"/>
    <w:tmpl w:val="39D4CB02"/>
    <w:numStyleLink w:val="AERnumberedlist"/>
  </w:abstractNum>
  <w:num w:numId="1">
    <w:abstractNumId w:val="9"/>
  </w:num>
  <w:num w:numId="2">
    <w:abstractNumId w:val="18"/>
  </w:num>
  <w:num w:numId="3">
    <w:abstractNumId w:val="27"/>
  </w:num>
  <w:num w:numId="4">
    <w:abstractNumId w:val="0"/>
  </w:num>
  <w:num w:numId="5">
    <w:abstractNumId w:val="24"/>
  </w:num>
  <w:num w:numId="6">
    <w:abstractNumId w:val="7"/>
  </w:num>
  <w:num w:numId="7">
    <w:abstractNumId w:val="6"/>
  </w:num>
  <w:num w:numId="8">
    <w:abstractNumId w:val="28"/>
  </w:num>
  <w:num w:numId="9">
    <w:abstractNumId w:val="22"/>
  </w:num>
  <w:num w:numId="10">
    <w:abstractNumId w:val="8"/>
  </w:num>
  <w:num w:numId="11">
    <w:abstractNumId w:val="10"/>
  </w:num>
  <w:num w:numId="12">
    <w:abstractNumId w:val="17"/>
  </w:num>
  <w:num w:numId="13">
    <w:abstractNumId w:val="14"/>
  </w:num>
  <w:num w:numId="14">
    <w:abstractNumId w:val="23"/>
  </w:num>
  <w:num w:numId="15">
    <w:abstractNumId w:val="4"/>
  </w:num>
  <w:num w:numId="16">
    <w:abstractNumId w:val="1"/>
  </w:num>
  <w:num w:numId="17">
    <w:abstractNumId w:val="1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5"/>
  </w:num>
  <w:num w:numId="33">
    <w:abstractNumId w:val="21"/>
  </w:num>
  <w:num w:numId="34">
    <w:abstractNumId w:val="26"/>
  </w:num>
  <w:num w:numId="35">
    <w:abstractNumId w:val="2"/>
  </w:num>
  <w:num w:numId="36">
    <w:abstractNumId w:val="19"/>
  </w:num>
  <w:num w:numId="37">
    <w:abstractNumId w:val="29"/>
  </w:num>
  <w:num w:numId="38">
    <w:abstractNumId w:val="12"/>
  </w:num>
  <w:num w:numId="39">
    <w:abstractNumId w:val="11"/>
  </w:num>
  <w:num w:numId="40">
    <w:abstractNumId w:val="20"/>
  </w:num>
  <w:num w:numId="41">
    <w:abstractNumId w:val="25"/>
  </w:num>
  <w:num w:numId="4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docVars>
    <w:docVar w:name="currentname" w:val="C:\Users\jmana\AppData\Local\Microsoft\Windows\Temporary Internet Files\Content.Outlook\PUUIXZ2E\CCP4(DH) report on TND AER DD and TND RRP.docx"/>
  </w:docVars>
  <w:rsids>
    <w:rsidRoot w:val="00EF3CBE"/>
    <w:rsid w:val="00001F45"/>
    <w:rsid w:val="00005D86"/>
    <w:rsid w:val="00011B3B"/>
    <w:rsid w:val="00012C75"/>
    <w:rsid w:val="00016721"/>
    <w:rsid w:val="00016738"/>
    <w:rsid w:val="00017314"/>
    <w:rsid w:val="00021E74"/>
    <w:rsid w:val="0002301F"/>
    <w:rsid w:val="000238FA"/>
    <w:rsid w:val="00025F71"/>
    <w:rsid w:val="000260FB"/>
    <w:rsid w:val="00030F10"/>
    <w:rsid w:val="00034A1A"/>
    <w:rsid w:val="00037BFD"/>
    <w:rsid w:val="00041A36"/>
    <w:rsid w:val="000436B7"/>
    <w:rsid w:val="00047EDC"/>
    <w:rsid w:val="000519CB"/>
    <w:rsid w:val="00052290"/>
    <w:rsid w:val="00053A9E"/>
    <w:rsid w:val="00054BA4"/>
    <w:rsid w:val="00054F6F"/>
    <w:rsid w:val="00056482"/>
    <w:rsid w:val="000671B5"/>
    <w:rsid w:val="000730B8"/>
    <w:rsid w:val="000748EC"/>
    <w:rsid w:val="00076F40"/>
    <w:rsid w:val="000844B2"/>
    <w:rsid w:val="0009246F"/>
    <w:rsid w:val="000924EE"/>
    <w:rsid w:val="00096EE6"/>
    <w:rsid w:val="00097E05"/>
    <w:rsid w:val="000A08A8"/>
    <w:rsid w:val="000A1970"/>
    <w:rsid w:val="000A2921"/>
    <w:rsid w:val="000A3CBB"/>
    <w:rsid w:val="000A5569"/>
    <w:rsid w:val="000A74E1"/>
    <w:rsid w:val="000A7852"/>
    <w:rsid w:val="000B3EA8"/>
    <w:rsid w:val="000C5479"/>
    <w:rsid w:val="000D03E3"/>
    <w:rsid w:val="000D5718"/>
    <w:rsid w:val="000D69D3"/>
    <w:rsid w:val="000E0078"/>
    <w:rsid w:val="000F4A04"/>
    <w:rsid w:val="000F6A3B"/>
    <w:rsid w:val="000F7CF2"/>
    <w:rsid w:val="001021FC"/>
    <w:rsid w:val="00114C6B"/>
    <w:rsid w:val="00115F55"/>
    <w:rsid w:val="0012690E"/>
    <w:rsid w:val="00127E18"/>
    <w:rsid w:val="00130611"/>
    <w:rsid w:val="00136283"/>
    <w:rsid w:val="00140D55"/>
    <w:rsid w:val="00141189"/>
    <w:rsid w:val="00142C50"/>
    <w:rsid w:val="00153C87"/>
    <w:rsid w:val="001542C2"/>
    <w:rsid w:val="001608A7"/>
    <w:rsid w:val="00163DDC"/>
    <w:rsid w:val="00164452"/>
    <w:rsid w:val="00164A31"/>
    <w:rsid w:val="001655A4"/>
    <w:rsid w:val="00166B63"/>
    <w:rsid w:val="00170A4A"/>
    <w:rsid w:val="00171140"/>
    <w:rsid w:val="00171F50"/>
    <w:rsid w:val="00173437"/>
    <w:rsid w:val="001738D0"/>
    <w:rsid w:val="0017670A"/>
    <w:rsid w:val="00180EB5"/>
    <w:rsid w:val="00184071"/>
    <w:rsid w:val="00184F08"/>
    <w:rsid w:val="0019137F"/>
    <w:rsid w:val="0019293A"/>
    <w:rsid w:val="00193B0F"/>
    <w:rsid w:val="001952EA"/>
    <w:rsid w:val="00196A48"/>
    <w:rsid w:val="001A0643"/>
    <w:rsid w:val="001A3329"/>
    <w:rsid w:val="001A59D6"/>
    <w:rsid w:val="001A6690"/>
    <w:rsid w:val="001A6DBA"/>
    <w:rsid w:val="001B120A"/>
    <w:rsid w:val="001B242F"/>
    <w:rsid w:val="001B2E5D"/>
    <w:rsid w:val="001B5589"/>
    <w:rsid w:val="001B71C5"/>
    <w:rsid w:val="001C187F"/>
    <w:rsid w:val="001C1C1F"/>
    <w:rsid w:val="001C1ECA"/>
    <w:rsid w:val="001C5314"/>
    <w:rsid w:val="001C7DFF"/>
    <w:rsid w:val="001C7EC7"/>
    <w:rsid w:val="001D3BFF"/>
    <w:rsid w:val="001D43F7"/>
    <w:rsid w:val="001D7CA1"/>
    <w:rsid w:val="001E1F33"/>
    <w:rsid w:val="001E609A"/>
    <w:rsid w:val="001F6340"/>
    <w:rsid w:val="001F6F6C"/>
    <w:rsid w:val="00200CC7"/>
    <w:rsid w:val="00210DC7"/>
    <w:rsid w:val="00222FA7"/>
    <w:rsid w:val="00224B69"/>
    <w:rsid w:val="00225D52"/>
    <w:rsid w:val="002266D9"/>
    <w:rsid w:val="0023323C"/>
    <w:rsid w:val="002369BC"/>
    <w:rsid w:val="00243A31"/>
    <w:rsid w:val="0024444A"/>
    <w:rsid w:val="00245992"/>
    <w:rsid w:val="0025169D"/>
    <w:rsid w:val="002522C4"/>
    <w:rsid w:val="00256842"/>
    <w:rsid w:val="002572C1"/>
    <w:rsid w:val="00257C76"/>
    <w:rsid w:val="00260F31"/>
    <w:rsid w:val="00260FED"/>
    <w:rsid w:val="002640B9"/>
    <w:rsid w:val="00270E27"/>
    <w:rsid w:val="00271F8B"/>
    <w:rsid w:val="002731C2"/>
    <w:rsid w:val="00285BCF"/>
    <w:rsid w:val="002910F4"/>
    <w:rsid w:val="00292075"/>
    <w:rsid w:val="0029354E"/>
    <w:rsid w:val="00293A10"/>
    <w:rsid w:val="0029531A"/>
    <w:rsid w:val="00295BC2"/>
    <w:rsid w:val="002960A6"/>
    <w:rsid w:val="002969EE"/>
    <w:rsid w:val="002A079F"/>
    <w:rsid w:val="002A0A86"/>
    <w:rsid w:val="002A4504"/>
    <w:rsid w:val="002A6E22"/>
    <w:rsid w:val="002B7130"/>
    <w:rsid w:val="002B73BC"/>
    <w:rsid w:val="002C252A"/>
    <w:rsid w:val="002C2B2C"/>
    <w:rsid w:val="002C74FA"/>
    <w:rsid w:val="002D3526"/>
    <w:rsid w:val="002D6F4B"/>
    <w:rsid w:val="002E28E8"/>
    <w:rsid w:val="002E3529"/>
    <w:rsid w:val="002E37EC"/>
    <w:rsid w:val="002E44FF"/>
    <w:rsid w:val="002E5720"/>
    <w:rsid w:val="002E698A"/>
    <w:rsid w:val="002F08EA"/>
    <w:rsid w:val="002F09A0"/>
    <w:rsid w:val="002F3055"/>
    <w:rsid w:val="002F5677"/>
    <w:rsid w:val="002F58AE"/>
    <w:rsid w:val="002F757B"/>
    <w:rsid w:val="00303C9F"/>
    <w:rsid w:val="00305EF4"/>
    <w:rsid w:val="00306B4D"/>
    <w:rsid w:val="00310B56"/>
    <w:rsid w:val="00312F65"/>
    <w:rsid w:val="003133A4"/>
    <w:rsid w:val="0031522F"/>
    <w:rsid w:val="00317437"/>
    <w:rsid w:val="0032000C"/>
    <w:rsid w:val="003200EE"/>
    <w:rsid w:val="00321397"/>
    <w:rsid w:val="00326231"/>
    <w:rsid w:val="00327D20"/>
    <w:rsid w:val="003326F8"/>
    <w:rsid w:val="0033299C"/>
    <w:rsid w:val="00334C42"/>
    <w:rsid w:val="0033534D"/>
    <w:rsid w:val="0033666A"/>
    <w:rsid w:val="003400C3"/>
    <w:rsid w:val="00340332"/>
    <w:rsid w:val="00342324"/>
    <w:rsid w:val="003428D1"/>
    <w:rsid w:val="00343E25"/>
    <w:rsid w:val="00345E27"/>
    <w:rsid w:val="00350C05"/>
    <w:rsid w:val="00353A83"/>
    <w:rsid w:val="00356414"/>
    <w:rsid w:val="00361B1E"/>
    <w:rsid w:val="00366BC6"/>
    <w:rsid w:val="00366E09"/>
    <w:rsid w:val="00367146"/>
    <w:rsid w:val="00367648"/>
    <w:rsid w:val="0037025C"/>
    <w:rsid w:val="00382F06"/>
    <w:rsid w:val="00387139"/>
    <w:rsid w:val="003918D8"/>
    <w:rsid w:val="0039392D"/>
    <w:rsid w:val="00396FA2"/>
    <w:rsid w:val="003A0B4E"/>
    <w:rsid w:val="003A3D03"/>
    <w:rsid w:val="003A684E"/>
    <w:rsid w:val="003B183D"/>
    <w:rsid w:val="003B3F72"/>
    <w:rsid w:val="003C00E3"/>
    <w:rsid w:val="003C261C"/>
    <w:rsid w:val="003C28DA"/>
    <w:rsid w:val="003C5A8D"/>
    <w:rsid w:val="003C697D"/>
    <w:rsid w:val="003D0353"/>
    <w:rsid w:val="003D196B"/>
    <w:rsid w:val="003D1C10"/>
    <w:rsid w:val="003D1E13"/>
    <w:rsid w:val="003D638E"/>
    <w:rsid w:val="003E1B99"/>
    <w:rsid w:val="003E5070"/>
    <w:rsid w:val="003E560F"/>
    <w:rsid w:val="003F10F9"/>
    <w:rsid w:val="003F287B"/>
    <w:rsid w:val="003F4CFA"/>
    <w:rsid w:val="003F556A"/>
    <w:rsid w:val="00401D43"/>
    <w:rsid w:val="00403DAD"/>
    <w:rsid w:val="00407942"/>
    <w:rsid w:val="00410D57"/>
    <w:rsid w:val="00410E07"/>
    <w:rsid w:val="00416D4A"/>
    <w:rsid w:val="00424253"/>
    <w:rsid w:val="00433858"/>
    <w:rsid w:val="004346AA"/>
    <w:rsid w:val="00437430"/>
    <w:rsid w:val="00443879"/>
    <w:rsid w:val="00444706"/>
    <w:rsid w:val="00444C21"/>
    <w:rsid w:val="00445E1C"/>
    <w:rsid w:val="00447F45"/>
    <w:rsid w:val="00451A8C"/>
    <w:rsid w:val="00452E47"/>
    <w:rsid w:val="004616F2"/>
    <w:rsid w:val="00461B2E"/>
    <w:rsid w:val="004632FB"/>
    <w:rsid w:val="00465ACF"/>
    <w:rsid w:val="00466AB8"/>
    <w:rsid w:val="0046742B"/>
    <w:rsid w:val="0046791E"/>
    <w:rsid w:val="00473D85"/>
    <w:rsid w:val="00474742"/>
    <w:rsid w:val="004860BE"/>
    <w:rsid w:val="0049332B"/>
    <w:rsid w:val="00493B0C"/>
    <w:rsid w:val="00496294"/>
    <w:rsid w:val="004977FD"/>
    <w:rsid w:val="004A0205"/>
    <w:rsid w:val="004A081D"/>
    <w:rsid w:val="004A0F42"/>
    <w:rsid w:val="004A1CAC"/>
    <w:rsid w:val="004A4585"/>
    <w:rsid w:val="004A500E"/>
    <w:rsid w:val="004B1C1B"/>
    <w:rsid w:val="004C2F3C"/>
    <w:rsid w:val="004C3039"/>
    <w:rsid w:val="004C5158"/>
    <w:rsid w:val="004C5553"/>
    <w:rsid w:val="004C7A78"/>
    <w:rsid w:val="004D4C14"/>
    <w:rsid w:val="004D6FAD"/>
    <w:rsid w:val="004E361A"/>
    <w:rsid w:val="004F2BC7"/>
    <w:rsid w:val="004F47F7"/>
    <w:rsid w:val="004F56F1"/>
    <w:rsid w:val="004F63E6"/>
    <w:rsid w:val="005046C9"/>
    <w:rsid w:val="00506827"/>
    <w:rsid w:val="00511396"/>
    <w:rsid w:val="0051507A"/>
    <w:rsid w:val="00516B85"/>
    <w:rsid w:val="005172B7"/>
    <w:rsid w:val="00520383"/>
    <w:rsid w:val="00520457"/>
    <w:rsid w:val="0052293D"/>
    <w:rsid w:val="00526C4F"/>
    <w:rsid w:val="005300B2"/>
    <w:rsid w:val="00530D3F"/>
    <w:rsid w:val="00534082"/>
    <w:rsid w:val="00534EAE"/>
    <w:rsid w:val="00536374"/>
    <w:rsid w:val="005364ED"/>
    <w:rsid w:val="00537D67"/>
    <w:rsid w:val="00542588"/>
    <w:rsid w:val="00551BC4"/>
    <w:rsid w:val="00557959"/>
    <w:rsid w:val="00560506"/>
    <w:rsid w:val="005613AF"/>
    <w:rsid w:val="005613CD"/>
    <w:rsid w:val="00571DCD"/>
    <w:rsid w:val="005733A2"/>
    <w:rsid w:val="005756B1"/>
    <w:rsid w:val="00577F5C"/>
    <w:rsid w:val="00591BA8"/>
    <w:rsid w:val="00591CF9"/>
    <w:rsid w:val="00593892"/>
    <w:rsid w:val="00593FC5"/>
    <w:rsid w:val="005A4C9D"/>
    <w:rsid w:val="005B0E72"/>
    <w:rsid w:val="005B2917"/>
    <w:rsid w:val="005B2967"/>
    <w:rsid w:val="005C1288"/>
    <w:rsid w:val="005C34A5"/>
    <w:rsid w:val="005C3E62"/>
    <w:rsid w:val="005C7E36"/>
    <w:rsid w:val="005D4F30"/>
    <w:rsid w:val="005E0A75"/>
    <w:rsid w:val="005E44BD"/>
    <w:rsid w:val="005F53CC"/>
    <w:rsid w:val="00600931"/>
    <w:rsid w:val="00600F15"/>
    <w:rsid w:val="006115AE"/>
    <w:rsid w:val="00613DCC"/>
    <w:rsid w:val="0061776D"/>
    <w:rsid w:val="00621BD2"/>
    <w:rsid w:val="006240E4"/>
    <w:rsid w:val="0063033A"/>
    <w:rsid w:val="00632C41"/>
    <w:rsid w:val="00634D6F"/>
    <w:rsid w:val="00636E01"/>
    <w:rsid w:val="00637BC6"/>
    <w:rsid w:val="00637C82"/>
    <w:rsid w:val="006426A9"/>
    <w:rsid w:val="00644F13"/>
    <w:rsid w:val="00645962"/>
    <w:rsid w:val="00654CB3"/>
    <w:rsid w:val="00654DE6"/>
    <w:rsid w:val="0065675A"/>
    <w:rsid w:val="00660D95"/>
    <w:rsid w:val="00661D32"/>
    <w:rsid w:val="00663047"/>
    <w:rsid w:val="00664F12"/>
    <w:rsid w:val="006650BC"/>
    <w:rsid w:val="006657A3"/>
    <w:rsid w:val="00672B3D"/>
    <w:rsid w:val="00677310"/>
    <w:rsid w:val="0067791F"/>
    <w:rsid w:val="00684CE9"/>
    <w:rsid w:val="00686A1F"/>
    <w:rsid w:val="00687EC9"/>
    <w:rsid w:val="00693A2D"/>
    <w:rsid w:val="0069489B"/>
    <w:rsid w:val="006A05F5"/>
    <w:rsid w:val="006A06FC"/>
    <w:rsid w:val="006A2F53"/>
    <w:rsid w:val="006A6000"/>
    <w:rsid w:val="006C0CFC"/>
    <w:rsid w:val="006C50BD"/>
    <w:rsid w:val="006D5DA2"/>
    <w:rsid w:val="006E04C0"/>
    <w:rsid w:val="006E30B2"/>
    <w:rsid w:val="006E3193"/>
    <w:rsid w:val="006E34E4"/>
    <w:rsid w:val="006E5E18"/>
    <w:rsid w:val="006E5F36"/>
    <w:rsid w:val="006F3593"/>
    <w:rsid w:val="006F384A"/>
    <w:rsid w:val="006F3B7F"/>
    <w:rsid w:val="006F3E06"/>
    <w:rsid w:val="00700F4C"/>
    <w:rsid w:val="00703BEF"/>
    <w:rsid w:val="0071123F"/>
    <w:rsid w:val="0071172E"/>
    <w:rsid w:val="00711F66"/>
    <w:rsid w:val="007127AC"/>
    <w:rsid w:val="00713C5A"/>
    <w:rsid w:val="007165C8"/>
    <w:rsid w:val="0072290C"/>
    <w:rsid w:val="007232C7"/>
    <w:rsid w:val="00725D14"/>
    <w:rsid w:val="007269A6"/>
    <w:rsid w:val="00727051"/>
    <w:rsid w:val="00733947"/>
    <w:rsid w:val="007373EA"/>
    <w:rsid w:val="00742E3E"/>
    <w:rsid w:val="00763DE5"/>
    <w:rsid w:val="007645BF"/>
    <w:rsid w:val="00766677"/>
    <w:rsid w:val="007666D3"/>
    <w:rsid w:val="00780B65"/>
    <w:rsid w:val="0078260F"/>
    <w:rsid w:val="00785EF8"/>
    <w:rsid w:val="00793CD7"/>
    <w:rsid w:val="00794417"/>
    <w:rsid w:val="00794650"/>
    <w:rsid w:val="00795E5C"/>
    <w:rsid w:val="007A190E"/>
    <w:rsid w:val="007B2E2F"/>
    <w:rsid w:val="007B30EC"/>
    <w:rsid w:val="007C02F0"/>
    <w:rsid w:val="007C17B2"/>
    <w:rsid w:val="007E316A"/>
    <w:rsid w:val="007E34EB"/>
    <w:rsid w:val="007E34F0"/>
    <w:rsid w:val="007E491A"/>
    <w:rsid w:val="007E602D"/>
    <w:rsid w:val="007E6B0C"/>
    <w:rsid w:val="007E7FD3"/>
    <w:rsid w:val="007F1581"/>
    <w:rsid w:val="007F19C8"/>
    <w:rsid w:val="007F534A"/>
    <w:rsid w:val="007F5BC6"/>
    <w:rsid w:val="00802ACD"/>
    <w:rsid w:val="0080762D"/>
    <w:rsid w:val="00807F49"/>
    <w:rsid w:val="00814E5D"/>
    <w:rsid w:val="00823A66"/>
    <w:rsid w:val="00827D82"/>
    <w:rsid w:val="00830096"/>
    <w:rsid w:val="00830227"/>
    <w:rsid w:val="00835184"/>
    <w:rsid w:val="008362B2"/>
    <w:rsid w:val="00837B45"/>
    <w:rsid w:val="00845972"/>
    <w:rsid w:val="00847D7F"/>
    <w:rsid w:val="008506DD"/>
    <w:rsid w:val="0085415D"/>
    <w:rsid w:val="0086254F"/>
    <w:rsid w:val="00865CD0"/>
    <w:rsid w:val="00867991"/>
    <w:rsid w:val="00872CF6"/>
    <w:rsid w:val="00877089"/>
    <w:rsid w:val="00877190"/>
    <w:rsid w:val="0088217E"/>
    <w:rsid w:val="00882493"/>
    <w:rsid w:val="00884A15"/>
    <w:rsid w:val="00890D48"/>
    <w:rsid w:val="008912D5"/>
    <w:rsid w:val="00892A2E"/>
    <w:rsid w:val="00893FF1"/>
    <w:rsid w:val="008A3329"/>
    <w:rsid w:val="008B20F6"/>
    <w:rsid w:val="008C258E"/>
    <w:rsid w:val="008C39D3"/>
    <w:rsid w:val="008C787A"/>
    <w:rsid w:val="008D2735"/>
    <w:rsid w:val="008D3497"/>
    <w:rsid w:val="008E3C1B"/>
    <w:rsid w:val="008F0640"/>
    <w:rsid w:val="008F3ADB"/>
    <w:rsid w:val="009023AD"/>
    <w:rsid w:val="009045B2"/>
    <w:rsid w:val="009055E6"/>
    <w:rsid w:val="0090704E"/>
    <w:rsid w:val="0090716D"/>
    <w:rsid w:val="009218CB"/>
    <w:rsid w:val="00922E84"/>
    <w:rsid w:val="00927BD2"/>
    <w:rsid w:val="0093296C"/>
    <w:rsid w:val="00933F5F"/>
    <w:rsid w:val="009363FD"/>
    <w:rsid w:val="00936DC3"/>
    <w:rsid w:val="00937D56"/>
    <w:rsid w:val="009433CC"/>
    <w:rsid w:val="009451DA"/>
    <w:rsid w:val="00953F83"/>
    <w:rsid w:val="009544C1"/>
    <w:rsid w:val="009565BC"/>
    <w:rsid w:val="0095699C"/>
    <w:rsid w:val="00957E2B"/>
    <w:rsid w:val="009630A2"/>
    <w:rsid w:val="00970B83"/>
    <w:rsid w:val="00973852"/>
    <w:rsid w:val="00975AD4"/>
    <w:rsid w:val="009770B4"/>
    <w:rsid w:val="009814A6"/>
    <w:rsid w:val="00981C05"/>
    <w:rsid w:val="0098681D"/>
    <w:rsid w:val="009976CE"/>
    <w:rsid w:val="009A5408"/>
    <w:rsid w:val="009B663E"/>
    <w:rsid w:val="009C1DCC"/>
    <w:rsid w:val="009C4809"/>
    <w:rsid w:val="009C51FC"/>
    <w:rsid w:val="009C662A"/>
    <w:rsid w:val="009D165C"/>
    <w:rsid w:val="009D2002"/>
    <w:rsid w:val="009D3B17"/>
    <w:rsid w:val="009E5CC1"/>
    <w:rsid w:val="009F1DB7"/>
    <w:rsid w:val="009F4AB7"/>
    <w:rsid w:val="009F4E11"/>
    <w:rsid w:val="00A03261"/>
    <w:rsid w:val="00A03B79"/>
    <w:rsid w:val="00A134FC"/>
    <w:rsid w:val="00A13AA7"/>
    <w:rsid w:val="00A160EA"/>
    <w:rsid w:val="00A21397"/>
    <w:rsid w:val="00A24886"/>
    <w:rsid w:val="00A2557B"/>
    <w:rsid w:val="00A25D5B"/>
    <w:rsid w:val="00A32420"/>
    <w:rsid w:val="00A438FA"/>
    <w:rsid w:val="00A602CD"/>
    <w:rsid w:val="00A60BD4"/>
    <w:rsid w:val="00A61896"/>
    <w:rsid w:val="00A63A9D"/>
    <w:rsid w:val="00A645FC"/>
    <w:rsid w:val="00A700E6"/>
    <w:rsid w:val="00A732A6"/>
    <w:rsid w:val="00A7429E"/>
    <w:rsid w:val="00A84D5C"/>
    <w:rsid w:val="00A84EA9"/>
    <w:rsid w:val="00A8516B"/>
    <w:rsid w:val="00A91A1A"/>
    <w:rsid w:val="00AA1089"/>
    <w:rsid w:val="00AA4419"/>
    <w:rsid w:val="00AA5B97"/>
    <w:rsid w:val="00AA72DD"/>
    <w:rsid w:val="00AC4250"/>
    <w:rsid w:val="00AC734A"/>
    <w:rsid w:val="00AD3BCC"/>
    <w:rsid w:val="00AD5526"/>
    <w:rsid w:val="00AD74B9"/>
    <w:rsid w:val="00AE6C06"/>
    <w:rsid w:val="00AF228C"/>
    <w:rsid w:val="00AF4928"/>
    <w:rsid w:val="00AF6B98"/>
    <w:rsid w:val="00B016F4"/>
    <w:rsid w:val="00B0187F"/>
    <w:rsid w:val="00B034A5"/>
    <w:rsid w:val="00B0600C"/>
    <w:rsid w:val="00B07AD3"/>
    <w:rsid w:val="00B16222"/>
    <w:rsid w:val="00B21491"/>
    <w:rsid w:val="00B23BF9"/>
    <w:rsid w:val="00B24075"/>
    <w:rsid w:val="00B2533C"/>
    <w:rsid w:val="00B30D1E"/>
    <w:rsid w:val="00B32721"/>
    <w:rsid w:val="00B36298"/>
    <w:rsid w:val="00B366F7"/>
    <w:rsid w:val="00B43088"/>
    <w:rsid w:val="00B512A2"/>
    <w:rsid w:val="00B51D3E"/>
    <w:rsid w:val="00B5513E"/>
    <w:rsid w:val="00B5577B"/>
    <w:rsid w:val="00B649B2"/>
    <w:rsid w:val="00B64E5E"/>
    <w:rsid w:val="00B656A9"/>
    <w:rsid w:val="00B759F9"/>
    <w:rsid w:val="00B76268"/>
    <w:rsid w:val="00B77C34"/>
    <w:rsid w:val="00B81728"/>
    <w:rsid w:val="00B84CCF"/>
    <w:rsid w:val="00B91446"/>
    <w:rsid w:val="00B9275F"/>
    <w:rsid w:val="00B93670"/>
    <w:rsid w:val="00B951C5"/>
    <w:rsid w:val="00B97C73"/>
    <w:rsid w:val="00BA3C6A"/>
    <w:rsid w:val="00BA640A"/>
    <w:rsid w:val="00BB022E"/>
    <w:rsid w:val="00BB1C34"/>
    <w:rsid w:val="00BD041C"/>
    <w:rsid w:val="00BD2C4F"/>
    <w:rsid w:val="00BD2DEC"/>
    <w:rsid w:val="00BD32BA"/>
    <w:rsid w:val="00BD7721"/>
    <w:rsid w:val="00BE023F"/>
    <w:rsid w:val="00BE37B3"/>
    <w:rsid w:val="00BE3CBC"/>
    <w:rsid w:val="00BE546D"/>
    <w:rsid w:val="00BF1510"/>
    <w:rsid w:val="00BF3055"/>
    <w:rsid w:val="00BF79DF"/>
    <w:rsid w:val="00C0176B"/>
    <w:rsid w:val="00C029A6"/>
    <w:rsid w:val="00C02AFC"/>
    <w:rsid w:val="00C0656C"/>
    <w:rsid w:val="00C12411"/>
    <w:rsid w:val="00C17732"/>
    <w:rsid w:val="00C22023"/>
    <w:rsid w:val="00C2382F"/>
    <w:rsid w:val="00C27585"/>
    <w:rsid w:val="00C276D5"/>
    <w:rsid w:val="00C304DD"/>
    <w:rsid w:val="00C30B0C"/>
    <w:rsid w:val="00C53DC6"/>
    <w:rsid w:val="00C562D7"/>
    <w:rsid w:val="00C6236E"/>
    <w:rsid w:val="00C63CCF"/>
    <w:rsid w:val="00C64329"/>
    <w:rsid w:val="00C70AF4"/>
    <w:rsid w:val="00C719DA"/>
    <w:rsid w:val="00C7647A"/>
    <w:rsid w:val="00C76948"/>
    <w:rsid w:val="00C9113F"/>
    <w:rsid w:val="00C91A9E"/>
    <w:rsid w:val="00C93AA4"/>
    <w:rsid w:val="00C95BEF"/>
    <w:rsid w:val="00C96B39"/>
    <w:rsid w:val="00CA06A6"/>
    <w:rsid w:val="00CA46FF"/>
    <w:rsid w:val="00CA4E98"/>
    <w:rsid w:val="00CA68E4"/>
    <w:rsid w:val="00CA6CCE"/>
    <w:rsid w:val="00CB1539"/>
    <w:rsid w:val="00CB1698"/>
    <w:rsid w:val="00CB5342"/>
    <w:rsid w:val="00CC7D78"/>
    <w:rsid w:val="00CD10D3"/>
    <w:rsid w:val="00CD2D6B"/>
    <w:rsid w:val="00CD5ADC"/>
    <w:rsid w:val="00CE019A"/>
    <w:rsid w:val="00CE4ECA"/>
    <w:rsid w:val="00CE7AF5"/>
    <w:rsid w:val="00CF140D"/>
    <w:rsid w:val="00CF18D6"/>
    <w:rsid w:val="00CF19E8"/>
    <w:rsid w:val="00CF54F0"/>
    <w:rsid w:val="00D02D3B"/>
    <w:rsid w:val="00D11D25"/>
    <w:rsid w:val="00D12D6D"/>
    <w:rsid w:val="00D1419E"/>
    <w:rsid w:val="00D165BC"/>
    <w:rsid w:val="00D17207"/>
    <w:rsid w:val="00D17F8E"/>
    <w:rsid w:val="00D20326"/>
    <w:rsid w:val="00D23F2D"/>
    <w:rsid w:val="00D2599D"/>
    <w:rsid w:val="00D26C41"/>
    <w:rsid w:val="00D26EF8"/>
    <w:rsid w:val="00D31444"/>
    <w:rsid w:val="00D317E2"/>
    <w:rsid w:val="00D3634F"/>
    <w:rsid w:val="00D36372"/>
    <w:rsid w:val="00D36B75"/>
    <w:rsid w:val="00D425BA"/>
    <w:rsid w:val="00D43849"/>
    <w:rsid w:val="00D43CDE"/>
    <w:rsid w:val="00D454DA"/>
    <w:rsid w:val="00D474DE"/>
    <w:rsid w:val="00D51080"/>
    <w:rsid w:val="00D5178C"/>
    <w:rsid w:val="00D53B11"/>
    <w:rsid w:val="00D557A3"/>
    <w:rsid w:val="00D56285"/>
    <w:rsid w:val="00D63A32"/>
    <w:rsid w:val="00D6528A"/>
    <w:rsid w:val="00D6555C"/>
    <w:rsid w:val="00D742B9"/>
    <w:rsid w:val="00D748BE"/>
    <w:rsid w:val="00D8149C"/>
    <w:rsid w:val="00D87884"/>
    <w:rsid w:val="00D9513D"/>
    <w:rsid w:val="00D961B3"/>
    <w:rsid w:val="00DA1EB7"/>
    <w:rsid w:val="00DA3B2D"/>
    <w:rsid w:val="00DA4068"/>
    <w:rsid w:val="00DA42A4"/>
    <w:rsid w:val="00DA7C35"/>
    <w:rsid w:val="00DB5E00"/>
    <w:rsid w:val="00DB756A"/>
    <w:rsid w:val="00DB7628"/>
    <w:rsid w:val="00DC161A"/>
    <w:rsid w:val="00DE222C"/>
    <w:rsid w:val="00DE2956"/>
    <w:rsid w:val="00DE7AE7"/>
    <w:rsid w:val="00DF5867"/>
    <w:rsid w:val="00E05D97"/>
    <w:rsid w:val="00E06E59"/>
    <w:rsid w:val="00E1317B"/>
    <w:rsid w:val="00E147F0"/>
    <w:rsid w:val="00E1630A"/>
    <w:rsid w:val="00E21A19"/>
    <w:rsid w:val="00E2331D"/>
    <w:rsid w:val="00E25E5C"/>
    <w:rsid w:val="00E26366"/>
    <w:rsid w:val="00E267EA"/>
    <w:rsid w:val="00E26E11"/>
    <w:rsid w:val="00E27294"/>
    <w:rsid w:val="00E3221C"/>
    <w:rsid w:val="00E3498F"/>
    <w:rsid w:val="00E3511A"/>
    <w:rsid w:val="00E35137"/>
    <w:rsid w:val="00E40CFF"/>
    <w:rsid w:val="00E4224B"/>
    <w:rsid w:val="00E573A3"/>
    <w:rsid w:val="00E63719"/>
    <w:rsid w:val="00E71077"/>
    <w:rsid w:val="00E746CE"/>
    <w:rsid w:val="00E74858"/>
    <w:rsid w:val="00E75093"/>
    <w:rsid w:val="00E7759C"/>
    <w:rsid w:val="00E83D29"/>
    <w:rsid w:val="00E92921"/>
    <w:rsid w:val="00EA6BEE"/>
    <w:rsid w:val="00EB1592"/>
    <w:rsid w:val="00EB2320"/>
    <w:rsid w:val="00EB6447"/>
    <w:rsid w:val="00EB686D"/>
    <w:rsid w:val="00EB6C78"/>
    <w:rsid w:val="00EC0EB4"/>
    <w:rsid w:val="00EC3367"/>
    <w:rsid w:val="00EC57B2"/>
    <w:rsid w:val="00ED0B33"/>
    <w:rsid w:val="00ED2AA7"/>
    <w:rsid w:val="00ED6531"/>
    <w:rsid w:val="00EE645C"/>
    <w:rsid w:val="00EE7623"/>
    <w:rsid w:val="00EE7C22"/>
    <w:rsid w:val="00EF3CBE"/>
    <w:rsid w:val="00EF432E"/>
    <w:rsid w:val="00EF7D07"/>
    <w:rsid w:val="00F037C2"/>
    <w:rsid w:val="00F065F3"/>
    <w:rsid w:val="00F14420"/>
    <w:rsid w:val="00F169BF"/>
    <w:rsid w:val="00F21805"/>
    <w:rsid w:val="00F24A27"/>
    <w:rsid w:val="00F32376"/>
    <w:rsid w:val="00F35823"/>
    <w:rsid w:val="00F36F9E"/>
    <w:rsid w:val="00F45FCA"/>
    <w:rsid w:val="00F467CE"/>
    <w:rsid w:val="00F54710"/>
    <w:rsid w:val="00F55411"/>
    <w:rsid w:val="00F6034F"/>
    <w:rsid w:val="00F61082"/>
    <w:rsid w:val="00F6682B"/>
    <w:rsid w:val="00F710E8"/>
    <w:rsid w:val="00F77720"/>
    <w:rsid w:val="00F83462"/>
    <w:rsid w:val="00F838A0"/>
    <w:rsid w:val="00F84BCB"/>
    <w:rsid w:val="00F875D9"/>
    <w:rsid w:val="00F93BAD"/>
    <w:rsid w:val="00F9591D"/>
    <w:rsid w:val="00F961C1"/>
    <w:rsid w:val="00FA3FB2"/>
    <w:rsid w:val="00FA57B7"/>
    <w:rsid w:val="00FA6C88"/>
    <w:rsid w:val="00FA6CAD"/>
    <w:rsid w:val="00FB19FD"/>
    <w:rsid w:val="00FC021F"/>
    <w:rsid w:val="00FC1D12"/>
    <w:rsid w:val="00FC34CE"/>
    <w:rsid w:val="00FC759A"/>
    <w:rsid w:val="00FD74FC"/>
    <w:rsid w:val="00FE2280"/>
    <w:rsid w:val="00FE2723"/>
    <w:rsid w:val="00FE5EC2"/>
    <w:rsid w:val="00FE66CE"/>
    <w:rsid w:val="00FE758E"/>
    <w:rsid w:val="00FF014E"/>
    <w:rsid w:val="00FF0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AU" w:eastAsia="en-AU"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BE"/>
    <w:pPr>
      <w:spacing w:line="276" w:lineRule="auto"/>
    </w:pPr>
    <w:rPr>
      <w:rFonts w:asciiTheme="minorHAnsi" w:eastAsiaTheme="minorEastAsia" w:hAnsiTheme="minorHAnsi" w:cstheme="minorBidi"/>
      <w:sz w:val="22"/>
      <w:szCs w:val="22"/>
      <w:lang w:val="en-US" w:eastAsia="en-US" w:bidi="en-US"/>
    </w:rPr>
  </w:style>
  <w:style w:type="paragraph" w:styleId="Heading2">
    <w:name w:val="heading 2"/>
    <w:basedOn w:val="Normal"/>
    <w:next w:val="Normal"/>
    <w:link w:val="Heading2Char"/>
    <w:uiPriority w:val="9"/>
    <w:semiHidden/>
    <w:unhideWhenUsed/>
    <w:qFormat/>
    <w:rsid w:val="00600931"/>
    <w:pPr>
      <w:keepNext/>
      <w:keepLines/>
      <w:spacing w:before="200" w:after="0"/>
      <w:outlineLvl w:val="1"/>
    </w:pPr>
    <w:rPr>
      <w:rFonts w:asciiTheme="majorHAnsi" w:eastAsiaTheme="majorEastAsia" w:hAnsiTheme="majorHAnsi" w:cstheme="majorBidi"/>
      <w:b/>
      <w:bCs/>
      <w:color w:val="4F81BD" w:themeColor="accent1"/>
      <w:sz w:val="26"/>
      <w:szCs w:val="26"/>
      <w:lang w:val="en-AU" w:bidi="ar-SA"/>
    </w:rPr>
  </w:style>
  <w:style w:type="paragraph" w:styleId="Heading3">
    <w:name w:val="heading 3"/>
    <w:basedOn w:val="Normal"/>
    <w:next w:val="Normal"/>
    <w:link w:val="Heading3Char"/>
    <w:uiPriority w:val="9"/>
    <w:semiHidden/>
    <w:unhideWhenUsed/>
    <w:qFormat/>
    <w:rsid w:val="00600931"/>
    <w:pPr>
      <w:keepNext/>
      <w:keepLines/>
      <w:spacing w:before="200" w:after="0"/>
      <w:outlineLvl w:val="2"/>
    </w:pPr>
    <w:rPr>
      <w:rFonts w:asciiTheme="majorHAnsi" w:eastAsiaTheme="majorEastAsia" w:hAnsiTheme="majorHAnsi" w:cstheme="majorBidi"/>
      <w:b/>
      <w:bCs/>
      <w:color w:val="4F81BD" w:themeColor="accent1"/>
      <w:lang w:val="en-AU" w:bidi="ar-SA"/>
    </w:rPr>
  </w:style>
  <w:style w:type="paragraph" w:styleId="Heading6">
    <w:name w:val="heading 6"/>
    <w:basedOn w:val="Normal"/>
    <w:link w:val="Heading6Char"/>
    <w:uiPriority w:val="9"/>
    <w:qFormat/>
    <w:rsid w:val="000A7852"/>
    <w:pPr>
      <w:spacing w:before="100" w:beforeAutospacing="1" w:after="135" w:line="240" w:lineRule="auto"/>
      <w:outlineLvl w:val="5"/>
    </w:pPr>
    <w:rPr>
      <w:rFonts w:ascii="Times New Roman" w:eastAsia="Times New Roman" w:hAnsi="Times New Roman" w:cs="Arial"/>
      <w:b/>
      <w:bCs/>
      <w:lang w:val="en-AU" w:eastAsia="en-AU" w:bidi="ar-SA"/>
    </w:rPr>
  </w:style>
  <w:style w:type="paragraph" w:styleId="Heading9">
    <w:name w:val="heading 9"/>
    <w:basedOn w:val="Normal"/>
    <w:next w:val="Normal"/>
    <w:link w:val="Heading9Char"/>
    <w:semiHidden/>
    <w:unhideWhenUsed/>
    <w:qFormat/>
    <w:rsid w:val="009770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A7852"/>
    <w:rPr>
      <w:b/>
      <w:bCs/>
      <w:sz w:val="22"/>
      <w:szCs w:val="22"/>
    </w:rPr>
  </w:style>
  <w:style w:type="paragraph" w:styleId="ListParagraph">
    <w:name w:val="List Paragraph"/>
    <w:basedOn w:val="Normal"/>
    <w:uiPriority w:val="34"/>
    <w:qFormat/>
    <w:rsid w:val="000A7852"/>
    <w:pPr>
      <w:spacing w:after="0" w:line="240" w:lineRule="auto"/>
      <w:ind w:left="720"/>
      <w:contextualSpacing/>
    </w:pPr>
    <w:rPr>
      <w:rFonts w:ascii="Arial" w:eastAsia="Times New Roman" w:hAnsi="Arial" w:cs="Arial"/>
      <w:sz w:val="24"/>
      <w:szCs w:val="24"/>
      <w:lang w:val="en-AU" w:eastAsia="en-GB" w:bidi="ar-SA"/>
    </w:rPr>
  </w:style>
  <w:style w:type="character" w:customStyle="1" w:styleId="Normal1">
    <w:name w:val="Normal1"/>
    <w:qFormat/>
    <w:rsid w:val="000A7852"/>
    <w:rPr>
      <w:rFonts w:ascii="Gautami" w:hAnsi="Gautami"/>
      <w:color w:val="auto"/>
      <w:sz w:val="20"/>
    </w:rPr>
  </w:style>
  <w:style w:type="paragraph" w:styleId="NoSpacing">
    <w:name w:val="No Spacing"/>
    <w:link w:val="NoSpacingChar"/>
    <w:uiPriority w:val="1"/>
    <w:qFormat/>
    <w:rsid w:val="00EF3CBE"/>
    <w:rPr>
      <w:rFonts w:asciiTheme="minorHAnsi" w:eastAsiaTheme="minorEastAsia" w:hAnsiTheme="minorHAnsi" w:cstheme="minorBidi"/>
      <w:sz w:val="22"/>
      <w:szCs w:val="22"/>
      <w:lang w:val="en-US" w:eastAsia="en-US" w:bidi="en-US"/>
    </w:rPr>
  </w:style>
  <w:style w:type="character" w:customStyle="1" w:styleId="NoSpacingChar">
    <w:name w:val="No Spacing Char"/>
    <w:basedOn w:val="DefaultParagraphFont"/>
    <w:link w:val="NoSpacing"/>
    <w:uiPriority w:val="1"/>
    <w:rsid w:val="00EF3CBE"/>
    <w:rPr>
      <w:rFonts w:asciiTheme="minorHAnsi" w:eastAsiaTheme="minorEastAsia" w:hAnsiTheme="minorHAnsi" w:cstheme="minorBidi"/>
      <w:sz w:val="22"/>
      <w:szCs w:val="22"/>
      <w:lang w:val="en-US" w:eastAsia="en-US" w:bidi="en-US"/>
    </w:rPr>
  </w:style>
  <w:style w:type="paragraph" w:styleId="Header">
    <w:name w:val="header"/>
    <w:basedOn w:val="Normal"/>
    <w:link w:val="HeaderChar"/>
    <w:uiPriority w:val="99"/>
    <w:unhideWhenUsed/>
    <w:rsid w:val="00054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BA4"/>
    <w:rPr>
      <w:rFonts w:asciiTheme="minorHAnsi" w:eastAsiaTheme="minorEastAsia" w:hAnsiTheme="minorHAnsi" w:cstheme="minorBidi"/>
      <w:sz w:val="22"/>
      <w:szCs w:val="22"/>
      <w:lang w:val="en-US" w:eastAsia="en-US" w:bidi="en-US"/>
    </w:rPr>
  </w:style>
  <w:style w:type="paragraph" w:styleId="Footer">
    <w:name w:val="footer"/>
    <w:basedOn w:val="Normal"/>
    <w:link w:val="FooterChar"/>
    <w:uiPriority w:val="99"/>
    <w:unhideWhenUsed/>
    <w:rsid w:val="00054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BA4"/>
    <w:rPr>
      <w:rFonts w:asciiTheme="minorHAnsi" w:eastAsiaTheme="minorEastAsia" w:hAnsiTheme="minorHAnsi" w:cstheme="minorBidi"/>
      <w:sz w:val="22"/>
      <w:szCs w:val="22"/>
      <w:lang w:val="en-US" w:eastAsia="en-US" w:bidi="en-US"/>
    </w:rPr>
  </w:style>
  <w:style w:type="paragraph" w:customStyle="1" w:styleId="AERbulletlistfirststyle">
    <w:name w:val="AER bullet list (first style)"/>
    <w:basedOn w:val="Normal"/>
    <w:qFormat/>
    <w:rsid w:val="007F19C8"/>
    <w:pPr>
      <w:numPr>
        <w:numId w:val="1"/>
      </w:numPr>
      <w:tabs>
        <w:tab w:val="left" w:pos="357"/>
      </w:tabs>
      <w:spacing w:line="288" w:lineRule="auto"/>
    </w:pPr>
    <w:rPr>
      <w:rFonts w:ascii="Gautami" w:eastAsia="Times New Roman" w:hAnsi="Gautami" w:cs="Times New Roman"/>
      <w:sz w:val="20"/>
      <w:szCs w:val="24"/>
      <w:lang w:val="en-AU" w:bidi="ar-SA"/>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qFormat/>
    <w:rsid w:val="007F19C8"/>
    <w:pPr>
      <w:tabs>
        <w:tab w:val="left" w:pos="426"/>
      </w:tabs>
      <w:spacing w:after="0" w:line="240" w:lineRule="auto"/>
      <w:ind w:left="426" w:hanging="426"/>
    </w:pPr>
    <w:rPr>
      <w:rFonts w:ascii="Gautami" w:eastAsia="Times New Roman" w:hAnsi="Gautami" w:cs="Times New Roman"/>
      <w:sz w:val="16"/>
      <w:szCs w:val="20"/>
      <w:lang w:val="en-AU" w:bidi="ar-SA"/>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7F19C8"/>
    <w:rPr>
      <w:rFonts w:ascii="Gautami" w:hAnsi="Gautami" w:cs="Times New Roman"/>
      <w:sz w:val="16"/>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F19C8"/>
    <w:rPr>
      <w:vertAlign w:val="superscript"/>
    </w:rPr>
  </w:style>
  <w:style w:type="character" w:customStyle="1" w:styleId="AERbody">
    <w:name w:val="AER body"/>
    <w:basedOn w:val="DefaultParagraphFont"/>
    <w:qFormat/>
    <w:rsid w:val="00937D56"/>
    <w:rPr>
      <w:rFonts w:ascii="Gautami" w:hAnsi="Gautami"/>
      <w:color w:val="auto"/>
      <w:sz w:val="20"/>
    </w:rPr>
  </w:style>
  <w:style w:type="character" w:customStyle="1" w:styleId="AERtexthighlight">
    <w:name w:val="AER text highlight"/>
    <w:qFormat/>
    <w:rsid w:val="00937D56"/>
    <w:rPr>
      <w:bdr w:val="none" w:sz="0" w:space="0" w:color="auto"/>
      <w:shd w:val="clear" w:color="auto" w:fill="FFFF00"/>
    </w:rPr>
  </w:style>
  <w:style w:type="character" w:styleId="CommentReference">
    <w:name w:val="annotation reference"/>
    <w:basedOn w:val="DefaultParagraphFont"/>
    <w:uiPriority w:val="99"/>
    <w:semiHidden/>
    <w:unhideWhenUsed/>
    <w:rsid w:val="00367648"/>
    <w:rPr>
      <w:sz w:val="16"/>
      <w:szCs w:val="16"/>
    </w:rPr>
  </w:style>
  <w:style w:type="paragraph" w:styleId="CommentText">
    <w:name w:val="annotation text"/>
    <w:basedOn w:val="Normal"/>
    <w:link w:val="CommentTextChar"/>
    <w:uiPriority w:val="99"/>
    <w:semiHidden/>
    <w:unhideWhenUsed/>
    <w:rsid w:val="00367648"/>
    <w:pPr>
      <w:spacing w:line="240" w:lineRule="auto"/>
    </w:pPr>
    <w:rPr>
      <w:sz w:val="20"/>
      <w:szCs w:val="20"/>
    </w:rPr>
  </w:style>
  <w:style w:type="character" w:customStyle="1" w:styleId="CommentTextChar">
    <w:name w:val="Comment Text Char"/>
    <w:basedOn w:val="DefaultParagraphFont"/>
    <w:link w:val="CommentText"/>
    <w:uiPriority w:val="99"/>
    <w:semiHidden/>
    <w:rsid w:val="00367648"/>
    <w:rPr>
      <w:rFonts w:asciiTheme="minorHAnsi" w:eastAsiaTheme="minorEastAsia" w:hAnsiTheme="minorHAnsi" w:cstheme="minorBidi"/>
      <w:lang w:val="en-US" w:eastAsia="en-US" w:bidi="en-US"/>
    </w:rPr>
  </w:style>
  <w:style w:type="paragraph" w:styleId="CommentSubject">
    <w:name w:val="annotation subject"/>
    <w:basedOn w:val="CommentText"/>
    <w:next w:val="CommentText"/>
    <w:link w:val="CommentSubjectChar"/>
    <w:uiPriority w:val="99"/>
    <w:semiHidden/>
    <w:unhideWhenUsed/>
    <w:rsid w:val="00367648"/>
    <w:rPr>
      <w:b/>
      <w:bCs/>
    </w:rPr>
  </w:style>
  <w:style w:type="character" w:customStyle="1" w:styleId="CommentSubjectChar">
    <w:name w:val="Comment Subject Char"/>
    <w:basedOn w:val="CommentTextChar"/>
    <w:link w:val="CommentSubject"/>
    <w:uiPriority w:val="99"/>
    <w:semiHidden/>
    <w:rsid w:val="00367648"/>
    <w:rPr>
      <w:rFonts w:asciiTheme="minorHAnsi" w:eastAsiaTheme="minorEastAsia" w:hAnsiTheme="minorHAnsi" w:cstheme="minorBidi"/>
      <w:b/>
      <w:bCs/>
      <w:lang w:val="en-US" w:eastAsia="en-US" w:bidi="en-US"/>
    </w:rPr>
  </w:style>
  <w:style w:type="paragraph" w:styleId="BalloonText">
    <w:name w:val="Balloon Text"/>
    <w:basedOn w:val="Normal"/>
    <w:link w:val="BalloonTextChar"/>
    <w:uiPriority w:val="99"/>
    <w:semiHidden/>
    <w:unhideWhenUsed/>
    <w:rsid w:val="00367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48"/>
    <w:rPr>
      <w:rFonts w:ascii="Tahoma" w:eastAsiaTheme="minorEastAsia" w:hAnsi="Tahoma" w:cs="Tahoma"/>
      <w:sz w:val="16"/>
      <w:szCs w:val="16"/>
      <w:lang w:val="en-US" w:eastAsia="en-US" w:bidi="en-US"/>
    </w:rPr>
  </w:style>
  <w:style w:type="table" w:styleId="TableGrid">
    <w:name w:val="Table Grid"/>
    <w:basedOn w:val="TableNormal"/>
    <w:uiPriority w:val="59"/>
    <w:rsid w:val="00506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1"/>
    <w:qFormat/>
    <w:rsid w:val="005A4C9D"/>
    <w:pPr>
      <w:spacing w:before="120" w:after="60"/>
    </w:pPr>
    <w:rPr>
      <w:rFonts w:ascii="Arial" w:eastAsiaTheme="minorHAnsi" w:hAnsi="Arial"/>
      <w:sz w:val="20"/>
      <w:lang w:val="en-AU" w:bidi="ar-SA"/>
    </w:rPr>
  </w:style>
  <w:style w:type="paragraph" w:customStyle="1" w:styleId="Source">
    <w:name w:val="Source"/>
    <w:basedOn w:val="Normal"/>
    <w:next w:val="Normal"/>
    <w:link w:val="SourceChar"/>
    <w:rsid w:val="005A4C9D"/>
    <w:pPr>
      <w:spacing w:before="200" w:after="60"/>
    </w:pPr>
    <w:rPr>
      <w:rFonts w:ascii="Arial" w:eastAsiaTheme="minorHAnsi" w:hAnsi="Arial"/>
      <w:sz w:val="16"/>
      <w:szCs w:val="16"/>
      <w:lang w:val="en-AU" w:bidi="ar-SA"/>
    </w:rPr>
  </w:style>
  <w:style w:type="character" w:customStyle="1" w:styleId="SourceChar">
    <w:name w:val="Source Char"/>
    <w:basedOn w:val="DefaultParagraphFont"/>
    <w:link w:val="Source"/>
    <w:rsid w:val="005A4C9D"/>
    <w:rPr>
      <w:rFonts w:eastAsiaTheme="minorHAnsi" w:cstheme="minorBidi"/>
      <w:sz w:val="16"/>
      <w:szCs w:val="16"/>
      <w:lang w:eastAsia="en-US"/>
    </w:rPr>
  </w:style>
  <w:style w:type="paragraph" w:styleId="Caption">
    <w:name w:val="caption"/>
    <w:basedOn w:val="Normal"/>
    <w:next w:val="Normal"/>
    <w:uiPriority w:val="35"/>
    <w:unhideWhenUsed/>
    <w:qFormat/>
    <w:rsid w:val="005A4C9D"/>
    <w:pPr>
      <w:spacing w:before="240" w:after="120"/>
    </w:pPr>
    <w:rPr>
      <w:rFonts w:ascii="Arial" w:eastAsiaTheme="minorHAnsi" w:hAnsi="Arial"/>
      <w:b/>
      <w:bCs/>
      <w:color w:val="000000" w:themeColor="text1"/>
      <w:sz w:val="24"/>
      <w:szCs w:val="18"/>
      <w:lang w:val="en-AU" w:bidi="ar-SA"/>
    </w:rPr>
  </w:style>
  <w:style w:type="paragraph" w:customStyle="1" w:styleId="Tabletext-centred">
    <w:name w:val="Table text - centred"/>
    <w:basedOn w:val="Normal"/>
    <w:link w:val="Tabletext-centredChar"/>
    <w:rsid w:val="005A4C9D"/>
    <w:pPr>
      <w:spacing w:before="120" w:after="60"/>
      <w:jc w:val="center"/>
    </w:pPr>
    <w:rPr>
      <w:rFonts w:ascii="Arial" w:eastAsia="Times New Roman" w:hAnsi="Arial" w:cs="Times New Roman"/>
      <w:sz w:val="20"/>
      <w:szCs w:val="20"/>
      <w:lang w:val="en-AU" w:bidi="ar-SA"/>
    </w:rPr>
  </w:style>
  <w:style w:type="character" w:customStyle="1" w:styleId="TabletextChar">
    <w:name w:val="Table text Char"/>
    <w:basedOn w:val="DefaultParagraphFont"/>
    <w:link w:val="Tabletext"/>
    <w:uiPriority w:val="1"/>
    <w:rsid w:val="005A4C9D"/>
    <w:rPr>
      <w:rFonts w:eastAsiaTheme="minorHAnsi" w:cstheme="minorBidi"/>
      <w:szCs w:val="22"/>
      <w:lang w:eastAsia="en-US"/>
    </w:rPr>
  </w:style>
  <w:style w:type="character" w:customStyle="1" w:styleId="Tabletext-centredChar">
    <w:name w:val="Table text - centred Char"/>
    <w:basedOn w:val="DefaultParagraphFont"/>
    <w:link w:val="Tabletext-centred"/>
    <w:rsid w:val="005A4C9D"/>
    <w:rPr>
      <w:rFonts w:cs="Times New Roman"/>
      <w:lang w:eastAsia="en-US"/>
    </w:rPr>
  </w:style>
  <w:style w:type="table" w:customStyle="1" w:styleId="AERTable-Text">
    <w:name w:val="AER Table - Text"/>
    <w:basedOn w:val="TableNormal"/>
    <w:uiPriority w:val="99"/>
    <w:rsid w:val="005A4C9D"/>
    <w:pPr>
      <w:spacing w:before="120" w:after="120"/>
    </w:pPr>
    <w:rPr>
      <w:rFonts w:eastAsiaTheme="minorHAnsi" w:cstheme="minorBidi"/>
      <w:szCs w:val="22"/>
      <w:lang w:eastAsia="en-US"/>
    </w:rPr>
    <w:tblPr>
      <w:tblStyleRowBandSize w:val="1"/>
      <w:tblBorders>
        <w:bottom w:val="single" w:sz="4" w:space="0" w:color="auto"/>
      </w:tblBorders>
    </w:tblPr>
    <w:tblStylePr w:type="firstRow">
      <w:pPr>
        <w:wordWrap/>
        <w:spacing w:beforeLines="0" w:beforeAutospacing="0" w:afterLines="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styleId="Hyperlink">
    <w:name w:val="Hyperlink"/>
    <w:basedOn w:val="DefaultParagraphFont"/>
    <w:uiPriority w:val="99"/>
    <w:unhideWhenUsed/>
    <w:rsid w:val="003E560F"/>
    <w:rPr>
      <w:color w:val="0000FF" w:themeColor="hyperlink"/>
      <w:u w:val="single"/>
    </w:rPr>
  </w:style>
  <w:style w:type="character" w:customStyle="1" w:styleId="AERsuperscript">
    <w:name w:val="AER superscript"/>
    <w:qFormat/>
    <w:rsid w:val="0023323C"/>
    <w:rPr>
      <w:rFonts w:ascii="Gautami" w:hAnsi="Gautami"/>
      <w:vertAlign w:val="superscript"/>
    </w:rPr>
  </w:style>
  <w:style w:type="paragraph" w:customStyle="1" w:styleId="AERtabletextleft">
    <w:name w:val="AER table text left"/>
    <w:qFormat/>
    <w:rsid w:val="0023323C"/>
    <w:pPr>
      <w:spacing w:before="80" w:after="120" w:line="288" w:lineRule="auto"/>
    </w:pPr>
    <w:rPr>
      <w:rFonts w:ascii="Gautami" w:hAnsi="Gautami" w:cs="Times New Roman"/>
      <w:sz w:val="16"/>
      <w:szCs w:val="24"/>
      <w:lang w:eastAsia="en-US"/>
    </w:rPr>
  </w:style>
  <w:style w:type="character" w:customStyle="1" w:styleId="AERtextbold">
    <w:name w:val="AER text bold"/>
    <w:qFormat/>
    <w:rsid w:val="0023323C"/>
    <w:rPr>
      <w:b/>
    </w:rPr>
  </w:style>
  <w:style w:type="paragraph" w:customStyle="1" w:styleId="AERbodytext">
    <w:name w:val="AER body text"/>
    <w:link w:val="AERbodytextChar"/>
    <w:qFormat/>
    <w:rsid w:val="00E26E11"/>
    <w:pPr>
      <w:numPr>
        <w:numId w:val="40"/>
      </w:numPr>
      <w:spacing w:after="240" w:line="288" w:lineRule="auto"/>
    </w:pPr>
    <w:rPr>
      <w:rFonts w:ascii="Gautami" w:hAnsi="Gautami" w:cs="Times New Roman"/>
      <w:szCs w:val="24"/>
      <w:lang w:eastAsia="en-US"/>
    </w:rPr>
  </w:style>
  <w:style w:type="paragraph" w:customStyle="1" w:styleId="AERnumberedlistfirststyle">
    <w:name w:val="AER numbered list (first style)"/>
    <w:basedOn w:val="AERbodytext"/>
    <w:qFormat/>
    <w:rsid w:val="00E26E11"/>
    <w:pPr>
      <w:numPr>
        <w:ilvl w:val="1"/>
      </w:numPr>
      <w:tabs>
        <w:tab w:val="clear" w:pos="357"/>
      </w:tabs>
      <w:spacing w:after="200"/>
      <w:ind w:left="1440" w:hanging="360"/>
    </w:pPr>
  </w:style>
  <w:style w:type="paragraph" w:customStyle="1" w:styleId="AERnumberedlistsecondstyle">
    <w:name w:val="AER numbered list (second style)"/>
    <w:basedOn w:val="AERnumberedlistfirststyle"/>
    <w:qFormat/>
    <w:rsid w:val="00E26E11"/>
    <w:pPr>
      <w:numPr>
        <w:ilvl w:val="2"/>
      </w:numPr>
      <w:tabs>
        <w:tab w:val="clear" w:pos="720"/>
      </w:tabs>
      <w:ind w:left="2160" w:hanging="360"/>
    </w:pPr>
  </w:style>
  <w:style w:type="paragraph" w:customStyle="1" w:styleId="AERnumberedlistthirdstyle">
    <w:name w:val="AER numbered list (third style)"/>
    <w:basedOn w:val="AERnumberedlistsecondstyle"/>
    <w:qFormat/>
    <w:rsid w:val="00E26E11"/>
    <w:pPr>
      <w:numPr>
        <w:ilvl w:val="3"/>
      </w:numPr>
      <w:tabs>
        <w:tab w:val="clear" w:pos="1077"/>
      </w:tabs>
      <w:ind w:left="2880" w:hanging="360"/>
    </w:pPr>
  </w:style>
  <w:style w:type="paragraph" w:customStyle="1" w:styleId="AERquote">
    <w:name w:val="AER quote"/>
    <w:next w:val="AERbodytext"/>
    <w:qFormat/>
    <w:rsid w:val="00E26E11"/>
    <w:pPr>
      <w:tabs>
        <w:tab w:val="num" w:pos="709"/>
      </w:tabs>
      <w:spacing w:after="160" w:line="288" w:lineRule="auto"/>
      <w:ind w:left="709" w:right="720"/>
    </w:pPr>
    <w:rPr>
      <w:rFonts w:ascii="Gautami" w:hAnsi="Gautami" w:cs="Times New Roman"/>
      <w:color w:val="000000"/>
      <w:sz w:val="16"/>
      <w:szCs w:val="24"/>
      <w:lang w:eastAsia="en-US"/>
    </w:rPr>
  </w:style>
  <w:style w:type="character" w:customStyle="1" w:styleId="AERtextitalic">
    <w:name w:val="AER text italic"/>
    <w:qFormat/>
    <w:rsid w:val="00E26E11"/>
    <w:rPr>
      <w:i/>
    </w:rPr>
  </w:style>
  <w:style w:type="numbering" w:customStyle="1" w:styleId="AERnumberedlist">
    <w:name w:val="AER numbered list"/>
    <w:uiPriority w:val="99"/>
    <w:rsid w:val="00E26E11"/>
    <w:pPr>
      <w:numPr>
        <w:numId w:val="2"/>
      </w:numPr>
    </w:pPr>
  </w:style>
  <w:style w:type="paragraph" w:customStyle="1" w:styleId="AERnumberedlist2first">
    <w:name w:val="AER numbered list 2 first"/>
    <w:basedOn w:val="AERbodytext"/>
    <w:qFormat/>
    <w:rsid w:val="00E26E11"/>
    <w:pPr>
      <w:numPr>
        <w:ilvl w:val="4"/>
      </w:numPr>
      <w:tabs>
        <w:tab w:val="clear" w:pos="454"/>
      </w:tabs>
      <w:ind w:left="3600" w:hanging="360"/>
    </w:pPr>
  </w:style>
  <w:style w:type="paragraph" w:customStyle="1" w:styleId="AERnumberedlist2second">
    <w:name w:val="AER numbered list 2 second"/>
    <w:basedOn w:val="AERnumberedlist2first"/>
    <w:qFormat/>
    <w:rsid w:val="00E26E11"/>
    <w:pPr>
      <w:numPr>
        <w:ilvl w:val="5"/>
      </w:numPr>
      <w:tabs>
        <w:tab w:val="clear" w:pos="811"/>
      </w:tabs>
      <w:ind w:left="4320" w:hanging="360"/>
    </w:pPr>
  </w:style>
  <w:style w:type="paragraph" w:customStyle="1" w:styleId="AERnumberedlist2third">
    <w:name w:val="AER numbered list 2 third"/>
    <w:basedOn w:val="AERnumberedlist2second"/>
    <w:qFormat/>
    <w:rsid w:val="00E26E11"/>
    <w:pPr>
      <w:numPr>
        <w:ilvl w:val="6"/>
      </w:numPr>
      <w:tabs>
        <w:tab w:val="clear" w:pos="1446"/>
      </w:tabs>
      <w:ind w:left="5040" w:hanging="360"/>
    </w:pPr>
  </w:style>
  <w:style w:type="character" w:customStyle="1" w:styleId="AERbodytextChar">
    <w:name w:val="AER body text Char"/>
    <w:basedOn w:val="DefaultParagraphFont"/>
    <w:link w:val="AERbodytext"/>
    <w:rsid w:val="00E26E11"/>
    <w:rPr>
      <w:rFonts w:ascii="Gautami" w:hAnsi="Gautami" w:cs="Times New Roman"/>
      <w:szCs w:val="24"/>
      <w:lang w:eastAsia="en-US"/>
    </w:rPr>
  </w:style>
  <w:style w:type="paragraph" w:styleId="Quote">
    <w:name w:val="Quote"/>
    <w:basedOn w:val="Normal"/>
    <w:next w:val="Normal"/>
    <w:link w:val="QuoteChar"/>
    <w:uiPriority w:val="29"/>
    <w:qFormat/>
    <w:rsid w:val="00663047"/>
    <w:rPr>
      <w:i/>
      <w:iCs/>
      <w:color w:val="000000" w:themeColor="text1"/>
    </w:rPr>
  </w:style>
  <w:style w:type="character" w:customStyle="1" w:styleId="QuoteChar">
    <w:name w:val="Quote Char"/>
    <w:basedOn w:val="DefaultParagraphFont"/>
    <w:link w:val="Quote"/>
    <w:uiPriority w:val="29"/>
    <w:rsid w:val="00663047"/>
    <w:rPr>
      <w:rFonts w:asciiTheme="minorHAnsi" w:eastAsiaTheme="minorEastAsia" w:hAnsiTheme="minorHAnsi" w:cstheme="minorBidi"/>
      <w:i/>
      <w:iCs/>
      <w:color w:val="000000" w:themeColor="text1"/>
      <w:sz w:val="22"/>
      <w:szCs w:val="22"/>
      <w:lang w:val="en-US" w:eastAsia="en-US" w:bidi="en-US"/>
    </w:rPr>
  </w:style>
  <w:style w:type="character" w:customStyle="1" w:styleId="Heading2Char">
    <w:name w:val="Heading 2 Char"/>
    <w:basedOn w:val="DefaultParagraphFont"/>
    <w:link w:val="Heading2"/>
    <w:uiPriority w:val="9"/>
    <w:rsid w:val="00600931"/>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600931"/>
    <w:rPr>
      <w:rFonts w:asciiTheme="majorHAnsi" w:eastAsiaTheme="majorEastAsia" w:hAnsiTheme="majorHAnsi" w:cstheme="majorBidi"/>
      <w:b/>
      <w:bCs/>
      <w:color w:val="4F81BD" w:themeColor="accent1"/>
      <w:sz w:val="22"/>
      <w:szCs w:val="22"/>
      <w:lang w:eastAsia="en-US"/>
    </w:rPr>
  </w:style>
  <w:style w:type="character" w:customStyle="1" w:styleId="Heading9Char">
    <w:name w:val="Heading 9 Char"/>
    <w:basedOn w:val="DefaultParagraphFont"/>
    <w:link w:val="Heading9"/>
    <w:uiPriority w:val="9"/>
    <w:semiHidden/>
    <w:rsid w:val="009770B4"/>
    <w:rPr>
      <w:rFonts w:asciiTheme="majorHAnsi" w:eastAsiaTheme="majorEastAsia" w:hAnsiTheme="majorHAnsi" w:cstheme="majorBidi"/>
      <w:i/>
      <w:iCs/>
      <w:color w:val="404040" w:themeColor="text1" w:themeTint="BF"/>
      <w:lang w:val="en-US" w:eastAsia="en-US" w:bidi="en-US"/>
    </w:rPr>
  </w:style>
  <w:style w:type="paragraph" w:customStyle="1" w:styleId="AERtitle1">
    <w:name w:val="AER title 1"/>
    <w:qFormat/>
    <w:rsid w:val="00D26EF8"/>
    <w:pPr>
      <w:spacing w:after="240" w:line="288" w:lineRule="auto"/>
      <w:jc w:val="center"/>
    </w:pPr>
    <w:rPr>
      <w:rFonts w:ascii="Gautami" w:hAnsi="Gautami" w:cs="Times New Roman"/>
      <w:b/>
      <w:sz w:val="40"/>
      <w:szCs w:val="24"/>
    </w:rPr>
  </w:style>
  <w:style w:type="paragraph" w:customStyle="1" w:styleId="AERtitle2">
    <w:name w:val="AER title 2"/>
    <w:qFormat/>
    <w:rsid w:val="00D26EF8"/>
    <w:pPr>
      <w:spacing w:after="240" w:line="288" w:lineRule="auto"/>
      <w:jc w:val="center"/>
    </w:pPr>
    <w:rPr>
      <w:rFonts w:ascii="Gautami" w:hAnsi="Gautami" w:cs="Times New Roman"/>
      <w:sz w:val="3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BE"/>
    <w:pPr>
      <w:spacing w:after="200" w:line="276" w:lineRule="auto"/>
    </w:pPr>
    <w:rPr>
      <w:rFonts w:asciiTheme="minorHAnsi" w:eastAsiaTheme="minorEastAsia" w:hAnsiTheme="minorHAnsi" w:cstheme="minorBidi"/>
      <w:sz w:val="22"/>
      <w:szCs w:val="22"/>
      <w:lang w:val="en-US" w:eastAsia="en-US" w:bidi="en-US"/>
    </w:rPr>
  </w:style>
  <w:style w:type="paragraph" w:styleId="Heading2">
    <w:name w:val="heading 2"/>
    <w:basedOn w:val="Normal"/>
    <w:next w:val="Normal"/>
    <w:link w:val="Heading2Char"/>
    <w:uiPriority w:val="9"/>
    <w:semiHidden/>
    <w:unhideWhenUsed/>
    <w:qFormat/>
    <w:rsid w:val="00600931"/>
    <w:pPr>
      <w:keepNext/>
      <w:keepLines/>
      <w:spacing w:before="200" w:after="0"/>
      <w:outlineLvl w:val="1"/>
    </w:pPr>
    <w:rPr>
      <w:rFonts w:asciiTheme="majorHAnsi" w:eastAsiaTheme="majorEastAsia" w:hAnsiTheme="majorHAnsi" w:cstheme="majorBidi"/>
      <w:b/>
      <w:bCs/>
      <w:color w:val="4F81BD" w:themeColor="accent1"/>
      <w:sz w:val="26"/>
      <w:szCs w:val="26"/>
      <w:lang w:val="en-AU" w:bidi="ar-SA"/>
    </w:rPr>
  </w:style>
  <w:style w:type="paragraph" w:styleId="Heading3">
    <w:name w:val="heading 3"/>
    <w:basedOn w:val="Normal"/>
    <w:next w:val="Normal"/>
    <w:link w:val="Heading3Char"/>
    <w:uiPriority w:val="9"/>
    <w:semiHidden/>
    <w:unhideWhenUsed/>
    <w:qFormat/>
    <w:rsid w:val="00600931"/>
    <w:pPr>
      <w:keepNext/>
      <w:keepLines/>
      <w:spacing w:before="200" w:after="0"/>
      <w:outlineLvl w:val="2"/>
    </w:pPr>
    <w:rPr>
      <w:rFonts w:asciiTheme="majorHAnsi" w:eastAsiaTheme="majorEastAsia" w:hAnsiTheme="majorHAnsi" w:cstheme="majorBidi"/>
      <w:b/>
      <w:bCs/>
      <w:color w:val="4F81BD" w:themeColor="accent1"/>
      <w:lang w:val="en-AU" w:bidi="ar-SA"/>
    </w:rPr>
  </w:style>
  <w:style w:type="paragraph" w:styleId="Heading6">
    <w:name w:val="heading 6"/>
    <w:basedOn w:val="Normal"/>
    <w:link w:val="Heading6Char"/>
    <w:uiPriority w:val="9"/>
    <w:qFormat/>
    <w:rsid w:val="000A7852"/>
    <w:pPr>
      <w:spacing w:before="100" w:beforeAutospacing="1" w:after="135" w:line="240" w:lineRule="auto"/>
      <w:outlineLvl w:val="5"/>
    </w:pPr>
    <w:rPr>
      <w:rFonts w:ascii="Times New Roman" w:eastAsia="Times New Roman" w:hAnsi="Times New Roman" w:cs="Arial"/>
      <w:b/>
      <w:bCs/>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A7852"/>
    <w:rPr>
      <w:b/>
      <w:bCs/>
      <w:sz w:val="22"/>
      <w:szCs w:val="22"/>
    </w:rPr>
  </w:style>
  <w:style w:type="paragraph" w:styleId="ListParagraph">
    <w:name w:val="List Paragraph"/>
    <w:basedOn w:val="Normal"/>
    <w:qFormat/>
    <w:rsid w:val="000A7852"/>
    <w:pPr>
      <w:spacing w:after="0" w:line="240" w:lineRule="auto"/>
      <w:ind w:left="720"/>
      <w:contextualSpacing/>
    </w:pPr>
    <w:rPr>
      <w:rFonts w:ascii="Arial" w:eastAsia="Times New Roman" w:hAnsi="Arial" w:cs="Arial"/>
      <w:sz w:val="24"/>
      <w:szCs w:val="24"/>
      <w:lang w:val="en-AU" w:eastAsia="en-GB" w:bidi="ar-SA"/>
    </w:rPr>
  </w:style>
  <w:style w:type="character" w:customStyle="1" w:styleId="Normal1">
    <w:name w:val="Normal1"/>
    <w:qFormat/>
    <w:rsid w:val="000A7852"/>
    <w:rPr>
      <w:rFonts w:ascii="Gautami" w:hAnsi="Gautami"/>
      <w:color w:val="auto"/>
      <w:sz w:val="20"/>
    </w:rPr>
  </w:style>
  <w:style w:type="paragraph" w:styleId="NoSpacing">
    <w:name w:val="No Spacing"/>
    <w:link w:val="NoSpacingChar"/>
    <w:uiPriority w:val="1"/>
    <w:qFormat/>
    <w:rsid w:val="00EF3CBE"/>
    <w:rPr>
      <w:rFonts w:asciiTheme="minorHAnsi" w:eastAsiaTheme="minorEastAsia" w:hAnsiTheme="minorHAnsi" w:cstheme="minorBidi"/>
      <w:sz w:val="22"/>
      <w:szCs w:val="22"/>
      <w:lang w:val="en-US" w:eastAsia="en-US" w:bidi="en-US"/>
    </w:rPr>
  </w:style>
  <w:style w:type="character" w:customStyle="1" w:styleId="NoSpacingChar">
    <w:name w:val="No Spacing Char"/>
    <w:basedOn w:val="DefaultParagraphFont"/>
    <w:link w:val="NoSpacing"/>
    <w:uiPriority w:val="1"/>
    <w:rsid w:val="00EF3CBE"/>
    <w:rPr>
      <w:rFonts w:asciiTheme="minorHAnsi" w:eastAsiaTheme="minorEastAsia" w:hAnsiTheme="minorHAnsi" w:cstheme="minorBidi"/>
      <w:sz w:val="22"/>
      <w:szCs w:val="22"/>
      <w:lang w:val="en-US" w:eastAsia="en-US" w:bidi="en-US"/>
    </w:rPr>
  </w:style>
  <w:style w:type="paragraph" w:styleId="Header">
    <w:name w:val="header"/>
    <w:basedOn w:val="Normal"/>
    <w:link w:val="HeaderChar"/>
    <w:uiPriority w:val="99"/>
    <w:unhideWhenUsed/>
    <w:rsid w:val="00054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BA4"/>
    <w:rPr>
      <w:rFonts w:asciiTheme="minorHAnsi" w:eastAsiaTheme="minorEastAsia" w:hAnsiTheme="minorHAnsi" w:cstheme="minorBidi"/>
      <w:sz w:val="22"/>
      <w:szCs w:val="22"/>
      <w:lang w:val="en-US" w:eastAsia="en-US" w:bidi="en-US"/>
    </w:rPr>
  </w:style>
  <w:style w:type="paragraph" w:styleId="Footer">
    <w:name w:val="footer"/>
    <w:basedOn w:val="Normal"/>
    <w:link w:val="FooterChar"/>
    <w:uiPriority w:val="99"/>
    <w:unhideWhenUsed/>
    <w:rsid w:val="00054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BA4"/>
    <w:rPr>
      <w:rFonts w:asciiTheme="minorHAnsi" w:eastAsiaTheme="minorEastAsia" w:hAnsiTheme="minorHAnsi" w:cstheme="minorBidi"/>
      <w:sz w:val="22"/>
      <w:szCs w:val="22"/>
      <w:lang w:val="en-US" w:eastAsia="en-US" w:bidi="en-US"/>
    </w:rPr>
  </w:style>
  <w:style w:type="paragraph" w:customStyle="1" w:styleId="AERbulletlistfirststyle">
    <w:name w:val="AER bullet list (first style)"/>
    <w:basedOn w:val="Normal"/>
    <w:qFormat/>
    <w:rsid w:val="007F19C8"/>
    <w:pPr>
      <w:numPr>
        <w:numId w:val="1"/>
      </w:numPr>
      <w:tabs>
        <w:tab w:val="left" w:pos="357"/>
      </w:tabs>
      <w:spacing w:line="288" w:lineRule="auto"/>
      <w:jc w:val="both"/>
    </w:pPr>
    <w:rPr>
      <w:rFonts w:ascii="Gautami" w:eastAsia="Times New Roman" w:hAnsi="Gautami" w:cs="Times New Roman"/>
      <w:sz w:val="20"/>
      <w:szCs w:val="24"/>
      <w:lang w:val="en-AU" w:bidi="ar-SA"/>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qFormat/>
    <w:rsid w:val="007F19C8"/>
    <w:pPr>
      <w:tabs>
        <w:tab w:val="left" w:pos="426"/>
      </w:tabs>
      <w:spacing w:after="0" w:line="240" w:lineRule="auto"/>
      <w:ind w:left="426" w:hanging="426"/>
      <w:jc w:val="both"/>
    </w:pPr>
    <w:rPr>
      <w:rFonts w:ascii="Gautami" w:eastAsia="Times New Roman" w:hAnsi="Gautami" w:cs="Times New Roman"/>
      <w:sz w:val="16"/>
      <w:szCs w:val="20"/>
      <w:lang w:val="en-AU" w:bidi="ar-SA"/>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7F19C8"/>
    <w:rPr>
      <w:rFonts w:ascii="Gautami" w:hAnsi="Gautami" w:cs="Times New Roman"/>
      <w:sz w:val="16"/>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F19C8"/>
    <w:rPr>
      <w:vertAlign w:val="superscript"/>
    </w:rPr>
  </w:style>
  <w:style w:type="character" w:customStyle="1" w:styleId="AERbody">
    <w:name w:val="AER body"/>
    <w:basedOn w:val="DefaultParagraphFont"/>
    <w:qFormat/>
    <w:rsid w:val="00937D56"/>
    <w:rPr>
      <w:rFonts w:ascii="Gautami" w:hAnsi="Gautami"/>
      <w:color w:val="auto"/>
      <w:sz w:val="20"/>
    </w:rPr>
  </w:style>
  <w:style w:type="character" w:customStyle="1" w:styleId="AERtexthighlight">
    <w:name w:val="AER text highlight"/>
    <w:qFormat/>
    <w:rsid w:val="00937D56"/>
    <w:rPr>
      <w:bdr w:val="none" w:sz="0" w:space="0" w:color="auto"/>
      <w:shd w:val="clear" w:color="auto" w:fill="FFFF00"/>
    </w:rPr>
  </w:style>
  <w:style w:type="character" w:styleId="CommentReference">
    <w:name w:val="annotation reference"/>
    <w:basedOn w:val="DefaultParagraphFont"/>
    <w:uiPriority w:val="99"/>
    <w:semiHidden/>
    <w:unhideWhenUsed/>
    <w:rsid w:val="00367648"/>
    <w:rPr>
      <w:sz w:val="16"/>
      <w:szCs w:val="16"/>
    </w:rPr>
  </w:style>
  <w:style w:type="paragraph" w:styleId="CommentText">
    <w:name w:val="annotation text"/>
    <w:basedOn w:val="Normal"/>
    <w:link w:val="CommentTextChar"/>
    <w:uiPriority w:val="99"/>
    <w:semiHidden/>
    <w:unhideWhenUsed/>
    <w:rsid w:val="00367648"/>
    <w:pPr>
      <w:spacing w:line="240" w:lineRule="auto"/>
    </w:pPr>
    <w:rPr>
      <w:sz w:val="20"/>
      <w:szCs w:val="20"/>
    </w:rPr>
  </w:style>
  <w:style w:type="character" w:customStyle="1" w:styleId="CommentTextChar">
    <w:name w:val="Comment Text Char"/>
    <w:basedOn w:val="DefaultParagraphFont"/>
    <w:link w:val="CommentText"/>
    <w:uiPriority w:val="99"/>
    <w:semiHidden/>
    <w:rsid w:val="00367648"/>
    <w:rPr>
      <w:rFonts w:asciiTheme="minorHAnsi" w:eastAsiaTheme="minorEastAsia" w:hAnsiTheme="minorHAnsi" w:cstheme="minorBidi"/>
      <w:lang w:val="en-US" w:eastAsia="en-US" w:bidi="en-US"/>
    </w:rPr>
  </w:style>
  <w:style w:type="paragraph" w:styleId="CommentSubject">
    <w:name w:val="annotation subject"/>
    <w:basedOn w:val="CommentText"/>
    <w:next w:val="CommentText"/>
    <w:link w:val="CommentSubjectChar"/>
    <w:uiPriority w:val="99"/>
    <w:semiHidden/>
    <w:unhideWhenUsed/>
    <w:rsid w:val="00367648"/>
    <w:rPr>
      <w:b/>
      <w:bCs/>
    </w:rPr>
  </w:style>
  <w:style w:type="character" w:customStyle="1" w:styleId="CommentSubjectChar">
    <w:name w:val="Comment Subject Char"/>
    <w:basedOn w:val="CommentTextChar"/>
    <w:link w:val="CommentSubject"/>
    <w:uiPriority w:val="99"/>
    <w:semiHidden/>
    <w:rsid w:val="00367648"/>
    <w:rPr>
      <w:rFonts w:asciiTheme="minorHAnsi" w:eastAsiaTheme="minorEastAsia" w:hAnsiTheme="minorHAnsi" w:cstheme="minorBidi"/>
      <w:b/>
      <w:bCs/>
      <w:lang w:val="en-US" w:eastAsia="en-US" w:bidi="en-US"/>
    </w:rPr>
  </w:style>
  <w:style w:type="paragraph" w:styleId="BalloonText">
    <w:name w:val="Balloon Text"/>
    <w:basedOn w:val="Normal"/>
    <w:link w:val="BalloonTextChar"/>
    <w:uiPriority w:val="99"/>
    <w:semiHidden/>
    <w:unhideWhenUsed/>
    <w:rsid w:val="00367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48"/>
    <w:rPr>
      <w:rFonts w:ascii="Tahoma" w:eastAsiaTheme="minorEastAsia" w:hAnsi="Tahoma" w:cs="Tahoma"/>
      <w:sz w:val="16"/>
      <w:szCs w:val="16"/>
      <w:lang w:val="en-US" w:eastAsia="en-US" w:bidi="en-US"/>
    </w:rPr>
  </w:style>
  <w:style w:type="table" w:styleId="TableGrid">
    <w:name w:val="Table Grid"/>
    <w:basedOn w:val="TableNormal"/>
    <w:uiPriority w:val="59"/>
    <w:rsid w:val="00506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1"/>
    <w:qFormat/>
    <w:rsid w:val="005A4C9D"/>
    <w:pPr>
      <w:spacing w:before="120" w:after="60"/>
    </w:pPr>
    <w:rPr>
      <w:rFonts w:ascii="Arial" w:eastAsiaTheme="minorHAnsi" w:hAnsi="Arial"/>
      <w:sz w:val="20"/>
      <w:lang w:val="en-AU" w:bidi="ar-SA"/>
    </w:rPr>
  </w:style>
  <w:style w:type="paragraph" w:customStyle="1" w:styleId="Source">
    <w:name w:val="Source"/>
    <w:basedOn w:val="Normal"/>
    <w:next w:val="Normal"/>
    <w:link w:val="SourceChar"/>
    <w:rsid w:val="005A4C9D"/>
    <w:pPr>
      <w:spacing w:before="200" w:after="60"/>
    </w:pPr>
    <w:rPr>
      <w:rFonts w:ascii="Arial" w:eastAsiaTheme="minorHAnsi" w:hAnsi="Arial"/>
      <w:sz w:val="16"/>
      <w:szCs w:val="16"/>
      <w:lang w:val="en-AU" w:bidi="ar-SA"/>
    </w:rPr>
  </w:style>
  <w:style w:type="character" w:customStyle="1" w:styleId="SourceChar">
    <w:name w:val="Source Char"/>
    <w:basedOn w:val="DefaultParagraphFont"/>
    <w:link w:val="Source"/>
    <w:rsid w:val="005A4C9D"/>
    <w:rPr>
      <w:rFonts w:eastAsiaTheme="minorHAnsi" w:cstheme="minorBidi"/>
      <w:sz w:val="16"/>
      <w:szCs w:val="16"/>
      <w:lang w:eastAsia="en-US"/>
    </w:rPr>
  </w:style>
  <w:style w:type="paragraph" w:styleId="Caption">
    <w:name w:val="caption"/>
    <w:basedOn w:val="Normal"/>
    <w:next w:val="Normal"/>
    <w:uiPriority w:val="35"/>
    <w:unhideWhenUsed/>
    <w:qFormat/>
    <w:rsid w:val="005A4C9D"/>
    <w:pPr>
      <w:spacing w:before="240" w:after="120"/>
    </w:pPr>
    <w:rPr>
      <w:rFonts w:ascii="Arial" w:eastAsiaTheme="minorHAnsi" w:hAnsi="Arial"/>
      <w:b/>
      <w:bCs/>
      <w:color w:val="000000" w:themeColor="text1"/>
      <w:sz w:val="24"/>
      <w:szCs w:val="18"/>
      <w:lang w:val="en-AU" w:bidi="ar-SA"/>
    </w:rPr>
  </w:style>
  <w:style w:type="paragraph" w:customStyle="1" w:styleId="Tabletext-centred">
    <w:name w:val="Table text - centred"/>
    <w:basedOn w:val="Normal"/>
    <w:link w:val="Tabletext-centredChar"/>
    <w:rsid w:val="005A4C9D"/>
    <w:pPr>
      <w:spacing w:before="120" w:after="60"/>
      <w:jc w:val="center"/>
    </w:pPr>
    <w:rPr>
      <w:rFonts w:ascii="Arial" w:eastAsia="Times New Roman" w:hAnsi="Arial" w:cs="Times New Roman"/>
      <w:sz w:val="20"/>
      <w:szCs w:val="20"/>
      <w:lang w:val="en-AU" w:bidi="ar-SA"/>
    </w:rPr>
  </w:style>
  <w:style w:type="character" w:customStyle="1" w:styleId="TabletextChar">
    <w:name w:val="Table text Char"/>
    <w:basedOn w:val="DefaultParagraphFont"/>
    <w:link w:val="Tabletext"/>
    <w:uiPriority w:val="1"/>
    <w:rsid w:val="005A4C9D"/>
    <w:rPr>
      <w:rFonts w:eastAsiaTheme="minorHAnsi" w:cstheme="minorBidi"/>
      <w:szCs w:val="22"/>
      <w:lang w:eastAsia="en-US"/>
    </w:rPr>
  </w:style>
  <w:style w:type="character" w:customStyle="1" w:styleId="Tabletext-centredChar">
    <w:name w:val="Table text - centred Char"/>
    <w:basedOn w:val="DefaultParagraphFont"/>
    <w:link w:val="Tabletext-centred"/>
    <w:rsid w:val="005A4C9D"/>
    <w:rPr>
      <w:rFonts w:cs="Times New Roman"/>
      <w:lang w:eastAsia="en-US"/>
    </w:rPr>
  </w:style>
  <w:style w:type="table" w:customStyle="1" w:styleId="AERTable-Text">
    <w:name w:val="AER Table - Text"/>
    <w:basedOn w:val="TableNormal"/>
    <w:uiPriority w:val="99"/>
    <w:rsid w:val="005A4C9D"/>
    <w:pPr>
      <w:spacing w:before="120" w:after="120"/>
    </w:pPr>
    <w:rPr>
      <w:rFonts w:eastAsiaTheme="minorHAnsi" w:cstheme="minorBidi"/>
      <w:szCs w:val="22"/>
      <w:lang w:eastAsia="en-US"/>
    </w:rPr>
    <w:tblPr>
      <w:tblStyleRowBandSize w:val="1"/>
      <w:tblBorders>
        <w:bottom w:val="single" w:sz="4" w:space="0" w:color="auto"/>
      </w:tblBorders>
    </w:tblPr>
    <w:tblStylePr w:type="firstRow">
      <w:pPr>
        <w:wordWrap/>
        <w:spacing w:beforeLines="0" w:beforeAutospacing="0" w:afterLines="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styleId="Hyperlink">
    <w:name w:val="Hyperlink"/>
    <w:basedOn w:val="DefaultParagraphFont"/>
    <w:uiPriority w:val="99"/>
    <w:unhideWhenUsed/>
    <w:rsid w:val="003E560F"/>
    <w:rPr>
      <w:color w:val="0000FF" w:themeColor="hyperlink"/>
      <w:u w:val="single"/>
    </w:rPr>
  </w:style>
  <w:style w:type="character" w:customStyle="1" w:styleId="AERsuperscript">
    <w:name w:val="AER superscript"/>
    <w:qFormat/>
    <w:rsid w:val="0023323C"/>
    <w:rPr>
      <w:rFonts w:ascii="Gautami" w:hAnsi="Gautami"/>
      <w:vertAlign w:val="superscript"/>
    </w:rPr>
  </w:style>
  <w:style w:type="paragraph" w:customStyle="1" w:styleId="AERtabletextleft">
    <w:name w:val="AER table text left"/>
    <w:qFormat/>
    <w:rsid w:val="0023323C"/>
    <w:pPr>
      <w:spacing w:before="80" w:after="120" w:line="288" w:lineRule="auto"/>
    </w:pPr>
    <w:rPr>
      <w:rFonts w:ascii="Gautami" w:hAnsi="Gautami" w:cs="Times New Roman"/>
      <w:sz w:val="16"/>
      <w:szCs w:val="24"/>
      <w:lang w:eastAsia="en-US"/>
    </w:rPr>
  </w:style>
  <w:style w:type="character" w:customStyle="1" w:styleId="AERtextbold">
    <w:name w:val="AER text bold"/>
    <w:qFormat/>
    <w:rsid w:val="0023323C"/>
    <w:rPr>
      <w:b/>
    </w:rPr>
  </w:style>
  <w:style w:type="paragraph" w:customStyle="1" w:styleId="AERbodytext">
    <w:name w:val="AER body text"/>
    <w:link w:val="AERbodytextChar"/>
    <w:qFormat/>
    <w:rsid w:val="00E26E11"/>
    <w:pPr>
      <w:numPr>
        <w:numId w:val="10"/>
      </w:numPr>
      <w:spacing w:after="240" w:line="288" w:lineRule="auto"/>
      <w:jc w:val="both"/>
    </w:pPr>
    <w:rPr>
      <w:rFonts w:ascii="Gautami" w:hAnsi="Gautami" w:cs="Times New Roman"/>
      <w:szCs w:val="24"/>
      <w:lang w:eastAsia="en-US"/>
    </w:rPr>
  </w:style>
  <w:style w:type="paragraph" w:customStyle="1" w:styleId="AERnumberedlistfirststyle">
    <w:name w:val="AER numbered list (first style)"/>
    <w:basedOn w:val="AERbodytext"/>
    <w:qFormat/>
    <w:rsid w:val="00E26E11"/>
    <w:pPr>
      <w:numPr>
        <w:ilvl w:val="1"/>
      </w:numPr>
      <w:spacing w:after="200"/>
      <w:ind w:left="1440"/>
    </w:pPr>
  </w:style>
  <w:style w:type="paragraph" w:customStyle="1" w:styleId="AERnumberedlistsecondstyle">
    <w:name w:val="AER numbered list (second style)"/>
    <w:basedOn w:val="AERnumberedlistfirststyle"/>
    <w:qFormat/>
    <w:rsid w:val="00E26E11"/>
    <w:pPr>
      <w:numPr>
        <w:ilvl w:val="2"/>
      </w:numPr>
      <w:ind w:left="2160"/>
    </w:pPr>
  </w:style>
  <w:style w:type="paragraph" w:customStyle="1" w:styleId="AERnumberedlistthirdstyle">
    <w:name w:val="AER numbered list (third style)"/>
    <w:basedOn w:val="AERnumberedlistsecondstyle"/>
    <w:qFormat/>
    <w:rsid w:val="00E26E11"/>
    <w:pPr>
      <w:numPr>
        <w:ilvl w:val="3"/>
      </w:numPr>
      <w:ind w:left="2880"/>
    </w:pPr>
  </w:style>
  <w:style w:type="paragraph" w:customStyle="1" w:styleId="AERquote">
    <w:name w:val="AER quote"/>
    <w:next w:val="AERbodytext"/>
    <w:qFormat/>
    <w:rsid w:val="00E26E11"/>
    <w:pPr>
      <w:tabs>
        <w:tab w:val="num" w:pos="709"/>
      </w:tabs>
      <w:spacing w:after="160" w:line="288" w:lineRule="auto"/>
      <w:ind w:left="709" w:right="720"/>
      <w:jc w:val="both"/>
    </w:pPr>
    <w:rPr>
      <w:rFonts w:ascii="Gautami" w:hAnsi="Gautami" w:cs="Times New Roman"/>
      <w:color w:val="000000"/>
      <w:sz w:val="16"/>
      <w:szCs w:val="24"/>
      <w:lang w:eastAsia="en-US"/>
    </w:rPr>
  </w:style>
  <w:style w:type="character" w:customStyle="1" w:styleId="AERtextitalic">
    <w:name w:val="AER text italic"/>
    <w:qFormat/>
    <w:rsid w:val="00E26E11"/>
    <w:rPr>
      <w:i/>
    </w:rPr>
  </w:style>
  <w:style w:type="numbering" w:customStyle="1" w:styleId="AERnumberedlist">
    <w:name w:val="AER numbered list"/>
    <w:uiPriority w:val="99"/>
    <w:rsid w:val="00E26E11"/>
    <w:pPr>
      <w:numPr>
        <w:numId w:val="2"/>
      </w:numPr>
    </w:pPr>
  </w:style>
  <w:style w:type="paragraph" w:customStyle="1" w:styleId="AERnumberedlist2first">
    <w:name w:val="AER numbered list 2 first"/>
    <w:basedOn w:val="AERbodytext"/>
    <w:qFormat/>
    <w:rsid w:val="00E26E11"/>
    <w:pPr>
      <w:numPr>
        <w:ilvl w:val="4"/>
      </w:numPr>
      <w:ind w:left="3600"/>
    </w:pPr>
  </w:style>
  <w:style w:type="paragraph" w:customStyle="1" w:styleId="AERnumberedlist2second">
    <w:name w:val="AER numbered list 2 second"/>
    <w:basedOn w:val="AERnumberedlist2first"/>
    <w:qFormat/>
    <w:rsid w:val="00E26E11"/>
    <w:pPr>
      <w:numPr>
        <w:ilvl w:val="5"/>
      </w:numPr>
      <w:ind w:left="4320"/>
    </w:pPr>
  </w:style>
  <w:style w:type="paragraph" w:customStyle="1" w:styleId="AERnumberedlist2third">
    <w:name w:val="AER numbered list 2 third"/>
    <w:basedOn w:val="AERnumberedlist2second"/>
    <w:qFormat/>
    <w:rsid w:val="00E26E11"/>
    <w:pPr>
      <w:numPr>
        <w:ilvl w:val="6"/>
      </w:numPr>
      <w:ind w:left="5040"/>
    </w:pPr>
  </w:style>
  <w:style w:type="character" w:customStyle="1" w:styleId="AERbodytextChar">
    <w:name w:val="AER body text Char"/>
    <w:basedOn w:val="DefaultParagraphFont"/>
    <w:link w:val="AERbodytext"/>
    <w:rsid w:val="00E26E11"/>
    <w:rPr>
      <w:rFonts w:ascii="Gautami" w:hAnsi="Gautami" w:cs="Times New Roman"/>
      <w:szCs w:val="24"/>
      <w:lang w:eastAsia="en-US"/>
    </w:rPr>
  </w:style>
  <w:style w:type="paragraph" w:styleId="Quote">
    <w:name w:val="Quote"/>
    <w:basedOn w:val="Normal"/>
    <w:next w:val="Normal"/>
    <w:link w:val="QuoteChar"/>
    <w:uiPriority w:val="29"/>
    <w:qFormat/>
    <w:rsid w:val="00663047"/>
    <w:rPr>
      <w:i/>
      <w:iCs/>
      <w:color w:val="000000" w:themeColor="text1"/>
    </w:rPr>
  </w:style>
  <w:style w:type="character" w:customStyle="1" w:styleId="QuoteChar">
    <w:name w:val="Quote Char"/>
    <w:basedOn w:val="DefaultParagraphFont"/>
    <w:link w:val="Quote"/>
    <w:uiPriority w:val="29"/>
    <w:rsid w:val="00663047"/>
    <w:rPr>
      <w:rFonts w:asciiTheme="minorHAnsi" w:eastAsiaTheme="minorEastAsia" w:hAnsiTheme="minorHAnsi" w:cstheme="minorBidi"/>
      <w:i/>
      <w:iCs/>
      <w:color w:val="000000" w:themeColor="text1"/>
      <w:sz w:val="22"/>
      <w:szCs w:val="22"/>
      <w:lang w:val="en-US" w:eastAsia="en-US" w:bidi="en-US"/>
    </w:rPr>
  </w:style>
  <w:style w:type="character" w:customStyle="1" w:styleId="Heading2Char">
    <w:name w:val="Heading 2 Char"/>
    <w:basedOn w:val="DefaultParagraphFont"/>
    <w:link w:val="Heading2"/>
    <w:uiPriority w:val="9"/>
    <w:semiHidden/>
    <w:rsid w:val="00600931"/>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600931"/>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39919">
      <w:bodyDiv w:val="1"/>
      <w:marLeft w:val="0"/>
      <w:marRight w:val="0"/>
      <w:marTop w:val="0"/>
      <w:marBottom w:val="0"/>
      <w:divBdr>
        <w:top w:val="none" w:sz="0" w:space="0" w:color="auto"/>
        <w:left w:val="none" w:sz="0" w:space="0" w:color="auto"/>
        <w:bottom w:val="none" w:sz="0" w:space="0" w:color="auto"/>
        <w:right w:val="none" w:sz="0" w:space="0" w:color="auto"/>
      </w:divBdr>
    </w:div>
    <w:div w:id="769089511">
      <w:bodyDiv w:val="1"/>
      <w:marLeft w:val="0"/>
      <w:marRight w:val="0"/>
      <w:marTop w:val="0"/>
      <w:marBottom w:val="0"/>
      <w:divBdr>
        <w:top w:val="none" w:sz="0" w:space="0" w:color="auto"/>
        <w:left w:val="none" w:sz="0" w:space="0" w:color="auto"/>
        <w:bottom w:val="none" w:sz="0" w:space="0" w:color="auto"/>
        <w:right w:val="none" w:sz="0" w:space="0" w:color="auto"/>
      </w:divBdr>
    </w:div>
    <w:div w:id="907761566">
      <w:bodyDiv w:val="1"/>
      <w:marLeft w:val="0"/>
      <w:marRight w:val="0"/>
      <w:marTop w:val="0"/>
      <w:marBottom w:val="0"/>
      <w:divBdr>
        <w:top w:val="none" w:sz="0" w:space="0" w:color="auto"/>
        <w:left w:val="none" w:sz="0" w:space="0" w:color="auto"/>
        <w:bottom w:val="none" w:sz="0" w:space="0" w:color="auto"/>
        <w:right w:val="none" w:sz="0" w:space="0" w:color="auto"/>
      </w:divBdr>
    </w:div>
    <w:div w:id="957837809">
      <w:bodyDiv w:val="1"/>
      <w:marLeft w:val="0"/>
      <w:marRight w:val="0"/>
      <w:marTop w:val="0"/>
      <w:marBottom w:val="0"/>
      <w:divBdr>
        <w:top w:val="none" w:sz="0" w:space="0" w:color="auto"/>
        <w:left w:val="none" w:sz="0" w:space="0" w:color="auto"/>
        <w:bottom w:val="none" w:sz="0" w:space="0" w:color="auto"/>
        <w:right w:val="none" w:sz="0" w:space="0" w:color="auto"/>
      </w:divBdr>
    </w:div>
    <w:div w:id="1025406600">
      <w:bodyDiv w:val="1"/>
      <w:marLeft w:val="0"/>
      <w:marRight w:val="0"/>
      <w:marTop w:val="0"/>
      <w:marBottom w:val="0"/>
      <w:divBdr>
        <w:top w:val="none" w:sz="0" w:space="0" w:color="auto"/>
        <w:left w:val="none" w:sz="0" w:space="0" w:color="auto"/>
        <w:bottom w:val="none" w:sz="0" w:space="0" w:color="auto"/>
        <w:right w:val="none" w:sz="0" w:space="0" w:color="auto"/>
      </w:divBdr>
    </w:div>
    <w:div w:id="1102148350">
      <w:bodyDiv w:val="1"/>
      <w:marLeft w:val="0"/>
      <w:marRight w:val="0"/>
      <w:marTop w:val="0"/>
      <w:marBottom w:val="0"/>
      <w:divBdr>
        <w:top w:val="none" w:sz="0" w:space="0" w:color="auto"/>
        <w:left w:val="none" w:sz="0" w:space="0" w:color="auto"/>
        <w:bottom w:val="none" w:sz="0" w:space="0" w:color="auto"/>
        <w:right w:val="none" w:sz="0" w:space="0" w:color="auto"/>
      </w:divBdr>
    </w:div>
    <w:div w:id="1422528302">
      <w:bodyDiv w:val="1"/>
      <w:marLeft w:val="0"/>
      <w:marRight w:val="0"/>
      <w:marTop w:val="0"/>
      <w:marBottom w:val="0"/>
      <w:divBdr>
        <w:top w:val="none" w:sz="0" w:space="0" w:color="auto"/>
        <w:left w:val="none" w:sz="0" w:space="0" w:color="auto"/>
        <w:bottom w:val="none" w:sz="0" w:space="0" w:color="auto"/>
        <w:right w:val="none" w:sz="0" w:space="0" w:color="auto"/>
      </w:divBdr>
    </w:div>
    <w:div w:id="1682471908">
      <w:bodyDiv w:val="1"/>
      <w:marLeft w:val="0"/>
      <w:marRight w:val="0"/>
      <w:marTop w:val="0"/>
      <w:marBottom w:val="0"/>
      <w:divBdr>
        <w:top w:val="none" w:sz="0" w:space="0" w:color="auto"/>
        <w:left w:val="none" w:sz="0" w:space="0" w:color="auto"/>
        <w:bottom w:val="none" w:sz="0" w:space="0" w:color="auto"/>
        <w:right w:val="none" w:sz="0" w:space="0" w:color="auto"/>
      </w:divBdr>
    </w:div>
    <w:div w:id="1762334333">
      <w:bodyDiv w:val="1"/>
      <w:marLeft w:val="0"/>
      <w:marRight w:val="0"/>
      <w:marTop w:val="0"/>
      <w:marBottom w:val="0"/>
      <w:divBdr>
        <w:top w:val="none" w:sz="0" w:space="0" w:color="auto"/>
        <w:left w:val="none" w:sz="0" w:space="0" w:color="auto"/>
        <w:bottom w:val="none" w:sz="0" w:space="0" w:color="auto"/>
        <w:right w:val="none" w:sz="0" w:space="0" w:color="auto"/>
      </w:divBdr>
    </w:div>
    <w:div w:id="1777948192">
      <w:bodyDiv w:val="1"/>
      <w:marLeft w:val="0"/>
      <w:marRight w:val="0"/>
      <w:marTop w:val="0"/>
      <w:marBottom w:val="0"/>
      <w:divBdr>
        <w:top w:val="none" w:sz="0" w:space="0" w:color="auto"/>
        <w:left w:val="none" w:sz="0" w:space="0" w:color="auto"/>
        <w:bottom w:val="none" w:sz="0" w:space="0" w:color="auto"/>
        <w:right w:val="none" w:sz="0" w:space="0" w:color="auto"/>
      </w:divBdr>
      <w:divsChild>
        <w:div w:id="378016365">
          <w:marLeft w:val="0"/>
          <w:marRight w:val="0"/>
          <w:marTop w:val="0"/>
          <w:marBottom w:val="0"/>
          <w:divBdr>
            <w:top w:val="none" w:sz="0" w:space="0" w:color="auto"/>
            <w:left w:val="none" w:sz="0" w:space="0" w:color="auto"/>
            <w:bottom w:val="none" w:sz="0" w:space="0" w:color="auto"/>
            <w:right w:val="none" w:sz="0" w:space="0" w:color="auto"/>
          </w:divBdr>
        </w:div>
        <w:div w:id="1682513744">
          <w:marLeft w:val="0"/>
          <w:marRight w:val="0"/>
          <w:marTop w:val="0"/>
          <w:marBottom w:val="0"/>
          <w:divBdr>
            <w:top w:val="none" w:sz="0" w:space="0" w:color="auto"/>
            <w:left w:val="none" w:sz="0" w:space="0" w:color="auto"/>
            <w:bottom w:val="none" w:sz="0" w:space="0" w:color="auto"/>
            <w:right w:val="none" w:sz="0" w:space="0" w:color="auto"/>
          </w:divBdr>
        </w:div>
        <w:div w:id="1170295129">
          <w:marLeft w:val="0"/>
          <w:marRight w:val="0"/>
          <w:marTop w:val="0"/>
          <w:marBottom w:val="0"/>
          <w:divBdr>
            <w:top w:val="none" w:sz="0" w:space="0" w:color="auto"/>
            <w:left w:val="none" w:sz="0" w:space="0" w:color="auto"/>
            <w:bottom w:val="none" w:sz="0" w:space="0" w:color="auto"/>
            <w:right w:val="none" w:sz="0" w:space="0" w:color="auto"/>
          </w:divBdr>
        </w:div>
        <w:div w:id="10763713">
          <w:marLeft w:val="0"/>
          <w:marRight w:val="0"/>
          <w:marTop w:val="0"/>
          <w:marBottom w:val="0"/>
          <w:divBdr>
            <w:top w:val="none" w:sz="0" w:space="0" w:color="auto"/>
            <w:left w:val="none" w:sz="0" w:space="0" w:color="auto"/>
            <w:bottom w:val="none" w:sz="0" w:space="0" w:color="auto"/>
            <w:right w:val="none" w:sz="0" w:space="0" w:color="auto"/>
          </w:divBdr>
        </w:div>
        <w:div w:id="1029183763">
          <w:marLeft w:val="0"/>
          <w:marRight w:val="0"/>
          <w:marTop w:val="0"/>
          <w:marBottom w:val="0"/>
          <w:divBdr>
            <w:top w:val="none" w:sz="0" w:space="0" w:color="auto"/>
            <w:left w:val="none" w:sz="0" w:space="0" w:color="auto"/>
            <w:bottom w:val="none" w:sz="0" w:space="0" w:color="auto"/>
            <w:right w:val="none" w:sz="0" w:space="0" w:color="auto"/>
          </w:divBdr>
        </w:div>
        <w:div w:id="219287707">
          <w:marLeft w:val="0"/>
          <w:marRight w:val="0"/>
          <w:marTop w:val="0"/>
          <w:marBottom w:val="0"/>
          <w:divBdr>
            <w:top w:val="none" w:sz="0" w:space="0" w:color="auto"/>
            <w:left w:val="none" w:sz="0" w:space="0" w:color="auto"/>
            <w:bottom w:val="none" w:sz="0" w:space="0" w:color="auto"/>
            <w:right w:val="none" w:sz="0" w:space="0" w:color="auto"/>
          </w:divBdr>
        </w:div>
        <w:div w:id="442193831">
          <w:marLeft w:val="0"/>
          <w:marRight w:val="0"/>
          <w:marTop w:val="0"/>
          <w:marBottom w:val="0"/>
          <w:divBdr>
            <w:top w:val="none" w:sz="0" w:space="0" w:color="auto"/>
            <w:left w:val="none" w:sz="0" w:space="0" w:color="auto"/>
            <w:bottom w:val="none" w:sz="0" w:space="0" w:color="auto"/>
            <w:right w:val="none" w:sz="0" w:space="0" w:color="auto"/>
          </w:divBdr>
        </w:div>
        <w:div w:id="1316371033">
          <w:marLeft w:val="0"/>
          <w:marRight w:val="0"/>
          <w:marTop w:val="0"/>
          <w:marBottom w:val="0"/>
          <w:divBdr>
            <w:top w:val="none" w:sz="0" w:space="0" w:color="auto"/>
            <w:left w:val="none" w:sz="0" w:space="0" w:color="auto"/>
            <w:bottom w:val="none" w:sz="0" w:space="0" w:color="auto"/>
            <w:right w:val="none" w:sz="0" w:space="0" w:color="auto"/>
          </w:divBdr>
        </w:div>
        <w:div w:id="187380755">
          <w:marLeft w:val="0"/>
          <w:marRight w:val="0"/>
          <w:marTop w:val="0"/>
          <w:marBottom w:val="0"/>
          <w:divBdr>
            <w:top w:val="none" w:sz="0" w:space="0" w:color="auto"/>
            <w:left w:val="none" w:sz="0" w:space="0" w:color="auto"/>
            <w:bottom w:val="none" w:sz="0" w:space="0" w:color="auto"/>
            <w:right w:val="none" w:sz="0" w:space="0" w:color="auto"/>
          </w:divBdr>
        </w:div>
        <w:div w:id="1402487153">
          <w:marLeft w:val="0"/>
          <w:marRight w:val="0"/>
          <w:marTop w:val="0"/>
          <w:marBottom w:val="0"/>
          <w:divBdr>
            <w:top w:val="none" w:sz="0" w:space="0" w:color="auto"/>
            <w:left w:val="none" w:sz="0" w:space="0" w:color="auto"/>
            <w:bottom w:val="none" w:sz="0" w:space="0" w:color="auto"/>
            <w:right w:val="none" w:sz="0" w:space="0" w:color="auto"/>
          </w:divBdr>
        </w:div>
        <w:div w:id="685835469">
          <w:marLeft w:val="0"/>
          <w:marRight w:val="0"/>
          <w:marTop w:val="0"/>
          <w:marBottom w:val="0"/>
          <w:divBdr>
            <w:top w:val="none" w:sz="0" w:space="0" w:color="auto"/>
            <w:left w:val="none" w:sz="0" w:space="0" w:color="auto"/>
            <w:bottom w:val="none" w:sz="0" w:space="0" w:color="auto"/>
            <w:right w:val="none" w:sz="0" w:space="0" w:color="auto"/>
          </w:divBdr>
        </w:div>
        <w:div w:id="1132285356">
          <w:marLeft w:val="0"/>
          <w:marRight w:val="0"/>
          <w:marTop w:val="0"/>
          <w:marBottom w:val="0"/>
          <w:divBdr>
            <w:top w:val="none" w:sz="0" w:space="0" w:color="auto"/>
            <w:left w:val="none" w:sz="0" w:space="0" w:color="auto"/>
            <w:bottom w:val="none" w:sz="0" w:space="0" w:color="auto"/>
            <w:right w:val="none" w:sz="0" w:space="0" w:color="auto"/>
          </w:divBdr>
        </w:div>
        <w:div w:id="1754933445">
          <w:marLeft w:val="0"/>
          <w:marRight w:val="0"/>
          <w:marTop w:val="0"/>
          <w:marBottom w:val="0"/>
          <w:divBdr>
            <w:top w:val="none" w:sz="0" w:space="0" w:color="auto"/>
            <w:left w:val="none" w:sz="0" w:space="0" w:color="auto"/>
            <w:bottom w:val="none" w:sz="0" w:space="0" w:color="auto"/>
            <w:right w:val="none" w:sz="0" w:space="0" w:color="auto"/>
          </w:divBdr>
        </w:div>
        <w:div w:id="722868483">
          <w:marLeft w:val="0"/>
          <w:marRight w:val="0"/>
          <w:marTop w:val="0"/>
          <w:marBottom w:val="0"/>
          <w:divBdr>
            <w:top w:val="none" w:sz="0" w:space="0" w:color="auto"/>
            <w:left w:val="none" w:sz="0" w:space="0" w:color="auto"/>
            <w:bottom w:val="none" w:sz="0" w:space="0" w:color="auto"/>
            <w:right w:val="none" w:sz="0" w:space="0" w:color="auto"/>
          </w:divBdr>
        </w:div>
        <w:div w:id="383875897">
          <w:marLeft w:val="0"/>
          <w:marRight w:val="0"/>
          <w:marTop w:val="0"/>
          <w:marBottom w:val="0"/>
          <w:divBdr>
            <w:top w:val="none" w:sz="0" w:space="0" w:color="auto"/>
            <w:left w:val="none" w:sz="0" w:space="0" w:color="auto"/>
            <w:bottom w:val="none" w:sz="0" w:space="0" w:color="auto"/>
            <w:right w:val="none" w:sz="0" w:space="0" w:color="auto"/>
          </w:divBdr>
        </w:div>
        <w:div w:id="1488280567">
          <w:marLeft w:val="0"/>
          <w:marRight w:val="0"/>
          <w:marTop w:val="0"/>
          <w:marBottom w:val="0"/>
          <w:divBdr>
            <w:top w:val="none" w:sz="0" w:space="0" w:color="auto"/>
            <w:left w:val="none" w:sz="0" w:space="0" w:color="auto"/>
            <w:bottom w:val="none" w:sz="0" w:space="0" w:color="auto"/>
            <w:right w:val="none" w:sz="0" w:space="0" w:color="auto"/>
          </w:divBdr>
        </w:div>
        <w:div w:id="787428606">
          <w:marLeft w:val="0"/>
          <w:marRight w:val="0"/>
          <w:marTop w:val="0"/>
          <w:marBottom w:val="0"/>
          <w:divBdr>
            <w:top w:val="none" w:sz="0" w:space="0" w:color="auto"/>
            <w:left w:val="none" w:sz="0" w:space="0" w:color="auto"/>
            <w:bottom w:val="none" w:sz="0" w:space="0" w:color="auto"/>
            <w:right w:val="none" w:sz="0" w:space="0" w:color="auto"/>
          </w:divBdr>
        </w:div>
        <w:div w:id="230845632">
          <w:marLeft w:val="0"/>
          <w:marRight w:val="0"/>
          <w:marTop w:val="0"/>
          <w:marBottom w:val="0"/>
          <w:divBdr>
            <w:top w:val="none" w:sz="0" w:space="0" w:color="auto"/>
            <w:left w:val="none" w:sz="0" w:space="0" w:color="auto"/>
            <w:bottom w:val="none" w:sz="0" w:space="0" w:color="auto"/>
            <w:right w:val="none" w:sz="0" w:space="0" w:color="auto"/>
          </w:divBdr>
        </w:div>
        <w:div w:id="857701125">
          <w:marLeft w:val="0"/>
          <w:marRight w:val="0"/>
          <w:marTop w:val="0"/>
          <w:marBottom w:val="0"/>
          <w:divBdr>
            <w:top w:val="none" w:sz="0" w:space="0" w:color="auto"/>
            <w:left w:val="none" w:sz="0" w:space="0" w:color="auto"/>
            <w:bottom w:val="none" w:sz="0" w:space="0" w:color="auto"/>
            <w:right w:val="none" w:sz="0" w:space="0" w:color="auto"/>
          </w:divBdr>
        </w:div>
        <w:div w:id="695934055">
          <w:marLeft w:val="0"/>
          <w:marRight w:val="0"/>
          <w:marTop w:val="0"/>
          <w:marBottom w:val="0"/>
          <w:divBdr>
            <w:top w:val="none" w:sz="0" w:space="0" w:color="auto"/>
            <w:left w:val="none" w:sz="0" w:space="0" w:color="auto"/>
            <w:bottom w:val="none" w:sz="0" w:space="0" w:color="auto"/>
            <w:right w:val="none" w:sz="0" w:space="0" w:color="auto"/>
          </w:divBdr>
        </w:div>
        <w:div w:id="722758093">
          <w:marLeft w:val="0"/>
          <w:marRight w:val="0"/>
          <w:marTop w:val="0"/>
          <w:marBottom w:val="0"/>
          <w:divBdr>
            <w:top w:val="none" w:sz="0" w:space="0" w:color="auto"/>
            <w:left w:val="none" w:sz="0" w:space="0" w:color="auto"/>
            <w:bottom w:val="none" w:sz="0" w:space="0" w:color="auto"/>
            <w:right w:val="none" w:sz="0" w:space="0" w:color="auto"/>
          </w:divBdr>
        </w:div>
        <w:div w:id="395053658">
          <w:marLeft w:val="0"/>
          <w:marRight w:val="0"/>
          <w:marTop w:val="0"/>
          <w:marBottom w:val="0"/>
          <w:divBdr>
            <w:top w:val="none" w:sz="0" w:space="0" w:color="auto"/>
            <w:left w:val="none" w:sz="0" w:space="0" w:color="auto"/>
            <w:bottom w:val="none" w:sz="0" w:space="0" w:color="auto"/>
            <w:right w:val="none" w:sz="0" w:space="0" w:color="auto"/>
          </w:divBdr>
        </w:div>
        <w:div w:id="800462580">
          <w:marLeft w:val="0"/>
          <w:marRight w:val="0"/>
          <w:marTop w:val="0"/>
          <w:marBottom w:val="0"/>
          <w:divBdr>
            <w:top w:val="none" w:sz="0" w:space="0" w:color="auto"/>
            <w:left w:val="none" w:sz="0" w:space="0" w:color="auto"/>
            <w:bottom w:val="none" w:sz="0" w:space="0" w:color="auto"/>
            <w:right w:val="none" w:sz="0" w:space="0" w:color="auto"/>
          </w:divBdr>
        </w:div>
        <w:div w:id="702556433">
          <w:marLeft w:val="0"/>
          <w:marRight w:val="0"/>
          <w:marTop w:val="0"/>
          <w:marBottom w:val="0"/>
          <w:divBdr>
            <w:top w:val="none" w:sz="0" w:space="0" w:color="auto"/>
            <w:left w:val="none" w:sz="0" w:space="0" w:color="auto"/>
            <w:bottom w:val="none" w:sz="0" w:space="0" w:color="auto"/>
            <w:right w:val="none" w:sz="0" w:space="0" w:color="auto"/>
          </w:divBdr>
        </w:div>
        <w:div w:id="238905922">
          <w:marLeft w:val="0"/>
          <w:marRight w:val="0"/>
          <w:marTop w:val="0"/>
          <w:marBottom w:val="0"/>
          <w:divBdr>
            <w:top w:val="none" w:sz="0" w:space="0" w:color="auto"/>
            <w:left w:val="none" w:sz="0" w:space="0" w:color="auto"/>
            <w:bottom w:val="none" w:sz="0" w:space="0" w:color="auto"/>
            <w:right w:val="none" w:sz="0" w:space="0" w:color="auto"/>
          </w:divBdr>
        </w:div>
        <w:div w:id="115948239">
          <w:marLeft w:val="0"/>
          <w:marRight w:val="0"/>
          <w:marTop w:val="0"/>
          <w:marBottom w:val="0"/>
          <w:divBdr>
            <w:top w:val="none" w:sz="0" w:space="0" w:color="auto"/>
            <w:left w:val="none" w:sz="0" w:space="0" w:color="auto"/>
            <w:bottom w:val="none" w:sz="0" w:space="0" w:color="auto"/>
            <w:right w:val="none" w:sz="0" w:space="0" w:color="auto"/>
          </w:divBdr>
        </w:div>
        <w:div w:id="887375099">
          <w:marLeft w:val="0"/>
          <w:marRight w:val="0"/>
          <w:marTop w:val="0"/>
          <w:marBottom w:val="0"/>
          <w:divBdr>
            <w:top w:val="none" w:sz="0" w:space="0" w:color="auto"/>
            <w:left w:val="none" w:sz="0" w:space="0" w:color="auto"/>
            <w:bottom w:val="none" w:sz="0" w:space="0" w:color="auto"/>
            <w:right w:val="none" w:sz="0" w:space="0" w:color="auto"/>
          </w:divBdr>
        </w:div>
        <w:div w:id="2134789555">
          <w:marLeft w:val="0"/>
          <w:marRight w:val="0"/>
          <w:marTop w:val="0"/>
          <w:marBottom w:val="0"/>
          <w:divBdr>
            <w:top w:val="none" w:sz="0" w:space="0" w:color="auto"/>
            <w:left w:val="none" w:sz="0" w:space="0" w:color="auto"/>
            <w:bottom w:val="none" w:sz="0" w:space="0" w:color="auto"/>
            <w:right w:val="none" w:sz="0" w:space="0" w:color="auto"/>
          </w:divBdr>
        </w:div>
        <w:div w:id="2009017125">
          <w:marLeft w:val="0"/>
          <w:marRight w:val="0"/>
          <w:marTop w:val="0"/>
          <w:marBottom w:val="0"/>
          <w:divBdr>
            <w:top w:val="none" w:sz="0" w:space="0" w:color="auto"/>
            <w:left w:val="none" w:sz="0" w:space="0" w:color="auto"/>
            <w:bottom w:val="none" w:sz="0" w:space="0" w:color="auto"/>
            <w:right w:val="none" w:sz="0" w:space="0" w:color="auto"/>
          </w:divBdr>
        </w:div>
        <w:div w:id="924195010">
          <w:marLeft w:val="0"/>
          <w:marRight w:val="0"/>
          <w:marTop w:val="0"/>
          <w:marBottom w:val="0"/>
          <w:divBdr>
            <w:top w:val="none" w:sz="0" w:space="0" w:color="auto"/>
            <w:left w:val="none" w:sz="0" w:space="0" w:color="auto"/>
            <w:bottom w:val="none" w:sz="0" w:space="0" w:color="auto"/>
            <w:right w:val="none" w:sz="0" w:space="0" w:color="auto"/>
          </w:divBdr>
        </w:div>
        <w:div w:id="1460026817">
          <w:marLeft w:val="0"/>
          <w:marRight w:val="0"/>
          <w:marTop w:val="0"/>
          <w:marBottom w:val="0"/>
          <w:divBdr>
            <w:top w:val="none" w:sz="0" w:space="0" w:color="auto"/>
            <w:left w:val="none" w:sz="0" w:space="0" w:color="auto"/>
            <w:bottom w:val="none" w:sz="0" w:space="0" w:color="auto"/>
            <w:right w:val="none" w:sz="0" w:space="0" w:color="auto"/>
          </w:divBdr>
        </w:div>
        <w:div w:id="1113860944">
          <w:marLeft w:val="0"/>
          <w:marRight w:val="0"/>
          <w:marTop w:val="0"/>
          <w:marBottom w:val="0"/>
          <w:divBdr>
            <w:top w:val="none" w:sz="0" w:space="0" w:color="auto"/>
            <w:left w:val="none" w:sz="0" w:space="0" w:color="auto"/>
            <w:bottom w:val="none" w:sz="0" w:space="0" w:color="auto"/>
            <w:right w:val="none" w:sz="0" w:space="0" w:color="auto"/>
          </w:divBdr>
        </w:div>
        <w:div w:id="571934240">
          <w:marLeft w:val="0"/>
          <w:marRight w:val="0"/>
          <w:marTop w:val="0"/>
          <w:marBottom w:val="0"/>
          <w:divBdr>
            <w:top w:val="none" w:sz="0" w:space="0" w:color="auto"/>
            <w:left w:val="none" w:sz="0" w:space="0" w:color="auto"/>
            <w:bottom w:val="none" w:sz="0" w:space="0" w:color="auto"/>
            <w:right w:val="none" w:sz="0" w:space="0" w:color="auto"/>
          </w:divBdr>
        </w:div>
        <w:div w:id="210192936">
          <w:marLeft w:val="0"/>
          <w:marRight w:val="0"/>
          <w:marTop w:val="0"/>
          <w:marBottom w:val="0"/>
          <w:divBdr>
            <w:top w:val="none" w:sz="0" w:space="0" w:color="auto"/>
            <w:left w:val="none" w:sz="0" w:space="0" w:color="auto"/>
            <w:bottom w:val="none" w:sz="0" w:space="0" w:color="auto"/>
            <w:right w:val="none" w:sz="0" w:space="0" w:color="auto"/>
          </w:divBdr>
        </w:div>
        <w:div w:id="2045323272">
          <w:marLeft w:val="0"/>
          <w:marRight w:val="0"/>
          <w:marTop w:val="0"/>
          <w:marBottom w:val="0"/>
          <w:divBdr>
            <w:top w:val="none" w:sz="0" w:space="0" w:color="auto"/>
            <w:left w:val="none" w:sz="0" w:space="0" w:color="auto"/>
            <w:bottom w:val="none" w:sz="0" w:space="0" w:color="auto"/>
            <w:right w:val="none" w:sz="0" w:space="0" w:color="auto"/>
          </w:divBdr>
        </w:div>
        <w:div w:id="1473713299">
          <w:marLeft w:val="0"/>
          <w:marRight w:val="0"/>
          <w:marTop w:val="0"/>
          <w:marBottom w:val="0"/>
          <w:divBdr>
            <w:top w:val="none" w:sz="0" w:space="0" w:color="auto"/>
            <w:left w:val="none" w:sz="0" w:space="0" w:color="auto"/>
            <w:bottom w:val="none" w:sz="0" w:space="0" w:color="auto"/>
            <w:right w:val="none" w:sz="0" w:space="0" w:color="auto"/>
          </w:divBdr>
        </w:div>
        <w:div w:id="1367876500">
          <w:marLeft w:val="0"/>
          <w:marRight w:val="0"/>
          <w:marTop w:val="0"/>
          <w:marBottom w:val="0"/>
          <w:divBdr>
            <w:top w:val="none" w:sz="0" w:space="0" w:color="auto"/>
            <w:left w:val="none" w:sz="0" w:space="0" w:color="auto"/>
            <w:bottom w:val="none" w:sz="0" w:space="0" w:color="auto"/>
            <w:right w:val="none" w:sz="0" w:space="0" w:color="auto"/>
          </w:divBdr>
        </w:div>
        <w:div w:id="1937706734">
          <w:marLeft w:val="0"/>
          <w:marRight w:val="0"/>
          <w:marTop w:val="0"/>
          <w:marBottom w:val="0"/>
          <w:divBdr>
            <w:top w:val="none" w:sz="0" w:space="0" w:color="auto"/>
            <w:left w:val="none" w:sz="0" w:space="0" w:color="auto"/>
            <w:bottom w:val="none" w:sz="0" w:space="0" w:color="auto"/>
            <w:right w:val="none" w:sz="0" w:space="0" w:color="auto"/>
          </w:divBdr>
        </w:div>
        <w:div w:id="1373768434">
          <w:marLeft w:val="0"/>
          <w:marRight w:val="0"/>
          <w:marTop w:val="0"/>
          <w:marBottom w:val="0"/>
          <w:divBdr>
            <w:top w:val="none" w:sz="0" w:space="0" w:color="auto"/>
            <w:left w:val="none" w:sz="0" w:space="0" w:color="auto"/>
            <w:bottom w:val="none" w:sz="0" w:space="0" w:color="auto"/>
            <w:right w:val="none" w:sz="0" w:space="0" w:color="auto"/>
          </w:divBdr>
        </w:div>
        <w:div w:id="1704164481">
          <w:marLeft w:val="0"/>
          <w:marRight w:val="0"/>
          <w:marTop w:val="0"/>
          <w:marBottom w:val="0"/>
          <w:divBdr>
            <w:top w:val="none" w:sz="0" w:space="0" w:color="auto"/>
            <w:left w:val="none" w:sz="0" w:space="0" w:color="auto"/>
            <w:bottom w:val="none" w:sz="0" w:space="0" w:color="auto"/>
            <w:right w:val="none" w:sz="0" w:space="0" w:color="auto"/>
          </w:divBdr>
        </w:div>
        <w:div w:id="539631149">
          <w:marLeft w:val="0"/>
          <w:marRight w:val="0"/>
          <w:marTop w:val="0"/>
          <w:marBottom w:val="0"/>
          <w:divBdr>
            <w:top w:val="none" w:sz="0" w:space="0" w:color="auto"/>
            <w:left w:val="none" w:sz="0" w:space="0" w:color="auto"/>
            <w:bottom w:val="none" w:sz="0" w:space="0" w:color="auto"/>
            <w:right w:val="none" w:sz="0" w:space="0" w:color="auto"/>
          </w:divBdr>
        </w:div>
        <w:div w:id="775835025">
          <w:marLeft w:val="0"/>
          <w:marRight w:val="0"/>
          <w:marTop w:val="0"/>
          <w:marBottom w:val="0"/>
          <w:divBdr>
            <w:top w:val="none" w:sz="0" w:space="0" w:color="auto"/>
            <w:left w:val="none" w:sz="0" w:space="0" w:color="auto"/>
            <w:bottom w:val="none" w:sz="0" w:space="0" w:color="auto"/>
            <w:right w:val="none" w:sz="0" w:space="0" w:color="auto"/>
          </w:divBdr>
        </w:div>
        <w:div w:id="1520315373">
          <w:marLeft w:val="0"/>
          <w:marRight w:val="0"/>
          <w:marTop w:val="0"/>
          <w:marBottom w:val="0"/>
          <w:divBdr>
            <w:top w:val="none" w:sz="0" w:space="0" w:color="auto"/>
            <w:left w:val="none" w:sz="0" w:space="0" w:color="auto"/>
            <w:bottom w:val="none" w:sz="0" w:space="0" w:color="auto"/>
            <w:right w:val="none" w:sz="0" w:space="0" w:color="auto"/>
          </w:divBdr>
        </w:div>
        <w:div w:id="773749554">
          <w:marLeft w:val="0"/>
          <w:marRight w:val="0"/>
          <w:marTop w:val="0"/>
          <w:marBottom w:val="0"/>
          <w:divBdr>
            <w:top w:val="none" w:sz="0" w:space="0" w:color="auto"/>
            <w:left w:val="none" w:sz="0" w:space="0" w:color="auto"/>
            <w:bottom w:val="none" w:sz="0" w:space="0" w:color="auto"/>
            <w:right w:val="none" w:sz="0" w:space="0" w:color="auto"/>
          </w:divBdr>
        </w:div>
        <w:div w:id="1228880402">
          <w:marLeft w:val="0"/>
          <w:marRight w:val="0"/>
          <w:marTop w:val="0"/>
          <w:marBottom w:val="0"/>
          <w:divBdr>
            <w:top w:val="none" w:sz="0" w:space="0" w:color="auto"/>
            <w:left w:val="none" w:sz="0" w:space="0" w:color="auto"/>
            <w:bottom w:val="none" w:sz="0" w:space="0" w:color="auto"/>
            <w:right w:val="none" w:sz="0" w:space="0" w:color="auto"/>
          </w:divBdr>
        </w:div>
        <w:div w:id="1426417243">
          <w:marLeft w:val="0"/>
          <w:marRight w:val="0"/>
          <w:marTop w:val="0"/>
          <w:marBottom w:val="0"/>
          <w:divBdr>
            <w:top w:val="none" w:sz="0" w:space="0" w:color="auto"/>
            <w:left w:val="none" w:sz="0" w:space="0" w:color="auto"/>
            <w:bottom w:val="none" w:sz="0" w:space="0" w:color="auto"/>
            <w:right w:val="none" w:sz="0" w:space="0" w:color="auto"/>
          </w:divBdr>
        </w:div>
        <w:div w:id="1675571836">
          <w:marLeft w:val="0"/>
          <w:marRight w:val="0"/>
          <w:marTop w:val="0"/>
          <w:marBottom w:val="0"/>
          <w:divBdr>
            <w:top w:val="none" w:sz="0" w:space="0" w:color="auto"/>
            <w:left w:val="none" w:sz="0" w:space="0" w:color="auto"/>
            <w:bottom w:val="none" w:sz="0" w:space="0" w:color="auto"/>
            <w:right w:val="none" w:sz="0" w:space="0" w:color="auto"/>
          </w:divBdr>
        </w:div>
        <w:div w:id="1579050280">
          <w:marLeft w:val="0"/>
          <w:marRight w:val="0"/>
          <w:marTop w:val="0"/>
          <w:marBottom w:val="0"/>
          <w:divBdr>
            <w:top w:val="none" w:sz="0" w:space="0" w:color="auto"/>
            <w:left w:val="none" w:sz="0" w:space="0" w:color="auto"/>
            <w:bottom w:val="none" w:sz="0" w:space="0" w:color="auto"/>
            <w:right w:val="none" w:sz="0" w:space="0" w:color="auto"/>
          </w:divBdr>
        </w:div>
        <w:div w:id="1743330884">
          <w:marLeft w:val="0"/>
          <w:marRight w:val="0"/>
          <w:marTop w:val="0"/>
          <w:marBottom w:val="0"/>
          <w:divBdr>
            <w:top w:val="none" w:sz="0" w:space="0" w:color="auto"/>
            <w:left w:val="none" w:sz="0" w:space="0" w:color="auto"/>
            <w:bottom w:val="none" w:sz="0" w:space="0" w:color="auto"/>
            <w:right w:val="none" w:sz="0" w:space="0" w:color="auto"/>
          </w:divBdr>
        </w:div>
        <w:div w:id="458112346">
          <w:marLeft w:val="0"/>
          <w:marRight w:val="0"/>
          <w:marTop w:val="0"/>
          <w:marBottom w:val="0"/>
          <w:divBdr>
            <w:top w:val="none" w:sz="0" w:space="0" w:color="auto"/>
            <w:left w:val="none" w:sz="0" w:space="0" w:color="auto"/>
            <w:bottom w:val="none" w:sz="0" w:space="0" w:color="auto"/>
            <w:right w:val="none" w:sz="0" w:space="0" w:color="auto"/>
          </w:divBdr>
        </w:div>
        <w:div w:id="899486273">
          <w:marLeft w:val="0"/>
          <w:marRight w:val="0"/>
          <w:marTop w:val="0"/>
          <w:marBottom w:val="0"/>
          <w:divBdr>
            <w:top w:val="none" w:sz="0" w:space="0" w:color="auto"/>
            <w:left w:val="none" w:sz="0" w:space="0" w:color="auto"/>
            <w:bottom w:val="none" w:sz="0" w:space="0" w:color="auto"/>
            <w:right w:val="none" w:sz="0" w:space="0" w:color="auto"/>
          </w:divBdr>
        </w:div>
        <w:div w:id="1463766182">
          <w:marLeft w:val="0"/>
          <w:marRight w:val="0"/>
          <w:marTop w:val="0"/>
          <w:marBottom w:val="0"/>
          <w:divBdr>
            <w:top w:val="none" w:sz="0" w:space="0" w:color="auto"/>
            <w:left w:val="none" w:sz="0" w:space="0" w:color="auto"/>
            <w:bottom w:val="none" w:sz="0" w:space="0" w:color="auto"/>
            <w:right w:val="none" w:sz="0" w:space="0" w:color="auto"/>
          </w:divBdr>
        </w:div>
        <w:div w:id="311720914">
          <w:marLeft w:val="0"/>
          <w:marRight w:val="0"/>
          <w:marTop w:val="0"/>
          <w:marBottom w:val="0"/>
          <w:divBdr>
            <w:top w:val="none" w:sz="0" w:space="0" w:color="auto"/>
            <w:left w:val="none" w:sz="0" w:space="0" w:color="auto"/>
            <w:bottom w:val="none" w:sz="0" w:space="0" w:color="auto"/>
            <w:right w:val="none" w:sz="0" w:space="0" w:color="auto"/>
          </w:divBdr>
        </w:div>
        <w:div w:id="1296566353">
          <w:marLeft w:val="0"/>
          <w:marRight w:val="0"/>
          <w:marTop w:val="0"/>
          <w:marBottom w:val="0"/>
          <w:divBdr>
            <w:top w:val="none" w:sz="0" w:space="0" w:color="auto"/>
            <w:left w:val="none" w:sz="0" w:space="0" w:color="auto"/>
            <w:bottom w:val="none" w:sz="0" w:space="0" w:color="auto"/>
            <w:right w:val="none" w:sz="0" w:space="0" w:color="auto"/>
          </w:divBdr>
        </w:div>
        <w:div w:id="375545844">
          <w:marLeft w:val="0"/>
          <w:marRight w:val="0"/>
          <w:marTop w:val="0"/>
          <w:marBottom w:val="0"/>
          <w:divBdr>
            <w:top w:val="none" w:sz="0" w:space="0" w:color="auto"/>
            <w:left w:val="none" w:sz="0" w:space="0" w:color="auto"/>
            <w:bottom w:val="none" w:sz="0" w:space="0" w:color="auto"/>
            <w:right w:val="none" w:sz="0" w:space="0" w:color="auto"/>
          </w:divBdr>
        </w:div>
        <w:div w:id="648363115">
          <w:marLeft w:val="0"/>
          <w:marRight w:val="0"/>
          <w:marTop w:val="0"/>
          <w:marBottom w:val="0"/>
          <w:divBdr>
            <w:top w:val="none" w:sz="0" w:space="0" w:color="auto"/>
            <w:left w:val="none" w:sz="0" w:space="0" w:color="auto"/>
            <w:bottom w:val="none" w:sz="0" w:space="0" w:color="auto"/>
            <w:right w:val="none" w:sz="0" w:space="0" w:color="auto"/>
          </w:divBdr>
        </w:div>
        <w:div w:id="1809664484">
          <w:marLeft w:val="0"/>
          <w:marRight w:val="0"/>
          <w:marTop w:val="0"/>
          <w:marBottom w:val="0"/>
          <w:divBdr>
            <w:top w:val="none" w:sz="0" w:space="0" w:color="auto"/>
            <w:left w:val="none" w:sz="0" w:space="0" w:color="auto"/>
            <w:bottom w:val="none" w:sz="0" w:space="0" w:color="auto"/>
            <w:right w:val="none" w:sz="0" w:space="0" w:color="auto"/>
          </w:divBdr>
        </w:div>
        <w:div w:id="1460563791">
          <w:marLeft w:val="0"/>
          <w:marRight w:val="0"/>
          <w:marTop w:val="0"/>
          <w:marBottom w:val="0"/>
          <w:divBdr>
            <w:top w:val="none" w:sz="0" w:space="0" w:color="auto"/>
            <w:left w:val="none" w:sz="0" w:space="0" w:color="auto"/>
            <w:bottom w:val="none" w:sz="0" w:space="0" w:color="auto"/>
            <w:right w:val="none" w:sz="0" w:space="0" w:color="auto"/>
          </w:divBdr>
        </w:div>
        <w:div w:id="1467432705">
          <w:marLeft w:val="0"/>
          <w:marRight w:val="0"/>
          <w:marTop w:val="0"/>
          <w:marBottom w:val="0"/>
          <w:divBdr>
            <w:top w:val="none" w:sz="0" w:space="0" w:color="auto"/>
            <w:left w:val="none" w:sz="0" w:space="0" w:color="auto"/>
            <w:bottom w:val="none" w:sz="0" w:space="0" w:color="auto"/>
            <w:right w:val="none" w:sz="0" w:space="0" w:color="auto"/>
          </w:divBdr>
        </w:div>
        <w:div w:id="638270107">
          <w:marLeft w:val="0"/>
          <w:marRight w:val="0"/>
          <w:marTop w:val="0"/>
          <w:marBottom w:val="0"/>
          <w:divBdr>
            <w:top w:val="none" w:sz="0" w:space="0" w:color="auto"/>
            <w:left w:val="none" w:sz="0" w:space="0" w:color="auto"/>
            <w:bottom w:val="none" w:sz="0" w:space="0" w:color="auto"/>
            <w:right w:val="none" w:sz="0" w:space="0" w:color="auto"/>
          </w:divBdr>
        </w:div>
        <w:div w:id="1758553064">
          <w:marLeft w:val="0"/>
          <w:marRight w:val="0"/>
          <w:marTop w:val="0"/>
          <w:marBottom w:val="0"/>
          <w:divBdr>
            <w:top w:val="none" w:sz="0" w:space="0" w:color="auto"/>
            <w:left w:val="none" w:sz="0" w:space="0" w:color="auto"/>
            <w:bottom w:val="none" w:sz="0" w:space="0" w:color="auto"/>
            <w:right w:val="none" w:sz="0" w:space="0" w:color="auto"/>
          </w:divBdr>
        </w:div>
        <w:div w:id="1821730015">
          <w:marLeft w:val="0"/>
          <w:marRight w:val="0"/>
          <w:marTop w:val="0"/>
          <w:marBottom w:val="0"/>
          <w:divBdr>
            <w:top w:val="none" w:sz="0" w:space="0" w:color="auto"/>
            <w:left w:val="none" w:sz="0" w:space="0" w:color="auto"/>
            <w:bottom w:val="none" w:sz="0" w:space="0" w:color="auto"/>
            <w:right w:val="none" w:sz="0" w:space="0" w:color="auto"/>
          </w:divBdr>
        </w:div>
        <w:div w:id="1750928430">
          <w:marLeft w:val="0"/>
          <w:marRight w:val="0"/>
          <w:marTop w:val="0"/>
          <w:marBottom w:val="0"/>
          <w:divBdr>
            <w:top w:val="none" w:sz="0" w:space="0" w:color="auto"/>
            <w:left w:val="none" w:sz="0" w:space="0" w:color="auto"/>
            <w:bottom w:val="none" w:sz="0" w:space="0" w:color="auto"/>
            <w:right w:val="none" w:sz="0" w:space="0" w:color="auto"/>
          </w:divBdr>
        </w:div>
        <w:div w:id="1162428064">
          <w:marLeft w:val="0"/>
          <w:marRight w:val="0"/>
          <w:marTop w:val="0"/>
          <w:marBottom w:val="0"/>
          <w:divBdr>
            <w:top w:val="none" w:sz="0" w:space="0" w:color="auto"/>
            <w:left w:val="none" w:sz="0" w:space="0" w:color="auto"/>
            <w:bottom w:val="none" w:sz="0" w:space="0" w:color="auto"/>
            <w:right w:val="none" w:sz="0" w:space="0" w:color="auto"/>
          </w:divBdr>
        </w:div>
        <w:div w:id="750472145">
          <w:marLeft w:val="0"/>
          <w:marRight w:val="0"/>
          <w:marTop w:val="0"/>
          <w:marBottom w:val="0"/>
          <w:divBdr>
            <w:top w:val="none" w:sz="0" w:space="0" w:color="auto"/>
            <w:left w:val="none" w:sz="0" w:space="0" w:color="auto"/>
            <w:bottom w:val="none" w:sz="0" w:space="0" w:color="auto"/>
            <w:right w:val="none" w:sz="0" w:space="0" w:color="auto"/>
          </w:divBdr>
        </w:div>
        <w:div w:id="501550771">
          <w:marLeft w:val="0"/>
          <w:marRight w:val="0"/>
          <w:marTop w:val="0"/>
          <w:marBottom w:val="0"/>
          <w:divBdr>
            <w:top w:val="none" w:sz="0" w:space="0" w:color="auto"/>
            <w:left w:val="none" w:sz="0" w:space="0" w:color="auto"/>
            <w:bottom w:val="none" w:sz="0" w:space="0" w:color="auto"/>
            <w:right w:val="none" w:sz="0" w:space="0" w:color="auto"/>
          </w:divBdr>
        </w:div>
        <w:div w:id="1688629143">
          <w:marLeft w:val="0"/>
          <w:marRight w:val="0"/>
          <w:marTop w:val="0"/>
          <w:marBottom w:val="0"/>
          <w:divBdr>
            <w:top w:val="none" w:sz="0" w:space="0" w:color="auto"/>
            <w:left w:val="none" w:sz="0" w:space="0" w:color="auto"/>
            <w:bottom w:val="none" w:sz="0" w:space="0" w:color="auto"/>
            <w:right w:val="none" w:sz="0" w:space="0" w:color="auto"/>
          </w:divBdr>
        </w:div>
        <w:div w:id="746154172">
          <w:marLeft w:val="0"/>
          <w:marRight w:val="0"/>
          <w:marTop w:val="0"/>
          <w:marBottom w:val="0"/>
          <w:divBdr>
            <w:top w:val="none" w:sz="0" w:space="0" w:color="auto"/>
            <w:left w:val="none" w:sz="0" w:space="0" w:color="auto"/>
            <w:bottom w:val="none" w:sz="0" w:space="0" w:color="auto"/>
            <w:right w:val="none" w:sz="0" w:space="0" w:color="auto"/>
          </w:divBdr>
        </w:div>
        <w:div w:id="519592229">
          <w:marLeft w:val="0"/>
          <w:marRight w:val="0"/>
          <w:marTop w:val="0"/>
          <w:marBottom w:val="0"/>
          <w:divBdr>
            <w:top w:val="none" w:sz="0" w:space="0" w:color="auto"/>
            <w:left w:val="none" w:sz="0" w:space="0" w:color="auto"/>
            <w:bottom w:val="none" w:sz="0" w:space="0" w:color="auto"/>
            <w:right w:val="none" w:sz="0" w:space="0" w:color="auto"/>
          </w:divBdr>
        </w:div>
        <w:div w:id="190150334">
          <w:marLeft w:val="0"/>
          <w:marRight w:val="0"/>
          <w:marTop w:val="0"/>
          <w:marBottom w:val="0"/>
          <w:divBdr>
            <w:top w:val="none" w:sz="0" w:space="0" w:color="auto"/>
            <w:left w:val="none" w:sz="0" w:space="0" w:color="auto"/>
            <w:bottom w:val="none" w:sz="0" w:space="0" w:color="auto"/>
            <w:right w:val="none" w:sz="0" w:space="0" w:color="auto"/>
          </w:divBdr>
        </w:div>
        <w:div w:id="2007442410">
          <w:marLeft w:val="0"/>
          <w:marRight w:val="0"/>
          <w:marTop w:val="0"/>
          <w:marBottom w:val="0"/>
          <w:divBdr>
            <w:top w:val="none" w:sz="0" w:space="0" w:color="auto"/>
            <w:left w:val="none" w:sz="0" w:space="0" w:color="auto"/>
            <w:bottom w:val="none" w:sz="0" w:space="0" w:color="auto"/>
            <w:right w:val="none" w:sz="0" w:space="0" w:color="auto"/>
          </w:divBdr>
        </w:div>
        <w:div w:id="1220022692">
          <w:marLeft w:val="0"/>
          <w:marRight w:val="0"/>
          <w:marTop w:val="0"/>
          <w:marBottom w:val="0"/>
          <w:divBdr>
            <w:top w:val="none" w:sz="0" w:space="0" w:color="auto"/>
            <w:left w:val="none" w:sz="0" w:space="0" w:color="auto"/>
            <w:bottom w:val="none" w:sz="0" w:space="0" w:color="auto"/>
            <w:right w:val="none" w:sz="0" w:space="0" w:color="auto"/>
          </w:divBdr>
        </w:div>
        <w:div w:id="1254898470">
          <w:marLeft w:val="0"/>
          <w:marRight w:val="0"/>
          <w:marTop w:val="0"/>
          <w:marBottom w:val="0"/>
          <w:divBdr>
            <w:top w:val="none" w:sz="0" w:space="0" w:color="auto"/>
            <w:left w:val="none" w:sz="0" w:space="0" w:color="auto"/>
            <w:bottom w:val="none" w:sz="0" w:space="0" w:color="auto"/>
            <w:right w:val="none" w:sz="0" w:space="0" w:color="auto"/>
          </w:divBdr>
        </w:div>
        <w:div w:id="970477787">
          <w:marLeft w:val="0"/>
          <w:marRight w:val="0"/>
          <w:marTop w:val="0"/>
          <w:marBottom w:val="0"/>
          <w:divBdr>
            <w:top w:val="none" w:sz="0" w:space="0" w:color="auto"/>
            <w:left w:val="none" w:sz="0" w:space="0" w:color="auto"/>
            <w:bottom w:val="none" w:sz="0" w:space="0" w:color="auto"/>
            <w:right w:val="none" w:sz="0" w:space="0" w:color="auto"/>
          </w:divBdr>
        </w:div>
        <w:div w:id="1901162937">
          <w:marLeft w:val="0"/>
          <w:marRight w:val="0"/>
          <w:marTop w:val="0"/>
          <w:marBottom w:val="0"/>
          <w:divBdr>
            <w:top w:val="none" w:sz="0" w:space="0" w:color="auto"/>
            <w:left w:val="none" w:sz="0" w:space="0" w:color="auto"/>
            <w:bottom w:val="none" w:sz="0" w:space="0" w:color="auto"/>
            <w:right w:val="none" w:sz="0" w:space="0" w:color="auto"/>
          </w:divBdr>
        </w:div>
        <w:div w:id="1789080652">
          <w:marLeft w:val="0"/>
          <w:marRight w:val="0"/>
          <w:marTop w:val="0"/>
          <w:marBottom w:val="0"/>
          <w:divBdr>
            <w:top w:val="none" w:sz="0" w:space="0" w:color="auto"/>
            <w:left w:val="none" w:sz="0" w:space="0" w:color="auto"/>
            <w:bottom w:val="none" w:sz="0" w:space="0" w:color="auto"/>
            <w:right w:val="none" w:sz="0" w:space="0" w:color="auto"/>
          </w:divBdr>
        </w:div>
        <w:div w:id="1563441150">
          <w:marLeft w:val="0"/>
          <w:marRight w:val="0"/>
          <w:marTop w:val="0"/>
          <w:marBottom w:val="0"/>
          <w:divBdr>
            <w:top w:val="none" w:sz="0" w:space="0" w:color="auto"/>
            <w:left w:val="none" w:sz="0" w:space="0" w:color="auto"/>
            <w:bottom w:val="none" w:sz="0" w:space="0" w:color="auto"/>
            <w:right w:val="none" w:sz="0" w:space="0" w:color="auto"/>
          </w:divBdr>
        </w:div>
        <w:div w:id="356548599">
          <w:marLeft w:val="0"/>
          <w:marRight w:val="0"/>
          <w:marTop w:val="0"/>
          <w:marBottom w:val="0"/>
          <w:divBdr>
            <w:top w:val="none" w:sz="0" w:space="0" w:color="auto"/>
            <w:left w:val="none" w:sz="0" w:space="0" w:color="auto"/>
            <w:bottom w:val="none" w:sz="0" w:space="0" w:color="auto"/>
            <w:right w:val="none" w:sz="0" w:space="0" w:color="auto"/>
          </w:divBdr>
        </w:div>
        <w:div w:id="1138299712">
          <w:marLeft w:val="0"/>
          <w:marRight w:val="0"/>
          <w:marTop w:val="0"/>
          <w:marBottom w:val="0"/>
          <w:divBdr>
            <w:top w:val="none" w:sz="0" w:space="0" w:color="auto"/>
            <w:left w:val="none" w:sz="0" w:space="0" w:color="auto"/>
            <w:bottom w:val="none" w:sz="0" w:space="0" w:color="auto"/>
            <w:right w:val="none" w:sz="0" w:space="0" w:color="auto"/>
          </w:divBdr>
        </w:div>
        <w:div w:id="2031376283">
          <w:marLeft w:val="0"/>
          <w:marRight w:val="0"/>
          <w:marTop w:val="0"/>
          <w:marBottom w:val="0"/>
          <w:divBdr>
            <w:top w:val="none" w:sz="0" w:space="0" w:color="auto"/>
            <w:left w:val="none" w:sz="0" w:space="0" w:color="auto"/>
            <w:bottom w:val="none" w:sz="0" w:space="0" w:color="auto"/>
            <w:right w:val="none" w:sz="0" w:space="0" w:color="auto"/>
          </w:divBdr>
        </w:div>
        <w:div w:id="1705404620">
          <w:marLeft w:val="0"/>
          <w:marRight w:val="0"/>
          <w:marTop w:val="0"/>
          <w:marBottom w:val="0"/>
          <w:divBdr>
            <w:top w:val="none" w:sz="0" w:space="0" w:color="auto"/>
            <w:left w:val="none" w:sz="0" w:space="0" w:color="auto"/>
            <w:bottom w:val="none" w:sz="0" w:space="0" w:color="auto"/>
            <w:right w:val="none" w:sz="0" w:space="0" w:color="auto"/>
          </w:divBdr>
        </w:div>
        <w:div w:id="1851485295">
          <w:marLeft w:val="0"/>
          <w:marRight w:val="0"/>
          <w:marTop w:val="0"/>
          <w:marBottom w:val="0"/>
          <w:divBdr>
            <w:top w:val="none" w:sz="0" w:space="0" w:color="auto"/>
            <w:left w:val="none" w:sz="0" w:space="0" w:color="auto"/>
            <w:bottom w:val="none" w:sz="0" w:space="0" w:color="auto"/>
            <w:right w:val="none" w:sz="0" w:space="0" w:color="auto"/>
          </w:divBdr>
        </w:div>
        <w:div w:id="379597232">
          <w:marLeft w:val="0"/>
          <w:marRight w:val="0"/>
          <w:marTop w:val="0"/>
          <w:marBottom w:val="0"/>
          <w:divBdr>
            <w:top w:val="none" w:sz="0" w:space="0" w:color="auto"/>
            <w:left w:val="none" w:sz="0" w:space="0" w:color="auto"/>
            <w:bottom w:val="none" w:sz="0" w:space="0" w:color="auto"/>
            <w:right w:val="none" w:sz="0" w:space="0" w:color="auto"/>
          </w:divBdr>
        </w:div>
        <w:div w:id="1038815527">
          <w:marLeft w:val="0"/>
          <w:marRight w:val="0"/>
          <w:marTop w:val="0"/>
          <w:marBottom w:val="0"/>
          <w:divBdr>
            <w:top w:val="none" w:sz="0" w:space="0" w:color="auto"/>
            <w:left w:val="none" w:sz="0" w:space="0" w:color="auto"/>
            <w:bottom w:val="none" w:sz="0" w:space="0" w:color="auto"/>
            <w:right w:val="none" w:sz="0" w:space="0" w:color="auto"/>
          </w:divBdr>
        </w:div>
        <w:div w:id="621690713">
          <w:marLeft w:val="0"/>
          <w:marRight w:val="0"/>
          <w:marTop w:val="0"/>
          <w:marBottom w:val="0"/>
          <w:divBdr>
            <w:top w:val="none" w:sz="0" w:space="0" w:color="auto"/>
            <w:left w:val="none" w:sz="0" w:space="0" w:color="auto"/>
            <w:bottom w:val="none" w:sz="0" w:space="0" w:color="auto"/>
            <w:right w:val="none" w:sz="0" w:space="0" w:color="auto"/>
          </w:divBdr>
        </w:div>
        <w:div w:id="1593513508">
          <w:marLeft w:val="0"/>
          <w:marRight w:val="0"/>
          <w:marTop w:val="0"/>
          <w:marBottom w:val="0"/>
          <w:divBdr>
            <w:top w:val="none" w:sz="0" w:space="0" w:color="auto"/>
            <w:left w:val="none" w:sz="0" w:space="0" w:color="auto"/>
            <w:bottom w:val="none" w:sz="0" w:space="0" w:color="auto"/>
            <w:right w:val="none" w:sz="0" w:space="0" w:color="auto"/>
          </w:divBdr>
        </w:div>
        <w:div w:id="2017734105">
          <w:marLeft w:val="0"/>
          <w:marRight w:val="0"/>
          <w:marTop w:val="0"/>
          <w:marBottom w:val="0"/>
          <w:divBdr>
            <w:top w:val="none" w:sz="0" w:space="0" w:color="auto"/>
            <w:left w:val="none" w:sz="0" w:space="0" w:color="auto"/>
            <w:bottom w:val="none" w:sz="0" w:space="0" w:color="auto"/>
            <w:right w:val="none" w:sz="0" w:space="0" w:color="auto"/>
          </w:divBdr>
        </w:div>
        <w:div w:id="2107312636">
          <w:marLeft w:val="0"/>
          <w:marRight w:val="0"/>
          <w:marTop w:val="0"/>
          <w:marBottom w:val="0"/>
          <w:divBdr>
            <w:top w:val="none" w:sz="0" w:space="0" w:color="auto"/>
            <w:left w:val="none" w:sz="0" w:space="0" w:color="auto"/>
            <w:bottom w:val="none" w:sz="0" w:space="0" w:color="auto"/>
            <w:right w:val="none" w:sz="0" w:space="0" w:color="auto"/>
          </w:divBdr>
        </w:div>
        <w:div w:id="103044651">
          <w:marLeft w:val="0"/>
          <w:marRight w:val="0"/>
          <w:marTop w:val="0"/>
          <w:marBottom w:val="0"/>
          <w:divBdr>
            <w:top w:val="none" w:sz="0" w:space="0" w:color="auto"/>
            <w:left w:val="none" w:sz="0" w:space="0" w:color="auto"/>
            <w:bottom w:val="none" w:sz="0" w:space="0" w:color="auto"/>
            <w:right w:val="none" w:sz="0" w:space="0" w:color="auto"/>
          </w:divBdr>
        </w:div>
        <w:div w:id="1279874588">
          <w:marLeft w:val="0"/>
          <w:marRight w:val="0"/>
          <w:marTop w:val="0"/>
          <w:marBottom w:val="0"/>
          <w:divBdr>
            <w:top w:val="none" w:sz="0" w:space="0" w:color="auto"/>
            <w:left w:val="none" w:sz="0" w:space="0" w:color="auto"/>
            <w:bottom w:val="none" w:sz="0" w:space="0" w:color="auto"/>
            <w:right w:val="none" w:sz="0" w:space="0" w:color="auto"/>
          </w:divBdr>
        </w:div>
        <w:div w:id="145165665">
          <w:marLeft w:val="0"/>
          <w:marRight w:val="0"/>
          <w:marTop w:val="0"/>
          <w:marBottom w:val="0"/>
          <w:divBdr>
            <w:top w:val="none" w:sz="0" w:space="0" w:color="auto"/>
            <w:left w:val="none" w:sz="0" w:space="0" w:color="auto"/>
            <w:bottom w:val="none" w:sz="0" w:space="0" w:color="auto"/>
            <w:right w:val="none" w:sz="0" w:space="0" w:color="auto"/>
          </w:divBdr>
        </w:div>
        <w:div w:id="1020090069">
          <w:marLeft w:val="0"/>
          <w:marRight w:val="0"/>
          <w:marTop w:val="0"/>
          <w:marBottom w:val="0"/>
          <w:divBdr>
            <w:top w:val="none" w:sz="0" w:space="0" w:color="auto"/>
            <w:left w:val="none" w:sz="0" w:space="0" w:color="auto"/>
            <w:bottom w:val="none" w:sz="0" w:space="0" w:color="auto"/>
            <w:right w:val="none" w:sz="0" w:space="0" w:color="auto"/>
          </w:divBdr>
        </w:div>
        <w:div w:id="1133594113">
          <w:marLeft w:val="0"/>
          <w:marRight w:val="0"/>
          <w:marTop w:val="0"/>
          <w:marBottom w:val="0"/>
          <w:divBdr>
            <w:top w:val="none" w:sz="0" w:space="0" w:color="auto"/>
            <w:left w:val="none" w:sz="0" w:space="0" w:color="auto"/>
            <w:bottom w:val="none" w:sz="0" w:space="0" w:color="auto"/>
            <w:right w:val="none" w:sz="0" w:space="0" w:color="auto"/>
          </w:divBdr>
        </w:div>
        <w:div w:id="1066106011">
          <w:marLeft w:val="0"/>
          <w:marRight w:val="0"/>
          <w:marTop w:val="0"/>
          <w:marBottom w:val="0"/>
          <w:divBdr>
            <w:top w:val="none" w:sz="0" w:space="0" w:color="auto"/>
            <w:left w:val="none" w:sz="0" w:space="0" w:color="auto"/>
            <w:bottom w:val="none" w:sz="0" w:space="0" w:color="auto"/>
            <w:right w:val="none" w:sz="0" w:space="0" w:color="auto"/>
          </w:divBdr>
        </w:div>
        <w:div w:id="1849558633">
          <w:marLeft w:val="0"/>
          <w:marRight w:val="0"/>
          <w:marTop w:val="0"/>
          <w:marBottom w:val="0"/>
          <w:divBdr>
            <w:top w:val="none" w:sz="0" w:space="0" w:color="auto"/>
            <w:left w:val="none" w:sz="0" w:space="0" w:color="auto"/>
            <w:bottom w:val="none" w:sz="0" w:space="0" w:color="auto"/>
            <w:right w:val="none" w:sz="0" w:space="0" w:color="auto"/>
          </w:divBdr>
        </w:div>
        <w:div w:id="1818523744">
          <w:marLeft w:val="0"/>
          <w:marRight w:val="0"/>
          <w:marTop w:val="0"/>
          <w:marBottom w:val="0"/>
          <w:divBdr>
            <w:top w:val="none" w:sz="0" w:space="0" w:color="auto"/>
            <w:left w:val="none" w:sz="0" w:space="0" w:color="auto"/>
            <w:bottom w:val="none" w:sz="0" w:space="0" w:color="auto"/>
            <w:right w:val="none" w:sz="0" w:space="0" w:color="auto"/>
          </w:divBdr>
        </w:div>
        <w:div w:id="379861067">
          <w:marLeft w:val="0"/>
          <w:marRight w:val="0"/>
          <w:marTop w:val="0"/>
          <w:marBottom w:val="0"/>
          <w:divBdr>
            <w:top w:val="none" w:sz="0" w:space="0" w:color="auto"/>
            <w:left w:val="none" w:sz="0" w:space="0" w:color="auto"/>
            <w:bottom w:val="none" w:sz="0" w:space="0" w:color="auto"/>
            <w:right w:val="none" w:sz="0" w:space="0" w:color="auto"/>
          </w:divBdr>
        </w:div>
        <w:div w:id="798187168">
          <w:marLeft w:val="0"/>
          <w:marRight w:val="0"/>
          <w:marTop w:val="0"/>
          <w:marBottom w:val="0"/>
          <w:divBdr>
            <w:top w:val="none" w:sz="0" w:space="0" w:color="auto"/>
            <w:left w:val="none" w:sz="0" w:space="0" w:color="auto"/>
            <w:bottom w:val="none" w:sz="0" w:space="0" w:color="auto"/>
            <w:right w:val="none" w:sz="0" w:space="0" w:color="auto"/>
          </w:divBdr>
        </w:div>
        <w:div w:id="957177423">
          <w:marLeft w:val="0"/>
          <w:marRight w:val="0"/>
          <w:marTop w:val="0"/>
          <w:marBottom w:val="0"/>
          <w:divBdr>
            <w:top w:val="none" w:sz="0" w:space="0" w:color="auto"/>
            <w:left w:val="none" w:sz="0" w:space="0" w:color="auto"/>
            <w:bottom w:val="none" w:sz="0" w:space="0" w:color="auto"/>
            <w:right w:val="none" w:sz="0" w:space="0" w:color="auto"/>
          </w:divBdr>
        </w:div>
        <w:div w:id="360133824">
          <w:marLeft w:val="0"/>
          <w:marRight w:val="0"/>
          <w:marTop w:val="0"/>
          <w:marBottom w:val="0"/>
          <w:divBdr>
            <w:top w:val="none" w:sz="0" w:space="0" w:color="auto"/>
            <w:left w:val="none" w:sz="0" w:space="0" w:color="auto"/>
            <w:bottom w:val="none" w:sz="0" w:space="0" w:color="auto"/>
            <w:right w:val="none" w:sz="0" w:space="0" w:color="auto"/>
          </w:divBdr>
        </w:div>
        <w:div w:id="1218201190">
          <w:marLeft w:val="0"/>
          <w:marRight w:val="0"/>
          <w:marTop w:val="0"/>
          <w:marBottom w:val="0"/>
          <w:divBdr>
            <w:top w:val="none" w:sz="0" w:space="0" w:color="auto"/>
            <w:left w:val="none" w:sz="0" w:space="0" w:color="auto"/>
            <w:bottom w:val="none" w:sz="0" w:space="0" w:color="auto"/>
            <w:right w:val="none" w:sz="0" w:space="0" w:color="auto"/>
          </w:divBdr>
        </w:div>
        <w:div w:id="1591280736">
          <w:marLeft w:val="0"/>
          <w:marRight w:val="0"/>
          <w:marTop w:val="0"/>
          <w:marBottom w:val="0"/>
          <w:divBdr>
            <w:top w:val="none" w:sz="0" w:space="0" w:color="auto"/>
            <w:left w:val="none" w:sz="0" w:space="0" w:color="auto"/>
            <w:bottom w:val="none" w:sz="0" w:space="0" w:color="auto"/>
            <w:right w:val="none" w:sz="0" w:space="0" w:color="auto"/>
          </w:divBdr>
        </w:div>
        <w:div w:id="1576429884">
          <w:marLeft w:val="0"/>
          <w:marRight w:val="0"/>
          <w:marTop w:val="0"/>
          <w:marBottom w:val="0"/>
          <w:divBdr>
            <w:top w:val="none" w:sz="0" w:space="0" w:color="auto"/>
            <w:left w:val="none" w:sz="0" w:space="0" w:color="auto"/>
            <w:bottom w:val="none" w:sz="0" w:space="0" w:color="auto"/>
            <w:right w:val="none" w:sz="0" w:space="0" w:color="auto"/>
          </w:divBdr>
        </w:div>
        <w:div w:id="1043098126">
          <w:marLeft w:val="0"/>
          <w:marRight w:val="0"/>
          <w:marTop w:val="0"/>
          <w:marBottom w:val="0"/>
          <w:divBdr>
            <w:top w:val="none" w:sz="0" w:space="0" w:color="auto"/>
            <w:left w:val="none" w:sz="0" w:space="0" w:color="auto"/>
            <w:bottom w:val="none" w:sz="0" w:space="0" w:color="auto"/>
            <w:right w:val="none" w:sz="0" w:space="0" w:color="auto"/>
          </w:divBdr>
        </w:div>
        <w:div w:id="1245988940">
          <w:marLeft w:val="0"/>
          <w:marRight w:val="0"/>
          <w:marTop w:val="0"/>
          <w:marBottom w:val="0"/>
          <w:divBdr>
            <w:top w:val="none" w:sz="0" w:space="0" w:color="auto"/>
            <w:left w:val="none" w:sz="0" w:space="0" w:color="auto"/>
            <w:bottom w:val="none" w:sz="0" w:space="0" w:color="auto"/>
            <w:right w:val="none" w:sz="0" w:space="0" w:color="auto"/>
          </w:divBdr>
        </w:div>
        <w:div w:id="963774260">
          <w:marLeft w:val="0"/>
          <w:marRight w:val="0"/>
          <w:marTop w:val="0"/>
          <w:marBottom w:val="0"/>
          <w:divBdr>
            <w:top w:val="none" w:sz="0" w:space="0" w:color="auto"/>
            <w:left w:val="none" w:sz="0" w:space="0" w:color="auto"/>
            <w:bottom w:val="none" w:sz="0" w:space="0" w:color="auto"/>
            <w:right w:val="none" w:sz="0" w:space="0" w:color="auto"/>
          </w:divBdr>
        </w:div>
        <w:div w:id="1675061275">
          <w:marLeft w:val="0"/>
          <w:marRight w:val="0"/>
          <w:marTop w:val="0"/>
          <w:marBottom w:val="0"/>
          <w:divBdr>
            <w:top w:val="none" w:sz="0" w:space="0" w:color="auto"/>
            <w:left w:val="none" w:sz="0" w:space="0" w:color="auto"/>
            <w:bottom w:val="none" w:sz="0" w:space="0" w:color="auto"/>
            <w:right w:val="none" w:sz="0" w:space="0" w:color="auto"/>
          </w:divBdr>
        </w:div>
        <w:div w:id="1781800025">
          <w:marLeft w:val="0"/>
          <w:marRight w:val="0"/>
          <w:marTop w:val="0"/>
          <w:marBottom w:val="0"/>
          <w:divBdr>
            <w:top w:val="none" w:sz="0" w:space="0" w:color="auto"/>
            <w:left w:val="none" w:sz="0" w:space="0" w:color="auto"/>
            <w:bottom w:val="none" w:sz="0" w:space="0" w:color="auto"/>
            <w:right w:val="none" w:sz="0" w:space="0" w:color="auto"/>
          </w:divBdr>
        </w:div>
        <w:div w:id="503521162">
          <w:marLeft w:val="0"/>
          <w:marRight w:val="0"/>
          <w:marTop w:val="0"/>
          <w:marBottom w:val="0"/>
          <w:divBdr>
            <w:top w:val="none" w:sz="0" w:space="0" w:color="auto"/>
            <w:left w:val="none" w:sz="0" w:space="0" w:color="auto"/>
            <w:bottom w:val="none" w:sz="0" w:space="0" w:color="auto"/>
            <w:right w:val="none" w:sz="0" w:space="0" w:color="auto"/>
          </w:divBdr>
        </w:div>
        <w:div w:id="140118136">
          <w:marLeft w:val="0"/>
          <w:marRight w:val="0"/>
          <w:marTop w:val="0"/>
          <w:marBottom w:val="0"/>
          <w:divBdr>
            <w:top w:val="none" w:sz="0" w:space="0" w:color="auto"/>
            <w:left w:val="none" w:sz="0" w:space="0" w:color="auto"/>
            <w:bottom w:val="none" w:sz="0" w:space="0" w:color="auto"/>
            <w:right w:val="none" w:sz="0" w:space="0" w:color="auto"/>
          </w:divBdr>
        </w:div>
        <w:div w:id="1672180371">
          <w:marLeft w:val="0"/>
          <w:marRight w:val="0"/>
          <w:marTop w:val="0"/>
          <w:marBottom w:val="0"/>
          <w:divBdr>
            <w:top w:val="none" w:sz="0" w:space="0" w:color="auto"/>
            <w:left w:val="none" w:sz="0" w:space="0" w:color="auto"/>
            <w:bottom w:val="none" w:sz="0" w:space="0" w:color="auto"/>
            <w:right w:val="none" w:sz="0" w:space="0" w:color="auto"/>
          </w:divBdr>
        </w:div>
        <w:div w:id="250090184">
          <w:marLeft w:val="0"/>
          <w:marRight w:val="0"/>
          <w:marTop w:val="0"/>
          <w:marBottom w:val="0"/>
          <w:divBdr>
            <w:top w:val="none" w:sz="0" w:space="0" w:color="auto"/>
            <w:left w:val="none" w:sz="0" w:space="0" w:color="auto"/>
            <w:bottom w:val="none" w:sz="0" w:space="0" w:color="auto"/>
            <w:right w:val="none" w:sz="0" w:space="0" w:color="auto"/>
          </w:divBdr>
        </w:div>
        <w:div w:id="329716662">
          <w:marLeft w:val="0"/>
          <w:marRight w:val="0"/>
          <w:marTop w:val="0"/>
          <w:marBottom w:val="0"/>
          <w:divBdr>
            <w:top w:val="none" w:sz="0" w:space="0" w:color="auto"/>
            <w:left w:val="none" w:sz="0" w:space="0" w:color="auto"/>
            <w:bottom w:val="none" w:sz="0" w:space="0" w:color="auto"/>
            <w:right w:val="none" w:sz="0" w:space="0" w:color="auto"/>
          </w:divBdr>
        </w:div>
        <w:div w:id="1181969095">
          <w:marLeft w:val="0"/>
          <w:marRight w:val="0"/>
          <w:marTop w:val="0"/>
          <w:marBottom w:val="0"/>
          <w:divBdr>
            <w:top w:val="none" w:sz="0" w:space="0" w:color="auto"/>
            <w:left w:val="none" w:sz="0" w:space="0" w:color="auto"/>
            <w:bottom w:val="none" w:sz="0" w:space="0" w:color="auto"/>
            <w:right w:val="none" w:sz="0" w:space="0" w:color="auto"/>
          </w:divBdr>
        </w:div>
        <w:div w:id="2008553114">
          <w:marLeft w:val="0"/>
          <w:marRight w:val="0"/>
          <w:marTop w:val="0"/>
          <w:marBottom w:val="0"/>
          <w:divBdr>
            <w:top w:val="none" w:sz="0" w:space="0" w:color="auto"/>
            <w:left w:val="none" w:sz="0" w:space="0" w:color="auto"/>
            <w:bottom w:val="none" w:sz="0" w:space="0" w:color="auto"/>
            <w:right w:val="none" w:sz="0" w:space="0" w:color="auto"/>
          </w:divBdr>
        </w:div>
        <w:div w:id="528034360">
          <w:marLeft w:val="0"/>
          <w:marRight w:val="0"/>
          <w:marTop w:val="0"/>
          <w:marBottom w:val="0"/>
          <w:divBdr>
            <w:top w:val="none" w:sz="0" w:space="0" w:color="auto"/>
            <w:left w:val="none" w:sz="0" w:space="0" w:color="auto"/>
            <w:bottom w:val="none" w:sz="0" w:space="0" w:color="auto"/>
            <w:right w:val="none" w:sz="0" w:space="0" w:color="auto"/>
          </w:divBdr>
        </w:div>
        <w:div w:id="685013702">
          <w:marLeft w:val="0"/>
          <w:marRight w:val="0"/>
          <w:marTop w:val="0"/>
          <w:marBottom w:val="0"/>
          <w:divBdr>
            <w:top w:val="none" w:sz="0" w:space="0" w:color="auto"/>
            <w:left w:val="none" w:sz="0" w:space="0" w:color="auto"/>
            <w:bottom w:val="none" w:sz="0" w:space="0" w:color="auto"/>
            <w:right w:val="none" w:sz="0" w:space="0" w:color="auto"/>
          </w:divBdr>
        </w:div>
        <w:div w:id="776750938">
          <w:marLeft w:val="0"/>
          <w:marRight w:val="0"/>
          <w:marTop w:val="0"/>
          <w:marBottom w:val="0"/>
          <w:divBdr>
            <w:top w:val="none" w:sz="0" w:space="0" w:color="auto"/>
            <w:left w:val="none" w:sz="0" w:space="0" w:color="auto"/>
            <w:bottom w:val="none" w:sz="0" w:space="0" w:color="auto"/>
            <w:right w:val="none" w:sz="0" w:space="0" w:color="auto"/>
          </w:divBdr>
        </w:div>
        <w:div w:id="1505900403">
          <w:marLeft w:val="0"/>
          <w:marRight w:val="0"/>
          <w:marTop w:val="0"/>
          <w:marBottom w:val="0"/>
          <w:divBdr>
            <w:top w:val="none" w:sz="0" w:space="0" w:color="auto"/>
            <w:left w:val="none" w:sz="0" w:space="0" w:color="auto"/>
            <w:bottom w:val="none" w:sz="0" w:space="0" w:color="auto"/>
            <w:right w:val="none" w:sz="0" w:space="0" w:color="auto"/>
          </w:divBdr>
        </w:div>
        <w:div w:id="1129595229">
          <w:marLeft w:val="0"/>
          <w:marRight w:val="0"/>
          <w:marTop w:val="0"/>
          <w:marBottom w:val="0"/>
          <w:divBdr>
            <w:top w:val="none" w:sz="0" w:space="0" w:color="auto"/>
            <w:left w:val="none" w:sz="0" w:space="0" w:color="auto"/>
            <w:bottom w:val="none" w:sz="0" w:space="0" w:color="auto"/>
            <w:right w:val="none" w:sz="0" w:space="0" w:color="auto"/>
          </w:divBdr>
        </w:div>
        <w:div w:id="396175380">
          <w:marLeft w:val="0"/>
          <w:marRight w:val="0"/>
          <w:marTop w:val="0"/>
          <w:marBottom w:val="0"/>
          <w:divBdr>
            <w:top w:val="none" w:sz="0" w:space="0" w:color="auto"/>
            <w:left w:val="none" w:sz="0" w:space="0" w:color="auto"/>
            <w:bottom w:val="none" w:sz="0" w:space="0" w:color="auto"/>
            <w:right w:val="none" w:sz="0" w:space="0" w:color="auto"/>
          </w:divBdr>
        </w:div>
        <w:div w:id="647900681">
          <w:marLeft w:val="0"/>
          <w:marRight w:val="0"/>
          <w:marTop w:val="0"/>
          <w:marBottom w:val="0"/>
          <w:divBdr>
            <w:top w:val="none" w:sz="0" w:space="0" w:color="auto"/>
            <w:left w:val="none" w:sz="0" w:space="0" w:color="auto"/>
            <w:bottom w:val="none" w:sz="0" w:space="0" w:color="auto"/>
            <w:right w:val="none" w:sz="0" w:space="0" w:color="auto"/>
          </w:divBdr>
        </w:div>
        <w:div w:id="939022995">
          <w:marLeft w:val="0"/>
          <w:marRight w:val="0"/>
          <w:marTop w:val="0"/>
          <w:marBottom w:val="0"/>
          <w:divBdr>
            <w:top w:val="none" w:sz="0" w:space="0" w:color="auto"/>
            <w:left w:val="none" w:sz="0" w:space="0" w:color="auto"/>
            <w:bottom w:val="none" w:sz="0" w:space="0" w:color="auto"/>
            <w:right w:val="none" w:sz="0" w:space="0" w:color="auto"/>
          </w:divBdr>
        </w:div>
        <w:div w:id="1848712557">
          <w:marLeft w:val="0"/>
          <w:marRight w:val="0"/>
          <w:marTop w:val="0"/>
          <w:marBottom w:val="0"/>
          <w:divBdr>
            <w:top w:val="none" w:sz="0" w:space="0" w:color="auto"/>
            <w:left w:val="none" w:sz="0" w:space="0" w:color="auto"/>
            <w:bottom w:val="none" w:sz="0" w:space="0" w:color="auto"/>
            <w:right w:val="none" w:sz="0" w:space="0" w:color="auto"/>
          </w:divBdr>
        </w:div>
        <w:div w:id="1583566191">
          <w:marLeft w:val="0"/>
          <w:marRight w:val="0"/>
          <w:marTop w:val="0"/>
          <w:marBottom w:val="0"/>
          <w:divBdr>
            <w:top w:val="none" w:sz="0" w:space="0" w:color="auto"/>
            <w:left w:val="none" w:sz="0" w:space="0" w:color="auto"/>
            <w:bottom w:val="none" w:sz="0" w:space="0" w:color="auto"/>
            <w:right w:val="none" w:sz="0" w:space="0" w:color="auto"/>
          </w:divBdr>
        </w:div>
        <w:div w:id="999625824">
          <w:marLeft w:val="0"/>
          <w:marRight w:val="0"/>
          <w:marTop w:val="0"/>
          <w:marBottom w:val="0"/>
          <w:divBdr>
            <w:top w:val="none" w:sz="0" w:space="0" w:color="auto"/>
            <w:left w:val="none" w:sz="0" w:space="0" w:color="auto"/>
            <w:bottom w:val="none" w:sz="0" w:space="0" w:color="auto"/>
            <w:right w:val="none" w:sz="0" w:space="0" w:color="auto"/>
          </w:divBdr>
        </w:div>
        <w:div w:id="734623436">
          <w:marLeft w:val="0"/>
          <w:marRight w:val="0"/>
          <w:marTop w:val="0"/>
          <w:marBottom w:val="0"/>
          <w:divBdr>
            <w:top w:val="none" w:sz="0" w:space="0" w:color="auto"/>
            <w:left w:val="none" w:sz="0" w:space="0" w:color="auto"/>
            <w:bottom w:val="none" w:sz="0" w:space="0" w:color="auto"/>
            <w:right w:val="none" w:sz="0" w:space="0" w:color="auto"/>
          </w:divBdr>
        </w:div>
        <w:div w:id="165942104">
          <w:marLeft w:val="0"/>
          <w:marRight w:val="0"/>
          <w:marTop w:val="0"/>
          <w:marBottom w:val="0"/>
          <w:divBdr>
            <w:top w:val="none" w:sz="0" w:space="0" w:color="auto"/>
            <w:left w:val="none" w:sz="0" w:space="0" w:color="auto"/>
            <w:bottom w:val="none" w:sz="0" w:space="0" w:color="auto"/>
            <w:right w:val="none" w:sz="0" w:space="0" w:color="auto"/>
          </w:divBdr>
        </w:div>
        <w:div w:id="633756602">
          <w:marLeft w:val="0"/>
          <w:marRight w:val="0"/>
          <w:marTop w:val="0"/>
          <w:marBottom w:val="0"/>
          <w:divBdr>
            <w:top w:val="none" w:sz="0" w:space="0" w:color="auto"/>
            <w:left w:val="none" w:sz="0" w:space="0" w:color="auto"/>
            <w:bottom w:val="none" w:sz="0" w:space="0" w:color="auto"/>
            <w:right w:val="none" w:sz="0" w:space="0" w:color="auto"/>
          </w:divBdr>
        </w:div>
        <w:div w:id="563565519">
          <w:marLeft w:val="0"/>
          <w:marRight w:val="0"/>
          <w:marTop w:val="0"/>
          <w:marBottom w:val="0"/>
          <w:divBdr>
            <w:top w:val="none" w:sz="0" w:space="0" w:color="auto"/>
            <w:left w:val="none" w:sz="0" w:space="0" w:color="auto"/>
            <w:bottom w:val="none" w:sz="0" w:space="0" w:color="auto"/>
            <w:right w:val="none" w:sz="0" w:space="0" w:color="auto"/>
          </w:divBdr>
        </w:div>
        <w:div w:id="1240557142">
          <w:marLeft w:val="0"/>
          <w:marRight w:val="0"/>
          <w:marTop w:val="0"/>
          <w:marBottom w:val="0"/>
          <w:divBdr>
            <w:top w:val="none" w:sz="0" w:space="0" w:color="auto"/>
            <w:left w:val="none" w:sz="0" w:space="0" w:color="auto"/>
            <w:bottom w:val="none" w:sz="0" w:space="0" w:color="auto"/>
            <w:right w:val="none" w:sz="0" w:space="0" w:color="auto"/>
          </w:divBdr>
        </w:div>
        <w:div w:id="653071091">
          <w:marLeft w:val="0"/>
          <w:marRight w:val="0"/>
          <w:marTop w:val="0"/>
          <w:marBottom w:val="0"/>
          <w:divBdr>
            <w:top w:val="none" w:sz="0" w:space="0" w:color="auto"/>
            <w:left w:val="none" w:sz="0" w:space="0" w:color="auto"/>
            <w:bottom w:val="none" w:sz="0" w:space="0" w:color="auto"/>
            <w:right w:val="none" w:sz="0" w:space="0" w:color="auto"/>
          </w:divBdr>
        </w:div>
        <w:div w:id="225722219">
          <w:marLeft w:val="0"/>
          <w:marRight w:val="0"/>
          <w:marTop w:val="0"/>
          <w:marBottom w:val="0"/>
          <w:divBdr>
            <w:top w:val="none" w:sz="0" w:space="0" w:color="auto"/>
            <w:left w:val="none" w:sz="0" w:space="0" w:color="auto"/>
            <w:bottom w:val="none" w:sz="0" w:space="0" w:color="auto"/>
            <w:right w:val="none" w:sz="0" w:space="0" w:color="auto"/>
          </w:divBdr>
        </w:div>
        <w:div w:id="309486205">
          <w:marLeft w:val="0"/>
          <w:marRight w:val="0"/>
          <w:marTop w:val="0"/>
          <w:marBottom w:val="0"/>
          <w:divBdr>
            <w:top w:val="none" w:sz="0" w:space="0" w:color="auto"/>
            <w:left w:val="none" w:sz="0" w:space="0" w:color="auto"/>
            <w:bottom w:val="none" w:sz="0" w:space="0" w:color="auto"/>
            <w:right w:val="none" w:sz="0" w:space="0" w:color="auto"/>
          </w:divBdr>
        </w:div>
        <w:div w:id="61684163">
          <w:marLeft w:val="0"/>
          <w:marRight w:val="0"/>
          <w:marTop w:val="0"/>
          <w:marBottom w:val="0"/>
          <w:divBdr>
            <w:top w:val="none" w:sz="0" w:space="0" w:color="auto"/>
            <w:left w:val="none" w:sz="0" w:space="0" w:color="auto"/>
            <w:bottom w:val="none" w:sz="0" w:space="0" w:color="auto"/>
            <w:right w:val="none" w:sz="0" w:space="0" w:color="auto"/>
          </w:divBdr>
        </w:div>
        <w:div w:id="379745779">
          <w:marLeft w:val="0"/>
          <w:marRight w:val="0"/>
          <w:marTop w:val="0"/>
          <w:marBottom w:val="0"/>
          <w:divBdr>
            <w:top w:val="none" w:sz="0" w:space="0" w:color="auto"/>
            <w:left w:val="none" w:sz="0" w:space="0" w:color="auto"/>
            <w:bottom w:val="none" w:sz="0" w:space="0" w:color="auto"/>
            <w:right w:val="none" w:sz="0" w:space="0" w:color="auto"/>
          </w:divBdr>
        </w:div>
        <w:div w:id="392193413">
          <w:marLeft w:val="0"/>
          <w:marRight w:val="0"/>
          <w:marTop w:val="0"/>
          <w:marBottom w:val="0"/>
          <w:divBdr>
            <w:top w:val="none" w:sz="0" w:space="0" w:color="auto"/>
            <w:left w:val="none" w:sz="0" w:space="0" w:color="auto"/>
            <w:bottom w:val="none" w:sz="0" w:space="0" w:color="auto"/>
            <w:right w:val="none" w:sz="0" w:space="0" w:color="auto"/>
          </w:divBdr>
        </w:div>
        <w:div w:id="1254435223">
          <w:marLeft w:val="0"/>
          <w:marRight w:val="0"/>
          <w:marTop w:val="0"/>
          <w:marBottom w:val="0"/>
          <w:divBdr>
            <w:top w:val="none" w:sz="0" w:space="0" w:color="auto"/>
            <w:left w:val="none" w:sz="0" w:space="0" w:color="auto"/>
            <w:bottom w:val="none" w:sz="0" w:space="0" w:color="auto"/>
            <w:right w:val="none" w:sz="0" w:space="0" w:color="auto"/>
          </w:divBdr>
        </w:div>
        <w:div w:id="410615321">
          <w:marLeft w:val="0"/>
          <w:marRight w:val="0"/>
          <w:marTop w:val="0"/>
          <w:marBottom w:val="0"/>
          <w:divBdr>
            <w:top w:val="none" w:sz="0" w:space="0" w:color="auto"/>
            <w:left w:val="none" w:sz="0" w:space="0" w:color="auto"/>
            <w:bottom w:val="none" w:sz="0" w:space="0" w:color="auto"/>
            <w:right w:val="none" w:sz="0" w:space="0" w:color="auto"/>
          </w:divBdr>
        </w:div>
        <w:div w:id="1023481703">
          <w:marLeft w:val="0"/>
          <w:marRight w:val="0"/>
          <w:marTop w:val="0"/>
          <w:marBottom w:val="0"/>
          <w:divBdr>
            <w:top w:val="none" w:sz="0" w:space="0" w:color="auto"/>
            <w:left w:val="none" w:sz="0" w:space="0" w:color="auto"/>
            <w:bottom w:val="none" w:sz="0" w:space="0" w:color="auto"/>
            <w:right w:val="none" w:sz="0" w:space="0" w:color="auto"/>
          </w:divBdr>
        </w:div>
        <w:div w:id="1465807102">
          <w:marLeft w:val="0"/>
          <w:marRight w:val="0"/>
          <w:marTop w:val="0"/>
          <w:marBottom w:val="0"/>
          <w:divBdr>
            <w:top w:val="none" w:sz="0" w:space="0" w:color="auto"/>
            <w:left w:val="none" w:sz="0" w:space="0" w:color="auto"/>
            <w:bottom w:val="none" w:sz="0" w:space="0" w:color="auto"/>
            <w:right w:val="none" w:sz="0" w:space="0" w:color="auto"/>
          </w:divBdr>
        </w:div>
        <w:div w:id="1806003382">
          <w:marLeft w:val="0"/>
          <w:marRight w:val="0"/>
          <w:marTop w:val="0"/>
          <w:marBottom w:val="0"/>
          <w:divBdr>
            <w:top w:val="none" w:sz="0" w:space="0" w:color="auto"/>
            <w:left w:val="none" w:sz="0" w:space="0" w:color="auto"/>
            <w:bottom w:val="none" w:sz="0" w:space="0" w:color="auto"/>
            <w:right w:val="none" w:sz="0" w:space="0" w:color="auto"/>
          </w:divBdr>
        </w:div>
        <w:div w:id="635768295">
          <w:marLeft w:val="0"/>
          <w:marRight w:val="0"/>
          <w:marTop w:val="0"/>
          <w:marBottom w:val="0"/>
          <w:divBdr>
            <w:top w:val="none" w:sz="0" w:space="0" w:color="auto"/>
            <w:left w:val="none" w:sz="0" w:space="0" w:color="auto"/>
            <w:bottom w:val="none" w:sz="0" w:space="0" w:color="auto"/>
            <w:right w:val="none" w:sz="0" w:space="0" w:color="auto"/>
          </w:divBdr>
        </w:div>
        <w:div w:id="1622686360">
          <w:marLeft w:val="0"/>
          <w:marRight w:val="0"/>
          <w:marTop w:val="0"/>
          <w:marBottom w:val="0"/>
          <w:divBdr>
            <w:top w:val="none" w:sz="0" w:space="0" w:color="auto"/>
            <w:left w:val="none" w:sz="0" w:space="0" w:color="auto"/>
            <w:bottom w:val="none" w:sz="0" w:space="0" w:color="auto"/>
            <w:right w:val="none" w:sz="0" w:space="0" w:color="auto"/>
          </w:divBdr>
        </w:div>
        <w:div w:id="1771781777">
          <w:marLeft w:val="0"/>
          <w:marRight w:val="0"/>
          <w:marTop w:val="0"/>
          <w:marBottom w:val="0"/>
          <w:divBdr>
            <w:top w:val="none" w:sz="0" w:space="0" w:color="auto"/>
            <w:left w:val="none" w:sz="0" w:space="0" w:color="auto"/>
            <w:bottom w:val="none" w:sz="0" w:space="0" w:color="auto"/>
            <w:right w:val="none" w:sz="0" w:space="0" w:color="auto"/>
          </w:divBdr>
        </w:div>
        <w:div w:id="1787503878">
          <w:marLeft w:val="0"/>
          <w:marRight w:val="0"/>
          <w:marTop w:val="0"/>
          <w:marBottom w:val="0"/>
          <w:divBdr>
            <w:top w:val="none" w:sz="0" w:space="0" w:color="auto"/>
            <w:left w:val="none" w:sz="0" w:space="0" w:color="auto"/>
            <w:bottom w:val="none" w:sz="0" w:space="0" w:color="auto"/>
            <w:right w:val="none" w:sz="0" w:space="0" w:color="auto"/>
          </w:divBdr>
        </w:div>
        <w:div w:id="2059014711">
          <w:marLeft w:val="0"/>
          <w:marRight w:val="0"/>
          <w:marTop w:val="0"/>
          <w:marBottom w:val="0"/>
          <w:divBdr>
            <w:top w:val="none" w:sz="0" w:space="0" w:color="auto"/>
            <w:left w:val="none" w:sz="0" w:space="0" w:color="auto"/>
            <w:bottom w:val="none" w:sz="0" w:space="0" w:color="auto"/>
            <w:right w:val="none" w:sz="0" w:space="0" w:color="auto"/>
          </w:divBdr>
        </w:div>
        <w:div w:id="1543667159">
          <w:marLeft w:val="0"/>
          <w:marRight w:val="0"/>
          <w:marTop w:val="0"/>
          <w:marBottom w:val="0"/>
          <w:divBdr>
            <w:top w:val="none" w:sz="0" w:space="0" w:color="auto"/>
            <w:left w:val="none" w:sz="0" w:space="0" w:color="auto"/>
            <w:bottom w:val="none" w:sz="0" w:space="0" w:color="auto"/>
            <w:right w:val="none" w:sz="0" w:space="0" w:color="auto"/>
          </w:divBdr>
        </w:div>
        <w:div w:id="1047871799">
          <w:marLeft w:val="0"/>
          <w:marRight w:val="0"/>
          <w:marTop w:val="0"/>
          <w:marBottom w:val="0"/>
          <w:divBdr>
            <w:top w:val="none" w:sz="0" w:space="0" w:color="auto"/>
            <w:left w:val="none" w:sz="0" w:space="0" w:color="auto"/>
            <w:bottom w:val="none" w:sz="0" w:space="0" w:color="auto"/>
            <w:right w:val="none" w:sz="0" w:space="0" w:color="auto"/>
          </w:divBdr>
        </w:div>
        <w:div w:id="1779057897">
          <w:marLeft w:val="0"/>
          <w:marRight w:val="0"/>
          <w:marTop w:val="0"/>
          <w:marBottom w:val="0"/>
          <w:divBdr>
            <w:top w:val="none" w:sz="0" w:space="0" w:color="auto"/>
            <w:left w:val="none" w:sz="0" w:space="0" w:color="auto"/>
            <w:bottom w:val="none" w:sz="0" w:space="0" w:color="auto"/>
            <w:right w:val="none" w:sz="0" w:space="0" w:color="auto"/>
          </w:divBdr>
        </w:div>
        <w:div w:id="1279146571">
          <w:marLeft w:val="0"/>
          <w:marRight w:val="0"/>
          <w:marTop w:val="0"/>
          <w:marBottom w:val="0"/>
          <w:divBdr>
            <w:top w:val="none" w:sz="0" w:space="0" w:color="auto"/>
            <w:left w:val="none" w:sz="0" w:space="0" w:color="auto"/>
            <w:bottom w:val="none" w:sz="0" w:space="0" w:color="auto"/>
            <w:right w:val="none" w:sz="0" w:space="0" w:color="auto"/>
          </w:divBdr>
        </w:div>
        <w:div w:id="1564682195">
          <w:marLeft w:val="0"/>
          <w:marRight w:val="0"/>
          <w:marTop w:val="0"/>
          <w:marBottom w:val="0"/>
          <w:divBdr>
            <w:top w:val="none" w:sz="0" w:space="0" w:color="auto"/>
            <w:left w:val="none" w:sz="0" w:space="0" w:color="auto"/>
            <w:bottom w:val="none" w:sz="0" w:space="0" w:color="auto"/>
            <w:right w:val="none" w:sz="0" w:space="0" w:color="auto"/>
          </w:divBdr>
        </w:div>
        <w:div w:id="1721787659">
          <w:marLeft w:val="0"/>
          <w:marRight w:val="0"/>
          <w:marTop w:val="0"/>
          <w:marBottom w:val="0"/>
          <w:divBdr>
            <w:top w:val="none" w:sz="0" w:space="0" w:color="auto"/>
            <w:left w:val="none" w:sz="0" w:space="0" w:color="auto"/>
            <w:bottom w:val="none" w:sz="0" w:space="0" w:color="auto"/>
            <w:right w:val="none" w:sz="0" w:space="0" w:color="auto"/>
          </w:divBdr>
        </w:div>
        <w:div w:id="142233600">
          <w:marLeft w:val="0"/>
          <w:marRight w:val="0"/>
          <w:marTop w:val="0"/>
          <w:marBottom w:val="0"/>
          <w:divBdr>
            <w:top w:val="none" w:sz="0" w:space="0" w:color="auto"/>
            <w:left w:val="none" w:sz="0" w:space="0" w:color="auto"/>
            <w:bottom w:val="none" w:sz="0" w:space="0" w:color="auto"/>
            <w:right w:val="none" w:sz="0" w:space="0" w:color="auto"/>
          </w:divBdr>
        </w:div>
        <w:div w:id="1117680211">
          <w:marLeft w:val="0"/>
          <w:marRight w:val="0"/>
          <w:marTop w:val="0"/>
          <w:marBottom w:val="0"/>
          <w:divBdr>
            <w:top w:val="none" w:sz="0" w:space="0" w:color="auto"/>
            <w:left w:val="none" w:sz="0" w:space="0" w:color="auto"/>
            <w:bottom w:val="none" w:sz="0" w:space="0" w:color="auto"/>
            <w:right w:val="none" w:sz="0" w:space="0" w:color="auto"/>
          </w:divBdr>
        </w:div>
        <w:div w:id="2065519715">
          <w:marLeft w:val="0"/>
          <w:marRight w:val="0"/>
          <w:marTop w:val="0"/>
          <w:marBottom w:val="0"/>
          <w:divBdr>
            <w:top w:val="none" w:sz="0" w:space="0" w:color="auto"/>
            <w:left w:val="none" w:sz="0" w:space="0" w:color="auto"/>
            <w:bottom w:val="none" w:sz="0" w:space="0" w:color="auto"/>
            <w:right w:val="none" w:sz="0" w:space="0" w:color="auto"/>
          </w:divBdr>
        </w:div>
        <w:div w:id="19286675">
          <w:marLeft w:val="0"/>
          <w:marRight w:val="0"/>
          <w:marTop w:val="0"/>
          <w:marBottom w:val="0"/>
          <w:divBdr>
            <w:top w:val="none" w:sz="0" w:space="0" w:color="auto"/>
            <w:left w:val="none" w:sz="0" w:space="0" w:color="auto"/>
            <w:bottom w:val="none" w:sz="0" w:space="0" w:color="auto"/>
            <w:right w:val="none" w:sz="0" w:space="0" w:color="auto"/>
          </w:divBdr>
        </w:div>
        <w:div w:id="202988249">
          <w:marLeft w:val="0"/>
          <w:marRight w:val="0"/>
          <w:marTop w:val="0"/>
          <w:marBottom w:val="0"/>
          <w:divBdr>
            <w:top w:val="none" w:sz="0" w:space="0" w:color="auto"/>
            <w:left w:val="none" w:sz="0" w:space="0" w:color="auto"/>
            <w:bottom w:val="none" w:sz="0" w:space="0" w:color="auto"/>
            <w:right w:val="none" w:sz="0" w:space="0" w:color="auto"/>
          </w:divBdr>
        </w:div>
        <w:div w:id="1362782603">
          <w:marLeft w:val="0"/>
          <w:marRight w:val="0"/>
          <w:marTop w:val="0"/>
          <w:marBottom w:val="0"/>
          <w:divBdr>
            <w:top w:val="none" w:sz="0" w:space="0" w:color="auto"/>
            <w:left w:val="none" w:sz="0" w:space="0" w:color="auto"/>
            <w:bottom w:val="none" w:sz="0" w:space="0" w:color="auto"/>
            <w:right w:val="none" w:sz="0" w:space="0" w:color="auto"/>
          </w:divBdr>
        </w:div>
        <w:div w:id="522670332">
          <w:marLeft w:val="0"/>
          <w:marRight w:val="0"/>
          <w:marTop w:val="0"/>
          <w:marBottom w:val="0"/>
          <w:divBdr>
            <w:top w:val="none" w:sz="0" w:space="0" w:color="auto"/>
            <w:left w:val="none" w:sz="0" w:space="0" w:color="auto"/>
            <w:bottom w:val="none" w:sz="0" w:space="0" w:color="auto"/>
            <w:right w:val="none" w:sz="0" w:space="0" w:color="auto"/>
          </w:divBdr>
        </w:div>
        <w:div w:id="1827428355">
          <w:marLeft w:val="0"/>
          <w:marRight w:val="0"/>
          <w:marTop w:val="0"/>
          <w:marBottom w:val="0"/>
          <w:divBdr>
            <w:top w:val="none" w:sz="0" w:space="0" w:color="auto"/>
            <w:left w:val="none" w:sz="0" w:space="0" w:color="auto"/>
            <w:bottom w:val="none" w:sz="0" w:space="0" w:color="auto"/>
            <w:right w:val="none" w:sz="0" w:space="0" w:color="auto"/>
          </w:divBdr>
        </w:div>
        <w:div w:id="9721285">
          <w:marLeft w:val="0"/>
          <w:marRight w:val="0"/>
          <w:marTop w:val="0"/>
          <w:marBottom w:val="0"/>
          <w:divBdr>
            <w:top w:val="none" w:sz="0" w:space="0" w:color="auto"/>
            <w:left w:val="none" w:sz="0" w:space="0" w:color="auto"/>
            <w:bottom w:val="none" w:sz="0" w:space="0" w:color="auto"/>
            <w:right w:val="none" w:sz="0" w:space="0" w:color="auto"/>
          </w:divBdr>
        </w:div>
        <w:div w:id="2076388638">
          <w:marLeft w:val="0"/>
          <w:marRight w:val="0"/>
          <w:marTop w:val="0"/>
          <w:marBottom w:val="0"/>
          <w:divBdr>
            <w:top w:val="none" w:sz="0" w:space="0" w:color="auto"/>
            <w:left w:val="none" w:sz="0" w:space="0" w:color="auto"/>
            <w:bottom w:val="none" w:sz="0" w:space="0" w:color="auto"/>
            <w:right w:val="none" w:sz="0" w:space="0" w:color="auto"/>
          </w:divBdr>
        </w:div>
        <w:div w:id="1783571305">
          <w:marLeft w:val="0"/>
          <w:marRight w:val="0"/>
          <w:marTop w:val="0"/>
          <w:marBottom w:val="0"/>
          <w:divBdr>
            <w:top w:val="none" w:sz="0" w:space="0" w:color="auto"/>
            <w:left w:val="none" w:sz="0" w:space="0" w:color="auto"/>
            <w:bottom w:val="none" w:sz="0" w:space="0" w:color="auto"/>
            <w:right w:val="none" w:sz="0" w:space="0" w:color="auto"/>
          </w:divBdr>
        </w:div>
        <w:div w:id="315500251">
          <w:marLeft w:val="0"/>
          <w:marRight w:val="0"/>
          <w:marTop w:val="0"/>
          <w:marBottom w:val="0"/>
          <w:divBdr>
            <w:top w:val="none" w:sz="0" w:space="0" w:color="auto"/>
            <w:left w:val="none" w:sz="0" w:space="0" w:color="auto"/>
            <w:bottom w:val="none" w:sz="0" w:space="0" w:color="auto"/>
            <w:right w:val="none" w:sz="0" w:space="0" w:color="auto"/>
          </w:divBdr>
        </w:div>
        <w:div w:id="896474980">
          <w:marLeft w:val="0"/>
          <w:marRight w:val="0"/>
          <w:marTop w:val="0"/>
          <w:marBottom w:val="0"/>
          <w:divBdr>
            <w:top w:val="none" w:sz="0" w:space="0" w:color="auto"/>
            <w:left w:val="none" w:sz="0" w:space="0" w:color="auto"/>
            <w:bottom w:val="none" w:sz="0" w:space="0" w:color="auto"/>
            <w:right w:val="none" w:sz="0" w:space="0" w:color="auto"/>
          </w:divBdr>
        </w:div>
        <w:div w:id="1079517183">
          <w:marLeft w:val="0"/>
          <w:marRight w:val="0"/>
          <w:marTop w:val="0"/>
          <w:marBottom w:val="0"/>
          <w:divBdr>
            <w:top w:val="none" w:sz="0" w:space="0" w:color="auto"/>
            <w:left w:val="none" w:sz="0" w:space="0" w:color="auto"/>
            <w:bottom w:val="none" w:sz="0" w:space="0" w:color="auto"/>
            <w:right w:val="none" w:sz="0" w:space="0" w:color="auto"/>
          </w:divBdr>
        </w:div>
        <w:div w:id="2126344769">
          <w:marLeft w:val="0"/>
          <w:marRight w:val="0"/>
          <w:marTop w:val="0"/>
          <w:marBottom w:val="0"/>
          <w:divBdr>
            <w:top w:val="none" w:sz="0" w:space="0" w:color="auto"/>
            <w:left w:val="none" w:sz="0" w:space="0" w:color="auto"/>
            <w:bottom w:val="none" w:sz="0" w:space="0" w:color="auto"/>
            <w:right w:val="none" w:sz="0" w:space="0" w:color="auto"/>
          </w:divBdr>
        </w:div>
        <w:div w:id="1064763932">
          <w:marLeft w:val="0"/>
          <w:marRight w:val="0"/>
          <w:marTop w:val="0"/>
          <w:marBottom w:val="0"/>
          <w:divBdr>
            <w:top w:val="none" w:sz="0" w:space="0" w:color="auto"/>
            <w:left w:val="none" w:sz="0" w:space="0" w:color="auto"/>
            <w:bottom w:val="none" w:sz="0" w:space="0" w:color="auto"/>
            <w:right w:val="none" w:sz="0" w:space="0" w:color="auto"/>
          </w:divBdr>
        </w:div>
        <w:div w:id="2008971367">
          <w:marLeft w:val="0"/>
          <w:marRight w:val="0"/>
          <w:marTop w:val="0"/>
          <w:marBottom w:val="0"/>
          <w:divBdr>
            <w:top w:val="none" w:sz="0" w:space="0" w:color="auto"/>
            <w:left w:val="none" w:sz="0" w:space="0" w:color="auto"/>
            <w:bottom w:val="none" w:sz="0" w:space="0" w:color="auto"/>
            <w:right w:val="none" w:sz="0" w:space="0" w:color="auto"/>
          </w:divBdr>
        </w:div>
        <w:div w:id="898706515">
          <w:marLeft w:val="0"/>
          <w:marRight w:val="0"/>
          <w:marTop w:val="0"/>
          <w:marBottom w:val="0"/>
          <w:divBdr>
            <w:top w:val="none" w:sz="0" w:space="0" w:color="auto"/>
            <w:left w:val="none" w:sz="0" w:space="0" w:color="auto"/>
            <w:bottom w:val="none" w:sz="0" w:space="0" w:color="auto"/>
            <w:right w:val="none" w:sz="0" w:space="0" w:color="auto"/>
          </w:divBdr>
        </w:div>
        <w:div w:id="281961197">
          <w:marLeft w:val="0"/>
          <w:marRight w:val="0"/>
          <w:marTop w:val="0"/>
          <w:marBottom w:val="0"/>
          <w:divBdr>
            <w:top w:val="none" w:sz="0" w:space="0" w:color="auto"/>
            <w:left w:val="none" w:sz="0" w:space="0" w:color="auto"/>
            <w:bottom w:val="none" w:sz="0" w:space="0" w:color="auto"/>
            <w:right w:val="none" w:sz="0" w:space="0" w:color="auto"/>
          </w:divBdr>
        </w:div>
        <w:div w:id="1032654072">
          <w:marLeft w:val="0"/>
          <w:marRight w:val="0"/>
          <w:marTop w:val="0"/>
          <w:marBottom w:val="0"/>
          <w:divBdr>
            <w:top w:val="none" w:sz="0" w:space="0" w:color="auto"/>
            <w:left w:val="none" w:sz="0" w:space="0" w:color="auto"/>
            <w:bottom w:val="none" w:sz="0" w:space="0" w:color="auto"/>
            <w:right w:val="none" w:sz="0" w:space="0" w:color="auto"/>
          </w:divBdr>
        </w:div>
        <w:div w:id="237641453">
          <w:marLeft w:val="0"/>
          <w:marRight w:val="0"/>
          <w:marTop w:val="0"/>
          <w:marBottom w:val="0"/>
          <w:divBdr>
            <w:top w:val="none" w:sz="0" w:space="0" w:color="auto"/>
            <w:left w:val="none" w:sz="0" w:space="0" w:color="auto"/>
            <w:bottom w:val="none" w:sz="0" w:space="0" w:color="auto"/>
            <w:right w:val="none" w:sz="0" w:space="0" w:color="auto"/>
          </w:divBdr>
        </w:div>
      </w:divsChild>
    </w:div>
    <w:div w:id="1783307314">
      <w:bodyDiv w:val="1"/>
      <w:marLeft w:val="0"/>
      <w:marRight w:val="0"/>
      <w:marTop w:val="0"/>
      <w:marBottom w:val="0"/>
      <w:divBdr>
        <w:top w:val="none" w:sz="0" w:space="0" w:color="auto"/>
        <w:left w:val="none" w:sz="0" w:space="0" w:color="auto"/>
        <w:bottom w:val="none" w:sz="0" w:space="0" w:color="auto"/>
        <w:right w:val="none" w:sz="0" w:space="0" w:color="auto"/>
      </w:divBdr>
    </w:div>
    <w:div w:id="1926651505">
      <w:bodyDiv w:val="1"/>
      <w:marLeft w:val="0"/>
      <w:marRight w:val="0"/>
      <w:marTop w:val="0"/>
      <w:marBottom w:val="0"/>
      <w:divBdr>
        <w:top w:val="none" w:sz="0" w:space="0" w:color="auto"/>
        <w:left w:val="none" w:sz="0" w:space="0" w:color="auto"/>
        <w:bottom w:val="none" w:sz="0" w:space="0" w:color="auto"/>
        <w:right w:val="none" w:sz="0" w:space="0" w:color="auto"/>
      </w:divBdr>
    </w:div>
    <w:div w:id="1940990613">
      <w:bodyDiv w:val="1"/>
      <w:marLeft w:val="0"/>
      <w:marRight w:val="0"/>
      <w:marTop w:val="0"/>
      <w:marBottom w:val="0"/>
      <w:divBdr>
        <w:top w:val="none" w:sz="0" w:space="0" w:color="auto"/>
        <w:left w:val="none" w:sz="0" w:space="0" w:color="auto"/>
        <w:bottom w:val="none" w:sz="0" w:space="0" w:color="auto"/>
        <w:right w:val="none" w:sz="0" w:space="0" w:color="auto"/>
      </w:divBdr>
      <w:divsChild>
        <w:div w:id="1884705066">
          <w:marLeft w:val="576"/>
          <w:marRight w:val="0"/>
          <w:marTop w:val="80"/>
          <w:marBottom w:val="0"/>
          <w:divBdr>
            <w:top w:val="none" w:sz="0" w:space="0" w:color="auto"/>
            <w:left w:val="none" w:sz="0" w:space="0" w:color="auto"/>
            <w:bottom w:val="none" w:sz="0" w:space="0" w:color="auto"/>
            <w:right w:val="none" w:sz="0" w:space="0" w:color="auto"/>
          </w:divBdr>
        </w:div>
        <w:div w:id="1380200602">
          <w:marLeft w:val="576"/>
          <w:marRight w:val="0"/>
          <w:marTop w:val="80"/>
          <w:marBottom w:val="0"/>
          <w:divBdr>
            <w:top w:val="none" w:sz="0" w:space="0" w:color="auto"/>
            <w:left w:val="none" w:sz="0" w:space="0" w:color="auto"/>
            <w:bottom w:val="none" w:sz="0" w:space="0" w:color="auto"/>
            <w:right w:val="none" w:sz="0" w:space="0" w:color="auto"/>
          </w:divBdr>
        </w:div>
        <w:div w:id="356390486">
          <w:marLeft w:val="576"/>
          <w:marRight w:val="0"/>
          <w:marTop w:val="80"/>
          <w:marBottom w:val="0"/>
          <w:divBdr>
            <w:top w:val="none" w:sz="0" w:space="0" w:color="auto"/>
            <w:left w:val="none" w:sz="0" w:space="0" w:color="auto"/>
            <w:bottom w:val="none" w:sz="0" w:space="0" w:color="auto"/>
            <w:right w:val="none" w:sz="0" w:space="0" w:color="auto"/>
          </w:divBdr>
        </w:div>
        <w:div w:id="2062091303">
          <w:marLeft w:val="576"/>
          <w:marRight w:val="0"/>
          <w:marTop w:val="80"/>
          <w:marBottom w:val="0"/>
          <w:divBdr>
            <w:top w:val="none" w:sz="0" w:space="0" w:color="auto"/>
            <w:left w:val="none" w:sz="0" w:space="0" w:color="auto"/>
            <w:bottom w:val="none" w:sz="0" w:space="0" w:color="auto"/>
            <w:right w:val="none" w:sz="0" w:space="0" w:color="auto"/>
          </w:divBdr>
        </w:div>
        <w:div w:id="1483932319">
          <w:marLeft w:val="576"/>
          <w:marRight w:val="0"/>
          <w:marTop w:val="80"/>
          <w:marBottom w:val="0"/>
          <w:divBdr>
            <w:top w:val="none" w:sz="0" w:space="0" w:color="auto"/>
            <w:left w:val="none" w:sz="0" w:space="0" w:color="auto"/>
            <w:bottom w:val="none" w:sz="0" w:space="0" w:color="auto"/>
            <w:right w:val="none" w:sz="0" w:space="0" w:color="auto"/>
          </w:divBdr>
        </w:div>
        <w:div w:id="53728403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www.aemc.gov.au/Rule-Changes/Distribution-Network-Pricing-Arrangements" TargetMode="External"/><Relationship Id="rId1" Type="http://schemas.openxmlformats.org/officeDocument/2006/relationships/hyperlink" Target="https://www.aer.gov.au/networks-pipelines/determinations-access-arrangements/powerlink-determination-2017-2022/challenge-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9CCE9-8382-4F3D-96AD-7C0C3941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8BE1508A</Template>
  <TotalTime>1</TotalTime>
  <Pages>43</Pages>
  <Words>12751</Words>
  <Characters>72682</Characters>
  <Application>Microsoft Office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Etrog Consulting</Company>
  <LinksUpToDate>false</LinksUpToDate>
  <CharactersWithSpaces>85263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Prins</dc:creator>
  <cp:lastModifiedBy>Manahan, Jess</cp:lastModifiedBy>
  <cp:revision>2</cp:revision>
  <cp:lastPrinted>2015-08-05T22:46:00Z</cp:lastPrinted>
  <dcterms:created xsi:type="dcterms:W3CDTF">2017-01-06T03:16:00Z</dcterms:created>
  <dcterms:modified xsi:type="dcterms:W3CDTF">2017-01-06T03:16:00Z</dcterms:modified>
</cp:coreProperties>
</file>