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EF5A5D" w:rsidRDefault="00F745FF" w:rsidP="00CB38E9">
      <w:pPr>
        <w:jc w:val="center"/>
      </w:pPr>
      <w:r>
        <w:fldChar w:fldCharType="begin"/>
      </w:r>
      <w:r>
        <w:instrText xml:space="preserve"> HYPERLINK "http://www.cosboa.org.au/" </w:instrText>
      </w:r>
      <w:r>
        <w:fldChar w:fldCharType="separate"/>
      </w:r>
      <w:r>
        <w:rPr>
          <w:rFonts w:cs="Helvetica"/>
          <w:noProof/>
          <w:color w:val="00B3DE"/>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alt="http://www.cosboa.org.au/Assets/Images/Layout/COSBOA-logo.jpg" href="http://www.cosboa.org.au/" style="width:250.5pt;height:83.25pt;visibility:visible" o:button="t">
            <v:fill o:detectmouseclick="t"/>
            <v:imagedata r:id="rId8" o:title=""/>
          </v:shape>
        </w:pict>
      </w:r>
      <w:r>
        <w:rPr>
          <w:rFonts w:cs="Helvetica"/>
          <w:noProof/>
          <w:color w:val="00B3DE"/>
          <w:lang w:eastAsia="en-AU"/>
        </w:rPr>
        <w:fldChar w:fldCharType="end"/>
      </w:r>
    </w:p>
    <w:p w:rsidR="00EF5A5D" w:rsidRDefault="00EF5A5D" w:rsidP="00CB38E9"/>
    <w:p w:rsidR="00EF5A5D" w:rsidRDefault="00EF5A5D" w:rsidP="00CB38E9"/>
    <w:p w:rsidR="00EF5A5D" w:rsidRDefault="00EF5A5D" w:rsidP="00CB38E9"/>
    <w:p w:rsidR="00EF5A5D" w:rsidRDefault="00EF5A5D" w:rsidP="00CB38E9"/>
    <w:p w:rsidR="00EF5A5D" w:rsidRDefault="00EF5A5D" w:rsidP="00CB38E9"/>
    <w:p w:rsidR="00EF5A5D" w:rsidRDefault="00EF5A5D" w:rsidP="00CB38E9"/>
    <w:p w:rsidR="00EF5A5D" w:rsidRDefault="00EF5A5D" w:rsidP="00CB38E9"/>
    <w:p w:rsidR="00EF5A5D" w:rsidRDefault="00EF5A5D" w:rsidP="00CB38E9">
      <w:pPr>
        <w:pStyle w:val="Title"/>
      </w:pPr>
      <w:r>
        <w:t xml:space="preserve">AUSTRALIAN ENERGY REGULATOR – BETTER REGULATION PROGRAM </w:t>
      </w:r>
    </w:p>
    <w:p w:rsidR="00EF5A5D" w:rsidRDefault="00EF5A5D" w:rsidP="00CB38E9">
      <w:pPr>
        <w:pStyle w:val="Title"/>
      </w:pPr>
      <w:r>
        <w:t>DRAFT CONSUMER ENGAGEMENT GUIDELINES FOR NETWORK SERVICE PROVIDERS</w:t>
      </w:r>
    </w:p>
    <w:p w:rsidR="00EF5A5D" w:rsidRDefault="00EF5A5D" w:rsidP="00CB38E9">
      <w:pPr>
        <w:pStyle w:val="Subtitle"/>
      </w:pPr>
      <w:r>
        <w:t>COMMENTS</w:t>
      </w:r>
    </w:p>
    <w:p w:rsidR="00EF5A5D" w:rsidRDefault="00EF5A5D" w:rsidP="00CB38E9"/>
    <w:p w:rsidR="00EF5A5D" w:rsidRDefault="00EF5A5D" w:rsidP="00CB38E9"/>
    <w:p w:rsidR="00EF5A5D" w:rsidRDefault="00EF5A5D" w:rsidP="00CB38E9">
      <w:pPr>
        <w:spacing w:after="200"/>
      </w:pPr>
    </w:p>
    <w:p w:rsidR="00EF5A5D" w:rsidRDefault="00EF5A5D" w:rsidP="00CB38E9">
      <w:pPr>
        <w:spacing w:after="200"/>
      </w:pPr>
    </w:p>
    <w:p w:rsidR="00EF5A5D" w:rsidRDefault="00EF5A5D" w:rsidP="00CB38E9">
      <w:pPr>
        <w:spacing w:after="200"/>
      </w:pPr>
    </w:p>
    <w:p w:rsidR="00EF5A5D" w:rsidRDefault="00EF5A5D" w:rsidP="00CB38E9">
      <w:pPr>
        <w:spacing w:after="200"/>
      </w:pPr>
    </w:p>
    <w:p w:rsidR="00EF5A5D" w:rsidRDefault="00EF5A5D" w:rsidP="00CB38E9">
      <w:pPr>
        <w:spacing w:after="200"/>
      </w:pPr>
    </w:p>
    <w:p w:rsidR="00EF5A5D" w:rsidRDefault="00EF5A5D" w:rsidP="00CB38E9">
      <w:pPr>
        <w:spacing w:after="200"/>
      </w:pPr>
    </w:p>
    <w:p w:rsidR="00EF5A5D" w:rsidRDefault="00EF5A5D" w:rsidP="00CB38E9">
      <w:pPr>
        <w:spacing w:after="200"/>
      </w:pPr>
    </w:p>
    <w:p w:rsidR="00EF5A5D" w:rsidRDefault="00EF5A5D" w:rsidP="00CB38E9">
      <w:pPr>
        <w:spacing w:after="200"/>
      </w:pPr>
    </w:p>
    <w:p w:rsidR="00EF5A5D" w:rsidRDefault="00EF5A5D" w:rsidP="00CB38E9">
      <w:pPr>
        <w:spacing w:after="200"/>
      </w:pPr>
    </w:p>
    <w:p w:rsidR="00EF5A5D" w:rsidRDefault="00EF5A5D" w:rsidP="00CB38E9">
      <w:pPr>
        <w:spacing w:after="200"/>
      </w:pPr>
    </w:p>
    <w:p w:rsidR="00EF5A5D" w:rsidRDefault="00EF5A5D" w:rsidP="00CB38E9">
      <w:pPr>
        <w:spacing w:after="200"/>
      </w:pPr>
    </w:p>
    <w:p w:rsidR="00EF5A5D" w:rsidRDefault="00EF5A5D" w:rsidP="00CB38E9">
      <w:pPr>
        <w:spacing w:after="200"/>
      </w:pPr>
      <w:r>
        <w:t>August 2013</w:t>
      </w:r>
    </w:p>
    <w:p w:rsidR="00EF5A5D" w:rsidRDefault="00EF5A5D" w:rsidP="00742E9E">
      <w:pPr>
        <w:pStyle w:val="Heading1"/>
        <w:sectPr w:rsidR="00EF5A5D" w:rsidSect="00D164A4">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pPr>
    </w:p>
    <w:p w:rsidR="00EF5A5D" w:rsidRDefault="00EF5A5D" w:rsidP="00CB38E9">
      <w:pPr>
        <w:pStyle w:val="Subtitle"/>
      </w:pPr>
      <w:r>
        <w:lastRenderedPageBreak/>
        <w:t>Acknowledgement &amp; Disclaimers</w:t>
      </w:r>
    </w:p>
    <w:p w:rsidR="00EF5A5D" w:rsidRDefault="00EF5A5D" w:rsidP="00CB38E9"/>
    <w:p w:rsidR="00EF5A5D" w:rsidRDefault="00EF5A5D" w:rsidP="00CB38E9">
      <w:r>
        <w:t>This project was funded by the Consumer Advocacy Panel (</w:t>
      </w:r>
      <w:hyperlink r:id="rId15" w:history="1">
        <w:r w:rsidRPr="00A30B43">
          <w:rPr>
            <w:rStyle w:val="Hyperlink"/>
          </w:rPr>
          <w:t>www.advocacypanel.com.au</w:t>
        </w:r>
      </w:hyperlink>
      <w:r>
        <w:t xml:space="preserve">) as part of its grants process for consumer advocacy projects and research projects for the benefit of consumers of electricity and natural gas. The views expressed in this document do not necessarily reflect the views of the Consumer Advocacy Panel or the Australian Energy Market Commission. </w:t>
      </w:r>
    </w:p>
    <w:p w:rsidR="00EF5A5D" w:rsidRDefault="00EF5A5D" w:rsidP="00CB38E9"/>
    <w:p w:rsidR="00EF5A5D" w:rsidRDefault="00EF5A5D" w:rsidP="00CB38E9">
      <w:r>
        <w:t>This document has been produced by Goanna Energy Consulting Pty Ltd for the Council of Small Business Australia (COSBOA).  However, the views expressed are those of COSBOA and not the consultants involved.</w:t>
      </w:r>
    </w:p>
    <w:p w:rsidR="00EF5A5D" w:rsidRDefault="00EF5A5D" w:rsidP="00CB38E9"/>
    <w:p w:rsidR="00EF5A5D" w:rsidRDefault="00EF5A5D" w:rsidP="00CB38E9">
      <w:r>
        <w:t>Unless otherwise stated, any advice contained in this report is of a general nature only and has been prepared without taking into account any individual objectives, financial situations or particular needs. Those acting upon information contained in this report without first consulting with one of Goanna Energy Consulting Pty Ltd’s advisors do so entirely at their own risk.  Goanna Energy Consulting Pty Ltd give no warranty in relation to the contents of this report, and the opinions contained therein.</w:t>
      </w:r>
    </w:p>
    <w:p w:rsidR="00EF5A5D" w:rsidRDefault="00EF5A5D" w:rsidP="00CB38E9"/>
    <w:p w:rsidR="00EF5A5D" w:rsidRDefault="00EF5A5D" w:rsidP="00CB38E9">
      <w:r>
        <w:t>To the extent permitted by law, Goanna Energy Consulting Pty Ltd exclude (and where the law does not permit an exclusion, limit to the extent permitted by law) all liability for any direct, indirect and consequential costs, losses, damages and expenses incurred in any way (including but not limited to that arising from negligence), connected with any use or access to this report or any reliance on information contained in any part of this report.</w:t>
      </w:r>
    </w:p>
    <w:p w:rsidR="00EF5A5D" w:rsidRDefault="00EF5A5D">
      <w:pPr>
        <w:spacing w:after="200"/>
      </w:pPr>
      <w:r>
        <w:br w:type="page"/>
      </w:r>
    </w:p>
    <w:p w:rsidR="00EF5A5D" w:rsidRDefault="00EF5A5D" w:rsidP="00CB38E9"/>
    <w:p w:rsidR="00EF5A5D" w:rsidRDefault="00EF5A5D" w:rsidP="00D242C6">
      <w:pPr>
        <w:pStyle w:val="TOCHeading"/>
        <w:numPr>
          <w:ilvl w:val="0"/>
          <w:numId w:val="0"/>
        </w:numPr>
        <w:spacing w:before="0"/>
        <w:ind w:left="431" w:hanging="431"/>
      </w:pPr>
      <w:r>
        <w:t>Contents</w:t>
      </w:r>
    </w:p>
    <w:p w:rsidR="00EF5A5D" w:rsidRPr="00D242C6" w:rsidRDefault="00EF5A5D">
      <w:pPr>
        <w:pStyle w:val="TOC1"/>
        <w:tabs>
          <w:tab w:val="right" w:leader="dot" w:pos="9016"/>
        </w:tabs>
        <w:rPr>
          <w:sz w:val="16"/>
        </w:rPr>
      </w:pPr>
    </w:p>
    <w:p w:rsidR="00EF5A5D" w:rsidRDefault="00EF5A5D">
      <w:pPr>
        <w:pStyle w:val="TOC1"/>
        <w:tabs>
          <w:tab w:val="left" w:pos="440"/>
          <w:tab w:val="right" w:leader="dot" w:pos="9016"/>
        </w:tabs>
        <w:rPr>
          <w:rFonts w:ascii="Calibri" w:hAnsi="Calibri"/>
          <w:noProof/>
          <w:lang w:eastAsia="en-AU"/>
        </w:rPr>
      </w:pPr>
      <w:r>
        <w:fldChar w:fldCharType="begin"/>
      </w:r>
      <w:r>
        <w:instrText xml:space="preserve"> TOC \o "1-3" \h \z \u </w:instrText>
      </w:r>
      <w:r>
        <w:fldChar w:fldCharType="separate"/>
      </w:r>
      <w:hyperlink w:anchor="_Toc364350787" w:history="1">
        <w:r w:rsidRPr="00C342F8">
          <w:rPr>
            <w:rStyle w:val="Hyperlink"/>
            <w:noProof/>
          </w:rPr>
          <w:t>1</w:t>
        </w:r>
        <w:r>
          <w:rPr>
            <w:rFonts w:ascii="Calibri" w:hAnsi="Calibri"/>
            <w:noProof/>
            <w:lang w:eastAsia="en-AU"/>
          </w:rPr>
          <w:tab/>
        </w:r>
        <w:r w:rsidRPr="00C342F8">
          <w:rPr>
            <w:rStyle w:val="Hyperlink"/>
            <w:noProof/>
          </w:rPr>
          <w:t>Introduction</w:t>
        </w:r>
        <w:r>
          <w:rPr>
            <w:noProof/>
            <w:webHidden/>
          </w:rPr>
          <w:tab/>
        </w:r>
        <w:r>
          <w:rPr>
            <w:noProof/>
            <w:webHidden/>
          </w:rPr>
          <w:fldChar w:fldCharType="begin"/>
        </w:r>
        <w:r>
          <w:rPr>
            <w:noProof/>
            <w:webHidden/>
          </w:rPr>
          <w:instrText xml:space="preserve"> PAGEREF _Toc364350787 \h </w:instrText>
        </w:r>
        <w:r>
          <w:rPr>
            <w:noProof/>
            <w:webHidden/>
          </w:rPr>
        </w:r>
        <w:r>
          <w:rPr>
            <w:noProof/>
            <w:webHidden/>
          </w:rPr>
          <w:fldChar w:fldCharType="separate"/>
        </w:r>
        <w:r>
          <w:rPr>
            <w:noProof/>
            <w:webHidden/>
          </w:rPr>
          <w:t>1</w:t>
        </w:r>
        <w:r>
          <w:rPr>
            <w:noProof/>
            <w:webHidden/>
          </w:rPr>
          <w:fldChar w:fldCharType="end"/>
        </w:r>
      </w:hyperlink>
    </w:p>
    <w:p w:rsidR="00EF5A5D" w:rsidRDefault="00F745FF">
      <w:pPr>
        <w:pStyle w:val="TOC2"/>
        <w:tabs>
          <w:tab w:val="left" w:pos="880"/>
          <w:tab w:val="right" w:leader="dot" w:pos="9016"/>
        </w:tabs>
        <w:rPr>
          <w:rFonts w:ascii="Calibri" w:hAnsi="Calibri"/>
          <w:noProof/>
          <w:lang w:eastAsia="en-AU"/>
        </w:rPr>
      </w:pPr>
      <w:hyperlink w:anchor="_Toc364350788" w:history="1">
        <w:r w:rsidR="00EF5A5D" w:rsidRPr="00C342F8">
          <w:rPr>
            <w:rStyle w:val="Hyperlink"/>
            <w:noProof/>
          </w:rPr>
          <w:t>1.1</w:t>
        </w:r>
        <w:r w:rsidR="00EF5A5D">
          <w:rPr>
            <w:rFonts w:ascii="Calibri" w:hAnsi="Calibri"/>
            <w:noProof/>
            <w:lang w:eastAsia="en-AU"/>
          </w:rPr>
          <w:tab/>
        </w:r>
        <w:r w:rsidR="00EF5A5D" w:rsidRPr="00C342F8">
          <w:rPr>
            <w:rStyle w:val="Hyperlink"/>
            <w:noProof/>
          </w:rPr>
          <w:t>About COSBOA and Energy Regulation</w:t>
        </w:r>
        <w:r w:rsidR="00EF5A5D">
          <w:rPr>
            <w:noProof/>
            <w:webHidden/>
          </w:rPr>
          <w:tab/>
        </w:r>
        <w:r w:rsidR="00EF5A5D">
          <w:rPr>
            <w:noProof/>
            <w:webHidden/>
          </w:rPr>
          <w:fldChar w:fldCharType="begin"/>
        </w:r>
        <w:r w:rsidR="00EF5A5D">
          <w:rPr>
            <w:noProof/>
            <w:webHidden/>
          </w:rPr>
          <w:instrText xml:space="preserve"> PAGEREF _Toc364350788 \h </w:instrText>
        </w:r>
        <w:r w:rsidR="00EF5A5D">
          <w:rPr>
            <w:noProof/>
            <w:webHidden/>
          </w:rPr>
        </w:r>
        <w:r w:rsidR="00EF5A5D">
          <w:rPr>
            <w:noProof/>
            <w:webHidden/>
          </w:rPr>
          <w:fldChar w:fldCharType="separate"/>
        </w:r>
        <w:r w:rsidR="00EF5A5D">
          <w:rPr>
            <w:noProof/>
            <w:webHidden/>
          </w:rPr>
          <w:t>1</w:t>
        </w:r>
        <w:r w:rsidR="00EF5A5D">
          <w:rPr>
            <w:noProof/>
            <w:webHidden/>
          </w:rPr>
          <w:fldChar w:fldCharType="end"/>
        </w:r>
      </w:hyperlink>
    </w:p>
    <w:p w:rsidR="00EF5A5D" w:rsidRDefault="00F745FF">
      <w:pPr>
        <w:pStyle w:val="TOC2"/>
        <w:tabs>
          <w:tab w:val="left" w:pos="880"/>
          <w:tab w:val="right" w:leader="dot" w:pos="9016"/>
        </w:tabs>
        <w:rPr>
          <w:rFonts w:ascii="Calibri" w:hAnsi="Calibri"/>
          <w:noProof/>
          <w:lang w:eastAsia="en-AU"/>
        </w:rPr>
      </w:pPr>
      <w:hyperlink w:anchor="_Toc364350789" w:history="1">
        <w:r w:rsidR="00EF5A5D" w:rsidRPr="00C342F8">
          <w:rPr>
            <w:rStyle w:val="Hyperlink"/>
            <w:noProof/>
          </w:rPr>
          <w:t>1.2</w:t>
        </w:r>
        <w:r w:rsidR="00EF5A5D">
          <w:rPr>
            <w:rFonts w:ascii="Calibri" w:hAnsi="Calibri"/>
            <w:noProof/>
            <w:lang w:eastAsia="en-AU"/>
          </w:rPr>
          <w:tab/>
        </w:r>
        <w:r w:rsidR="00EF5A5D" w:rsidRPr="00C342F8">
          <w:rPr>
            <w:rStyle w:val="Hyperlink"/>
            <w:noProof/>
          </w:rPr>
          <w:t>COSBOA’s Involvement in the AER’s Better Regulation Program</w:t>
        </w:r>
        <w:r w:rsidR="00EF5A5D">
          <w:rPr>
            <w:noProof/>
            <w:webHidden/>
          </w:rPr>
          <w:tab/>
        </w:r>
        <w:r w:rsidR="00EF5A5D">
          <w:rPr>
            <w:noProof/>
            <w:webHidden/>
          </w:rPr>
          <w:fldChar w:fldCharType="begin"/>
        </w:r>
        <w:r w:rsidR="00EF5A5D">
          <w:rPr>
            <w:noProof/>
            <w:webHidden/>
          </w:rPr>
          <w:instrText xml:space="preserve"> PAGEREF _Toc364350789 \h </w:instrText>
        </w:r>
        <w:r w:rsidR="00EF5A5D">
          <w:rPr>
            <w:noProof/>
            <w:webHidden/>
          </w:rPr>
        </w:r>
        <w:r w:rsidR="00EF5A5D">
          <w:rPr>
            <w:noProof/>
            <w:webHidden/>
          </w:rPr>
          <w:fldChar w:fldCharType="separate"/>
        </w:r>
        <w:r w:rsidR="00EF5A5D">
          <w:rPr>
            <w:noProof/>
            <w:webHidden/>
          </w:rPr>
          <w:t>2</w:t>
        </w:r>
        <w:r w:rsidR="00EF5A5D">
          <w:rPr>
            <w:noProof/>
            <w:webHidden/>
          </w:rPr>
          <w:fldChar w:fldCharType="end"/>
        </w:r>
      </w:hyperlink>
    </w:p>
    <w:p w:rsidR="00EF5A5D" w:rsidRDefault="00F745FF">
      <w:pPr>
        <w:pStyle w:val="TOC2"/>
        <w:tabs>
          <w:tab w:val="left" w:pos="880"/>
          <w:tab w:val="right" w:leader="dot" w:pos="9016"/>
        </w:tabs>
        <w:rPr>
          <w:rFonts w:ascii="Calibri" w:hAnsi="Calibri"/>
          <w:noProof/>
          <w:lang w:eastAsia="en-AU"/>
        </w:rPr>
      </w:pPr>
      <w:hyperlink w:anchor="_Toc364350790" w:history="1">
        <w:r w:rsidR="00EF5A5D" w:rsidRPr="00C342F8">
          <w:rPr>
            <w:rStyle w:val="Hyperlink"/>
            <w:noProof/>
          </w:rPr>
          <w:t>1.3</w:t>
        </w:r>
        <w:r w:rsidR="00EF5A5D">
          <w:rPr>
            <w:rFonts w:ascii="Calibri" w:hAnsi="Calibri"/>
            <w:noProof/>
            <w:lang w:eastAsia="en-AU"/>
          </w:rPr>
          <w:tab/>
        </w:r>
        <w:r w:rsidR="00EF5A5D" w:rsidRPr="00C342F8">
          <w:rPr>
            <w:rStyle w:val="Hyperlink"/>
            <w:noProof/>
          </w:rPr>
          <w:t>Structure of This Submission</w:t>
        </w:r>
        <w:r w:rsidR="00EF5A5D">
          <w:rPr>
            <w:noProof/>
            <w:webHidden/>
          </w:rPr>
          <w:tab/>
        </w:r>
        <w:r w:rsidR="00EF5A5D">
          <w:rPr>
            <w:noProof/>
            <w:webHidden/>
          </w:rPr>
          <w:fldChar w:fldCharType="begin"/>
        </w:r>
        <w:r w:rsidR="00EF5A5D">
          <w:rPr>
            <w:noProof/>
            <w:webHidden/>
          </w:rPr>
          <w:instrText xml:space="preserve"> PAGEREF _Toc364350790 \h </w:instrText>
        </w:r>
        <w:r w:rsidR="00EF5A5D">
          <w:rPr>
            <w:noProof/>
            <w:webHidden/>
          </w:rPr>
        </w:r>
        <w:r w:rsidR="00EF5A5D">
          <w:rPr>
            <w:noProof/>
            <w:webHidden/>
          </w:rPr>
          <w:fldChar w:fldCharType="separate"/>
        </w:r>
        <w:r w:rsidR="00EF5A5D">
          <w:rPr>
            <w:noProof/>
            <w:webHidden/>
          </w:rPr>
          <w:t>2</w:t>
        </w:r>
        <w:r w:rsidR="00EF5A5D">
          <w:rPr>
            <w:noProof/>
            <w:webHidden/>
          </w:rPr>
          <w:fldChar w:fldCharType="end"/>
        </w:r>
      </w:hyperlink>
    </w:p>
    <w:p w:rsidR="00EF5A5D" w:rsidRDefault="00F745FF">
      <w:pPr>
        <w:pStyle w:val="TOC1"/>
        <w:tabs>
          <w:tab w:val="left" w:pos="440"/>
          <w:tab w:val="right" w:leader="dot" w:pos="9016"/>
        </w:tabs>
        <w:rPr>
          <w:rFonts w:ascii="Calibri" w:hAnsi="Calibri"/>
          <w:noProof/>
          <w:lang w:eastAsia="en-AU"/>
        </w:rPr>
      </w:pPr>
      <w:hyperlink w:anchor="_Toc364350791" w:history="1">
        <w:r w:rsidR="00EF5A5D" w:rsidRPr="00C342F8">
          <w:rPr>
            <w:rStyle w:val="Hyperlink"/>
            <w:noProof/>
          </w:rPr>
          <w:t>2</w:t>
        </w:r>
        <w:r w:rsidR="00EF5A5D">
          <w:rPr>
            <w:rFonts w:ascii="Calibri" w:hAnsi="Calibri"/>
            <w:noProof/>
            <w:lang w:eastAsia="en-AU"/>
          </w:rPr>
          <w:tab/>
        </w:r>
        <w:r w:rsidR="00EF5A5D" w:rsidRPr="00C342F8">
          <w:rPr>
            <w:rStyle w:val="Hyperlink"/>
            <w:noProof/>
          </w:rPr>
          <w:t>Need for Consumer Engagement by Network Service Providers</w:t>
        </w:r>
        <w:r w:rsidR="00EF5A5D">
          <w:rPr>
            <w:noProof/>
            <w:webHidden/>
          </w:rPr>
          <w:tab/>
        </w:r>
        <w:r w:rsidR="00EF5A5D">
          <w:rPr>
            <w:noProof/>
            <w:webHidden/>
          </w:rPr>
          <w:fldChar w:fldCharType="begin"/>
        </w:r>
        <w:r w:rsidR="00EF5A5D">
          <w:rPr>
            <w:noProof/>
            <w:webHidden/>
          </w:rPr>
          <w:instrText xml:space="preserve"> PAGEREF _Toc364350791 \h </w:instrText>
        </w:r>
        <w:r w:rsidR="00EF5A5D">
          <w:rPr>
            <w:noProof/>
            <w:webHidden/>
          </w:rPr>
        </w:r>
        <w:r w:rsidR="00EF5A5D">
          <w:rPr>
            <w:noProof/>
            <w:webHidden/>
          </w:rPr>
          <w:fldChar w:fldCharType="separate"/>
        </w:r>
        <w:r w:rsidR="00EF5A5D">
          <w:rPr>
            <w:noProof/>
            <w:webHidden/>
          </w:rPr>
          <w:t>3</w:t>
        </w:r>
        <w:r w:rsidR="00EF5A5D">
          <w:rPr>
            <w:noProof/>
            <w:webHidden/>
          </w:rPr>
          <w:fldChar w:fldCharType="end"/>
        </w:r>
      </w:hyperlink>
    </w:p>
    <w:p w:rsidR="00EF5A5D" w:rsidRDefault="00F745FF">
      <w:pPr>
        <w:pStyle w:val="TOC2"/>
        <w:tabs>
          <w:tab w:val="left" w:pos="880"/>
          <w:tab w:val="right" w:leader="dot" w:pos="9016"/>
        </w:tabs>
        <w:rPr>
          <w:rFonts w:ascii="Calibri" w:hAnsi="Calibri"/>
          <w:noProof/>
          <w:lang w:eastAsia="en-AU"/>
        </w:rPr>
      </w:pPr>
      <w:hyperlink w:anchor="_Toc364350792" w:history="1">
        <w:r w:rsidR="00EF5A5D" w:rsidRPr="00C342F8">
          <w:rPr>
            <w:rStyle w:val="Hyperlink"/>
            <w:noProof/>
          </w:rPr>
          <w:t>2.1</w:t>
        </w:r>
        <w:r w:rsidR="00EF5A5D">
          <w:rPr>
            <w:rFonts w:ascii="Calibri" w:hAnsi="Calibri"/>
            <w:noProof/>
            <w:lang w:eastAsia="en-AU"/>
          </w:rPr>
          <w:tab/>
        </w:r>
        <w:r w:rsidR="00EF5A5D" w:rsidRPr="00C342F8">
          <w:rPr>
            <w:rStyle w:val="Hyperlink"/>
            <w:noProof/>
          </w:rPr>
          <w:t>Benefits of Consumer Engagement &amp; Need for a Guideline</w:t>
        </w:r>
        <w:r w:rsidR="00EF5A5D">
          <w:rPr>
            <w:noProof/>
            <w:webHidden/>
          </w:rPr>
          <w:tab/>
        </w:r>
        <w:r w:rsidR="00EF5A5D">
          <w:rPr>
            <w:noProof/>
            <w:webHidden/>
          </w:rPr>
          <w:fldChar w:fldCharType="begin"/>
        </w:r>
        <w:r w:rsidR="00EF5A5D">
          <w:rPr>
            <w:noProof/>
            <w:webHidden/>
          </w:rPr>
          <w:instrText xml:space="preserve"> PAGEREF _Toc364350792 \h </w:instrText>
        </w:r>
        <w:r w:rsidR="00EF5A5D">
          <w:rPr>
            <w:noProof/>
            <w:webHidden/>
          </w:rPr>
        </w:r>
        <w:r w:rsidR="00EF5A5D">
          <w:rPr>
            <w:noProof/>
            <w:webHidden/>
          </w:rPr>
          <w:fldChar w:fldCharType="separate"/>
        </w:r>
        <w:r w:rsidR="00EF5A5D">
          <w:rPr>
            <w:noProof/>
            <w:webHidden/>
          </w:rPr>
          <w:t>3</w:t>
        </w:r>
        <w:r w:rsidR="00EF5A5D">
          <w:rPr>
            <w:noProof/>
            <w:webHidden/>
          </w:rPr>
          <w:fldChar w:fldCharType="end"/>
        </w:r>
      </w:hyperlink>
    </w:p>
    <w:p w:rsidR="00EF5A5D" w:rsidRDefault="00F745FF">
      <w:pPr>
        <w:pStyle w:val="TOC3"/>
        <w:tabs>
          <w:tab w:val="left" w:pos="1320"/>
          <w:tab w:val="right" w:leader="dot" w:pos="9016"/>
        </w:tabs>
        <w:rPr>
          <w:rFonts w:ascii="Calibri" w:hAnsi="Calibri"/>
          <w:noProof/>
          <w:lang w:eastAsia="en-AU"/>
        </w:rPr>
      </w:pPr>
      <w:hyperlink w:anchor="_Toc364350793" w:history="1">
        <w:r w:rsidR="00EF5A5D" w:rsidRPr="00C342F8">
          <w:rPr>
            <w:rStyle w:val="Hyperlink"/>
            <w:noProof/>
          </w:rPr>
          <w:t>2.1.1</w:t>
        </w:r>
        <w:r w:rsidR="00EF5A5D">
          <w:rPr>
            <w:rFonts w:ascii="Calibri" w:hAnsi="Calibri"/>
            <w:noProof/>
            <w:lang w:eastAsia="en-AU"/>
          </w:rPr>
          <w:tab/>
        </w:r>
        <w:r w:rsidR="00EF5A5D" w:rsidRPr="00C342F8">
          <w:rPr>
            <w:rStyle w:val="Hyperlink"/>
            <w:noProof/>
          </w:rPr>
          <w:t>Benefits of Consumer Engagement</w:t>
        </w:r>
        <w:r w:rsidR="00EF5A5D">
          <w:rPr>
            <w:noProof/>
            <w:webHidden/>
          </w:rPr>
          <w:tab/>
        </w:r>
        <w:r w:rsidR="00EF5A5D">
          <w:rPr>
            <w:noProof/>
            <w:webHidden/>
          </w:rPr>
          <w:fldChar w:fldCharType="begin"/>
        </w:r>
        <w:r w:rsidR="00EF5A5D">
          <w:rPr>
            <w:noProof/>
            <w:webHidden/>
          </w:rPr>
          <w:instrText xml:space="preserve"> PAGEREF _Toc364350793 \h </w:instrText>
        </w:r>
        <w:r w:rsidR="00EF5A5D">
          <w:rPr>
            <w:noProof/>
            <w:webHidden/>
          </w:rPr>
        </w:r>
        <w:r w:rsidR="00EF5A5D">
          <w:rPr>
            <w:noProof/>
            <w:webHidden/>
          </w:rPr>
          <w:fldChar w:fldCharType="separate"/>
        </w:r>
        <w:r w:rsidR="00EF5A5D">
          <w:rPr>
            <w:noProof/>
            <w:webHidden/>
          </w:rPr>
          <w:t>3</w:t>
        </w:r>
        <w:r w:rsidR="00EF5A5D">
          <w:rPr>
            <w:noProof/>
            <w:webHidden/>
          </w:rPr>
          <w:fldChar w:fldCharType="end"/>
        </w:r>
      </w:hyperlink>
    </w:p>
    <w:p w:rsidR="00EF5A5D" w:rsidRDefault="00F745FF">
      <w:pPr>
        <w:pStyle w:val="TOC3"/>
        <w:tabs>
          <w:tab w:val="left" w:pos="1320"/>
          <w:tab w:val="right" w:leader="dot" w:pos="9016"/>
        </w:tabs>
        <w:rPr>
          <w:rFonts w:ascii="Calibri" w:hAnsi="Calibri"/>
          <w:noProof/>
          <w:lang w:eastAsia="en-AU"/>
        </w:rPr>
      </w:pPr>
      <w:hyperlink w:anchor="_Toc364350794" w:history="1">
        <w:r w:rsidR="00EF5A5D" w:rsidRPr="00C342F8">
          <w:rPr>
            <w:rStyle w:val="Hyperlink"/>
            <w:noProof/>
          </w:rPr>
          <w:t>2.1.2</w:t>
        </w:r>
        <w:r w:rsidR="00EF5A5D">
          <w:rPr>
            <w:rFonts w:ascii="Calibri" w:hAnsi="Calibri"/>
            <w:noProof/>
            <w:lang w:eastAsia="en-AU"/>
          </w:rPr>
          <w:tab/>
        </w:r>
        <w:r w:rsidR="00EF5A5D" w:rsidRPr="00C342F8">
          <w:rPr>
            <w:rStyle w:val="Hyperlink"/>
            <w:noProof/>
          </w:rPr>
          <w:t>The ‘Monopoly Problem’ in Engagement and Need for a Guideline</w:t>
        </w:r>
        <w:r w:rsidR="00EF5A5D">
          <w:rPr>
            <w:noProof/>
            <w:webHidden/>
          </w:rPr>
          <w:tab/>
        </w:r>
        <w:r w:rsidR="00EF5A5D">
          <w:rPr>
            <w:noProof/>
            <w:webHidden/>
          </w:rPr>
          <w:fldChar w:fldCharType="begin"/>
        </w:r>
        <w:r w:rsidR="00EF5A5D">
          <w:rPr>
            <w:noProof/>
            <w:webHidden/>
          </w:rPr>
          <w:instrText xml:space="preserve"> PAGEREF _Toc364350794 \h </w:instrText>
        </w:r>
        <w:r w:rsidR="00EF5A5D">
          <w:rPr>
            <w:noProof/>
            <w:webHidden/>
          </w:rPr>
        </w:r>
        <w:r w:rsidR="00EF5A5D">
          <w:rPr>
            <w:noProof/>
            <w:webHidden/>
          </w:rPr>
          <w:fldChar w:fldCharType="separate"/>
        </w:r>
        <w:r w:rsidR="00EF5A5D">
          <w:rPr>
            <w:noProof/>
            <w:webHidden/>
          </w:rPr>
          <w:t>4</w:t>
        </w:r>
        <w:r w:rsidR="00EF5A5D">
          <w:rPr>
            <w:noProof/>
            <w:webHidden/>
          </w:rPr>
          <w:fldChar w:fldCharType="end"/>
        </w:r>
      </w:hyperlink>
    </w:p>
    <w:p w:rsidR="00EF5A5D" w:rsidRDefault="00F745FF">
      <w:pPr>
        <w:pStyle w:val="TOC2"/>
        <w:tabs>
          <w:tab w:val="left" w:pos="880"/>
          <w:tab w:val="right" w:leader="dot" w:pos="9016"/>
        </w:tabs>
        <w:rPr>
          <w:rFonts w:ascii="Calibri" w:hAnsi="Calibri"/>
          <w:noProof/>
          <w:lang w:eastAsia="en-AU"/>
        </w:rPr>
      </w:pPr>
      <w:hyperlink w:anchor="_Toc364350795" w:history="1">
        <w:r w:rsidR="00EF5A5D" w:rsidRPr="00C342F8">
          <w:rPr>
            <w:rStyle w:val="Hyperlink"/>
            <w:noProof/>
          </w:rPr>
          <w:t>2.2</w:t>
        </w:r>
        <w:r w:rsidR="00EF5A5D">
          <w:rPr>
            <w:rFonts w:ascii="Calibri" w:hAnsi="Calibri"/>
            <w:noProof/>
            <w:lang w:eastAsia="en-AU"/>
          </w:rPr>
          <w:tab/>
        </w:r>
        <w:r w:rsidR="00EF5A5D" w:rsidRPr="00C342F8">
          <w:rPr>
            <w:rStyle w:val="Hyperlink"/>
            <w:noProof/>
          </w:rPr>
          <w:t>Engagement with Small Business</w:t>
        </w:r>
        <w:r w:rsidR="00EF5A5D">
          <w:rPr>
            <w:noProof/>
            <w:webHidden/>
          </w:rPr>
          <w:tab/>
        </w:r>
        <w:r w:rsidR="00EF5A5D">
          <w:rPr>
            <w:noProof/>
            <w:webHidden/>
          </w:rPr>
          <w:fldChar w:fldCharType="begin"/>
        </w:r>
        <w:r w:rsidR="00EF5A5D">
          <w:rPr>
            <w:noProof/>
            <w:webHidden/>
          </w:rPr>
          <w:instrText xml:space="preserve"> PAGEREF _Toc364350795 \h </w:instrText>
        </w:r>
        <w:r w:rsidR="00EF5A5D">
          <w:rPr>
            <w:noProof/>
            <w:webHidden/>
          </w:rPr>
        </w:r>
        <w:r w:rsidR="00EF5A5D">
          <w:rPr>
            <w:noProof/>
            <w:webHidden/>
          </w:rPr>
          <w:fldChar w:fldCharType="separate"/>
        </w:r>
        <w:r w:rsidR="00EF5A5D">
          <w:rPr>
            <w:noProof/>
            <w:webHidden/>
          </w:rPr>
          <w:t>5</w:t>
        </w:r>
        <w:r w:rsidR="00EF5A5D">
          <w:rPr>
            <w:noProof/>
            <w:webHidden/>
          </w:rPr>
          <w:fldChar w:fldCharType="end"/>
        </w:r>
      </w:hyperlink>
    </w:p>
    <w:p w:rsidR="00EF5A5D" w:rsidRDefault="00F745FF">
      <w:pPr>
        <w:pStyle w:val="TOC2"/>
        <w:tabs>
          <w:tab w:val="left" w:pos="880"/>
          <w:tab w:val="right" w:leader="dot" w:pos="9016"/>
        </w:tabs>
        <w:rPr>
          <w:rFonts w:ascii="Calibri" w:hAnsi="Calibri"/>
          <w:noProof/>
          <w:lang w:eastAsia="en-AU"/>
        </w:rPr>
      </w:pPr>
      <w:hyperlink w:anchor="_Toc364350796" w:history="1">
        <w:r w:rsidR="00EF5A5D" w:rsidRPr="00C342F8">
          <w:rPr>
            <w:rStyle w:val="Hyperlink"/>
            <w:noProof/>
          </w:rPr>
          <w:t>2.3</w:t>
        </w:r>
        <w:r w:rsidR="00EF5A5D">
          <w:rPr>
            <w:rFonts w:ascii="Calibri" w:hAnsi="Calibri"/>
            <w:noProof/>
            <w:lang w:eastAsia="en-AU"/>
          </w:rPr>
          <w:tab/>
        </w:r>
        <w:r w:rsidR="00EF5A5D" w:rsidRPr="00C342F8">
          <w:rPr>
            <w:rStyle w:val="Hyperlink"/>
            <w:noProof/>
          </w:rPr>
          <w:t>What Is Effective Engagement?</w:t>
        </w:r>
        <w:r w:rsidR="00EF5A5D">
          <w:rPr>
            <w:noProof/>
            <w:webHidden/>
          </w:rPr>
          <w:tab/>
        </w:r>
        <w:r w:rsidR="00EF5A5D">
          <w:rPr>
            <w:noProof/>
            <w:webHidden/>
          </w:rPr>
          <w:fldChar w:fldCharType="begin"/>
        </w:r>
        <w:r w:rsidR="00EF5A5D">
          <w:rPr>
            <w:noProof/>
            <w:webHidden/>
          </w:rPr>
          <w:instrText xml:space="preserve"> PAGEREF _Toc364350796 \h </w:instrText>
        </w:r>
        <w:r w:rsidR="00EF5A5D">
          <w:rPr>
            <w:noProof/>
            <w:webHidden/>
          </w:rPr>
        </w:r>
        <w:r w:rsidR="00EF5A5D">
          <w:rPr>
            <w:noProof/>
            <w:webHidden/>
          </w:rPr>
          <w:fldChar w:fldCharType="separate"/>
        </w:r>
        <w:r w:rsidR="00EF5A5D">
          <w:rPr>
            <w:noProof/>
            <w:webHidden/>
          </w:rPr>
          <w:t>6</w:t>
        </w:r>
        <w:r w:rsidR="00EF5A5D">
          <w:rPr>
            <w:noProof/>
            <w:webHidden/>
          </w:rPr>
          <w:fldChar w:fldCharType="end"/>
        </w:r>
      </w:hyperlink>
    </w:p>
    <w:p w:rsidR="00EF5A5D" w:rsidRDefault="00F745FF">
      <w:pPr>
        <w:pStyle w:val="TOC1"/>
        <w:tabs>
          <w:tab w:val="left" w:pos="440"/>
          <w:tab w:val="right" w:leader="dot" w:pos="9016"/>
        </w:tabs>
        <w:rPr>
          <w:rFonts w:ascii="Calibri" w:hAnsi="Calibri"/>
          <w:noProof/>
          <w:lang w:eastAsia="en-AU"/>
        </w:rPr>
      </w:pPr>
      <w:hyperlink w:anchor="_Toc364350797" w:history="1">
        <w:r w:rsidR="00EF5A5D" w:rsidRPr="00C342F8">
          <w:rPr>
            <w:rStyle w:val="Hyperlink"/>
            <w:noProof/>
          </w:rPr>
          <w:t>3</w:t>
        </w:r>
        <w:r w:rsidR="00EF5A5D">
          <w:rPr>
            <w:rFonts w:ascii="Calibri" w:hAnsi="Calibri"/>
            <w:noProof/>
            <w:lang w:eastAsia="en-AU"/>
          </w:rPr>
          <w:tab/>
        </w:r>
        <w:r w:rsidR="00EF5A5D" w:rsidRPr="00C342F8">
          <w:rPr>
            <w:rStyle w:val="Hyperlink"/>
            <w:noProof/>
          </w:rPr>
          <w:t>Comments on Draft Guideline</w:t>
        </w:r>
        <w:r w:rsidR="00EF5A5D">
          <w:rPr>
            <w:noProof/>
            <w:webHidden/>
          </w:rPr>
          <w:tab/>
        </w:r>
        <w:r w:rsidR="00EF5A5D">
          <w:rPr>
            <w:noProof/>
            <w:webHidden/>
          </w:rPr>
          <w:fldChar w:fldCharType="begin"/>
        </w:r>
        <w:r w:rsidR="00EF5A5D">
          <w:rPr>
            <w:noProof/>
            <w:webHidden/>
          </w:rPr>
          <w:instrText xml:space="preserve"> PAGEREF _Toc364350797 \h </w:instrText>
        </w:r>
        <w:r w:rsidR="00EF5A5D">
          <w:rPr>
            <w:noProof/>
            <w:webHidden/>
          </w:rPr>
        </w:r>
        <w:r w:rsidR="00EF5A5D">
          <w:rPr>
            <w:noProof/>
            <w:webHidden/>
          </w:rPr>
          <w:fldChar w:fldCharType="separate"/>
        </w:r>
        <w:r w:rsidR="00EF5A5D">
          <w:rPr>
            <w:noProof/>
            <w:webHidden/>
          </w:rPr>
          <w:t>7</w:t>
        </w:r>
        <w:r w:rsidR="00EF5A5D">
          <w:rPr>
            <w:noProof/>
            <w:webHidden/>
          </w:rPr>
          <w:fldChar w:fldCharType="end"/>
        </w:r>
      </w:hyperlink>
    </w:p>
    <w:p w:rsidR="00EF5A5D" w:rsidRDefault="00F745FF">
      <w:pPr>
        <w:pStyle w:val="TOC2"/>
        <w:tabs>
          <w:tab w:val="left" w:pos="880"/>
          <w:tab w:val="right" w:leader="dot" w:pos="9016"/>
        </w:tabs>
        <w:rPr>
          <w:rFonts w:ascii="Calibri" w:hAnsi="Calibri"/>
          <w:noProof/>
          <w:lang w:eastAsia="en-AU"/>
        </w:rPr>
      </w:pPr>
      <w:hyperlink w:anchor="_Toc364350798" w:history="1">
        <w:r w:rsidR="00EF5A5D" w:rsidRPr="00C342F8">
          <w:rPr>
            <w:rStyle w:val="Hyperlink"/>
            <w:noProof/>
          </w:rPr>
          <w:t>3.1</w:t>
        </w:r>
        <w:r w:rsidR="00EF5A5D">
          <w:rPr>
            <w:rFonts w:ascii="Calibri" w:hAnsi="Calibri"/>
            <w:noProof/>
            <w:lang w:eastAsia="en-AU"/>
          </w:rPr>
          <w:tab/>
        </w:r>
        <w:r w:rsidR="00EF5A5D" w:rsidRPr="00C342F8">
          <w:rPr>
            <w:rStyle w:val="Hyperlink"/>
            <w:noProof/>
          </w:rPr>
          <w:t>Nature &amp; Authority</w:t>
        </w:r>
        <w:r w:rsidR="00EF5A5D">
          <w:rPr>
            <w:noProof/>
            <w:webHidden/>
          </w:rPr>
          <w:tab/>
        </w:r>
        <w:r w:rsidR="00EF5A5D">
          <w:rPr>
            <w:noProof/>
            <w:webHidden/>
          </w:rPr>
          <w:fldChar w:fldCharType="begin"/>
        </w:r>
        <w:r w:rsidR="00EF5A5D">
          <w:rPr>
            <w:noProof/>
            <w:webHidden/>
          </w:rPr>
          <w:instrText xml:space="preserve"> PAGEREF _Toc364350798 \h </w:instrText>
        </w:r>
        <w:r w:rsidR="00EF5A5D">
          <w:rPr>
            <w:noProof/>
            <w:webHidden/>
          </w:rPr>
        </w:r>
        <w:r w:rsidR="00EF5A5D">
          <w:rPr>
            <w:noProof/>
            <w:webHidden/>
          </w:rPr>
          <w:fldChar w:fldCharType="separate"/>
        </w:r>
        <w:r w:rsidR="00EF5A5D">
          <w:rPr>
            <w:noProof/>
            <w:webHidden/>
          </w:rPr>
          <w:t>7</w:t>
        </w:r>
        <w:r w:rsidR="00EF5A5D">
          <w:rPr>
            <w:noProof/>
            <w:webHidden/>
          </w:rPr>
          <w:fldChar w:fldCharType="end"/>
        </w:r>
      </w:hyperlink>
    </w:p>
    <w:p w:rsidR="00EF5A5D" w:rsidRDefault="00F745FF">
      <w:pPr>
        <w:pStyle w:val="TOC2"/>
        <w:tabs>
          <w:tab w:val="left" w:pos="880"/>
          <w:tab w:val="right" w:leader="dot" w:pos="9016"/>
        </w:tabs>
        <w:rPr>
          <w:rFonts w:ascii="Calibri" w:hAnsi="Calibri"/>
          <w:noProof/>
          <w:lang w:eastAsia="en-AU"/>
        </w:rPr>
      </w:pPr>
      <w:hyperlink w:anchor="_Toc364350799" w:history="1">
        <w:r w:rsidR="00EF5A5D" w:rsidRPr="00C342F8">
          <w:rPr>
            <w:rStyle w:val="Hyperlink"/>
            <w:noProof/>
          </w:rPr>
          <w:t>3.2</w:t>
        </w:r>
        <w:r w:rsidR="00EF5A5D">
          <w:rPr>
            <w:rFonts w:ascii="Calibri" w:hAnsi="Calibri"/>
            <w:noProof/>
            <w:lang w:eastAsia="en-AU"/>
          </w:rPr>
          <w:tab/>
        </w:r>
        <w:r w:rsidR="00EF5A5D" w:rsidRPr="00C342F8">
          <w:rPr>
            <w:rStyle w:val="Hyperlink"/>
            <w:noProof/>
          </w:rPr>
          <w:t>Best Practice Principles</w:t>
        </w:r>
        <w:r w:rsidR="00EF5A5D">
          <w:rPr>
            <w:noProof/>
            <w:webHidden/>
          </w:rPr>
          <w:tab/>
        </w:r>
        <w:r w:rsidR="00EF5A5D">
          <w:rPr>
            <w:noProof/>
            <w:webHidden/>
          </w:rPr>
          <w:fldChar w:fldCharType="begin"/>
        </w:r>
        <w:r w:rsidR="00EF5A5D">
          <w:rPr>
            <w:noProof/>
            <w:webHidden/>
          </w:rPr>
          <w:instrText xml:space="preserve"> PAGEREF _Toc364350799 \h </w:instrText>
        </w:r>
        <w:r w:rsidR="00EF5A5D">
          <w:rPr>
            <w:noProof/>
            <w:webHidden/>
          </w:rPr>
        </w:r>
        <w:r w:rsidR="00EF5A5D">
          <w:rPr>
            <w:noProof/>
            <w:webHidden/>
          </w:rPr>
          <w:fldChar w:fldCharType="separate"/>
        </w:r>
        <w:r w:rsidR="00EF5A5D">
          <w:rPr>
            <w:noProof/>
            <w:webHidden/>
          </w:rPr>
          <w:t>8</w:t>
        </w:r>
        <w:r w:rsidR="00EF5A5D">
          <w:rPr>
            <w:noProof/>
            <w:webHidden/>
          </w:rPr>
          <w:fldChar w:fldCharType="end"/>
        </w:r>
      </w:hyperlink>
    </w:p>
    <w:p w:rsidR="00EF5A5D" w:rsidRDefault="00F745FF">
      <w:pPr>
        <w:pStyle w:val="TOC3"/>
        <w:tabs>
          <w:tab w:val="left" w:pos="1320"/>
          <w:tab w:val="right" w:leader="dot" w:pos="9016"/>
        </w:tabs>
        <w:rPr>
          <w:rFonts w:ascii="Calibri" w:hAnsi="Calibri"/>
          <w:noProof/>
          <w:lang w:eastAsia="en-AU"/>
        </w:rPr>
      </w:pPr>
      <w:hyperlink w:anchor="_Toc364350800" w:history="1">
        <w:r w:rsidR="00EF5A5D" w:rsidRPr="00C342F8">
          <w:rPr>
            <w:rStyle w:val="Hyperlink"/>
            <w:noProof/>
          </w:rPr>
          <w:t>3.2.1</w:t>
        </w:r>
        <w:r w:rsidR="00EF5A5D">
          <w:rPr>
            <w:rFonts w:ascii="Calibri" w:hAnsi="Calibri"/>
            <w:noProof/>
            <w:lang w:eastAsia="en-AU"/>
          </w:rPr>
          <w:tab/>
        </w:r>
        <w:r w:rsidR="00EF5A5D" w:rsidRPr="00C342F8">
          <w:rPr>
            <w:rStyle w:val="Hyperlink"/>
            <w:noProof/>
          </w:rPr>
          <w:t>Accessibility</w:t>
        </w:r>
        <w:r w:rsidR="00EF5A5D">
          <w:rPr>
            <w:noProof/>
            <w:webHidden/>
          </w:rPr>
          <w:tab/>
        </w:r>
        <w:r w:rsidR="00EF5A5D">
          <w:rPr>
            <w:noProof/>
            <w:webHidden/>
          </w:rPr>
          <w:fldChar w:fldCharType="begin"/>
        </w:r>
        <w:r w:rsidR="00EF5A5D">
          <w:rPr>
            <w:noProof/>
            <w:webHidden/>
          </w:rPr>
          <w:instrText xml:space="preserve"> PAGEREF _Toc364350800 \h </w:instrText>
        </w:r>
        <w:r w:rsidR="00EF5A5D">
          <w:rPr>
            <w:noProof/>
            <w:webHidden/>
          </w:rPr>
        </w:r>
        <w:r w:rsidR="00EF5A5D">
          <w:rPr>
            <w:noProof/>
            <w:webHidden/>
          </w:rPr>
          <w:fldChar w:fldCharType="separate"/>
        </w:r>
        <w:r w:rsidR="00EF5A5D">
          <w:rPr>
            <w:noProof/>
            <w:webHidden/>
          </w:rPr>
          <w:t>8</w:t>
        </w:r>
        <w:r w:rsidR="00EF5A5D">
          <w:rPr>
            <w:noProof/>
            <w:webHidden/>
          </w:rPr>
          <w:fldChar w:fldCharType="end"/>
        </w:r>
      </w:hyperlink>
    </w:p>
    <w:p w:rsidR="00EF5A5D" w:rsidRDefault="00F745FF">
      <w:pPr>
        <w:pStyle w:val="TOC3"/>
        <w:tabs>
          <w:tab w:val="left" w:pos="1320"/>
          <w:tab w:val="right" w:leader="dot" w:pos="9016"/>
        </w:tabs>
        <w:rPr>
          <w:rFonts w:ascii="Calibri" w:hAnsi="Calibri"/>
          <w:noProof/>
          <w:lang w:eastAsia="en-AU"/>
        </w:rPr>
      </w:pPr>
      <w:hyperlink w:anchor="_Toc364350801" w:history="1">
        <w:r w:rsidR="00EF5A5D" w:rsidRPr="00C342F8">
          <w:rPr>
            <w:rStyle w:val="Hyperlink"/>
            <w:noProof/>
          </w:rPr>
          <w:t>3.2.2</w:t>
        </w:r>
        <w:r w:rsidR="00EF5A5D">
          <w:rPr>
            <w:rFonts w:ascii="Calibri" w:hAnsi="Calibri"/>
            <w:noProof/>
            <w:lang w:eastAsia="en-AU"/>
          </w:rPr>
          <w:tab/>
        </w:r>
        <w:r w:rsidR="00EF5A5D" w:rsidRPr="00C342F8">
          <w:rPr>
            <w:rStyle w:val="Hyperlink"/>
            <w:noProof/>
          </w:rPr>
          <w:t>Transparent</w:t>
        </w:r>
        <w:r w:rsidR="00EF5A5D">
          <w:rPr>
            <w:noProof/>
            <w:webHidden/>
          </w:rPr>
          <w:tab/>
        </w:r>
        <w:r w:rsidR="00EF5A5D">
          <w:rPr>
            <w:noProof/>
            <w:webHidden/>
          </w:rPr>
          <w:fldChar w:fldCharType="begin"/>
        </w:r>
        <w:r w:rsidR="00EF5A5D">
          <w:rPr>
            <w:noProof/>
            <w:webHidden/>
          </w:rPr>
          <w:instrText xml:space="preserve"> PAGEREF _Toc364350801 \h </w:instrText>
        </w:r>
        <w:r w:rsidR="00EF5A5D">
          <w:rPr>
            <w:noProof/>
            <w:webHidden/>
          </w:rPr>
        </w:r>
        <w:r w:rsidR="00EF5A5D">
          <w:rPr>
            <w:noProof/>
            <w:webHidden/>
          </w:rPr>
          <w:fldChar w:fldCharType="separate"/>
        </w:r>
        <w:r w:rsidR="00EF5A5D">
          <w:rPr>
            <w:noProof/>
            <w:webHidden/>
          </w:rPr>
          <w:t>9</w:t>
        </w:r>
        <w:r w:rsidR="00EF5A5D">
          <w:rPr>
            <w:noProof/>
            <w:webHidden/>
          </w:rPr>
          <w:fldChar w:fldCharType="end"/>
        </w:r>
      </w:hyperlink>
    </w:p>
    <w:p w:rsidR="00EF5A5D" w:rsidRDefault="00F745FF">
      <w:pPr>
        <w:pStyle w:val="TOC3"/>
        <w:tabs>
          <w:tab w:val="left" w:pos="1320"/>
          <w:tab w:val="right" w:leader="dot" w:pos="9016"/>
        </w:tabs>
        <w:rPr>
          <w:rFonts w:ascii="Calibri" w:hAnsi="Calibri"/>
          <w:noProof/>
          <w:lang w:eastAsia="en-AU"/>
        </w:rPr>
      </w:pPr>
      <w:hyperlink w:anchor="_Toc364350802" w:history="1">
        <w:r w:rsidR="00EF5A5D" w:rsidRPr="00C342F8">
          <w:rPr>
            <w:rStyle w:val="Hyperlink"/>
            <w:noProof/>
          </w:rPr>
          <w:t>3.2.3</w:t>
        </w:r>
        <w:r w:rsidR="00EF5A5D">
          <w:rPr>
            <w:rFonts w:ascii="Calibri" w:hAnsi="Calibri"/>
            <w:noProof/>
            <w:lang w:eastAsia="en-AU"/>
          </w:rPr>
          <w:tab/>
        </w:r>
        <w:r w:rsidR="00EF5A5D" w:rsidRPr="00C342F8">
          <w:rPr>
            <w:rStyle w:val="Hyperlink"/>
            <w:noProof/>
          </w:rPr>
          <w:t>Communication</w:t>
        </w:r>
        <w:r w:rsidR="00EF5A5D">
          <w:rPr>
            <w:noProof/>
            <w:webHidden/>
          </w:rPr>
          <w:tab/>
        </w:r>
        <w:r w:rsidR="00EF5A5D">
          <w:rPr>
            <w:noProof/>
            <w:webHidden/>
          </w:rPr>
          <w:fldChar w:fldCharType="begin"/>
        </w:r>
        <w:r w:rsidR="00EF5A5D">
          <w:rPr>
            <w:noProof/>
            <w:webHidden/>
          </w:rPr>
          <w:instrText xml:space="preserve"> PAGEREF _Toc364350802 \h </w:instrText>
        </w:r>
        <w:r w:rsidR="00EF5A5D">
          <w:rPr>
            <w:noProof/>
            <w:webHidden/>
          </w:rPr>
        </w:r>
        <w:r w:rsidR="00EF5A5D">
          <w:rPr>
            <w:noProof/>
            <w:webHidden/>
          </w:rPr>
          <w:fldChar w:fldCharType="separate"/>
        </w:r>
        <w:r w:rsidR="00EF5A5D">
          <w:rPr>
            <w:noProof/>
            <w:webHidden/>
          </w:rPr>
          <w:t>9</w:t>
        </w:r>
        <w:r w:rsidR="00EF5A5D">
          <w:rPr>
            <w:noProof/>
            <w:webHidden/>
          </w:rPr>
          <w:fldChar w:fldCharType="end"/>
        </w:r>
      </w:hyperlink>
    </w:p>
    <w:p w:rsidR="00EF5A5D" w:rsidRDefault="00F745FF">
      <w:pPr>
        <w:pStyle w:val="TOC3"/>
        <w:tabs>
          <w:tab w:val="left" w:pos="1320"/>
          <w:tab w:val="right" w:leader="dot" w:pos="9016"/>
        </w:tabs>
        <w:rPr>
          <w:rFonts w:ascii="Calibri" w:hAnsi="Calibri"/>
          <w:noProof/>
          <w:lang w:eastAsia="en-AU"/>
        </w:rPr>
      </w:pPr>
      <w:hyperlink w:anchor="_Toc364350803" w:history="1">
        <w:r w:rsidR="00EF5A5D" w:rsidRPr="00C342F8">
          <w:rPr>
            <w:rStyle w:val="Hyperlink"/>
            <w:noProof/>
          </w:rPr>
          <w:t>3.2.4</w:t>
        </w:r>
        <w:r w:rsidR="00EF5A5D">
          <w:rPr>
            <w:rFonts w:ascii="Calibri" w:hAnsi="Calibri"/>
            <w:noProof/>
            <w:lang w:eastAsia="en-AU"/>
          </w:rPr>
          <w:tab/>
        </w:r>
        <w:r w:rsidR="00EF5A5D" w:rsidRPr="00C342F8">
          <w:rPr>
            <w:rStyle w:val="Hyperlink"/>
            <w:noProof/>
          </w:rPr>
          <w:t>Inclusive</w:t>
        </w:r>
        <w:r w:rsidR="00EF5A5D">
          <w:rPr>
            <w:noProof/>
            <w:webHidden/>
          </w:rPr>
          <w:tab/>
        </w:r>
        <w:r w:rsidR="00EF5A5D">
          <w:rPr>
            <w:noProof/>
            <w:webHidden/>
          </w:rPr>
          <w:fldChar w:fldCharType="begin"/>
        </w:r>
        <w:r w:rsidR="00EF5A5D">
          <w:rPr>
            <w:noProof/>
            <w:webHidden/>
          </w:rPr>
          <w:instrText xml:space="preserve"> PAGEREF _Toc364350803 \h </w:instrText>
        </w:r>
        <w:r w:rsidR="00EF5A5D">
          <w:rPr>
            <w:noProof/>
            <w:webHidden/>
          </w:rPr>
        </w:r>
        <w:r w:rsidR="00EF5A5D">
          <w:rPr>
            <w:noProof/>
            <w:webHidden/>
          </w:rPr>
          <w:fldChar w:fldCharType="separate"/>
        </w:r>
        <w:r w:rsidR="00EF5A5D">
          <w:rPr>
            <w:noProof/>
            <w:webHidden/>
          </w:rPr>
          <w:t>9</w:t>
        </w:r>
        <w:r w:rsidR="00EF5A5D">
          <w:rPr>
            <w:noProof/>
            <w:webHidden/>
          </w:rPr>
          <w:fldChar w:fldCharType="end"/>
        </w:r>
      </w:hyperlink>
    </w:p>
    <w:p w:rsidR="00EF5A5D" w:rsidRDefault="00F745FF">
      <w:pPr>
        <w:pStyle w:val="TOC3"/>
        <w:tabs>
          <w:tab w:val="left" w:pos="1320"/>
          <w:tab w:val="right" w:leader="dot" w:pos="9016"/>
        </w:tabs>
        <w:rPr>
          <w:rFonts w:ascii="Calibri" w:hAnsi="Calibri"/>
          <w:noProof/>
          <w:lang w:eastAsia="en-AU"/>
        </w:rPr>
      </w:pPr>
      <w:hyperlink w:anchor="_Toc364350804" w:history="1">
        <w:r w:rsidR="00EF5A5D" w:rsidRPr="00C342F8">
          <w:rPr>
            <w:rStyle w:val="Hyperlink"/>
            <w:noProof/>
          </w:rPr>
          <w:t>3.2.5</w:t>
        </w:r>
        <w:r w:rsidR="00EF5A5D">
          <w:rPr>
            <w:rFonts w:ascii="Calibri" w:hAnsi="Calibri"/>
            <w:noProof/>
            <w:lang w:eastAsia="en-AU"/>
          </w:rPr>
          <w:tab/>
        </w:r>
        <w:r w:rsidR="00EF5A5D" w:rsidRPr="00C342F8">
          <w:rPr>
            <w:rStyle w:val="Hyperlink"/>
            <w:noProof/>
          </w:rPr>
          <w:t>Measurable</w:t>
        </w:r>
        <w:r w:rsidR="00EF5A5D">
          <w:rPr>
            <w:noProof/>
            <w:webHidden/>
          </w:rPr>
          <w:tab/>
        </w:r>
        <w:r w:rsidR="00EF5A5D">
          <w:rPr>
            <w:noProof/>
            <w:webHidden/>
          </w:rPr>
          <w:fldChar w:fldCharType="begin"/>
        </w:r>
        <w:r w:rsidR="00EF5A5D">
          <w:rPr>
            <w:noProof/>
            <w:webHidden/>
          </w:rPr>
          <w:instrText xml:space="preserve"> PAGEREF _Toc364350804 \h </w:instrText>
        </w:r>
        <w:r w:rsidR="00EF5A5D">
          <w:rPr>
            <w:noProof/>
            <w:webHidden/>
          </w:rPr>
        </w:r>
        <w:r w:rsidR="00EF5A5D">
          <w:rPr>
            <w:noProof/>
            <w:webHidden/>
          </w:rPr>
          <w:fldChar w:fldCharType="separate"/>
        </w:r>
        <w:r w:rsidR="00EF5A5D">
          <w:rPr>
            <w:noProof/>
            <w:webHidden/>
          </w:rPr>
          <w:t>9</w:t>
        </w:r>
        <w:r w:rsidR="00EF5A5D">
          <w:rPr>
            <w:noProof/>
            <w:webHidden/>
          </w:rPr>
          <w:fldChar w:fldCharType="end"/>
        </w:r>
      </w:hyperlink>
    </w:p>
    <w:p w:rsidR="00EF5A5D" w:rsidRDefault="00F745FF">
      <w:pPr>
        <w:pStyle w:val="TOC2"/>
        <w:tabs>
          <w:tab w:val="left" w:pos="880"/>
          <w:tab w:val="right" w:leader="dot" w:pos="9016"/>
        </w:tabs>
        <w:rPr>
          <w:rFonts w:ascii="Calibri" w:hAnsi="Calibri"/>
          <w:noProof/>
          <w:lang w:eastAsia="en-AU"/>
        </w:rPr>
      </w:pPr>
      <w:hyperlink w:anchor="_Toc364350805" w:history="1">
        <w:r w:rsidR="00EF5A5D" w:rsidRPr="00C342F8">
          <w:rPr>
            <w:rStyle w:val="Hyperlink"/>
            <w:noProof/>
          </w:rPr>
          <w:t>3.3</w:t>
        </w:r>
        <w:r w:rsidR="00EF5A5D">
          <w:rPr>
            <w:rFonts w:ascii="Calibri" w:hAnsi="Calibri"/>
            <w:noProof/>
            <w:lang w:eastAsia="en-AU"/>
          </w:rPr>
          <w:tab/>
        </w:r>
        <w:r w:rsidR="00EF5A5D" w:rsidRPr="00C342F8">
          <w:rPr>
            <w:rStyle w:val="Hyperlink"/>
            <w:noProof/>
          </w:rPr>
          <w:t>Prioritising Engagement</w:t>
        </w:r>
        <w:r w:rsidR="00EF5A5D">
          <w:rPr>
            <w:noProof/>
            <w:webHidden/>
          </w:rPr>
          <w:tab/>
        </w:r>
        <w:r w:rsidR="00EF5A5D">
          <w:rPr>
            <w:noProof/>
            <w:webHidden/>
          </w:rPr>
          <w:fldChar w:fldCharType="begin"/>
        </w:r>
        <w:r w:rsidR="00EF5A5D">
          <w:rPr>
            <w:noProof/>
            <w:webHidden/>
          </w:rPr>
          <w:instrText xml:space="preserve"> PAGEREF _Toc364350805 \h </w:instrText>
        </w:r>
        <w:r w:rsidR="00EF5A5D">
          <w:rPr>
            <w:noProof/>
            <w:webHidden/>
          </w:rPr>
        </w:r>
        <w:r w:rsidR="00EF5A5D">
          <w:rPr>
            <w:noProof/>
            <w:webHidden/>
          </w:rPr>
          <w:fldChar w:fldCharType="separate"/>
        </w:r>
        <w:r w:rsidR="00EF5A5D">
          <w:rPr>
            <w:noProof/>
            <w:webHidden/>
          </w:rPr>
          <w:t>9</w:t>
        </w:r>
        <w:r w:rsidR="00EF5A5D">
          <w:rPr>
            <w:noProof/>
            <w:webHidden/>
          </w:rPr>
          <w:fldChar w:fldCharType="end"/>
        </w:r>
      </w:hyperlink>
    </w:p>
    <w:p w:rsidR="00EF5A5D" w:rsidRDefault="00F745FF">
      <w:pPr>
        <w:pStyle w:val="TOC2"/>
        <w:tabs>
          <w:tab w:val="left" w:pos="880"/>
          <w:tab w:val="right" w:leader="dot" w:pos="9016"/>
        </w:tabs>
        <w:rPr>
          <w:rFonts w:ascii="Calibri" w:hAnsi="Calibri"/>
          <w:noProof/>
          <w:lang w:eastAsia="en-AU"/>
        </w:rPr>
      </w:pPr>
      <w:hyperlink w:anchor="_Toc364350806" w:history="1">
        <w:r w:rsidR="00EF5A5D" w:rsidRPr="00C342F8">
          <w:rPr>
            <w:rStyle w:val="Hyperlink"/>
            <w:noProof/>
          </w:rPr>
          <w:t>3.4</w:t>
        </w:r>
        <w:r w:rsidR="00EF5A5D">
          <w:rPr>
            <w:rFonts w:ascii="Calibri" w:hAnsi="Calibri"/>
            <w:noProof/>
            <w:lang w:eastAsia="en-AU"/>
          </w:rPr>
          <w:tab/>
        </w:r>
        <w:r w:rsidR="00EF5A5D" w:rsidRPr="00C342F8">
          <w:rPr>
            <w:rStyle w:val="Hyperlink"/>
            <w:noProof/>
          </w:rPr>
          <w:t>Delivery</w:t>
        </w:r>
        <w:r w:rsidR="00EF5A5D">
          <w:rPr>
            <w:noProof/>
            <w:webHidden/>
          </w:rPr>
          <w:tab/>
        </w:r>
        <w:r w:rsidR="00EF5A5D">
          <w:rPr>
            <w:noProof/>
            <w:webHidden/>
          </w:rPr>
          <w:fldChar w:fldCharType="begin"/>
        </w:r>
        <w:r w:rsidR="00EF5A5D">
          <w:rPr>
            <w:noProof/>
            <w:webHidden/>
          </w:rPr>
          <w:instrText xml:space="preserve"> PAGEREF _Toc364350806 \h </w:instrText>
        </w:r>
        <w:r w:rsidR="00EF5A5D">
          <w:rPr>
            <w:noProof/>
            <w:webHidden/>
          </w:rPr>
        </w:r>
        <w:r w:rsidR="00EF5A5D">
          <w:rPr>
            <w:noProof/>
            <w:webHidden/>
          </w:rPr>
          <w:fldChar w:fldCharType="separate"/>
        </w:r>
        <w:r w:rsidR="00EF5A5D">
          <w:rPr>
            <w:noProof/>
            <w:webHidden/>
          </w:rPr>
          <w:t>10</w:t>
        </w:r>
        <w:r w:rsidR="00EF5A5D">
          <w:rPr>
            <w:noProof/>
            <w:webHidden/>
          </w:rPr>
          <w:fldChar w:fldCharType="end"/>
        </w:r>
      </w:hyperlink>
    </w:p>
    <w:p w:rsidR="00EF5A5D" w:rsidRDefault="00F745FF">
      <w:pPr>
        <w:pStyle w:val="TOC2"/>
        <w:tabs>
          <w:tab w:val="left" w:pos="880"/>
          <w:tab w:val="right" w:leader="dot" w:pos="9016"/>
        </w:tabs>
        <w:rPr>
          <w:rFonts w:ascii="Calibri" w:hAnsi="Calibri"/>
          <w:noProof/>
          <w:lang w:eastAsia="en-AU"/>
        </w:rPr>
      </w:pPr>
      <w:hyperlink w:anchor="_Toc364350807" w:history="1">
        <w:r w:rsidR="00EF5A5D" w:rsidRPr="00C342F8">
          <w:rPr>
            <w:rStyle w:val="Hyperlink"/>
            <w:noProof/>
          </w:rPr>
          <w:t>3.5</w:t>
        </w:r>
        <w:r w:rsidR="00EF5A5D">
          <w:rPr>
            <w:rFonts w:ascii="Calibri" w:hAnsi="Calibri"/>
            <w:noProof/>
            <w:lang w:eastAsia="en-AU"/>
          </w:rPr>
          <w:tab/>
        </w:r>
        <w:r w:rsidR="00EF5A5D" w:rsidRPr="00C342F8">
          <w:rPr>
            <w:rStyle w:val="Hyperlink"/>
            <w:noProof/>
          </w:rPr>
          <w:t>Results</w:t>
        </w:r>
        <w:r w:rsidR="00EF5A5D">
          <w:rPr>
            <w:noProof/>
            <w:webHidden/>
          </w:rPr>
          <w:tab/>
        </w:r>
        <w:r w:rsidR="00EF5A5D">
          <w:rPr>
            <w:noProof/>
            <w:webHidden/>
          </w:rPr>
          <w:fldChar w:fldCharType="begin"/>
        </w:r>
        <w:r w:rsidR="00EF5A5D">
          <w:rPr>
            <w:noProof/>
            <w:webHidden/>
          </w:rPr>
          <w:instrText xml:space="preserve"> PAGEREF _Toc364350807 \h </w:instrText>
        </w:r>
        <w:r w:rsidR="00EF5A5D">
          <w:rPr>
            <w:noProof/>
            <w:webHidden/>
          </w:rPr>
        </w:r>
        <w:r w:rsidR="00EF5A5D">
          <w:rPr>
            <w:noProof/>
            <w:webHidden/>
          </w:rPr>
          <w:fldChar w:fldCharType="separate"/>
        </w:r>
        <w:r w:rsidR="00EF5A5D">
          <w:rPr>
            <w:noProof/>
            <w:webHidden/>
          </w:rPr>
          <w:t>10</w:t>
        </w:r>
        <w:r w:rsidR="00EF5A5D">
          <w:rPr>
            <w:noProof/>
            <w:webHidden/>
          </w:rPr>
          <w:fldChar w:fldCharType="end"/>
        </w:r>
      </w:hyperlink>
    </w:p>
    <w:p w:rsidR="00EF5A5D" w:rsidRDefault="00F745FF">
      <w:pPr>
        <w:pStyle w:val="TOC2"/>
        <w:tabs>
          <w:tab w:val="left" w:pos="880"/>
          <w:tab w:val="right" w:leader="dot" w:pos="9016"/>
        </w:tabs>
        <w:rPr>
          <w:rFonts w:ascii="Calibri" w:hAnsi="Calibri"/>
          <w:noProof/>
          <w:lang w:eastAsia="en-AU"/>
        </w:rPr>
      </w:pPr>
      <w:hyperlink w:anchor="_Toc364350808" w:history="1">
        <w:r w:rsidR="00EF5A5D" w:rsidRPr="00C342F8">
          <w:rPr>
            <w:rStyle w:val="Hyperlink"/>
            <w:noProof/>
          </w:rPr>
          <w:t>3.6</w:t>
        </w:r>
        <w:r w:rsidR="00EF5A5D">
          <w:rPr>
            <w:rFonts w:ascii="Calibri" w:hAnsi="Calibri"/>
            <w:noProof/>
            <w:lang w:eastAsia="en-AU"/>
          </w:rPr>
          <w:tab/>
        </w:r>
        <w:r w:rsidR="00EF5A5D" w:rsidRPr="00C342F8">
          <w:rPr>
            <w:rStyle w:val="Hyperlink"/>
            <w:noProof/>
          </w:rPr>
          <w:t>Evaluation and Review</w:t>
        </w:r>
        <w:r w:rsidR="00EF5A5D">
          <w:rPr>
            <w:noProof/>
            <w:webHidden/>
          </w:rPr>
          <w:tab/>
        </w:r>
        <w:r w:rsidR="00EF5A5D">
          <w:rPr>
            <w:noProof/>
            <w:webHidden/>
          </w:rPr>
          <w:fldChar w:fldCharType="begin"/>
        </w:r>
        <w:r w:rsidR="00EF5A5D">
          <w:rPr>
            <w:noProof/>
            <w:webHidden/>
          </w:rPr>
          <w:instrText xml:space="preserve"> PAGEREF _Toc364350808 \h </w:instrText>
        </w:r>
        <w:r w:rsidR="00EF5A5D">
          <w:rPr>
            <w:noProof/>
            <w:webHidden/>
          </w:rPr>
        </w:r>
        <w:r w:rsidR="00EF5A5D">
          <w:rPr>
            <w:noProof/>
            <w:webHidden/>
          </w:rPr>
          <w:fldChar w:fldCharType="separate"/>
        </w:r>
        <w:r w:rsidR="00EF5A5D">
          <w:rPr>
            <w:noProof/>
            <w:webHidden/>
          </w:rPr>
          <w:t>10</w:t>
        </w:r>
        <w:r w:rsidR="00EF5A5D">
          <w:rPr>
            <w:noProof/>
            <w:webHidden/>
          </w:rPr>
          <w:fldChar w:fldCharType="end"/>
        </w:r>
      </w:hyperlink>
    </w:p>
    <w:p w:rsidR="00EF5A5D" w:rsidRDefault="00F745FF">
      <w:pPr>
        <w:pStyle w:val="TOC2"/>
        <w:tabs>
          <w:tab w:val="left" w:pos="880"/>
          <w:tab w:val="right" w:leader="dot" w:pos="9016"/>
        </w:tabs>
        <w:rPr>
          <w:rFonts w:ascii="Calibri" w:hAnsi="Calibri"/>
          <w:noProof/>
          <w:lang w:eastAsia="en-AU"/>
        </w:rPr>
      </w:pPr>
      <w:hyperlink w:anchor="_Toc364350809" w:history="1">
        <w:r w:rsidR="00EF5A5D" w:rsidRPr="00C342F8">
          <w:rPr>
            <w:rStyle w:val="Hyperlink"/>
            <w:noProof/>
          </w:rPr>
          <w:t>3.7</w:t>
        </w:r>
        <w:r w:rsidR="00EF5A5D">
          <w:rPr>
            <w:rFonts w:ascii="Calibri" w:hAnsi="Calibri"/>
            <w:noProof/>
            <w:lang w:eastAsia="en-AU"/>
          </w:rPr>
          <w:tab/>
        </w:r>
        <w:r w:rsidR="00EF5A5D" w:rsidRPr="00C342F8">
          <w:rPr>
            <w:rStyle w:val="Hyperlink"/>
            <w:noProof/>
          </w:rPr>
          <w:t>Expectations</w:t>
        </w:r>
        <w:r w:rsidR="00EF5A5D">
          <w:rPr>
            <w:noProof/>
            <w:webHidden/>
          </w:rPr>
          <w:tab/>
        </w:r>
        <w:r w:rsidR="00EF5A5D">
          <w:rPr>
            <w:noProof/>
            <w:webHidden/>
          </w:rPr>
          <w:fldChar w:fldCharType="begin"/>
        </w:r>
        <w:r w:rsidR="00EF5A5D">
          <w:rPr>
            <w:noProof/>
            <w:webHidden/>
          </w:rPr>
          <w:instrText xml:space="preserve"> PAGEREF _Toc364350809 \h </w:instrText>
        </w:r>
        <w:r w:rsidR="00EF5A5D">
          <w:rPr>
            <w:noProof/>
            <w:webHidden/>
          </w:rPr>
        </w:r>
        <w:r w:rsidR="00EF5A5D">
          <w:rPr>
            <w:noProof/>
            <w:webHidden/>
          </w:rPr>
          <w:fldChar w:fldCharType="separate"/>
        </w:r>
        <w:r w:rsidR="00EF5A5D">
          <w:rPr>
            <w:noProof/>
            <w:webHidden/>
          </w:rPr>
          <w:t>10</w:t>
        </w:r>
        <w:r w:rsidR="00EF5A5D">
          <w:rPr>
            <w:noProof/>
            <w:webHidden/>
          </w:rPr>
          <w:fldChar w:fldCharType="end"/>
        </w:r>
      </w:hyperlink>
    </w:p>
    <w:p w:rsidR="00EF5A5D" w:rsidRDefault="00F745FF">
      <w:pPr>
        <w:pStyle w:val="TOC2"/>
        <w:tabs>
          <w:tab w:val="left" w:pos="880"/>
          <w:tab w:val="right" w:leader="dot" w:pos="9016"/>
        </w:tabs>
        <w:rPr>
          <w:rFonts w:ascii="Calibri" w:hAnsi="Calibri"/>
          <w:noProof/>
          <w:lang w:eastAsia="en-AU"/>
        </w:rPr>
      </w:pPr>
      <w:hyperlink w:anchor="_Toc364350810" w:history="1">
        <w:r w:rsidR="00EF5A5D" w:rsidRPr="00C342F8">
          <w:rPr>
            <w:rStyle w:val="Hyperlink"/>
            <w:noProof/>
          </w:rPr>
          <w:t>3.8</w:t>
        </w:r>
        <w:r w:rsidR="00EF5A5D">
          <w:rPr>
            <w:rFonts w:ascii="Calibri" w:hAnsi="Calibri"/>
            <w:noProof/>
            <w:lang w:eastAsia="en-AU"/>
          </w:rPr>
          <w:tab/>
        </w:r>
        <w:r w:rsidR="00EF5A5D" w:rsidRPr="00C342F8">
          <w:rPr>
            <w:rStyle w:val="Hyperlink"/>
            <w:noProof/>
          </w:rPr>
          <w:t>Need for More Guidance?</w:t>
        </w:r>
        <w:r w:rsidR="00EF5A5D">
          <w:rPr>
            <w:noProof/>
            <w:webHidden/>
          </w:rPr>
          <w:tab/>
        </w:r>
        <w:r w:rsidR="00EF5A5D">
          <w:rPr>
            <w:noProof/>
            <w:webHidden/>
          </w:rPr>
          <w:fldChar w:fldCharType="begin"/>
        </w:r>
        <w:r w:rsidR="00EF5A5D">
          <w:rPr>
            <w:noProof/>
            <w:webHidden/>
          </w:rPr>
          <w:instrText xml:space="preserve"> PAGEREF _Toc364350810 \h </w:instrText>
        </w:r>
        <w:r w:rsidR="00EF5A5D">
          <w:rPr>
            <w:noProof/>
            <w:webHidden/>
          </w:rPr>
        </w:r>
        <w:r w:rsidR="00EF5A5D">
          <w:rPr>
            <w:noProof/>
            <w:webHidden/>
          </w:rPr>
          <w:fldChar w:fldCharType="separate"/>
        </w:r>
        <w:r w:rsidR="00EF5A5D">
          <w:rPr>
            <w:noProof/>
            <w:webHidden/>
          </w:rPr>
          <w:t>11</w:t>
        </w:r>
        <w:r w:rsidR="00EF5A5D">
          <w:rPr>
            <w:noProof/>
            <w:webHidden/>
          </w:rPr>
          <w:fldChar w:fldCharType="end"/>
        </w:r>
      </w:hyperlink>
    </w:p>
    <w:p w:rsidR="00EF5A5D" w:rsidRDefault="00F745FF">
      <w:pPr>
        <w:pStyle w:val="TOC2"/>
        <w:tabs>
          <w:tab w:val="left" w:pos="880"/>
          <w:tab w:val="right" w:leader="dot" w:pos="9016"/>
        </w:tabs>
        <w:rPr>
          <w:rFonts w:ascii="Calibri" w:hAnsi="Calibri"/>
          <w:noProof/>
          <w:lang w:eastAsia="en-AU"/>
        </w:rPr>
      </w:pPr>
      <w:hyperlink w:anchor="_Toc364350811" w:history="1">
        <w:r w:rsidR="00EF5A5D" w:rsidRPr="00C342F8">
          <w:rPr>
            <w:rStyle w:val="Hyperlink"/>
            <w:noProof/>
          </w:rPr>
          <w:t>3.9</w:t>
        </w:r>
        <w:r w:rsidR="00EF5A5D">
          <w:rPr>
            <w:rFonts w:ascii="Calibri" w:hAnsi="Calibri"/>
            <w:noProof/>
            <w:lang w:eastAsia="en-AU"/>
          </w:rPr>
          <w:tab/>
        </w:r>
        <w:r w:rsidR="00EF5A5D" w:rsidRPr="00C342F8">
          <w:rPr>
            <w:rStyle w:val="Hyperlink"/>
            <w:noProof/>
          </w:rPr>
          <w:t>Agreement between NSPs and Consumers</w:t>
        </w:r>
        <w:r w:rsidR="00EF5A5D">
          <w:rPr>
            <w:noProof/>
            <w:webHidden/>
          </w:rPr>
          <w:tab/>
        </w:r>
        <w:r w:rsidR="00EF5A5D">
          <w:rPr>
            <w:noProof/>
            <w:webHidden/>
          </w:rPr>
          <w:fldChar w:fldCharType="begin"/>
        </w:r>
        <w:r w:rsidR="00EF5A5D">
          <w:rPr>
            <w:noProof/>
            <w:webHidden/>
          </w:rPr>
          <w:instrText xml:space="preserve"> PAGEREF _Toc364350811 \h </w:instrText>
        </w:r>
        <w:r w:rsidR="00EF5A5D">
          <w:rPr>
            <w:noProof/>
            <w:webHidden/>
          </w:rPr>
        </w:r>
        <w:r w:rsidR="00EF5A5D">
          <w:rPr>
            <w:noProof/>
            <w:webHidden/>
          </w:rPr>
          <w:fldChar w:fldCharType="separate"/>
        </w:r>
        <w:r w:rsidR="00EF5A5D">
          <w:rPr>
            <w:noProof/>
            <w:webHidden/>
          </w:rPr>
          <w:t>11</w:t>
        </w:r>
        <w:r w:rsidR="00EF5A5D">
          <w:rPr>
            <w:noProof/>
            <w:webHidden/>
          </w:rPr>
          <w:fldChar w:fldCharType="end"/>
        </w:r>
      </w:hyperlink>
    </w:p>
    <w:p w:rsidR="00EF5A5D" w:rsidRDefault="00F745FF">
      <w:pPr>
        <w:pStyle w:val="TOC1"/>
        <w:tabs>
          <w:tab w:val="left" w:pos="440"/>
          <w:tab w:val="right" w:leader="dot" w:pos="9016"/>
        </w:tabs>
        <w:rPr>
          <w:rFonts w:ascii="Calibri" w:hAnsi="Calibri"/>
          <w:noProof/>
          <w:lang w:eastAsia="en-AU"/>
        </w:rPr>
      </w:pPr>
      <w:hyperlink w:anchor="_Toc364350812" w:history="1">
        <w:r w:rsidR="00EF5A5D" w:rsidRPr="00C342F8">
          <w:rPr>
            <w:rStyle w:val="Hyperlink"/>
            <w:noProof/>
          </w:rPr>
          <w:t>4</w:t>
        </w:r>
        <w:r w:rsidR="00EF5A5D">
          <w:rPr>
            <w:rFonts w:ascii="Calibri" w:hAnsi="Calibri"/>
            <w:noProof/>
            <w:lang w:eastAsia="en-AU"/>
          </w:rPr>
          <w:tab/>
        </w:r>
        <w:r w:rsidR="00EF5A5D" w:rsidRPr="00C342F8">
          <w:rPr>
            <w:rStyle w:val="Hyperlink"/>
            <w:noProof/>
          </w:rPr>
          <w:t>Engagement by the AER with Consumers</w:t>
        </w:r>
        <w:r w:rsidR="00EF5A5D">
          <w:rPr>
            <w:noProof/>
            <w:webHidden/>
          </w:rPr>
          <w:tab/>
        </w:r>
        <w:r w:rsidR="00EF5A5D">
          <w:rPr>
            <w:noProof/>
            <w:webHidden/>
          </w:rPr>
          <w:fldChar w:fldCharType="begin"/>
        </w:r>
        <w:r w:rsidR="00EF5A5D">
          <w:rPr>
            <w:noProof/>
            <w:webHidden/>
          </w:rPr>
          <w:instrText xml:space="preserve"> PAGEREF _Toc364350812 \h </w:instrText>
        </w:r>
        <w:r w:rsidR="00EF5A5D">
          <w:rPr>
            <w:noProof/>
            <w:webHidden/>
          </w:rPr>
        </w:r>
        <w:r w:rsidR="00EF5A5D">
          <w:rPr>
            <w:noProof/>
            <w:webHidden/>
          </w:rPr>
          <w:fldChar w:fldCharType="separate"/>
        </w:r>
        <w:r w:rsidR="00EF5A5D">
          <w:rPr>
            <w:noProof/>
            <w:webHidden/>
          </w:rPr>
          <w:t>12</w:t>
        </w:r>
        <w:r w:rsidR="00EF5A5D">
          <w:rPr>
            <w:noProof/>
            <w:webHidden/>
          </w:rPr>
          <w:fldChar w:fldCharType="end"/>
        </w:r>
      </w:hyperlink>
    </w:p>
    <w:p w:rsidR="00EF5A5D" w:rsidRDefault="00F745FF">
      <w:pPr>
        <w:pStyle w:val="TOC1"/>
        <w:tabs>
          <w:tab w:val="right" w:leader="dot" w:pos="9016"/>
        </w:tabs>
        <w:rPr>
          <w:rFonts w:ascii="Calibri" w:hAnsi="Calibri"/>
          <w:noProof/>
          <w:lang w:eastAsia="en-AU"/>
        </w:rPr>
      </w:pPr>
      <w:hyperlink w:anchor="_Toc364350813" w:history="1">
        <w:r w:rsidR="00EF5A5D" w:rsidRPr="00C342F8">
          <w:rPr>
            <w:rStyle w:val="Hyperlink"/>
            <w:noProof/>
          </w:rPr>
          <w:t>ATTACHMENT: List of COASBOA Members</w:t>
        </w:r>
        <w:r w:rsidR="00EF5A5D">
          <w:rPr>
            <w:noProof/>
            <w:webHidden/>
          </w:rPr>
          <w:tab/>
        </w:r>
        <w:r w:rsidR="00EF5A5D">
          <w:rPr>
            <w:noProof/>
            <w:webHidden/>
          </w:rPr>
          <w:fldChar w:fldCharType="begin"/>
        </w:r>
        <w:r w:rsidR="00EF5A5D">
          <w:rPr>
            <w:noProof/>
            <w:webHidden/>
          </w:rPr>
          <w:instrText xml:space="preserve"> PAGEREF _Toc364350813 \h </w:instrText>
        </w:r>
        <w:r w:rsidR="00EF5A5D">
          <w:rPr>
            <w:noProof/>
            <w:webHidden/>
          </w:rPr>
        </w:r>
        <w:r w:rsidR="00EF5A5D">
          <w:rPr>
            <w:noProof/>
            <w:webHidden/>
          </w:rPr>
          <w:fldChar w:fldCharType="separate"/>
        </w:r>
        <w:r w:rsidR="00EF5A5D">
          <w:rPr>
            <w:noProof/>
            <w:webHidden/>
          </w:rPr>
          <w:t>13</w:t>
        </w:r>
        <w:r w:rsidR="00EF5A5D">
          <w:rPr>
            <w:noProof/>
            <w:webHidden/>
          </w:rPr>
          <w:fldChar w:fldCharType="end"/>
        </w:r>
      </w:hyperlink>
    </w:p>
    <w:p w:rsidR="00EF5A5D" w:rsidRDefault="00EF5A5D">
      <w:r>
        <w:fldChar w:fldCharType="end"/>
      </w:r>
    </w:p>
    <w:p w:rsidR="00EF5A5D" w:rsidRDefault="00EF5A5D" w:rsidP="00742E9E">
      <w:pPr>
        <w:pStyle w:val="Heading1"/>
        <w:sectPr w:rsidR="00EF5A5D" w:rsidSect="00CB38E9">
          <w:headerReference w:type="default" r:id="rId16"/>
          <w:footerReference w:type="default" r:id="rId17"/>
          <w:pgSz w:w="11906" w:h="16838"/>
          <w:pgMar w:top="1440" w:right="1440" w:bottom="1440" w:left="1440" w:header="708" w:footer="708" w:gutter="0"/>
          <w:pgNumType w:fmt="lowerRoman" w:start="1"/>
          <w:cols w:space="708"/>
          <w:docGrid w:linePitch="360"/>
        </w:sectPr>
      </w:pPr>
    </w:p>
    <w:p w:rsidR="00EF5A5D" w:rsidRDefault="00EF5A5D" w:rsidP="00742E9E">
      <w:pPr>
        <w:pStyle w:val="Heading1"/>
      </w:pPr>
      <w:bookmarkStart w:id="1" w:name="_Toc364350787"/>
      <w:r>
        <w:t>Introduction</w:t>
      </w:r>
      <w:bookmarkEnd w:id="1"/>
    </w:p>
    <w:p w:rsidR="00EF5A5D" w:rsidRDefault="00EF5A5D"/>
    <w:p w:rsidR="00EF5A5D" w:rsidRDefault="00EF5A5D" w:rsidP="00742E9E">
      <w:r>
        <w:t>The Council of Small Business Australia (COSBOA) supports the need for better regulation in Australia, the Australian Energy Regulator’s (AERs) involvement in this and the efforts of the AER to engage with consumers (and their representatives) in a meaningful way on its Better Regulation Program (BRP).  COSBOA also appreciates the opportunity to provide written and other input to the BRP, including through this submission.</w:t>
      </w:r>
    </w:p>
    <w:p w:rsidR="00EF5A5D" w:rsidRDefault="00EF5A5D" w:rsidP="00742E9E"/>
    <w:p w:rsidR="00EF5A5D" w:rsidRPr="00742E9E" w:rsidRDefault="00EF5A5D" w:rsidP="00742E9E">
      <w:r>
        <w:t xml:space="preserve">This submission responds to the AER’s </w:t>
      </w:r>
      <w:r>
        <w:rPr>
          <w:i/>
        </w:rPr>
        <w:t>Draft Consumer Engagement Guideline for Network Service Providers</w:t>
      </w:r>
      <w:r>
        <w:t xml:space="preserve"> and the accompanying </w:t>
      </w:r>
      <w:r>
        <w:rPr>
          <w:i/>
        </w:rPr>
        <w:t>Explanatory Statement</w:t>
      </w:r>
      <w:r>
        <w:t xml:space="preserve"> both released in July 2013.  </w:t>
      </w:r>
    </w:p>
    <w:p w:rsidR="00EF5A5D" w:rsidRDefault="00EF5A5D" w:rsidP="00F36D03">
      <w:pPr>
        <w:pStyle w:val="Heading2"/>
      </w:pPr>
      <w:bookmarkStart w:id="2" w:name="_Toc359506799"/>
      <w:bookmarkStart w:id="3" w:name="_Toc364350788"/>
      <w:bookmarkStart w:id="4" w:name="_Toc359506796"/>
      <w:r>
        <w:t>About COSBOA and Energy Regulation</w:t>
      </w:r>
      <w:bookmarkEnd w:id="2"/>
      <w:bookmarkEnd w:id="3"/>
    </w:p>
    <w:p w:rsidR="00EF5A5D" w:rsidRDefault="00EF5A5D" w:rsidP="00F36D03"/>
    <w:p w:rsidR="00EF5A5D" w:rsidRDefault="00EF5A5D" w:rsidP="00F36D03">
      <w:pPr>
        <w:rPr>
          <w:lang w:eastAsia="en-AU"/>
        </w:rPr>
      </w:pPr>
      <w:r>
        <w:rPr>
          <w:lang w:eastAsia="en-AU"/>
        </w:rPr>
        <w:t>COSBOA</w:t>
      </w:r>
      <w:r w:rsidRPr="008A4FB7">
        <w:rPr>
          <w:lang w:eastAsia="en-AU"/>
        </w:rPr>
        <w:t xml:space="preserve"> was founded in 1979 and has a proud history of strong advocacy on small business issues ranging from taxation and workplace relations, through to competition law and retail tenancy. We were created by people who believed that small business needed a voice exclusively representing </w:t>
      </w:r>
      <w:r>
        <w:rPr>
          <w:lang w:eastAsia="en-AU"/>
        </w:rPr>
        <w:t>their</w:t>
      </w:r>
      <w:r w:rsidRPr="008A4FB7">
        <w:rPr>
          <w:lang w:eastAsia="en-AU"/>
        </w:rPr>
        <w:t xml:space="preserve"> interests. Our goals are to:</w:t>
      </w:r>
    </w:p>
    <w:p w:rsidR="00EF5A5D" w:rsidRPr="008A4FB7" w:rsidRDefault="00EF5A5D" w:rsidP="00F36D03">
      <w:pPr>
        <w:rPr>
          <w:lang w:eastAsia="en-AU"/>
        </w:rPr>
      </w:pPr>
    </w:p>
    <w:p w:rsidR="00EF5A5D" w:rsidRPr="008A4FB7" w:rsidRDefault="00EF5A5D" w:rsidP="00F36D03">
      <w:pPr>
        <w:pStyle w:val="ListParagraph"/>
        <w:numPr>
          <w:ilvl w:val="0"/>
          <w:numId w:val="2"/>
        </w:numPr>
        <w:rPr>
          <w:lang w:eastAsia="en-AU"/>
        </w:rPr>
      </w:pPr>
      <w:r w:rsidRPr="008A4FB7">
        <w:rPr>
          <w:lang w:eastAsia="en-AU"/>
        </w:rPr>
        <w:t xml:space="preserve">Promote and support the development of small businesses in Australia; </w:t>
      </w:r>
    </w:p>
    <w:p w:rsidR="00EF5A5D" w:rsidRPr="008A4FB7" w:rsidRDefault="00EF5A5D" w:rsidP="00F36D03">
      <w:pPr>
        <w:pStyle w:val="ListParagraph"/>
        <w:numPr>
          <w:ilvl w:val="0"/>
          <w:numId w:val="2"/>
        </w:numPr>
        <w:rPr>
          <w:lang w:eastAsia="en-AU"/>
        </w:rPr>
      </w:pPr>
      <w:r w:rsidRPr="008A4FB7">
        <w:rPr>
          <w:lang w:eastAsia="en-AU"/>
        </w:rPr>
        <w:t xml:space="preserve">Advocate to advance the interests of small business in Australia, including through policy and regulatory reform; </w:t>
      </w:r>
      <w:r>
        <w:rPr>
          <w:lang w:eastAsia="en-AU"/>
        </w:rPr>
        <w:t>and</w:t>
      </w:r>
    </w:p>
    <w:p w:rsidR="00EF5A5D" w:rsidRPr="008A4FB7" w:rsidRDefault="00EF5A5D" w:rsidP="00F36D03">
      <w:pPr>
        <w:pStyle w:val="ListParagraph"/>
        <w:numPr>
          <w:ilvl w:val="0"/>
          <w:numId w:val="2"/>
        </w:numPr>
        <w:rPr>
          <w:lang w:eastAsia="en-AU"/>
        </w:rPr>
      </w:pPr>
      <w:r w:rsidRPr="008A4FB7">
        <w:rPr>
          <w:lang w:eastAsia="en-AU"/>
        </w:rPr>
        <w:t xml:space="preserve">Foster an increased awareness and understanding of the role of small business in Australia amongst elected government and officials, </w:t>
      </w:r>
      <w:r>
        <w:rPr>
          <w:lang w:eastAsia="en-AU"/>
        </w:rPr>
        <w:t xml:space="preserve">regulators, </w:t>
      </w:r>
      <w:r w:rsidRPr="008A4FB7">
        <w:rPr>
          <w:lang w:eastAsia="en-AU"/>
        </w:rPr>
        <w:t xml:space="preserve">larger businesses, the media and the general community. </w:t>
      </w:r>
    </w:p>
    <w:p w:rsidR="00EF5A5D" w:rsidRDefault="00EF5A5D" w:rsidP="00F36D03">
      <w:pPr>
        <w:rPr>
          <w:lang w:eastAsia="en-AU"/>
        </w:rPr>
      </w:pPr>
    </w:p>
    <w:p w:rsidR="00EF5A5D" w:rsidRDefault="00EF5A5D" w:rsidP="00F36D03">
      <w:pPr>
        <w:rPr>
          <w:lang w:eastAsia="en-AU"/>
        </w:rPr>
      </w:pPr>
      <w:r w:rsidRPr="008A4FB7">
        <w:rPr>
          <w:lang w:eastAsia="en-AU"/>
        </w:rPr>
        <w:t xml:space="preserve">We engage our members and provide opportunities for them to influence outcomes affecting their business, and their industry. </w:t>
      </w:r>
      <w:r>
        <w:rPr>
          <w:lang w:eastAsia="en-AU"/>
        </w:rPr>
        <w:t xml:space="preserve"> </w:t>
      </w:r>
      <w:r w:rsidRPr="008A4FB7">
        <w:rPr>
          <w:lang w:eastAsia="en-AU"/>
        </w:rPr>
        <w:t xml:space="preserve">We </w:t>
      </w:r>
      <w:r>
        <w:rPr>
          <w:lang w:eastAsia="en-AU"/>
        </w:rPr>
        <w:t xml:space="preserve">also </w:t>
      </w:r>
      <w:r w:rsidRPr="008A4FB7">
        <w:rPr>
          <w:lang w:eastAsia="en-AU"/>
        </w:rPr>
        <w:t>act as a conduit for information from our members to Government</w:t>
      </w:r>
      <w:r>
        <w:rPr>
          <w:lang w:eastAsia="en-AU"/>
        </w:rPr>
        <w:t>, regulators</w:t>
      </w:r>
      <w:r w:rsidRPr="008A4FB7">
        <w:rPr>
          <w:lang w:eastAsia="en-AU"/>
        </w:rPr>
        <w:t xml:space="preserve"> and other organisations, and vice versa.</w:t>
      </w:r>
      <w:r>
        <w:rPr>
          <w:lang w:eastAsia="en-AU"/>
        </w:rPr>
        <w:t xml:space="preserve"> </w:t>
      </w:r>
      <w:r w:rsidRPr="008A4FB7">
        <w:rPr>
          <w:lang w:eastAsia="en-AU"/>
        </w:rPr>
        <w:t xml:space="preserve"> </w:t>
      </w:r>
      <w:r w:rsidRPr="008A4FB7">
        <w:rPr>
          <w:lang w:eastAsia="en-AU"/>
        </w:rPr>
        <w:br/>
      </w:r>
      <w:r w:rsidRPr="008A4FB7">
        <w:rPr>
          <w:lang w:eastAsia="en-AU"/>
        </w:rPr>
        <w:br/>
      </w:r>
      <w:r>
        <w:rPr>
          <w:lang w:eastAsia="en-AU"/>
        </w:rPr>
        <w:t>S</w:t>
      </w:r>
      <w:r w:rsidRPr="008A4FB7">
        <w:rPr>
          <w:lang w:eastAsia="en-AU"/>
        </w:rPr>
        <w:t xml:space="preserve">mall businesses often </w:t>
      </w:r>
      <w:r>
        <w:rPr>
          <w:lang w:eastAsia="en-AU"/>
        </w:rPr>
        <w:t>do not</w:t>
      </w:r>
      <w:r w:rsidRPr="008A4FB7">
        <w:rPr>
          <w:lang w:eastAsia="en-AU"/>
        </w:rPr>
        <w:t xml:space="preserve"> have the time, the resources and the expertise required to be alert to the myriad of legislative and regulatory change</w:t>
      </w:r>
      <w:r>
        <w:rPr>
          <w:lang w:eastAsia="en-AU"/>
        </w:rPr>
        <w:t>s that affect</w:t>
      </w:r>
      <w:r w:rsidRPr="008A4FB7">
        <w:rPr>
          <w:lang w:eastAsia="en-AU"/>
        </w:rPr>
        <w:t xml:space="preserve"> them. </w:t>
      </w:r>
      <w:r>
        <w:rPr>
          <w:lang w:eastAsia="en-AU"/>
        </w:rPr>
        <w:t xml:space="preserve"> COSBOA’s</w:t>
      </w:r>
      <w:r w:rsidRPr="008A4FB7">
        <w:rPr>
          <w:lang w:eastAsia="en-AU"/>
        </w:rPr>
        <w:t xml:space="preserve"> efforts are focussed on providing accurate and timely input into decisions which affect small businesses. </w:t>
      </w:r>
      <w:r>
        <w:rPr>
          <w:lang w:eastAsia="en-AU"/>
        </w:rPr>
        <w:t xml:space="preserve"> </w:t>
      </w:r>
      <w:r w:rsidRPr="008A4FB7">
        <w:rPr>
          <w:lang w:eastAsia="en-AU"/>
        </w:rPr>
        <w:t xml:space="preserve">Our members provide essential input to ensure the quality </w:t>
      </w:r>
      <w:r>
        <w:rPr>
          <w:lang w:eastAsia="en-AU"/>
        </w:rPr>
        <w:t xml:space="preserve">and relevance </w:t>
      </w:r>
      <w:r w:rsidRPr="008A4FB7">
        <w:rPr>
          <w:lang w:eastAsia="en-AU"/>
        </w:rPr>
        <w:t xml:space="preserve">of our representation, as well as the substance and the credibility to back it up. </w:t>
      </w:r>
      <w:r w:rsidRPr="008A4FB7">
        <w:rPr>
          <w:lang w:eastAsia="en-AU"/>
        </w:rPr>
        <w:br/>
      </w:r>
      <w:r w:rsidRPr="008A4FB7">
        <w:rPr>
          <w:lang w:eastAsia="en-AU"/>
        </w:rPr>
        <w:br/>
      </w:r>
      <w:r>
        <w:rPr>
          <w:lang w:eastAsia="en-AU"/>
        </w:rPr>
        <w:t xml:space="preserve">It would be fair to say that energy issues, including the regulation of monopoly network services, are an area containing much detail where small businesses can be significantly affected by decisions they know little about.  The recent very large increases in electricity (and more latterly gas) prices would be a case in point.  </w:t>
      </w:r>
    </w:p>
    <w:p w:rsidR="00EF5A5D" w:rsidRDefault="00EF5A5D" w:rsidP="00F36D03">
      <w:pPr>
        <w:rPr>
          <w:lang w:eastAsia="en-AU"/>
        </w:rPr>
      </w:pPr>
    </w:p>
    <w:p w:rsidR="00EF5A5D" w:rsidRDefault="00EF5A5D" w:rsidP="00F36D03">
      <w:pPr>
        <w:rPr>
          <w:lang w:eastAsia="en-AU"/>
        </w:rPr>
      </w:pPr>
      <w:r>
        <w:rPr>
          <w:lang w:eastAsia="en-AU"/>
        </w:rPr>
        <w:t>A list of COSBOA’s members is shown in the Attachment to this submission.  As can be seen they come from a broad range of industries, provide national coverage and are all small business oriented.  This provides important background to our involvement in the BRP.</w:t>
      </w:r>
    </w:p>
    <w:p w:rsidR="00EF5A5D" w:rsidRDefault="00EF5A5D">
      <w:pPr>
        <w:spacing w:after="200"/>
        <w:rPr>
          <w:rFonts w:ascii="Cambria" w:hAnsi="Cambria"/>
          <w:b/>
          <w:bCs/>
          <w:color w:val="4F81BD"/>
          <w:sz w:val="26"/>
          <w:szCs w:val="26"/>
        </w:rPr>
      </w:pPr>
      <w:r>
        <w:br w:type="page"/>
      </w:r>
    </w:p>
    <w:p w:rsidR="00EF5A5D" w:rsidRDefault="00EF5A5D" w:rsidP="00742E9E">
      <w:pPr>
        <w:pStyle w:val="Heading2"/>
      </w:pPr>
      <w:bookmarkStart w:id="5" w:name="_Toc364350789"/>
      <w:r>
        <w:t>COSBOA’s Involvement in the AER’s Better Regulation Program</w:t>
      </w:r>
      <w:bookmarkEnd w:id="4"/>
      <w:bookmarkEnd w:id="5"/>
    </w:p>
    <w:p w:rsidR="00EF5A5D" w:rsidRDefault="00EF5A5D" w:rsidP="00742E9E"/>
    <w:p w:rsidR="00EF5A5D" w:rsidRDefault="00EF5A5D" w:rsidP="007C76B0">
      <w:pPr>
        <w:rPr>
          <w:lang w:eastAsia="en-AU"/>
        </w:rPr>
      </w:pPr>
      <w:r>
        <w:rPr>
          <w:lang w:eastAsia="en-AU"/>
        </w:rPr>
        <w:t xml:space="preserve">COSBOA is taking an active and broad-ranging interest in the AER’s BRP on behalf of Australian small businesses and has secured funding for this from the Consumer Advocacy Panel.  The decision by the Panel to provide funding to support our work considerably boosts COSBOA’s ability to participate effectively in the BRP.  Our involvement includes written submissions on all areas of the BRP that are important to small business and also participation in the AER’s Consumer Reference Group.  </w:t>
      </w:r>
    </w:p>
    <w:p w:rsidR="00EF5A5D" w:rsidRDefault="00EF5A5D" w:rsidP="007C76B0">
      <w:pPr>
        <w:pStyle w:val="Heading2"/>
      </w:pPr>
      <w:bookmarkStart w:id="6" w:name="_Toc364350790"/>
      <w:r>
        <w:t>Structure of This Submission</w:t>
      </w:r>
      <w:bookmarkEnd w:id="6"/>
    </w:p>
    <w:p w:rsidR="00EF5A5D" w:rsidRDefault="00EF5A5D" w:rsidP="005670CF"/>
    <w:p w:rsidR="00EF5A5D" w:rsidRDefault="00EF5A5D" w:rsidP="005670CF">
      <w:r>
        <w:t xml:space="preserve">The following section (2) comments on the need for engagement by network service providers (NSPs) with their customers (and customer representatives).  It also discusses the specific needs of small business in relation to such engagement and COSBOA’s views on what would make for effective engagement by NSPs with small business.  </w:t>
      </w:r>
    </w:p>
    <w:p w:rsidR="00EF5A5D" w:rsidRDefault="00EF5A5D" w:rsidP="005670CF"/>
    <w:p w:rsidR="00EF5A5D" w:rsidRDefault="00EF5A5D" w:rsidP="005670CF">
      <w:r>
        <w:t xml:space="preserve">Section 3 responds to a range of matters raised by the Draft Guideline that we feel are important to small business consumers.  </w:t>
      </w:r>
    </w:p>
    <w:p w:rsidR="00EF5A5D" w:rsidRDefault="00EF5A5D" w:rsidP="005670CF"/>
    <w:p w:rsidR="00EF5A5D" w:rsidRDefault="00EF5A5D" w:rsidP="005670CF">
      <w:r>
        <w:t>The final section (4), discusses the need for engagement by the AER with consumers, as well as by the NSPs, which is the subject of a separate document entitled</w:t>
      </w:r>
      <w:r w:rsidRPr="00836255">
        <w:rPr>
          <w:i/>
        </w:rPr>
        <w:t xml:space="preserve"> </w:t>
      </w:r>
      <w:r>
        <w:rPr>
          <w:i/>
        </w:rPr>
        <w:t>Draft Stakeholder Engagement Framework</w:t>
      </w:r>
      <w:r>
        <w:t xml:space="preserve"> (released in July 2013).</w:t>
      </w:r>
    </w:p>
    <w:p w:rsidR="00EF5A5D" w:rsidRDefault="00EF5A5D" w:rsidP="005670CF"/>
    <w:p w:rsidR="00EF5A5D" w:rsidRDefault="00EF5A5D">
      <w:pPr>
        <w:spacing w:after="200"/>
      </w:pPr>
      <w:r>
        <w:br w:type="page"/>
      </w:r>
    </w:p>
    <w:p w:rsidR="00EF5A5D" w:rsidRDefault="00EF5A5D" w:rsidP="009E515B">
      <w:pPr>
        <w:pStyle w:val="Heading1"/>
      </w:pPr>
      <w:bookmarkStart w:id="7" w:name="_Toc364350791"/>
      <w:r>
        <w:t>Need for Consumer Engagement by Network Service Providers</w:t>
      </w:r>
      <w:bookmarkEnd w:id="7"/>
    </w:p>
    <w:p w:rsidR="00EF5A5D" w:rsidRDefault="00EF5A5D" w:rsidP="009E515B"/>
    <w:p w:rsidR="00EF5A5D" w:rsidRDefault="00EF5A5D" w:rsidP="009E515B">
      <w:r>
        <w:t>This section comments on the need for engagement by network service providers (NSPs) with their customers (and customer representatives).  It also discusses the specific needs of small business in relation to such engagement</w:t>
      </w:r>
      <w:r w:rsidRPr="00447E0C">
        <w:t xml:space="preserve"> </w:t>
      </w:r>
      <w:r>
        <w:t>and COSBOA’s views on what would make for effective engagement by NSPs with small business.  We believe that this will help the energy network service providers and the AER to understand better the needs of small business in terms of this engagement.  We hope that it will also be useful in allowing the AER to finalise these guidelines with small business needs fully reflected in them.</w:t>
      </w:r>
    </w:p>
    <w:p w:rsidR="00EF5A5D" w:rsidRDefault="00EF5A5D" w:rsidP="009E515B">
      <w:pPr>
        <w:pStyle w:val="Heading2"/>
      </w:pPr>
      <w:bookmarkStart w:id="8" w:name="_Toc364350792"/>
      <w:r>
        <w:t>Benefits of Consumer Engagement &amp; Need for a Guideline</w:t>
      </w:r>
      <w:bookmarkEnd w:id="8"/>
    </w:p>
    <w:p w:rsidR="00EF5A5D" w:rsidRDefault="00EF5A5D" w:rsidP="009E515B"/>
    <w:p w:rsidR="00EF5A5D" w:rsidRDefault="00EF5A5D" w:rsidP="009E515B">
      <w:r>
        <w:t>Below we discuss the benefits (and costs) of NSPs engaging with consumers, the problem that monopoly creates for such engagement and the need for a guideline to overcome this.</w:t>
      </w:r>
    </w:p>
    <w:p w:rsidR="00EF5A5D" w:rsidRDefault="00EF5A5D" w:rsidP="004F17FC">
      <w:pPr>
        <w:pStyle w:val="Heading3"/>
      </w:pPr>
      <w:bookmarkStart w:id="9" w:name="_Ref364274109"/>
      <w:bookmarkStart w:id="10" w:name="_Toc364350793"/>
      <w:r>
        <w:t>Benefits of Consumer Engagement</w:t>
      </w:r>
      <w:bookmarkEnd w:id="9"/>
      <w:bookmarkEnd w:id="10"/>
    </w:p>
    <w:p w:rsidR="00EF5A5D" w:rsidRDefault="00EF5A5D" w:rsidP="009E515B"/>
    <w:p w:rsidR="00EF5A5D" w:rsidRDefault="00EF5A5D" w:rsidP="009E515B">
      <w:r>
        <w:t>The AER describes the rationale for consumer engagement as follows:</w:t>
      </w:r>
    </w:p>
    <w:p w:rsidR="00EF5A5D" w:rsidRDefault="00EF5A5D" w:rsidP="009E515B"/>
    <w:p w:rsidR="00EF5A5D" w:rsidRPr="00A27525" w:rsidRDefault="00EF5A5D" w:rsidP="00A27525">
      <w:pPr>
        <w:ind w:left="720"/>
        <w:rPr>
          <w:i/>
        </w:rPr>
      </w:pPr>
      <w:r w:rsidRPr="00A27525">
        <w:rPr>
          <w:rStyle w:val="QuoteChar"/>
        </w:rPr>
        <w:t xml:space="preserve">“Consistent with the broad thrust of the AEMC's rule changes, the guideline seeks to enhance consumer engagement by building the link between consumer preferences and discretionary expenditure proposals by regulated businesses. </w:t>
      </w:r>
      <w:r>
        <w:rPr>
          <w:rStyle w:val="QuoteChar"/>
        </w:rPr>
        <w:t xml:space="preserve"> </w:t>
      </w:r>
      <w:r w:rsidRPr="00A27525">
        <w:rPr>
          <w:rStyle w:val="QuoteChar"/>
        </w:rPr>
        <w:t xml:space="preserve">This link is important for establishing the efficiency of proposed expenditure, which is an important consideration for an economic regulator. </w:t>
      </w:r>
      <w:r>
        <w:rPr>
          <w:rStyle w:val="QuoteChar"/>
        </w:rPr>
        <w:t xml:space="preserve"> </w:t>
      </w:r>
      <w:r w:rsidRPr="00A27525">
        <w:rPr>
          <w:rStyle w:val="QuoteChar"/>
        </w:rPr>
        <w:t>We also consider this link fundamental to identifying the long term interests of consumers, which is a component of the NEO</w:t>
      </w:r>
      <w:r>
        <w:rPr>
          <w:rStyle w:val="QuoteChar"/>
        </w:rPr>
        <w:t xml:space="preserve"> [National Electricity Objective]</w:t>
      </w:r>
      <w:r w:rsidRPr="00A27525">
        <w:rPr>
          <w:rStyle w:val="QuoteChar"/>
        </w:rPr>
        <w:t xml:space="preserve"> and NGO</w:t>
      </w:r>
      <w:r>
        <w:rPr>
          <w:rStyle w:val="QuoteChar"/>
        </w:rPr>
        <w:t xml:space="preserve"> [National Gas Objective]</w:t>
      </w:r>
      <w:r w:rsidRPr="00A27525">
        <w:rPr>
          <w:rStyle w:val="QuoteChar"/>
        </w:rPr>
        <w:t xml:space="preserve">.” </w:t>
      </w:r>
      <w:r>
        <w:t>(</w:t>
      </w:r>
      <w:r>
        <w:rPr>
          <w:i/>
        </w:rPr>
        <w:t xml:space="preserve">Explanatory Statement, </w:t>
      </w:r>
      <w:r w:rsidRPr="00A27525">
        <w:t>p. 15</w:t>
      </w:r>
      <w:r>
        <w:t>, our parenthesis</w:t>
      </w:r>
      <w:r w:rsidRPr="00A27525">
        <w:t>)</w:t>
      </w:r>
    </w:p>
    <w:p w:rsidR="00EF5A5D" w:rsidRDefault="00EF5A5D" w:rsidP="009E515B"/>
    <w:p w:rsidR="00EF5A5D" w:rsidRDefault="00EF5A5D" w:rsidP="009E515B">
      <w:r>
        <w:t>It also notes that:</w:t>
      </w:r>
    </w:p>
    <w:p w:rsidR="00EF5A5D" w:rsidRDefault="00EF5A5D" w:rsidP="009E515B"/>
    <w:p w:rsidR="00EF5A5D" w:rsidRPr="008D0139" w:rsidRDefault="00EF5A5D" w:rsidP="008D0139">
      <w:pPr>
        <w:pStyle w:val="Quote"/>
        <w:ind w:left="720"/>
      </w:pPr>
      <w:r>
        <w:t>“</w:t>
      </w:r>
      <w:r w:rsidRPr="008D0139">
        <w:t xml:space="preserve">The </w:t>
      </w:r>
      <w:r w:rsidRPr="008D0139">
        <w:rPr>
          <w:rStyle w:val="AERbody"/>
          <w:rFonts w:ascii="Arial" w:hAnsi="Arial"/>
          <w:color w:val="000000"/>
          <w:sz w:val="22"/>
        </w:rPr>
        <w:t>expenditure proposals that</w:t>
      </w:r>
      <w:r w:rsidRPr="008D0139">
        <w:t xml:space="preserve"> we receive are prepared with consideration of the long term interests of consumers. </w:t>
      </w:r>
      <w:r>
        <w:t xml:space="preserve"> </w:t>
      </w:r>
      <w:r w:rsidRPr="008D0139">
        <w:t xml:space="preserve">However, </w:t>
      </w:r>
      <w:r w:rsidRPr="008D0139">
        <w:rPr>
          <w:rStyle w:val="AERbody"/>
          <w:rFonts w:ascii="Arial" w:hAnsi="Arial"/>
          <w:color w:val="000000"/>
          <w:sz w:val="22"/>
        </w:rPr>
        <w:t>these proposals</w:t>
      </w:r>
      <w:r w:rsidRPr="008D0139">
        <w:t xml:space="preserve"> generally lack consumer evidence to support what is proposed.</w:t>
      </w:r>
      <w:r>
        <w:t>”  (</w:t>
      </w:r>
      <w:r w:rsidRPr="0060719E">
        <w:t>Explanatory Statement</w:t>
      </w:r>
      <w:r>
        <w:rPr>
          <w:i w:val="0"/>
        </w:rPr>
        <w:t xml:space="preserve">, </w:t>
      </w:r>
      <w:r w:rsidRPr="00A27525">
        <w:t xml:space="preserve">p. </w:t>
      </w:r>
      <w:r>
        <w:t>27</w:t>
      </w:r>
      <w:r w:rsidRPr="00A27525">
        <w:t>)</w:t>
      </w:r>
    </w:p>
    <w:p w:rsidR="00EF5A5D" w:rsidRDefault="00EF5A5D" w:rsidP="009E515B"/>
    <w:p w:rsidR="00EF5A5D" w:rsidRDefault="00EF5A5D" w:rsidP="009E515B">
      <w:r>
        <w:t>COSBOA believes that better consumer engagement by NSP is important to better regulation and ensuing that the objectives of network regulatory reform and the AER’s BRP are met.  We therefore strongly endorse the AER’s inclusion of this as a work stream for the BRP.  Provided this engagement occurs within an effective framework, is taken seriously by NSPs and allows room for individual NSPs (in co-operation with consumers) to develop effective approaches to engagement that suit their needs, the networks, consumers, the regulator, and the regulatory process and its outcomes should all benefit.</w:t>
      </w:r>
    </w:p>
    <w:p w:rsidR="00EF5A5D" w:rsidRDefault="00EF5A5D" w:rsidP="009E515B"/>
    <w:p w:rsidR="00EF5A5D" w:rsidRDefault="00EF5A5D" w:rsidP="00FF41C5">
      <w:pPr>
        <w:pStyle w:val="ListParagraph"/>
        <w:numPr>
          <w:ilvl w:val="0"/>
          <w:numId w:val="22"/>
        </w:numPr>
      </w:pPr>
      <w:r>
        <w:t>Benefits to consumers should include access to network prices and services that better reflects their needs, improved knowledge of the way networks are run and the challenges they face, a better relationship with NSPs, as well as a smoother and less acrimonious regulatory processes.</w:t>
      </w:r>
    </w:p>
    <w:p w:rsidR="00EF5A5D" w:rsidRDefault="00EF5A5D" w:rsidP="00FF41C5">
      <w:pPr>
        <w:pStyle w:val="ListParagraph"/>
        <w:numPr>
          <w:ilvl w:val="0"/>
          <w:numId w:val="22"/>
        </w:numPr>
      </w:pPr>
      <w:r>
        <w:t>Benefits to networks should include being able to offer their customers a range of prices and services that better reflect their needs, an improved and closer relationship with their customers and the community they serve, greater customer/community satisfaction, improved image and brand recognition, and a smoother and less acrimonious regulatory processes.</w:t>
      </w:r>
    </w:p>
    <w:p w:rsidR="00EF5A5D" w:rsidRDefault="00EF5A5D" w:rsidP="00FF41C5">
      <w:pPr>
        <w:pStyle w:val="ListParagraph"/>
        <w:numPr>
          <w:ilvl w:val="0"/>
          <w:numId w:val="22"/>
        </w:numPr>
      </w:pPr>
      <w:r>
        <w:t>Benefits to regulator should include greater acceptance of regulatory proposals and outcomes, more efficient and cost effective regulatory processes,</w:t>
      </w:r>
      <w:r w:rsidRPr="00373F83">
        <w:t xml:space="preserve"> </w:t>
      </w:r>
      <w:r>
        <w:t>better and more balanced information, improved knowledge of consumer views and access to alternative viewpoints, less appeals, improved satisfaction among the regulator’s ‘customers’ and by governments.</w:t>
      </w:r>
    </w:p>
    <w:p w:rsidR="00EF5A5D" w:rsidRDefault="00EF5A5D" w:rsidP="00FF41C5">
      <w:pPr>
        <w:pStyle w:val="ListParagraph"/>
        <w:numPr>
          <w:ilvl w:val="0"/>
          <w:numId w:val="22"/>
        </w:numPr>
      </w:pPr>
      <w:r>
        <w:t>There should also be benefits to the economy, regulatory process and its outcomes in terms of network price and service offerings that reflect customers’ needs, the efficiency and productivity of energy networks and their contribution to the economy.</w:t>
      </w:r>
    </w:p>
    <w:p w:rsidR="00EF5A5D" w:rsidRDefault="00EF5A5D" w:rsidP="009C4D6C"/>
    <w:p w:rsidR="00EF5A5D" w:rsidRDefault="00EF5A5D" w:rsidP="009C4D6C">
      <w:r>
        <w:t>In short, effective consumer engagement offers the prospect of a ‘win’ for all concerned.</w:t>
      </w:r>
    </w:p>
    <w:p w:rsidR="00EF5A5D" w:rsidRDefault="00EF5A5D" w:rsidP="009E515B"/>
    <w:p w:rsidR="00EF5A5D" w:rsidRDefault="00EF5A5D" w:rsidP="009E515B">
      <w:r>
        <w:t>Nevertheless, COSBOA recognises that any process such as this also involves costs (and challenges) in terms of the need for both consumers and networks to undertake additional work.  But, we believe that these costs are relatively small and far less than the benefits of effective regulatory engagement between NSPs and consumers.  However, the costs need to be recognised and accepted as part of better consumer engagement.</w:t>
      </w:r>
    </w:p>
    <w:p w:rsidR="00EF5A5D" w:rsidRDefault="00EF5A5D" w:rsidP="004F17FC">
      <w:pPr>
        <w:pStyle w:val="Heading3"/>
      </w:pPr>
      <w:bookmarkStart w:id="11" w:name="_Toc364350794"/>
      <w:r>
        <w:t>The ‘Monopoly Problem’ in Engagement and Need for a Guideline</w:t>
      </w:r>
      <w:bookmarkEnd w:id="11"/>
    </w:p>
    <w:p w:rsidR="00EF5A5D" w:rsidRDefault="00EF5A5D" w:rsidP="009E515B"/>
    <w:p w:rsidR="00EF5A5D" w:rsidRDefault="00EF5A5D" w:rsidP="009E515B">
      <w:r>
        <w:t xml:space="preserve">One important issue in terms of engagement by NSPs with consumers is the incentives they face to engage.  NSPs are monopoly providers and, as such, face few incentives to be responsive to consumers.  In a competitive market, there is a strong incentive for a business to know and serve its consumers well, and make the effort to find this out.  In a monopoly, consumers are, by definition, captive and this significantly blunts the incentive to give consumers what they need.  </w:t>
      </w:r>
    </w:p>
    <w:p w:rsidR="00EF5A5D" w:rsidRDefault="00EF5A5D" w:rsidP="009E515B"/>
    <w:p w:rsidR="00EF5A5D" w:rsidRDefault="00EF5A5D" w:rsidP="009E515B">
      <w:r>
        <w:t xml:space="preserve">As the AER’s </w:t>
      </w:r>
      <w:r>
        <w:rPr>
          <w:i/>
        </w:rPr>
        <w:t xml:space="preserve">Explanatory </w:t>
      </w:r>
      <w:r w:rsidRPr="004146CC">
        <w:rPr>
          <w:i/>
        </w:rPr>
        <w:t>Statement</w:t>
      </w:r>
      <w:r>
        <w:t xml:space="preserve"> says, whilst most NSPs are conducting some consumer engagement, the level varies both within each NSP and across the different parts of the energy network sector, with consumers often unaware of the impact their input has had.  In fact, COSBOA believes that consumer engagement is highly variable and that very few networks currently take it seriously or show a significant commitment to it.  It is more apparent that many of the networks (probably understandably) see the AER as their ‘customer’ and orient their activities towards the regulator.  As far as small business is concerned, there is currently little engagement by the networks with our members.  Overcoming this lack of engagement by the NSPs with their consumers will not be easy.  </w:t>
      </w:r>
    </w:p>
    <w:p w:rsidR="00EF5A5D" w:rsidRDefault="00EF5A5D" w:rsidP="009E515B"/>
    <w:p w:rsidR="00EF5A5D" w:rsidRPr="009E515B" w:rsidRDefault="00EF5A5D" w:rsidP="009E515B">
      <w:r>
        <w:t xml:space="preserve">Because of this ‘monopoly </w:t>
      </w:r>
      <w:r w:rsidRPr="004146CC">
        <w:t>problem</w:t>
      </w:r>
      <w:r>
        <w:t xml:space="preserve">’ of engagement by NSPs with their consumers, the blunt incentives they face to seriously engage, the relatively powerless position of consumers and the lack of significant direct experience in engagement by NSPs, we believe that it is important for the AER to issue a guideline to encourage greater engagement by NSPs with their customers.  Without such a ‘driver’, there is a risk that engagement will not take place or will take longer to develop.  </w:t>
      </w:r>
      <w:r w:rsidRPr="007F10FE">
        <w:t xml:space="preserve">We accept that such a guideline needs to strike the right balance between ensuring both that engagement is ‘kick started’ immediately and that it is not overly prescriptive to the detriment of genuine commitment and innovation by both parties.  We are not convinced that the AER’s Draft Guideline strikes the right balance as yet, because it takes too much of a ‘hands off’ approach.  Furthermore, it is clear that the NSPs respond best to incentives within the regulatory structure and there seem to us to be a lack of such incentives within the AER’s current approach.  We believe that the lack of a mandatory guideline is also a potential problem that could need addressing.  We cover each of these points in more detail in Section </w:t>
      </w:r>
      <w:r w:rsidR="00F745FF">
        <w:fldChar w:fldCharType="begin"/>
      </w:r>
      <w:r w:rsidR="00F745FF">
        <w:instrText xml:space="preserve"> REF _Ref364347774 \r \h  \* MERGEFORMAT </w:instrText>
      </w:r>
      <w:r w:rsidR="00F745FF">
        <w:fldChar w:fldCharType="separate"/>
      </w:r>
      <w:r>
        <w:t>3.2</w:t>
      </w:r>
      <w:r w:rsidR="00F745FF">
        <w:fldChar w:fldCharType="end"/>
      </w:r>
      <w:r w:rsidRPr="007F10FE">
        <w:t xml:space="preserve">  and </w:t>
      </w:r>
      <w:r w:rsidR="00F745FF">
        <w:fldChar w:fldCharType="begin"/>
      </w:r>
      <w:r w:rsidR="00F745FF">
        <w:instrText xml:space="preserve"> REF _Ref364343196 \r \h  \* MERGEFORMAT </w:instrText>
      </w:r>
      <w:r w:rsidR="00F745FF">
        <w:fldChar w:fldCharType="separate"/>
      </w:r>
      <w:r>
        <w:t>3.8</w:t>
      </w:r>
      <w:r w:rsidR="00F745FF">
        <w:fldChar w:fldCharType="end"/>
      </w:r>
      <w:r w:rsidRPr="007F10FE">
        <w:t xml:space="preserve">  of the submission.</w:t>
      </w:r>
      <w:r>
        <w:t xml:space="preserve"> </w:t>
      </w:r>
    </w:p>
    <w:p w:rsidR="00EF5A5D" w:rsidRDefault="00EF5A5D" w:rsidP="007C76B0">
      <w:pPr>
        <w:pStyle w:val="Heading2"/>
      </w:pPr>
      <w:bookmarkStart w:id="12" w:name="_Ref364264591"/>
      <w:bookmarkStart w:id="13" w:name="_Toc364350795"/>
      <w:r>
        <w:t>Engagement with Small Business</w:t>
      </w:r>
      <w:bookmarkEnd w:id="12"/>
      <w:bookmarkEnd w:id="13"/>
    </w:p>
    <w:p w:rsidR="00EF5A5D" w:rsidRDefault="00EF5A5D" w:rsidP="005A36E6"/>
    <w:p w:rsidR="00EF5A5D" w:rsidRDefault="00EF5A5D" w:rsidP="005A36E6">
      <w:r>
        <w:t xml:space="preserve">As alluded to above, there is currently little engagement by the networks with small business customers.  We are concerned that this means there is a lack of understanding of networks about the needs of small business customers and that it also contributes to a mutual lack of understanding of needs and priorities.  This particularly extends to regulatory processes and decisions, which have hitherto involved very limited input from small business. This suggests to us that greater engagement by NSPs with small business customers ought to be one of the aims of the AER’s Guideline. </w:t>
      </w:r>
    </w:p>
    <w:p w:rsidR="00EF5A5D" w:rsidRDefault="00EF5A5D" w:rsidP="005A36E6"/>
    <w:p w:rsidR="00EF5A5D" w:rsidRDefault="00EF5A5D" w:rsidP="005A36E6">
      <w:r>
        <w:t xml:space="preserve">This being the case, it would be worth setting out some of the specific needs and characteristics of small businesses that impact on the development of the Guideline and the future engagement by NSPs with small business.  Some salient points are set out below for consideration by the AER and NSPs.  </w:t>
      </w:r>
    </w:p>
    <w:p w:rsidR="00EF5A5D" w:rsidRDefault="00EF5A5D" w:rsidP="005A36E6"/>
    <w:p w:rsidR="00EF5A5D" w:rsidRDefault="00EF5A5D" w:rsidP="00D80175">
      <w:pPr>
        <w:pStyle w:val="ListParagraph"/>
        <w:numPr>
          <w:ilvl w:val="0"/>
          <w:numId w:val="23"/>
        </w:numPr>
      </w:pPr>
      <w:r>
        <w:t>Many small businesses operate in highly competitive and cost conscious business environments.  Electricity and gas are significant inputs to those who are more energy intensive and represent an input to the rest that they have little discretion over.  Network charges comprise around half of their energy charges.  The recent steep increases in electricity and gas prices, driven to a significant extent by rapidly escalating network charges, have only served to heighten the importance of energy and energy prices to small business.  Small business has had difficulty in passing on these cost increases and they have added to the already significant pressure that small business finds itself under.</w:t>
      </w:r>
    </w:p>
    <w:p w:rsidR="00EF5A5D" w:rsidRDefault="00EF5A5D" w:rsidP="00D80175">
      <w:pPr>
        <w:pStyle w:val="ListParagraph"/>
        <w:numPr>
          <w:ilvl w:val="0"/>
          <w:numId w:val="23"/>
        </w:numPr>
      </w:pPr>
      <w:r>
        <w:t>Small business is ‘time poor’.  They have limited staff and, being focused on running their businesses, they have limited time to devote to issues such as the regulation of network services.</w:t>
      </w:r>
    </w:p>
    <w:p w:rsidR="00EF5A5D" w:rsidRDefault="00EF5A5D" w:rsidP="00D80175">
      <w:pPr>
        <w:pStyle w:val="ListParagraph"/>
        <w:numPr>
          <w:ilvl w:val="0"/>
          <w:numId w:val="23"/>
        </w:numPr>
      </w:pPr>
      <w:r>
        <w:t>The limited resources available to small businesses and their need to keep costs under tight control mean that they possess a limited knowledge and understanding of, and experience in, energy matters.  If they are to contribute directly to energy issues, these limitations will need to be recognised, including in the AER Guideline on Consumer Engagement and by the NSPs in how they can best engage with small business.  A balance will need to be struck between realistic levels of engagement and effective participation by small business, with strategies and approaches developed that reflect this reality.</w:t>
      </w:r>
    </w:p>
    <w:p w:rsidR="00EF5A5D" w:rsidRDefault="00EF5A5D" w:rsidP="00D80175">
      <w:pPr>
        <w:pStyle w:val="ListParagraph"/>
        <w:numPr>
          <w:ilvl w:val="0"/>
          <w:numId w:val="23"/>
        </w:numPr>
      </w:pPr>
      <w:r>
        <w:t xml:space="preserve">Small business has put a priority on achieving cuts in ‘red tape’, which is generally strangling many small firms.  Engagement strategies by NSPs should recognise this and seek to ensure effective input by small businesses but without adding unduly to the burdens it places upon them. </w:t>
      </w:r>
    </w:p>
    <w:p w:rsidR="00EF5A5D" w:rsidRDefault="00EF5A5D" w:rsidP="00D80175">
      <w:pPr>
        <w:pStyle w:val="ListParagraph"/>
        <w:numPr>
          <w:ilvl w:val="0"/>
          <w:numId w:val="23"/>
        </w:numPr>
      </w:pPr>
      <w:r>
        <w:t>Small business is diverse in terms of industries, firms’ characteristics and their energy needs.  The AER’s Guideline should recognise this diversity and find ways to work within it so as to ensure engagement with small business is reasonably effective.</w:t>
      </w:r>
    </w:p>
    <w:p w:rsidR="00EF5A5D" w:rsidRDefault="00EF5A5D" w:rsidP="00D80175">
      <w:pPr>
        <w:pStyle w:val="ListParagraph"/>
        <w:numPr>
          <w:ilvl w:val="0"/>
          <w:numId w:val="23"/>
        </w:numPr>
      </w:pPr>
      <w:r>
        <w:t>Because of its small size, diversity and limited knowledge of energy, small business is likely to find itself in an unequal bargaining position on the many complex issues subject to consumer engagement by NSPs.  This needs to be recognised and overcome by the AER and NSP if small business is to play an effective engagement role.</w:t>
      </w:r>
    </w:p>
    <w:p w:rsidR="00EF5A5D" w:rsidRDefault="00EF5A5D" w:rsidP="00914437"/>
    <w:p w:rsidR="00EF5A5D" w:rsidRDefault="00EF5A5D" w:rsidP="00914437">
      <w:r>
        <w:t xml:space="preserve">From COSBOA’s perspective, it is important that the Draft Guideline recognised these small business issues and we urge the AER to provide greater recognition in the Final Guideline.  </w:t>
      </w:r>
    </w:p>
    <w:p w:rsidR="00EF5A5D" w:rsidRDefault="00EF5A5D" w:rsidP="00914437"/>
    <w:p w:rsidR="00EF5A5D" w:rsidRDefault="00EF5A5D" w:rsidP="00914437">
      <w:r>
        <w:t>We also believe that the Guideline should emphasise more the need for NSPs to engage with representative bodies, such as COSBOA, especially where consumers are unlikely to have the time, resources and knowledge to participate directly to any meaningful extent.  However, this should also take place in the knowledge that many of these groups themselves have limited resources and in-house energy knowledge, but do have a mandate to advocate on behalf of small business and are in regular contact with their members.</w:t>
      </w:r>
    </w:p>
    <w:p w:rsidR="00EF5A5D" w:rsidRDefault="00EF5A5D" w:rsidP="00914437"/>
    <w:p w:rsidR="00EF5A5D" w:rsidRDefault="00EF5A5D" w:rsidP="00795569">
      <w:r>
        <w:t xml:space="preserve">One important means of overcoming the resource and knowledge constraints experienced by such organisations is to develop ways to resource them adequately to engage with NSPs (and the AER).  Advocacy funding, such as through the Consumer Advocacy Panel (CAP), provides a potentially important means to do this.  Whilst we recognise that this is outside of the remit of the AER, they nevertheless should be willing to express a view on this need, which we expect would carry weight with the SCER and the CAP.  Another option could be through direct funding by the NSPs (individually or collectively), noting that they could recover this through their opex funding.  </w:t>
      </w:r>
    </w:p>
    <w:p w:rsidR="00EF5A5D" w:rsidRDefault="00EF5A5D" w:rsidP="00795569"/>
    <w:p w:rsidR="00EF5A5D" w:rsidRPr="005A36E6" w:rsidRDefault="00EF5A5D" w:rsidP="00795569">
      <w:r>
        <w:t>COSBOA would welcome an opportunity to discuss the needs of small business and how to ensure effective engagement with the AER, NSPs and/or the Energy Networks Association (ENA).</w:t>
      </w:r>
    </w:p>
    <w:p w:rsidR="00EF5A5D" w:rsidRDefault="00EF5A5D" w:rsidP="007C76B0">
      <w:pPr>
        <w:pStyle w:val="Heading2"/>
      </w:pPr>
      <w:bookmarkStart w:id="14" w:name="_Toc364350796"/>
      <w:r>
        <w:t>What Is Effective Engagement?</w:t>
      </w:r>
      <w:bookmarkEnd w:id="14"/>
    </w:p>
    <w:p w:rsidR="00EF5A5D" w:rsidRDefault="00EF5A5D" w:rsidP="00795569"/>
    <w:p w:rsidR="00EF5A5D" w:rsidRDefault="00EF5A5D" w:rsidP="00795569">
      <w:r>
        <w:t>COSBOA believes that the following points reflect what would make for effective engagement by NSPs with small business and that they should be reflected in the Final Guideline:</w:t>
      </w:r>
    </w:p>
    <w:p w:rsidR="00EF5A5D" w:rsidRDefault="00EF5A5D" w:rsidP="00795569"/>
    <w:p w:rsidR="00EF5A5D" w:rsidRDefault="00EF5A5D" w:rsidP="003F14C2">
      <w:pPr>
        <w:pStyle w:val="ListParagraph"/>
        <w:numPr>
          <w:ilvl w:val="0"/>
          <w:numId w:val="24"/>
        </w:numPr>
      </w:pPr>
      <w:r>
        <w:t>That all important network decisions/reviews undertaken by the AER are subject to engagement;</w:t>
      </w:r>
    </w:p>
    <w:p w:rsidR="00EF5A5D" w:rsidRDefault="00EF5A5D" w:rsidP="003F14C2">
      <w:pPr>
        <w:pStyle w:val="ListParagraph"/>
        <w:numPr>
          <w:ilvl w:val="0"/>
          <w:numId w:val="24"/>
        </w:numPr>
      </w:pPr>
      <w:r>
        <w:t>That engagement by NSPs is through an ongoing commitment by NSPs (throughout a process/review and in between them);</w:t>
      </w:r>
    </w:p>
    <w:p w:rsidR="00EF5A5D" w:rsidRDefault="00EF5A5D" w:rsidP="003F14C2">
      <w:pPr>
        <w:pStyle w:val="ListParagraph"/>
        <w:numPr>
          <w:ilvl w:val="0"/>
          <w:numId w:val="24"/>
        </w:numPr>
      </w:pPr>
      <w:r>
        <w:t xml:space="preserve">That engagement is open  and transparent, fact/reason based, puts all parties in a position of equality, and is based on mutual honesty and trust; </w:t>
      </w:r>
    </w:p>
    <w:p w:rsidR="00EF5A5D" w:rsidRDefault="00EF5A5D" w:rsidP="003F14C2">
      <w:pPr>
        <w:pStyle w:val="ListParagraph"/>
        <w:numPr>
          <w:ilvl w:val="0"/>
          <w:numId w:val="24"/>
        </w:numPr>
      </w:pPr>
      <w:r>
        <w:t xml:space="preserve">That engagement by NSPs is timely and reflective of the challenges and constraints on small business (see Section </w:t>
      </w:r>
      <w:r>
        <w:fldChar w:fldCharType="begin"/>
      </w:r>
      <w:r>
        <w:instrText xml:space="preserve"> REF _Ref364264591 \r \h </w:instrText>
      </w:r>
      <w:r>
        <w:fldChar w:fldCharType="separate"/>
      </w:r>
      <w:r>
        <w:t>2.2</w:t>
      </w:r>
      <w:r>
        <w:fldChar w:fldCharType="end"/>
      </w:r>
      <w:r>
        <w:t>);</w:t>
      </w:r>
    </w:p>
    <w:p w:rsidR="00EF5A5D" w:rsidRDefault="00EF5A5D" w:rsidP="00BC484C">
      <w:pPr>
        <w:pStyle w:val="ListParagraph"/>
        <w:numPr>
          <w:ilvl w:val="0"/>
          <w:numId w:val="24"/>
        </w:numPr>
      </w:pPr>
      <w:r>
        <w:t>That an important aim is to raise understanding and to educate consumers;</w:t>
      </w:r>
    </w:p>
    <w:p w:rsidR="00EF5A5D" w:rsidRDefault="00EF5A5D" w:rsidP="003F14C2">
      <w:pPr>
        <w:pStyle w:val="ListParagraph"/>
        <w:numPr>
          <w:ilvl w:val="0"/>
          <w:numId w:val="24"/>
        </w:numPr>
      </w:pPr>
      <w:r>
        <w:t>Evidence that well reasoned consumer views are taken seriously and acted upon;</w:t>
      </w:r>
    </w:p>
    <w:p w:rsidR="00EF5A5D" w:rsidRDefault="00EF5A5D" w:rsidP="003F14C2">
      <w:pPr>
        <w:pStyle w:val="ListParagraph"/>
        <w:numPr>
          <w:ilvl w:val="0"/>
          <w:numId w:val="24"/>
        </w:numPr>
      </w:pPr>
      <w:r>
        <w:t>That there is a clear and obvious commitment by the NSP’s Board, CEO and all relevant parts of the business to its engagement with consumers;</w:t>
      </w:r>
    </w:p>
    <w:p w:rsidR="00EF5A5D" w:rsidRDefault="00EF5A5D" w:rsidP="003F14C2">
      <w:pPr>
        <w:pStyle w:val="ListParagraph"/>
        <w:numPr>
          <w:ilvl w:val="0"/>
          <w:numId w:val="24"/>
        </w:numPr>
      </w:pPr>
      <w:r>
        <w:t>That the engagement has had a demonstrable impact on regulatory outcomes; and</w:t>
      </w:r>
    </w:p>
    <w:p w:rsidR="00EF5A5D" w:rsidRDefault="00EF5A5D" w:rsidP="003F14C2">
      <w:pPr>
        <w:pStyle w:val="ListParagraph"/>
        <w:numPr>
          <w:ilvl w:val="0"/>
          <w:numId w:val="24"/>
        </w:numPr>
      </w:pPr>
      <w:r>
        <w:t>That over time engagement becomes a ‘natural’ way to doing things for the NSPs.</w:t>
      </w:r>
    </w:p>
    <w:p w:rsidR="00EF5A5D" w:rsidRDefault="00EF5A5D">
      <w:pPr>
        <w:spacing w:after="200"/>
        <w:rPr>
          <w:rFonts w:ascii="Cambria" w:hAnsi="Cambria"/>
          <w:b/>
          <w:bCs/>
          <w:color w:val="4F81BD"/>
          <w:sz w:val="26"/>
          <w:szCs w:val="26"/>
        </w:rPr>
      </w:pPr>
      <w:r>
        <w:br w:type="page"/>
      </w:r>
    </w:p>
    <w:p w:rsidR="00EF5A5D" w:rsidRDefault="00EF5A5D" w:rsidP="00BC484C">
      <w:pPr>
        <w:pStyle w:val="Heading1"/>
      </w:pPr>
      <w:bookmarkStart w:id="15" w:name="_Ref364346260"/>
      <w:bookmarkStart w:id="16" w:name="_Toc364350797"/>
      <w:r>
        <w:t>Comments on Draft Guideline</w:t>
      </w:r>
      <w:bookmarkEnd w:id="15"/>
      <w:bookmarkEnd w:id="16"/>
    </w:p>
    <w:p w:rsidR="00EF5A5D" w:rsidRDefault="00EF5A5D" w:rsidP="00BC484C"/>
    <w:p w:rsidR="00EF5A5D" w:rsidRDefault="00EF5A5D" w:rsidP="00BC484C">
      <w:r>
        <w:t xml:space="preserve">This section provides COSBOA’s comments on the AER’s Draft Guideline, according to the structure of that document.  In so doing, it considers both the Draft Guideline and its accompanying </w:t>
      </w:r>
      <w:r>
        <w:rPr>
          <w:i/>
        </w:rPr>
        <w:t>Explanatory Statement</w:t>
      </w:r>
      <w:r>
        <w:t xml:space="preserve">.  Some additional comments are made in Sections </w:t>
      </w:r>
      <w:r>
        <w:fldChar w:fldCharType="begin"/>
      </w:r>
      <w:r>
        <w:instrText xml:space="preserve"> REF _Ref364343196 \r \h </w:instrText>
      </w:r>
      <w:r>
        <w:fldChar w:fldCharType="separate"/>
      </w:r>
      <w:r>
        <w:t>3.8</w:t>
      </w:r>
      <w:r>
        <w:fldChar w:fldCharType="end"/>
      </w:r>
      <w:r>
        <w:t xml:space="preserve"> and </w:t>
      </w:r>
      <w:r>
        <w:fldChar w:fldCharType="begin"/>
      </w:r>
      <w:r>
        <w:instrText xml:space="preserve"> REF _Ref364343208 \r \h </w:instrText>
      </w:r>
      <w:r>
        <w:fldChar w:fldCharType="separate"/>
      </w:r>
      <w:r>
        <w:t>3.9</w:t>
      </w:r>
      <w:r>
        <w:fldChar w:fldCharType="end"/>
      </w:r>
      <w:r>
        <w:t>.</w:t>
      </w:r>
    </w:p>
    <w:p w:rsidR="00EF5A5D" w:rsidRDefault="00EF5A5D" w:rsidP="00BC484C">
      <w:pPr>
        <w:pStyle w:val="Heading2"/>
      </w:pPr>
      <w:bookmarkStart w:id="17" w:name="_Ref364339494"/>
      <w:bookmarkStart w:id="18" w:name="_Toc364350798"/>
      <w:r>
        <w:t>Nature &amp; Authority</w:t>
      </w:r>
      <w:bookmarkEnd w:id="17"/>
      <w:bookmarkEnd w:id="18"/>
    </w:p>
    <w:p w:rsidR="00EF5A5D" w:rsidRDefault="00EF5A5D" w:rsidP="00BC484C"/>
    <w:p w:rsidR="00EF5A5D" w:rsidRDefault="00EF5A5D" w:rsidP="00BC484C">
      <w:r>
        <w:t>We note that the Australian Energy Market Commission’s (AEMC) changes to the National Electricity Rules (NER) mean that NSPs must describe how they have engaged with electricity consumers and sought to address their relevant concerns as a result of this engagement; and that these changes reflect a desire by the AEMC and relevant governments for greater emphasis on consumer issues and engagement with consumers.  We strongly support these directions.</w:t>
      </w:r>
    </w:p>
    <w:p w:rsidR="00EF5A5D" w:rsidRDefault="00EF5A5D" w:rsidP="00BC484C"/>
    <w:p w:rsidR="00EF5A5D" w:rsidRDefault="00EF5A5D" w:rsidP="00BC484C">
      <w:r>
        <w:t>COSBOA supports that the AER’s apply its Guideline on Consumer Engagement by NSPs to both regulated electricity and gas networks, and to transmission and distribution NSPs.  We would also encourage non-regulated NSPs, such as some gas transmission networks, to make use of the guideline so that they are also more engaged with their customers.</w:t>
      </w:r>
    </w:p>
    <w:p w:rsidR="00EF5A5D" w:rsidRDefault="00EF5A5D" w:rsidP="00BC484C"/>
    <w:p w:rsidR="00EF5A5D" w:rsidRDefault="00EF5A5D" w:rsidP="00BC484C">
      <w:r>
        <w:t xml:space="preserve">We note that the AEMC’s requirement for regulated electricity networks to engage with consumers does not apply to the National Gas Rules (NGR) but support the AER’s view that regulated gas networks have an obligation under the National Gas Objective (NGO) to act in the long terms interests of consumers and that acceptance of the Guideline would be consistent with this.  On the other hand, a failure to engage with consumers would not be consistent with the NGO.  We are therefore concerned at the following comment in the AER’s </w:t>
      </w:r>
      <w:r>
        <w:rPr>
          <w:i/>
        </w:rPr>
        <w:t>Explanatory Statement</w:t>
      </w:r>
      <w:r>
        <w:t>:</w:t>
      </w:r>
    </w:p>
    <w:p w:rsidR="00EF5A5D" w:rsidRDefault="00EF5A5D" w:rsidP="00BC484C"/>
    <w:p w:rsidR="00EF5A5D" w:rsidRDefault="00EF5A5D" w:rsidP="005B022D">
      <w:pPr>
        <w:pStyle w:val="Quote"/>
        <w:ind w:left="576"/>
      </w:pPr>
      <w:r>
        <w:t>“We understand some gas service providers may not consider the guideline relevant as the NGR does not reflect NER requirements for consumer engagement.  Envestra made this view clear in a letter to us.  Envestra considers our inclusion of gas service providers in the guideline inappropriate.”  (p. 19)</w:t>
      </w:r>
    </w:p>
    <w:p w:rsidR="00EF5A5D" w:rsidRDefault="00EF5A5D" w:rsidP="005B022D"/>
    <w:p w:rsidR="00EF5A5D" w:rsidRDefault="00EF5A5D" w:rsidP="005B022D">
      <w:r>
        <w:t xml:space="preserve">We note Envestra’s comments that an alleged lack of past customer participation in AER regulatory decisions on gas, the “fuel of choice” nature of gas and the fact that the AEMC did not specifically amend the NGR (as it did the NER) to include engagement, have lead to its conclusion that regulated gas networks should not be expected to apply the Guideline on Consumer Engagement.  However, we do not accept these comments.  There has been customer participation in a number of past regulatory processes for gas networks run by the AER and National Competition Council, as well as jurisdictional regulators. Whilst it is true that electricity is more widely used than gas, this is not in itself a reason to not apply the Guideline to gas, which is also widely used.  It is also possible that more limited participation by consumers in gas reviews reflects a lack of understanding as to the importance of these reviews and a lack of resources to take part (e.g., this would be a factor in the case of small business).  Whilst the AEMC may not have included specific consumer engagement rules in the NGR, as it did in the NER, we find it hard to believe that it would not support greater engagement by gas networks with their customers.  Moreover, we note the strong support for greater consumer engagement by energy networks from the Council of Australian Governments (COAG) and the SCER.  Finally, we find it difficult to understand why gas networks, as a matter of good corporate practice and governance, would shy away from greater consumer engagement through acceptance of the Guideline.  We therefore urge them to reconsider their position and consider the benefits of engagement through the Guideline we outlined in Section </w:t>
      </w:r>
      <w:r>
        <w:fldChar w:fldCharType="begin"/>
      </w:r>
      <w:r>
        <w:instrText xml:space="preserve"> REF _Ref364274109 \r \h </w:instrText>
      </w:r>
      <w:r>
        <w:fldChar w:fldCharType="separate"/>
      </w:r>
      <w:r>
        <w:t>2.1.1</w:t>
      </w:r>
      <w:r>
        <w:fldChar w:fldCharType="end"/>
      </w:r>
      <w:r>
        <w:t>.</w:t>
      </w:r>
    </w:p>
    <w:p w:rsidR="00EF5A5D" w:rsidRDefault="00EF5A5D" w:rsidP="005B022D"/>
    <w:p w:rsidR="00EF5A5D" w:rsidRDefault="00EF5A5D" w:rsidP="005B022D">
      <w:r>
        <w:t xml:space="preserve">COSBOA has noted the following comment in the </w:t>
      </w:r>
      <w:r>
        <w:rPr>
          <w:i/>
        </w:rPr>
        <w:t>Draft Guideline</w:t>
      </w:r>
      <w:r>
        <w:t xml:space="preserve">: </w:t>
      </w:r>
    </w:p>
    <w:p w:rsidR="00EF5A5D" w:rsidRDefault="00EF5A5D" w:rsidP="005B022D"/>
    <w:p w:rsidR="00EF5A5D" w:rsidRDefault="00EF5A5D" w:rsidP="005B022D">
      <w:pPr>
        <w:pStyle w:val="Quote"/>
        <w:ind w:left="576"/>
      </w:pPr>
      <w:r w:rsidRPr="00C86800">
        <w:t xml:space="preserve">When we review </w:t>
      </w:r>
      <w:r>
        <w:t>regulatory proposals, revenue proposals and access arrangements (</w:t>
      </w:r>
      <w:r w:rsidRPr="00A66750">
        <w:rPr>
          <w:rStyle w:val="AERtextitalic"/>
        </w:rPr>
        <w:t>expenditure proposals</w:t>
      </w:r>
      <w:r>
        <w:t>)</w:t>
      </w:r>
      <w:r w:rsidRPr="00C86800">
        <w:t xml:space="preserve">, we will have regard to </w:t>
      </w:r>
      <w:r>
        <w:t xml:space="preserve">how a </w:t>
      </w:r>
      <w:r w:rsidRPr="007871A9">
        <w:rPr>
          <w:rStyle w:val="AERtextitalic"/>
        </w:rPr>
        <w:t>service provider</w:t>
      </w:r>
      <w:r>
        <w:t xml:space="preserve"> engaged with its consumers and accounted for the long term interests of those consumers</w:t>
      </w:r>
      <w:r w:rsidRPr="00C86800">
        <w:t>.</w:t>
      </w:r>
      <w:r>
        <w:t xml:space="preserve"> (pp. 6-7)</w:t>
      </w:r>
    </w:p>
    <w:p w:rsidR="00EF5A5D" w:rsidRDefault="00EF5A5D" w:rsidP="005B022D"/>
    <w:p w:rsidR="00EF5A5D" w:rsidRPr="005B022D" w:rsidRDefault="00EF5A5D" w:rsidP="005B022D">
      <w:r>
        <w:t>Whilst we support that the AER should do this and report on it in its draft and final determinations, we are concerned that it has few ‘teeth’ other than to ‘name and shame’ in ensuring that NSPs engage with consumers.  This may not offer strong enough powers to ensure compliance and risks some NSPs ‘thumbing their noses’ at the AER.  We hope that this is not the case but believe that a preferable approach may be to reward/penalise NSPs in terms of their commitment to consumer engagement.  This could be linked, for example, to a certain amount of ‘revenue at risk’ for the NSP.  However, as the engagement strategy is new and untried, and given the AEMC did not feel it necessary to include such a requirement in its Rule changes, we (somewhat reluctantly) accept that this not possible under the existing NER and NGR.  However, we would urge the AER to keep this under review and seek additional powers should this prove necessary in future.  They should also make their preparedness to seek additional powers if NSPs do not show a sufficient commitment to consumer engagement clear to regulated electricity and gas NSPs.</w:t>
      </w:r>
    </w:p>
    <w:p w:rsidR="00EF5A5D" w:rsidRPr="00874C73" w:rsidRDefault="00EF5A5D" w:rsidP="00874C73">
      <w:bookmarkStart w:id="19" w:name="_Toc359506815"/>
      <w:bookmarkStart w:id="20" w:name="_Toc359784758"/>
    </w:p>
    <w:p w:rsidR="00EF5A5D" w:rsidRDefault="00EF5A5D" w:rsidP="00874C73">
      <w:r w:rsidRPr="00874C73">
        <w:t xml:space="preserve">Under the </w:t>
      </w:r>
      <w:r>
        <w:t>heading “Process for revision”, we suggest that the AER make clear that revisions to the Guideline will be subject to consultation and engagement with stakeholders, including consumers, and that the Guideline will, in any case, be reviewed after (say) three years of operation.  To inform this review, the AER should also collect information from NSPs and consumers about engagement approaches, their experiences and suggested improvements.</w:t>
      </w:r>
    </w:p>
    <w:p w:rsidR="00EF5A5D" w:rsidRDefault="00EF5A5D" w:rsidP="003228F6">
      <w:pPr>
        <w:pStyle w:val="Heading2"/>
      </w:pPr>
      <w:bookmarkStart w:id="21" w:name="_Ref364347774"/>
      <w:bookmarkStart w:id="22" w:name="_Toc364350799"/>
      <w:r>
        <w:t>Best Practice Principles</w:t>
      </w:r>
      <w:bookmarkEnd w:id="21"/>
      <w:bookmarkEnd w:id="22"/>
    </w:p>
    <w:p w:rsidR="00EF5A5D" w:rsidRDefault="00EF5A5D" w:rsidP="003228F6"/>
    <w:p w:rsidR="00EF5A5D" w:rsidRPr="003228F6" w:rsidRDefault="00EF5A5D" w:rsidP="003228F6">
      <w:r>
        <w:t>The AER is proposing to use a set of “best practice principles” taken from organisation that specialise in engagement.  We assume that these bodies are experienced in engagement practices and therefore believe that these should provide a sound basis to underpin the Guideline.  However, COSBOA suggest that a further component could be added which emphasises the need for “honesty” and/or “accuracy” in the conduct of consumer engagement by NSPs.  This is not to impugn the NSPs or the way we would expect them to undertaken engagement, but rather to be specific in the Guideline about the need for this.</w:t>
      </w:r>
    </w:p>
    <w:p w:rsidR="00EF5A5D" w:rsidRDefault="00EF5A5D" w:rsidP="0056741E">
      <w:pPr>
        <w:pStyle w:val="Heading3"/>
      </w:pPr>
      <w:bookmarkStart w:id="23" w:name="_Toc364350800"/>
      <w:r>
        <w:t>Accessibility</w:t>
      </w:r>
      <w:bookmarkEnd w:id="23"/>
    </w:p>
    <w:p w:rsidR="00EF5A5D" w:rsidRDefault="00EF5A5D" w:rsidP="0056741E"/>
    <w:p w:rsidR="00EF5A5D" w:rsidRDefault="00EF5A5D" w:rsidP="0056741E">
      <w:r>
        <w:t>COSBOA supports the way the AER has specified this component and we single out for further comment the following:</w:t>
      </w:r>
    </w:p>
    <w:p w:rsidR="00EF5A5D" w:rsidRDefault="00EF5A5D" w:rsidP="0056741E"/>
    <w:p w:rsidR="00EF5A5D" w:rsidRDefault="00EF5A5D" w:rsidP="0050407D">
      <w:pPr>
        <w:pStyle w:val="ListParagraph"/>
        <w:numPr>
          <w:ilvl w:val="0"/>
          <w:numId w:val="26"/>
        </w:numPr>
      </w:pPr>
      <w:r>
        <w:t xml:space="preserve">That the need to tailor engagement to meet the needs of different types of consumers, including their capacity to understand complex and technical issues, involves building their capacity, which may require giving them access to resources to help to do this (see our comments in Section </w:t>
      </w:r>
      <w:r>
        <w:fldChar w:fldCharType="begin"/>
      </w:r>
      <w:r>
        <w:instrText xml:space="preserve"> REF _Ref364264591 \r \h </w:instrText>
      </w:r>
      <w:r>
        <w:fldChar w:fldCharType="separate"/>
      </w:r>
      <w:r>
        <w:t>2.2</w:t>
      </w:r>
      <w:r>
        <w:fldChar w:fldCharType="end"/>
      </w:r>
      <w:r>
        <w:t>).  This point is relevant to the engagement needs of small business.</w:t>
      </w:r>
    </w:p>
    <w:p w:rsidR="00EF5A5D" w:rsidRDefault="00EF5A5D" w:rsidP="004D2152">
      <w:pPr>
        <w:pStyle w:val="ListParagraph"/>
        <w:numPr>
          <w:ilvl w:val="0"/>
          <w:numId w:val="26"/>
        </w:numPr>
      </w:pPr>
      <w:r>
        <w:t>That COSBOA supported the conditional release of confidential information to consumers in its Submission to the AER on Condidentiality provided conditional release was not used as a reason for withholding information that should not be confidential from public release.</w:t>
      </w:r>
    </w:p>
    <w:p w:rsidR="00EF5A5D" w:rsidRDefault="00EF5A5D" w:rsidP="004D2152">
      <w:pPr>
        <w:pStyle w:val="Heading3"/>
      </w:pPr>
      <w:bookmarkStart w:id="24" w:name="_Ref364350244"/>
      <w:bookmarkStart w:id="25" w:name="_Toc364350801"/>
      <w:r>
        <w:t>Transparent</w:t>
      </w:r>
      <w:bookmarkEnd w:id="24"/>
      <w:bookmarkEnd w:id="25"/>
    </w:p>
    <w:p w:rsidR="00EF5A5D" w:rsidRDefault="00EF5A5D" w:rsidP="004D2152"/>
    <w:p w:rsidR="00EF5A5D" w:rsidRDefault="00EF5A5D" w:rsidP="004D2152">
      <w:r>
        <w:t>COSBOA supports the need for transparency in NSP engagement with consumers and the specific elements for this listed in the Draft Guideline.  However, it occurs to us that there is no reference in the guideline as to how differences in view, or conflicts, are to be resolved?  For example, this could occur over differences in expectation about the outcomes of consumer input or over what is “negotiable”.  It would be useful if the AER could clarify this.</w:t>
      </w:r>
    </w:p>
    <w:p w:rsidR="00EF5A5D" w:rsidRDefault="00EF5A5D" w:rsidP="006A5F32">
      <w:pPr>
        <w:pStyle w:val="Heading3"/>
      </w:pPr>
      <w:bookmarkStart w:id="26" w:name="_Toc364350802"/>
      <w:r>
        <w:t>Communication</w:t>
      </w:r>
      <w:bookmarkEnd w:id="26"/>
    </w:p>
    <w:p w:rsidR="00EF5A5D" w:rsidRDefault="00EF5A5D" w:rsidP="004D2152"/>
    <w:p w:rsidR="00EF5A5D" w:rsidRDefault="00EF5A5D" w:rsidP="004D2152">
      <w:r>
        <w:t xml:space="preserve">COSBOA believes that it will be important for NSPs to effectively communicate information to consumers and tailor what they do to fit the type of consumer.  We support the points made on this in the Draft Guideline.  Noting the particular characteristics of small business we mentioned in Section </w:t>
      </w:r>
      <w:r>
        <w:fldChar w:fldCharType="begin"/>
      </w:r>
      <w:r>
        <w:instrText xml:space="preserve"> REF _Ref364264591 \r \h </w:instrText>
      </w:r>
      <w:r>
        <w:fldChar w:fldCharType="separate"/>
      </w:r>
      <w:r>
        <w:t>2.2</w:t>
      </w:r>
      <w:r>
        <w:fldChar w:fldCharType="end"/>
      </w:r>
      <w:r>
        <w:t>, we endorse the need for clear and (wherever possible) concise communications using plain English.</w:t>
      </w:r>
    </w:p>
    <w:p w:rsidR="00EF5A5D" w:rsidRDefault="00EF5A5D" w:rsidP="006A5F32">
      <w:pPr>
        <w:pStyle w:val="Heading3"/>
      </w:pPr>
      <w:bookmarkStart w:id="27" w:name="_Toc364350803"/>
      <w:r>
        <w:t>Inclusive</w:t>
      </w:r>
      <w:bookmarkEnd w:id="27"/>
    </w:p>
    <w:p w:rsidR="00EF5A5D" w:rsidRDefault="00EF5A5D" w:rsidP="004D2152"/>
    <w:p w:rsidR="00EF5A5D" w:rsidRDefault="00EF5A5D" w:rsidP="004D2152">
      <w:r>
        <w:t xml:space="preserve">We support the need for engagement to be inclusive and the points made in the Draft Guideline on this.  Nevertheless, we believe that inclusive engagement by NSPs with small business should have particular regard to the points we outlined in Section </w:t>
      </w:r>
      <w:r>
        <w:fldChar w:fldCharType="begin"/>
      </w:r>
      <w:r>
        <w:instrText xml:space="preserve"> REF _Ref364264591 \r \h </w:instrText>
      </w:r>
      <w:r>
        <w:fldChar w:fldCharType="separate"/>
      </w:r>
      <w:r>
        <w:t>2.2</w:t>
      </w:r>
      <w:r>
        <w:fldChar w:fldCharType="end"/>
      </w:r>
      <w:r>
        <w:t>, which summarise the characteristics of small business relevant to effective engagement with them.  The AER should also consider these in finalising the Guideline itself.  Turning to the elements listed in the Draft Guideline, we particularly mention that small business is time and resource ‘poor’ in terms of its ability to engage, that the sharing of expertise and information should be wide ranging and err on the side of ‘providing’ rather than ‘withholding’ and that offering consumers a choice is important.</w:t>
      </w:r>
    </w:p>
    <w:p w:rsidR="00EF5A5D" w:rsidRDefault="00EF5A5D" w:rsidP="007E3AF0">
      <w:pPr>
        <w:pStyle w:val="Heading3"/>
      </w:pPr>
      <w:bookmarkStart w:id="28" w:name="_Toc364350804"/>
      <w:r>
        <w:t>Measurable</w:t>
      </w:r>
      <w:bookmarkEnd w:id="28"/>
    </w:p>
    <w:p w:rsidR="00EF5A5D" w:rsidRDefault="00EF5A5D" w:rsidP="004D2152"/>
    <w:p w:rsidR="00EF5A5D" w:rsidRDefault="00EF5A5D" w:rsidP="004D2152">
      <w:r>
        <w:t>COSBOA supports the need for NSPs to measure the effectiveness of their consumer engagement, to do so regardless of success, to develop KPIs that measure (quantitatively and objectively, where possible) their engagement activities and to publish the results.</w:t>
      </w:r>
    </w:p>
    <w:p w:rsidR="00EF5A5D" w:rsidRDefault="00EF5A5D" w:rsidP="007E3AF0">
      <w:pPr>
        <w:pStyle w:val="Heading2"/>
      </w:pPr>
      <w:bookmarkStart w:id="29" w:name="_Toc364350805"/>
      <w:r>
        <w:t>Prioritising Engagement</w:t>
      </w:r>
      <w:bookmarkEnd w:id="29"/>
    </w:p>
    <w:p w:rsidR="00EF5A5D" w:rsidRDefault="00EF5A5D" w:rsidP="004D2152"/>
    <w:p w:rsidR="00EF5A5D" w:rsidRDefault="00EF5A5D" w:rsidP="004D2152">
      <w:r>
        <w:t xml:space="preserve">The Draft Guideline sets out how NSPs should set priorities for engagement with consumers and notes the importance of them doing so.  COSBOA is supportive of this approach and particularly notes the need to include an understanding of small business consumers.  Our comments in Section </w:t>
      </w:r>
      <w:r>
        <w:fldChar w:fldCharType="begin"/>
      </w:r>
      <w:r>
        <w:instrText xml:space="preserve"> REF _Ref364264591 \r \h </w:instrText>
      </w:r>
      <w:r>
        <w:fldChar w:fldCharType="separate"/>
      </w:r>
      <w:r>
        <w:t>2.2</w:t>
      </w:r>
      <w:r>
        <w:fldChar w:fldCharType="end"/>
      </w:r>
      <w:r>
        <w:t xml:space="preserve"> are relevant to this.  Some examples may help to illustrate this:</w:t>
      </w:r>
    </w:p>
    <w:p w:rsidR="00EF5A5D" w:rsidRDefault="00EF5A5D" w:rsidP="004D2152"/>
    <w:p w:rsidR="00EF5A5D" w:rsidRDefault="00EF5A5D" w:rsidP="004B0266">
      <w:pPr>
        <w:pStyle w:val="ListParagraph"/>
        <w:numPr>
          <w:ilvl w:val="0"/>
          <w:numId w:val="27"/>
        </w:numPr>
      </w:pPr>
      <w:r>
        <w:t>Small business consumers will be particularly sensitive to proposals which change network prices significantly and in how proposals affect the reliability and quality of supply they receive.</w:t>
      </w:r>
    </w:p>
    <w:p w:rsidR="00EF5A5D" w:rsidRDefault="00EF5A5D" w:rsidP="004B0266">
      <w:pPr>
        <w:pStyle w:val="ListParagraph"/>
        <w:numPr>
          <w:ilvl w:val="0"/>
          <w:numId w:val="27"/>
        </w:numPr>
      </w:pPr>
      <w:r>
        <w:t>They will also be interested in NSPs finding efficient ways to engage with them, given their time and resource constraints and as they are already over-burdened with regulation.   For instance, burdensome surveys or other forms of market research would not be well received.</w:t>
      </w:r>
    </w:p>
    <w:p w:rsidR="00EF5A5D" w:rsidRDefault="00EF5A5D" w:rsidP="00B2433C">
      <w:pPr>
        <w:pStyle w:val="ListParagraph"/>
        <w:numPr>
          <w:ilvl w:val="0"/>
          <w:numId w:val="27"/>
        </w:numPr>
      </w:pPr>
      <w:r>
        <w:t>The different levels of interest of small business in energy issues will also impact on their willingness to engage with NSPs.</w:t>
      </w:r>
    </w:p>
    <w:p w:rsidR="00EF5A5D" w:rsidRDefault="00EF5A5D" w:rsidP="00B2433C">
      <w:pPr>
        <w:pStyle w:val="Heading2"/>
      </w:pPr>
      <w:bookmarkStart w:id="30" w:name="_Toc364350806"/>
      <w:r>
        <w:t>Delivery</w:t>
      </w:r>
      <w:bookmarkEnd w:id="30"/>
    </w:p>
    <w:p w:rsidR="00EF5A5D" w:rsidRDefault="00EF5A5D" w:rsidP="00B2433C"/>
    <w:p w:rsidR="00EF5A5D" w:rsidRDefault="00EF5A5D" w:rsidP="004D2152">
      <w:r>
        <w:t>COSBOA supports the need for robust and thorough consumer engagement as expected by the AER.  In particular, we believe that the following are important to this:</w:t>
      </w:r>
    </w:p>
    <w:p w:rsidR="00EF5A5D" w:rsidRDefault="00EF5A5D" w:rsidP="004D2152"/>
    <w:p w:rsidR="00EF5A5D" w:rsidRDefault="00EF5A5D" w:rsidP="00B2433C">
      <w:pPr>
        <w:pStyle w:val="ListParagraph"/>
        <w:numPr>
          <w:ilvl w:val="0"/>
          <w:numId w:val="28"/>
        </w:numPr>
      </w:pPr>
      <w:r>
        <w:t>High level support from within the NSP, including the Board and CEO, and its use across the business;</w:t>
      </w:r>
    </w:p>
    <w:p w:rsidR="00EF5A5D" w:rsidRDefault="00EF5A5D" w:rsidP="00B2433C">
      <w:pPr>
        <w:pStyle w:val="ListParagraph"/>
        <w:numPr>
          <w:ilvl w:val="0"/>
          <w:numId w:val="28"/>
        </w:numPr>
      </w:pPr>
      <w:r>
        <w:t xml:space="preserve">Forthright, transparent and two-way communication involving feedback; </w:t>
      </w:r>
    </w:p>
    <w:p w:rsidR="00EF5A5D" w:rsidRDefault="00EF5A5D" w:rsidP="00B2433C">
      <w:pPr>
        <w:pStyle w:val="ListParagraph"/>
        <w:numPr>
          <w:ilvl w:val="0"/>
          <w:numId w:val="28"/>
        </w:numPr>
      </w:pPr>
      <w:r>
        <w:t>Demonstrating how consumer input influenced decisions; and</w:t>
      </w:r>
    </w:p>
    <w:p w:rsidR="00EF5A5D" w:rsidRDefault="00EF5A5D" w:rsidP="00B2433C">
      <w:pPr>
        <w:pStyle w:val="ListParagraph"/>
        <w:numPr>
          <w:ilvl w:val="0"/>
          <w:numId w:val="28"/>
        </w:numPr>
      </w:pPr>
      <w:r>
        <w:t xml:space="preserve">Effective mechanisms to deal with tensions or conflicts (re-iterating our point in </w:t>
      </w:r>
      <w:r>
        <w:fldChar w:fldCharType="begin"/>
      </w:r>
      <w:r>
        <w:instrText xml:space="preserve"> REF _Ref364350244 \r \h </w:instrText>
      </w:r>
      <w:r>
        <w:fldChar w:fldCharType="separate"/>
      </w:r>
      <w:r>
        <w:t>3.2.2</w:t>
      </w:r>
      <w:r>
        <w:fldChar w:fldCharType="end"/>
      </w:r>
      <w:r>
        <w:t xml:space="preserve"> above that the Draft Guideline is relatively silent on how to resolve these).</w:t>
      </w:r>
    </w:p>
    <w:p w:rsidR="00EF5A5D" w:rsidRDefault="00EF5A5D" w:rsidP="00B2433C"/>
    <w:p w:rsidR="00EF5A5D" w:rsidRDefault="00EF5A5D" w:rsidP="00B2433C">
      <w:r>
        <w:t>We believe that small business will be particularly interested in consulting on price decisions, their reliability and quality of supply, small business tariffs and opportunities they may have to reduce their energy costs.</w:t>
      </w:r>
    </w:p>
    <w:p w:rsidR="00EF5A5D" w:rsidRDefault="00EF5A5D" w:rsidP="00FB073C">
      <w:pPr>
        <w:pStyle w:val="Heading2"/>
      </w:pPr>
      <w:bookmarkStart w:id="31" w:name="_Toc364350807"/>
      <w:r>
        <w:t>Results</w:t>
      </w:r>
      <w:bookmarkEnd w:id="31"/>
    </w:p>
    <w:p w:rsidR="00EF5A5D" w:rsidRDefault="00EF5A5D" w:rsidP="00B2433C"/>
    <w:p w:rsidR="00EF5A5D" w:rsidRDefault="00EF5A5D" w:rsidP="00B2433C">
      <w:r>
        <w:t>COSBOA supports the AER’s desire for NSPs to report on the outcomes of their engagement with consumers including:</w:t>
      </w:r>
    </w:p>
    <w:p w:rsidR="00EF5A5D" w:rsidRDefault="00EF5A5D" w:rsidP="00B2433C"/>
    <w:p w:rsidR="00EF5A5D" w:rsidRDefault="00EF5A5D" w:rsidP="00CA4E80">
      <w:pPr>
        <w:pStyle w:val="ListParagraph"/>
        <w:numPr>
          <w:ilvl w:val="0"/>
          <w:numId w:val="29"/>
        </w:numPr>
      </w:pPr>
      <w:r>
        <w:t>The extent of engagement undertaken;</w:t>
      </w:r>
    </w:p>
    <w:p w:rsidR="00EF5A5D" w:rsidRDefault="00EF5A5D" w:rsidP="00CA4E80">
      <w:pPr>
        <w:pStyle w:val="ListParagraph"/>
        <w:numPr>
          <w:ilvl w:val="0"/>
          <w:numId w:val="29"/>
        </w:numPr>
      </w:pPr>
      <w:r>
        <w:t>The NSP’s consideration of consumers’ views and their influence on decisions;</w:t>
      </w:r>
    </w:p>
    <w:p w:rsidR="00EF5A5D" w:rsidRDefault="00EF5A5D" w:rsidP="00CA4E80">
      <w:pPr>
        <w:pStyle w:val="ListParagraph"/>
        <w:numPr>
          <w:ilvl w:val="0"/>
          <w:numId w:val="29"/>
        </w:numPr>
      </w:pPr>
      <w:r>
        <w:t>The identification of emerging or long-term issues and strategies to deal with them; and</w:t>
      </w:r>
    </w:p>
    <w:p w:rsidR="00EF5A5D" w:rsidRDefault="00EF5A5D" w:rsidP="00CA4E80">
      <w:pPr>
        <w:pStyle w:val="ListParagraph"/>
        <w:numPr>
          <w:ilvl w:val="0"/>
          <w:numId w:val="29"/>
        </w:numPr>
      </w:pPr>
      <w:r>
        <w:t>How conflicts and tensions were dealt with, including reporting on this and not targeting only groups likely to be favourable to an NSP’s position.</w:t>
      </w:r>
    </w:p>
    <w:p w:rsidR="00EF5A5D" w:rsidRDefault="00EF5A5D" w:rsidP="00CA4E80">
      <w:pPr>
        <w:pStyle w:val="Heading2"/>
      </w:pPr>
      <w:bookmarkStart w:id="32" w:name="_Toc364350808"/>
      <w:r>
        <w:t>Evaluation and Review</w:t>
      </w:r>
      <w:bookmarkEnd w:id="32"/>
    </w:p>
    <w:p w:rsidR="00EF5A5D" w:rsidRDefault="00EF5A5D" w:rsidP="00CA4E80"/>
    <w:p w:rsidR="00EF5A5D" w:rsidRPr="00F73225" w:rsidRDefault="00EF5A5D" w:rsidP="00CA4E80">
      <w:r>
        <w:t xml:space="preserve">COSBOA is supportive of the AER’s expectation that NSPs will periodically review their engagement strategies in a thorough and robust way, publish the results of this review and act upon it.  We also suggest NSPs do this in consultation with consumers and that the AER clarify that it will consider the results of such reviews in reviewing its Guideline.  We believe that the list of factors for evaluation on pp. 29-30 of the </w:t>
      </w:r>
      <w:r>
        <w:rPr>
          <w:i/>
        </w:rPr>
        <w:t>Explanatory Statement</w:t>
      </w:r>
      <w:r>
        <w:t xml:space="preserve"> provide a sound starting point for evaluation.</w:t>
      </w:r>
    </w:p>
    <w:p w:rsidR="00EF5A5D" w:rsidRDefault="00EF5A5D" w:rsidP="002F58F2">
      <w:pPr>
        <w:pStyle w:val="Heading2"/>
      </w:pPr>
      <w:bookmarkStart w:id="33" w:name="_Toc364350809"/>
      <w:r>
        <w:t>Expectations</w:t>
      </w:r>
      <w:bookmarkEnd w:id="33"/>
    </w:p>
    <w:p w:rsidR="00EF5A5D" w:rsidRDefault="00EF5A5D" w:rsidP="00CA4E80"/>
    <w:p w:rsidR="00EF5A5D" w:rsidRDefault="00EF5A5D" w:rsidP="00CA4E80">
      <w:r>
        <w:t>The AER has set out its expectations of NSPs in the Draft Guideline and COSBOA is supportive of these, particularly that:</w:t>
      </w:r>
    </w:p>
    <w:p w:rsidR="00EF5A5D" w:rsidRDefault="00EF5A5D" w:rsidP="00CA4E80"/>
    <w:p w:rsidR="00EF5A5D" w:rsidRDefault="00EF5A5D" w:rsidP="002F58F2">
      <w:pPr>
        <w:pStyle w:val="ListParagraph"/>
        <w:numPr>
          <w:ilvl w:val="0"/>
          <w:numId w:val="31"/>
        </w:numPr>
      </w:pPr>
      <w:r>
        <w:t>All NSPs – electricity and gas, transmission and distribution – should use the Guideline and seek “to exceed their regulatory obligations”;</w:t>
      </w:r>
    </w:p>
    <w:p w:rsidR="00EF5A5D" w:rsidRDefault="00EF5A5D" w:rsidP="002F58F2">
      <w:pPr>
        <w:pStyle w:val="ListParagraph"/>
        <w:numPr>
          <w:ilvl w:val="0"/>
          <w:numId w:val="31"/>
        </w:numPr>
      </w:pPr>
      <w:r>
        <w:t xml:space="preserve">The quality of each NSP’s consumer engagement should be a factor in how the AER assesses their expenditure proposals (noting our concerns about its “limited teeth” in Section </w:t>
      </w:r>
      <w:r>
        <w:fldChar w:fldCharType="begin"/>
      </w:r>
      <w:r>
        <w:instrText xml:space="preserve"> REF _Ref364339494 \r \h </w:instrText>
      </w:r>
      <w:r>
        <w:fldChar w:fldCharType="separate"/>
      </w:r>
      <w:r>
        <w:t>3.1</w:t>
      </w:r>
      <w:r>
        <w:fldChar w:fldCharType="end"/>
      </w:r>
      <w:r>
        <w:t>);</w:t>
      </w:r>
    </w:p>
    <w:p w:rsidR="00EF5A5D" w:rsidRDefault="00EF5A5D" w:rsidP="002F58F2">
      <w:pPr>
        <w:pStyle w:val="ListParagraph"/>
        <w:numPr>
          <w:ilvl w:val="0"/>
          <w:numId w:val="31"/>
        </w:numPr>
      </w:pPr>
      <w:r>
        <w:t>There is evidence that engagement with consumers has fed into an NSP’s regulatory proposal; and</w:t>
      </w:r>
    </w:p>
    <w:p w:rsidR="00EF5A5D" w:rsidRDefault="00EF5A5D" w:rsidP="002F58F2">
      <w:pPr>
        <w:pStyle w:val="ListParagraph"/>
        <w:numPr>
          <w:ilvl w:val="0"/>
          <w:numId w:val="31"/>
        </w:numPr>
      </w:pPr>
      <w:r>
        <w:t>NSPs should improve their consumer engagement activities “reasonably quickly”, particularly where they have been minimal to date.</w:t>
      </w:r>
    </w:p>
    <w:p w:rsidR="00EF5A5D" w:rsidRDefault="00EF5A5D" w:rsidP="00D87CE2"/>
    <w:p w:rsidR="00EF5A5D" w:rsidRDefault="00EF5A5D" w:rsidP="00D87CE2">
      <w:r>
        <w:t xml:space="preserve">COSBOA would also add its expectation that NSPs develop engagement strategies and approaches that meet the needs of small business as energy users, noting again our comments in Section </w:t>
      </w:r>
      <w:r>
        <w:fldChar w:fldCharType="begin"/>
      </w:r>
      <w:r>
        <w:instrText xml:space="preserve"> REF _Ref364264591 \r \h </w:instrText>
      </w:r>
      <w:r>
        <w:fldChar w:fldCharType="separate"/>
      </w:r>
      <w:r>
        <w:t>2.2</w:t>
      </w:r>
      <w:r>
        <w:fldChar w:fldCharType="end"/>
      </w:r>
      <w:r>
        <w:t xml:space="preserve"> of this submission relating to engagement with small business.  We would also expect that effective engagement will result in NSPs developing a more constructive relationship with their small business customers and in regulatory outcomes that benefit both small business and NSPs.</w:t>
      </w:r>
    </w:p>
    <w:p w:rsidR="00EF5A5D" w:rsidRDefault="00EF5A5D" w:rsidP="00766BCE">
      <w:pPr>
        <w:pStyle w:val="Heading2"/>
      </w:pPr>
      <w:bookmarkStart w:id="34" w:name="_Ref364343196"/>
      <w:bookmarkStart w:id="35" w:name="_Toc364350810"/>
      <w:r>
        <w:t>Need for More Guidance?</w:t>
      </w:r>
      <w:bookmarkEnd w:id="34"/>
      <w:bookmarkEnd w:id="35"/>
    </w:p>
    <w:p w:rsidR="00EF5A5D" w:rsidRDefault="00EF5A5D" w:rsidP="00D87CE2"/>
    <w:p w:rsidR="00EF5A5D" w:rsidRDefault="00EF5A5D" w:rsidP="00D87CE2">
      <w:r>
        <w:t xml:space="preserve">As mentioned earlier, COSBOA has some concerns that the Draft Guideline may not yet strike the right balance between prescription and principles.  We also note earlier comments by some NSPs seeking clarification from the AER about what its expectations of them are.  We acknowledge that the AER has set out a range of expectations in the Draft Guideline and provided examples in the </w:t>
      </w:r>
      <w:r>
        <w:rPr>
          <w:i/>
        </w:rPr>
        <w:t>Explanatory Statement</w:t>
      </w:r>
      <w:r>
        <w:t>.  We also recognise that the AER does not wish to be overly prescriptive in its approach to the Guideline and is seeking to encourage NSPs to develop their own detailed strategies and approaches.  We therefore suggest that the AER should consider developing a User Guide, or Compendium, that could contain more detailed guidance, including examples.  We also believe that this document could be further developed over time as NSPs (and the AER) gain more direct experience with consumer engagement.</w:t>
      </w:r>
    </w:p>
    <w:p w:rsidR="00EF5A5D" w:rsidRDefault="00EF5A5D" w:rsidP="00A27525">
      <w:pPr>
        <w:pStyle w:val="Heading2"/>
      </w:pPr>
      <w:bookmarkStart w:id="36" w:name="_Ref364343208"/>
      <w:bookmarkStart w:id="37" w:name="_Toc364350811"/>
      <w:r>
        <w:t>Agreement between NSPs and Consumers</w:t>
      </w:r>
      <w:bookmarkEnd w:id="36"/>
      <w:bookmarkEnd w:id="37"/>
    </w:p>
    <w:p w:rsidR="00EF5A5D" w:rsidRDefault="00EF5A5D" w:rsidP="00D87CE2"/>
    <w:p w:rsidR="00EF5A5D" w:rsidRDefault="00EF5A5D" w:rsidP="00D87CE2">
      <w:r>
        <w:t>Where agreement emerges between NSPs and consumers on issues under review, and this is a result of robust, effective and broad-ranging engagement, COSBOA believes it is important for the AER to place significant weight on this in its determinations.  This would be consistent with the NEO and NGO, which seek to promote the long term interests of consumers of energy, and also be a concrete demonstration of the AER’s commitment to consumer engagement.  It would also help to provide a strong incentive for consumer engagement by NSP and consumers in future.</w:t>
      </w:r>
    </w:p>
    <w:p w:rsidR="00EF5A5D" w:rsidRDefault="00EF5A5D">
      <w:pPr>
        <w:spacing w:after="200"/>
      </w:pPr>
      <w:r>
        <w:br w:type="page"/>
      </w:r>
    </w:p>
    <w:p w:rsidR="00EF5A5D" w:rsidRDefault="00EF5A5D" w:rsidP="005C0989">
      <w:pPr>
        <w:pStyle w:val="Heading1"/>
      </w:pPr>
      <w:bookmarkStart w:id="38" w:name="_Toc364350812"/>
      <w:r>
        <w:t>Engagement by the AER with Consumers</w:t>
      </w:r>
      <w:bookmarkEnd w:id="38"/>
    </w:p>
    <w:p w:rsidR="00EF5A5D" w:rsidRDefault="00EF5A5D" w:rsidP="00D87CE2"/>
    <w:p w:rsidR="00EF5A5D" w:rsidRDefault="00EF5A5D" w:rsidP="00D87CE2">
      <w:r>
        <w:t xml:space="preserve">As well as NSPs engaging with consumers, it is also important for the AER to do so.  COSBOA believes that the regulator needs to engage effectively with stakeholders to ensure it is well informed, has access to a balanced range of views and information, and makes the best possible decisions.  This will help to promote both the NEO and NGO.  We mentioned some of the benefits of the AER engaging with consumers on Section </w:t>
      </w:r>
      <w:r>
        <w:fldChar w:fldCharType="begin"/>
      </w:r>
      <w:r>
        <w:instrText xml:space="preserve"> REF _Ref364274109 \r \h </w:instrText>
      </w:r>
      <w:r>
        <w:fldChar w:fldCharType="separate"/>
      </w:r>
      <w:r>
        <w:t>2.1.1</w:t>
      </w:r>
      <w:r>
        <w:fldChar w:fldCharType="end"/>
      </w:r>
      <w:r>
        <w:t xml:space="preserve">.  </w:t>
      </w:r>
    </w:p>
    <w:p w:rsidR="00EF5A5D" w:rsidRDefault="00EF5A5D" w:rsidP="00D87CE2"/>
    <w:p w:rsidR="00EF5A5D" w:rsidRDefault="00EF5A5D" w:rsidP="00D87CE2">
      <w:r>
        <w:t xml:space="preserve">As part of its commitment to improving its engagement with its stakeholders, including consumers, the AER has therefore also recently published its </w:t>
      </w:r>
      <w:r>
        <w:rPr>
          <w:i/>
        </w:rPr>
        <w:t>Draft Stakeholder Engagement Framework</w:t>
      </w:r>
      <w:r>
        <w:t xml:space="preserve"> (July 2013).   This is not part of the BRP.  </w:t>
      </w:r>
    </w:p>
    <w:p w:rsidR="00EF5A5D" w:rsidRDefault="00EF5A5D" w:rsidP="00D87CE2"/>
    <w:p w:rsidR="00EF5A5D" w:rsidRDefault="00EF5A5D" w:rsidP="00D87CE2">
      <w:r>
        <w:t xml:space="preserve">COSBOA notes that this outlines an approach based on the same principles as those in the Draft Guideline for NSPs and contains similarities in terms of how these principles will be applied, including an Engagement Spectrum.  There is also a commitment to formally review the framework after three years, including consultation with stakeholders.  This promotes consistency across the principles of engagement and demonstrates that the AER is itself serious about engaging with stakeholders. </w:t>
      </w:r>
    </w:p>
    <w:p w:rsidR="00EF5A5D" w:rsidRDefault="00EF5A5D" w:rsidP="00D87CE2"/>
    <w:p w:rsidR="00EF5A5D" w:rsidRDefault="00EF5A5D" w:rsidP="00D87CE2">
      <w:r>
        <w:t xml:space="preserve">There has been limited engagement to date between the AER and small business.  There are several reasons for this, some of which were referred to in Section </w:t>
      </w:r>
      <w:r>
        <w:fldChar w:fldCharType="begin"/>
      </w:r>
      <w:r>
        <w:instrText xml:space="preserve"> REF _Ref364264591 \r \h </w:instrText>
      </w:r>
      <w:r>
        <w:fldChar w:fldCharType="separate"/>
      </w:r>
      <w:r>
        <w:t>2.2</w:t>
      </w:r>
      <w:r>
        <w:fldChar w:fldCharType="end"/>
      </w:r>
      <w:r>
        <w:t>.</w:t>
      </w:r>
    </w:p>
    <w:p w:rsidR="00EF5A5D" w:rsidRDefault="00EF5A5D" w:rsidP="00D87CE2"/>
    <w:p w:rsidR="00EF5A5D" w:rsidRDefault="00EF5A5D" w:rsidP="00D87CE2">
      <w:r>
        <w:t xml:space="preserve">From COSBOA’s point of view, we would welcome engagement with the AER on issues of importance to small business and see the development of this framework as important to that objective.  Consistent with its role, COSBOA would also seek to facilitate the involvement of its members and small business owners in this.  We also note that more regular engagement with the AER could have resource implications for COSBOA and it will be important for the AER to consider this.  Our earlier comments in Section </w:t>
      </w:r>
      <w:r>
        <w:fldChar w:fldCharType="begin"/>
      </w:r>
      <w:r>
        <w:instrText xml:space="preserve"> REF _Ref364264591 \r \h </w:instrText>
      </w:r>
      <w:r>
        <w:fldChar w:fldCharType="separate"/>
      </w:r>
      <w:r>
        <w:t>2.2</w:t>
      </w:r>
      <w:r>
        <w:fldChar w:fldCharType="end"/>
      </w:r>
      <w:r>
        <w:t xml:space="preserve"> addressed this matter.</w:t>
      </w:r>
    </w:p>
    <w:p w:rsidR="00EF5A5D" w:rsidRDefault="00EF5A5D" w:rsidP="00D87CE2"/>
    <w:p w:rsidR="00EF5A5D" w:rsidRDefault="00EF5A5D" w:rsidP="00D87CE2">
      <w:r>
        <w:t xml:space="preserve">Given the considerable similarities between the Draft Guideline and this Draft Framework, many of the comments we have made about the former in Section </w:t>
      </w:r>
      <w:r>
        <w:fldChar w:fldCharType="begin"/>
      </w:r>
      <w:r>
        <w:instrText xml:space="preserve"> REF _Ref364346260 \r \h </w:instrText>
      </w:r>
      <w:r>
        <w:fldChar w:fldCharType="separate"/>
      </w:r>
      <w:r>
        <w:t>3</w:t>
      </w:r>
      <w:r>
        <w:fldChar w:fldCharType="end"/>
      </w:r>
      <w:r>
        <w:t xml:space="preserve"> can also be applied to the Framework.</w:t>
      </w:r>
    </w:p>
    <w:p w:rsidR="00EF5A5D" w:rsidRDefault="00EF5A5D" w:rsidP="00D87CE2"/>
    <w:p w:rsidR="00EF5A5D" w:rsidRPr="005C0989" w:rsidRDefault="00EF5A5D" w:rsidP="00D87CE2"/>
    <w:p w:rsidR="00EF5A5D" w:rsidRPr="00874C73" w:rsidRDefault="00EF5A5D" w:rsidP="003228F6">
      <w:pPr>
        <w:pStyle w:val="Heading2"/>
      </w:pPr>
      <w:r w:rsidRPr="003228F6">
        <w:br w:type="page"/>
      </w:r>
    </w:p>
    <w:p w:rsidR="00EF5A5D" w:rsidRDefault="00EF5A5D" w:rsidP="00BC484C">
      <w:pPr>
        <w:pStyle w:val="Heading1"/>
        <w:numPr>
          <w:ilvl w:val="0"/>
          <w:numId w:val="0"/>
        </w:numPr>
      </w:pPr>
      <w:bookmarkStart w:id="39" w:name="_Toc364350813"/>
      <w:r>
        <w:t>ATTACHMENT: List of COASBOA Members</w:t>
      </w:r>
      <w:bookmarkEnd w:id="19"/>
      <w:bookmarkEnd w:id="20"/>
      <w:bookmarkEnd w:id="39"/>
    </w:p>
    <w:p w:rsidR="00EF5A5D" w:rsidRDefault="00EF5A5D" w:rsidP="00570B2B"/>
    <w:p w:rsidR="00EF5A5D" w:rsidRDefault="00EF5A5D" w:rsidP="00570B2B"/>
    <w:p w:rsidR="00EF5A5D" w:rsidRDefault="00EF5A5D" w:rsidP="00570B2B">
      <w:pPr>
        <w:spacing w:after="120"/>
      </w:pPr>
      <w:r>
        <w:t>Australasian Association of Convenience Stores</w:t>
      </w:r>
    </w:p>
    <w:p w:rsidR="00EF5A5D" w:rsidRDefault="00EF5A5D" w:rsidP="00570B2B">
      <w:pPr>
        <w:spacing w:after="120"/>
      </w:pPr>
      <w:r>
        <w:t>Australian Booksellers Association</w:t>
      </w:r>
    </w:p>
    <w:p w:rsidR="00EF5A5D" w:rsidRDefault="00EF5A5D" w:rsidP="00570B2B">
      <w:pPr>
        <w:spacing w:after="120"/>
      </w:pPr>
      <w:r>
        <w:t>Australian Digital Television Association</w:t>
      </w:r>
    </w:p>
    <w:p w:rsidR="00EF5A5D" w:rsidRDefault="00EF5A5D" w:rsidP="00570B2B">
      <w:pPr>
        <w:spacing w:after="120"/>
      </w:pPr>
      <w:r>
        <w:t>Australian Equipment Lessors Association</w:t>
      </w:r>
    </w:p>
    <w:p w:rsidR="00EF5A5D" w:rsidRDefault="00EF5A5D" w:rsidP="00570B2B">
      <w:pPr>
        <w:spacing w:after="120"/>
      </w:pPr>
      <w:r>
        <w:t>Australian Hairdressing Council</w:t>
      </w:r>
    </w:p>
    <w:p w:rsidR="00EF5A5D" w:rsidRPr="00FB69E0" w:rsidRDefault="00EF5A5D" w:rsidP="00570B2B">
      <w:pPr>
        <w:spacing w:after="120"/>
      </w:pPr>
      <w:r>
        <w:t>Australian Human Resources Institute</w:t>
      </w:r>
    </w:p>
    <w:p w:rsidR="00EF5A5D" w:rsidRDefault="00EF5A5D" w:rsidP="00570B2B">
      <w:pPr>
        <w:spacing w:after="120"/>
      </w:pPr>
      <w:r>
        <w:t>Australian Livestock and Rural Transporter Association</w:t>
      </w:r>
    </w:p>
    <w:p w:rsidR="00EF5A5D" w:rsidRDefault="00EF5A5D" w:rsidP="00570B2B">
      <w:pPr>
        <w:spacing w:after="120"/>
        <w:rPr>
          <w:lang w:val="en-US"/>
        </w:rPr>
      </w:pPr>
      <w:r w:rsidRPr="002E55BE">
        <w:rPr>
          <w:rStyle w:val="Strong"/>
          <w:b w:val="0"/>
          <w:lang w:val="en-US"/>
        </w:rPr>
        <w:t>BPW Australia</w:t>
      </w:r>
      <w:r>
        <w:rPr>
          <w:lang w:val="en-US"/>
        </w:rPr>
        <w:t xml:space="preserve"> (Australian Federation of Business and Professional Women)</w:t>
      </w:r>
    </w:p>
    <w:p w:rsidR="00EF5A5D" w:rsidRDefault="00EF5A5D" w:rsidP="00570B2B">
      <w:pPr>
        <w:tabs>
          <w:tab w:val="left" w:pos="3690"/>
        </w:tabs>
        <w:spacing w:after="120"/>
        <w:rPr>
          <w:lang w:val="en-US"/>
        </w:rPr>
      </w:pPr>
      <w:r>
        <w:rPr>
          <w:lang w:val="en-US"/>
        </w:rPr>
        <w:t>Business Enterprise Centres Australia</w:t>
      </w:r>
      <w:r>
        <w:rPr>
          <w:lang w:val="en-US"/>
        </w:rPr>
        <w:tab/>
      </w:r>
    </w:p>
    <w:p w:rsidR="00EF5A5D" w:rsidRDefault="00EF5A5D" w:rsidP="00570B2B">
      <w:pPr>
        <w:spacing w:after="120"/>
      </w:pPr>
      <w:r>
        <w:t>CITT (Council of Information Technology &amp; Telecommunications)</w:t>
      </w:r>
    </w:p>
    <w:p w:rsidR="00EF5A5D" w:rsidRDefault="00EF5A5D" w:rsidP="00570B2B">
      <w:pPr>
        <w:spacing w:after="120"/>
      </w:pPr>
      <w:r>
        <w:t>Commercial Asset Finance Brokers Association of Australia</w:t>
      </w:r>
    </w:p>
    <w:p w:rsidR="00EF5A5D" w:rsidRDefault="00EF5A5D" w:rsidP="00570B2B">
      <w:pPr>
        <w:spacing w:after="120"/>
      </w:pPr>
      <w:r>
        <w:t>Convenience and Mixed Business Association</w:t>
      </w:r>
    </w:p>
    <w:p w:rsidR="00EF5A5D" w:rsidRDefault="00EF5A5D" w:rsidP="00570B2B">
      <w:pPr>
        <w:spacing w:after="120"/>
      </w:pPr>
      <w:r>
        <w:t>Fitness Australia</w:t>
      </w:r>
    </w:p>
    <w:p w:rsidR="00EF5A5D" w:rsidRDefault="00EF5A5D" w:rsidP="00570B2B">
      <w:pPr>
        <w:spacing w:after="120"/>
      </w:pPr>
      <w:r>
        <w:t>FSV</w:t>
      </w:r>
    </w:p>
    <w:p w:rsidR="00EF5A5D" w:rsidRDefault="00EF5A5D" w:rsidP="00570B2B">
      <w:pPr>
        <w:spacing w:after="120"/>
      </w:pPr>
      <w:r>
        <w:t>Independent Retailers Organisation</w:t>
      </w:r>
    </w:p>
    <w:p w:rsidR="00EF5A5D" w:rsidRDefault="00EF5A5D" w:rsidP="00570B2B">
      <w:pPr>
        <w:spacing w:after="120"/>
      </w:pPr>
      <w:r>
        <w:t>Institute of Public Accountants</w:t>
      </w:r>
    </w:p>
    <w:p w:rsidR="00EF5A5D" w:rsidRDefault="00EF5A5D" w:rsidP="00570B2B">
      <w:pPr>
        <w:spacing w:after="120"/>
      </w:pPr>
      <w:r>
        <w:t>National Financial Services Federation</w:t>
      </w:r>
    </w:p>
    <w:p w:rsidR="00EF5A5D" w:rsidRDefault="00EF5A5D" w:rsidP="00570B2B">
      <w:pPr>
        <w:spacing w:after="120"/>
      </w:pPr>
      <w:r>
        <w:t>National Independent Retailers Association</w:t>
      </w:r>
    </w:p>
    <w:p w:rsidR="00EF5A5D" w:rsidRDefault="00EF5A5D" w:rsidP="00570B2B">
      <w:pPr>
        <w:spacing w:after="120"/>
      </w:pPr>
      <w:r>
        <w:t>Pharmacy Guild of Australia</w:t>
      </w:r>
    </w:p>
    <w:p w:rsidR="00EF5A5D" w:rsidRDefault="00EF5A5D" w:rsidP="00570B2B">
      <w:pPr>
        <w:spacing w:after="120"/>
      </w:pPr>
      <w:r>
        <w:t>Pittwater Business Limited</w:t>
      </w:r>
    </w:p>
    <w:p w:rsidR="00EF5A5D" w:rsidRDefault="00EF5A5D" w:rsidP="00570B2B">
      <w:pPr>
        <w:spacing w:after="120"/>
      </w:pPr>
      <w:r>
        <w:t>Real Estate Institute of Australia</w:t>
      </w:r>
    </w:p>
    <w:p w:rsidR="00EF5A5D" w:rsidRDefault="00EF5A5D" w:rsidP="00570B2B">
      <w:pPr>
        <w:spacing w:after="120"/>
      </w:pPr>
      <w:r>
        <w:t>Stocktakers Institute of Australia</w:t>
      </w:r>
    </w:p>
    <w:p w:rsidR="00EF5A5D" w:rsidRDefault="00EF5A5D" w:rsidP="00570B2B">
      <w:pPr>
        <w:spacing w:after="120"/>
      </w:pPr>
      <w:r>
        <w:t>Tasmanian Small Business Council</w:t>
      </w:r>
    </w:p>
    <w:p w:rsidR="00EF5A5D" w:rsidRDefault="00EF5A5D" w:rsidP="00570B2B">
      <w:pPr>
        <w:spacing w:after="120"/>
      </w:pPr>
      <w:r>
        <w:t>University of Western Sydney</w:t>
      </w:r>
    </w:p>
    <w:p w:rsidR="00EF5A5D" w:rsidRPr="00836642" w:rsidRDefault="00EF5A5D" w:rsidP="00547578"/>
    <w:sectPr w:rsidR="00EF5A5D" w:rsidRPr="00836642" w:rsidSect="00CB38E9">
      <w:footerReference w:type="default" r:id="rId18"/>
      <w:pgSz w:w="11906" w:h="16838"/>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5A5D" w:rsidRDefault="00EF5A5D" w:rsidP="00041673">
      <w:pPr>
        <w:spacing w:line="240" w:lineRule="auto"/>
      </w:pPr>
      <w:r>
        <w:separator/>
      </w:r>
    </w:p>
  </w:endnote>
  <w:endnote w:type="continuationSeparator" w:id="0">
    <w:p w:rsidR="00EF5A5D" w:rsidRDefault="00EF5A5D" w:rsidP="0004167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Gautami">
    <w:panose1 w:val="02000500000000000000"/>
    <w:charset w:val="01"/>
    <w:family w:val="roman"/>
    <w:notTrueType/>
    <w:pitch w:val="variable"/>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A5D" w:rsidRDefault="00EF5A5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A5D" w:rsidRDefault="00EF5A5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A5D" w:rsidRDefault="00EF5A5D">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A5D" w:rsidRDefault="00EF5A5D" w:rsidP="00CB38E9">
    <w:pPr>
      <w:pStyle w:val="Footer"/>
      <w:pBdr>
        <w:top w:val="single" w:sz="4" w:space="1" w:color="D9D9D9"/>
      </w:pBdr>
      <w:tabs>
        <w:tab w:val="clear" w:pos="4513"/>
        <w:tab w:val="clear" w:pos="9026"/>
      </w:tabs>
      <w:ind w:left="-284" w:right="-330"/>
      <w:jc w:val="right"/>
    </w:pPr>
    <w:r>
      <w:rPr>
        <w:color w:val="365F91"/>
      </w:rPr>
      <w:t xml:space="preserve">COSBOA </w:t>
    </w:r>
    <w:r w:rsidRPr="00E363B0">
      <w:rPr>
        <w:color w:val="365F91"/>
      </w:rPr>
      <w:t xml:space="preserve">| Comments on AER </w:t>
    </w:r>
    <w:r>
      <w:rPr>
        <w:color w:val="365F91"/>
      </w:rPr>
      <w:t>Draft Guideline on Consumer Engagement by NSPs</w:t>
    </w:r>
    <w:r>
      <w:t xml:space="preserve">   </w:t>
    </w:r>
    <w:r w:rsidR="00F745FF">
      <w:fldChar w:fldCharType="begin"/>
    </w:r>
    <w:r w:rsidR="00F745FF">
      <w:instrText xml:space="preserve"> PAGE   \* MERGEFORMAT </w:instrText>
    </w:r>
    <w:r w:rsidR="00F745FF">
      <w:fldChar w:fldCharType="separate"/>
    </w:r>
    <w:r w:rsidR="00F745FF">
      <w:rPr>
        <w:noProof/>
      </w:rPr>
      <w:t>i</w:t>
    </w:r>
    <w:r w:rsidR="00F745FF">
      <w:rPr>
        <w:noProof/>
      </w:rPr>
      <w:fldChar w:fldCharType="end"/>
    </w:r>
    <w:r>
      <w:t xml:space="preserve"> | </w:t>
    </w:r>
    <w:r>
      <w:rPr>
        <w:color w:val="7F7F7F"/>
        <w:spacing w:val="60"/>
      </w:rPr>
      <w:t>Page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A5D" w:rsidRDefault="00EF5A5D" w:rsidP="00CB38E9">
    <w:pPr>
      <w:pStyle w:val="Footer"/>
      <w:pBdr>
        <w:top w:val="single" w:sz="4" w:space="1" w:color="D9D9D9"/>
      </w:pBdr>
      <w:tabs>
        <w:tab w:val="clear" w:pos="4513"/>
        <w:tab w:val="clear" w:pos="9026"/>
      </w:tabs>
      <w:ind w:left="-284" w:right="-330"/>
      <w:jc w:val="right"/>
    </w:pPr>
    <w:r>
      <w:rPr>
        <w:color w:val="365F91"/>
      </w:rPr>
      <w:t xml:space="preserve">COSBOA </w:t>
    </w:r>
    <w:r w:rsidRPr="00E363B0">
      <w:rPr>
        <w:color w:val="365F91"/>
      </w:rPr>
      <w:t xml:space="preserve">| Comments on AER </w:t>
    </w:r>
    <w:r>
      <w:rPr>
        <w:color w:val="365F91"/>
      </w:rPr>
      <w:t>Draft Guideline on Consumer Engagement by NSPs</w:t>
    </w:r>
    <w:r>
      <w:t xml:space="preserve">   </w:t>
    </w:r>
    <w:r w:rsidR="00F745FF">
      <w:fldChar w:fldCharType="begin"/>
    </w:r>
    <w:r w:rsidR="00F745FF">
      <w:instrText xml:space="preserve"> PAGE   \* MERGEFORMAT </w:instrText>
    </w:r>
    <w:r w:rsidR="00F745FF">
      <w:fldChar w:fldCharType="separate"/>
    </w:r>
    <w:r w:rsidR="00F745FF">
      <w:rPr>
        <w:noProof/>
      </w:rPr>
      <w:t>13</w:t>
    </w:r>
    <w:r w:rsidR="00F745FF">
      <w:rPr>
        <w:noProof/>
      </w:rPr>
      <w:fldChar w:fldCharType="end"/>
    </w:r>
    <w:r>
      <w:t xml:space="preserve"> | </w:t>
    </w:r>
    <w:r>
      <w:rPr>
        <w:color w:val="7F7F7F"/>
        <w:spacing w:val="60"/>
      </w:rPr>
      <w:t>Page</w:t>
    </w:r>
  </w:p>
  <w:p w:rsidR="00EF5A5D" w:rsidRDefault="00EF5A5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5A5D" w:rsidRDefault="00EF5A5D" w:rsidP="00041673">
      <w:pPr>
        <w:spacing w:line="240" w:lineRule="auto"/>
      </w:pPr>
      <w:r>
        <w:separator/>
      </w:r>
    </w:p>
  </w:footnote>
  <w:footnote w:type="continuationSeparator" w:id="0">
    <w:p w:rsidR="00EF5A5D" w:rsidRDefault="00EF5A5D" w:rsidP="00041673">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A5D" w:rsidRDefault="00EF5A5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A5D" w:rsidRDefault="00EF5A5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A5D" w:rsidRDefault="00EF5A5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A5D" w:rsidRDefault="00EF5A5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B774F7"/>
    <w:multiLevelType w:val="hybridMultilevel"/>
    <w:tmpl w:val="0240B0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0A0D556A"/>
    <w:multiLevelType w:val="hybridMultilevel"/>
    <w:tmpl w:val="21F2908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CE14FE6"/>
    <w:multiLevelType w:val="hybridMultilevel"/>
    <w:tmpl w:val="9092BA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12476314"/>
    <w:multiLevelType w:val="hybridMultilevel"/>
    <w:tmpl w:val="AA145014"/>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4">
    <w:nsid w:val="13597CF9"/>
    <w:multiLevelType w:val="multilevel"/>
    <w:tmpl w:val="B478DFE6"/>
    <w:numStyleLink w:val="AERnumberedlist"/>
  </w:abstractNum>
  <w:abstractNum w:abstractNumId="5">
    <w:nsid w:val="16810C7C"/>
    <w:multiLevelType w:val="hybridMultilevel"/>
    <w:tmpl w:val="458445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24C13336"/>
    <w:multiLevelType w:val="hybridMultilevel"/>
    <w:tmpl w:val="9514AC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31F65D49"/>
    <w:multiLevelType w:val="multilevel"/>
    <w:tmpl w:val="0C090025"/>
    <w:lvl w:ilvl="0">
      <w:start w:val="1"/>
      <w:numFmt w:val="decimal"/>
      <w:pStyle w:val="Heading1"/>
      <w:lvlText w:val="%1"/>
      <w:lvlJc w:val="left"/>
      <w:pPr>
        <w:ind w:left="432" w:hanging="432"/>
      </w:pPr>
      <w:rPr>
        <w:rFonts w:cs="Times New Roman"/>
      </w:rPr>
    </w:lvl>
    <w:lvl w:ilvl="1">
      <w:start w:val="1"/>
      <w:numFmt w:val="decimal"/>
      <w:pStyle w:val="Heading2"/>
      <w:lvlText w:val="%1.%2"/>
      <w:lvlJc w:val="left"/>
      <w:pPr>
        <w:ind w:left="576" w:hanging="576"/>
      </w:pPr>
      <w:rPr>
        <w:rFonts w:cs="Times New Roman"/>
      </w:rPr>
    </w:lvl>
    <w:lvl w:ilvl="2">
      <w:start w:val="1"/>
      <w:numFmt w:val="decimal"/>
      <w:pStyle w:val="Heading3"/>
      <w:lvlText w:val="%1.%2.%3"/>
      <w:lvlJc w:val="left"/>
      <w:pPr>
        <w:ind w:left="720" w:hanging="720"/>
      </w:pPr>
      <w:rPr>
        <w:rFonts w:cs="Times New Roman"/>
      </w:rPr>
    </w:lvl>
    <w:lvl w:ilvl="3">
      <w:start w:val="1"/>
      <w:numFmt w:val="decimal"/>
      <w:pStyle w:val="Heading4"/>
      <w:lvlText w:val="%1.%2.%3.%4"/>
      <w:lvlJc w:val="left"/>
      <w:pPr>
        <w:ind w:left="864" w:hanging="864"/>
      </w:pPr>
      <w:rPr>
        <w:rFonts w:cs="Times New Roman"/>
      </w:rPr>
    </w:lvl>
    <w:lvl w:ilvl="4">
      <w:start w:val="1"/>
      <w:numFmt w:val="decimal"/>
      <w:pStyle w:val="Heading5"/>
      <w:lvlText w:val="%1.%2.%3.%4.%5"/>
      <w:lvlJc w:val="left"/>
      <w:pPr>
        <w:ind w:left="1008" w:hanging="1008"/>
      </w:pPr>
      <w:rPr>
        <w:rFonts w:cs="Times New Roman"/>
      </w:rPr>
    </w:lvl>
    <w:lvl w:ilvl="5">
      <w:start w:val="1"/>
      <w:numFmt w:val="decimal"/>
      <w:pStyle w:val="Heading6"/>
      <w:lvlText w:val="%1.%2.%3.%4.%5.%6"/>
      <w:lvlJc w:val="left"/>
      <w:pPr>
        <w:ind w:left="1152" w:hanging="1152"/>
      </w:pPr>
      <w:rPr>
        <w:rFonts w:cs="Times New Roman"/>
      </w:rPr>
    </w:lvl>
    <w:lvl w:ilvl="6">
      <w:start w:val="1"/>
      <w:numFmt w:val="decimal"/>
      <w:pStyle w:val="Heading7"/>
      <w:lvlText w:val="%1.%2.%3.%4.%5.%6.%7"/>
      <w:lvlJc w:val="left"/>
      <w:pPr>
        <w:ind w:left="1296" w:hanging="1296"/>
      </w:pPr>
      <w:rPr>
        <w:rFonts w:cs="Times New Roman"/>
      </w:rPr>
    </w:lvl>
    <w:lvl w:ilvl="7">
      <w:start w:val="1"/>
      <w:numFmt w:val="decimal"/>
      <w:pStyle w:val="Heading8"/>
      <w:lvlText w:val="%1.%2.%3.%4.%5.%6.%7.%8"/>
      <w:lvlJc w:val="left"/>
      <w:pPr>
        <w:ind w:left="1440" w:hanging="1440"/>
      </w:pPr>
      <w:rPr>
        <w:rFonts w:cs="Times New Roman"/>
      </w:rPr>
    </w:lvl>
    <w:lvl w:ilvl="8">
      <w:start w:val="1"/>
      <w:numFmt w:val="decimal"/>
      <w:pStyle w:val="Heading9"/>
      <w:lvlText w:val="%1.%2.%3.%4.%5.%6.%7.%8.%9"/>
      <w:lvlJc w:val="left"/>
      <w:pPr>
        <w:ind w:left="1584" w:hanging="1584"/>
      </w:pPr>
      <w:rPr>
        <w:rFonts w:cs="Times New Roman"/>
      </w:rPr>
    </w:lvl>
  </w:abstractNum>
  <w:abstractNum w:abstractNumId="8">
    <w:nsid w:val="343232AF"/>
    <w:multiLevelType w:val="hybridMultilevel"/>
    <w:tmpl w:val="584A6C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34E33799"/>
    <w:multiLevelType w:val="hybridMultilevel"/>
    <w:tmpl w:val="5770C8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38124E2B"/>
    <w:multiLevelType w:val="hybridMultilevel"/>
    <w:tmpl w:val="3B7EA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39A65E4D"/>
    <w:multiLevelType w:val="hybridMultilevel"/>
    <w:tmpl w:val="DA5CB7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3AF336BC"/>
    <w:multiLevelType w:val="hybridMultilevel"/>
    <w:tmpl w:val="955A02CC"/>
    <w:lvl w:ilvl="0" w:tplc="C90C7928">
      <w:start w:val="1"/>
      <w:numFmt w:val="bullet"/>
      <w:pStyle w:val="AERbulletlistfirststyle"/>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44053812"/>
    <w:multiLevelType w:val="hybridMultilevel"/>
    <w:tmpl w:val="716CB8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443F74CB"/>
    <w:multiLevelType w:val="hybridMultilevel"/>
    <w:tmpl w:val="5FB40038"/>
    <w:lvl w:ilvl="0" w:tplc="921A7DDA">
      <w:start w:val="1"/>
      <w:numFmt w:val="decimal"/>
      <w:lvlText w:val="%1."/>
      <w:lvlJc w:val="left"/>
      <w:pPr>
        <w:tabs>
          <w:tab w:val="num" w:pos="357"/>
        </w:tabs>
        <w:ind w:left="357" w:hanging="357"/>
      </w:pPr>
      <w:rPr>
        <w:rFonts w:ascii="Gautami" w:hAnsi="Gautami" w:cs="Times New Roman" w:hint="default"/>
        <w:b w:val="0"/>
        <w:i w:val="0"/>
        <w:sz w:val="22"/>
      </w:rPr>
    </w:lvl>
    <w:lvl w:ilvl="1" w:tplc="6A7A61AE">
      <w:start w:val="1"/>
      <w:numFmt w:val="bullet"/>
      <w:lvlText w:val=""/>
      <w:lvlJc w:val="left"/>
      <w:pPr>
        <w:tabs>
          <w:tab w:val="num" w:pos="4498"/>
        </w:tabs>
        <w:ind w:left="4498" w:hanging="358"/>
      </w:pPr>
      <w:rPr>
        <w:rFonts w:ascii="Wingdings" w:hAnsi="Wingdings" w:hint="default"/>
        <w:b w:val="0"/>
        <w:i w:val="0"/>
        <w:sz w:val="22"/>
      </w:rPr>
    </w:lvl>
    <w:lvl w:ilvl="2" w:tplc="0C090005" w:tentative="1">
      <w:start w:val="1"/>
      <w:numFmt w:val="lowerRoman"/>
      <w:lvlText w:val="%3."/>
      <w:lvlJc w:val="right"/>
      <w:pPr>
        <w:tabs>
          <w:tab w:val="num" w:pos="5220"/>
        </w:tabs>
        <w:ind w:left="5220" w:hanging="180"/>
      </w:pPr>
      <w:rPr>
        <w:rFonts w:cs="Times New Roman"/>
      </w:rPr>
    </w:lvl>
    <w:lvl w:ilvl="3" w:tplc="0C090001" w:tentative="1">
      <w:start w:val="1"/>
      <w:numFmt w:val="decimal"/>
      <w:lvlText w:val="%4."/>
      <w:lvlJc w:val="left"/>
      <w:pPr>
        <w:tabs>
          <w:tab w:val="num" w:pos="5940"/>
        </w:tabs>
        <w:ind w:left="5940" w:hanging="360"/>
      </w:pPr>
      <w:rPr>
        <w:rFonts w:cs="Times New Roman"/>
      </w:rPr>
    </w:lvl>
    <w:lvl w:ilvl="4" w:tplc="0C090003">
      <w:start w:val="1"/>
      <w:numFmt w:val="lowerLetter"/>
      <w:lvlText w:val="%5."/>
      <w:lvlJc w:val="left"/>
      <w:pPr>
        <w:tabs>
          <w:tab w:val="num" w:pos="6660"/>
        </w:tabs>
        <w:ind w:left="6660" w:hanging="360"/>
      </w:pPr>
      <w:rPr>
        <w:rFonts w:cs="Times New Roman"/>
      </w:rPr>
    </w:lvl>
    <w:lvl w:ilvl="5" w:tplc="0C090005">
      <w:start w:val="1"/>
      <w:numFmt w:val="lowerRoman"/>
      <w:lvlText w:val="%6."/>
      <w:lvlJc w:val="right"/>
      <w:pPr>
        <w:tabs>
          <w:tab w:val="num" w:pos="7380"/>
        </w:tabs>
        <w:ind w:left="7380" w:hanging="180"/>
      </w:pPr>
      <w:rPr>
        <w:rFonts w:cs="Times New Roman"/>
      </w:rPr>
    </w:lvl>
    <w:lvl w:ilvl="6" w:tplc="0C090001" w:tentative="1">
      <w:start w:val="1"/>
      <w:numFmt w:val="decimal"/>
      <w:lvlText w:val="%7."/>
      <w:lvlJc w:val="left"/>
      <w:pPr>
        <w:tabs>
          <w:tab w:val="num" w:pos="8100"/>
        </w:tabs>
        <w:ind w:left="8100" w:hanging="360"/>
      </w:pPr>
      <w:rPr>
        <w:rFonts w:cs="Times New Roman"/>
      </w:rPr>
    </w:lvl>
    <w:lvl w:ilvl="7" w:tplc="0C090003" w:tentative="1">
      <w:start w:val="1"/>
      <w:numFmt w:val="lowerLetter"/>
      <w:lvlText w:val="%8."/>
      <w:lvlJc w:val="left"/>
      <w:pPr>
        <w:tabs>
          <w:tab w:val="num" w:pos="8820"/>
        </w:tabs>
        <w:ind w:left="8820" w:hanging="360"/>
      </w:pPr>
      <w:rPr>
        <w:rFonts w:cs="Times New Roman"/>
      </w:rPr>
    </w:lvl>
    <w:lvl w:ilvl="8" w:tplc="0C090005" w:tentative="1">
      <w:start w:val="1"/>
      <w:numFmt w:val="lowerRoman"/>
      <w:lvlText w:val="%9."/>
      <w:lvlJc w:val="right"/>
      <w:pPr>
        <w:tabs>
          <w:tab w:val="num" w:pos="9540"/>
        </w:tabs>
        <w:ind w:left="9540" w:hanging="180"/>
      </w:pPr>
      <w:rPr>
        <w:rFonts w:cs="Times New Roman"/>
      </w:rPr>
    </w:lvl>
  </w:abstractNum>
  <w:abstractNum w:abstractNumId="15">
    <w:nsid w:val="44DE2FD4"/>
    <w:multiLevelType w:val="hybridMultilevel"/>
    <w:tmpl w:val="3F6EC2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479610D8"/>
    <w:multiLevelType w:val="hybridMultilevel"/>
    <w:tmpl w:val="CDE09F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4BC16525"/>
    <w:multiLevelType w:val="hybridMultilevel"/>
    <w:tmpl w:val="14DA51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4C39607F"/>
    <w:multiLevelType w:val="hybridMultilevel"/>
    <w:tmpl w:val="513AAF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51487971"/>
    <w:multiLevelType w:val="multilevel"/>
    <w:tmpl w:val="B478DFE6"/>
    <w:styleLink w:val="AERnumberedlist"/>
    <w:lvl w:ilvl="0">
      <w:start w:val="1"/>
      <w:numFmt w:val="none"/>
      <w:pStyle w:val="AERbodytext"/>
      <w:lvlText w:val="%1"/>
      <w:lvlJc w:val="left"/>
      <w:pPr>
        <w:tabs>
          <w:tab w:val="num" w:pos="0"/>
        </w:tabs>
      </w:pPr>
      <w:rPr>
        <w:rFonts w:cs="Times New Roman" w:hint="default"/>
      </w:rPr>
    </w:lvl>
    <w:lvl w:ilvl="1">
      <w:start w:val="1"/>
      <w:numFmt w:val="decimal"/>
      <w:pStyle w:val="AERnumberedlistfirststyle"/>
      <w:lvlText w:val="%2."/>
      <w:lvlJc w:val="left"/>
      <w:pPr>
        <w:tabs>
          <w:tab w:val="num" w:pos="357"/>
        </w:tabs>
        <w:ind w:left="357" w:hanging="357"/>
      </w:pPr>
      <w:rPr>
        <w:rFonts w:cs="Times New Roman" w:hint="default"/>
      </w:rPr>
    </w:lvl>
    <w:lvl w:ilvl="2">
      <w:start w:val="1"/>
      <w:numFmt w:val="lowerLetter"/>
      <w:pStyle w:val="AERnumberedlistsecondstyle"/>
      <w:lvlText w:val="%3."/>
      <w:lvlJc w:val="left"/>
      <w:pPr>
        <w:tabs>
          <w:tab w:val="num" w:pos="720"/>
        </w:tabs>
        <w:ind w:left="720" w:hanging="363"/>
      </w:pPr>
      <w:rPr>
        <w:rFonts w:cs="Times New Roman" w:hint="default"/>
      </w:rPr>
    </w:lvl>
    <w:lvl w:ilvl="3">
      <w:start w:val="1"/>
      <w:numFmt w:val="lowerRoman"/>
      <w:pStyle w:val="AERnumberedlistthirdstyle"/>
      <w:lvlText w:val="%4."/>
      <w:lvlJc w:val="left"/>
      <w:pPr>
        <w:tabs>
          <w:tab w:val="num" w:pos="1077"/>
        </w:tabs>
        <w:ind w:left="1077" w:hanging="357"/>
      </w:pPr>
      <w:rPr>
        <w:rFonts w:cs="Times New Roman" w:hint="default"/>
      </w:rPr>
    </w:lvl>
    <w:lvl w:ilvl="4">
      <w:start w:val="1"/>
      <w:numFmt w:val="decimal"/>
      <w:lvlRestart w:val="0"/>
      <w:pStyle w:val="AERnumberedlist2first"/>
      <w:lvlText w:val="(%5)"/>
      <w:lvlJc w:val="left"/>
      <w:pPr>
        <w:tabs>
          <w:tab w:val="num" w:pos="357"/>
        </w:tabs>
        <w:ind w:left="357" w:hanging="357"/>
      </w:pPr>
      <w:rPr>
        <w:rFonts w:cs="Times New Roman" w:hint="default"/>
      </w:rPr>
    </w:lvl>
    <w:lvl w:ilvl="5">
      <w:start w:val="1"/>
      <w:numFmt w:val="lowerLetter"/>
      <w:lvlRestart w:val="0"/>
      <w:pStyle w:val="AERnumberedlist2second"/>
      <w:lvlText w:val="(%6)"/>
      <w:lvlJc w:val="left"/>
      <w:pPr>
        <w:tabs>
          <w:tab w:val="num" w:pos="720"/>
        </w:tabs>
        <w:ind w:left="720" w:hanging="363"/>
      </w:pPr>
      <w:rPr>
        <w:rFonts w:cs="Times New Roman" w:hint="default"/>
      </w:rPr>
    </w:lvl>
    <w:lvl w:ilvl="6">
      <w:start w:val="1"/>
      <w:numFmt w:val="lowerRoman"/>
      <w:lvlRestart w:val="0"/>
      <w:pStyle w:val="AERnumberedlist2third"/>
      <w:lvlText w:val="(%7)"/>
      <w:lvlJc w:val="left"/>
      <w:pPr>
        <w:tabs>
          <w:tab w:val="num" w:pos="1077"/>
        </w:tabs>
        <w:ind w:left="1077" w:hanging="357"/>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0">
    <w:nsid w:val="58D82207"/>
    <w:multiLevelType w:val="hybridMultilevel"/>
    <w:tmpl w:val="5C1ABD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595F5186"/>
    <w:multiLevelType w:val="hybridMultilevel"/>
    <w:tmpl w:val="90A22F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5D0A130E"/>
    <w:multiLevelType w:val="hybridMultilevel"/>
    <w:tmpl w:val="6F28C6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5E6F1372"/>
    <w:multiLevelType w:val="hybridMultilevel"/>
    <w:tmpl w:val="3F4A74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659674DE"/>
    <w:multiLevelType w:val="hybridMultilevel"/>
    <w:tmpl w:val="5A9A576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5">
    <w:nsid w:val="6CFE082B"/>
    <w:multiLevelType w:val="hybridMultilevel"/>
    <w:tmpl w:val="03A8B1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70D60021"/>
    <w:multiLevelType w:val="hybridMultilevel"/>
    <w:tmpl w:val="4A9A55AC"/>
    <w:lvl w:ilvl="0" w:tplc="0C09000F">
      <w:start w:val="1"/>
      <w:numFmt w:val="decimal"/>
      <w:lvlText w:val="%1."/>
      <w:lvlJc w:val="left"/>
      <w:pPr>
        <w:ind w:left="720" w:hanging="360"/>
      </w:pPr>
      <w:rPr>
        <w:rFonts w:cs="Times New Roman"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72A62A7B"/>
    <w:multiLevelType w:val="hybridMultilevel"/>
    <w:tmpl w:val="B56A41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75F62A3C"/>
    <w:multiLevelType w:val="hybridMultilevel"/>
    <w:tmpl w:val="0EAC1A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nsid w:val="7CA35FDD"/>
    <w:multiLevelType w:val="hybridMultilevel"/>
    <w:tmpl w:val="BAD89E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0"/>
  </w:num>
  <w:num w:numId="2">
    <w:abstractNumId w:val="11"/>
  </w:num>
  <w:num w:numId="3">
    <w:abstractNumId w:val="3"/>
  </w:num>
  <w:num w:numId="4">
    <w:abstractNumId w:val="16"/>
  </w:num>
  <w:num w:numId="5">
    <w:abstractNumId w:val="6"/>
  </w:num>
  <w:num w:numId="6">
    <w:abstractNumId w:val="23"/>
  </w:num>
  <w:num w:numId="7">
    <w:abstractNumId w:val="12"/>
  </w:num>
  <w:num w:numId="8">
    <w:abstractNumId w:val="9"/>
  </w:num>
  <w:num w:numId="9">
    <w:abstractNumId w:val="24"/>
  </w:num>
  <w:num w:numId="10">
    <w:abstractNumId w:val="1"/>
  </w:num>
  <w:num w:numId="11">
    <w:abstractNumId w:val="19"/>
  </w:num>
  <w:num w:numId="12">
    <w:abstractNumId w:val="4"/>
  </w:num>
  <w:num w:numId="1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1"/>
  </w:num>
  <w:num w:numId="15">
    <w:abstractNumId w:val="8"/>
  </w:num>
  <w:num w:numId="16">
    <w:abstractNumId w:val="10"/>
  </w:num>
  <w:num w:numId="17">
    <w:abstractNumId w:val="29"/>
  </w:num>
  <w:num w:numId="18">
    <w:abstractNumId w:val="26"/>
  </w:num>
  <w:num w:numId="19">
    <w:abstractNumId w:val="22"/>
  </w:num>
  <w:num w:numId="20">
    <w:abstractNumId w:val="2"/>
  </w:num>
  <w:num w:numId="21">
    <w:abstractNumId w:val="7"/>
  </w:num>
  <w:num w:numId="22">
    <w:abstractNumId w:val="27"/>
  </w:num>
  <w:num w:numId="23">
    <w:abstractNumId w:val="17"/>
  </w:num>
  <w:num w:numId="24">
    <w:abstractNumId w:val="5"/>
  </w:num>
  <w:num w:numId="25">
    <w:abstractNumId w:val="14"/>
    <w:lvlOverride w:ilvl="0">
      <w:startOverride w:val="1"/>
    </w:lvlOverride>
  </w:num>
  <w:num w:numId="26">
    <w:abstractNumId w:val="28"/>
  </w:num>
  <w:num w:numId="27">
    <w:abstractNumId w:val="13"/>
  </w:num>
  <w:num w:numId="28">
    <w:abstractNumId w:val="18"/>
  </w:num>
  <w:num w:numId="29">
    <w:abstractNumId w:val="15"/>
  </w:num>
  <w:num w:numId="30">
    <w:abstractNumId w:val="0"/>
  </w:num>
  <w:num w:numId="31">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savePreviewPicture/>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urrentname" w:val="C:\Documents and Settings\rlowi\Local Settings\Temporary Internet Files\Content.Outlook\SZ0301TG\COSBOA Submission AER BRP Draft Guideline on Consumer Engagement by NSPs August 2013 (2).docx"/>
  </w:docVars>
  <w:rsids>
    <w:rsidRoot w:val="00742E9E"/>
    <w:rsid w:val="00001C76"/>
    <w:rsid w:val="00011DD5"/>
    <w:rsid w:val="00013CB5"/>
    <w:rsid w:val="00033E36"/>
    <w:rsid w:val="00041673"/>
    <w:rsid w:val="00041D8E"/>
    <w:rsid w:val="00056A1C"/>
    <w:rsid w:val="00063D5C"/>
    <w:rsid w:val="000A5D47"/>
    <w:rsid w:val="000B31F9"/>
    <w:rsid w:val="000D4D29"/>
    <w:rsid w:val="000E04BC"/>
    <w:rsid w:val="000F4975"/>
    <w:rsid w:val="00102744"/>
    <w:rsid w:val="00120F69"/>
    <w:rsid w:val="001713E1"/>
    <w:rsid w:val="00182333"/>
    <w:rsid w:val="00182B3F"/>
    <w:rsid w:val="001A0C8D"/>
    <w:rsid w:val="001D0182"/>
    <w:rsid w:val="001D1401"/>
    <w:rsid w:val="001D4143"/>
    <w:rsid w:val="001E3C7E"/>
    <w:rsid w:val="001F2993"/>
    <w:rsid w:val="001F2C49"/>
    <w:rsid w:val="002016B6"/>
    <w:rsid w:val="00211EB7"/>
    <w:rsid w:val="002134BC"/>
    <w:rsid w:val="00246A2E"/>
    <w:rsid w:val="00256271"/>
    <w:rsid w:val="002631F6"/>
    <w:rsid w:val="00263608"/>
    <w:rsid w:val="002677E1"/>
    <w:rsid w:val="00277136"/>
    <w:rsid w:val="00287530"/>
    <w:rsid w:val="00293DE1"/>
    <w:rsid w:val="002A0A37"/>
    <w:rsid w:val="002D7426"/>
    <w:rsid w:val="002E55BE"/>
    <w:rsid w:val="002F58F2"/>
    <w:rsid w:val="003218DB"/>
    <w:rsid w:val="003228F6"/>
    <w:rsid w:val="003635B2"/>
    <w:rsid w:val="003679AE"/>
    <w:rsid w:val="00373F83"/>
    <w:rsid w:val="00393D41"/>
    <w:rsid w:val="003A47B8"/>
    <w:rsid w:val="003E29EE"/>
    <w:rsid w:val="003F0C42"/>
    <w:rsid w:val="003F14C2"/>
    <w:rsid w:val="004146CC"/>
    <w:rsid w:val="00414F7B"/>
    <w:rsid w:val="0041751B"/>
    <w:rsid w:val="00420494"/>
    <w:rsid w:val="00427319"/>
    <w:rsid w:val="004303C0"/>
    <w:rsid w:val="00430A0B"/>
    <w:rsid w:val="0043264D"/>
    <w:rsid w:val="0044021A"/>
    <w:rsid w:val="0044407C"/>
    <w:rsid w:val="00446339"/>
    <w:rsid w:val="00446715"/>
    <w:rsid w:val="00447E0C"/>
    <w:rsid w:val="00453C16"/>
    <w:rsid w:val="0045753F"/>
    <w:rsid w:val="004647A6"/>
    <w:rsid w:val="00482827"/>
    <w:rsid w:val="004A136E"/>
    <w:rsid w:val="004A5B9B"/>
    <w:rsid w:val="004B0266"/>
    <w:rsid w:val="004C61B9"/>
    <w:rsid w:val="004D2152"/>
    <w:rsid w:val="004E2B00"/>
    <w:rsid w:val="004F17FC"/>
    <w:rsid w:val="0050407D"/>
    <w:rsid w:val="00510020"/>
    <w:rsid w:val="005139E2"/>
    <w:rsid w:val="00516FB0"/>
    <w:rsid w:val="00540E3E"/>
    <w:rsid w:val="00545768"/>
    <w:rsid w:val="00547578"/>
    <w:rsid w:val="005670CF"/>
    <w:rsid w:val="0056741E"/>
    <w:rsid w:val="00570B2B"/>
    <w:rsid w:val="0057604A"/>
    <w:rsid w:val="00580E5E"/>
    <w:rsid w:val="0058221E"/>
    <w:rsid w:val="00582C92"/>
    <w:rsid w:val="005A2136"/>
    <w:rsid w:val="005A3317"/>
    <w:rsid w:val="005A36E6"/>
    <w:rsid w:val="005B022D"/>
    <w:rsid w:val="005B0EF4"/>
    <w:rsid w:val="005C0989"/>
    <w:rsid w:val="005C2D4B"/>
    <w:rsid w:val="005D3209"/>
    <w:rsid w:val="005D3A87"/>
    <w:rsid w:val="005D7B53"/>
    <w:rsid w:val="005E730C"/>
    <w:rsid w:val="005F4500"/>
    <w:rsid w:val="00602B2E"/>
    <w:rsid w:val="0060719E"/>
    <w:rsid w:val="00614D0B"/>
    <w:rsid w:val="006435F1"/>
    <w:rsid w:val="006458AE"/>
    <w:rsid w:val="006579F5"/>
    <w:rsid w:val="00682CA1"/>
    <w:rsid w:val="006953AA"/>
    <w:rsid w:val="006A5F32"/>
    <w:rsid w:val="006B2348"/>
    <w:rsid w:val="006B7147"/>
    <w:rsid w:val="006C4F2A"/>
    <w:rsid w:val="006E3211"/>
    <w:rsid w:val="006E53C9"/>
    <w:rsid w:val="006E6D54"/>
    <w:rsid w:val="006F248F"/>
    <w:rsid w:val="006F2773"/>
    <w:rsid w:val="006F293E"/>
    <w:rsid w:val="006F7248"/>
    <w:rsid w:val="007075D1"/>
    <w:rsid w:val="00715F17"/>
    <w:rsid w:val="007266C6"/>
    <w:rsid w:val="0074023C"/>
    <w:rsid w:val="00742E9E"/>
    <w:rsid w:val="0075060F"/>
    <w:rsid w:val="00756335"/>
    <w:rsid w:val="00762454"/>
    <w:rsid w:val="00766BCE"/>
    <w:rsid w:val="00780764"/>
    <w:rsid w:val="0078665B"/>
    <w:rsid w:val="007871A9"/>
    <w:rsid w:val="00793EE2"/>
    <w:rsid w:val="00795569"/>
    <w:rsid w:val="007A32A6"/>
    <w:rsid w:val="007B300C"/>
    <w:rsid w:val="007B33BE"/>
    <w:rsid w:val="007B5E9F"/>
    <w:rsid w:val="007B6DFF"/>
    <w:rsid w:val="007C76B0"/>
    <w:rsid w:val="007C7A4F"/>
    <w:rsid w:val="007D2A73"/>
    <w:rsid w:val="007E3AF0"/>
    <w:rsid w:val="007F10FE"/>
    <w:rsid w:val="00815D9B"/>
    <w:rsid w:val="00836255"/>
    <w:rsid w:val="00836642"/>
    <w:rsid w:val="00851EF4"/>
    <w:rsid w:val="00855D8E"/>
    <w:rsid w:val="00872716"/>
    <w:rsid w:val="00874C73"/>
    <w:rsid w:val="008A227A"/>
    <w:rsid w:val="008A4FB7"/>
    <w:rsid w:val="008B0946"/>
    <w:rsid w:val="008B16DE"/>
    <w:rsid w:val="008B65A8"/>
    <w:rsid w:val="008D0139"/>
    <w:rsid w:val="008F511C"/>
    <w:rsid w:val="008F668F"/>
    <w:rsid w:val="008F74D2"/>
    <w:rsid w:val="00905800"/>
    <w:rsid w:val="00910C9A"/>
    <w:rsid w:val="00914238"/>
    <w:rsid w:val="00914437"/>
    <w:rsid w:val="009238E3"/>
    <w:rsid w:val="00925DEE"/>
    <w:rsid w:val="00937845"/>
    <w:rsid w:val="0094439F"/>
    <w:rsid w:val="0096310A"/>
    <w:rsid w:val="00971F89"/>
    <w:rsid w:val="00976236"/>
    <w:rsid w:val="00976BAF"/>
    <w:rsid w:val="00976DFB"/>
    <w:rsid w:val="009815C3"/>
    <w:rsid w:val="009A0C24"/>
    <w:rsid w:val="009B6570"/>
    <w:rsid w:val="009C4D6C"/>
    <w:rsid w:val="009E1567"/>
    <w:rsid w:val="009E515B"/>
    <w:rsid w:val="009F68FD"/>
    <w:rsid w:val="00A03C43"/>
    <w:rsid w:val="00A237EA"/>
    <w:rsid w:val="00A27525"/>
    <w:rsid w:val="00A30B43"/>
    <w:rsid w:val="00A3270C"/>
    <w:rsid w:val="00A45E77"/>
    <w:rsid w:val="00A5027A"/>
    <w:rsid w:val="00A50414"/>
    <w:rsid w:val="00A5784C"/>
    <w:rsid w:val="00A66750"/>
    <w:rsid w:val="00A831B4"/>
    <w:rsid w:val="00AA05E3"/>
    <w:rsid w:val="00AA479F"/>
    <w:rsid w:val="00AA639A"/>
    <w:rsid w:val="00AB5E32"/>
    <w:rsid w:val="00AC1D09"/>
    <w:rsid w:val="00AD133F"/>
    <w:rsid w:val="00AD69CC"/>
    <w:rsid w:val="00AE444C"/>
    <w:rsid w:val="00AF623E"/>
    <w:rsid w:val="00B00404"/>
    <w:rsid w:val="00B053BD"/>
    <w:rsid w:val="00B112EC"/>
    <w:rsid w:val="00B11317"/>
    <w:rsid w:val="00B20BE6"/>
    <w:rsid w:val="00B2433C"/>
    <w:rsid w:val="00B32E5D"/>
    <w:rsid w:val="00B436DC"/>
    <w:rsid w:val="00B51D81"/>
    <w:rsid w:val="00B64951"/>
    <w:rsid w:val="00B74055"/>
    <w:rsid w:val="00B808BC"/>
    <w:rsid w:val="00B90865"/>
    <w:rsid w:val="00BA6664"/>
    <w:rsid w:val="00BB5BA1"/>
    <w:rsid w:val="00BB6A54"/>
    <w:rsid w:val="00BC484C"/>
    <w:rsid w:val="00BF24C2"/>
    <w:rsid w:val="00C17430"/>
    <w:rsid w:val="00C33249"/>
    <w:rsid w:val="00C342F8"/>
    <w:rsid w:val="00C458A2"/>
    <w:rsid w:val="00C54587"/>
    <w:rsid w:val="00C563C9"/>
    <w:rsid w:val="00C61DA8"/>
    <w:rsid w:val="00C640F4"/>
    <w:rsid w:val="00C67D89"/>
    <w:rsid w:val="00C743C3"/>
    <w:rsid w:val="00C75D64"/>
    <w:rsid w:val="00C76928"/>
    <w:rsid w:val="00C86800"/>
    <w:rsid w:val="00CA4E80"/>
    <w:rsid w:val="00CB38E9"/>
    <w:rsid w:val="00CC2C52"/>
    <w:rsid w:val="00CD02FE"/>
    <w:rsid w:val="00CD7931"/>
    <w:rsid w:val="00CE33B1"/>
    <w:rsid w:val="00CE7B8E"/>
    <w:rsid w:val="00CF0252"/>
    <w:rsid w:val="00D06CD4"/>
    <w:rsid w:val="00D1447B"/>
    <w:rsid w:val="00D164A4"/>
    <w:rsid w:val="00D238DA"/>
    <w:rsid w:val="00D242C6"/>
    <w:rsid w:val="00D34BF5"/>
    <w:rsid w:val="00D56C85"/>
    <w:rsid w:val="00D67BDB"/>
    <w:rsid w:val="00D80175"/>
    <w:rsid w:val="00D84363"/>
    <w:rsid w:val="00D87CE2"/>
    <w:rsid w:val="00DC4022"/>
    <w:rsid w:val="00DF037A"/>
    <w:rsid w:val="00DF2CD4"/>
    <w:rsid w:val="00E26987"/>
    <w:rsid w:val="00E27628"/>
    <w:rsid w:val="00E32893"/>
    <w:rsid w:val="00E363B0"/>
    <w:rsid w:val="00E52C67"/>
    <w:rsid w:val="00E566AF"/>
    <w:rsid w:val="00E63F4D"/>
    <w:rsid w:val="00E70396"/>
    <w:rsid w:val="00E711C8"/>
    <w:rsid w:val="00E73C18"/>
    <w:rsid w:val="00EB4679"/>
    <w:rsid w:val="00ED41E2"/>
    <w:rsid w:val="00ED6914"/>
    <w:rsid w:val="00ED6CA3"/>
    <w:rsid w:val="00EE5F3B"/>
    <w:rsid w:val="00EF5A5D"/>
    <w:rsid w:val="00F1425B"/>
    <w:rsid w:val="00F2585E"/>
    <w:rsid w:val="00F323E9"/>
    <w:rsid w:val="00F36D03"/>
    <w:rsid w:val="00F73225"/>
    <w:rsid w:val="00F745FF"/>
    <w:rsid w:val="00F74752"/>
    <w:rsid w:val="00F8559A"/>
    <w:rsid w:val="00FB073C"/>
    <w:rsid w:val="00FB08C7"/>
    <w:rsid w:val="00FB69E0"/>
    <w:rsid w:val="00FC472C"/>
    <w:rsid w:val="00FD7433"/>
    <w:rsid w:val="00FF12B8"/>
    <w:rsid w:val="00FF41C5"/>
    <w:rsid w:val="00FF593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AU" w:eastAsia="en-AU"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742E9E"/>
    <w:pPr>
      <w:spacing w:line="276" w:lineRule="auto"/>
    </w:pPr>
    <w:rPr>
      <w:rFonts w:ascii="Arial" w:hAnsi="Arial"/>
      <w:lang w:eastAsia="en-US"/>
    </w:rPr>
  </w:style>
  <w:style w:type="paragraph" w:styleId="Heading1">
    <w:name w:val="heading 1"/>
    <w:basedOn w:val="Normal"/>
    <w:next w:val="Normal"/>
    <w:link w:val="Heading1Char"/>
    <w:uiPriority w:val="99"/>
    <w:qFormat/>
    <w:rsid w:val="00742E9E"/>
    <w:pPr>
      <w:keepNext/>
      <w:keepLines/>
      <w:numPr>
        <w:numId w:val="21"/>
      </w:numPr>
      <w:spacing w:before="48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9"/>
    <w:qFormat/>
    <w:rsid w:val="00742E9E"/>
    <w:pPr>
      <w:keepNext/>
      <w:keepLines/>
      <w:numPr>
        <w:ilvl w:val="1"/>
        <w:numId w:val="21"/>
      </w:numPr>
      <w:spacing w:before="200"/>
      <w:outlineLvl w:val="1"/>
    </w:pPr>
    <w:rPr>
      <w:rFonts w:ascii="Cambria" w:eastAsia="Times New Roman" w:hAnsi="Cambria"/>
      <w:b/>
      <w:bCs/>
      <w:color w:val="4F81BD"/>
      <w:sz w:val="26"/>
      <w:szCs w:val="26"/>
    </w:rPr>
  </w:style>
  <w:style w:type="paragraph" w:styleId="Heading3">
    <w:name w:val="heading 3"/>
    <w:basedOn w:val="Normal"/>
    <w:next w:val="Normal"/>
    <w:link w:val="Heading3Char"/>
    <w:uiPriority w:val="99"/>
    <w:qFormat/>
    <w:rsid w:val="00836642"/>
    <w:pPr>
      <w:keepNext/>
      <w:keepLines/>
      <w:numPr>
        <w:ilvl w:val="2"/>
        <w:numId w:val="21"/>
      </w:numPr>
      <w:spacing w:before="200"/>
      <w:outlineLvl w:val="2"/>
    </w:pPr>
    <w:rPr>
      <w:rFonts w:ascii="Cambria" w:eastAsia="Times New Roman" w:hAnsi="Cambria"/>
      <w:b/>
      <w:bCs/>
      <w:color w:val="4F81BD"/>
    </w:rPr>
  </w:style>
  <w:style w:type="paragraph" w:styleId="Heading4">
    <w:name w:val="heading 4"/>
    <w:basedOn w:val="Normal"/>
    <w:next w:val="Normal"/>
    <w:link w:val="Heading4Char"/>
    <w:uiPriority w:val="99"/>
    <w:qFormat/>
    <w:rsid w:val="00FF593D"/>
    <w:pPr>
      <w:keepNext/>
      <w:keepLines/>
      <w:numPr>
        <w:ilvl w:val="3"/>
        <w:numId w:val="21"/>
      </w:numPr>
      <w:spacing w:before="200"/>
      <w:outlineLvl w:val="3"/>
    </w:pPr>
    <w:rPr>
      <w:rFonts w:ascii="Cambria" w:eastAsia="Times New Roman" w:hAnsi="Cambria"/>
      <w:b/>
      <w:bCs/>
      <w:i/>
      <w:iCs/>
      <w:color w:val="4F81BD"/>
    </w:rPr>
  </w:style>
  <w:style w:type="paragraph" w:styleId="Heading5">
    <w:name w:val="heading 5"/>
    <w:basedOn w:val="Normal"/>
    <w:next w:val="Normal"/>
    <w:link w:val="Heading5Char"/>
    <w:uiPriority w:val="99"/>
    <w:qFormat/>
    <w:rsid w:val="008B65A8"/>
    <w:pPr>
      <w:keepNext/>
      <w:keepLines/>
      <w:numPr>
        <w:ilvl w:val="4"/>
        <w:numId w:val="21"/>
      </w:numPr>
      <w:spacing w:before="200"/>
      <w:outlineLvl w:val="4"/>
    </w:pPr>
    <w:rPr>
      <w:rFonts w:ascii="Cambria" w:eastAsia="Times New Roman" w:hAnsi="Cambria"/>
      <w:color w:val="243F60"/>
    </w:rPr>
  </w:style>
  <w:style w:type="paragraph" w:styleId="Heading6">
    <w:name w:val="heading 6"/>
    <w:basedOn w:val="Normal"/>
    <w:next w:val="Normal"/>
    <w:link w:val="Heading6Char"/>
    <w:uiPriority w:val="99"/>
    <w:qFormat/>
    <w:rsid w:val="008B65A8"/>
    <w:pPr>
      <w:keepNext/>
      <w:keepLines/>
      <w:numPr>
        <w:ilvl w:val="5"/>
        <w:numId w:val="21"/>
      </w:numPr>
      <w:spacing w:before="200"/>
      <w:outlineLvl w:val="5"/>
    </w:pPr>
    <w:rPr>
      <w:rFonts w:ascii="Cambria" w:eastAsia="Times New Roman" w:hAnsi="Cambria"/>
      <w:i/>
      <w:iCs/>
      <w:color w:val="243F60"/>
    </w:rPr>
  </w:style>
  <w:style w:type="paragraph" w:styleId="Heading7">
    <w:name w:val="heading 7"/>
    <w:basedOn w:val="Normal"/>
    <w:next w:val="Normal"/>
    <w:link w:val="Heading7Char"/>
    <w:uiPriority w:val="99"/>
    <w:qFormat/>
    <w:rsid w:val="008B65A8"/>
    <w:pPr>
      <w:keepNext/>
      <w:keepLines/>
      <w:numPr>
        <w:ilvl w:val="6"/>
        <w:numId w:val="21"/>
      </w:numPr>
      <w:spacing w:before="200"/>
      <w:outlineLvl w:val="6"/>
    </w:pPr>
    <w:rPr>
      <w:rFonts w:ascii="Cambria" w:eastAsia="Times New Roman" w:hAnsi="Cambria"/>
      <w:i/>
      <w:iCs/>
      <w:color w:val="404040"/>
    </w:rPr>
  </w:style>
  <w:style w:type="paragraph" w:styleId="Heading8">
    <w:name w:val="heading 8"/>
    <w:basedOn w:val="Normal"/>
    <w:next w:val="Normal"/>
    <w:link w:val="Heading8Char"/>
    <w:uiPriority w:val="99"/>
    <w:qFormat/>
    <w:rsid w:val="008B65A8"/>
    <w:pPr>
      <w:keepNext/>
      <w:keepLines/>
      <w:numPr>
        <w:ilvl w:val="7"/>
        <w:numId w:val="21"/>
      </w:numPr>
      <w:spacing w:before="200"/>
      <w:outlineLvl w:val="7"/>
    </w:pPr>
    <w:rPr>
      <w:rFonts w:ascii="Cambria" w:eastAsia="Times New Roman" w:hAnsi="Cambria"/>
      <w:color w:val="404040"/>
      <w:sz w:val="20"/>
      <w:szCs w:val="20"/>
    </w:rPr>
  </w:style>
  <w:style w:type="paragraph" w:styleId="Heading9">
    <w:name w:val="heading 9"/>
    <w:basedOn w:val="Normal"/>
    <w:next w:val="Normal"/>
    <w:link w:val="Heading9Char"/>
    <w:uiPriority w:val="99"/>
    <w:qFormat/>
    <w:rsid w:val="008B65A8"/>
    <w:pPr>
      <w:keepNext/>
      <w:keepLines/>
      <w:numPr>
        <w:ilvl w:val="8"/>
        <w:numId w:val="21"/>
      </w:numPr>
      <w:spacing w:before="200"/>
      <w:outlineLvl w:val="8"/>
    </w:pPr>
    <w:rPr>
      <w:rFonts w:ascii="Cambria" w:eastAsia="Times New Roma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742E9E"/>
    <w:rPr>
      <w:rFonts w:ascii="Cambria" w:hAnsi="Cambria" w:cs="Times New Roman"/>
      <w:b/>
      <w:bCs/>
      <w:color w:val="365F91"/>
      <w:sz w:val="28"/>
      <w:szCs w:val="28"/>
    </w:rPr>
  </w:style>
  <w:style w:type="character" w:customStyle="1" w:styleId="Heading2Char">
    <w:name w:val="Heading 2 Char"/>
    <w:basedOn w:val="DefaultParagraphFont"/>
    <w:link w:val="Heading2"/>
    <w:uiPriority w:val="99"/>
    <w:locked/>
    <w:rsid w:val="00742E9E"/>
    <w:rPr>
      <w:rFonts w:ascii="Cambria" w:hAnsi="Cambria" w:cs="Times New Roman"/>
      <w:b/>
      <w:bCs/>
      <w:color w:val="4F81BD"/>
      <w:sz w:val="26"/>
      <w:szCs w:val="26"/>
    </w:rPr>
  </w:style>
  <w:style w:type="character" w:customStyle="1" w:styleId="Heading3Char">
    <w:name w:val="Heading 3 Char"/>
    <w:basedOn w:val="DefaultParagraphFont"/>
    <w:link w:val="Heading3"/>
    <w:uiPriority w:val="99"/>
    <w:locked/>
    <w:rsid w:val="00836642"/>
    <w:rPr>
      <w:rFonts w:ascii="Cambria" w:hAnsi="Cambria" w:cs="Times New Roman"/>
      <w:b/>
      <w:bCs/>
      <w:color w:val="4F81BD"/>
    </w:rPr>
  </w:style>
  <w:style w:type="character" w:customStyle="1" w:styleId="Heading4Char">
    <w:name w:val="Heading 4 Char"/>
    <w:basedOn w:val="DefaultParagraphFont"/>
    <w:link w:val="Heading4"/>
    <w:uiPriority w:val="99"/>
    <w:locked/>
    <w:rsid w:val="00FF593D"/>
    <w:rPr>
      <w:rFonts w:ascii="Cambria" w:hAnsi="Cambria" w:cs="Times New Roman"/>
      <w:b/>
      <w:bCs/>
      <w:i/>
      <w:iCs/>
      <w:color w:val="4F81BD"/>
    </w:rPr>
  </w:style>
  <w:style w:type="character" w:customStyle="1" w:styleId="Heading5Char">
    <w:name w:val="Heading 5 Char"/>
    <w:basedOn w:val="DefaultParagraphFont"/>
    <w:link w:val="Heading5"/>
    <w:uiPriority w:val="99"/>
    <w:semiHidden/>
    <w:locked/>
    <w:rsid w:val="008B65A8"/>
    <w:rPr>
      <w:rFonts w:ascii="Cambria" w:hAnsi="Cambria" w:cs="Times New Roman"/>
      <w:color w:val="243F60"/>
    </w:rPr>
  </w:style>
  <w:style w:type="character" w:customStyle="1" w:styleId="Heading6Char">
    <w:name w:val="Heading 6 Char"/>
    <w:basedOn w:val="DefaultParagraphFont"/>
    <w:link w:val="Heading6"/>
    <w:uiPriority w:val="99"/>
    <w:semiHidden/>
    <w:locked/>
    <w:rsid w:val="008B65A8"/>
    <w:rPr>
      <w:rFonts w:ascii="Cambria" w:hAnsi="Cambria" w:cs="Times New Roman"/>
      <w:i/>
      <w:iCs/>
      <w:color w:val="243F60"/>
    </w:rPr>
  </w:style>
  <w:style w:type="character" w:customStyle="1" w:styleId="Heading7Char">
    <w:name w:val="Heading 7 Char"/>
    <w:basedOn w:val="DefaultParagraphFont"/>
    <w:link w:val="Heading7"/>
    <w:uiPriority w:val="99"/>
    <w:semiHidden/>
    <w:locked/>
    <w:rsid w:val="008B65A8"/>
    <w:rPr>
      <w:rFonts w:ascii="Cambria" w:hAnsi="Cambria" w:cs="Times New Roman"/>
      <w:i/>
      <w:iCs/>
      <w:color w:val="404040"/>
    </w:rPr>
  </w:style>
  <w:style w:type="character" w:customStyle="1" w:styleId="Heading8Char">
    <w:name w:val="Heading 8 Char"/>
    <w:basedOn w:val="DefaultParagraphFont"/>
    <w:link w:val="Heading8"/>
    <w:uiPriority w:val="99"/>
    <w:semiHidden/>
    <w:locked/>
    <w:rsid w:val="008B65A8"/>
    <w:rPr>
      <w:rFonts w:ascii="Cambria" w:hAnsi="Cambria" w:cs="Times New Roman"/>
      <w:color w:val="404040"/>
      <w:sz w:val="20"/>
      <w:szCs w:val="20"/>
    </w:rPr>
  </w:style>
  <w:style w:type="character" w:customStyle="1" w:styleId="Heading9Char">
    <w:name w:val="Heading 9 Char"/>
    <w:basedOn w:val="DefaultParagraphFont"/>
    <w:link w:val="Heading9"/>
    <w:uiPriority w:val="99"/>
    <w:semiHidden/>
    <w:locked/>
    <w:rsid w:val="008B65A8"/>
    <w:rPr>
      <w:rFonts w:ascii="Cambria" w:hAnsi="Cambria" w:cs="Times New Roman"/>
      <w:i/>
      <w:iCs/>
      <w:color w:val="404040"/>
      <w:sz w:val="20"/>
      <w:szCs w:val="20"/>
    </w:rPr>
  </w:style>
  <w:style w:type="paragraph" w:styleId="ListParagraph">
    <w:name w:val="List Paragraph"/>
    <w:basedOn w:val="Normal"/>
    <w:uiPriority w:val="99"/>
    <w:qFormat/>
    <w:rsid w:val="00742E9E"/>
    <w:pPr>
      <w:ind w:left="720"/>
      <w:contextualSpacing/>
    </w:pPr>
    <w:rPr>
      <w:rFonts w:ascii="Arial Narrow" w:hAnsi="Arial Narrow"/>
    </w:rPr>
  </w:style>
  <w:style w:type="paragraph" w:styleId="FootnoteText">
    <w:name w:val="footnote text"/>
    <w:aliases w:val="Footnote Text2,Footnote Text1,(NECG) Footnote Text,(NECG) Footnote Text1,ALTS FOOTNOTE2,Footnote Text11,ALTS FOOTNOTE,Footnote text,AR Footnote Text,AR Footnote Text Char Char Char Char Char Char,AR Footnote Text Char Char Char Char Char"/>
    <w:basedOn w:val="Normal"/>
    <w:link w:val="FootnoteTextChar1"/>
    <w:uiPriority w:val="99"/>
    <w:rsid w:val="00041673"/>
    <w:pPr>
      <w:spacing w:line="240" w:lineRule="auto"/>
    </w:pPr>
    <w:rPr>
      <w:sz w:val="20"/>
      <w:szCs w:val="20"/>
    </w:rPr>
  </w:style>
  <w:style w:type="character" w:customStyle="1" w:styleId="FootnoteTextChar">
    <w:name w:val="Footnote Text Char"/>
    <w:aliases w:val="Footnote Text2 Char,Footnote Text1 Char,(NECG) Footnote Text Char,(NECG) Footnote Text1 Char,ALTS FOOTNOTE2 Char,Footnote Text11 Char,ALTS FOOTNOTE Char,Footnote text Char,AR Footnote Text Char"/>
    <w:basedOn w:val="DefaultParagraphFont"/>
    <w:uiPriority w:val="99"/>
    <w:semiHidden/>
    <w:rsid w:val="00913FAE"/>
    <w:rPr>
      <w:rFonts w:ascii="Arial" w:hAnsi="Arial"/>
      <w:sz w:val="20"/>
      <w:szCs w:val="20"/>
      <w:lang w:eastAsia="en-US"/>
    </w:rPr>
  </w:style>
  <w:style w:type="character" w:customStyle="1" w:styleId="FootnoteTextChar1">
    <w:name w:val="Footnote Text Char1"/>
    <w:aliases w:val="Footnote Text2 Char1,Footnote Text1 Char1,(NECG) Footnote Text Char1,(NECG) Footnote Text1 Char1,ALTS FOOTNOTE2 Char1,Footnote Text11 Char1,ALTS FOOTNOTE Char1,Footnote text Char1,AR Footnote Text Char1"/>
    <w:basedOn w:val="DefaultParagraphFont"/>
    <w:link w:val="FootnoteText"/>
    <w:uiPriority w:val="99"/>
    <w:locked/>
    <w:rsid w:val="00041673"/>
    <w:rPr>
      <w:rFonts w:ascii="Arial" w:hAnsi="Arial" w:cs="Times New Roman"/>
      <w:sz w:val="20"/>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rsid w:val="00041673"/>
    <w:rPr>
      <w:rFonts w:cs="Times New Roman"/>
      <w:vertAlign w:val="superscript"/>
    </w:rPr>
  </w:style>
  <w:style w:type="paragraph" w:customStyle="1" w:styleId="AERbulletlistfirststyle">
    <w:name w:val="AER bullet list (first style)"/>
    <w:basedOn w:val="Normal"/>
    <w:link w:val="AERbulletlistfirststyleChar"/>
    <w:uiPriority w:val="99"/>
    <w:rsid w:val="00041673"/>
    <w:pPr>
      <w:numPr>
        <w:numId w:val="7"/>
      </w:numPr>
      <w:tabs>
        <w:tab w:val="left" w:pos="357"/>
      </w:tabs>
      <w:spacing w:after="200" w:line="288" w:lineRule="auto"/>
      <w:ind w:left="357" w:hanging="357"/>
      <w:jc w:val="both"/>
    </w:pPr>
    <w:rPr>
      <w:rFonts w:ascii="Gautami" w:eastAsia="Times New Roman" w:hAnsi="Gautami"/>
      <w:sz w:val="20"/>
      <w:szCs w:val="24"/>
    </w:rPr>
  </w:style>
  <w:style w:type="character" w:customStyle="1" w:styleId="AERbulletlistfirststyleChar">
    <w:name w:val="AER bullet list (first style) Char"/>
    <w:basedOn w:val="DefaultParagraphFont"/>
    <w:link w:val="AERbulletlistfirststyle"/>
    <w:uiPriority w:val="99"/>
    <w:locked/>
    <w:rsid w:val="00041673"/>
    <w:rPr>
      <w:rFonts w:ascii="Gautami" w:hAnsi="Gautami" w:cs="Times New Roman"/>
      <w:sz w:val="24"/>
      <w:szCs w:val="24"/>
    </w:rPr>
  </w:style>
  <w:style w:type="paragraph" w:styleId="Title">
    <w:name w:val="Title"/>
    <w:basedOn w:val="Normal"/>
    <w:next w:val="Normal"/>
    <w:link w:val="TitleChar"/>
    <w:uiPriority w:val="99"/>
    <w:qFormat/>
    <w:rsid w:val="00CB38E9"/>
    <w:pPr>
      <w:pBdr>
        <w:bottom w:val="single" w:sz="8" w:space="4" w:color="4F81BD"/>
      </w:pBdr>
      <w:spacing w:after="300" w:line="240" w:lineRule="auto"/>
      <w:contextualSpacing/>
    </w:pPr>
    <w:rPr>
      <w:rFonts w:ascii="Cambria" w:eastAsia="Times New Roman" w:hAnsi="Cambria"/>
      <w:color w:val="17365D"/>
      <w:spacing w:val="5"/>
      <w:kern w:val="28"/>
      <w:sz w:val="52"/>
      <w:szCs w:val="52"/>
    </w:rPr>
  </w:style>
  <w:style w:type="character" w:customStyle="1" w:styleId="TitleChar">
    <w:name w:val="Title Char"/>
    <w:basedOn w:val="DefaultParagraphFont"/>
    <w:link w:val="Title"/>
    <w:uiPriority w:val="99"/>
    <w:locked/>
    <w:rsid w:val="00CB38E9"/>
    <w:rPr>
      <w:rFonts w:ascii="Cambria" w:hAnsi="Cambria" w:cs="Times New Roman"/>
      <w:color w:val="17365D"/>
      <w:spacing w:val="5"/>
      <w:kern w:val="28"/>
      <w:sz w:val="52"/>
      <w:szCs w:val="52"/>
    </w:rPr>
  </w:style>
  <w:style w:type="paragraph" w:styleId="Subtitle">
    <w:name w:val="Subtitle"/>
    <w:basedOn w:val="Normal"/>
    <w:next w:val="Normal"/>
    <w:link w:val="SubtitleChar"/>
    <w:uiPriority w:val="99"/>
    <w:qFormat/>
    <w:rsid w:val="00CB38E9"/>
    <w:pPr>
      <w:numPr>
        <w:ilvl w:val="1"/>
      </w:numPr>
    </w:pPr>
    <w:rPr>
      <w:rFonts w:ascii="Cambria" w:eastAsia="Times New Roman" w:hAnsi="Cambria"/>
      <w:i/>
      <w:iCs/>
      <w:color w:val="4F81BD"/>
      <w:spacing w:val="15"/>
      <w:sz w:val="24"/>
      <w:szCs w:val="24"/>
    </w:rPr>
  </w:style>
  <w:style w:type="character" w:customStyle="1" w:styleId="SubtitleChar">
    <w:name w:val="Subtitle Char"/>
    <w:basedOn w:val="DefaultParagraphFont"/>
    <w:link w:val="Subtitle"/>
    <w:uiPriority w:val="99"/>
    <w:locked/>
    <w:rsid w:val="00CB38E9"/>
    <w:rPr>
      <w:rFonts w:ascii="Cambria" w:hAnsi="Cambria" w:cs="Times New Roman"/>
      <w:i/>
      <w:iCs/>
      <w:color w:val="4F81BD"/>
      <w:spacing w:val="15"/>
      <w:sz w:val="24"/>
      <w:szCs w:val="24"/>
    </w:rPr>
  </w:style>
  <w:style w:type="paragraph" w:styleId="BalloonText">
    <w:name w:val="Balloon Text"/>
    <w:basedOn w:val="Normal"/>
    <w:link w:val="BalloonTextChar"/>
    <w:uiPriority w:val="99"/>
    <w:semiHidden/>
    <w:rsid w:val="00CB38E9"/>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CB38E9"/>
    <w:rPr>
      <w:rFonts w:ascii="Tahoma" w:hAnsi="Tahoma" w:cs="Tahoma"/>
      <w:sz w:val="16"/>
      <w:szCs w:val="16"/>
    </w:rPr>
  </w:style>
  <w:style w:type="character" w:styleId="Hyperlink">
    <w:name w:val="Hyperlink"/>
    <w:basedOn w:val="DefaultParagraphFont"/>
    <w:uiPriority w:val="99"/>
    <w:rsid w:val="00CB38E9"/>
    <w:rPr>
      <w:rFonts w:cs="Times New Roman"/>
      <w:color w:val="0000FF"/>
      <w:u w:val="single"/>
    </w:rPr>
  </w:style>
  <w:style w:type="paragraph" w:styleId="Header">
    <w:name w:val="header"/>
    <w:basedOn w:val="Normal"/>
    <w:link w:val="HeaderChar"/>
    <w:uiPriority w:val="99"/>
    <w:semiHidden/>
    <w:rsid w:val="00CB38E9"/>
    <w:pPr>
      <w:tabs>
        <w:tab w:val="center" w:pos="4513"/>
        <w:tab w:val="right" w:pos="9026"/>
      </w:tabs>
      <w:spacing w:line="240" w:lineRule="auto"/>
    </w:pPr>
  </w:style>
  <w:style w:type="character" w:customStyle="1" w:styleId="HeaderChar">
    <w:name w:val="Header Char"/>
    <w:basedOn w:val="DefaultParagraphFont"/>
    <w:link w:val="Header"/>
    <w:uiPriority w:val="99"/>
    <w:semiHidden/>
    <w:locked/>
    <w:rsid w:val="00CB38E9"/>
    <w:rPr>
      <w:rFonts w:ascii="Arial" w:hAnsi="Arial" w:cs="Times New Roman"/>
    </w:rPr>
  </w:style>
  <w:style w:type="paragraph" w:styleId="Footer">
    <w:name w:val="footer"/>
    <w:basedOn w:val="Normal"/>
    <w:link w:val="FooterChar"/>
    <w:uiPriority w:val="99"/>
    <w:rsid w:val="00CB38E9"/>
    <w:pPr>
      <w:tabs>
        <w:tab w:val="center" w:pos="4513"/>
        <w:tab w:val="right" w:pos="9026"/>
      </w:tabs>
      <w:spacing w:line="240" w:lineRule="auto"/>
    </w:pPr>
  </w:style>
  <w:style w:type="character" w:customStyle="1" w:styleId="FooterChar">
    <w:name w:val="Footer Char"/>
    <w:basedOn w:val="DefaultParagraphFont"/>
    <w:link w:val="Footer"/>
    <w:uiPriority w:val="99"/>
    <w:locked/>
    <w:rsid w:val="00CB38E9"/>
    <w:rPr>
      <w:rFonts w:ascii="Arial" w:hAnsi="Arial" w:cs="Times New Roman"/>
    </w:rPr>
  </w:style>
  <w:style w:type="paragraph" w:styleId="TOCHeading">
    <w:name w:val="TOC Heading"/>
    <w:basedOn w:val="Heading1"/>
    <w:next w:val="Normal"/>
    <w:uiPriority w:val="99"/>
    <w:qFormat/>
    <w:rsid w:val="00570B2B"/>
    <w:pPr>
      <w:outlineLvl w:val="9"/>
    </w:pPr>
    <w:rPr>
      <w:lang w:val="en-US"/>
    </w:rPr>
  </w:style>
  <w:style w:type="paragraph" w:styleId="TOC1">
    <w:name w:val="toc 1"/>
    <w:basedOn w:val="Normal"/>
    <w:next w:val="Normal"/>
    <w:autoRedefine/>
    <w:uiPriority w:val="99"/>
    <w:rsid w:val="00570B2B"/>
    <w:pPr>
      <w:spacing w:after="100"/>
    </w:pPr>
  </w:style>
  <w:style w:type="paragraph" w:styleId="TOC2">
    <w:name w:val="toc 2"/>
    <w:basedOn w:val="Normal"/>
    <w:next w:val="Normal"/>
    <w:autoRedefine/>
    <w:uiPriority w:val="99"/>
    <w:rsid w:val="00570B2B"/>
    <w:pPr>
      <w:spacing w:after="100"/>
      <w:ind w:left="220"/>
    </w:pPr>
  </w:style>
  <w:style w:type="paragraph" w:styleId="TOC3">
    <w:name w:val="toc 3"/>
    <w:basedOn w:val="Normal"/>
    <w:next w:val="Normal"/>
    <w:autoRedefine/>
    <w:uiPriority w:val="99"/>
    <w:rsid w:val="00570B2B"/>
    <w:pPr>
      <w:spacing w:after="100"/>
      <w:ind w:left="440"/>
    </w:pPr>
  </w:style>
  <w:style w:type="character" w:styleId="Strong">
    <w:name w:val="Strong"/>
    <w:basedOn w:val="DefaultParagraphFont"/>
    <w:uiPriority w:val="99"/>
    <w:qFormat/>
    <w:rsid w:val="00570B2B"/>
    <w:rPr>
      <w:rFonts w:cs="Times New Roman"/>
      <w:b/>
      <w:bCs/>
    </w:rPr>
  </w:style>
  <w:style w:type="paragraph" w:styleId="Quote">
    <w:name w:val="Quote"/>
    <w:basedOn w:val="Normal"/>
    <w:next w:val="Normal"/>
    <w:link w:val="QuoteChar"/>
    <w:uiPriority w:val="99"/>
    <w:qFormat/>
    <w:rsid w:val="007C76B0"/>
    <w:rPr>
      <w:i/>
      <w:iCs/>
      <w:color w:val="000000"/>
    </w:rPr>
  </w:style>
  <w:style w:type="character" w:customStyle="1" w:styleId="QuoteChar">
    <w:name w:val="Quote Char"/>
    <w:basedOn w:val="DefaultParagraphFont"/>
    <w:link w:val="Quote"/>
    <w:uiPriority w:val="99"/>
    <w:locked/>
    <w:rsid w:val="007C76B0"/>
    <w:rPr>
      <w:rFonts w:ascii="Arial" w:hAnsi="Arial" w:cs="Times New Roman"/>
      <w:i/>
      <w:iCs/>
      <w:color w:val="000000"/>
    </w:rPr>
  </w:style>
  <w:style w:type="character" w:styleId="CommentReference">
    <w:name w:val="annotation reference"/>
    <w:basedOn w:val="DefaultParagraphFont"/>
    <w:uiPriority w:val="99"/>
    <w:semiHidden/>
    <w:rsid w:val="007C76B0"/>
    <w:rPr>
      <w:rFonts w:cs="Times New Roman"/>
      <w:sz w:val="16"/>
      <w:szCs w:val="16"/>
    </w:rPr>
  </w:style>
  <w:style w:type="paragraph" w:styleId="CommentText">
    <w:name w:val="annotation text"/>
    <w:basedOn w:val="Normal"/>
    <w:link w:val="CommentTextChar"/>
    <w:uiPriority w:val="99"/>
    <w:semiHidden/>
    <w:rsid w:val="007C76B0"/>
    <w:pPr>
      <w:spacing w:line="240" w:lineRule="auto"/>
    </w:pPr>
    <w:rPr>
      <w:sz w:val="20"/>
      <w:szCs w:val="20"/>
    </w:rPr>
  </w:style>
  <w:style w:type="character" w:customStyle="1" w:styleId="CommentTextChar">
    <w:name w:val="Comment Text Char"/>
    <w:basedOn w:val="DefaultParagraphFont"/>
    <w:link w:val="CommentText"/>
    <w:uiPriority w:val="99"/>
    <w:semiHidden/>
    <w:locked/>
    <w:rsid w:val="007C76B0"/>
    <w:rPr>
      <w:rFonts w:ascii="Arial" w:hAnsi="Arial" w:cs="Times New Roman"/>
      <w:sz w:val="20"/>
      <w:szCs w:val="20"/>
    </w:rPr>
  </w:style>
  <w:style w:type="paragraph" w:styleId="CommentSubject">
    <w:name w:val="annotation subject"/>
    <w:basedOn w:val="CommentText"/>
    <w:next w:val="CommentText"/>
    <w:link w:val="CommentSubjectChar"/>
    <w:uiPriority w:val="99"/>
    <w:semiHidden/>
    <w:rsid w:val="007C76B0"/>
    <w:rPr>
      <w:b/>
      <w:bCs/>
    </w:rPr>
  </w:style>
  <w:style w:type="character" w:customStyle="1" w:styleId="CommentSubjectChar">
    <w:name w:val="Comment Subject Char"/>
    <w:basedOn w:val="CommentTextChar"/>
    <w:link w:val="CommentSubject"/>
    <w:uiPriority w:val="99"/>
    <w:semiHidden/>
    <w:locked/>
    <w:rsid w:val="007C76B0"/>
    <w:rPr>
      <w:rFonts w:ascii="Arial" w:hAnsi="Arial" w:cs="Times New Roman"/>
      <w:b/>
      <w:bCs/>
      <w:sz w:val="20"/>
      <w:szCs w:val="20"/>
    </w:rPr>
  </w:style>
  <w:style w:type="character" w:customStyle="1" w:styleId="AERbody">
    <w:name w:val="AER body"/>
    <w:basedOn w:val="DefaultParagraphFont"/>
    <w:uiPriority w:val="99"/>
    <w:rsid w:val="00CE33B1"/>
    <w:rPr>
      <w:rFonts w:ascii="Gautami" w:hAnsi="Gautami" w:cs="Times New Roman"/>
      <w:color w:val="auto"/>
      <w:sz w:val="20"/>
    </w:rPr>
  </w:style>
  <w:style w:type="paragraph" w:customStyle="1" w:styleId="AERbodytext">
    <w:name w:val="AER body text"/>
    <w:link w:val="AERbodytextChar"/>
    <w:uiPriority w:val="99"/>
    <w:rsid w:val="00914238"/>
    <w:pPr>
      <w:numPr>
        <w:numId w:val="12"/>
      </w:numPr>
      <w:spacing w:after="240" w:line="288" w:lineRule="auto"/>
      <w:jc w:val="both"/>
    </w:pPr>
    <w:rPr>
      <w:rFonts w:ascii="Gautami" w:eastAsia="Times New Roman" w:hAnsi="Gautami"/>
      <w:sz w:val="20"/>
      <w:szCs w:val="24"/>
      <w:lang w:eastAsia="en-US"/>
    </w:rPr>
  </w:style>
  <w:style w:type="paragraph" w:customStyle="1" w:styleId="AERnumberedlistfirststyle">
    <w:name w:val="AER numbered list (first style)"/>
    <w:basedOn w:val="AERbodytext"/>
    <w:uiPriority w:val="99"/>
    <w:rsid w:val="00914238"/>
    <w:pPr>
      <w:numPr>
        <w:ilvl w:val="1"/>
      </w:numPr>
      <w:tabs>
        <w:tab w:val="clear" w:pos="357"/>
      </w:tabs>
      <w:spacing w:after="200"/>
      <w:ind w:left="1440" w:hanging="360"/>
    </w:pPr>
  </w:style>
  <w:style w:type="paragraph" w:customStyle="1" w:styleId="AERnumberedlistsecondstyle">
    <w:name w:val="AER numbered list (second style)"/>
    <w:basedOn w:val="AERnumberedlistfirststyle"/>
    <w:uiPriority w:val="99"/>
    <w:rsid w:val="00914238"/>
    <w:pPr>
      <w:numPr>
        <w:ilvl w:val="2"/>
      </w:numPr>
      <w:tabs>
        <w:tab w:val="clear" w:pos="720"/>
      </w:tabs>
      <w:ind w:left="2160" w:hanging="360"/>
    </w:pPr>
  </w:style>
  <w:style w:type="paragraph" w:customStyle="1" w:styleId="AERnumberedlistthirdstyle">
    <w:name w:val="AER numbered list (third style)"/>
    <w:basedOn w:val="AERnumberedlistsecondstyle"/>
    <w:uiPriority w:val="99"/>
    <w:rsid w:val="00914238"/>
    <w:pPr>
      <w:numPr>
        <w:ilvl w:val="3"/>
      </w:numPr>
      <w:tabs>
        <w:tab w:val="clear" w:pos="1077"/>
      </w:tabs>
      <w:ind w:left="2880" w:hanging="360"/>
    </w:pPr>
  </w:style>
  <w:style w:type="paragraph" w:customStyle="1" w:styleId="AERnumberedlist2first">
    <w:name w:val="AER numbered list 2 first"/>
    <w:basedOn w:val="AERbodytext"/>
    <w:uiPriority w:val="99"/>
    <w:rsid w:val="00914238"/>
    <w:pPr>
      <w:numPr>
        <w:ilvl w:val="4"/>
      </w:numPr>
      <w:tabs>
        <w:tab w:val="clear" w:pos="357"/>
      </w:tabs>
      <w:ind w:left="3600" w:hanging="360"/>
    </w:pPr>
  </w:style>
  <w:style w:type="paragraph" w:customStyle="1" w:styleId="AERnumberedlist2second">
    <w:name w:val="AER numbered list 2 second"/>
    <w:basedOn w:val="AERnumberedlist2first"/>
    <w:uiPriority w:val="99"/>
    <w:rsid w:val="00914238"/>
    <w:pPr>
      <w:numPr>
        <w:ilvl w:val="5"/>
      </w:numPr>
      <w:tabs>
        <w:tab w:val="clear" w:pos="720"/>
      </w:tabs>
      <w:ind w:left="4320" w:hanging="360"/>
    </w:pPr>
  </w:style>
  <w:style w:type="paragraph" w:customStyle="1" w:styleId="AERnumberedlist2third">
    <w:name w:val="AER numbered list 2 third"/>
    <w:basedOn w:val="AERnumberedlist2second"/>
    <w:uiPriority w:val="99"/>
    <w:rsid w:val="00914238"/>
    <w:pPr>
      <w:numPr>
        <w:ilvl w:val="6"/>
      </w:numPr>
      <w:tabs>
        <w:tab w:val="clear" w:pos="1077"/>
      </w:tabs>
      <w:ind w:left="5040" w:hanging="360"/>
    </w:pPr>
  </w:style>
  <w:style w:type="character" w:customStyle="1" w:styleId="AERbodytextChar">
    <w:name w:val="AER body text Char"/>
    <w:basedOn w:val="DefaultParagraphFont"/>
    <w:link w:val="AERbodytext"/>
    <w:uiPriority w:val="99"/>
    <w:locked/>
    <w:rsid w:val="00914238"/>
    <w:rPr>
      <w:rFonts w:ascii="Gautami" w:hAnsi="Gautami" w:cs="Times New Roman"/>
      <w:sz w:val="24"/>
      <w:szCs w:val="24"/>
      <w:lang w:val="en-AU" w:eastAsia="en-US" w:bidi="ar-SA"/>
    </w:rPr>
  </w:style>
  <w:style w:type="character" w:customStyle="1" w:styleId="AERtextitalic">
    <w:name w:val="AER text italic"/>
    <w:uiPriority w:val="99"/>
    <w:rsid w:val="005A2136"/>
    <w:rPr>
      <w:i/>
    </w:rPr>
  </w:style>
  <w:style w:type="paragraph" w:customStyle="1" w:styleId="AERquote">
    <w:name w:val="AER quote"/>
    <w:next w:val="AERbodytext"/>
    <w:uiPriority w:val="99"/>
    <w:rsid w:val="00545768"/>
    <w:pPr>
      <w:tabs>
        <w:tab w:val="num" w:pos="709"/>
      </w:tabs>
      <w:spacing w:after="160" w:line="288" w:lineRule="auto"/>
      <w:ind w:left="709" w:right="720"/>
      <w:jc w:val="both"/>
    </w:pPr>
    <w:rPr>
      <w:rFonts w:ascii="Gautami" w:eastAsia="Times New Roman" w:hAnsi="Gautami"/>
      <w:color w:val="000000"/>
      <w:sz w:val="16"/>
      <w:szCs w:val="24"/>
      <w:lang w:eastAsia="en-US"/>
    </w:rPr>
  </w:style>
  <w:style w:type="numbering" w:customStyle="1" w:styleId="AERnumberedlist">
    <w:name w:val="AER numbered list"/>
    <w:rsid w:val="00913FAE"/>
    <w:pPr>
      <w:numPr>
        <w:numId w:val="11"/>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footer" Target="footer5.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4.xml"/><Relationship Id="rId2" Type="http://schemas.openxmlformats.org/officeDocument/2006/relationships/styles" Target="styles.xml"/><Relationship Id="rId16" Type="http://schemas.openxmlformats.org/officeDocument/2006/relationships/header" Target="header4.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www.advocacypanel.com.au" TargetMode="External"/><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5771</Words>
  <Characters>33432</Characters>
  <Application>Microsoft Office Word</Application>
  <DocSecurity>0</DocSecurity>
  <Lines>278</Lines>
  <Paragraphs>78</Paragraphs>
  <ScaleCrop>false</ScaleCrop>
  <HeadingPairs>
    <vt:vector size="4" baseType="variant">
      <vt:variant>
        <vt:lpstr>Title</vt:lpstr>
      </vt:variant>
      <vt:variant>
        <vt:i4>1</vt:i4>
      </vt:variant>
      <vt:variant>
        <vt:lpstr>Headings</vt:lpstr>
      </vt:variant>
      <vt:variant>
        <vt:i4>30</vt:i4>
      </vt:variant>
    </vt:vector>
  </HeadingPairs>
  <TitlesOfParts>
    <vt:vector size="31" baseType="lpstr">
      <vt:lpstr> </vt:lpstr>
      <vt:lpstr/>
      <vt:lpstr/>
      <vt:lpstr>Introduction</vt:lpstr>
      <vt:lpstr>    About COSBOA and Energy Regulation</vt:lpstr>
      <vt:lpstr>    COSBOA’s Involvement in the AER’s Better Regulation Program</vt:lpstr>
      <vt:lpstr>    Structure of This Submission</vt:lpstr>
      <vt:lpstr>Need for Consumer Engagement by Network Service Providers</vt:lpstr>
      <vt:lpstr>    Benefits of Consumer Engagement &amp; Need for a Guideline</vt:lpstr>
      <vt:lpstr>        Benefits of Consumer Engagement</vt:lpstr>
      <vt:lpstr>        The ‘Monopoly Problem’ in Engagement and Need for a Guideline</vt:lpstr>
      <vt:lpstr>    Engagement with Small Business</vt:lpstr>
      <vt:lpstr>    What Is Effective Engagement?</vt:lpstr>
      <vt:lpstr>Comments on Draft Guideline</vt:lpstr>
      <vt:lpstr>    Nature &amp; Authority</vt:lpstr>
      <vt:lpstr>    Best Practice Principles</vt:lpstr>
      <vt:lpstr>        Accessibility</vt:lpstr>
      <vt:lpstr>        Transparent</vt:lpstr>
      <vt:lpstr>        Communication</vt:lpstr>
      <vt:lpstr>        Inclusive</vt:lpstr>
      <vt:lpstr>        Measurable</vt:lpstr>
      <vt:lpstr>    Prioritising Engagement</vt:lpstr>
      <vt:lpstr>    Delivery</vt:lpstr>
      <vt:lpstr>    Results</vt:lpstr>
      <vt:lpstr>    Evaluation and Review</vt:lpstr>
      <vt:lpstr>    Expectations</vt:lpstr>
      <vt:lpstr>    Need for More Guidance?</vt:lpstr>
      <vt:lpstr>    Agreement between NSPs and Consumers</vt:lpstr>
      <vt:lpstr>Engagement by the AER with Consumers</vt:lpstr>
      <vt:lpstr>    </vt:lpstr>
      <vt:lpstr>ATTACHMENT: List of COASBOA Members</vt:lpstr>
    </vt:vector>
  </TitlesOfParts>
  <Company/>
  <LinksUpToDate>false</LinksUpToDate>
  <CharactersWithSpaces>39125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Roman Domanski</dc:creator>
  <cp:keywords/>
  <dc:description/>
  <cp:lastModifiedBy>rlowi</cp:lastModifiedBy>
  <cp:revision>2</cp:revision>
  <cp:lastPrinted>2013-08-15T07:51:00Z</cp:lastPrinted>
  <dcterms:created xsi:type="dcterms:W3CDTF">2013-09-23T02:24:00Z</dcterms:created>
  <dcterms:modified xsi:type="dcterms:W3CDTF">2013-09-23T02:24:00Z</dcterms:modified>
</cp:coreProperties>
</file>