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D1B" w:rsidRPr="00BB6F87" w:rsidRDefault="005C0D1B">
      <w:pPr>
        <w:rPr>
          <w:rFonts w:ascii="Arial" w:hAnsi="Arial" w:cs="Arial"/>
          <w:sz w:val="24"/>
          <w:szCs w:val="24"/>
        </w:rPr>
      </w:pPr>
    </w:p>
    <w:p w:rsidR="000F725B" w:rsidRDefault="00C60FD7" w:rsidP="000F725B">
      <w:pPr>
        <w:tabs>
          <w:tab w:val="left" w:pos="-284"/>
        </w:tabs>
        <w:ind w:left="-284"/>
        <w:rPr>
          <w:rFonts w:asciiTheme="minorHAnsi" w:hAnsiTheme="minorHAnsi" w:cstheme="minorHAnsi"/>
          <w:sz w:val="24"/>
          <w:szCs w:val="24"/>
        </w:rPr>
      </w:pPr>
      <w:r>
        <w:rPr>
          <w:rFonts w:asciiTheme="minorHAnsi" w:hAnsiTheme="minorHAnsi" w:cstheme="minorHAnsi"/>
          <w:sz w:val="24"/>
          <w:szCs w:val="24"/>
        </w:rPr>
        <w:t>14 July 2017</w:t>
      </w:r>
    </w:p>
    <w:p w:rsidR="000F725B" w:rsidRDefault="000F725B" w:rsidP="000F725B">
      <w:pPr>
        <w:tabs>
          <w:tab w:val="left" w:pos="-284"/>
        </w:tabs>
        <w:ind w:left="-284"/>
        <w:rPr>
          <w:rFonts w:asciiTheme="minorHAnsi" w:hAnsiTheme="minorHAnsi" w:cstheme="minorHAnsi"/>
          <w:sz w:val="24"/>
          <w:szCs w:val="24"/>
        </w:rPr>
      </w:pPr>
    </w:p>
    <w:p w:rsidR="00E64EC5" w:rsidRDefault="00E64EC5" w:rsidP="000F725B">
      <w:pPr>
        <w:tabs>
          <w:tab w:val="left" w:pos="-284"/>
        </w:tabs>
        <w:ind w:left="-284"/>
        <w:rPr>
          <w:rFonts w:asciiTheme="minorHAnsi" w:hAnsiTheme="minorHAnsi" w:cstheme="minorHAnsi"/>
          <w:sz w:val="24"/>
          <w:szCs w:val="24"/>
        </w:rPr>
      </w:pPr>
      <w:r>
        <w:rPr>
          <w:rFonts w:asciiTheme="minorHAnsi" w:hAnsiTheme="minorHAnsi" w:cstheme="minorHAnsi"/>
          <w:sz w:val="24"/>
          <w:szCs w:val="24"/>
        </w:rPr>
        <w:t>Ms Sarah Proudfoot</w:t>
      </w:r>
    </w:p>
    <w:p w:rsidR="00E64EC5" w:rsidRDefault="00E64EC5" w:rsidP="000F725B">
      <w:pPr>
        <w:tabs>
          <w:tab w:val="left" w:pos="-284"/>
        </w:tabs>
        <w:ind w:left="-284"/>
        <w:rPr>
          <w:rFonts w:asciiTheme="minorHAnsi" w:hAnsiTheme="minorHAnsi" w:cstheme="minorHAnsi"/>
          <w:sz w:val="24"/>
          <w:szCs w:val="24"/>
        </w:rPr>
      </w:pPr>
      <w:r>
        <w:rPr>
          <w:rFonts w:asciiTheme="minorHAnsi" w:hAnsiTheme="minorHAnsi" w:cstheme="minorHAnsi"/>
          <w:sz w:val="24"/>
          <w:szCs w:val="24"/>
        </w:rPr>
        <w:t>General Manager</w:t>
      </w:r>
    </w:p>
    <w:p w:rsidR="00E64EC5" w:rsidRDefault="00E64EC5" w:rsidP="000F725B">
      <w:pPr>
        <w:tabs>
          <w:tab w:val="left" w:pos="-284"/>
        </w:tabs>
        <w:ind w:left="-284"/>
        <w:rPr>
          <w:rFonts w:asciiTheme="minorHAnsi" w:hAnsiTheme="minorHAnsi" w:cstheme="minorHAnsi"/>
          <w:sz w:val="24"/>
          <w:szCs w:val="24"/>
        </w:rPr>
      </w:pPr>
      <w:r>
        <w:rPr>
          <w:rFonts w:asciiTheme="minorHAnsi" w:hAnsiTheme="minorHAnsi" w:cstheme="minorHAnsi"/>
          <w:sz w:val="24"/>
          <w:szCs w:val="24"/>
        </w:rPr>
        <w:t>Retail Markets Branch</w:t>
      </w:r>
    </w:p>
    <w:p w:rsidR="00E64EC5" w:rsidRDefault="00E64EC5" w:rsidP="000F725B">
      <w:pPr>
        <w:tabs>
          <w:tab w:val="left" w:pos="-284"/>
        </w:tabs>
        <w:ind w:left="-284"/>
        <w:rPr>
          <w:rFonts w:asciiTheme="minorHAnsi" w:hAnsiTheme="minorHAnsi" w:cstheme="minorHAnsi"/>
          <w:sz w:val="24"/>
          <w:szCs w:val="24"/>
        </w:rPr>
      </w:pPr>
      <w:r>
        <w:rPr>
          <w:rFonts w:asciiTheme="minorHAnsi" w:hAnsiTheme="minorHAnsi" w:cstheme="minorHAnsi"/>
          <w:sz w:val="24"/>
          <w:szCs w:val="24"/>
        </w:rPr>
        <w:t>Australian Energy Regulator</w:t>
      </w:r>
      <w:bookmarkStart w:id="0" w:name="_GoBack"/>
      <w:bookmarkEnd w:id="0"/>
    </w:p>
    <w:p w:rsidR="00E64EC5" w:rsidRDefault="00E64EC5" w:rsidP="000F725B">
      <w:pPr>
        <w:tabs>
          <w:tab w:val="left" w:pos="-284"/>
        </w:tabs>
        <w:ind w:left="-284"/>
        <w:rPr>
          <w:rFonts w:asciiTheme="minorHAnsi" w:hAnsiTheme="minorHAnsi" w:cstheme="minorHAnsi"/>
          <w:sz w:val="24"/>
          <w:szCs w:val="24"/>
        </w:rPr>
      </w:pPr>
    </w:p>
    <w:p w:rsidR="00774663" w:rsidRDefault="00E64EC5" w:rsidP="00E64EC5">
      <w:pPr>
        <w:tabs>
          <w:tab w:val="left" w:pos="-284"/>
        </w:tabs>
        <w:ind w:left="-284"/>
        <w:rPr>
          <w:rFonts w:asciiTheme="minorHAnsi" w:hAnsiTheme="minorHAnsi" w:cstheme="minorHAnsi"/>
          <w:sz w:val="24"/>
          <w:szCs w:val="24"/>
        </w:rPr>
      </w:pPr>
      <w:hyperlink r:id="rId7" w:history="1">
        <w:r w:rsidRPr="00232907">
          <w:rPr>
            <w:rStyle w:val="Hyperlink"/>
            <w:rFonts w:asciiTheme="minorHAnsi" w:hAnsiTheme="minorHAnsi" w:cstheme="minorHAnsi"/>
            <w:sz w:val="24"/>
            <w:szCs w:val="24"/>
          </w:rPr>
          <w:t>AERInquiry@aer.gov.au</w:t>
        </w:r>
      </w:hyperlink>
      <w:r>
        <w:rPr>
          <w:rFonts w:asciiTheme="minorHAnsi" w:hAnsiTheme="minorHAnsi" w:cstheme="minorHAnsi"/>
          <w:sz w:val="24"/>
          <w:szCs w:val="24"/>
        </w:rPr>
        <w:t xml:space="preserve"> </w:t>
      </w:r>
    </w:p>
    <w:p w:rsidR="00C60FD7" w:rsidRDefault="00C60FD7" w:rsidP="000F725B">
      <w:pPr>
        <w:tabs>
          <w:tab w:val="left" w:pos="-284"/>
        </w:tabs>
        <w:ind w:left="-284"/>
        <w:rPr>
          <w:rFonts w:asciiTheme="minorHAnsi" w:hAnsiTheme="minorHAnsi" w:cstheme="minorHAnsi"/>
          <w:sz w:val="24"/>
          <w:szCs w:val="24"/>
        </w:rPr>
      </w:pPr>
    </w:p>
    <w:p w:rsidR="00BB6F87" w:rsidRPr="000F725B" w:rsidRDefault="00BB6F87" w:rsidP="000F725B">
      <w:pPr>
        <w:tabs>
          <w:tab w:val="left" w:pos="-284"/>
        </w:tabs>
        <w:ind w:left="-284"/>
        <w:rPr>
          <w:rFonts w:asciiTheme="minorHAnsi" w:hAnsiTheme="minorHAnsi" w:cstheme="minorHAnsi"/>
          <w:sz w:val="24"/>
          <w:szCs w:val="24"/>
        </w:rPr>
      </w:pPr>
      <w:r w:rsidRPr="000F725B">
        <w:rPr>
          <w:rFonts w:asciiTheme="minorHAnsi" w:hAnsiTheme="minorHAnsi" w:cstheme="minorHAnsi"/>
          <w:sz w:val="24"/>
          <w:szCs w:val="24"/>
        </w:rPr>
        <w:t xml:space="preserve">Dear </w:t>
      </w:r>
      <w:r w:rsidR="00E64EC5">
        <w:rPr>
          <w:rFonts w:asciiTheme="minorHAnsi" w:hAnsiTheme="minorHAnsi" w:cstheme="minorHAnsi"/>
          <w:sz w:val="24"/>
          <w:szCs w:val="24"/>
        </w:rPr>
        <w:t>Ms Proudfoot</w:t>
      </w:r>
    </w:p>
    <w:p w:rsidR="00BB6F87" w:rsidRPr="000F725B" w:rsidRDefault="00BB6F87" w:rsidP="000F725B">
      <w:pPr>
        <w:shd w:val="clear" w:color="auto" w:fill="FFFFFF"/>
        <w:tabs>
          <w:tab w:val="left" w:pos="-284"/>
        </w:tabs>
        <w:spacing w:before="100" w:beforeAutospacing="1" w:after="100" w:afterAutospacing="1"/>
        <w:ind w:left="-284"/>
        <w:jc w:val="both"/>
        <w:rPr>
          <w:rFonts w:asciiTheme="minorHAnsi" w:hAnsiTheme="minorHAnsi" w:cstheme="minorHAnsi"/>
          <w:color w:val="000000"/>
          <w:sz w:val="24"/>
          <w:szCs w:val="24"/>
        </w:rPr>
      </w:pPr>
      <w:r w:rsidRPr="000F725B">
        <w:rPr>
          <w:rFonts w:asciiTheme="minorHAnsi" w:hAnsiTheme="minorHAnsi" w:cstheme="minorHAnsi"/>
          <w:color w:val="000000"/>
          <w:sz w:val="24"/>
          <w:szCs w:val="24"/>
        </w:rPr>
        <w:t xml:space="preserve">Thank you for the opportunity to provide a brief comment to the AER consultation process on access to dispute resolution services for exempt </w:t>
      </w:r>
      <w:r w:rsidR="00001243" w:rsidRPr="000F725B">
        <w:rPr>
          <w:rFonts w:asciiTheme="minorHAnsi" w:hAnsiTheme="minorHAnsi" w:cstheme="minorHAnsi"/>
          <w:color w:val="000000"/>
          <w:sz w:val="24"/>
          <w:szCs w:val="24"/>
        </w:rPr>
        <w:t>customers</w:t>
      </w:r>
      <w:r w:rsidR="00CF607F" w:rsidRPr="000F725B">
        <w:rPr>
          <w:rFonts w:asciiTheme="minorHAnsi" w:hAnsiTheme="minorHAnsi" w:cstheme="minorHAnsi"/>
          <w:color w:val="000000"/>
          <w:sz w:val="24"/>
          <w:szCs w:val="24"/>
        </w:rPr>
        <w:t xml:space="preserve"> under the National Energy Law (Retail Law)</w:t>
      </w:r>
      <w:r w:rsidRPr="000F725B">
        <w:rPr>
          <w:rFonts w:asciiTheme="minorHAnsi" w:hAnsiTheme="minorHAnsi" w:cstheme="minorHAnsi"/>
          <w:color w:val="000000"/>
          <w:sz w:val="24"/>
          <w:szCs w:val="24"/>
        </w:rPr>
        <w:t>.</w:t>
      </w:r>
    </w:p>
    <w:p w:rsidR="00BB6F87" w:rsidRPr="000F725B" w:rsidRDefault="00BB6F87" w:rsidP="000F725B">
      <w:pPr>
        <w:shd w:val="clear" w:color="auto" w:fill="FFFFFF"/>
        <w:tabs>
          <w:tab w:val="left" w:pos="-284"/>
        </w:tabs>
        <w:spacing w:before="100" w:beforeAutospacing="1" w:after="100" w:afterAutospacing="1"/>
        <w:ind w:left="-284"/>
        <w:jc w:val="both"/>
        <w:rPr>
          <w:rFonts w:asciiTheme="minorHAnsi" w:hAnsiTheme="minorHAnsi" w:cstheme="minorHAnsi"/>
          <w:color w:val="000000"/>
          <w:sz w:val="24"/>
          <w:szCs w:val="24"/>
        </w:rPr>
      </w:pPr>
      <w:r w:rsidRPr="000F725B">
        <w:rPr>
          <w:rFonts w:asciiTheme="minorHAnsi" w:hAnsiTheme="minorHAnsi" w:cstheme="minorHAnsi"/>
          <w:color w:val="000000"/>
          <w:sz w:val="24"/>
          <w:szCs w:val="24"/>
        </w:rPr>
        <w:t xml:space="preserve">COTA Australia is the national consumer peak body for older Australians.  Its members are the eight State and Territory COTAs (Councils on the Ageing), which have around 30,000 individual members and more than 1,000 seniors’ organisation members, jointly representing over 500,000 older Australians.  We are represented on the AER Customer Consultative </w:t>
      </w:r>
      <w:r w:rsidR="002E0A27" w:rsidRPr="000F725B">
        <w:rPr>
          <w:rFonts w:asciiTheme="minorHAnsi" w:hAnsiTheme="minorHAnsi" w:cstheme="minorHAnsi"/>
          <w:color w:val="000000"/>
          <w:sz w:val="24"/>
          <w:szCs w:val="24"/>
        </w:rPr>
        <w:t>Group</w:t>
      </w:r>
      <w:r w:rsidRPr="000F725B">
        <w:rPr>
          <w:rFonts w:asciiTheme="minorHAnsi" w:hAnsiTheme="minorHAnsi" w:cstheme="minorHAnsi"/>
          <w:color w:val="000000"/>
          <w:sz w:val="24"/>
          <w:szCs w:val="24"/>
        </w:rPr>
        <w:t xml:space="preserve"> by Robyn Robinson</w:t>
      </w:r>
      <w:r w:rsidR="002E0A27" w:rsidRPr="000F725B">
        <w:rPr>
          <w:rFonts w:asciiTheme="minorHAnsi" w:hAnsiTheme="minorHAnsi" w:cstheme="minorHAnsi"/>
          <w:color w:val="000000"/>
          <w:sz w:val="24"/>
          <w:szCs w:val="24"/>
        </w:rPr>
        <w:t>,</w:t>
      </w:r>
      <w:r w:rsidRPr="000F725B">
        <w:rPr>
          <w:rFonts w:asciiTheme="minorHAnsi" w:hAnsiTheme="minorHAnsi" w:cstheme="minorHAnsi"/>
          <w:color w:val="000000"/>
          <w:sz w:val="24"/>
          <w:szCs w:val="24"/>
        </w:rPr>
        <w:t xml:space="preserve"> and energy issues are an important and growing concern for our constituency of older Australians.</w:t>
      </w:r>
    </w:p>
    <w:p w:rsidR="002E0A27" w:rsidRPr="000F725B" w:rsidRDefault="00E42A1D" w:rsidP="000F725B">
      <w:pPr>
        <w:tabs>
          <w:tab w:val="left" w:pos="-284"/>
        </w:tabs>
        <w:ind w:left="-284"/>
        <w:rPr>
          <w:rFonts w:asciiTheme="minorHAnsi" w:hAnsiTheme="minorHAnsi" w:cstheme="minorHAnsi"/>
          <w:sz w:val="24"/>
          <w:szCs w:val="24"/>
        </w:rPr>
      </w:pPr>
      <w:r w:rsidRPr="000F725B">
        <w:rPr>
          <w:rFonts w:asciiTheme="minorHAnsi" w:hAnsiTheme="minorHAnsi" w:cstheme="minorHAnsi"/>
          <w:color w:val="000000"/>
          <w:sz w:val="24"/>
          <w:szCs w:val="24"/>
        </w:rPr>
        <w:t xml:space="preserve">Ms Robinson has often provided the CCG and AER officers more broadly with input on embedded networks and older consumers, so you will be aware of the range of issues of concern to COTA.  </w:t>
      </w:r>
      <w:r w:rsidR="00BB6F87" w:rsidRPr="000F725B">
        <w:rPr>
          <w:rFonts w:asciiTheme="minorHAnsi" w:hAnsiTheme="minorHAnsi" w:cstheme="minorHAnsi"/>
          <w:color w:val="000000"/>
          <w:sz w:val="24"/>
          <w:szCs w:val="24"/>
        </w:rPr>
        <w:t xml:space="preserve">In this brief contribution </w:t>
      </w:r>
      <w:r w:rsidR="00BB6F87" w:rsidRPr="000F725B">
        <w:rPr>
          <w:rFonts w:asciiTheme="minorHAnsi" w:hAnsiTheme="minorHAnsi" w:cstheme="minorHAnsi"/>
          <w:sz w:val="24"/>
          <w:szCs w:val="24"/>
        </w:rPr>
        <w:t>we will concentrate our comments on residential consumers</w:t>
      </w:r>
      <w:r w:rsidR="002E0A27" w:rsidRPr="000F725B">
        <w:rPr>
          <w:rFonts w:asciiTheme="minorHAnsi" w:hAnsiTheme="minorHAnsi" w:cstheme="minorHAnsi"/>
          <w:sz w:val="24"/>
          <w:szCs w:val="24"/>
        </w:rPr>
        <w:t xml:space="preserve"> only</w:t>
      </w:r>
      <w:r w:rsidR="00BB6F87" w:rsidRPr="000F725B">
        <w:rPr>
          <w:rFonts w:asciiTheme="minorHAnsi" w:hAnsiTheme="minorHAnsi" w:cstheme="minorHAnsi"/>
          <w:sz w:val="24"/>
          <w:szCs w:val="24"/>
        </w:rPr>
        <w:t xml:space="preserve">.  </w:t>
      </w:r>
    </w:p>
    <w:p w:rsidR="002E0A27" w:rsidRPr="000F725B" w:rsidRDefault="002E0A27" w:rsidP="000F725B">
      <w:pPr>
        <w:tabs>
          <w:tab w:val="left" w:pos="-284"/>
        </w:tabs>
        <w:ind w:left="-284"/>
        <w:rPr>
          <w:rFonts w:asciiTheme="minorHAnsi" w:hAnsiTheme="minorHAnsi" w:cstheme="minorHAnsi"/>
          <w:sz w:val="24"/>
          <w:szCs w:val="24"/>
        </w:rPr>
      </w:pPr>
    </w:p>
    <w:p w:rsidR="002E0A27" w:rsidRPr="000F725B" w:rsidRDefault="00BB6F87" w:rsidP="000F725B">
      <w:pPr>
        <w:tabs>
          <w:tab w:val="left" w:pos="-284"/>
        </w:tabs>
        <w:spacing w:after="120"/>
        <w:ind w:left="-284"/>
        <w:rPr>
          <w:rFonts w:asciiTheme="minorHAnsi" w:hAnsiTheme="minorHAnsi" w:cstheme="minorHAnsi"/>
          <w:sz w:val="24"/>
          <w:szCs w:val="24"/>
        </w:rPr>
      </w:pPr>
      <w:r w:rsidRPr="000F725B">
        <w:rPr>
          <w:rFonts w:asciiTheme="minorHAnsi" w:hAnsiTheme="minorHAnsi" w:cstheme="minorHAnsi"/>
          <w:sz w:val="24"/>
          <w:szCs w:val="24"/>
        </w:rPr>
        <w:t xml:space="preserve">COTA </w:t>
      </w:r>
      <w:r w:rsidR="00E42A1D" w:rsidRPr="000F725B">
        <w:rPr>
          <w:rFonts w:asciiTheme="minorHAnsi" w:hAnsiTheme="minorHAnsi" w:cstheme="minorHAnsi"/>
          <w:sz w:val="24"/>
          <w:szCs w:val="24"/>
        </w:rPr>
        <w:t>is</w:t>
      </w:r>
      <w:r w:rsidRPr="000F725B">
        <w:rPr>
          <w:rFonts w:asciiTheme="minorHAnsi" w:hAnsiTheme="minorHAnsi" w:cstheme="minorHAnsi"/>
          <w:sz w:val="24"/>
          <w:szCs w:val="24"/>
        </w:rPr>
        <w:t xml:space="preserve"> very concerned about the treatment of </w:t>
      </w:r>
      <w:r w:rsidR="00E42A1D" w:rsidRPr="000F725B">
        <w:rPr>
          <w:rFonts w:asciiTheme="minorHAnsi" w:hAnsiTheme="minorHAnsi" w:cstheme="minorHAnsi"/>
          <w:sz w:val="24"/>
          <w:szCs w:val="24"/>
        </w:rPr>
        <w:t>some</w:t>
      </w:r>
      <w:r w:rsidRPr="000F725B">
        <w:rPr>
          <w:rFonts w:asciiTheme="minorHAnsi" w:hAnsiTheme="minorHAnsi" w:cstheme="minorHAnsi"/>
          <w:sz w:val="24"/>
          <w:szCs w:val="24"/>
        </w:rPr>
        <w:t xml:space="preserve"> older consumers in embedded energy networks and t</w:t>
      </w:r>
      <w:r w:rsidR="002E0A27" w:rsidRPr="000F725B">
        <w:rPr>
          <w:rFonts w:asciiTheme="minorHAnsi" w:hAnsiTheme="minorHAnsi" w:cstheme="minorHAnsi"/>
          <w:sz w:val="24"/>
          <w:szCs w:val="24"/>
        </w:rPr>
        <w:t xml:space="preserve">he absence of recourse </w:t>
      </w:r>
      <w:r w:rsidR="00E42A1D" w:rsidRPr="000F725B">
        <w:rPr>
          <w:rFonts w:asciiTheme="minorHAnsi" w:hAnsiTheme="minorHAnsi" w:cstheme="minorHAnsi"/>
          <w:sz w:val="24"/>
          <w:szCs w:val="24"/>
        </w:rPr>
        <w:t>by</w:t>
      </w:r>
      <w:r w:rsidR="002E0A27" w:rsidRPr="000F725B">
        <w:rPr>
          <w:rFonts w:asciiTheme="minorHAnsi" w:hAnsiTheme="minorHAnsi" w:cstheme="minorHAnsi"/>
          <w:sz w:val="24"/>
          <w:szCs w:val="24"/>
        </w:rPr>
        <w:t xml:space="preserve"> them to the Energy Ombudsman.  Our main theme in this contribution to your consultation process is that: </w:t>
      </w:r>
    </w:p>
    <w:p w:rsidR="00E42A1D" w:rsidRPr="000F725B" w:rsidRDefault="002E0A27" w:rsidP="000F725B">
      <w:pPr>
        <w:pStyle w:val="ListParagraph"/>
        <w:numPr>
          <w:ilvl w:val="0"/>
          <w:numId w:val="2"/>
        </w:numPr>
        <w:tabs>
          <w:tab w:val="left" w:pos="-284"/>
        </w:tabs>
        <w:spacing w:after="120"/>
        <w:ind w:left="426" w:hanging="426"/>
        <w:contextualSpacing w:val="0"/>
        <w:rPr>
          <w:rFonts w:asciiTheme="minorHAnsi" w:hAnsiTheme="minorHAnsi" w:cstheme="minorHAnsi"/>
          <w:sz w:val="24"/>
          <w:szCs w:val="24"/>
        </w:rPr>
      </w:pPr>
      <w:r w:rsidRPr="000F725B">
        <w:rPr>
          <w:rFonts w:asciiTheme="minorHAnsi" w:hAnsiTheme="minorHAnsi" w:cstheme="minorHAnsi"/>
          <w:sz w:val="24"/>
          <w:szCs w:val="24"/>
        </w:rPr>
        <w:t xml:space="preserve">older people are likely to represent a significant proportion of those accessing energy via embedded networks (in Retirement Villages, Manufactured Home Parks and, following downsizing, apartment and unit complexes); </w:t>
      </w:r>
    </w:p>
    <w:p w:rsidR="00CF607F" w:rsidRPr="000F725B" w:rsidRDefault="00E42A1D" w:rsidP="000F725B">
      <w:pPr>
        <w:pStyle w:val="ListParagraph"/>
        <w:numPr>
          <w:ilvl w:val="0"/>
          <w:numId w:val="2"/>
        </w:numPr>
        <w:tabs>
          <w:tab w:val="left" w:pos="-284"/>
        </w:tabs>
        <w:spacing w:after="120"/>
        <w:ind w:left="426" w:hanging="426"/>
        <w:contextualSpacing w:val="0"/>
        <w:rPr>
          <w:rFonts w:asciiTheme="minorHAnsi" w:hAnsiTheme="minorHAnsi" w:cstheme="minorHAnsi"/>
          <w:sz w:val="24"/>
          <w:szCs w:val="24"/>
        </w:rPr>
      </w:pPr>
      <w:r w:rsidRPr="000F725B">
        <w:rPr>
          <w:rFonts w:asciiTheme="minorHAnsi" w:hAnsiTheme="minorHAnsi" w:cstheme="minorHAnsi"/>
          <w:sz w:val="24"/>
          <w:szCs w:val="24"/>
        </w:rPr>
        <w:t>some of the stories we have heard about misconduct by some managers of embedded networks in regard to older con</w:t>
      </w:r>
      <w:r w:rsidR="00CF607F" w:rsidRPr="000F725B">
        <w:rPr>
          <w:rFonts w:asciiTheme="minorHAnsi" w:hAnsiTheme="minorHAnsi" w:cstheme="minorHAnsi"/>
          <w:sz w:val="24"/>
          <w:szCs w:val="24"/>
        </w:rPr>
        <w:t xml:space="preserve">sumers are extreme, </w:t>
      </w:r>
      <w:r w:rsidRPr="000F725B">
        <w:rPr>
          <w:rFonts w:asciiTheme="minorHAnsi" w:hAnsiTheme="minorHAnsi" w:cstheme="minorHAnsi"/>
          <w:sz w:val="24"/>
          <w:szCs w:val="24"/>
        </w:rPr>
        <w:t>deeply concerning</w:t>
      </w:r>
      <w:r w:rsidR="00CF607F" w:rsidRPr="000F725B">
        <w:rPr>
          <w:rFonts w:asciiTheme="minorHAnsi" w:hAnsiTheme="minorHAnsi" w:cstheme="minorHAnsi"/>
          <w:sz w:val="24"/>
          <w:szCs w:val="24"/>
        </w:rPr>
        <w:t xml:space="preserve"> and almost equating to elder abuse or </w:t>
      </w:r>
      <w:r w:rsidR="00625D59" w:rsidRPr="000F725B">
        <w:rPr>
          <w:rFonts w:asciiTheme="minorHAnsi" w:hAnsiTheme="minorHAnsi" w:cstheme="minorHAnsi"/>
          <w:sz w:val="24"/>
          <w:szCs w:val="24"/>
        </w:rPr>
        <w:t xml:space="preserve">possibly </w:t>
      </w:r>
      <w:r w:rsidR="00CF607F" w:rsidRPr="000F725B">
        <w:rPr>
          <w:rFonts w:asciiTheme="minorHAnsi" w:hAnsiTheme="minorHAnsi" w:cstheme="minorHAnsi"/>
          <w:sz w:val="24"/>
          <w:szCs w:val="24"/>
        </w:rPr>
        <w:t>illegal behaviour</w:t>
      </w:r>
      <w:r w:rsidRPr="000F725B">
        <w:rPr>
          <w:rFonts w:asciiTheme="minorHAnsi" w:hAnsiTheme="minorHAnsi" w:cstheme="minorHAnsi"/>
          <w:sz w:val="24"/>
          <w:szCs w:val="24"/>
        </w:rPr>
        <w:t xml:space="preserve">; </w:t>
      </w:r>
    </w:p>
    <w:p w:rsidR="002E0A27" w:rsidRPr="000F725B" w:rsidRDefault="00CF607F" w:rsidP="000F725B">
      <w:pPr>
        <w:pStyle w:val="ListParagraph"/>
        <w:numPr>
          <w:ilvl w:val="0"/>
          <w:numId w:val="2"/>
        </w:numPr>
        <w:tabs>
          <w:tab w:val="left" w:pos="-284"/>
        </w:tabs>
        <w:spacing w:after="120"/>
        <w:ind w:left="426" w:hanging="426"/>
        <w:contextualSpacing w:val="0"/>
        <w:rPr>
          <w:rFonts w:asciiTheme="minorHAnsi" w:hAnsiTheme="minorHAnsi" w:cstheme="minorHAnsi"/>
          <w:sz w:val="24"/>
          <w:szCs w:val="24"/>
        </w:rPr>
      </w:pPr>
      <w:r w:rsidRPr="000F725B">
        <w:rPr>
          <w:rFonts w:asciiTheme="minorHAnsi" w:hAnsiTheme="minorHAnsi" w:cstheme="minorHAnsi"/>
          <w:sz w:val="24"/>
          <w:szCs w:val="24"/>
        </w:rPr>
        <w:t xml:space="preserve">we don't know the scale of this problem because residents either don't know where to complain, or they are too scared of the consequences for their ongoing tenure; </w:t>
      </w:r>
      <w:r w:rsidR="00E42A1D" w:rsidRPr="000F725B">
        <w:rPr>
          <w:rFonts w:asciiTheme="minorHAnsi" w:hAnsiTheme="minorHAnsi" w:cstheme="minorHAnsi"/>
          <w:sz w:val="24"/>
          <w:szCs w:val="24"/>
        </w:rPr>
        <w:t xml:space="preserve">and </w:t>
      </w:r>
    </w:p>
    <w:p w:rsidR="00BB6F87" w:rsidRPr="000F725B" w:rsidRDefault="002E0A27" w:rsidP="000F725B">
      <w:pPr>
        <w:pStyle w:val="ListParagraph"/>
        <w:numPr>
          <w:ilvl w:val="0"/>
          <w:numId w:val="2"/>
        </w:numPr>
        <w:tabs>
          <w:tab w:val="left" w:pos="-284"/>
        </w:tabs>
        <w:ind w:left="426" w:hanging="426"/>
        <w:rPr>
          <w:rFonts w:asciiTheme="minorHAnsi" w:hAnsiTheme="minorHAnsi" w:cstheme="minorHAnsi"/>
          <w:sz w:val="24"/>
          <w:szCs w:val="24"/>
        </w:rPr>
      </w:pPr>
      <w:r w:rsidRPr="000F725B">
        <w:rPr>
          <w:rFonts w:asciiTheme="minorHAnsi" w:hAnsiTheme="minorHAnsi" w:cstheme="minorHAnsi"/>
          <w:sz w:val="24"/>
          <w:szCs w:val="24"/>
        </w:rPr>
        <w:t xml:space="preserve">it is unacceptable </w:t>
      </w:r>
      <w:r w:rsidR="00E458B8" w:rsidRPr="000F725B">
        <w:rPr>
          <w:rFonts w:asciiTheme="minorHAnsi" w:hAnsiTheme="minorHAnsi" w:cstheme="minorHAnsi"/>
          <w:sz w:val="24"/>
          <w:szCs w:val="24"/>
        </w:rPr>
        <w:t xml:space="preserve">and discriminatory </w:t>
      </w:r>
      <w:r w:rsidRPr="000F725B">
        <w:rPr>
          <w:rFonts w:asciiTheme="minorHAnsi" w:hAnsiTheme="minorHAnsi" w:cstheme="minorHAnsi"/>
          <w:sz w:val="24"/>
          <w:szCs w:val="24"/>
        </w:rPr>
        <w:t xml:space="preserve">that consumers </w:t>
      </w:r>
      <w:r w:rsidR="00E42A1D" w:rsidRPr="000F725B">
        <w:rPr>
          <w:rFonts w:asciiTheme="minorHAnsi" w:hAnsiTheme="minorHAnsi" w:cstheme="minorHAnsi"/>
          <w:sz w:val="24"/>
          <w:szCs w:val="24"/>
        </w:rPr>
        <w:t>drawing on</w:t>
      </w:r>
      <w:r w:rsidRPr="000F725B">
        <w:rPr>
          <w:rFonts w:asciiTheme="minorHAnsi" w:hAnsiTheme="minorHAnsi" w:cstheme="minorHAnsi"/>
          <w:sz w:val="24"/>
          <w:szCs w:val="24"/>
        </w:rPr>
        <w:t xml:space="preserve"> embedded energy networks do not have the same recourse as other energy consumers to the main source of</w:t>
      </w:r>
      <w:r w:rsidR="00625D59" w:rsidRPr="000F725B">
        <w:rPr>
          <w:rFonts w:asciiTheme="minorHAnsi" w:hAnsiTheme="minorHAnsi" w:cstheme="minorHAnsi"/>
          <w:sz w:val="24"/>
          <w:szCs w:val="24"/>
        </w:rPr>
        <w:t xml:space="preserve"> reliable, free</w:t>
      </w:r>
      <w:r w:rsidRPr="000F725B">
        <w:rPr>
          <w:rFonts w:asciiTheme="minorHAnsi" w:hAnsiTheme="minorHAnsi" w:cstheme="minorHAnsi"/>
          <w:sz w:val="24"/>
          <w:szCs w:val="24"/>
        </w:rPr>
        <w:t xml:space="preserve"> </w:t>
      </w:r>
      <w:r w:rsidR="00E458B8" w:rsidRPr="000F725B">
        <w:rPr>
          <w:rFonts w:asciiTheme="minorHAnsi" w:hAnsiTheme="minorHAnsi" w:cstheme="minorHAnsi"/>
          <w:sz w:val="24"/>
          <w:szCs w:val="24"/>
        </w:rPr>
        <w:t>dispute resolution</w:t>
      </w:r>
      <w:r w:rsidR="00E42A1D" w:rsidRPr="000F725B">
        <w:rPr>
          <w:rFonts w:asciiTheme="minorHAnsi" w:hAnsiTheme="minorHAnsi" w:cstheme="minorHAnsi"/>
          <w:sz w:val="24"/>
          <w:szCs w:val="24"/>
        </w:rPr>
        <w:t xml:space="preserve"> through the dedicated energy ombudsman network</w:t>
      </w:r>
      <w:r w:rsidR="00E458B8" w:rsidRPr="000F725B">
        <w:rPr>
          <w:rFonts w:asciiTheme="minorHAnsi" w:hAnsiTheme="minorHAnsi" w:cstheme="minorHAnsi"/>
          <w:sz w:val="24"/>
          <w:szCs w:val="24"/>
        </w:rPr>
        <w:t xml:space="preserve">.  </w:t>
      </w:r>
    </w:p>
    <w:p w:rsidR="00E458B8" w:rsidRPr="000F725B" w:rsidRDefault="00E458B8" w:rsidP="000F725B">
      <w:pPr>
        <w:tabs>
          <w:tab w:val="left" w:pos="-284"/>
        </w:tabs>
        <w:ind w:left="426" w:hanging="426"/>
        <w:rPr>
          <w:rFonts w:asciiTheme="minorHAnsi" w:hAnsiTheme="minorHAnsi" w:cstheme="minorHAnsi"/>
          <w:sz w:val="24"/>
          <w:szCs w:val="24"/>
        </w:rPr>
      </w:pPr>
    </w:p>
    <w:p w:rsidR="00C60FD7" w:rsidRDefault="00C60FD7" w:rsidP="000F725B">
      <w:pPr>
        <w:tabs>
          <w:tab w:val="left" w:pos="-284"/>
        </w:tabs>
        <w:spacing w:after="120"/>
        <w:ind w:hanging="284"/>
        <w:rPr>
          <w:rFonts w:asciiTheme="minorHAnsi" w:hAnsiTheme="minorHAnsi" w:cstheme="minorHAnsi"/>
          <w:sz w:val="24"/>
          <w:szCs w:val="24"/>
        </w:rPr>
      </w:pPr>
    </w:p>
    <w:p w:rsidR="00E458B8" w:rsidRPr="000F725B" w:rsidRDefault="00E42A1D" w:rsidP="000F725B">
      <w:pPr>
        <w:tabs>
          <w:tab w:val="left" w:pos="-284"/>
        </w:tabs>
        <w:spacing w:after="120"/>
        <w:ind w:hanging="284"/>
        <w:rPr>
          <w:rFonts w:asciiTheme="minorHAnsi" w:hAnsiTheme="minorHAnsi" w:cstheme="minorHAnsi"/>
          <w:sz w:val="24"/>
          <w:szCs w:val="24"/>
        </w:rPr>
      </w:pPr>
      <w:r w:rsidRPr="000F725B">
        <w:rPr>
          <w:rFonts w:asciiTheme="minorHAnsi" w:hAnsiTheme="minorHAnsi" w:cstheme="minorHAnsi"/>
          <w:sz w:val="24"/>
          <w:szCs w:val="24"/>
        </w:rPr>
        <w:t xml:space="preserve">We </w:t>
      </w:r>
      <w:r w:rsidR="00E458B8" w:rsidRPr="000F725B">
        <w:rPr>
          <w:rFonts w:asciiTheme="minorHAnsi" w:hAnsiTheme="minorHAnsi" w:cstheme="minorHAnsi"/>
          <w:sz w:val="24"/>
          <w:szCs w:val="24"/>
        </w:rPr>
        <w:t xml:space="preserve">make the following comments in response to several of </w:t>
      </w:r>
      <w:r w:rsidR="00CF607F" w:rsidRPr="000F725B">
        <w:rPr>
          <w:rFonts w:asciiTheme="minorHAnsi" w:hAnsiTheme="minorHAnsi" w:cstheme="minorHAnsi"/>
          <w:sz w:val="24"/>
          <w:szCs w:val="24"/>
        </w:rPr>
        <w:t>the consultation questions:</w:t>
      </w:r>
    </w:p>
    <w:p w:rsidR="00E458B8" w:rsidRPr="000F725B" w:rsidRDefault="00E458B8" w:rsidP="000F725B">
      <w:pPr>
        <w:pStyle w:val="ListParagraph"/>
        <w:numPr>
          <w:ilvl w:val="0"/>
          <w:numId w:val="3"/>
        </w:numPr>
        <w:tabs>
          <w:tab w:val="left" w:pos="-284"/>
        </w:tabs>
        <w:spacing w:after="120"/>
        <w:ind w:left="426" w:hanging="426"/>
        <w:contextualSpacing w:val="0"/>
        <w:rPr>
          <w:rFonts w:asciiTheme="minorHAnsi" w:hAnsiTheme="minorHAnsi" w:cstheme="minorHAnsi"/>
          <w:sz w:val="24"/>
          <w:szCs w:val="24"/>
        </w:rPr>
      </w:pPr>
      <w:r w:rsidRPr="000F725B">
        <w:rPr>
          <w:rFonts w:asciiTheme="minorHAnsi" w:hAnsiTheme="minorHAnsi" w:cstheme="minorHAnsi"/>
          <w:sz w:val="24"/>
          <w:szCs w:val="24"/>
        </w:rPr>
        <w:t>Question 2</w:t>
      </w:r>
    </w:p>
    <w:p w:rsidR="00BB6F87" w:rsidRPr="000F725B" w:rsidRDefault="00E458B8" w:rsidP="000F725B">
      <w:pPr>
        <w:pStyle w:val="ListParagraph"/>
        <w:numPr>
          <w:ilvl w:val="1"/>
          <w:numId w:val="3"/>
        </w:numPr>
        <w:tabs>
          <w:tab w:val="left" w:pos="-284"/>
        </w:tabs>
        <w:spacing w:after="120"/>
        <w:ind w:left="720" w:hanging="294"/>
        <w:contextualSpacing w:val="0"/>
        <w:rPr>
          <w:rFonts w:asciiTheme="minorHAnsi" w:hAnsiTheme="minorHAnsi" w:cstheme="minorHAnsi"/>
          <w:sz w:val="24"/>
          <w:szCs w:val="24"/>
        </w:rPr>
      </w:pPr>
      <w:r w:rsidRPr="000F725B">
        <w:rPr>
          <w:rFonts w:asciiTheme="minorHAnsi" w:hAnsiTheme="minorHAnsi" w:cstheme="minorHAnsi"/>
          <w:sz w:val="24"/>
          <w:szCs w:val="24"/>
        </w:rPr>
        <w:t xml:space="preserve">COTA </w:t>
      </w:r>
      <w:r w:rsidR="00BB6F87" w:rsidRPr="000F725B">
        <w:rPr>
          <w:rFonts w:asciiTheme="minorHAnsi" w:hAnsiTheme="minorHAnsi" w:cstheme="minorHAnsi"/>
          <w:sz w:val="24"/>
          <w:szCs w:val="24"/>
        </w:rPr>
        <w:t>support</w:t>
      </w:r>
      <w:r w:rsidRPr="000F725B">
        <w:rPr>
          <w:rFonts w:asciiTheme="minorHAnsi" w:hAnsiTheme="minorHAnsi" w:cstheme="minorHAnsi"/>
          <w:sz w:val="24"/>
          <w:szCs w:val="24"/>
        </w:rPr>
        <w:t>s</w:t>
      </w:r>
      <w:r w:rsidR="00BB6F87" w:rsidRPr="000F725B">
        <w:rPr>
          <w:rFonts w:asciiTheme="minorHAnsi" w:hAnsiTheme="minorHAnsi" w:cstheme="minorHAnsi"/>
          <w:sz w:val="24"/>
          <w:szCs w:val="24"/>
        </w:rPr>
        <w:t xml:space="preserve"> alignment of the two guidelines where it results in clearer,</w:t>
      </w:r>
      <w:r w:rsidRPr="000F725B">
        <w:rPr>
          <w:rFonts w:asciiTheme="minorHAnsi" w:hAnsiTheme="minorHAnsi" w:cstheme="minorHAnsi"/>
          <w:sz w:val="24"/>
          <w:szCs w:val="24"/>
        </w:rPr>
        <w:t xml:space="preserve"> </w:t>
      </w:r>
      <w:r w:rsidR="00BB6F87" w:rsidRPr="000F725B">
        <w:rPr>
          <w:rFonts w:asciiTheme="minorHAnsi" w:hAnsiTheme="minorHAnsi" w:cstheme="minorHAnsi"/>
          <w:sz w:val="24"/>
          <w:szCs w:val="24"/>
        </w:rPr>
        <w:t>simpler, easier-t</w:t>
      </w:r>
      <w:r w:rsidRPr="000F725B">
        <w:rPr>
          <w:rFonts w:asciiTheme="minorHAnsi" w:hAnsiTheme="minorHAnsi" w:cstheme="minorHAnsi"/>
          <w:sz w:val="24"/>
          <w:szCs w:val="24"/>
        </w:rPr>
        <w:t xml:space="preserve">o-understand, easier-to-access </w:t>
      </w:r>
      <w:r w:rsidR="00BB6F87" w:rsidRPr="000F725B">
        <w:rPr>
          <w:rFonts w:asciiTheme="minorHAnsi" w:hAnsiTheme="minorHAnsi" w:cstheme="minorHAnsi"/>
          <w:sz w:val="24"/>
          <w:szCs w:val="24"/>
        </w:rPr>
        <w:t>provisions for exempt customers</w:t>
      </w:r>
      <w:r w:rsidRPr="000F725B">
        <w:rPr>
          <w:rFonts w:asciiTheme="minorHAnsi" w:hAnsiTheme="minorHAnsi" w:cstheme="minorHAnsi"/>
          <w:sz w:val="24"/>
          <w:szCs w:val="24"/>
        </w:rPr>
        <w:t>;</w:t>
      </w:r>
      <w:r w:rsidR="00BB6F87" w:rsidRPr="000F725B">
        <w:rPr>
          <w:rFonts w:asciiTheme="minorHAnsi" w:hAnsiTheme="minorHAnsi" w:cstheme="minorHAnsi"/>
          <w:sz w:val="24"/>
          <w:szCs w:val="24"/>
        </w:rPr>
        <w:t xml:space="preserve"> </w:t>
      </w:r>
    </w:p>
    <w:p w:rsidR="00E458B8" w:rsidRPr="000F725B" w:rsidRDefault="00001243" w:rsidP="000F725B">
      <w:pPr>
        <w:pStyle w:val="ListParagraph"/>
        <w:numPr>
          <w:ilvl w:val="0"/>
          <w:numId w:val="3"/>
        </w:numPr>
        <w:tabs>
          <w:tab w:val="left" w:pos="-284"/>
        </w:tabs>
        <w:spacing w:after="120"/>
        <w:ind w:left="426" w:hanging="426"/>
        <w:contextualSpacing w:val="0"/>
        <w:rPr>
          <w:rFonts w:asciiTheme="minorHAnsi" w:hAnsiTheme="minorHAnsi" w:cstheme="minorHAnsi"/>
          <w:sz w:val="24"/>
          <w:szCs w:val="24"/>
        </w:rPr>
      </w:pPr>
      <w:r w:rsidRPr="000F725B">
        <w:rPr>
          <w:rFonts w:asciiTheme="minorHAnsi" w:hAnsiTheme="minorHAnsi" w:cstheme="minorHAnsi"/>
          <w:sz w:val="24"/>
          <w:szCs w:val="24"/>
        </w:rPr>
        <w:t xml:space="preserve">Question </w:t>
      </w:r>
      <w:r w:rsidR="00E458B8" w:rsidRPr="000F725B">
        <w:rPr>
          <w:rFonts w:asciiTheme="minorHAnsi" w:hAnsiTheme="minorHAnsi" w:cstheme="minorHAnsi"/>
          <w:sz w:val="24"/>
          <w:szCs w:val="24"/>
        </w:rPr>
        <w:t>4</w:t>
      </w:r>
    </w:p>
    <w:p w:rsidR="00BB6F87" w:rsidRPr="000F725B" w:rsidRDefault="00E458B8" w:rsidP="000F725B">
      <w:pPr>
        <w:pStyle w:val="ListParagraph"/>
        <w:numPr>
          <w:ilvl w:val="1"/>
          <w:numId w:val="3"/>
        </w:numPr>
        <w:tabs>
          <w:tab w:val="left" w:pos="-284"/>
        </w:tabs>
        <w:spacing w:after="120"/>
        <w:ind w:left="720" w:hanging="294"/>
        <w:contextualSpacing w:val="0"/>
        <w:rPr>
          <w:rFonts w:asciiTheme="minorHAnsi" w:hAnsiTheme="minorHAnsi" w:cstheme="minorHAnsi"/>
          <w:sz w:val="24"/>
          <w:szCs w:val="24"/>
        </w:rPr>
      </w:pPr>
      <w:r w:rsidRPr="000F725B">
        <w:rPr>
          <w:rFonts w:asciiTheme="minorHAnsi" w:hAnsiTheme="minorHAnsi" w:cstheme="minorHAnsi"/>
          <w:sz w:val="24"/>
          <w:szCs w:val="24"/>
        </w:rPr>
        <w:t xml:space="preserve">COTA has seen </w:t>
      </w:r>
      <w:r w:rsidR="00BB6F87" w:rsidRPr="000F725B">
        <w:rPr>
          <w:rFonts w:asciiTheme="minorHAnsi" w:hAnsiTheme="minorHAnsi" w:cstheme="minorHAnsi"/>
          <w:sz w:val="24"/>
          <w:szCs w:val="24"/>
        </w:rPr>
        <w:t xml:space="preserve">cases </w:t>
      </w:r>
      <w:r w:rsidRPr="000F725B">
        <w:rPr>
          <w:rFonts w:asciiTheme="minorHAnsi" w:hAnsiTheme="minorHAnsi" w:cstheme="minorHAnsi"/>
          <w:sz w:val="24"/>
          <w:szCs w:val="24"/>
        </w:rPr>
        <w:t>that indicate</w:t>
      </w:r>
      <w:r w:rsidR="00BB6F87" w:rsidRPr="000F725B">
        <w:rPr>
          <w:rFonts w:asciiTheme="minorHAnsi" w:hAnsiTheme="minorHAnsi" w:cstheme="minorHAnsi"/>
          <w:sz w:val="24"/>
          <w:szCs w:val="24"/>
        </w:rPr>
        <w:t xml:space="preserve"> </w:t>
      </w:r>
      <w:r w:rsidRPr="000F725B">
        <w:rPr>
          <w:rFonts w:asciiTheme="minorHAnsi" w:hAnsiTheme="minorHAnsi" w:cstheme="minorHAnsi"/>
          <w:sz w:val="24"/>
          <w:szCs w:val="24"/>
        </w:rPr>
        <w:t xml:space="preserve">a low </w:t>
      </w:r>
      <w:r w:rsidR="00BB6F87" w:rsidRPr="000F725B">
        <w:rPr>
          <w:rFonts w:asciiTheme="minorHAnsi" w:hAnsiTheme="minorHAnsi" w:cstheme="minorHAnsi"/>
          <w:sz w:val="24"/>
          <w:szCs w:val="24"/>
        </w:rPr>
        <w:t xml:space="preserve">level of compliance by exempt entities with the information provision requirements </w:t>
      </w:r>
      <w:r w:rsidRPr="000F725B">
        <w:rPr>
          <w:rFonts w:asciiTheme="minorHAnsi" w:hAnsiTheme="minorHAnsi" w:cstheme="minorHAnsi"/>
          <w:sz w:val="24"/>
          <w:szCs w:val="24"/>
        </w:rPr>
        <w:t>under</w:t>
      </w:r>
      <w:r w:rsidR="00BB6F87" w:rsidRPr="000F725B">
        <w:rPr>
          <w:rFonts w:asciiTheme="minorHAnsi" w:hAnsiTheme="minorHAnsi" w:cstheme="minorHAnsi"/>
          <w:sz w:val="24"/>
          <w:szCs w:val="24"/>
        </w:rPr>
        <w:t xml:space="preserve"> either </w:t>
      </w:r>
      <w:r w:rsidRPr="000F725B">
        <w:rPr>
          <w:rFonts w:asciiTheme="minorHAnsi" w:hAnsiTheme="minorHAnsi" w:cstheme="minorHAnsi"/>
          <w:sz w:val="24"/>
          <w:szCs w:val="24"/>
        </w:rPr>
        <w:t xml:space="preserve">set </w:t>
      </w:r>
      <w:r w:rsidR="00BB6F87" w:rsidRPr="000F725B">
        <w:rPr>
          <w:rFonts w:asciiTheme="minorHAnsi" w:hAnsiTheme="minorHAnsi" w:cstheme="minorHAnsi"/>
          <w:sz w:val="24"/>
          <w:szCs w:val="24"/>
        </w:rPr>
        <w:t>of the guidelines. A</w:t>
      </w:r>
      <w:r w:rsidRPr="000F725B">
        <w:rPr>
          <w:rFonts w:asciiTheme="minorHAnsi" w:hAnsiTheme="minorHAnsi" w:cstheme="minorHAnsi"/>
          <w:sz w:val="24"/>
          <w:szCs w:val="24"/>
        </w:rPr>
        <w:t xml:space="preserve">s part of this review, we </w:t>
      </w:r>
      <w:r w:rsidR="00BB6F87" w:rsidRPr="000F725B">
        <w:rPr>
          <w:rFonts w:asciiTheme="minorHAnsi" w:hAnsiTheme="minorHAnsi" w:cstheme="minorHAnsi"/>
          <w:sz w:val="24"/>
          <w:szCs w:val="24"/>
        </w:rPr>
        <w:t xml:space="preserve">encourage the AER to </w:t>
      </w:r>
      <w:r w:rsidRPr="000F725B">
        <w:rPr>
          <w:rFonts w:asciiTheme="minorHAnsi" w:hAnsiTheme="minorHAnsi" w:cstheme="minorHAnsi"/>
          <w:sz w:val="24"/>
          <w:szCs w:val="24"/>
        </w:rPr>
        <w:t xml:space="preserve">adopt </w:t>
      </w:r>
      <w:r w:rsidR="00BB6F87" w:rsidRPr="000F725B">
        <w:rPr>
          <w:rFonts w:asciiTheme="minorHAnsi" w:hAnsiTheme="minorHAnsi" w:cstheme="minorHAnsi"/>
          <w:sz w:val="24"/>
          <w:szCs w:val="24"/>
        </w:rPr>
        <w:t xml:space="preserve">arrangements which will </w:t>
      </w:r>
      <w:r w:rsidRPr="000F725B">
        <w:rPr>
          <w:rFonts w:asciiTheme="minorHAnsi" w:hAnsiTheme="minorHAnsi" w:cstheme="minorHAnsi"/>
          <w:sz w:val="24"/>
          <w:szCs w:val="24"/>
        </w:rPr>
        <w:t>result in a</w:t>
      </w:r>
      <w:r w:rsidR="00BB6F87" w:rsidRPr="000F725B">
        <w:rPr>
          <w:rFonts w:asciiTheme="minorHAnsi" w:hAnsiTheme="minorHAnsi" w:cstheme="minorHAnsi"/>
          <w:sz w:val="24"/>
          <w:szCs w:val="24"/>
        </w:rPr>
        <w:t xml:space="preserve"> greater level of compliance with information provision</w:t>
      </w:r>
      <w:r w:rsidRPr="000F725B">
        <w:rPr>
          <w:rFonts w:asciiTheme="minorHAnsi" w:hAnsiTheme="minorHAnsi" w:cstheme="minorHAnsi"/>
          <w:sz w:val="24"/>
          <w:szCs w:val="24"/>
        </w:rPr>
        <w:t>s;</w:t>
      </w:r>
    </w:p>
    <w:p w:rsidR="00E458B8" w:rsidRPr="000F725B" w:rsidRDefault="00E458B8" w:rsidP="000F725B">
      <w:pPr>
        <w:pStyle w:val="ListParagraph"/>
        <w:numPr>
          <w:ilvl w:val="0"/>
          <w:numId w:val="3"/>
        </w:numPr>
        <w:tabs>
          <w:tab w:val="left" w:pos="-284"/>
        </w:tabs>
        <w:spacing w:after="120"/>
        <w:ind w:left="426" w:hanging="426"/>
        <w:contextualSpacing w:val="0"/>
        <w:rPr>
          <w:rFonts w:asciiTheme="minorHAnsi" w:hAnsiTheme="minorHAnsi" w:cstheme="minorHAnsi"/>
          <w:sz w:val="24"/>
          <w:szCs w:val="24"/>
        </w:rPr>
      </w:pPr>
      <w:r w:rsidRPr="000F725B">
        <w:rPr>
          <w:rFonts w:asciiTheme="minorHAnsi" w:hAnsiTheme="minorHAnsi" w:cstheme="minorHAnsi"/>
          <w:sz w:val="24"/>
          <w:szCs w:val="24"/>
        </w:rPr>
        <w:t>Question 6</w:t>
      </w:r>
    </w:p>
    <w:p w:rsidR="00BB6F87" w:rsidRPr="000F725B" w:rsidRDefault="00BB6F87" w:rsidP="000F725B">
      <w:pPr>
        <w:pStyle w:val="ListParagraph"/>
        <w:numPr>
          <w:ilvl w:val="1"/>
          <w:numId w:val="3"/>
        </w:numPr>
        <w:tabs>
          <w:tab w:val="left" w:pos="-284"/>
        </w:tabs>
        <w:spacing w:after="120"/>
        <w:ind w:left="720" w:hanging="294"/>
        <w:contextualSpacing w:val="0"/>
        <w:rPr>
          <w:rFonts w:asciiTheme="minorHAnsi" w:hAnsiTheme="minorHAnsi" w:cstheme="minorHAnsi"/>
          <w:sz w:val="24"/>
          <w:szCs w:val="24"/>
        </w:rPr>
      </w:pPr>
      <w:r w:rsidRPr="000F725B">
        <w:rPr>
          <w:rFonts w:asciiTheme="minorHAnsi" w:hAnsiTheme="minorHAnsi" w:cstheme="minorHAnsi"/>
          <w:sz w:val="24"/>
          <w:szCs w:val="24"/>
        </w:rPr>
        <w:t>Consideration should be given to the seriousness and impact of the disputes encountered, not just the numbers</w:t>
      </w:r>
      <w:r w:rsidR="00E458B8" w:rsidRPr="000F725B">
        <w:rPr>
          <w:rFonts w:asciiTheme="minorHAnsi" w:hAnsiTheme="minorHAnsi" w:cstheme="minorHAnsi"/>
          <w:sz w:val="24"/>
          <w:szCs w:val="24"/>
        </w:rPr>
        <w:t>;</w:t>
      </w:r>
    </w:p>
    <w:p w:rsidR="00E458B8" w:rsidRPr="000F725B" w:rsidRDefault="00E458B8" w:rsidP="000F725B">
      <w:pPr>
        <w:pStyle w:val="ListParagraph"/>
        <w:numPr>
          <w:ilvl w:val="0"/>
          <w:numId w:val="3"/>
        </w:numPr>
        <w:tabs>
          <w:tab w:val="left" w:pos="-284"/>
        </w:tabs>
        <w:spacing w:after="120"/>
        <w:ind w:left="426" w:hanging="426"/>
        <w:contextualSpacing w:val="0"/>
        <w:rPr>
          <w:rFonts w:asciiTheme="minorHAnsi" w:hAnsiTheme="minorHAnsi" w:cstheme="minorHAnsi"/>
          <w:sz w:val="24"/>
          <w:szCs w:val="24"/>
        </w:rPr>
      </w:pPr>
      <w:r w:rsidRPr="000F725B">
        <w:rPr>
          <w:rFonts w:asciiTheme="minorHAnsi" w:hAnsiTheme="minorHAnsi" w:cstheme="minorHAnsi"/>
          <w:sz w:val="24"/>
          <w:szCs w:val="24"/>
        </w:rPr>
        <w:t>Question 7</w:t>
      </w:r>
    </w:p>
    <w:p w:rsidR="00BB6F87" w:rsidRPr="000F725B" w:rsidRDefault="00BB6F87" w:rsidP="00C60FD7">
      <w:pPr>
        <w:pStyle w:val="ListParagraph"/>
        <w:numPr>
          <w:ilvl w:val="1"/>
          <w:numId w:val="3"/>
        </w:numPr>
        <w:tabs>
          <w:tab w:val="left" w:pos="-284"/>
        </w:tabs>
        <w:spacing w:after="120"/>
        <w:ind w:left="720" w:hanging="294"/>
        <w:contextualSpacing w:val="0"/>
        <w:rPr>
          <w:rFonts w:asciiTheme="minorHAnsi" w:hAnsiTheme="minorHAnsi" w:cstheme="minorHAnsi"/>
          <w:sz w:val="24"/>
          <w:szCs w:val="24"/>
        </w:rPr>
      </w:pPr>
      <w:r w:rsidRPr="000F725B">
        <w:rPr>
          <w:rFonts w:asciiTheme="minorHAnsi" w:hAnsiTheme="minorHAnsi" w:cstheme="minorHAnsi"/>
          <w:sz w:val="24"/>
          <w:szCs w:val="24"/>
        </w:rPr>
        <w:t xml:space="preserve">The majority of the disputes we have seen have related to billing. </w:t>
      </w:r>
      <w:r w:rsidR="00E458B8" w:rsidRPr="000F725B">
        <w:rPr>
          <w:rFonts w:asciiTheme="minorHAnsi" w:hAnsiTheme="minorHAnsi" w:cstheme="minorHAnsi"/>
          <w:sz w:val="24"/>
          <w:szCs w:val="24"/>
        </w:rPr>
        <w:t xml:space="preserve"> We have not yet had disputes related to bundled services drawn to our attention, but that does not mean our constituency has not experienced them;</w:t>
      </w:r>
    </w:p>
    <w:p w:rsidR="00E458B8" w:rsidRPr="000F725B" w:rsidRDefault="00E458B8" w:rsidP="000F725B">
      <w:pPr>
        <w:pStyle w:val="ListParagraph"/>
        <w:numPr>
          <w:ilvl w:val="0"/>
          <w:numId w:val="3"/>
        </w:numPr>
        <w:tabs>
          <w:tab w:val="left" w:pos="-284"/>
        </w:tabs>
        <w:spacing w:after="120"/>
        <w:ind w:left="426" w:hanging="426"/>
        <w:contextualSpacing w:val="0"/>
        <w:rPr>
          <w:rFonts w:asciiTheme="minorHAnsi" w:hAnsiTheme="minorHAnsi" w:cstheme="minorHAnsi"/>
          <w:sz w:val="24"/>
          <w:szCs w:val="24"/>
        </w:rPr>
      </w:pPr>
      <w:r w:rsidRPr="000F725B">
        <w:rPr>
          <w:rFonts w:asciiTheme="minorHAnsi" w:hAnsiTheme="minorHAnsi" w:cstheme="minorHAnsi"/>
          <w:sz w:val="24"/>
          <w:szCs w:val="24"/>
        </w:rPr>
        <w:t>Question 11</w:t>
      </w:r>
    </w:p>
    <w:p w:rsidR="00BB6F87" w:rsidRPr="000F725B" w:rsidRDefault="00BB6F87" w:rsidP="00C60FD7">
      <w:pPr>
        <w:pStyle w:val="ListParagraph"/>
        <w:numPr>
          <w:ilvl w:val="1"/>
          <w:numId w:val="3"/>
        </w:numPr>
        <w:tabs>
          <w:tab w:val="left" w:pos="-284"/>
        </w:tabs>
        <w:ind w:left="720" w:hanging="294"/>
        <w:rPr>
          <w:rFonts w:asciiTheme="minorHAnsi" w:hAnsiTheme="minorHAnsi" w:cstheme="minorHAnsi"/>
          <w:sz w:val="24"/>
          <w:szCs w:val="24"/>
        </w:rPr>
      </w:pPr>
      <w:r w:rsidRPr="000F725B">
        <w:rPr>
          <w:rFonts w:asciiTheme="minorHAnsi" w:hAnsiTheme="minorHAnsi" w:cstheme="minorHAnsi"/>
          <w:sz w:val="24"/>
          <w:szCs w:val="24"/>
        </w:rPr>
        <w:t>External avenues such as civil and administrative tribunals have proven to be too difficult and costly for older low-income &amp; vulnerable consumers</w:t>
      </w:r>
      <w:r w:rsidR="00E458B8" w:rsidRPr="000F725B">
        <w:rPr>
          <w:rFonts w:asciiTheme="minorHAnsi" w:hAnsiTheme="minorHAnsi" w:cstheme="minorHAnsi"/>
          <w:sz w:val="24"/>
          <w:szCs w:val="24"/>
        </w:rPr>
        <w:t xml:space="preserve"> to access.  These avenues should not be viewed as adequately replacing access to mainstream dispute resolution through the specialist </w:t>
      </w:r>
      <w:r w:rsidR="00E42A1D" w:rsidRPr="000F725B">
        <w:rPr>
          <w:rFonts w:asciiTheme="minorHAnsi" w:hAnsiTheme="minorHAnsi" w:cstheme="minorHAnsi"/>
          <w:sz w:val="24"/>
          <w:szCs w:val="24"/>
        </w:rPr>
        <w:t>channel of the energy ombudsman offices.</w:t>
      </w:r>
    </w:p>
    <w:p w:rsidR="00E42A1D" w:rsidRDefault="00E42A1D" w:rsidP="000F725B">
      <w:pPr>
        <w:tabs>
          <w:tab w:val="left" w:pos="-284"/>
        </w:tabs>
        <w:ind w:left="426" w:hanging="426"/>
        <w:rPr>
          <w:rFonts w:asciiTheme="minorHAnsi" w:hAnsiTheme="minorHAnsi" w:cstheme="minorHAnsi"/>
          <w:sz w:val="24"/>
          <w:szCs w:val="24"/>
        </w:rPr>
      </w:pPr>
    </w:p>
    <w:p w:rsidR="000F725B" w:rsidRPr="000F725B" w:rsidRDefault="000F725B" w:rsidP="000F725B">
      <w:pPr>
        <w:tabs>
          <w:tab w:val="left" w:pos="-284"/>
        </w:tabs>
        <w:ind w:left="-284"/>
        <w:rPr>
          <w:rFonts w:asciiTheme="minorHAnsi" w:hAnsiTheme="minorHAnsi" w:cstheme="minorHAnsi"/>
          <w:sz w:val="24"/>
          <w:szCs w:val="24"/>
        </w:rPr>
      </w:pPr>
    </w:p>
    <w:p w:rsidR="00CF607F" w:rsidRPr="000F725B" w:rsidRDefault="00CF607F" w:rsidP="000F725B">
      <w:pPr>
        <w:tabs>
          <w:tab w:val="left" w:pos="-284"/>
        </w:tabs>
        <w:ind w:left="-284"/>
        <w:rPr>
          <w:rFonts w:asciiTheme="minorHAnsi" w:hAnsiTheme="minorHAnsi" w:cstheme="minorHAnsi"/>
          <w:sz w:val="24"/>
          <w:szCs w:val="24"/>
        </w:rPr>
      </w:pPr>
      <w:r w:rsidRPr="000F725B">
        <w:rPr>
          <w:rFonts w:asciiTheme="minorHAnsi" w:hAnsiTheme="minorHAnsi" w:cstheme="minorHAnsi"/>
          <w:sz w:val="24"/>
          <w:szCs w:val="24"/>
        </w:rPr>
        <w:t xml:space="preserve">COTA appreciates the AER addressing the impact on consumers of current arrangements regarding exempt entities under the </w:t>
      </w:r>
      <w:r w:rsidR="00001243" w:rsidRPr="000F725B">
        <w:rPr>
          <w:rFonts w:asciiTheme="minorHAnsi" w:hAnsiTheme="minorHAnsi" w:cstheme="minorHAnsi"/>
          <w:color w:val="000000"/>
          <w:sz w:val="24"/>
          <w:szCs w:val="24"/>
        </w:rPr>
        <w:t>National Energy Law (Retail Law)</w:t>
      </w:r>
      <w:r w:rsidRPr="000F725B">
        <w:rPr>
          <w:rFonts w:asciiTheme="minorHAnsi" w:hAnsiTheme="minorHAnsi" w:cstheme="minorHAnsi"/>
          <w:sz w:val="24"/>
          <w:szCs w:val="24"/>
        </w:rPr>
        <w:t>.  We would be happy to meet with the AER to expand further on our concerns.</w:t>
      </w:r>
    </w:p>
    <w:p w:rsidR="00CF607F" w:rsidRPr="000F725B" w:rsidRDefault="00CF607F" w:rsidP="000F725B">
      <w:pPr>
        <w:tabs>
          <w:tab w:val="left" w:pos="-284"/>
        </w:tabs>
        <w:ind w:left="-284"/>
        <w:rPr>
          <w:rFonts w:asciiTheme="minorHAnsi" w:hAnsiTheme="minorHAnsi" w:cstheme="minorHAnsi"/>
          <w:sz w:val="24"/>
          <w:szCs w:val="24"/>
        </w:rPr>
      </w:pPr>
    </w:p>
    <w:p w:rsidR="00CF607F" w:rsidRPr="000F725B" w:rsidRDefault="00CF607F" w:rsidP="000F725B">
      <w:pPr>
        <w:tabs>
          <w:tab w:val="left" w:pos="-284"/>
        </w:tabs>
        <w:ind w:left="-284"/>
        <w:rPr>
          <w:rFonts w:asciiTheme="minorHAnsi" w:hAnsiTheme="minorHAnsi" w:cstheme="minorHAnsi"/>
          <w:sz w:val="24"/>
          <w:szCs w:val="24"/>
        </w:rPr>
      </w:pPr>
      <w:r w:rsidRPr="000F725B">
        <w:rPr>
          <w:rFonts w:asciiTheme="minorHAnsi" w:hAnsiTheme="minorHAnsi" w:cstheme="minorHAnsi"/>
          <w:sz w:val="24"/>
          <w:szCs w:val="24"/>
        </w:rPr>
        <w:t>Yours sincerely</w:t>
      </w:r>
    </w:p>
    <w:p w:rsidR="00CF607F" w:rsidRPr="000F725B" w:rsidRDefault="00CF607F" w:rsidP="000F725B">
      <w:pPr>
        <w:tabs>
          <w:tab w:val="left" w:pos="-284"/>
        </w:tabs>
        <w:ind w:left="-284"/>
        <w:rPr>
          <w:rFonts w:asciiTheme="minorHAnsi" w:hAnsiTheme="minorHAnsi" w:cstheme="minorHAnsi"/>
          <w:sz w:val="24"/>
          <w:szCs w:val="24"/>
        </w:rPr>
      </w:pPr>
    </w:p>
    <w:p w:rsidR="00CF607F" w:rsidRDefault="000F725B" w:rsidP="000F725B">
      <w:pPr>
        <w:tabs>
          <w:tab w:val="left" w:pos="-284"/>
        </w:tabs>
        <w:ind w:left="-284"/>
        <w:rPr>
          <w:rFonts w:asciiTheme="minorHAnsi" w:hAnsiTheme="minorHAnsi" w:cstheme="minorHAnsi"/>
          <w:sz w:val="24"/>
          <w:szCs w:val="24"/>
        </w:rPr>
      </w:pPr>
      <w:r>
        <w:rPr>
          <w:rFonts w:eastAsia="Calibri"/>
          <w:b/>
          <w:noProof/>
          <w:color w:val="000000"/>
          <w:sz w:val="24"/>
          <w:szCs w:val="24"/>
          <w:lang w:eastAsia="en-AU"/>
        </w:rPr>
        <w:drawing>
          <wp:inline distT="0" distB="0" distL="0" distR="0" wp14:anchorId="12F46C1C" wp14:editId="45E41E20">
            <wp:extent cx="1123950" cy="1075574"/>
            <wp:effectExtent l="19050" t="0" r="0" b="0"/>
            <wp:docPr id="3" name="Picture 0" descr="Signature_Ian Yat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_Ian Yates.TIF"/>
                    <pic:cNvPicPr/>
                  </pic:nvPicPr>
                  <pic:blipFill>
                    <a:blip r:embed="rId8" cstate="print"/>
                    <a:stretch>
                      <a:fillRect/>
                    </a:stretch>
                  </pic:blipFill>
                  <pic:spPr>
                    <a:xfrm>
                      <a:off x="0" y="0"/>
                      <a:ext cx="1124722" cy="1076313"/>
                    </a:xfrm>
                    <a:prstGeom prst="rect">
                      <a:avLst/>
                    </a:prstGeom>
                  </pic:spPr>
                </pic:pic>
              </a:graphicData>
            </a:graphic>
          </wp:inline>
        </w:drawing>
      </w:r>
    </w:p>
    <w:p w:rsidR="000F725B" w:rsidRPr="00104ECC" w:rsidRDefault="000F725B" w:rsidP="00C60FD7">
      <w:pPr>
        <w:ind w:right="95" w:hanging="284"/>
        <w:textAlignment w:val="baseline"/>
        <w:rPr>
          <w:rFonts w:eastAsia="Calibri"/>
          <w:color w:val="000000"/>
          <w:sz w:val="24"/>
          <w:szCs w:val="24"/>
        </w:rPr>
      </w:pPr>
      <w:r w:rsidRPr="00104ECC">
        <w:rPr>
          <w:rFonts w:eastAsia="Calibri"/>
          <w:color w:val="000000"/>
          <w:sz w:val="24"/>
          <w:szCs w:val="24"/>
        </w:rPr>
        <w:t>Ian Yates AM</w:t>
      </w:r>
    </w:p>
    <w:p w:rsidR="000F725B" w:rsidRDefault="000F725B" w:rsidP="00C60FD7">
      <w:pPr>
        <w:ind w:right="95" w:hanging="284"/>
        <w:textAlignment w:val="baseline"/>
        <w:rPr>
          <w:rFonts w:eastAsia="Calibri"/>
          <w:b/>
          <w:color w:val="000000"/>
          <w:sz w:val="24"/>
          <w:szCs w:val="24"/>
        </w:rPr>
      </w:pPr>
      <w:r w:rsidRPr="00E46BED">
        <w:rPr>
          <w:rFonts w:eastAsia="Calibri"/>
          <w:b/>
          <w:color w:val="000000"/>
          <w:sz w:val="24"/>
          <w:szCs w:val="24"/>
        </w:rPr>
        <w:t>Chief Executive</w:t>
      </w:r>
    </w:p>
    <w:p w:rsidR="000F725B" w:rsidRPr="000F725B" w:rsidRDefault="000F725B" w:rsidP="000F725B">
      <w:pPr>
        <w:tabs>
          <w:tab w:val="left" w:pos="-284"/>
        </w:tabs>
        <w:ind w:left="-284"/>
        <w:rPr>
          <w:rFonts w:asciiTheme="minorHAnsi" w:hAnsiTheme="minorHAnsi" w:cstheme="minorHAnsi"/>
          <w:sz w:val="24"/>
          <w:szCs w:val="24"/>
        </w:rPr>
      </w:pPr>
    </w:p>
    <w:sectPr w:rsidR="000F725B" w:rsidRPr="000F725B" w:rsidSect="000F725B">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7F" w:rsidRDefault="00FA2E7F" w:rsidP="000F725B">
      <w:r>
        <w:separator/>
      </w:r>
    </w:p>
  </w:endnote>
  <w:endnote w:type="continuationSeparator" w:id="0">
    <w:p w:rsidR="00FA2E7F" w:rsidRDefault="00FA2E7F" w:rsidP="000F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213765"/>
      <w:docPartObj>
        <w:docPartGallery w:val="Page Numbers (Bottom of Page)"/>
        <w:docPartUnique/>
      </w:docPartObj>
    </w:sdtPr>
    <w:sdtEndPr>
      <w:rPr>
        <w:noProof/>
      </w:rPr>
    </w:sdtEndPr>
    <w:sdtContent>
      <w:p w:rsidR="00E64EC5" w:rsidRDefault="00E64EC5">
        <w:pPr>
          <w:pStyle w:val="Footer"/>
          <w:jc w:val="right"/>
        </w:pPr>
        <w:r>
          <w:fldChar w:fldCharType="begin"/>
        </w:r>
        <w:r>
          <w:instrText xml:space="preserve"> PAGE   \* MERGEFORMAT </w:instrText>
        </w:r>
        <w:r>
          <w:fldChar w:fldCharType="separate"/>
        </w:r>
        <w:r w:rsidR="00FA2E7F">
          <w:rPr>
            <w:noProof/>
          </w:rPr>
          <w:t>1</w:t>
        </w:r>
        <w:r>
          <w:rPr>
            <w:noProof/>
          </w:rPr>
          <w:fldChar w:fldCharType="end"/>
        </w:r>
      </w:p>
    </w:sdtContent>
  </w:sdt>
  <w:p w:rsidR="00E64EC5" w:rsidRDefault="00E6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7F" w:rsidRDefault="00FA2E7F" w:rsidP="000F725B">
      <w:r>
        <w:separator/>
      </w:r>
    </w:p>
  </w:footnote>
  <w:footnote w:type="continuationSeparator" w:id="0">
    <w:p w:rsidR="00FA2E7F" w:rsidRDefault="00FA2E7F" w:rsidP="000F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25B" w:rsidRDefault="000F725B">
    <w:pPr>
      <w:pStyle w:val="Header"/>
    </w:pPr>
    <w:r>
      <w:rPr>
        <w:noProof/>
        <w:lang w:eastAsia="en-AU"/>
      </w:rPr>
      <w:drawing>
        <wp:anchor distT="0" distB="0" distL="114300" distR="114300" simplePos="0" relativeHeight="251659264" behindDoc="1" locked="0" layoutInCell="1" allowOverlap="1" wp14:anchorId="58E0BEA3" wp14:editId="40FE4DE1">
          <wp:simplePos x="0" y="0"/>
          <wp:positionH relativeFrom="margin">
            <wp:posOffset>-228600</wp:posOffset>
          </wp:positionH>
          <wp:positionV relativeFrom="paragraph">
            <wp:posOffset>1270</wp:posOffset>
          </wp:positionV>
          <wp:extent cx="6737350" cy="850900"/>
          <wp:effectExtent l="0" t="0" r="0" b="0"/>
          <wp:wrapNone/>
          <wp:docPr id="1" name="Picture 1" descr="COTA-LH_AUS 2015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TA-LH_AUS 2015 for word"/>
                  <pic:cNvPicPr>
                    <a:picLocks noChangeAspect="1" noChangeArrowheads="1"/>
                  </pic:cNvPicPr>
                </pic:nvPicPr>
                <pic:blipFill>
                  <a:blip r:embed="rId1" cstate="print">
                    <a:extLst>
                      <a:ext uri="{28A0092B-C50C-407E-A947-70E740481C1C}">
                        <a14:useLocalDpi xmlns:a14="http://schemas.microsoft.com/office/drawing/2010/main" val="0"/>
                      </a:ext>
                    </a:extLst>
                  </a:blip>
                  <a:srcRect l="2927" r="3363" b="16319"/>
                  <a:stretch>
                    <a:fillRect/>
                  </a:stretch>
                </pic:blipFill>
                <pic:spPr bwMode="auto">
                  <a:xfrm>
                    <a:off x="0" y="0"/>
                    <a:ext cx="673735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725B" w:rsidRDefault="000F725B">
    <w:pPr>
      <w:pStyle w:val="Header"/>
    </w:pPr>
  </w:p>
  <w:p w:rsidR="000F725B" w:rsidRDefault="000F725B">
    <w:pPr>
      <w:pStyle w:val="Header"/>
    </w:pPr>
  </w:p>
  <w:p w:rsidR="000F725B" w:rsidRDefault="000F725B">
    <w:pPr>
      <w:pStyle w:val="Header"/>
    </w:pPr>
  </w:p>
  <w:p w:rsidR="000F725B" w:rsidRDefault="000F725B">
    <w:pPr>
      <w:pStyle w:val="Header"/>
    </w:pPr>
  </w:p>
  <w:p w:rsidR="000F725B" w:rsidRDefault="000F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B7BB7"/>
    <w:multiLevelType w:val="hybridMultilevel"/>
    <w:tmpl w:val="AE98A322"/>
    <w:lvl w:ilvl="0" w:tplc="A50ADA4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424167A"/>
    <w:multiLevelType w:val="hybridMultilevel"/>
    <w:tmpl w:val="1890B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4E31A2"/>
    <w:multiLevelType w:val="hybridMultilevel"/>
    <w:tmpl w:val="9678F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502"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87"/>
    <w:rsid w:val="00001243"/>
    <w:rsid w:val="000F725B"/>
    <w:rsid w:val="002E0A27"/>
    <w:rsid w:val="005C0D1B"/>
    <w:rsid w:val="00625D59"/>
    <w:rsid w:val="00774663"/>
    <w:rsid w:val="00B45C25"/>
    <w:rsid w:val="00B56F5C"/>
    <w:rsid w:val="00BB6F87"/>
    <w:rsid w:val="00C60FD7"/>
    <w:rsid w:val="00CF607F"/>
    <w:rsid w:val="00E42A1D"/>
    <w:rsid w:val="00E458B8"/>
    <w:rsid w:val="00E64EC5"/>
    <w:rsid w:val="00F66B56"/>
    <w:rsid w:val="00FA2E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7AE3B"/>
  <w15:chartTrackingRefBased/>
  <w15:docId w15:val="{475397CC-B476-4BB2-BD34-1E5BB1B7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6F87"/>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A27"/>
    <w:pPr>
      <w:ind w:left="720"/>
      <w:contextualSpacing/>
    </w:pPr>
  </w:style>
  <w:style w:type="paragraph" w:styleId="PlainText">
    <w:name w:val="Plain Text"/>
    <w:basedOn w:val="Normal"/>
    <w:link w:val="PlainTextChar"/>
    <w:uiPriority w:val="99"/>
    <w:semiHidden/>
    <w:unhideWhenUsed/>
    <w:rsid w:val="00CF607F"/>
    <w:rPr>
      <w:rFonts w:cstheme="minorBidi"/>
      <w:szCs w:val="21"/>
    </w:rPr>
  </w:style>
  <w:style w:type="character" w:customStyle="1" w:styleId="PlainTextChar">
    <w:name w:val="Plain Text Char"/>
    <w:basedOn w:val="DefaultParagraphFont"/>
    <w:link w:val="PlainText"/>
    <w:uiPriority w:val="99"/>
    <w:semiHidden/>
    <w:rsid w:val="00CF607F"/>
    <w:rPr>
      <w:rFonts w:ascii="Calibri" w:hAnsi="Calibri"/>
      <w:sz w:val="22"/>
      <w:szCs w:val="21"/>
    </w:rPr>
  </w:style>
  <w:style w:type="paragraph" w:styleId="Header">
    <w:name w:val="header"/>
    <w:basedOn w:val="Normal"/>
    <w:link w:val="HeaderChar"/>
    <w:uiPriority w:val="99"/>
    <w:unhideWhenUsed/>
    <w:rsid w:val="000F725B"/>
    <w:pPr>
      <w:tabs>
        <w:tab w:val="center" w:pos="4680"/>
        <w:tab w:val="right" w:pos="9360"/>
      </w:tabs>
    </w:pPr>
  </w:style>
  <w:style w:type="character" w:customStyle="1" w:styleId="HeaderChar">
    <w:name w:val="Header Char"/>
    <w:basedOn w:val="DefaultParagraphFont"/>
    <w:link w:val="Header"/>
    <w:uiPriority w:val="99"/>
    <w:rsid w:val="000F725B"/>
    <w:rPr>
      <w:rFonts w:ascii="Calibri" w:hAnsi="Calibri" w:cs="Calibri"/>
      <w:sz w:val="22"/>
    </w:rPr>
  </w:style>
  <w:style w:type="paragraph" w:styleId="Footer">
    <w:name w:val="footer"/>
    <w:basedOn w:val="Normal"/>
    <w:link w:val="FooterChar"/>
    <w:uiPriority w:val="99"/>
    <w:unhideWhenUsed/>
    <w:rsid w:val="000F725B"/>
    <w:pPr>
      <w:tabs>
        <w:tab w:val="center" w:pos="4680"/>
        <w:tab w:val="right" w:pos="9360"/>
      </w:tabs>
    </w:pPr>
  </w:style>
  <w:style w:type="character" w:customStyle="1" w:styleId="FooterChar">
    <w:name w:val="Footer Char"/>
    <w:basedOn w:val="DefaultParagraphFont"/>
    <w:link w:val="Footer"/>
    <w:uiPriority w:val="99"/>
    <w:rsid w:val="000F725B"/>
    <w:rPr>
      <w:rFonts w:ascii="Calibri" w:hAnsi="Calibri" w:cs="Calibri"/>
      <w:sz w:val="22"/>
    </w:rPr>
  </w:style>
  <w:style w:type="character" w:styleId="Hyperlink">
    <w:name w:val="Hyperlink"/>
    <w:basedOn w:val="DefaultParagraphFont"/>
    <w:uiPriority w:val="99"/>
    <w:unhideWhenUsed/>
    <w:rsid w:val="00E64EC5"/>
    <w:rPr>
      <w:color w:val="0563C1" w:themeColor="hyperlink"/>
      <w:u w:val="single"/>
    </w:rPr>
  </w:style>
  <w:style w:type="character" w:styleId="Mention">
    <w:name w:val="Mention"/>
    <w:basedOn w:val="DefaultParagraphFont"/>
    <w:uiPriority w:val="99"/>
    <w:semiHidden/>
    <w:unhideWhenUsed/>
    <w:rsid w:val="00E64EC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069387">
      <w:bodyDiv w:val="1"/>
      <w:marLeft w:val="0"/>
      <w:marRight w:val="0"/>
      <w:marTop w:val="0"/>
      <w:marBottom w:val="0"/>
      <w:divBdr>
        <w:top w:val="none" w:sz="0" w:space="0" w:color="auto"/>
        <w:left w:val="none" w:sz="0" w:space="0" w:color="auto"/>
        <w:bottom w:val="none" w:sz="0" w:space="0" w:color="auto"/>
        <w:right w:val="none" w:sz="0" w:space="0" w:color="auto"/>
      </w:divBdr>
    </w:div>
    <w:div w:id="179721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yperlink" Target="mailto:AERInquiry@aer.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McGrath</dc:creator>
  <cp:keywords/>
  <dc:description/>
  <cp:lastModifiedBy>Sue McGrath</cp:lastModifiedBy>
  <cp:revision>3</cp:revision>
  <dcterms:created xsi:type="dcterms:W3CDTF">2017-07-14T06:00:00Z</dcterms:created>
  <dcterms:modified xsi:type="dcterms:W3CDTF">2017-07-14T06:04:00Z</dcterms:modified>
</cp:coreProperties>
</file>