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C0B9" w14:textId="77777777" w:rsidR="00212291" w:rsidRPr="00212291" w:rsidRDefault="00212291">
      <w:pPr>
        <w:rPr>
          <w:b/>
        </w:rPr>
      </w:pPr>
      <w:bookmarkStart w:id="0" w:name="_GoBack"/>
      <w:bookmarkEnd w:id="0"/>
      <w:r w:rsidRPr="00212291">
        <w:rPr>
          <w:b/>
        </w:rPr>
        <w:t>Summary of CRG and ENA current perspectives on elements of the RoR Guideline</w:t>
      </w:r>
    </w:p>
    <w:p w14:paraId="7CB75DAF" w14:textId="77777777" w:rsidR="00212291" w:rsidRDefault="00212291">
      <w:r>
        <w:t>Cells coloured pink are promoted by that group for consideration at the concurrent evidence sessions.</w:t>
      </w:r>
    </w:p>
    <w:p w14:paraId="2191F2AB" w14:textId="0D9DBE51" w:rsidR="00212291" w:rsidRDefault="00212291">
      <w:r>
        <w:t>Cells coloured green have been nominated by that group as potential low hanging fruit.</w:t>
      </w:r>
      <w:r w:rsidR="0019799A">
        <w:t xml:space="preserve"> </w:t>
      </w:r>
    </w:p>
    <w:p w14:paraId="771759C4" w14:textId="77777777" w:rsidR="00212291" w:rsidRDefault="00212291">
      <w:r>
        <w:t>NOTE: Gearing is most significant gap.</w:t>
      </w:r>
      <w:r w:rsidR="003C71A1">
        <w:t xml:space="preserve"> Prepared by David Havyatt 1 Feb 2018</w:t>
      </w:r>
    </w:p>
    <w:tbl>
      <w:tblPr>
        <w:tblStyle w:val="TableGrid"/>
        <w:tblW w:w="5000" w:type="pct"/>
        <w:tblLook w:val="04A0" w:firstRow="1" w:lastRow="0" w:firstColumn="1" w:lastColumn="0" w:noHBand="0" w:noVBand="1"/>
      </w:tblPr>
      <w:tblGrid>
        <w:gridCol w:w="3488"/>
        <w:gridCol w:w="3485"/>
        <w:gridCol w:w="3488"/>
        <w:gridCol w:w="3487"/>
      </w:tblGrid>
      <w:tr w:rsidR="00770656" w:rsidRPr="00011234" w14:paraId="6F5D4500" w14:textId="77777777" w:rsidTr="00CB7B57">
        <w:tc>
          <w:tcPr>
            <w:tcW w:w="1250" w:type="pct"/>
          </w:tcPr>
          <w:p w14:paraId="55DBB7A0" w14:textId="77777777" w:rsidR="00770656" w:rsidRPr="00011234" w:rsidRDefault="00770656">
            <w:pPr>
              <w:rPr>
                <w:b/>
              </w:rPr>
            </w:pPr>
            <w:r w:rsidRPr="00011234">
              <w:rPr>
                <w:b/>
              </w:rPr>
              <w:t>Component</w:t>
            </w:r>
          </w:p>
        </w:tc>
        <w:tc>
          <w:tcPr>
            <w:tcW w:w="1249" w:type="pct"/>
          </w:tcPr>
          <w:p w14:paraId="6920660A" w14:textId="77777777" w:rsidR="00770656" w:rsidRPr="00011234" w:rsidRDefault="00770656">
            <w:pPr>
              <w:rPr>
                <w:b/>
              </w:rPr>
            </w:pPr>
            <w:r w:rsidRPr="00011234">
              <w:rPr>
                <w:b/>
              </w:rPr>
              <w:t>CRG</w:t>
            </w:r>
          </w:p>
        </w:tc>
        <w:tc>
          <w:tcPr>
            <w:tcW w:w="1250" w:type="pct"/>
          </w:tcPr>
          <w:p w14:paraId="1AF78393" w14:textId="77777777" w:rsidR="00770656" w:rsidRPr="00011234" w:rsidRDefault="00770656">
            <w:pPr>
              <w:rPr>
                <w:b/>
              </w:rPr>
            </w:pPr>
            <w:r w:rsidRPr="00011234">
              <w:rPr>
                <w:b/>
              </w:rPr>
              <w:t>ENA</w:t>
            </w:r>
          </w:p>
        </w:tc>
        <w:tc>
          <w:tcPr>
            <w:tcW w:w="1250" w:type="pct"/>
            <w:shd w:val="clear" w:color="auto" w:fill="auto"/>
          </w:tcPr>
          <w:p w14:paraId="247F4E22" w14:textId="77777777" w:rsidR="00770656" w:rsidRPr="00252A38" w:rsidRDefault="00521202">
            <w:pPr>
              <w:rPr>
                <w:b/>
              </w:rPr>
            </w:pPr>
            <w:r w:rsidRPr="00252A38">
              <w:rPr>
                <w:b/>
              </w:rPr>
              <w:t>Proposed priority of issue being discussed in concurrent evidence session</w:t>
            </w:r>
          </w:p>
          <w:p w14:paraId="42E53CE0" w14:textId="77777777" w:rsidR="00521202" w:rsidRPr="00252A38" w:rsidRDefault="00521202" w:rsidP="00521202"/>
        </w:tc>
      </w:tr>
      <w:tr w:rsidR="00770656" w:rsidRPr="00551FBB" w14:paraId="79AF2E1C" w14:textId="77777777" w:rsidTr="00266416">
        <w:tc>
          <w:tcPr>
            <w:tcW w:w="1250" w:type="pct"/>
          </w:tcPr>
          <w:p w14:paraId="682CF2DB" w14:textId="77777777" w:rsidR="00770656" w:rsidRPr="00551FBB" w:rsidRDefault="00770656" w:rsidP="00102C99">
            <w:pPr>
              <w:pStyle w:val="Style1"/>
            </w:pPr>
            <w:r w:rsidRPr="00551FBB">
              <w:t>The concept of risk and how to compensate for it</w:t>
            </w:r>
          </w:p>
        </w:tc>
        <w:tc>
          <w:tcPr>
            <w:tcW w:w="1249" w:type="pct"/>
            <w:shd w:val="clear" w:color="auto" w:fill="F8D1CC" w:themeFill="accent5" w:themeFillTint="33"/>
          </w:tcPr>
          <w:p w14:paraId="1F6D9E17" w14:textId="77777777" w:rsidR="00770656" w:rsidRPr="00551FBB" w:rsidRDefault="00770656">
            <w:r>
              <w:t>What is the</w:t>
            </w:r>
            <w:r w:rsidRPr="00021FC3">
              <w:t xml:space="preserve"> concept of risk in corporate finance</w:t>
            </w:r>
            <w:r>
              <w:t>?</w:t>
            </w:r>
          </w:p>
        </w:tc>
        <w:tc>
          <w:tcPr>
            <w:tcW w:w="1250" w:type="pct"/>
          </w:tcPr>
          <w:p w14:paraId="4B56ACB9" w14:textId="77777777" w:rsidR="00770656" w:rsidRPr="00551FBB" w:rsidRDefault="00770656"/>
        </w:tc>
        <w:tc>
          <w:tcPr>
            <w:tcW w:w="1250" w:type="pct"/>
            <w:shd w:val="clear" w:color="auto" w:fill="9EB5BF" w:themeFill="text2" w:themeFillTint="66"/>
          </w:tcPr>
          <w:p w14:paraId="572D2347" w14:textId="77777777" w:rsidR="00770656" w:rsidRPr="00252A38" w:rsidRDefault="00AD761A" w:rsidP="00AD761A">
            <w:r w:rsidRPr="00252A38">
              <w:t>Propose discuss at a joint ENA-CRG Experts Session?</w:t>
            </w:r>
          </w:p>
        </w:tc>
      </w:tr>
      <w:tr w:rsidR="00770656" w:rsidRPr="00551FBB" w14:paraId="5DE6652E" w14:textId="77777777" w:rsidTr="00266416">
        <w:tc>
          <w:tcPr>
            <w:tcW w:w="1250" w:type="pct"/>
          </w:tcPr>
          <w:p w14:paraId="5088E7C6" w14:textId="77777777" w:rsidR="00770656" w:rsidRPr="00551FBB" w:rsidRDefault="00770656" w:rsidP="00102C99">
            <w:pPr>
              <w:pStyle w:val="Style2"/>
            </w:pPr>
            <w:r>
              <w:t>Risks actually faced by providers</w:t>
            </w:r>
          </w:p>
        </w:tc>
        <w:tc>
          <w:tcPr>
            <w:tcW w:w="1249" w:type="pct"/>
            <w:shd w:val="clear" w:color="auto" w:fill="F8D1CC" w:themeFill="accent5" w:themeFillTint="33"/>
          </w:tcPr>
          <w:p w14:paraId="2F307DA8" w14:textId="77777777" w:rsidR="00770656" w:rsidRDefault="00770656">
            <w:r w:rsidRPr="00B75AFA">
              <w:t>What impacts investor confidence and how to measure/take account of it when faced with a range of possibilities?</w:t>
            </w:r>
          </w:p>
          <w:p w14:paraId="725170FE" w14:textId="77777777" w:rsidR="00770656" w:rsidRDefault="00770656">
            <w:r w:rsidRPr="00021FC3">
              <w:t>What risk should the rate of return compensate?</w:t>
            </w:r>
          </w:p>
          <w:p w14:paraId="3968ADBF" w14:textId="77777777" w:rsidR="00770656" w:rsidRPr="00551FBB" w:rsidRDefault="00770656">
            <w:r w:rsidRPr="00021FC3">
              <w:t>How can the risk of businesses providing regulated services be estimated</w:t>
            </w:r>
            <w:r>
              <w:t>?</w:t>
            </w:r>
          </w:p>
        </w:tc>
        <w:tc>
          <w:tcPr>
            <w:tcW w:w="1250" w:type="pct"/>
            <w:shd w:val="clear" w:color="auto" w:fill="F8D1CC" w:themeFill="accent5" w:themeFillTint="33"/>
          </w:tcPr>
          <w:p w14:paraId="7FDE3A65" w14:textId="77777777" w:rsidR="00770656" w:rsidRPr="00551FBB" w:rsidRDefault="00770656">
            <w:r w:rsidRPr="00664787">
              <w:t>How should the changing risk profile faced by networks be taken into account in the regulatory framework?</w:t>
            </w:r>
          </w:p>
        </w:tc>
        <w:tc>
          <w:tcPr>
            <w:tcW w:w="1250" w:type="pct"/>
            <w:shd w:val="clear" w:color="auto" w:fill="EA7666" w:themeFill="accent5" w:themeFillTint="99"/>
          </w:tcPr>
          <w:p w14:paraId="0B7335DF" w14:textId="77777777" w:rsidR="00770656" w:rsidRPr="00252A38" w:rsidRDefault="00AD761A">
            <w:r w:rsidRPr="00252A38">
              <w:t>High</w:t>
            </w:r>
          </w:p>
        </w:tc>
      </w:tr>
      <w:tr w:rsidR="00770656" w:rsidRPr="00551FBB" w14:paraId="0A5A6E83" w14:textId="77777777" w:rsidTr="00266416">
        <w:tc>
          <w:tcPr>
            <w:tcW w:w="1250" w:type="pct"/>
          </w:tcPr>
          <w:p w14:paraId="6AC48640" w14:textId="77777777" w:rsidR="00770656" w:rsidRDefault="00770656" w:rsidP="00DC7D90">
            <w:pPr>
              <w:pStyle w:val="Style2"/>
            </w:pPr>
            <w:r>
              <w:t xml:space="preserve">Differences in risks between providers </w:t>
            </w:r>
          </w:p>
        </w:tc>
        <w:tc>
          <w:tcPr>
            <w:tcW w:w="1249" w:type="pct"/>
          </w:tcPr>
          <w:p w14:paraId="105F3EB6" w14:textId="77777777" w:rsidR="00770656" w:rsidRPr="00551FBB" w:rsidRDefault="00770656"/>
        </w:tc>
        <w:tc>
          <w:tcPr>
            <w:tcW w:w="1250" w:type="pct"/>
          </w:tcPr>
          <w:p w14:paraId="30F59087" w14:textId="77777777" w:rsidR="00770656" w:rsidRPr="00551FBB" w:rsidRDefault="00770656"/>
        </w:tc>
        <w:tc>
          <w:tcPr>
            <w:tcW w:w="1250" w:type="pct"/>
            <w:shd w:val="clear" w:color="auto" w:fill="9EB5BF" w:themeFill="text2" w:themeFillTint="66"/>
          </w:tcPr>
          <w:p w14:paraId="57B65EA9" w14:textId="77777777" w:rsidR="00770656" w:rsidRPr="00252A38" w:rsidRDefault="00AD761A">
            <w:r w:rsidRPr="00252A38">
              <w:t>Propose discuss at a joint ENA-CRG Experts Session?</w:t>
            </w:r>
          </w:p>
        </w:tc>
      </w:tr>
      <w:tr w:rsidR="00770656" w:rsidRPr="00551FBB" w14:paraId="5B934F59" w14:textId="77777777" w:rsidTr="00266416">
        <w:tc>
          <w:tcPr>
            <w:tcW w:w="1250" w:type="pct"/>
          </w:tcPr>
          <w:p w14:paraId="4A4E4765" w14:textId="77777777" w:rsidR="00770656" w:rsidRDefault="00770656">
            <w:r>
              <w:t>Data</w:t>
            </w:r>
          </w:p>
        </w:tc>
        <w:tc>
          <w:tcPr>
            <w:tcW w:w="1249" w:type="pct"/>
            <w:shd w:val="clear" w:color="auto" w:fill="F8D1CC" w:themeFill="accent5" w:themeFillTint="33"/>
          </w:tcPr>
          <w:p w14:paraId="3815C32F" w14:textId="77777777" w:rsidR="00770656" w:rsidRPr="00CE5A23" w:rsidRDefault="00770656" w:rsidP="00CE5A23">
            <w:r w:rsidRPr="00CE5A23">
              <w:t>How do you deal with inadequate data?</w:t>
            </w:r>
          </w:p>
          <w:p w14:paraId="35EDC594" w14:textId="77777777" w:rsidR="00770656" w:rsidRPr="00CE5A23" w:rsidRDefault="00770656" w:rsidP="00CE5A23">
            <w:r w:rsidRPr="00CE5A23">
              <w:t>How best to deal with a range of outcomes and picking a point estimate?</w:t>
            </w:r>
          </w:p>
          <w:p w14:paraId="7DC1A0FE" w14:textId="77777777" w:rsidR="00770656" w:rsidRDefault="00770656">
            <w:r w:rsidRPr="00021FC3">
              <w:t>Can the foundational model be converted to a ‘formula’ (e.g. to address the concept of ‘’being informed by’) or does it just reconcile to point estimates?</w:t>
            </w:r>
          </w:p>
          <w:p w14:paraId="084A3580" w14:textId="77777777" w:rsidR="00770656" w:rsidRPr="00551FBB" w:rsidRDefault="00770656">
            <w:r w:rsidRPr="00A11179">
              <w:lastRenderedPageBreak/>
              <w:t>How should the AER pick the point estimate from a range of equity beta information consistent with the NEO</w:t>
            </w:r>
            <w:r>
              <w:t>?</w:t>
            </w:r>
          </w:p>
        </w:tc>
        <w:tc>
          <w:tcPr>
            <w:tcW w:w="1250" w:type="pct"/>
            <w:shd w:val="clear" w:color="auto" w:fill="F8D1CC" w:themeFill="accent5" w:themeFillTint="33"/>
          </w:tcPr>
          <w:p w14:paraId="21F3217B" w14:textId="77777777" w:rsidR="00770656" w:rsidRPr="00551FBB" w:rsidRDefault="00770656">
            <w:r w:rsidRPr="00664787">
              <w:rPr>
                <w:lang w:val="en-NZ"/>
              </w:rPr>
              <w:lastRenderedPageBreak/>
              <w:t>Where does the balance between judgement and data lie, and how precisely can we seek to estimate rate of return parameters objectively, and in a way that can be replicated independently by any stakeholder, using market data?</w:t>
            </w:r>
          </w:p>
        </w:tc>
        <w:tc>
          <w:tcPr>
            <w:tcW w:w="1250" w:type="pct"/>
            <w:shd w:val="clear" w:color="auto" w:fill="F5E2A5" w:themeFill="accent3" w:themeFillTint="66"/>
          </w:tcPr>
          <w:p w14:paraId="07582515" w14:textId="77777777" w:rsidR="00770656" w:rsidRPr="00252A38" w:rsidRDefault="00AD761A">
            <w:pPr>
              <w:rPr>
                <w:lang w:val="en-NZ"/>
              </w:rPr>
            </w:pPr>
            <w:r w:rsidRPr="00252A38">
              <w:rPr>
                <w:lang w:val="en-NZ"/>
              </w:rPr>
              <w:t>Medium</w:t>
            </w:r>
          </w:p>
        </w:tc>
      </w:tr>
      <w:tr w:rsidR="00770656" w:rsidRPr="00551FBB" w14:paraId="54796F44" w14:textId="77777777" w:rsidTr="00266416">
        <w:tc>
          <w:tcPr>
            <w:tcW w:w="1250" w:type="pct"/>
          </w:tcPr>
          <w:p w14:paraId="3D57F66E" w14:textId="77777777" w:rsidR="00770656" w:rsidRDefault="00770656" w:rsidP="00DC7D90">
            <w:pPr>
              <w:pStyle w:val="Style2"/>
            </w:pPr>
            <w:r>
              <w:t>Sources of data</w:t>
            </w:r>
          </w:p>
        </w:tc>
        <w:tc>
          <w:tcPr>
            <w:tcW w:w="1249" w:type="pct"/>
            <w:shd w:val="clear" w:color="auto" w:fill="F8D1CC" w:themeFill="accent5" w:themeFillTint="33"/>
          </w:tcPr>
          <w:p w14:paraId="72959F6B" w14:textId="77777777" w:rsidR="00770656" w:rsidRPr="00CE5A23" w:rsidRDefault="00770656" w:rsidP="00CE5A23">
            <w:r w:rsidRPr="00CE5A23">
              <w:t>What is involved in developing additional data sets? Can more data be drawn from the RINs?</w:t>
            </w:r>
          </w:p>
        </w:tc>
        <w:tc>
          <w:tcPr>
            <w:tcW w:w="1250" w:type="pct"/>
          </w:tcPr>
          <w:p w14:paraId="7111B452" w14:textId="77777777" w:rsidR="00770656" w:rsidRPr="00664787" w:rsidRDefault="00770656">
            <w:pPr>
              <w:rPr>
                <w:lang w:val="en-NZ"/>
              </w:rPr>
            </w:pPr>
          </w:p>
        </w:tc>
        <w:tc>
          <w:tcPr>
            <w:tcW w:w="1250" w:type="pct"/>
            <w:shd w:val="clear" w:color="auto" w:fill="B7E995" w:themeFill="accent2" w:themeFillTint="66"/>
          </w:tcPr>
          <w:p w14:paraId="4F3F8FB8" w14:textId="77777777" w:rsidR="00770656" w:rsidRPr="00252A38" w:rsidRDefault="00AD761A">
            <w:pPr>
              <w:rPr>
                <w:lang w:val="en-NZ"/>
              </w:rPr>
            </w:pPr>
            <w:r w:rsidRPr="00252A38">
              <w:rPr>
                <w:lang w:val="en-NZ"/>
              </w:rPr>
              <w:t>Low</w:t>
            </w:r>
          </w:p>
        </w:tc>
      </w:tr>
      <w:tr w:rsidR="00770656" w:rsidRPr="00551FBB" w14:paraId="7F066A8D" w14:textId="77777777" w:rsidTr="00266416">
        <w:tc>
          <w:tcPr>
            <w:tcW w:w="1250" w:type="pct"/>
          </w:tcPr>
          <w:p w14:paraId="51AE7358" w14:textId="77777777" w:rsidR="00770656" w:rsidRDefault="00770656" w:rsidP="00DC7D90">
            <w:pPr>
              <w:pStyle w:val="Style2"/>
            </w:pPr>
            <w:r>
              <w:t>Vicious circles in data</w:t>
            </w:r>
          </w:p>
        </w:tc>
        <w:tc>
          <w:tcPr>
            <w:tcW w:w="1249" w:type="pct"/>
            <w:shd w:val="clear" w:color="auto" w:fill="F8D1CC" w:themeFill="accent5" w:themeFillTint="33"/>
          </w:tcPr>
          <w:p w14:paraId="2C8BE989" w14:textId="77777777" w:rsidR="00770656" w:rsidRPr="00CE5A23" w:rsidRDefault="00770656" w:rsidP="00CE5A23">
            <w:r w:rsidRPr="00B75AFA">
              <w:t>Is there a circular feedback loop that starts with a high rate of return and perpetuates the same outcome due to the focus on market data to make decisions?</w:t>
            </w:r>
          </w:p>
        </w:tc>
        <w:tc>
          <w:tcPr>
            <w:tcW w:w="1250" w:type="pct"/>
          </w:tcPr>
          <w:p w14:paraId="0E8AFC32" w14:textId="77777777" w:rsidR="00770656" w:rsidRPr="00664787" w:rsidRDefault="00770656">
            <w:pPr>
              <w:rPr>
                <w:lang w:val="en-NZ"/>
              </w:rPr>
            </w:pPr>
          </w:p>
        </w:tc>
        <w:tc>
          <w:tcPr>
            <w:tcW w:w="1250" w:type="pct"/>
            <w:shd w:val="clear" w:color="auto" w:fill="9EB5BF" w:themeFill="text2" w:themeFillTint="66"/>
          </w:tcPr>
          <w:p w14:paraId="04F9D253" w14:textId="77777777" w:rsidR="00770656" w:rsidRPr="00252A38" w:rsidRDefault="00AD761A">
            <w:pPr>
              <w:rPr>
                <w:lang w:val="en-NZ"/>
              </w:rPr>
            </w:pPr>
            <w:r w:rsidRPr="00252A38">
              <w:t>Propose discuss at a joint ENA-CRG Experts Session?</w:t>
            </w:r>
          </w:p>
        </w:tc>
      </w:tr>
      <w:tr w:rsidR="00770656" w:rsidRPr="00551FBB" w14:paraId="7E2B4817" w14:textId="77777777" w:rsidTr="00266416">
        <w:tc>
          <w:tcPr>
            <w:tcW w:w="1250" w:type="pct"/>
          </w:tcPr>
          <w:p w14:paraId="3432B077" w14:textId="77777777" w:rsidR="00770656" w:rsidRDefault="00770656" w:rsidP="00DC7D90">
            <w:pPr>
              <w:pStyle w:val="Style2"/>
            </w:pPr>
            <w:r>
              <w:t xml:space="preserve">MRP Data Issues </w:t>
            </w:r>
          </w:p>
        </w:tc>
        <w:tc>
          <w:tcPr>
            <w:tcW w:w="1249" w:type="pct"/>
          </w:tcPr>
          <w:p w14:paraId="17A887D8" w14:textId="77777777" w:rsidR="00770656" w:rsidRPr="00551FBB" w:rsidRDefault="00770656"/>
        </w:tc>
        <w:tc>
          <w:tcPr>
            <w:tcW w:w="1250" w:type="pct"/>
            <w:shd w:val="clear" w:color="auto" w:fill="F8D1CC" w:themeFill="accent5" w:themeFillTint="33"/>
          </w:tcPr>
          <w:p w14:paraId="37702F4E" w14:textId="77777777" w:rsidR="00770656" w:rsidRPr="00551FBB" w:rsidRDefault="00770656">
            <w:r w:rsidRPr="002267D0">
              <w:t>How should the set of relevant evidence be distilled into a single MRP point estimate?</w:t>
            </w:r>
            <w:r>
              <w:rPr>
                <w:color w:val="FF0000"/>
              </w:rPr>
              <w:br/>
              <w:t>What position did we take about data questions in the end?</w:t>
            </w:r>
          </w:p>
        </w:tc>
        <w:tc>
          <w:tcPr>
            <w:tcW w:w="1250" w:type="pct"/>
            <w:shd w:val="clear" w:color="auto" w:fill="F5E2A5" w:themeFill="accent3" w:themeFillTint="66"/>
          </w:tcPr>
          <w:p w14:paraId="65D381E6" w14:textId="77777777" w:rsidR="00770656" w:rsidRPr="00252A38" w:rsidRDefault="00521202">
            <w:r w:rsidRPr="00252A38">
              <w:t>Medium</w:t>
            </w:r>
          </w:p>
        </w:tc>
      </w:tr>
      <w:tr w:rsidR="00770656" w:rsidRPr="00551FBB" w14:paraId="135E09B3" w14:textId="77777777" w:rsidTr="00266416">
        <w:tc>
          <w:tcPr>
            <w:tcW w:w="1250" w:type="pct"/>
          </w:tcPr>
          <w:p w14:paraId="5D799E01" w14:textId="77777777" w:rsidR="00770656" w:rsidRDefault="00770656" w:rsidP="00DC7D90">
            <w:pPr>
              <w:pStyle w:val="Style2"/>
            </w:pPr>
            <w:r>
              <w:t>Role of out-turn</w:t>
            </w:r>
          </w:p>
        </w:tc>
        <w:tc>
          <w:tcPr>
            <w:tcW w:w="1249" w:type="pct"/>
            <w:shd w:val="clear" w:color="auto" w:fill="F8D1CC" w:themeFill="accent5" w:themeFillTint="33"/>
          </w:tcPr>
          <w:p w14:paraId="1DAF6BC0" w14:textId="77777777" w:rsidR="00770656" w:rsidRPr="00551FBB" w:rsidRDefault="00770656">
            <w:r w:rsidRPr="00021FC3">
              <w:t>How should profitability of networks’ and their RAB (trading and acquisition) multiples influence the final rate of return (or component) point estimate</w:t>
            </w:r>
          </w:p>
        </w:tc>
        <w:tc>
          <w:tcPr>
            <w:tcW w:w="1250" w:type="pct"/>
          </w:tcPr>
          <w:p w14:paraId="6DC560FD" w14:textId="77777777" w:rsidR="00770656" w:rsidRPr="002267D0" w:rsidRDefault="00770656"/>
        </w:tc>
        <w:tc>
          <w:tcPr>
            <w:tcW w:w="1250" w:type="pct"/>
            <w:shd w:val="clear" w:color="auto" w:fill="B7E995" w:themeFill="accent2" w:themeFillTint="66"/>
          </w:tcPr>
          <w:p w14:paraId="4826CB9C" w14:textId="77777777" w:rsidR="00770656" w:rsidRPr="00252A38" w:rsidRDefault="00AD761A">
            <w:r w:rsidRPr="00252A38">
              <w:t>Low – but happy to discuss separately further into AER network profitability project</w:t>
            </w:r>
          </w:p>
        </w:tc>
      </w:tr>
      <w:tr w:rsidR="00770656" w14:paraId="3EEA9B13" w14:textId="77777777" w:rsidTr="00CB7B57">
        <w:tc>
          <w:tcPr>
            <w:tcW w:w="1250" w:type="pct"/>
          </w:tcPr>
          <w:p w14:paraId="19A6CC54" w14:textId="77777777" w:rsidR="00770656" w:rsidRDefault="00770656">
            <w:r>
              <w:t>WACC=(1-G)*Re + G*Rd</w:t>
            </w:r>
          </w:p>
        </w:tc>
        <w:tc>
          <w:tcPr>
            <w:tcW w:w="1249" w:type="pct"/>
          </w:tcPr>
          <w:p w14:paraId="2EF9841D" w14:textId="77777777" w:rsidR="00770656" w:rsidRDefault="00770656"/>
        </w:tc>
        <w:tc>
          <w:tcPr>
            <w:tcW w:w="1250" w:type="pct"/>
          </w:tcPr>
          <w:p w14:paraId="354E1EF5" w14:textId="77777777" w:rsidR="00770656" w:rsidRDefault="00770656"/>
        </w:tc>
        <w:tc>
          <w:tcPr>
            <w:tcW w:w="1250" w:type="pct"/>
            <w:shd w:val="clear" w:color="auto" w:fill="auto"/>
          </w:tcPr>
          <w:p w14:paraId="11066F5A" w14:textId="77777777" w:rsidR="00770656" w:rsidRPr="00252A38" w:rsidRDefault="00770656"/>
        </w:tc>
      </w:tr>
      <w:tr w:rsidR="00770656" w14:paraId="7377811C" w14:textId="77777777" w:rsidTr="00266416">
        <w:tc>
          <w:tcPr>
            <w:tcW w:w="1250" w:type="pct"/>
          </w:tcPr>
          <w:p w14:paraId="494BF767" w14:textId="77777777" w:rsidR="00770656" w:rsidRDefault="00770656" w:rsidP="00DC7D90">
            <w:pPr>
              <w:pStyle w:val="Style2"/>
            </w:pPr>
            <w:r>
              <w:t xml:space="preserve">G = gearing </w:t>
            </w:r>
          </w:p>
        </w:tc>
        <w:tc>
          <w:tcPr>
            <w:tcW w:w="1249" w:type="pct"/>
            <w:shd w:val="clear" w:color="auto" w:fill="F8D1CC" w:themeFill="accent5" w:themeFillTint="33"/>
          </w:tcPr>
          <w:p w14:paraId="025EF98C" w14:textId="77777777" w:rsidR="00770656" w:rsidRDefault="00770656">
            <w:r w:rsidRPr="00021FC3">
              <w:t>Is ther</w:t>
            </w:r>
            <w:r>
              <w:t>e</w:t>
            </w:r>
            <w:r w:rsidRPr="00021FC3">
              <w:t xml:space="preserve"> sufficient relevant market data to determine an estimate for gearing for an efficient network business?</w:t>
            </w:r>
          </w:p>
        </w:tc>
        <w:tc>
          <w:tcPr>
            <w:tcW w:w="1250" w:type="pct"/>
            <w:shd w:val="clear" w:color="auto" w:fill="E9F6D0" w:themeFill="accent1" w:themeFillTint="33"/>
          </w:tcPr>
          <w:p w14:paraId="10981C25" w14:textId="77777777" w:rsidR="00770656" w:rsidRDefault="00770656" w:rsidP="00F91AAF">
            <w:r>
              <w:t>Application of settled AER approach to updated data</w:t>
            </w:r>
          </w:p>
          <w:p w14:paraId="367C7855" w14:textId="77777777" w:rsidR="00770656" w:rsidRDefault="00770656" w:rsidP="00F91AAF">
            <w:r>
              <w:t>‘Low hanging fruit’ – approach to benchmark gearing assumptions and evidence</w:t>
            </w:r>
          </w:p>
        </w:tc>
        <w:tc>
          <w:tcPr>
            <w:tcW w:w="1250" w:type="pct"/>
            <w:shd w:val="clear" w:color="auto" w:fill="B7E995" w:themeFill="accent2" w:themeFillTint="66"/>
          </w:tcPr>
          <w:p w14:paraId="60212AE5" w14:textId="77777777" w:rsidR="00770656" w:rsidRPr="00252A38" w:rsidRDefault="00521202" w:rsidP="00F91AAF">
            <w:r w:rsidRPr="00252A38">
              <w:t xml:space="preserve">Low </w:t>
            </w:r>
          </w:p>
        </w:tc>
      </w:tr>
      <w:tr w:rsidR="00770656" w14:paraId="67360628" w14:textId="77777777" w:rsidTr="00266416">
        <w:tc>
          <w:tcPr>
            <w:tcW w:w="1250" w:type="pct"/>
          </w:tcPr>
          <w:p w14:paraId="4AA0FAEB" w14:textId="77777777" w:rsidR="00770656" w:rsidRDefault="00770656" w:rsidP="00DC7D90">
            <w:pPr>
              <w:pStyle w:val="Style3"/>
            </w:pPr>
            <w:r>
              <w:t>Data for unlisted companies</w:t>
            </w:r>
          </w:p>
        </w:tc>
        <w:tc>
          <w:tcPr>
            <w:tcW w:w="1249" w:type="pct"/>
            <w:shd w:val="clear" w:color="auto" w:fill="F8D1CC" w:themeFill="accent5" w:themeFillTint="33"/>
          </w:tcPr>
          <w:p w14:paraId="1CC6EB01" w14:textId="77777777" w:rsidR="00770656" w:rsidRPr="0087206A" w:rsidRDefault="00770656" w:rsidP="0087206A">
            <w:r w:rsidRPr="0087206A">
              <w:t>How should data relating to privately owned/non-listed entities debt be accounted for in calculating gearing?</w:t>
            </w:r>
          </w:p>
          <w:p w14:paraId="163252D8" w14:textId="77777777" w:rsidR="00770656" w:rsidRDefault="00770656">
            <w:r w:rsidRPr="0087206A">
              <w:t xml:space="preserve">Should overseas ownership, and parent companies’ financing </w:t>
            </w:r>
            <w:r w:rsidRPr="0087206A">
              <w:lastRenderedPageBreak/>
              <w:t>acquisitions of network equity entirely from parent-company debt, be accounted for in determining gearing and how?</w:t>
            </w:r>
          </w:p>
        </w:tc>
        <w:tc>
          <w:tcPr>
            <w:tcW w:w="1250" w:type="pct"/>
          </w:tcPr>
          <w:p w14:paraId="23A0D4E7" w14:textId="77777777" w:rsidR="00770656" w:rsidRDefault="00770656" w:rsidP="008346B4"/>
        </w:tc>
        <w:tc>
          <w:tcPr>
            <w:tcW w:w="1250" w:type="pct"/>
            <w:shd w:val="clear" w:color="auto" w:fill="F5E2A5" w:themeFill="accent3" w:themeFillTint="66"/>
          </w:tcPr>
          <w:p w14:paraId="6C1470BD" w14:textId="77777777" w:rsidR="00770656" w:rsidRPr="00252A38" w:rsidRDefault="00AD761A" w:rsidP="008346B4">
            <w:r w:rsidRPr="00252A38">
              <w:t>Medium</w:t>
            </w:r>
          </w:p>
        </w:tc>
      </w:tr>
      <w:tr w:rsidR="00770656" w14:paraId="1BE13EDB" w14:textId="77777777" w:rsidTr="00266416">
        <w:tc>
          <w:tcPr>
            <w:tcW w:w="1250" w:type="pct"/>
          </w:tcPr>
          <w:p w14:paraId="1E972458" w14:textId="77777777" w:rsidR="00770656" w:rsidRDefault="00770656" w:rsidP="00DC7D90">
            <w:pPr>
              <w:pStyle w:val="Style3"/>
            </w:pPr>
            <w:r>
              <w:t>Risk of vicious loop</w:t>
            </w:r>
          </w:p>
        </w:tc>
        <w:tc>
          <w:tcPr>
            <w:tcW w:w="1249" w:type="pct"/>
            <w:shd w:val="clear" w:color="auto" w:fill="F8D1CC" w:themeFill="accent5" w:themeFillTint="33"/>
          </w:tcPr>
          <w:p w14:paraId="275A0874" w14:textId="77777777" w:rsidR="00770656" w:rsidRPr="0087206A" w:rsidRDefault="00770656" w:rsidP="0087206A">
            <w:r w:rsidRPr="0087206A">
              <w:t>Is the relationship between equity beta and gearing a ‘vicious/virtuous’ feedback loop if gearing is based on market value/enterprise value of the entity?</w:t>
            </w:r>
          </w:p>
        </w:tc>
        <w:tc>
          <w:tcPr>
            <w:tcW w:w="1250" w:type="pct"/>
          </w:tcPr>
          <w:p w14:paraId="440324BB" w14:textId="77777777" w:rsidR="00770656" w:rsidRDefault="00770656" w:rsidP="008346B4"/>
        </w:tc>
        <w:tc>
          <w:tcPr>
            <w:tcW w:w="1250" w:type="pct"/>
            <w:shd w:val="clear" w:color="auto" w:fill="9EB5BF" w:themeFill="text2" w:themeFillTint="66"/>
          </w:tcPr>
          <w:p w14:paraId="47A4E490" w14:textId="77777777" w:rsidR="00770656" w:rsidRPr="00252A38" w:rsidRDefault="00AD761A" w:rsidP="008346B4">
            <w:r w:rsidRPr="00252A38">
              <w:t>Propose discuss at a joint ENA-CRG Experts Session?</w:t>
            </w:r>
          </w:p>
        </w:tc>
      </w:tr>
      <w:tr w:rsidR="00770656" w14:paraId="0569573B" w14:textId="77777777" w:rsidTr="00266416">
        <w:tc>
          <w:tcPr>
            <w:tcW w:w="1250" w:type="pct"/>
          </w:tcPr>
          <w:p w14:paraId="2B352988" w14:textId="77777777" w:rsidR="00770656" w:rsidRDefault="00770656" w:rsidP="00DC7D90">
            <w:pPr>
              <w:pStyle w:val="Style3"/>
            </w:pPr>
            <w:r>
              <w:t>Appropriate categorisation</w:t>
            </w:r>
          </w:p>
        </w:tc>
        <w:tc>
          <w:tcPr>
            <w:tcW w:w="1249" w:type="pct"/>
            <w:shd w:val="clear" w:color="auto" w:fill="F8D1CC" w:themeFill="accent5" w:themeFillTint="33"/>
          </w:tcPr>
          <w:p w14:paraId="3187154F" w14:textId="77777777" w:rsidR="00770656" w:rsidRPr="0087206A" w:rsidRDefault="00770656" w:rsidP="0087206A">
            <w:r>
              <w:t>Should the business obtain a rate of return on equity or on debt for retained earnings, revaluation values?</w:t>
            </w:r>
          </w:p>
        </w:tc>
        <w:tc>
          <w:tcPr>
            <w:tcW w:w="1250" w:type="pct"/>
          </w:tcPr>
          <w:p w14:paraId="26493571" w14:textId="77777777" w:rsidR="00770656" w:rsidRDefault="00770656" w:rsidP="008346B4"/>
        </w:tc>
        <w:tc>
          <w:tcPr>
            <w:tcW w:w="1250" w:type="pct"/>
            <w:shd w:val="clear" w:color="auto" w:fill="9EB5BF" w:themeFill="text2" w:themeFillTint="66"/>
          </w:tcPr>
          <w:p w14:paraId="6193FD4D" w14:textId="77777777" w:rsidR="00770656" w:rsidRPr="00252A38" w:rsidRDefault="00AD761A" w:rsidP="008346B4">
            <w:r w:rsidRPr="00252A38">
              <w:t>Propose discuss at a joint ENA-CRG Experts Session?</w:t>
            </w:r>
          </w:p>
        </w:tc>
      </w:tr>
      <w:tr w:rsidR="00770656" w14:paraId="09272591" w14:textId="77777777" w:rsidTr="00266416">
        <w:tc>
          <w:tcPr>
            <w:tcW w:w="1250" w:type="pct"/>
          </w:tcPr>
          <w:p w14:paraId="35442742" w14:textId="77777777" w:rsidR="00770656" w:rsidRDefault="00770656" w:rsidP="00DC7D90">
            <w:pPr>
              <w:pStyle w:val="Style3"/>
            </w:pPr>
            <w:r>
              <w:t>Apportioning debt</w:t>
            </w:r>
          </w:p>
        </w:tc>
        <w:tc>
          <w:tcPr>
            <w:tcW w:w="1249" w:type="pct"/>
            <w:shd w:val="clear" w:color="auto" w:fill="F8D1CC" w:themeFill="accent5" w:themeFillTint="33"/>
          </w:tcPr>
          <w:p w14:paraId="12A2EAFE" w14:textId="77777777" w:rsidR="00770656" w:rsidRDefault="00770656" w:rsidP="0087206A">
            <w:r>
              <w:t>If a business has regulated and unregulated assets, how much of the debt should be assigned to each?</w:t>
            </w:r>
          </w:p>
        </w:tc>
        <w:tc>
          <w:tcPr>
            <w:tcW w:w="1250" w:type="pct"/>
          </w:tcPr>
          <w:p w14:paraId="0F1DC7DA" w14:textId="77777777" w:rsidR="00770656" w:rsidRDefault="00770656" w:rsidP="008346B4"/>
        </w:tc>
        <w:tc>
          <w:tcPr>
            <w:tcW w:w="1250" w:type="pct"/>
            <w:shd w:val="clear" w:color="auto" w:fill="9EB5BF" w:themeFill="text2" w:themeFillTint="66"/>
          </w:tcPr>
          <w:p w14:paraId="0488A4CE" w14:textId="77777777" w:rsidR="00770656" w:rsidRPr="00252A38" w:rsidRDefault="00AD761A" w:rsidP="008346B4">
            <w:r w:rsidRPr="00252A38">
              <w:t>Propose discuss at a joint ENA-CRG Experts Session?</w:t>
            </w:r>
          </w:p>
        </w:tc>
      </w:tr>
      <w:tr w:rsidR="00770656" w14:paraId="1D1E9001" w14:textId="77777777" w:rsidTr="00F80488">
        <w:tc>
          <w:tcPr>
            <w:tcW w:w="1250" w:type="pct"/>
          </w:tcPr>
          <w:p w14:paraId="3DD8DE07" w14:textId="77777777" w:rsidR="00770656" w:rsidRDefault="00770656" w:rsidP="00DC7D90">
            <w:pPr>
              <w:pStyle w:val="Style2"/>
            </w:pPr>
            <w:r>
              <w:t>Re=</w:t>
            </w:r>
            <w:proofErr w:type="spellStart"/>
            <w:r>
              <w:t>Rrf</w:t>
            </w:r>
            <w:proofErr w:type="spellEnd"/>
            <w:r>
              <w:t xml:space="preserve"> + Beta*MRP = Return on equity</w:t>
            </w:r>
          </w:p>
        </w:tc>
        <w:tc>
          <w:tcPr>
            <w:tcW w:w="1249" w:type="pct"/>
          </w:tcPr>
          <w:p w14:paraId="43CA8EC8" w14:textId="77777777" w:rsidR="00770656" w:rsidRDefault="00770656"/>
        </w:tc>
        <w:tc>
          <w:tcPr>
            <w:tcW w:w="1250" w:type="pct"/>
            <w:shd w:val="clear" w:color="auto" w:fill="E9F6D0" w:themeFill="accent1" w:themeFillTint="33"/>
          </w:tcPr>
          <w:p w14:paraId="4CD45922" w14:textId="77777777" w:rsidR="00770656" w:rsidRDefault="00770656">
            <w:r w:rsidRPr="00777BC3">
              <w:rPr>
                <w:lang w:val="en-US"/>
              </w:rPr>
              <w:t xml:space="preserve">Broad agreement to apply incremental approach to past AER approach to reach </w:t>
            </w:r>
            <w:r w:rsidRPr="00777BC3">
              <w:rPr>
                <w:b/>
                <w:lang w:val="en-US"/>
              </w:rPr>
              <w:t>more stable</w:t>
            </w:r>
            <w:r w:rsidRPr="00777BC3">
              <w:rPr>
                <w:lang w:val="en-US"/>
              </w:rPr>
              <w:t xml:space="preserve"> allowances/prices that are capable of acceptance</w:t>
            </w:r>
          </w:p>
        </w:tc>
        <w:tc>
          <w:tcPr>
            <w:tcW w:w="1250" w:type="pct"/>
            <w:shd w:val="clear" w:color="auto" w:fill="EA7666" w:themeFill="accent5" w:themeFillTint="99"/>
          </w:tcPr>
          <w:p w14:paraId="096C5C53" w14:textId="77777777" w:rsidR="00770656" w:rsidRPr="00252A38" w:rsidRDefault="00AD761A">
            <w:pPr>
              <w:rPr>
                <w:lang w:val="en-US"/>
              </w:rPr>
            </w:pPr>
            <w:r w:rsidRPr="00252A38">
              <w:rPr>
                <w:lang w:val="en-US"/>
              </w:rPr>
              <w:t>High</w:t>
            </w:r>
          </w:p>
        </w:tc>
      </w:tr>
      <w:tr w:rsidR="00770656" w14:paraId="2E8E7797" w14:textId="77777777" w:rsidTr="00CB7B57">
        <w:tc>
          <w:tcPr>
            <w:tcW w:w="1250" w:type="pct"/>
          </w:tcPr>
          <w:p w14:paraId="38874484" w14:textId="77777777" w:rsidR="00770656" w:rsidRDefault="00770656" w:rsidP="00DC7D90">
            <w:pPr>
              <w:pStyle w:val="Style3"/>
            </w:pPr>
            <w:proofErr w:type="spellStart"/>
            <w:r>
              <w:t>Rrf</w:t>
            </w:r>
            <w:proofErr w:type="spellEnd"/>
            <w:r>
              <w:t xml:space="preserve"> = Risk Free Rate</w:t>
            </w:r>
          </w:p>
        </w:tc>
        <w:tc>
          <w:tcPr>
            <w:tcW w:w="1249" w:type="pct"/>
          </w:tcPr>
          <w:p w14:paraId="385C40BD" w14:textId="77777777" w:rsidR="00770656" w:rsidRDefault="00770656"/>
        </w:tc>
        <w:tc>
          <w:tcPr>
            <w:tcW w:w="1250" w:type="pct"/>
          </w:tcPr>
          <w:p w14:paraId="462C62C2" w14:textId="77777777" w:rsidR="00770656" w:rsidRDefault="00770656"/>
        </w:tc>
        <w:tc>
          <w:tcPr>
            <w:tcW w:w="1250" w:type="pct"/>
            <w:shd w:val="clear" w:color="auto" w:fill="auto"/>
          </w:tcPr>
          <w:p w14:paraId="2FD58CFC" w14:textId="77777777" w:rsidR="00770656" w:rsidRPr="00252A38" w:rsidRDefault="00770656"/>
        </w:tc>
      </w:tr>
      <w:tr w:rsidR="00770656" w14:paraId="731AC3F9" w14:textId="77777777" w:rsidTr="00266416">
        <w:tc>
          <w:tcPr>
            <w:tcW w:w="1250" w:type="pct"/>
          </w:tcPr>
          <w:p w14:paraId="2A8E9FBE" w14:textId="77777777" w:rsidR="00770656" w:rsidRDefault="00770656" w:rsidP="00777BC3">
            <w:pPr>
              <w:pStyle w:val="Style4"/>
            </w:pPr>
            <w:r>
              <w:t>Term and Averaging period</w:t>
            </w:r>
          </w:p>
        </w:tc>
        <w:tc>
          <w:tcPr>
            <w:tcW w:w="1249" w:type="pct"/>
            <w:shd w:val="clear" w:color="auto" w:fill="E9F6D0" w:themeFill="accent1" w:themeFillTint="33"/>
          </w:tcPr>
          <w:p w14:paraId="3C93053B" w14:textId="77777777" w:rsidR="00770656" w:rsidRDefault="00770656" w:rsidP="00777BC3">
            <w:r>
              <w:t>Low hanging fruit</w:t>
            </w:r>
          </w:p>
        </w:tc>
        <w:tc>
          <w:tcPr>
            <w:tcW w:w="1250" w:type="pct"/>
            <w:shd w:val="clear" w:color="auto" w:fill="E9F6D0" w:themeFill="accent1" w:themeFillTint="33"/>
          </w:tcPr>
          <w:p w14:paraId="6F3C6DAA" w14:textId="77777777" w:rsidR="00770656" w:rsidRDefault="00770656" w:rsidP="00777BC3">
            <w:r w:rsidRPr="008346B4">
              <w:t>Shared concern on unstable/lottery type outcomes for customers</w:t>
            </w:r>
            <w:r>
              <w:br/>
              <w:t>Low hanging fruit  avoiding unnecessary volatility’</w:t>
            </w:r>
          </w:p>
        </w:tc>
        <w:tc>
          <w:tcPr>
            <w:tcW w:w="1250" w:type="pct"/>
            <w:shd w:val="clear" w:color="auto" w:fill="B7E995" w:themeFill="accent2" w:themeFillTint="66"/>
          </w:tcPr>
          <w:p w14:paraId="7C480CAA" w14:textId="77777777" w:rsidR="00770656" w:rsidRPr="00252A38" w:rsidRDefault="00AD761A" w:rsidP="00777BC3">
            <w:r w:rsidRPr="00252A38">
              <w:t>Low</w:t>
            </w:r>
          </w:p>
        </w:tc>
      </w:tr>
      <w:tr w:rsidR="00770656" w14:paraId="2F971FC6" w14:textId="77777777" w:rsidTr="00266416">
        <w:tc>
          <w:tcPr>
            <w:tcW w:w="1250" w:type="pct"/>
          </w:tcPr>
          <w:p w14:paraId="64DD2F26" w14:textId="77777777" w:rsidR="00770656" w:rsidRDefault="00770656" w:rsidP="00777BC3">
            <w:pPr>
              <w:pStyle w:val="Style4"/>
            </w:pPr>
            <w:r>
              <w:t>Benchmark approach to setting risk free rate</w:t>
            </w:r>
          </w:p>
        </w:tc>
        <w:tc>
          <w:tcPr>
            <w:tcW w:w="1249" w:type="pct"/>
          </w:tcPr>
          <w:p w14:paraId="1466C336" w14:textId="77777777" w:rsidR="00770656" w:rsidRDefault="00770656" w:rsidP="00777BC3"/>
        </w:tc>
        <w:tc>
          <w:tcPr>
            <w:tcW w:w="1250" w:type="pct"/>
            <w:shd w:val="clear" w:color="auto" w:fill="E9F6D0" w:themeFill="accent1" w:themeFillTint="33"/>
          </w:tcPr>
          <w:p w14:paraId="455BB281" w14:textId="77777777" w:rsidR="00770656" w:rsidRPr="008346B4" w:rsidRDefault="00770656" w:rsidP="00777BC3">
            <w:r>
              <w:t>‘Low hanging fruit’</w:t>
            </w:r>
          </w:p>
        </w:tc>
        <w:tc>
          <w:tcPr>
            <w:tcW w:w="1250" w:type="pct"/>
            <w:shd w:val="clear" w:color="auto" w:fill="F5E2A5" w:themeFill="accent3" w:themeFillTint="66"/>
          </w:tcPr>
          <w:p w14:paraId="69DBC811" w14:textId="77777777" w:rsidR="00770656" w:rsidRPr="00252A38" w:rsidRDefault="00AD761A" w:rsidP="00777BC3">
            <w:r w:rsidRPr="00252A38">
              <w:t>Medium</w:t>
            </w:r>
          </w:p>
        </w:tc>
      </w:tr>
      <w:tr w:rsidR="00770656" w14:paraId="6BE2CF88" w14:textId="77777777" w:rsidTr="00CB7B57">
        <w:tc>
          <w:tcPr>
            <w:tcW w:w="1250" w:type="pct"/>
          </w:tcPr>
          <w:p w14:paraId="53AAC279" w14:textId="77777777" w:rsidR="00770656" w:rsidRDefault="00770656" w:rsidP="00777BC3">
            <w:pPr>
              <w:pStyle w:val="Style3"/>
            </w:pPr>
            <w:r>
              <w:t>Beta = Equity Beta</w:t>
            </w:r>
          </w:p>
        </w:tc>
        <w:tc>
          <w:tcPr>
            <w:tcW w:w="1249" w:type="pct"/>
          </w:tcPr>
          <w:p w14:paraId="58F38A1A" w14:textId="77777777" w:rsidR="00770656" w:rsidRDefault="00770656" w:rsidP="00777BC3"/>
        </w:tc>
        <w:tc>
          <w:tcPr>
            <w:tcW w:w="1250" w:type="pct"/>
          </w:tcPr>
          <w:p w14:paraId="1205E1BD" w14:textId="77777777" w:rsidR="00770656" w:rsidRDefault="00770656" w:rsidP="00777BC3"/>
        </w:tc>
        <w:tc>
          <w:tcPr>
            <w:tcW w:w="1250" w:type="pct"/>
            <w:shd w:val="clear" w:color="auto" w:fill="auto"/>
          </w:tcPr>
          <w:p w14:paraId="06B1BE6B" w14:textId="77777777" w:rsidR="00770656" w:rsidRPr="00252A38" w:rsidRDefault="00770656" w:rsidP="00777BC3"/>
        </w:tc>
      </w:tr>
      <w:tr w:rsidR="00770656" w14:paraId="31AE5E3C" w14:textId="77777777" w:rsidTr="00F80488">
        <w:tc>
          <w:tcPr>
            <w:tcW w:w="1250" w:type="pct"/>
          </w:tcPr>
          <w:p w14:paraId="77408B3D" w14:textId="77777777" w:rsidR="00770656" w:rsidRDefault="00770656" w:rsidP="00777BC3">
            <w:pPr>
              <w:pStyle w:val="Style4"/>
            </w:pPr>
            <w:r>
              <w:t>Sample size</w:t>
            </w:r>
          </w:p>
        </w:tc>
        <w:tc>
          <w:tcPr>
            <w:tcW w:w="1249" w:type="pct"/>
            <w:shd w:val="clear" w:color="auto" w:fill="F8D1CC" w:themeFill="accent5" w:themeFillTint="33"/>
          </w:tcPr>
          <w:p w14:paraId="022AA6AA" w14:textId="77777777" w:rsidR="00770656" w:rsidRDefault="00770656" w:rsidP="00777BC3">
            <w:r w:rsidRPr="00403F42">
              <w:t xml:space="preserve">Is there sufficient data and are there other improvements, such </w:t>
            </w:r>
            <w:r w:rsidRPr="00403F42">
              <w:lastRenderedPageBreak/>
              <w:t>as where network businesses sit relative to other industries, that can be informative in setting the point estimate?</w:t>
            </w:r>
          </w:p>
        </w:tc>
        <w:tc>
          <w:tcPr>
            <w:tcW w:w="1250" w:type="pct"/>
            <w:shd w:val="clear" w:color="auto" w:fill="F8D1CC" w:themeFill="accent5" w:themeFillTint="33"/>
          </w:tcPr>
          <w:p w14:paraId="394872D8" w14:textId="77777777" w:rsidR="00770656" w:rsidRDefault="00770656" w:rsidP="00777BC3">
            <w:r w:rsidRPr="00C23E55">
              <w:lastRenderedPageBreak/>
              <w:t xml:space="preserve">Can a reliable estimate of equity beta, or a reliable range, be </w:t>
            </w:r>
            <w:r w:rsidRPr="00C23E55">
              <w:lastRenderedPageBreak/>
              <w:t>obtained from the three remaining firms? If not, how can the reliability of equity beta estimates used by the AER be improved</w:t>
            </w:r>
            <w:r>
              <w:t>?</w:t>
            </w:r>
          </w:p>
        </w:tc>
        <w:tc>
          <w:tcPr>
            <w:tcW w:w="1250" w:type="pct"/>
            <w:shd w:val="clear" w:color="auto" w:fill="EA7666" w:themeFill="accent5" w:themeFillTint="99"/>
          </w:tcPr>
          <w:p w14:paraId="2B6A8CF5" w14:textId="77777777" w:rsidR="00770656" w:rsidRPr="00252A38" w:rsidRDefault="00AD761A" w:rsidP="00777BC3">
            <w:r w:rsidRPr="00252A38">
              <w:lastRenderedPageBreak/>
              <w:t>High</w:t>
            </w:r>
          </w:p>
        </w:tc>
      </w:tr>
      <w:tr w:rsidR="00770656" w14:paraId="29B4CB39" w14:textId="77777777" w:rsidTr="00266416">
        <w:tc>
          <w:tcPr>
            <w:tcW w:w="1250" w:type="pct"/>
          </w:tcPr>
          <w:p w14:paraId="0961E55D" w14:textId="77777777" w:rsidR="00770656" w:rsidRDefault="00770656" w:rsidP="00777BC3">
            <w:pPr>
              <w:pStyle w:val="Style4"/>
            </w:pPr>
            <w:r>
              <w:t>Levering</w:t>
            </w:r>
          </w:p>
        </w:tc>
        <w:tc>
          <w:tcPr>
            <w:tcW w:w="1249" w:type="pct"/>
          </w:tcPr>
          <w:p w14:paraId="0BA8D1CB" w14:textId="77777777" w:rsidR="00770656" w:rsidRDefault="00770656" w:rsidP="00777BC3"/>
        </w:tc>
        <w:tc>
          <w:tcPr>
            <w:tcW w:w="1250" w:type="pct"/>
            <w:shd w:val="clear" w:color="auto" w:fill="F8D1CC" w:themeFill="accent5" w:themeFillTint="33"/>
          </w:tcPr>
          <w:p w14:paraId="66850447" w14:textId="77777777" w:rsidR="00770656" w:rsidRDefault="00770656" w:rsidP="00777BC3">
            <w:pPr>
              <w:rPr>
                <w:color w:val="FF0000"/>
              </w:rPr>
            </w:pPr>
            <w:r w:rsidRPr="00C23E55">
              <w:t>Should equity beta estimates be re-levered to the 60% gearing of the BEE</w:t>
            </w:r>
            <w:r>
              <w:t xml:space="preserve">? </w:t>
            </w:r>
            <w:r>
              <w:br/>
            </w:r>
            <w:r>
              <w:rPr>
                <w:color w:val="FF0000"/>
              </w:rPr>
              <w:t>(</w:t>
            </w:r>
            <w:r w:rsidR="00AD761A">
              <w:rPr>
                <w:color w:val="FF0000"/>
              </w:rPr>
              <w:t xml:space="preserve">DH: </w:t>
            </w:r>
            <w:r>
              <w:rPr>
                <w:color w:val="FF0000"/>
              </w:rPr>
              <w:t>I thought they were)</w:t>
            </w:r>
            <w:r w:rsidR="00AD761A">
              <w:rPr>
                <w:color w:val="FF0000"/>
              </w:rPr>
              <w:t xml:space="preserve"> </w:t>
            </w:r>
          </w:p>
          <w:p w14:paraId="18020617" w14:textId="77777777" w:rsidR="00AD761A" w:rsidRPr="00C23E55" w:rsidRDefault="00AD761A" w:rsidP="00777BC3">
            <w:pPr>
              <w:rPr>
                <w:color w:val="FF0000"/>
              </w:rPr>
            </w:pPr>
            <w:r>
              <w:rPr>
                <w:color w:val="FF0000"/>
              </w:rPr>
              <w:t>(GC: that is standard, however AER has elsewhere compared betas without undertaking this)</w:t>
            </w:r>
          </w:p>
        </w:tc>
        <w:tc>
          <w:tcPr>
            <w:tcW w:w="1250" w:type="pct"/>
            <w:shd w:val="clear" w:color="auto" w:fill="F5E2A5" w:themeFill="accent3" w:themeFillTint="66"/>
          </w:tcPr>
          <w:p w14:paraId="20B06238" w14:textId="77777777" w:rsidR="00770656" w:rsidRPr="00252A38" w:rsidRDefault="00266416" w:rsidP="00777BC3">
            <w:r w:rsidRPr="00252A38">
              <w:t>Medium</w:t>
            </w:r>
          </w:p>
        </w:tc>
      </w:tr>
      <w:tr w:rsidR="00770656" w14:paraId="3A6165B4" w14:textId="77777777" w:rsidTr="00266416">
        <w:tc>
          <w:tcPr>
            <w:tcW w:w="1250" w:type="pct"/>
          </w:tcPr>
          <w:p w14:paraId="17E50B1F" w14:textId="77777777" w:rsidR="00770656" w:rsidRDefault="00770656" w:rsidP="00777BC3">
            <w:pPr>
              <w:pStyle w:val="Style4"/>
            </w:pPr>
            <w:r>
              <w:t>Overseas data</w:t>
            </w:r>
          </w:p>
        </w:tc>
        <w:tc>
          <w:tcPr>
            <w:tcW w:w="1249" w:type="pct"/>
          </w:tcPr>
          <w:p w14:paraId="48E86DB1" w14:textId="77777777" w:rsidR="00770656" w:rsidRDefault="00770656" w:rsidP="00777BC3"/>
        </w:tc>
        <w:tc>
          <w:tcPr>
            <w:tcW w:w="1250" w:type="pct"/>
            <w:shd w:val="clear" w:color="auto" w:fill="F8D1CC" w:themeFill="accent5" w:themeFillTint="33"/>
          </w:tcPr>
          <w:p w14:paraId="17C4F971" w14:textId="77777777" w:rsidR="00770656" w:rsidRPr="00C23E55" w:rsidRDefault="00770656" w:rsidP="00777BC3">
            <w:r w:rsidRPr="00C23E55">
              <w:rPr>
                <w:lang w:val="en-NZ"/>
              </w:rPr>
              <w:t>What is the appropriate role for the evidence on equity betas of overseas energy network businesses?</w:t>
            </w:r>
          </w:p>
        </w:tc>
        <w:tc>
          <w:tcPr>
            <w:tcW w:w="1250" w:type="pct"/>
            <w:shd w:val="clear" w:color="auto" w:fill="F5E2A5" w:themeFill="accent3" w:themeFillTint="66"/>
          </w:tcPr>
          <w:p w14:paraId="7AA22B3B" w14:textId="77777777" w:rsidR="00770656" w:rsidRPr="00252A38" w:rsidRDefault="00AD761A" w:rsidP="00777BC3">
            <w:pPr>
              <w:rPr>
                <w:lang w:val="en-NZ"/>
              </w:rPr>
            </w:pPr>
            <w:r w:rsidRPr="00252A38">
              <w:rPr>
                <w:lang w:val="en-NZ"/>
              </w:rPr>
              <w:t>Medium</w:t>
            </w:r>
          </w:p>
        </w:tc>
      </w:tr>
      <w:tr w:rsidR="00770656" w14:paraId="1EDD244B" w14:textId="77777777" w:rsidTr="00266416">
        <w:tc>
          <w:tcPr>
            <w:tcW w:w="1250" w:type="pct"/>
          </w:tcPr>
          <w:p w14:paraId="45877A30" w14:textId="77777777" w:rsidR="00770656" w:rsidRDefault="00770656" w:rsidP="00777BC3">
            <w:pPr>
              <w:pStyle w:val="Style4"/>
            </w:pPr>
            <w:r>
              <w:t>Other Infrastructure data</w:t>
            </w:r>
          </w:p>
        </w:tc>
        <w:tc>
          <w:tcPr>
            <w:tcW w:w="1249" w:type="pct"/>
          </w:tcPr>
          <w:p w14:paraId="79676E6F" w14:textId="77777777" w:rsidR="00770656" w:rsidRDefault="00770656" w:rsidP="00777BC3"/>
        </w:tc>
        <w:tc>
          <w:tcPr>
            <w:tcW w:w="1250" w:type="pct"/>
            <w:shd w:val="clear" w:color="auto" w:fill="F8D1CC" w:themeFill="accent5" w:themeFillTint="33"/>
          </w:tcPr>
          <w:p w14:paraId="100480DA" w14:textId="77777777" w:rsidR="00770656" w:rsidRPr="00C23E55" w:rsidRDefault="00770656" w:rsidP="00777BC3">
            <w:pPr>
              <w:rPr>
                <w:lang w:val="en-NZ"/>
              </w:rPr>
            </w:pPr>
            <w:r w:rsidRPr="00C23E55">
              <w:rPr>
                <w:lang w:val="en-NZ"/>
              </w:rPr>
              <w:t>What is the appropriate role for the evidence from domestic infrastructure businesses?</w:t>
            </w:r>
          </w:p>
        </w:tc>
        <w:tc>
          <w:tcPr>
            <w:tcW w:w="1250" w:type="pct"/>
            <w:shd w:val="clear" w:color="auto" w:fill="F5E2A5" w:themeFill="accent3" w:themeFillTint="66"/>
          </w:tcPr>
          <w:p w14:paraId="17CFEDA9" w14:textId="77777777" w:rsidR="00770656" w:rsidRPr="00252A38" w:rsidRDefault="00AD761A" w:rsidP="00777BC3">
            <w:pPr>
              <w:rPr>
                <w:lang w:val="en-NZ"/>
              </w:rPr>
            </w:pPr>
            <w:r w:rsidRPr="00252A38">
              <w:rPr>
                <w:lang w:val="en-NZ"/>
              </w:rPr>
              <w:t>Medium</w:t>
            </w:r>
          </w:p>
        </w:tc>
      </w:tr>
      <w:tr w:rsidR="00770656" w14:paraId="4B9DA5EF" w14:textId="77777777" w:rsidTr="00CB7B57">
        <w:tc>
          <w:tcPr>
            <w:tcW w:w="1250" w:type="pct"/>
          </w:tcPr>
          <w:p w14:paraId="24C6180E" w14:textId="77777777" w:rsidR="00770656" w:rsidRDefault="00770656" w:rsidP="00777BC3">
            <w:pPr>
              <w:pStyle w:val="Style4"/>
            </w:pPr>
            <w:r>
              <w:t>Other approaches</w:t>
            </w:r>
          </w:p>
        </w:tc>
        <w:tc>
          <w:tcPr>
            <w:tcW w:w="1249" w:type="pct"/>
          </w:tcPr>
          <w:p w14:paraId="5E959D83" w14:textId="77777777" w:rsidR="00770656" w:rsidRDefault="00770656" w:rsidP="00777BC3"/>
        </w:tc>
        <w:tc>
          <w:tcPr>
            <w:tcW w:w="1250" w:type="pct"/>
            <w:shd w:val="clear" w:color="auto" w:fill="F8D1CC" w:themeFill="accent5" w:themeFillTint="33"/>
          </w:tcPr>
          <w:p w14:paraId="2CC88EEC" w14:textId="77777777" w:rsidR="00770656" w:rsidRPr="00C23E55" w:rsidRDefault="00770656" w:rsidP="00777BC3">
            <w:pPr>
              <w:rPr>
                <w:lang w:val="en-NZ"/>
              </w:rPr>
            </w:pPr>
          </w:p>
        </w:tc>
        <w:tc>
          <w:tcPr>
            <w:tcW w:w="1250" w:type="pct"/>
            <w:shd w:val="clear" w:color="auto" w:fill="auto"/>
          </w:tcPr>
          <w:p w14:paraId="251FAF87" w14:textId="77777777" w:rsidR="00770656" w:rsidRPr="00252A38" w:rsidRDefault="00770656" w:rsidP="00777BC3">
            <w:pPr>
              <w:rPr>
                <w:lang w:val="en-NZ"/>
              </w:rPr>
            </w:pPr>
          </w:p>
        </w:tc>
      </w:tr>
      <w:tr w:rsidR="00770656" w14:paraId="3719F78E" w14:textId="77777777" w:rsidTr="00F80488">
        <w:tc>
          <w:tcPr>
            <w:tcW w:w="1250" w:type="pct"/>
          </w:tcPr>
          <w:p w14:paraId="79F39E22" w14:textId="77777777" w:rsidR="00770656" w:rsidRDefault="00770656" w:rsidP="00777BC3">
            <w:pPr>
              <w:pStyle w:val="Style4"/>
            </w:pPr>
            <w:r>
              <w:t xml:space="preserve">(Supposed) low Beta bias </w:t>
            </w:r>
          </w:p>
        </w:tc>
        <w:tc>
          <w:tcPr>
            <w:tcW w:w="1249" w:type="pct"/>
          </w:tcPr>
          <w:p w14:paraId="1206762A" w14:textId="77777777" w:rsidR="00770656" w:rsidRDefault="00770656" w:rsidP="00777BC3"/>
        </w:tc>
        <w:tc>
          <w:tcPr>
            <w:tcW w:w="1250" w:type="pct"/>
            <w:shd w:val="clear" w:color="auto" w:fill="F8D1CC" w:themeFill="accent5" w:themeFillTint="33"/>
          </w:tcPr>
          <w:p w14:paraId="1CEFEDD2" w14:textId="77777777" w:rsidR="00770656" w:rsidRPr="00CE5A23" w:rsidRDefault="00770656" w:rsidP="00777BC3">
            <w:pPr>
              <w:rPr>
                <w:color w:val="FF0000"/>
                <w:lang w:val="en-NZ"/>
              </w:rPr>
            </w:pPr>
            <w:r w:rsidRPr="00C23E55">
              <w:rPr>
                <w:lang w:val="en-NZ"/>
              </w:rPr>
              <w:t>How should low-beta bias associated with the SL-CAPM, and evidence from the Black CAPM, be taken into account when implementing the foundation model approach</w:t>
            </w:r>
            <w:r>
              <w:rPr>
                <w:lang w:val="en-NZ"/>
              </w:rPr>
              <w:t>?</w:t>
            </w:r>
            <w:r>
              <w:rPr>
                <w:lang w:val="en-NZ"/>
              </w:rPr>
              <w:br/>
            </w:r>
            <w:r>
              <w:rPr>
                <w:color w:val="FF0000"/>
                <w:lang w:val="en-NZ"/>
              </w:rPr>
              <w:t>Assuming there is one</w:t>
            </w:r>
          </w:p>
        </w:tc>
        <w:tc>
          <w:tcPr>
            <w:tcW w:w="1250" w:type="pct"/>
            <w:shd w:val="clear" w:color="auto" w:fill="EA7666" w:themeFill="accent5" w:themeFillTint="99"/>
          </w:tcPr>
          <w:p w14:paraId="3B834C7C" w14:textId="77777777" w:rsidR="00770656" w:rsidRPr="00252A38" w:rsidRDefault="00AD761A" w:rsidP="00777BC3">
            <w:pPr>
              <w:rPr>
                <w:lang w:val="en-NZ"/>
              </w:rPr>
            </w:pPr>
            <w:r w:rsidRPr="00252A38">
              <w:rPr>
                <w:lang w:val="en-NZ"/>
              </w:rPr>
              <w:t>High</w:t>
            </w:r>
          </w:p>
        </w:tc>
      </w:tr>
      <w:tr w:rsidR="00770656" w14:paraId="00F7B931" w14:textId="77777777" w:rsidTr="00F80488">
        <w:tc>
          <w:tcPr>
            <w:tcW w:w="1250" w:type="pct"/>
          </w:tcPr>
          <w:p w14:paraId="7A3AD980" w14:textId="77777777" w:rsidR="00770656" w:rsidRDefault="00770656" w:rsidP="00777BC3">
            <w:pPr>
              <w:pStyle w:val="Style4"/>
            </w:pPr>
            <w:r>
              <w:t>Time variation</w:t>
            </w:r>
          </w:p>
        </w:tc>
        <w:tc>
          <w:tcPr>
            <w:tcW w:w="1249" w:type="pct"/>
            <w:shd w:val="clear" w:color="auto" w:fill="F8D1CC" w:themeFill="accent5" w:themeFillTint="33"/>
          </w:tcPr>
          <w:p w14:paraId="3EB6F850" w14:textId="77777777" w:rsidR="00770656" w:rsidRDefault="00770656" w:rsidP="00777BC3">
            <w:r w:rsidRPr="00A11179">
              <w:t>Does the equity beta move over time and if so over what period?</w:t>
            </w:r>
          </w:p>
        </w:tc>
        <w:tc>
          <w:tcPr>
            <w:tcW w:w="1250" w:type="pct"/>
          </w:tcPr>
          <w:p w14:paraId="0C60F5CC" w14:textId="77777777" w:rsidR="00770656" w:rsidRPr="00C23E55" w:rsidRDefault="00770656" w:rsidP="00777BC3">
            <w:pPr>
              <w:rPr>
                <w:lang w:val="en-NZ"/>
              </w:rPr>
            </w:pPr>
          </w:p>
        </w:tc>
        <w:tc>
          <w:tcPr>
            <w:tcW w:w="1250" w:type="pct"/>
            <w:shd w:val="clear" w:color="auto" w:fill="9EB5BF" w:themeFill="text2" w:themeFillTint="66"/>
          </w:tcPr>
          <w:p w14:paraId="7EC259B0" w14:textId="77777777" w:rsidR="00770656" w:rsidRPr="00252A38" w:rsidRDefault="00AD761A" w:rsidP="00777BC3">
            <w:pPr>
              <w:rPr>
                <w:lang w:val="en-NZ"/>
              </w:rPr>
            </w:pPr>
            <w:r w:rsidRPr="00252A38">
              <w:t>Propose discuss at a joint ENA-CRG Experts Session?</w:t>
            </w:r>
          </w:p>
        </w:tc>
      </w:tr>
      <w:tr w:rsidR="00770656" w14:paraId="22755500" w14:textId="77777777" w:rsidTr="00F80488">
        <w:tc>
          <w:tcPr>
            <w:tcW w:w="1250" w:type="pct"/>
          </w:tcPr>
          <w:p w14:paraId="3A8830D8" w14:textId="77777777" w:rsidR="00770656" w:rsidRDefault="00770656" w:rsidP="00777BC3">
            <w:pPr>
              <w:pStyle w:val="Style3"/>
            </w:pPr>
            <w:r>
              <w:t>MRP = Market Risk Premium</w:t>
            </w:r>
          </w:p>
        </w:tc>
        <w:tc>
          <w:tcPr>
            <w:tcW w:w="1249" w:type="pct"/>
            <w:shd w:val="clear" w:color="auto" w:fill="F8D1CC" w:themeFill="accent5" w:themeFillTint="33"/>
          </w:tcPr>
          <w:p w14:paraId="15C6901C" w14:textId="77777777" w:rsidR="00770656" w:rsidRDefault="00770656" w:rsidP="00777BC3">
            <w:r w:rsidRPr="0087206A">
              <w:t xml:space="preserve">Is there an inverse relationship between MRP and risk-free rate? </w:t>
            </w:r>
            <w:r w:rsidRPr="00403F42">
              <w:rPr>
                <w:i/>
                <w:color w:val="FF0000"/>
              </w:rPr>
              <w:t xml:space="preserve">(note: personal view that this is only being included because the </w:t>
            </w:r>
            <w:r w:rsidRPr="00403F42">
              <w:rPr>
                <w:i/>
                <w:color w:val="FF0000"/>
              </w:rPr>
              <w:lastRenderedPageBreak/>
              <w:t>AER needs to be able to respond to the proposition</w:t>
            </w:r>
            <w:r w:rsidRPr="0087206A">
              <w:t>)</w:t>
            </w:r>
          </w:p>
        </w:tc>
        <w:tc>
          <w:tcPr>
            <w:tcW w:w="1250" w:type="pct"/>
          </w:tcPr>
          <w:p w14:paraId="7D93459B" w14:textId="77777777" w:rsidR="00770656" w:rsidRDefault="00770656" w:rsidP="00777BC3"/>
        </w:tc>
        <w:tc>
          <w:tcPr>
            <w:tcW w:w="1250" w:type="pct"/>
            <w:shd w:val="clear" w:color="auto" w:fill="9EB5BF" w:themeFill="text2" w:themeFillTint="66"/>
          </w:tcPr>
          <w:p w14:paraId="15E2376F" w14:textId="77777777" w:rsidR="00770656" w:rsidRPr="00252A38" w:rsidRDefault="00AD761A" w:rsidP="00777BC3">
            <w:r w:rsidRPr="00252A38">
              <w:t>Propose discuss at a joint ENA-CRG Experts Session?</w:t>
            </w:r>
          </w:p>
        </w:tc>
      </w:tr>
      <w:tr w:rsidR="00770656" w14:paraId="3A02F18D" w14:textId="77777777" w:rsidTr="00266416">
        <w:tc>
          <w:tcPr>
            <w:tcW w:w="1250" w:type="pct"/>
          </w:tcPr>
          <w:p w14:paraId="0A4A92E8" w14:textId="77777777" w:rsidR="00770656" w:rsidRDefault="00770656" w:rsidP="00777BC3">
            <w:pPr>
              <w:pStyle w:val="Style4"/>
            </w:pPr>
            <w:r>
              <w:t>Historic Excess returns</w:t>
            </w:r>
          </w:p>
        </w:tc>
        <w:tc>
          <w:tcPr>
            <w:tcW w:w="1249" w:type="pct"/>
            <w:shd w:val="clear" w:color="auto" w:fill="F8D1CC" w:themeFill="accent5" w:themeFillTint="33"/>
          </w:tcPr>
          <w:p w14:paraId="69F280B5" w14:textId="77777777" w:rsidR="00770656" w:rsidRDefault="00770656" w:rsidP="00777BC3">
            <w:r w:rsidRPr="0087206A">
              <w:t>What data should be considered?</w:t>
            </w:r>
          </w:p>
        </w:tc>
        <w:tc>
          <w:tcPr>
            <w:tcW w:w="1250" w:type="pct"/>
            <w:shd w:val="clear" w:color="auto" w:fill="F8D1CC" w:themeFill="accent5" w:themeFillTint="33"/>
          </w:tcPr>
          <w:p w14:paraId="174082F6" w14:textId="77777777" w:rsidR="00770656" w:rsidRDefault="00770656" w:rsidP="00777BC3">
            <w:r w:rsidRPr="00664787">
              <w:rPr>
                <w:lang w:val="en-NZ"/>
              </w:rPr>
              <w:t>What role should the geometric mean of historical excess returns play in arriving at an estimate of the MRP?</w:t>
            </w:r>
          </w:p>
        </w:tc>
        <w:tc>
          <w:tcPr>
            <w:tcW w:w="1250" w:type="pct"/>
            <w:shd w:val="clear" w:color="auto" w:fill="F5E2A5" w:themeFill="accent3" w:themeFillTint="66"/>
          </w:tcPr>
          <w:p w14:paraId="20ECDDBA" w14:textId="77777777" w:rsidR="00770656" w:rsidRPr="00252A38" w:rsidRDefault="00266416" w:rsidP="00777BC3">
            <w:pPr>
              <w:rPr>
                <w:lang w:val="en-NZ"/>
              </w:rPr>
            </w:pPr>
            <w:r w:rsidRPr="00252A38">
              <w:rPr>
                <w:lang w:val="en-NZ"/>
              </w:rPr>
              <w:t>Medium</w:t>
            </w:r>
          </w:p>
        </w:tc>
      </w:tr>
      <w:tr w:rsidR="00770656" w14:paraId="72677E42" w14:textId="77777777" w:rsidTr="00F80488">
        <w:tc>
          <w:tcPr>
            <w:tcW w:w="1250" w:type="pct"/>
          </w:tcPr>
          <w:p w14:paraId="1DF984EB" w14:textId="77777777" w:rsidR="00770656" w:rsidRDefault="00770656" w:rsidP="00777BC3">
            <w:pPr>
              <w:pStyle w:val="Style4"/>
            </w:pPr>
            <w:r>
              <w:t>Dividend Growth Model</w:t>
            </w:r>
          </w:p>
        </w:tc>
        <w:tc>
          <w:tcPr>
            <w:tcW w:w="1249" w:type="pct"/>
            <w:shd w:val="clear" w:color="auto" w:fill="F8D1CC" w:themeFill="accent5" w:themeFillTint="33"/>
          </w:tcPr>
          <w:p w14:paraId="086CE4EB" w14:textId="77777777" w:rsidR="00770656" w:rsidRDefault="00770656" w:rsidP="00777BC3">
            <w:r w:rsidRPr="00403F42">
              <w:t>Why is the DGM’s market risk premium higher than indicated from other evidence</w:t>
            </w:r>
            <w:r>
              <w:t>?</w:t>
            </w:r>
          </w:p>
        </w:tc>
        <w:tc>
          <w:tcPr>
            <w:tcW w:w="1250" w:type="pct"/>
            <w:shd w:val="clear" w:color="auto" w:fill="F8D1CC" w:themeFill="accent5" w:themeFillTint="33"/>
          </w:tcPr>
          <w:p w14:paraId="5496D207" w14:textId="77777777" w:rsidR="00770656" w:rsidRPr="00664787" w:rsidRDefault="00770656" w:rsidP="00777BC3">
            <w:pPr>
              <w:rPr>
                <w:lang w:val="en-NZ"/>
              </w:rPr>
            </w:pPr>
            <w:r w:rsidRPr="00664787">
              <w:rPr>
                <w:lang w:val="en-NZ"/>
              </w:rPr>
              <w:t>What role should DGM estimates play in arriving at an estimate of the MRP?</w:t>
            </w:r>
          </w:p>
        </w:tc>
        <w:tc>
          <w:tcPr>
            <w:tcW w:w="1250" w:type="pct"/>
            <w:shd w:val="clear" w:color="auto" w:fill="EA7666" w:themeFill="accent5" w:themeFillTint="99"/>
          </w:tcPr>
          <w:p w14:paraId="39043B66" w14:textId="77777777" w:rsidR="00770656" w:rsidRPr="00252A38" w:rsidRDefault="00AD761A" w:rsidP="00777BC3">
            <w:pPr>
              <w:rPr>
                <w:lang w:val="en-NZ"/>
              </w:rPr>
            </w:pPr>
            <w:r w:rsidRPr="00252A38">
              <w:rPr>
                <w:lang w:val="en-NZ"/>
              </w:rPr>
              <w:t>High</w:t>
            </w:r>
          </w:p>
        </w:tc>
      </w:tr>
      <w:tr w:rsidR="00770656" w14:paraId="0C5FB886" w14:textId="77777777" w:rsidTr="00F80488">
        <w:tc>
          <w:tcPr>
            <w:tcW w:w="1250" w:type="pct"/>
          </w:tcPr>
          <w:p w14:paraId="0763B1C0" w14:textId="77777777" w:rsidR="00770656" w:rsidRDefault="00770656" w:rsidP="00777BC3">
            <w:pPr>
              <w:pStyle w:val="Style4"/>
            </w:pPr>
            <w:r>
              <w:t>Sharpe ratios</w:t>
            </w:r>
          </w:p>
        </w:tc>
        <w:tc>
          <w:tcPr>
            <w:tcW w:w="1249" w:type="pct"/>
            <w:shd w:val="clear" w:color="auto" w:fill="F8D1CC" w:themeFill="accent5" w:themeFillTint="33"/>
          </w:tcPr>
          <w:p w14:paraId="16A6CB53" w14:textId="77777777" w:rsidR="00770656" w:rsidRPr="00403F42" w:rsidRDefault="00770656" w:rsidP="00777BC3">
            <w:r w:rsidRPr="00403F42">
              <w:t>Why are networks’ Sharpe ratios high?</w:t>
            </w:r>
          </w:p>
        </w:tc>
        <w:tc>
          <w:tcPr>
            <w:tcW w:w="1250" w:type="pct"/>
          </w:tcPr>
          <w:p w14:paraId="17D2E7F3" w14:textId="77777777" w:rsidR="00770656" w:rsidRPr="00664787" w:rsidRDefault="00770656" w:rsidP="00777BC3">
            <w:pPr>
              <w:rPr>
                <w:lang w:val="en-NZ"/>
              </w:rPr>
            </w:pPr>
          </w:p>
        </w:tc>
        <w:tc>
          <w:tcPr>
            <w:tcW w:w="1250" w:type="pct"/>
            <w:shd w:val="clear" w:color="auto" w:fill="9EB5BF" w:themeFill="text2" w:themeFillTint="66"/>
          </w:tcPr>
          <w:p w14:paraId="111922FB" w14:textId="77777777" w:rsidR="00770656" w:rsidRPr="00252A38" w:rsidRDefault="00AD761A" w:rsidP="00777BC3">
            <w:pPr>
              <w:rPr>
                <w:lang w:val="en-NZ"/>
              </w:rPr>
            </w:pPr>
            <w:r w:rsidRPr="00252A38">
              <w:t>Propose discuss at a joint ENA-CRG Experts Session?</w:t>
            </w:r>
          </w:p>
        </w:tc>
      </w:tr>
      <w:tr w:rsidR="00770656" w14:paraId="4D084906" w14:textId="77777777" w:rsidTr="00F80488">
        <w:tc>
          <w:tcPr>
            <w:tcW w:w="1250" w:type="pct"/>
          </w:tcPr>
          <w:p w14:paraId="4F36AF24" w14:textId="77777777" w:rsidR="00770656" w:rsidRDefault="00770656" w:rsidP="00777BC3">
            <w:pPr>
              <w:pStyle w:val="Style4"/>
            </w:pPr>
            <w:r>
              <w:t>The Wright evidence</w:t>
            </w:r>
          </w:p>
        </w:tc>
        <w:tc>
          <w:tcPr>
            <w:tcW w:w="1249" w:type="pct"/>
          </w:tcPr>
          <w:p w14:paraId="7FE9D656" w14:textId="77777777" w:rsidR="00770656" w:rsidRDefault="00770656" w:rsidP="00777BC3"/>
        </w:tc>
        <w:tc>
          <w:tcPr>
            <w:tcW w:w="1250" w:type="pct"/>
            <w:shd w:val="clear" w:color="auto" w:fill="F8D1CC" w:themeFill="accent5" w:themeFillTint="33"/>
          </w:tcPr>
          <w:p w14:paraId="48D08E6A" w14:textId="77777777" w:rsidR="00770656" w:rsidRPr="00664787" w:rsidRDefault="00770656" w:rsidP="00777BC3">
            <w:pPr>
              <w:rPr>
                <w:lang w:val="en-NZ"/>
              </w:rPr>
            </w:pPr>
            <w:r w:rsidRPr="00664787">
              <w:rPr>
                <w:lang w:val="en-NZ"/>
              </w:rPr>
              <w:t>How should the Wright evidence be used to inform the estimate of the MRP?  How is this evidence used by other regulators?</w:t>
            </w:r>
          </w:p>
        </w:tc>
        <w:tc>
          <w:tcPr>
            <w:tcW w:w="1250" w:type="pct"/>
            <w:shd w:val="clear" w:color="auto" w:fill="EA7666" w:themeFill="accent5" w:themeFillTint="99"/>
          </w:tcPr>
          <w:p w14:paraId="03F44503" w14:textId="77777777" w:rsidR="00770656" w:rsidRPr="00252A38" w:rsidRDefault="00AD761A" w:rsidP="00777BC3">
            <w:pPr>
              <w:rPr>
                <w:lang w:val="en-NZ"/>
              </w:rPr>
            </w:pPr>
            <w:r w:rsidRPr="00252A38">
              <w:rPr>
                <w:lang w:val="en-NZ"/>
              </w:rPr>
              <w:t>High</w:t>
            </w:r>
          </w:p>
        </w:tc>
      </w:tr>
      <w:tr w:rsidR="00770656" w14:paraId="3166C772" w14:textId="77777777" w:rsidTr="00266416">
        <w:tc>
          <w:tcPr>
            <w:tcW w:w="1250" w:type="pct"/>
          </w:tcPr>
          <w:p w14:paraId="51E64937" w14:textId="77777777" w:rsidR="00770656" w:rsidRDefault="00770656" w:rsidP="00777BC3">
            <w:pPr>
              <w:pStyle w:val="Style4"/>
            </w:pPr>
            <w:r>
              <w:t>Independent Expert Evaluation Reports</w:t>
            </w:r>
          </w:p>
        </w:tc>
        <w:tc>
          <w:tcPr>
            <w:tcW w:w="1249" w:type="pct"/>
          </w:tcPr>
          <w:p w14:paraId="0A939B40" w14:textId="77777777" w:rsidR="00770656" w:rsidRDefault="00770656" w:rsidP="00777BC3"/>
        </w:tc>
        <w:tc>
          <w:tcPr>
            <w:tcW w:w="1250" w:type="pct"/>
            <w:shd w:val="clear" w:color="auto" w:fill="F8D1CC" w:themeFill="accent5" w:themeFillTint="33"/>
          </w:tcPr>
          <w:p w14:paraId="5BB798AD" w14:textId="77777777" w:rsidR="00770656" w:rsidRPr="00664787" w:rsidRDefault="00770656" w:rsidP="00777BC3">
            <w:pPr>
              <w:rPr>
                <w:lang w:val="en-NZ"/>
              </w:rPr>
            </w:pPr>
            <w:r w:rsidRPr="002267D0">
              <w:rPr>
                <w:lang w:val="en-NZ"/>
              </w:rPr>
              <w:t>How should independent expert valuation reports be used to inform the estimate of the MRP?</w:t>
            </w:r>
          </w:p>
        </w:tc>
        <w:tc>
          <w:tcPr>
            <w:tcW w:w="1250" w:type="pct"/>
            <w:shd w:val="clear" w:color="auto" w:fill="F5E2A5" w:themeFill="accent3" w:themeFillTint="66"/>
          </w:tcPr>
          <w:p w14:paraId="2D69080E" w14:textId="77777777" w:rsidR="00770656" w:rsidRPr="00252A38" w:rsidRDefault="00266416" w:rsidP="00777BC3">
            <w:pPr>
              <w:rPr>
                <w:lang w:val="en-NZ"/>
              </w:rPr>
            </w:pPr>
            <w:r w:rsidRPr="00252A38">
              <w:rPr>
                <w:lang w:val="en-NZ"/>
              </w:rPr>
              <w:t>Medium</w:t>
            </w:r>
          </w:p>
        </w:tc>
      </w:tr>
      <w:tr w:rsidR="00770656" w14:paraId="1494BABE" w14:textId="77777777" w:rsidTr="00F80488">
        <w:tc>
          <w:tcPr>
            <w:tcW w:w="1250" w:type="pct"/>
          </w:tcPr>
          <w:p w14:paraId="4EFE2965" w14:textId="77777777" w:rsidR="00770656" w:rsidRDefault="00770656" w:rsidP="00777BC3">
            <w:pPr>
              <w:pStyle w:val="Style4"/>
            </w:pPr>
            <w:r>
              <w:t>Regulatory consistency</w:t>
            </w:r>
          </w:p>
        </w:tc>
        <w:tc>
          <w:tcPr>
            <w:tcW w:w="1249" w:type="pct"/>
          </w:tcPr>
          <w:p w14:paraId="0786DE63" w14:textId="77777777" w:rsidR="00770656" w:rsidRDefault="00770656" w:rsidP="00777BC3"/>
        </w:tc>
        <w:tc>
          <w:tcPr>
            <w:tcW w:w="1250" w:type="pct"/>
            <w:shd w:val="clear" w:color="auto" w:fill="F8D1CC" w:themeFill="accent5" w:themeFillTint="33"/>
          </w:tcPr>
          <w:p w14:paraId="5C0E3582" w14:textId="77777777" w:rsidR="00770656" w:rsidRPr="002267D0" w:rsidRDefault="00770656" w:rsidP="00777BC3">
            <w:pPr>
              <w:rPr>
                <w:lang w:val="en-NZ"/>
              </w:rPr>
            </w:pPr>
            <w:r w:rsidRPr="002267D0">
              <w:rPr>
                <w:lang w:val="en-NZ"/>
              </w:rPr>
              <w:t>What estimate of MRP is supported by recent decisions of other Australian regulators?</w:t>
            </w:r>
          </w:p>
        </w:tc>
        <w:tc>
          <w:tcPr>
            <w:tcW w:w="1250" w:type="pct"/>
            <w:shd w:val="clear" w:color="auto" w:fill="9EB5BF" w:themeFill="text2" w:themeFillTint="66"/>
          </w:tcPr>
          <w:p w14:paraId="2827A940" w14:textId="77777777" w:rsidR="00770656" w:rsidRPr="00252A38" w:rsidRDefault="00AD761A" w:rsidP="00777BC3">
            <w:pPr>
              <w:rPr>
                <w:lang w:val="en-NZ"/>
              </w:rPr>
            </w:pPr>
            <w:r w:rsidRPr="00252A38">
              <w:t>Propose discuss at a joint ENA-CRG Experts Session?</w:t>
            </w:r>
          </w:p>
        </w:tc>
      </w:tr>
      <w:tr w:rsidR="00770656" w14:paraId="5933A772" w14:textId="77777777" w:rsidTr="00F80488">
        <w:tc>
          <w:tcPr>
            <w:tcW w:w="1250" w:type="pct"/>
          </w:tcPr>
          <w:p w14:paraId="28CCD13C" w14:textId="77777777" w:rsidR="00770656" w:rsidRDefault="00770656" w:rsidP="00777BC3">
            <w:pPr>
              <w:pStyle w:val="Style4"/>
            </w:pPr>
            <w:r>
              <w:t>Survey data</w:t>
            </w:r>
          </w:p>
        </w:tc>
        <w:tc>
          <w:tcPr>
            <w:tcW w:w="1249" w:type="pct"/>
            <w:shd w:val="clear" w:color="auto" w:fill="F8D1CC" w:themeFill="accent5" w:themeFillTint="33"/>
          </w:tcPr>
          <w:p w14:paraId="5483A5D7" w14:textId="77777777" w:rsidR="00770656" w:rsidRPr="00130B14" w:rsidRDefault="00770656" w:rsidP="00777BC3">
            <w:pPr>
              <w:rPr>
                <w:color w:val="FF0000"/>
              </w:rPr>
            </w:pPr>
            <w:r w:rsidRPr="00130B14">
              <w:t xml:space="preserve">In developing the MRP we use the ASX accumulation index as the prime source of data to develop the measure. </w:t>
            </w:r>
            <w:r>
              <w:t>T</w:t>
            </w:r>
            <w:r w:rsidRPr="00130B14">
              <w:t xml:space="preserve">his data reflects the operations of firms where assets  are depreciated from actual cost and not indexed, where revaluations are taken to profit, firms are exposed to optimisation of assets, firms are subject to technological obsolescence, </w:t>
            </w:r>
            <w:r>
              <w:t>etc</w:t>
            </w:r>
            <w:r w:rsidRPr="00130B14">
              <w:t xml:space="preserve">, </w:t>
            </w:r>
            <w:r w:rsidRPr="00130B14">
              <w:lastRenderedPageBreak/>
              <w:t>whereas the firms we apply the outcomes of the data are not subject to</w:t>
            </w:r>
            <w:r>
              <w:t xml:space="preserve"> </w:t>
            </w:r>
            <w:r w:rsidRPr="00130B14">
              <w:t>any of these aspects, implying that the data is not necessarily sufficiently closely relevant</w:t>
            </w:r>
            <w:r>
              <w:t>.</w:t>
            </w:r>
            <w:r>
              <w:br/>
            </w:r>
            <w:r>
              <w:rPr>
                <w:color w:val="FF0000"/>
              </w:rPr>
              <w:t>{Or does the equity Beta adequately represent this difference?}</w:t>
            </w:r>
          </w:p>
        </w:tc>
        <w:tc>
          <w:tcPr>
            <w:tcW w:w="1250" w:type="pct"/>
            <w:shd w:val="clear" w:color="auto" w:fill="F8D1CC" w:themeFill="accent5" w:themeFillTint="33"/>
          </w:tcPr>
          <w:p w14:paraId="597E080A" w14:textId="77777777" w:rsidR="00770656" w:rsidRPr="002267D0" w:rsidRDefault="00770656" w:rsidP="00777BC3">
            <w:pPr>
              <w:rPr>
                <w:lang w:val="en-NZ"/>
              </w:rPr>
            </w:pPr>
            <w:r w:rsidRPr="002267D0">
              <w:rPr>
                <w:lang w:val="en-NZ"/>
              </w:rPr>
              <w:lastRenderedPageBreak/>
              <w:t>What estimate of MRP is supported by recent surveys?</w:t>
            </w:r>
          </w:p>
        </w:tc>
        <w:tc>
          <w:tcPr>
            <w:tcW w:w="1250" w:type="pct"/>
            <w:shd w:val="clear" w:color="auto" w:fill="9EB5BF" w:themeFill="text2" w:themeFillTint="66"/>
          </w:tcPr>
          <w:p w14:paraId="530746CA" w14:textId="77777777" w:rsidR="00770656" w:rsidRPr="00252A38" w:rsidRDefault="00521202" w:rsidP="00777BC3">
            <w:pPr>
              <w:rPr>
                <w:lang w:val="en-NZ"/>
              </w:rPr>
            </w:pPr>
            <w:r w:rsidRPr="00252A38">
              <w:t>Propose discuss at a joint ENA-CRG Experts Session?</w:t>
            </w:r>
          </w:p>
        </w:tc>
      </w:tr>
      <w:tr w:rsidR="00770656" w14:paraId="3F59081B" w14:textId="77777777" w:rsidTr="00CB7B57">
        <w:tc>
          <w:tcPr>
            <w:tcW w:w="1250" w:type="pct"/>
          </w:tcPr>
          <w:p w14:paraId="2DABA81E" w14:textId="77777777" w:rsidR="00770656" w:rsidRDefault="00770656" w:rsidP="00777BC3">
            <w:pPr>
              <w:pStyle w:val="Style2"/>
            </w:pPr>
            <w:r>
              <w:t>Rd = Return on debt</w:t>
            </w:r>
          </w:p>
        </w:tc>
        <w:tc>
          <w:tcPr>
            <w:tcW w:w="1249" w:type="pct"/>
          </w:tcPr>
          <w:p w14:paraId="2D5D495C" w14:textId="77777777" w:rsidR="00770656" w:rsidRDefault="00770656" w:rsidP="00777BC3"/>
        </w:tc>
        <w:tc>
          <w:tcPr>
            <w:tcW w:w="1250" w:type="pct"/>
          </w:tcPr>
          <w:p w14:paraId="6ED42CAE" w14:textId="77777777" w:rsidR="00770656" w:rsidRDefault="00770656" w:rsidP="00777BC3"/>
        </w:tc>
        <w:tc>
          <w:tcPr>
            <w:tcW w:w="1250" w:type="pct"/>
            <w:shd w:val="clear" w:color="auto" w:fill="auto"/>
          </w:tcPr>
          <w:p w14:paraId="5CC2FC61" w14:textId="77777777" w:rsidR="00770656" w:rsidRPr="00252A38" w:rsidRDefault="00770656" w:rsidP="00777BC3"/>
        </w:tc>
      </w:tr>
      <w:tr w:rsidR="00770656" w14:paraId="5B474545" w14:textId="77777777" w:rsidTr="00266416">
        <w:tc>
          <w:tcPr>
            <w:tcW w:w="1250" w:type="pct"/>
          </w:tcPr>
          <w:p w14:paraId="5598B8BE" w14:textId="77777777" w:rsidR="00770656" w:rsidRDefault="00770656" w:rsidP="00777BC3">
            <w:pPr>
              <w:pStyle w:val="Style3"/>
            </w:pPr>
            <w:r>
              <w:t xml:space="preserve">Transition approach </w:t>
            </w:r>
          </w:p>
        </w:tc>
        <w:tc>
          <w:tcPr>
            <w:tcW w:w="1249" w:type="pct"/>
          </w:tcPr>
          <w:p w14:paraId="5EF42F0F" w14:textId="77777777" w:rsidR="00770656" w:rsidRDefault="00770656" w:rsidP="00777BC3"/>
        </w:tc>
        <w:tc>
          <w:tcPr>
            <w:tcW w:w="1250" w:type="pct"/>
            <w:shd w:val="clear" w:color="auto" w:fill="E9F6D0" w:themeFill="accent1" w:themeFillTint="33"/>
          </w:tcPr>
          <w:p w14:paraId="58BE2AB7" w14:textId="77777777" w:rsidR="00770656" w:rsidRDefault="00770656" w:rsidP="00777BC3">
            <w:r w:rsidRPr="00777BC3">
              <w:t xml:space="preserve">Transition to AER approved trailing average approach </w:t>
            </w:r>
            <w:r w:rsidRPr="00777BC3">
              <w:br/>
              <w:t>‘Low hanging fruit’</w:t>
            </w:r>
          </w:p>
        </w:tc>
        <w:tc>
          <w:tcPr>
            <w:tcW w:w="1250" w:type="pct"/>
            <w:shd w:val="clear" w:color="auto" w:fill="B7E995" w:themeFill="accent2" w:themeFillTint="66"/>
          </w:tcPr>
          <w:p w14:paraId="12798746" w14:textId="77777777" w:rsidR="00770656" w:rsidRPr="00252A38" w:rsidRDefault="00521202" w:rsidP="00777BC3">
            <w:r w:rsidRPr="00252A38">
              <w:t>Low</w:t>
            </w:r>
          </w:p>
        </w:tc>
      </w:tr>
      <w:tr w:rsidR="00770656" w14:paraId="0F1E3536" w14:textId="77777777" w:rsidTr="00F80488">
        <w:tc>
          <w:tcPr>
            <w:tcW w:w="1250" w:type="pct"/>
          </w:tcPr>
          <w:p w14:paraId="583954C9" w14:textId="77777777" w:rsidR="00770656" w:rsidRDefault="00770656" w:rsidP="00777BC3">
            <w:pPr>
              <w:pStyle w:val="Style3"/>
            </w:pPr>
            <w:r>
              <w:t xml:space="preserve">Type of debt to be measured </w:t>
            </w:r>
          </w:p>
        </w:tc>
        <w:tc>
          <w:tcPr>
            <w:tcW w:w="1249" w:type="pct"/>
            <w:shd w:val="clear" w:color="auto" w:fill="F8D1CC" w:themeFill="accent5" w:themeFillTint="33"/>
          </w:tcPr>
          <w:p w14:paraId="2A76925D" w14:textId="77777777" w:rsidR="00770656" w:rsidRDefault="00770656" w:rsidP="00777BC3">
            <w:r w:rsidRPr="00B75AFA">
              <w:t xml:space="preserve">In applying the cost of debt we use corporate bond rates but this is only one form of debt that a firm uses for its operation. </w:t>
            </w:r>
            <w:r>
              <w:t>I</w:t>
            </w:r>
            <w:r w:rsidRPr="00B75AFA">
              <w:t>s the use of a corporate bond rate appropriate to use as a surrogate for all debt or does it provide an excessive return</w:t>
            </w:r>
            <w:r>
              <w:t>?</w:t>
            </w:r>
          </w:p>
          <w:p w14:paraId="21D9D07B" w14:textId="77777777" w:rsidR="00770656" w:rsidRDefault="00770656" w:rsidP="00777BC3"/>
        </w:tc>
        <w:tc>
          <w:tcPr>
            <w:tcW w:w="1250" w:type="pct"/>
          </w:tcPr>
          <w:p w14:paraId="3C1FB83B" w14:textId="77777777" w:rsidR="00770656" w:rsidRDefault="00770656" w:rsidP="00777BC3"/>
        </w:tc>
        <w:tc>
          <w:tcPr>
            <w:tcW w:w="1250" w:type="pct"/>
            <w:shd w:val="clear" w:color="auto" w:fill="9EB5BF" w:themeFill="text2" w:themeFillTint="66"/>
          </w:tcPr>
          <w:p w14:paraId="27EB7618" w14:textId="77777777" w:rsidR="00770656" w:rsidRPr="00252A38" w:rsidRDefault="00521202" w:rsidP="00777BC3">
            <w:r w:rsidRPr="00252A38">
              <w:t>Propose discuss at a joint ENA-CRG Experts Session?</w:t>
            </w:r>
          </w:p>
        </w:tc>
      </w:tr>
      <w:tr w:rsidR="00770656" w14:paraId="75FA288A" w14:textId="77777777" w:rsidTr="00266416">
        <w:tc>
          <w:tcPr>
            <w:tcW w:w="1250" w:type="pct"/>
          </w:tcPr>
          <w:p w14:paraId="14EC1ED4" w14:textId="77777777" w:rsidR="00770656" w:rsidRDefault="00770656" w:rsidP="00777BC3">
            <w:pPr>
              <w:pStyle w:val="Style3"/>
            </w:pPr>
            <w:r>
              <w:t>Number of series used to calculate</w:t>
            </w:r>
          </w:p>
        </w:tc>
        <w:tc>
          <w:tcPr>
            <w:tcW w:w="1249" w:type="pct"/>
            <w:shd w:val="clear" w:color="auto" w:fill="E9F6D0" w:themeFill="accent1" w:themeFillTint="33"/>
          </w:tcPr>
          <w:p w14:paraId="4167660F" w14:textId="77777777" w:rsidR="00770656" w:rsidRDefault="00770656" w:rsidP="00777BC3">
            <w:r w:rsidRPr="00777BC3">
              <w:t>Low hanging fruit – issue is visibility</w:t>
            </w:r>
          </w:p>
        </w:tc>
        <w:tc>
          <w:tcPr>
            <w:tcW w:w="1250" w:type="pct"/>
          </w:tcPr>
          <w:p w14:paraId="36C32C62" w14:textId="77777777" w:rsidR="00770656" w:rsidRDefault="00770656" w:rsidP="00777BC3"/>
        </w:tc>
        <w:tc>
          <w:tcPr>
            <w:tcW w:w="1250" w:type="pct"/>
            <w:shd w:val="clear" w:color="auto" w:fill="F5E2A5" w:themeFill="accent3" w:themeFillTint="66"/>
          </w:tcPr>
          <w:p w14:paraId="788A8AC2" w14:textId="77777777" w:rsidR="00770656" w:rsidRPr="00252A38" w:rsidRDefault="00521202" w:rsidP="00777BC3">
            <w:r w:rsidRPr="00252A38">
              <w:t>Medium</w:t>
            </w:r>
          </w:p>
        </w:tc>
      </w:tr>
      <w:tr w:rsidR="00770656" w14:paraId="3647C733" w14:textId="77777777" w:rsidTr="00F80488">
        <w:tc>
          <w:tcPr>
            <w:tcW w:w="1250" w:type="pct"/>
          </w:tcPr>
          <w:p w14:paraId="18F21DE9" w14:textId="77777777" w:rsidR="00770656" w:rsidRDefault="00770656" w:rsidP="00777BC3">
            <w:pPr>
              <w:pStyle w:val="Style3"/>
            </w:pPr>
            <w:r>
              <w:t xml:space="preserve">Debt term </w:t>
            </w:r>
          </w:p>
        </w:tc>
        <w:tc>
          <w:tcPr>
            <w:tcW w:w="1249" w:type="pct"/>
            <w:shd w:val="clear" w:color="auto" w:fill="D3D3D3" w:themeFill="background2" w:themeFillShade="E6"/>
          </w:tcPr>
          <w:p w14:paraId="1B723D27" w14:textId="77777777" w:rsidR="00770656" w:rsidRDefault="00770656" w:rsidP="00777BC3">
            <w:r>
              <w:t xml:space="preserve">David </w:t>
            </w:r>
            <w:proofErr w:type="spellStart"/>
            <w:r>
              <w:t>Headbury</w:t>
            </w:r>
            <w:proofErr w:type="spellEnd"/>
            <w:r>
              <w:t xml:space="preserve"> still concerned about ten years rather than seven</w:t>
            </w:r>
          </w:p>
        </w:tc>
        <w:tc>
          <w:tcPr>
            <w:tcW w:w="1250" w:type="pct"/>
          </w:tcPr>
          <w:p w14:paraId="08A0BBEA" w14:textId="77777777" w:rsidR="00770656" w:rsidRDefault="00770656" w:rsidP="00777BC3"/>
        </w:tc>
        <w:tc>
          <w:tcPr>
            <w:tcW w:w="1250" w:type="pct"/>
            <w:shd w:val="clear" w:color="auto" w:fill="9EB5BF" w:themeFill="text2" w:themeFillTint="66"/>
          </w:tcPr>
          <w:p w14:paraId="1955C312" w14:textId="77777777" w:rsidR="00770656" w:rsidRPr="00252A38" w:rsidRDefault="00521202" w:rsidP="00777BC3">
            <w:r w:rsidRPr="00252A38">
              <w:t>Propose discuss at a joint ENA-CRG Experts Session?</w:t>
            </w:r>
          </w:p>
          <w:p w14:paraId="0A2952D3" w14:textId="77777777" w:rsidR="00521202" w:rsidRPr="00252A38" w:rsidRDefault="00521202" w:rsidP="00777BC3"/>
          <w:p w14:paraId="6E5B0E7D" w14:textId="77777777" w:rsidR="00521202" w:rsidRPr="00252A38" w:rsidRDefault="00521202" w:rsidP="00777BC3">
            <w:r w:rsidRPr="00252A38">
              <w:t>May be appropriate to defer consideration of this issue until AER data request information is available</w:t>
            </w:r>
          </w:p>
        </w:tc>
      </w:tr>
      <w:tr w:rsidR="00770656" w14:paraId="080B5B98" w14:textId="77777777" w:rsidTr="00266416">
        <w:tc>
          <w:tcPr>
            <w:tcW w:w="1250" w:type="pct"/>
          </w:tcPr>
          <w:p w14:paraId="7AB1B7AE" w14:textId="77777777" w:rsidR="00770656" w:rsidRDefault="00770656" w:rsidP="00777BC3">
            <w:pPr>
              <w:pStyle w:val="Style3"/>
            </w:pPr>
            <w:r>
              <w:t xml:space="preserve">Credit rating </w:t>
            </w:r>
          </w:p>
        </w:tc>
        <w:tc>
          <w:tcPr>
            <w:tcW w:w="1249" w:type="pct"/>
            <w:tcBorders>
              <w:bottom w:val="single" w:sz="4" w:space="0" w:color="auto"/>
            </w:tcBorders>
            <w:shd w:val="clear" w:color="auto" w:fill="F8D1CC" w:themeFill="accent5" w:themeFillTint="33"/>
          </w:tcPr>
          <w:p w14:paraId="0EE08B58" w14:textId="77777777" w:rsidR="00770656" w:rsidRDefault="00770656" w:rsidP="00777BC3">
            <w:r w:rsidRPr="00403F42">
              <w:t xml:space="preserve">Do energy networks have a different gearing to the average </w:t>
            </w:r>
            <w:r w:rsidRPr="00403F42">
              <w:lastRenderedPageBreak/>
              <w:t>BBB-rated firm (from all industries), and why</w:t>
            </w:r>
            <w:r>
              <w:t>?</w:t>
            </w:r>
          </w:p>
          <w:p w14:paraId="574E6FA1" w14:textId="77777777" w:rsidR="00770656" w:rsidRDefault="00770656" w:rsidP="00777BC3">
            <w:r w:rsidRPr="00403F42">
              <w:t>Is BBB credit rating appropriate?</w:t>
            </w:r>
          </w:p>
        </w:tc>
        <w:tc>
          <w:tcPr>
            <w:tcW w:w="1250" w:type="pct"/>
          </w:tcPr>
          <w:p w14:paraId="771D6A52" w14:textId="77777777" w:rsidR="00770656" w:rsidRDefault="00770656" w:rsidP="00777BC3"/>
        </w:tc>
        <w:tc>
          <w:tcPr>
            <w:tcW w:w="1250" w:type="pct"/>
            <w:shd w:val="clear" w:color="auto" w:fill="F5E2A5" w:themeFill="accent3" w:themeFillTint="66"/>
          </w:tcPr>
          <w:p w14:paraId="3E84CF24" w14:textId="77777777" w:rsidR="00770656" w:rsidRPr="00252A38" w:rsidRDefault="00521202" w:rsidP="00777BC3">
            <w:r w:rsidRPr="00252A38">
              <w:t>Medium</w:t>
            </w:r>
          </w:p>
        </w:tc>
      </w:tr>
      <w:tr w:rsidR="00770656" w14:paraId="094D1D73" w14:textId="77777777" w:rsidTr="00266416">
        <w:tc>
          <w:tcPr>
            <w:tcW w:w="1250" w:type="pct"/>
          </w:tcPr>
          <w:p w14:paraId="36C57C95" w14:textId="77777777" w:rsidR="00770656" w:rsidRDefault="00770656" w:rsidP="00777BC3">
            <w:r>
              <w:t>Gamma</w:t>
            </w:r>
          </w:p>
        </w:tc>
        <w:tc>
          <w:tcPr>
            <w:tcW w:w="1249" w:type="pct"/>
            <w:shd w:val="clear" w:color="auto" w:fill="auto"/>
          </w:tcPr>
          <w:p w14:paraId="514939F8" w14:textId="77777777" w:rsidR="00770656" w:rsidRDefault="00770656" w:rsidP="00777BC3"/>
        </w:tc>
        <w:tc>
          <w:tcPr>
            <w:tcW w:w="1250" w:type="pct"/>
            <w:shd w:val="clear" w:color="auto" w:fill="E9F6D0" w:themeFill="accent1" w:themeFillTint="33"/>
          </w:tcPr>
          <w:p w14:paraId="0141B0C5" w14:textId="77777777" w:rsidR="00770656" w:rsidRDefault="00770656" w:rsidP="00777BC3">
            <w:r w:rsidRPr="00777BC3">
              <w:t>Acceptance of appeal outcomes, focus on implementation and refinement of ATO data supporting AER approach</w:t>
            </w:r>
          </w:p>
        </w:tc>
        <w:tc>
          <w:tcPr>
            <w:tcW w:w="1250" w:type="pct"/>
            <w:shd w:val="clear" w:color="auto" w:fill="F5E2A5" w:themeFill="accent3" w:themeFillTint="66"/>
          </w:tcPr>
          <w:p w14:paraId="50272898" w14:textId="77777777" w:rsidR="00770656" w:rsidRPr="00252A38" w:rsidRDefault="00521202" w:rsidP="00777BC3">
            <w:r w:rsidRPr="00252A38">
              <w:t>Medium</w:t>
            </w:r>
          </w:p>
        </w:tc>
      </w:tr>
      <w:tr w:rsidR="00770656" w14:paraId="515D2FA8" w14:textId="77777777" w:rsidTr="00F80488">
        <w:tc>
          <w:tcPr>
            <w:tcW w:w="1250" w:type="pct"/>
          </w:tcPr>
          <w:p w14:paraId="6E6F75A1" w14:textId="77777777" w:rsidR="00770656" w:rsidRDefault="00770656" w:rsidP="00777BC3">
            <w:pPr>
              <w:pStyle w:val="Style2"/>
            </w:pPr>
            <w:r>
              <w:t>Utilisation Rate</w:t>
            </w:r>
          </w:p>
        </w:tc>
        <w:tc>
          <w:tcPr>
            <w:tcW w:w="1249" w:type="pct"/>
            <w:shd w:val="clear" w:color="auto" w:fill="F8D1CC" w:themeFill="accent5" w:themeFillTint="33"/>
          </w:tcPr>
          <w:p w14:paraId="45008BD0" w14:textId="77777777" w:rsidR="00770656" w:rsidRDefault="00770656" w:rsidP="00777BC3">
            <w:r w:rsidRPr="00403F42">
              <w:t>Should an efficient benchmark entity utilise 100% of its franking credits?</w:t>
            </w:r>
          </w:p>
          <w:p w14:paraId="41007AD0" w14:textId="77777777" w:rsidR="00770656" w:rsidRDefault="00770656" w:rsidP="00777BC3">
            <w:r w:rsidRPr="00403F42">
              <w:t>What weight should be given to tax statistics data relative to equity ownership? (note: personal view that this is only being included because the AER needs to be able to respond to the proposition</w:t>
            </w:r>
          </w:p>
        </w:tc>
        <w:tc>
          <w:tcPr>
            <w:tcW w:w="1250" w:type="pct"/>
            <w:shd w:val="clear" w:color="auto" w:fill="F8D1CC" w:themeFill="accent5" w:themeFillTint="33"/>
          </w:tcPr>
          <w:p w14:paraId="4A7445A5" w14:textId="77777777" w:rsidR="00770656" w:rsidRDefault="00770656" w:rsidP="00777BC3">
            <w:r>
              <w:t>What are the relative merits of the ATO tax statistics and equity ownership approaches to estimating gamma under a utilisation rate interpretation?</w:t>
            </w:r>
          </w:p>
        </w:tc>
        <w:tc>
          <w:tcPr>
            <w:tcW w:w="1250" w:type="pct"/>
            <w:shd w:val="clear" w:color="auto" w:fill="EA7666" w:themeFill="accent5" w:themeFillTint="99"/>
          </w:tcPr>
          <w:p w14:paraId="69A09ABD" w14:textId="77777777" w:rsidR="00770656" w:rsidRPr="00252A38" w:rsidRDefault="00521202" w:rsidP="00777BC3">
            <w:r w:rsidRPr="00252A38">
              <w:t>High</w:t>
            </w:r>
          </w:p>
        </w:tc>
      </w:tr>
      <w:tr w:rsidR="00770656" w14:paraId="6DFDDEDC" w14:textId="77777777" w:rsidTr="00F80488">
        <w:tc>
          <w:tcPr>
            <w:tcW w:w="1250" w:type="pct"/>
          </w:tcPr>
          <w:p w14:paraId="7EFA288D" w14:textId="77777777" w:rsidR="00770656" w:rsidRDefault="00770656" w:rsidP="00777BC3">
            <w:pPr>
              <w:pStyle w:val="Style2"/>
            </w:pPr>
            <w:r>
              <w:t>Distribution Rate</w:t>
            </w:r>
          </w:p>
        </w:tc>
        <w:tc>
          <w:tcPr>
            <w:tcW w:w="1249" w:type="pct"/>
            <w:shd w:val="clear" w:color="auto" w:fill="F8D1CC" w:themeFill="accent5" w:themeFillTint="33"/>
          </w:tcPr>
          <w:p w14:paraId="5DF2B856" w14:textId="77777777" w:rsidR="00770656" w:rsidRDefault="00770656" w:rsidP="00777BC3">
            <w:r w:rsidRPr="00403F42">
              <w:t>What weight should be given to tax statistics data relative to equity ownership? (note: personal view that this is only being included because the AER needs to be able to respond to the proposition</w:t>
            </w:r>
          </w:p>
        </w:tc>
        <w:tc>
          <w:tcPr>
            <w:tcW w:w="1250" w:type="pct"/>
            <w:shd w:val="clear" w:color="auto" w:fill="F8D1CC" w:themeFill="accent5" w:themeFillTint="33"/>
          </w:tcPr>
          <w:p w14:paraId="439692AF" w14:textId="77777777" w:rsidR="00770656" w:rsidRPr="008346B4" w:rsidRDefault="00770656" w:rsidP="00777BC3">
            <w:r>
              <w:t>What are the relative merits of the ATO tax statistics and the “</w:t>
            </w:r>
            <w:proofErr w:type="spellStart"/>
            <w:r>
              <w:t>Lally</w:t>
            </w:r>
            <w:proofErr w:type="spellEnd"/>
            <w:r>
              <w:t>” approach to estimating the distribution rate?</w:t>
            </w:r>
          </w:p>
        </w:tc>
        <w:tc>
          <w:tcPr>
            <w:tcW w:w="1250" w:type="pct"/>
            <w:shd w:val="clear" w:color="auto" w:fill="EA7666" w:themeFill="accent5" w:themeFillTint="99"/>
          </w:tcPr>
          <w:p w14:paraId="02861C71" w14:textId="77777777" w:rsidR="00770656" w:rsidRPr="00252A38" w:rsidRDefault="00521202" w:rsidP="00777BC3">
            <w:r w:rsidRPr="00252A38">
              <w:t>High</w:t>
            </w:r>
          </w:p>
        </w:tc>
      </w:tr>
      <w:tr w:rsidR="00770656" w14:paraId="5AA6C40A" w14:textId="77777777" w:rsidTr="00266416">
        <w:tc>
          <w:tcPr>
            <w:tcW w:w="1250" w:type="pct"/>
          </w:tcPr>
          <w:p w14:paraId="3F5B8686" w14:textId="77777777" w:rsidR="00770656" w:rsidRDefault="00770656" w:rsidP="00777BC3">
            <w:pPr>
              <w:pStyle w:val="Style2"/>
            </w:pPr>
            <w:r>
              <w:t>Currency</w:t>
            </w:r>
          </w:p>
        </w:tc>
        <w:tc>
          <w:tcPr>
            <w:tcW w:w="1249" w:type="pct"/>
          </w:tcPr>
          <w:p w14:paraId="3544A31D" w14:textId="77777777" w:rsidR="00770656" w:rsidRDefault="00770656" w:rsidP="00777BC3"/>
        </w:tc>
        <w:tc>
          <w:tcPr>
            <w:tcW w:w="1250" w:type="pct"/>
            <w:shd w:val="clear" w:color="auto" w:fill="F8D1CC" w:themeFill="accent5" w:themeFillTint="33"/>
          </w:tcPr>
          <w:p w14:paraId="2532609C" w14:textId="77777777" w:rsidR="00770656" w:rsidRDefault="00770656" w:rsidP="00777BC3">
            <w:r w:rsidRPr="00CE5A23">
              <w:t>What role should data that is 12 or more years out of date have when estimating gamma using the equity ownership approach</w:t>
            </w:r>
            <w:r>
              <w:t>?</w:t>
            </w:r>
          </w:p>
        </w:tc>
        <w:tc>
          <w:tcPr>
            <w:tcW w:w="1250" w:type="pct"/>
            <w:shd w:val="clear" w:color="auto" w:fill="B7E995" w:themeFill="accent2" w:themeFillTint="66"/>
          </w:tcPr>
          <w:p w14:paraId="18B108AE" w14:textId="77777777" w:rsidR="00770656" w:rsidRPr="00252A38" w:rsidRDefault="00266416" w:rsidP="00777BC3">
            <w:r w:rsidRPr="00252A38">
              <w:t>Low</w:t>
            </w:r>
          </w:p>
        </w:tc>
      </w:tr>
      <w:tr w:rsidR="00770656" w14:paraId="7B930373" w14:textId="77777777" w:rsidTr="00F80488">
        <w:tc>
          <w:tcPr>
            <w:tcW w:w="1250" w:type="pct"/>
          </w:tcPr>
          <w:p w14:paraId="4ABBA2C0" w14:textId="77777777" w:rsidR="00770656" w:rsidRDefault="00770656" w:rsidP="00777BC3">
            <w:r>
              <w:t>Reopening guidelines</w:t>
            </w:r>
          </w:p>
        </w:tc>
        <w:tc>
          <w:tcPr>
            <w:tcW w:w="1249" w:type="pct"/>
            <w:shd w:val="clear" w:color="auto" w:fill="F8D1CC" w:themeFill="accent5" w:themeFillTint="33"/>
          </w:tcPr>
          <w:p w14:paraId="1B5F87E7" w14:textId="77777777" w:rsidR="00770656" w:rsidRDefault="00770656" w:rsidP="00777BC3">
            <w:r>
              <w:t>Can possibility of movements in underlying data be captured in such a way that a formula could be constructed (e.g. ENA proposition about changing the MRP in response to movement in Risk Free Rate).</w:t>
            </w:r>
          </w:p>
          <w:p w14:paraId="3AED6ED4" w14:textId="77777777" w:rsidR="00770656" w:rsidRDefault="00770656" w:rsidP="00777BC3">
            <w:r>
              <w:lastRenderedPageBreak/>
              <w:t>If not what kind of movement in the empirical data should qualify as re-opening.</w:t>
            </w:r>
          </w:p>
        </w:tc>
        <w:tc>
          <w:tcPr>
            <w:tcW w:w="1250" w:type="pct"/>
            <w:shd w:val="clear" w:color="auto" w:fill="F8D1CC" w:themeFill="accent5" w:themeFillTint="33"/>
          </w:tcPr>
          <w:p w14:paraId="41C1808D" w14:textId="77777777" w:rsidR="00770656" w:rsidRPr="008346B4" w:rsidRDefault="00770656" w:rsidP="00777BC3">
            <w:r w:rsidRPr="00664787">
              <w:rPr>
                <w:lang w:val="en-NZ"/>
              </w:rPr>
              <w:lastRenderedPageBreak/>
              <w:t>Under what circumstances should a binding Rate of Return Guideline be re-opened?</w:t>
            </w:r>
          </w:p>
        </w:tc>
        <w:tc>
          <w:tcPr>
            <w:tcW w:w="1250" w:type="pct"/>
            <w:shd w:val="clear" w:color="auto" w:fill="EA7666" w:themeFill="accent5" w:themeFillTint="99"/>
          </w:tcPr>
          <w:p w14:paraId="376D6A47" w14:textId="77777777" w:rsidR="00770656" w:rsidRPr="00252A38" w:rsidRDefault="00521202" w:rsidP="00777BC3">
            <w:pPr>
              <w:rPr>
                <w:lang w:val="en-NZ"/>
              </w:rPr>
            </w:pPr>
            <w:r w:rsidRPr="00252A38">
              <w:rPr>
                <w:lang w:val="en-NZ"/>
              </w:rPr>
              <w:t>High – noting that any joint position might be more relevant to feed back to COAG EC policy consultation process, not the AER guideline review</w:t>
            </w:r>
          </w:p>
        </w:tc>
      </w:tr>
    </w:tbl>
    <w:p w14:paraId="51F854ED" w14:textId="77777777" w:rsidR="006C2CAE" w:rsidRDefault="006C2CAE"/>
    <w:p w14:paraId="3EDEF591" w14:textId="77777777" w:rsidR="00AD4AEA" w:rsidRDefault="007207F7">
      <w:r>
        <w:t>Note: There are members of CRG who nominated relevance of tax stats and reopening guidelines as low hanging fruit.</w:t>
      </w:r>
    </w:p>
    <w:p w14:paraId="0A7FA3FB" w14:textId="77777777" w:rsidR="00AD4AEA" w:rsidRDefault="00AD4AEA"/>
    <w:sectPr w:rsidR="00AD4AEA" w:rsidSect="007F1E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5EF"/>
    <w:multiLevelType w:val="hybridMultilevel"/>
    <w:tmpl w:val="EB803C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9B9648C"/>
    <w:multiLevelType w:val="hybridMultilevel"/>
    <w:tmpl w:val="E1AC0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70A70340"/>
    <w:multiLevelType w:val="hybridMultilevel"/>
    <w:tmpl w:val="D94AA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8A"/>
    <w:rsid w:val="00011234"/>
    <w:rsid w:val="00021FC3"/>
    <w:rsid w:val="00102C99"/>
    <w:rsid w:val="00124237"/>
    <w:rsid w:val="00130B14"/>
    <w:rsid w:val="00166486"/>
    <w:rsid w:val="00191ABC"/>
    <w:rsid w:val="0019799A"/>
    <w:rsid w:val="001D4A46"/>
    <w:rsid w:val="00212291"/>
    <w:rsid w:val="00212F7F"/>
    <w:rsid w:val="002267D0"/>
    <w:rsid w:val="00252A38"/>
    <w:rsid w:val="00266416"/>
    <w:rsid w:val="00375E6B"/>
    <w:rsid w:val="003C71A1"/>
    <w:rsid w:val="00403F42"/>
    <w:rsid w:val="00515026"/>
    <w:rsid w:val="00521202"/>
    <w:rsid w:val="00551FBB"/>
    <w:rsid w:val="005B1EA2"/>
    <w:rsid w:val="00664787"/>
    <w:rsid w:val="00683BE3"/>
    <w:rsid w:val="006C2CAE"/>
    <w:rsid w:val="007207F7"/>
    <w:rsid w:val="0074600E"/>
    <w:rsid w:val="00770656"/>
    <w:rsid w:val="00777BC3"/>
    <w:rsid w:val="007F1EA7"/>
    <w:rsid w:val="008346B4"/>
    <w:rsid w:val="00834A57"/>
    <w:rsid w:val="0087206A"/>
    <w:rsid w:val="00882E1D"/>
    <w:rsid w:val="009F2A59"/>
    <w:rsid w:val="00A11179"/>
    <w:rsid w:val="00AA3A7C"/>
    <w:rsid w:val="00AD4AEA"/>
    <w:rsid w:val="00AD6D54"/>
    <w:rsid w:val="00AD761A"/>
    <w:rsid w:val="00B75AFA"/>
    <w:rsid w:val="00C23E55"/>
    <w:rsid w:val="00C91A8A"/>
    <w:rsid w:val="00CB7B57"/>
    <w:rsid w:val="00CE5A23"/>
    <w:rsid w:val="00DC7D90"/>
    <w:rsid w:val="00E879B9"/>
    <w:rsid w:val="00F80488"/>
    <w:rsid w:val="00F91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3A6B"/>
  <w15:chartTrackingRefBased/>
  <w15:docId w15:val="{085CF7D1-2222-4606-BFCA-090AF901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102C99"/>
    <w:pPr>
      <w:spacing w:after="0" w:line="240" w:lineRule="auto"/>
    </w:pPr>
  </w:style>
  <w:style w:type="paragraph" w:customStyle="1" w:styleId="Style2">
    <w:name w:val="Style2"/>
    <w:basedOn w:val="Normal"/>
    <w:link w:val="Style2Char"/>
    <w:qFormat/>
    <w:rsid w:val="00DC7D90"/>
    <w:pPr>
      <w:spacing w:after="0" w:line="240" w:lineRule="auto"/>
      <w:ind w:left="227"/>
    </w:pPr>
  </w:style>
  <w:style w:type="character" w:customStyle="1" w:styleId="Style1Char">
    <w:name w:val="Style1 Char"/>
    <w:basedOn w:val="DefaultParagraphFont"/>
    <w:link w:val="Style1"/>
    <w:rsid w:val="00102C99"/>
  </w:style>
  <w:style w:type="paragraph" w:customStyle="1" w:styleId="Style3">
    <w:name w:val="Style3"/>
    <w:basedOn w:val="Normal"/>
    <w:link w:val="Style3Char"/>
    <w:qFormat/>
    <w:rsid w:val="00DC7D90"/>
    <w:pPr>
      <w:spacing w:after="0" w:line="240" w:lineRule="auto"/>
      <w:ind w:left="454"/>
    </w:pPr>
  </w:style>
  <w:style w:type="character" w:customStyle="1" w:styleId="Style2Char">
    <w:name w:val="Style2 Char"/>
    <w:basedOn w:val="DefaultParagraphFont"/>
    <w:link w:val="Style2"/>
    <w:rsid w:val="00DC7D90"/>
  </w:style>
  <w:style w:type="paragraph" w:customStyle="1" w:styleId="Style4">
    <w:name w:val="Style4"/>
    <w:basedOn w:val="Normal"/>
    <w:link w:val="Style4Char"/>
    <w:qFormat/>
    <w:rsid w:val="00DC7D90"/>
    <w:pPr>
      <w:spacing w:after="0" w:line="240" w:lineRule="auto"/>
      <w:ind w:left="680"/>
    </w:pPr>
  </w:style>
  <w:style w:type="character" w:customStyle="1" w:styleId="Style3Char">
    <w:name w:val="Style3 Char"/>
    <w:basedOn w:val="DefaultParagraphFont"/>
    <w:link w:val="Style3"/>
    <w:rsid w:val="00DC7D90"/>
  </w:style>
  <w:style w:type="character" w:customStyle="1" w:styleId="Style4Char">
    <w:name w:val="Style4 Char"/>
    <w:basedOn w:val="DefaultParagraphFont"/>
    <w:link w:val="Style4"/>
    <w:rsid w:val="00DC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7198">
      <w:bodyDiv w:val="1"/>
      <w:marLeft w:val="0"/>
      <w:marRight w:val="0"/>
      <w:marTop w:val="0"/>
      <w:marBottom w:val="0"/>
      <w:divBdr>
        <w:top w:val="none" w:sz="0" w:space="0" w:color="auto"/>
        <w:left w:val="none" w:sz="0" w:space="0" w:color="auto"/>
        <w:bottom w:val="none" w:sz="0" w:space="0" w:color="auto"/>
        <w:right w:val="none" w:sz="0" w:space="0" w:color="auto"/>
      </w:divBdr>
    </w:div>
    <w:div w:id="204298532">
      <w:bodyDiv w:val="1"/>
      <w:marLeft w:val="0"/>
      <w:marRight w:val="0"/>
      <w:marTop w:val="0"/>
      <w:marBottom w:val="0"/>
      <w:divBdr>
        <w:top w:val="none" w:sz="0" w:space="0" w:color="auto"/>
        <w:left w:val="none" w:sz="0" w:space="0" w:color="auto"/>
        <w:bottom w:val="none" w:sz="0" w:space="0" w:color="auto"/>
        <w:right w:val="none" w:sz="0" w:space="0" w:color="auto"/>
      </w:divBdr>
    </w:div>
    <w:div w:id="1415778472">
      <w:bodyDiv w:val="1"/>
      <w:marLeft w:val="0"/>
      <w:marRight w:val="0"/>
      <w:marTop w:val="0"/>
      <w:marBottom w:val="0"/>
      <w:divBdr>
        <w:top w:val="none" w:sz="0" w:space="0" w:color="auto"/>
        <w:left w:val="none" w:sz="0" w:space="0" w:color="auto"/>
        <w:bottom w:val="none" w:sz="0" w:space="0" w:color="auto"/>
        <w:right w:val="none" w:sz="0" w:space="0" w:color="auto"/>
      </w:divBdr>
    </w:div>
    <w:div w:id="1568956630">
      <w:bodyDiv w:val="1"/>
      <w:marLeft w:val="0"/>
      <w:marRight w:val="0"/>
      <w:marTop w:val="0"/>
      <w:marBottom w:val="0"/>
      <w:divBdr>
        <w:top w:val="none" w:sz="0" w:space="0" w:color="auto"/>
        <w:left w:val="none" w:sz="0" w:space="0" w:color="auto"/>
        <w:bottom w:val="none" w:sz="0" w:space="0" w:color="auto"/>
        <w:right w:val="none" w:sz="0" w:space="0" w:color="auto"/>
      </w:divBdr>
    </w:div>
    <w:div w:id="17645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DFB7-E97F-4656-BF15-79AFC16F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1468</Words>
  <Characters>8370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Havyatt</dc:creator>
  <cp:keywords/>
  <dc:description/>
  <cp:lastModifiedBy>Karunaratne, Mineka</cp:lastModifiedBy>
  <cp:revision>2</cp:revision>
  <dcterms:created xsi:type="dcterms:W3CDTF">2018-02-22T02:18:00Z</dcterms:created>
  <dcterms:modified xsi:type="dcterms:W3CDTF">2018-02-22T02:18:00Z</dcterms:modified>
</cp:coreProperties>
</file>