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81C30" w14:textId="770FE1E5" w:rsidR="00844BE2" w:rsidRPr="00470304" w:rsidRDefault="00470304">
      <w:pPr>
        <w:rPr>
          <w:b/>
          <w:sz w:val="28"/>
        </w:rPr>
      </w:pPr>
      <w:bookmarkStart w:id="0" w:name="_GoBack"/>
      <w:bookmarkEnd w:id="0"/>
      <w:r w:rsidRPr="00470304">
        <w:rPr>
          <w:b/>
          <w:sz w:val="28"/>
        </w:rPr>
        <w:t>CRG submission to the Rate of Return Guideline Review</w:t>
      </w:r>
    </w:p>
    <w:p w14:paraId="375A06C0" w14:textId="67636D6C" w:rsidR="00470304" w:rsidRDefault="00470304">
      <w:pPr>
        <w:rPr>
          <w:b/>
          <w:sz w:val="28"/>
        </w:rPr>
      </w:pPr>
      <w:r>
        <w:rPr>
          <w:b/>
          <w:sz w:val="28"/>
        </w:rPr>
        <w:t>Due date for submission – 20 April 2018</w:t>
      </w:r>
    </w:p>
    <w:p w14:paraId="6C69C54A" w14:textId="77777777" w:rsidR="00470304" w:rsidRPr="00470304" w:rsidRDefault="00470304">
      <w:pPr>
        <w:rPr>
          <w:b/>
          <w:sz w:val="28"/>
        </w:rPr>
      </w:pPr>
    </w:p>
    <w:p w14:paraId="0E7A1A33" w14:textId="1589761F" w:rsidR="00470304" w:rsidRPr="00470304" w:rsidRDefault="00470304">
      <w:pPr>
        <w:rPr>
          <w:b/>
          <w:sz w:val="28"/>
        </w:rPr>
      </w:pPr>
      <w:r w:rsidRPr="00470304">
        <w:rPr>
          <w:b/>
          <w:sz w:val="28"/>
        </w:rPr>
        <w:t>Possible structure/contents.</w:t>
      </w:r>
    </w:p>
    <w:p w14:paraId="558532B1" w14:textId="54A6C095" w:rsidR="00470304" w:rsidRDefault="00470304"/>
    <w:p w14:paraId="1C370293" w14:textId="6B17304F" w:rsidR="00470304" w:rsidRDefault="00470304" w:rsidP="00C72BAB">
      <w:pPr>
        <w:pStyle w:val="ListParagraph"/>
        <w:numPr>
          <w:ilvl w:val="0"/>
          <w:numId w:val="7"/>
        </w:numPr>
        <w:rPr>
          <w:b/>
        </w:rPr>
      </w:pPr>
      <w:r w:rsidRPr="00C72BAB">
        <w:rPr>
          <w:b/>
        </w:rPr>
        <w:t>Executive summary</w:t>
      </w:r>
    </w:p>
    <w:p w14:paraId="73A527BB" w14:textId="77777777" w:rsidR="00C72BAB" w:rsidRPr="00C72BAB" w:rsidRDefault="00C72BAB" w:rsidP="00C72BAB">
      <w:pPr>
        <w:rPr>
          <w:b/>
        </w:rPr>
      </w:pPr>
    </w:p>
    <w:p w14:paraId="19FEBA2D" w14:textId="77E47ED3" w:rsidR="00470304" w:rsidRDefault="00470304" w:rsidP="00C72BAB">
      <w:pPr>
        <w:pStyle w:val="ListParagraph"/>
        <w:numPr>
          <w:ilvl w:val="0"/>
          <w:numId w:val="7"/>
        </w:numPr>
        <w:rPr>
          <w:b/>
        </w:rPr>
      </w:pPr>
      <w:r w:rsidRPr="00C72BAB">
        <w:rPr>
          <w:b/>
        </w:rPr>
        <w:t>Background – what is the CRG</w:t>
      </w:r>
    </w:p>
    <w:p w14:paraId="6B4D4508" w14:textId="77777777" w:rsidR="00C72BAB" w:rsidRPr="00C72BAB" w:rsidRDefault="00C72BAB" w:rsidP="00C72BAB">
      <w:pPr>
        <w:pStyle w:val="ListParagraph"/>
        <w:rPr>
          <w:b/>
        </w:rPr>
      </w:pPr>
    </w:p>
    <w:p w14:paraId="13E24A68" w14:textId="77777777" w:rsidR="00C72BAB" w:rsidRPr="00C72BAB" w:rsidRDefault="00C72BAB" w:rsidP="00C72BAB">
      <w:pPr>
        <w:rPr>
          <w:b/>
        </w:rPr>
      </w:pPr>
    </w:p>
    <w:p w14:paraId="7B2DE403" w14:textId="460A9F06" w:rsidR="00470304" w:rsidRDefault="00470304" w:rsidP="00470304">
      <w:pPr>
        <w:pStyle w:val="ListParagraph"/>
        <w:numPr>
          <w:ilvl w:val="0"/>
          <w:numId w:val="1"/>
        </w:numPr>
      </w:pPr>
      <w:r>
        <w:t xml:space="preserve">Representing Australian energy consumers, comprising </w:t>
      </w:r>
      <w:proofErr w:type="spellStart"/>
      <w:r>
        <w:t>nnnnnn</w:t>
      </w:r>
      <w:proofErr w:type="spellEnd"/>
    </w:p>
    <w:p w14:paraId="2083941B" w14:textId="61F2ACA3" w:rsidR="00470304" w:rsidRDefault="00470304" w:rsidP="00470304">
      <w:pPr>
        <w:pStyle w:val="ListParagraph"/>
        <w:numPr>
          <w:ilvl w:val="0"/>
          <w:numId w:val="1"/>
        </w:numPr>
      </w:pPr>
      <w:r>
        <w:t>Established by the AER (to provide consumers with a voice in the ROR guideline process)</w:t>
      </w:r>
    </w:p>
    <w:p w14:paraId="61EC6CDC" w14:textId="30030A47" w:rsidR="00470304" w:rsidRDefault="00470304" w:rsidP="00470304">
      <w:pPr>
        <w:pStyle w:val="ListParagraph"/>
        <w:numPr>
          <w:ilvl w:val="0"/>
          <w:numId w:val="1"/>
        </w:numPr>
      </w:pPr>
      <w:r>
        <w:t xml:space="preserve">AER charter </w:t>
      </w:r>
      <w:proofErr w:type="gramStart"/>
      <w:r>
        <w:t xml:space="preserve">“ </w:t>
      </w:r>
      <w:r w:rsidRPr="00470304">
        <w:rPr>
          <w:rFonts w:ascii="Helvetica" w:hAnsi="Helvetica" w:cs="Helvetica"/>
          <w:i/>
          <w:color w:val="333333"/>
          <w:sz w:val="21"/>
          <w:szCs w:val="21"/>
          <w:shd w:val="clear" w:color="auto" w:fill="FFFFFF"/>
        </w:rPr>
        <w:t>to</w:t>
      </w:r>
      <w:proofErr w:type="gramEnd"/>
      <w:r w:rsidRPr="00470304">
        <w:rPr>
          <w:rFonts w:ascii="Helvetica" w:hAnsi="Helvetica" w:cs="Helvetica"/>
          <w:i/>
          <w:color w:val="333333"/>
          <w:sz w:val="21"/>
          <w:szCs w:val="21"/>
          <w:shd w:val="clear" w:color="auto" w:fill="FFFFFF"/>
        </w:rPr>
        <w:t xml:space="preserve"> provide direct and ongoing feedback to the AER during guideline development, and to facilitate broader consumer participation and engagement</w:t>
      </w:r>
      <w:r w:rsidRPr="0047030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</w:t>
      </w:r>
      <w:r>
        <w:t xml:space="preserve"> “</w:t>
      </w:r>
    </w:p>
    <w:p w14:paraId="7FAE1B6F" w14:textId="77777777" w:rsidR="00C72BAB" w:rsidRDefault="00C72BAB" w:rsidP="00C72BAB"/>
    <w:p w14:paraId="65CB2BB2" w14:textId="7A0FB856" w:rsidR="00470304" w:rsidRPr="00C72BAB" w:rsidRDefault="00470304" w:rsidP="00C72BAB">
      <w:pPr>
        <w:pStyle w:val="ListParagraph"/>
        <w:numPr>
          <w:ilvl w:val="0"/>
          <w:numId w:val="7"/>
        </w:numPr>
        <w:rPr>
          <w:b/>
        </w:rPr>
      </w:pPr>
      <w:r w:rsidRPr="00C72BAB">
        <w:rPr>
          <w:b/>
        </w:rPr>
        <w:t>Introduction</w:t>
      </w:r>
    </w:p>
    <w:p w14:paraId="00432B34" w14:textId="212B5348" w:rsidR="00470304" w:rsidRDefault="00470304" w:rsidP="005122C4">
      <w:pPr>
        <w:pStyle w:val="ListParagraph"/>
        <w:numPr>
          <w:ilvl w:val="0"/>
          <w:numId w:val="2"/>
        </w:numPr>
        <w:ind w:hanging="731"/>
      </w:pPr>
      <w:r>
        <w:t>The ROR guideline review process to date</w:t>
      </w:r>
      <w:r w:rsidR="005122C4">
        <w:t xml:space="preserve"> (2009, 2013 and current)</w:t>
      </w:r>
    </w:p>
    <w:p w14:paraId="6B0DD601" w14:textId="64F7C0B6" w:rsidR="00470304" w:rsidRDefault="005122C4" w:rsidP="005122C4">
      <w:pPr>
        <w:pStyle w:val="ListParagraph"/>
        <w:numPr>
          <w:ilvl w:val="0"/>
          <w:numId w:val="2"/>
        </w:numPr>
        <w:ind w:hanging="731"/>
      </w:pPr>
      <w:r>
        <w:t>Previous l</w:t>
      </w:r>
      <w:r w:rsidR="00470304">
        <w:t>ack of consumer involvement</w:t>
      </w:r>
    </w:p>
    <w:p w14:paraId="222E15DF" w14:textId="6787D611" w:rsidR="00470304" w:rsidRDefault="00470304" w:rsidP="005122C4">
      <w:pPr>
        <w:pStyle w:val="ListParagraph"/>
        <w:numPr>
          <w:ilvl w:val="0"/>
          <w:numId w:val="2"/>
        </w:numPr>
        <w:ind w:hanging="731"/>
      </w:pPr>
      <w:r>
        <w:t>Information and resource asymmetry</w:t>
      </w:r>
    </w:p>
    <w:p w14:paraId="612C31A6" w14:textId="2424E532" w:rsidR="00E40935" w:rsidRDefault="00E40935" w:rsidP="005122C4">
      <w:pPr>
        <w:pStyle w:val="ListParagraph"/>
        <w:numPr>
          <w:ilvl w:val="0"/>
          <w:numId w:val="2"/>
        </w:numPr>
        <w:ind w:hanging="731"/>
      </w:pPr>
      <w:r>
        <w:t>CRG engagement with the ENA</w:t>
      </w:r>
    </w:p>
    <w:p w14:paraId="367964D0" w14:textId="77777777" w:rsidR="00C72BAB" w:rsidRDefault="00C72BAB" w:rsidP="00C72BAB"/>
    <w:p w14:paraId="1510727B" w14:textId="736E5747" w:rsidR="00470304" w:rsidRPr="00C72BAB" w:rsidRDefault="00470304" w:rsidP="00C72BAB">
      <w:pPr>
        <w:pStyle w:val="ListParagraph"/>
        <w:numPr>
          <w:ilvl w:val="0"/>
          <w:numId w:val="7"/>
        </w:numPr>
        <w:rPr>
          <w:b/>
        </w:rPr>
      </w:pPr>
      <w:r w:rsidRPr="00C72BAB">
        <w:rPr>
          <w:b/>
        </w:rPr>
        <w:t>Outcomes from the 2013 ROR guideline review</w:t>
      </w:r>
    </w:p>
    <w:p w14:paraId="6BFCBB1F" w14:textId="058779C9" w:rsidR="00470304" w:rsidRDefault="005122C4" w:rsidP="00E40935">
      <w:pPr>
        <w:pStyle w:val="ListParagraph"/>
        <w:numPr>
          <w:ilvl w:val="0"/>
          <w:numId w:val="3"/>
        </w:numPr>
      </w:pPr>
      <w:r>
        <w:t>Brief description – mandatory application versus guideline, judgement versus objective data,</w:t>
      </w:r>
      <w:r w:rsidRPr="005122C4">
        <w:t xml:space="preserve"> </w:t>
      </w:r>
      <w:r>
        <w:t>role of AER</w:t>
      </w:r>
    </w:p>
    <w:p w14:paraId="72D4D94E" w14:textId="77777777" w:rsidR="00E40935" w:rsidRDefault="005122C4" w:rsidP="00E40935">
      <w:pPr>
        <w:pStyle w:val="ListParagraph"/>
        <w:numPr>
          <w:ilvl w:val="0"/>
          <w:numId w:val="3"/>
        </w:numPr>
      </w:pPr>
      <w:r>
        <w:t>Use of CAPM model</w:t>
      </w:r>
    </w:p>
    <w:p w14:paraId="71D9FE1D" w14:textId="5F97FFD7" w:rsidR="00470304" w:rsidRDefault="005122C4" w:rsidP="00E40935">
      <w:pPr>
        <w:pStyle w:val="ListParagraph"/>
        <w:numPr>
          <w:ilvl w:val="0"/>
          <w:numId w:val="3"/>
        </w:numPr>
      </w:pPr>
      <w:r>
        <w:t xml:space="preserve">Description of parameter </w:t>
      </w:r>
      <w:r w:rsidR="00E40935">
        <w:t xml:space="preserve">outcomes or methodology to determine parameter values </w:t>
      </w:r>
    </w:p>
    <w:p w14:paraId="653EC6C7" w14:textId="45696527" w:rsidR="00E40935" w:rsidRDefault="00E40935" w:rsidP="00E40935">
      <w:pPr>
        <w:pStyle w:val="ListParagraph"/>
        <w:numPr>
          <w:ilvl w:val="0"/>
          <w:numId w:val="3"/>
        </w:numPr>
      </w:pPr>
      <w:r>
        <w:t>Actual ROR allowed to network companies since 2013, compared to (say) applicable risk free rate</w:t>
      </w:r>
    </w:p>
    <w:p w14:paraId="775A75D0" w14:textId="77777777" w:rsidR="00C72BAB" w:rsidRDefault="00C72BAB" w:rsidP="00C72BAB"/>
    <w:p w14:paraId="3ADBA448" w14:textId="281A5E22" w:rsidR="00E40935" w:rsidRPr="00C72BAB" w:rsidRDefault="00E40935" w:rsidP="00C72BAB">
      <w:pPr>
        <w:pStyle w:val="ListParagraph"/>
        <w:numPr>
          <w:ilvl w:val="0"/>
          <w:numId w:val="7"/>
        </w:numPr>
        <w:rPr>
          <w:b/>
        </w:rPr>
      </w:pPr>
      <w:r w:rsidRPr="00C72BAB">
        <w:rPr>
          <w:b/>
        </w:rPr>
        <w:t>Analysis of outcomes against NEO and NGO</w:t>
      </w:r>
    </w:p>
    <w:p w14:paraId="5AB35BC2" w14:textId="3E593309" w:rsidR="00E40935" w:rsidRDefault="00683713" w:rsidP="00E40935">
      <w:pPr>
        <w:pStyle w:val="ListParagraph"/>
        <w:numPr>
          <w:ilvl w:val="0"/>
          <w:numId w:val="4"/>
        </w:numPr>
      </w:pPr>
      <w:r>
        <w:t>Based on o</w:t>
      </w:r>
      <w:r w:rsidR="00E40935">
        <w:t>bjective evidence:</w:t>
      </w:r>
    </w:p>
    <w:p w14:paraId="10B431A6" w14:textId="622D7762" w:rsidR="00E40935" w:rsidRDefault="00E40935" w:rsidP="00E40935">
      <w:pPr>
        <w:pStyle w:val="ListParagraph"/>
        <w:numPr>
          <w:ilvl w:val="0"/>
          <w:numId w:val="4"/>
        </w:numPr>
      </w:pPr>
      <w:r>
        <w:t>Actual rates of return achieved by the network companies since 2013</w:t>
      </w:r>
    </w:p>
    <w:p w14:paraId="0549E1D1" w14:textId="18FDB11A" w:rsidR="00E40935" w:rsidRDefault="00E40935" w:rsidP="00E40935">
      <w:pPr>
        <w:pStyle w:val="ListParagraph"/>
        <w:numPr>
          <w:ilvl w:val="0"/>
          <w:numId w:val="4"/>
        </w:numPr>
      </w:pPr>
      <w:r>
        <w:t>Asset multiplier values achieved from sales of network assets</w:t>
      </w:r>
    </w:p>
    <w:p w14:paraId="5D90E157" w14:textId="4C43C314" w:rsidR="00E40935" w:rsidRDefault="00E40935" w:rsidP="00E40935">
      <w:pPr>
        <w:pStyle w:val="ListParagraph"/>
        <w:numPr>
          <w:ilvl w:val="0"/>
          <w:numId w:val="4"/>
        </w:numPr>
      </w:pPr>
      <w:r>
        <w:t>Actual capex spend compared to allowed capex, by network company</w:t>
      </w:r>
    </w:p>
    <w:p w14:paraId="47563D91" w14:textId="7F07B2B0" w:rsidR="00E40935" w:rsidRDefault="00E40935" w:rsidP="00E40935">
      <w:pPr>
        <w:pStyle w:val="ListParagraph"/>
        <w:numPr>
          <w:ilvl w:val="0"/>
          <w:numId w:val="4"/>
        </w:numPr>
      </w:pPr>
      <w:r>
        <w:t xml:space="preserve">Actual </w:t>
      </w:r>
      <w:proofErr w:type="spellStart"/>
      <w:r>
        <w:t>opex</w:t>
      </w:r>
      <w:proofErr w:type="spellEnd"/>
      <w:r>
        <w:t xml:space="preserve"> spend compared to allowed </w:t>
      </w:r>
      <w:proofErr w:type="spellStart"/>
      <w:r>
        <w:t>opex</w:t>
      </w:r>
      <w:proofErr w:type="spellEnd"/>
    </w:p>
    <w:p w14:paraId="655F02A5" w14:textId="0EC9B3B3" w:rsidR="00683713" w:rsidRDefault="00C72BAB" w:rsidP="00E40935">
      <w:pPr>
        <w:pStyle w:val="ListParagraph"/>
        <w:numPr>
          <w:ilvl w:val="0"/>
          <w:numId w:val="4"/>
        </w:numPr>
      </w:pPr>
      <w:r>
        <w:t>O</w:t>
      </w:r>
      <w:r w:rsidR="00683713">
        <w:t>ther</w:t>
      </w:r>
    </w:p>
    <w:p w14:paraId="3CB278EB" w14:textId="77777777" w:rsidR="00C72BAB" w:rsidRDefault="00C72BAB" w:rsidP="00C72BAB"/>
    <w:p w14:paraId="656AF569" w14:textId="5C42EC7A" w:rsidR="00E40935" w:rsidRPr="00C72BAB" w:rsidRDefault="00E40935" w:rsidP="00C72BAB">
      <w:pPr>
        <w:pStyle w:val="ListParagraph"/>
        <w:numPr>
          <w:ilvl w:val="0"/>
          <w:numId w:val="7"/>
        </w:numPr>
        <w:rPr>
          <w:b/>
        </w:rPr>
      </w:pPr>
      <w:r w:rsidRPr="00C72BAB">
        <w:rPr>
          <w:b/>
        </w:rPr>
        <w:lastRenderedPageBreak/>
        <w:t xml:space="preserve">CRG conclusions </w:t>
      </w:r>
    </w:p>
    <w:p w14:paraId="741CF832" w14:textId="5CCE3E69" w:rsidR="00683713" w:rsidRPr="00683713" w:rsidRDefault="00683713" w:rsidP="00683713">
      <w:pPr>
        <w:pStyle w:val="ListParagraph"/>
        <w:numPr>
          <w:ilvl w:val="0"/>
          <w:numId w:val="6"/>
        </w:numPr>
      </w:pPr>
      <w:r w:rsidRPr="00683713">
        <w:t xml:space="preserve">What </w:t>
      </w:r>
      <w:r>
        <w:t>d</w:t>
      </w:r>
      <w:r w:rsidRPr="00683713">
        <w:t>oes the analysis tell us</w:t>
      </w:r>
      <w:r>
        <w:t>, relative to ROR</w:t>
      </w:r>
      <w:r w:rsidR="00C72BAB">
        <w:t xml:space="preserve"> and impact on prices</w:t>
      </w:r>
    </w:p>
    <w:p w14:paraId="57B5284A" w14:textId="0F4006ED" w:rsidR="00E40935" w:rsidRPr="00C72BAB" w:rsidRDefault="00E40935" w:rsidP="00E40935">
      <w:pPr>
        <w:pStyle w:val="ListParagraph"/>
        <w:numPr>
          <w:ilvl w:val="0"/>
          <w:numId w:val="6"/>
        </w:numPr>
        <w:rPr>
          <w:b/>
        </w:rPr>
      </w:pPr>
      <w:r w:rsidRPr="00E40935">
        <w:t xml:space="preserve">Networks </w:t>
      </w:r>
      <w:r>
        <w:t xml:space="preserve">have </w:t>
      </w:r>
      <w:r w:rsidRPr="00E40935">
        <w:t>receiv</w:t>
      </w:r>
      <w:r>
        <w:t>ed</w:t>
      </w:r>
      <w:r w:rsidRPr="00E40935">
        <w:t xml:space="preserve"> a ROR which is too high, and embedded in current </w:t>
      </w:r>
      <w:r w:rsidR="00683713">
        <w:t>pr</w:t>
      </w:r>
      <w:r w:rsidRPr="00E40935">
        <w:t>ices paid by consumers</w:t>
      </w:r>
    </w:p>
    <w:p w14:paraId="26565BC2" w14:textId="77777777" w:rsidR="00C72BAB" w:rsidRPr="00C72BAB" w:rsidRDefault="00C72BAB" w:rsidP="00C72BAB">
      <w:pPr>
        <w:rPr>
          <w:b/>
        </w:rPr>
      </w:pPr>
    </w:p>
    <w:p w14:paraId="200528D6" w14:textId="04337C67" w:rsidR="00E40935" w:rsidRPr="00C72BAB" w:rsidRDefault="00E40935" w:rsidP="00C72BAB">
      <w:pPr>
        <w:pStyle w:val="ListParagraph"/>
        <w:numPr>
          <w:ilvl w:val="0"/>
          <w:numId w:val="7"/>
        </w:numPr>
        <w:rPr>
          <w:b/>
        </w:rPr>
      </w:pPr>
      <w:r w:rsidRPr="00C72BAB">
        <w:rPr>
          <w:b/>
        </w:rPr>
        <w:t>CRG research/findings on CAPM parameters</w:t>
      </w:r>
    </w:p>
    <w:p w14:paraId="561CAF95" w14:textId="30D0EA8C" w:rsidR="00683713" w:rsidRDefault="00683713" w:rsidP="00E40935">
      <w:pPr>
        <w:pStyle w:val="ListParagraph"/>
        <w:numPr>
          <w:ilvl w:val="0"/>
          <w:numId w:val="5"/>
        </w:numPr>
      </w:pPr>
      <w:r>
        <w:t>(note – respond to AER issues paper)</w:t>
      </w:r>
    </w:p>
    <w:p w14:paraId="19484845" w14:textId="74878EC8" w:rsidR="00C72BAB" w:rsidRDefault="00C72BAB" w:rsidP="00E40935">
      <w:pPr>
        <w:pStyle w:val="ListParagraph"/>
        <w:numPr>
          <w:ilvl w:val="0"/>
          <w:numId w:val="5"/>
        </w:numPr>
      </w:pPr>
      <w:r>
        <w:t>Using the issues identified in the DH table/spreadsheet</w:t>
      </w:r>
    </w:p>
    <w:p w14:paraId="0F7D766F" w14:textId="0E89C40A" w:rsidR="00D46F7C" w:rsidRDefault="00D46F7C" w:rsidP="00E40935">
      <w:pPr>
        <w:pStyle w:val="ListParagraph"/>
        <w:numPr>
          <w:ilvl w:val="0"/>
          <w:numId w:val="5"/>
        </w:numPr>
      </w:pPr>
      <w:r>
        <w:t>Five “core” subject themes – gearing, debt, risk, equity, beta (?)</w:t>
      </w:r>
    </w:p>
    <w:p w14:paraId="169B3D3C" w14:textId="02FF5ABA" w:rsidR="00E40935" w:rsidRDefault="00E40935" w:rsidP="00E40935">
      <w:pPr>
        <w:pStyle w:val="ListParagraph"/>
        <w:numPr>
          <w:ilvl w:val="0"/>
          <w:numId w:val="5"/>
        </w:numPr>
      </w:pPr>
      <w:r w:rsidRPr="00E40935">
        <w:t>Based on the conclusions section above, which parameters need to be adjusted</w:t>
      </w:r>
    </w:p>
    <w:p w14:paraId="7B6D5FC7" w14:textId="246FC56E" w:rsidR="00E40935" w:rsidRDefault="00BB3EC1" w:rsidP="00E40935">
      <w:pPr>
        <w:pStyle w:val="ListParagraph"/>
        <w:numPr>
          <w:ilvl w:val="0"/>
          <w:numId w:val="5"/>
        </w:numPr>
      </w:pPr>
      <w:r>
        <w:t>The research results which support that contention</w:t>
      </w:r>
    </w:p>
    <w:p w14:paraId="6EF5DEA1" w14:textId="46DD7830" w:rsidR="00683713" w:rsidRDefault="00683713" w:rsidP="00E40935">
      <w:pPr>
        <w:pStyle w:val="ListParagraph"/>
        <w:numPr>
          <w:ilvl w:val="0"/>
          <w:numId w:val="5"/>
        </w:numPr>
      </w:pPr>
      <w:r>
        <w:t xml:space="preserve">Outcomes from </w:t>
      </w:r>
      <w:r w:rsidR="00C72BAB">
        <w:t xml:space="preserve">deep dives, hot tubs, joint CRG/ENA experts, other </w:t>
      </w:r>
      <w:r>
        <w:t>expert</w:t>
      </w:r>
      <w:r w:rsidR="00C72BAB">
        <w:t>s</w:t>
      </w:r>
    </w:p>
    <w:p w14:paraId="2C008D59" w14:textId="0ACFD691" w:rsidR="00683713" w:rsidRDefault="00683713" w:rsidP="00E40935">
      <w:pPr>
        <w:pStyle w:val="ListParagraph"/>
        <w:numPr>
          <w:ilvl w:val="0"/>
          <w:numId w:val="5"/>
        </w:numPr>
      </w:pPr>
      <w:r>
        <w:t>What would be the impact to consumers of the above changes</w:t>
      </w:r>
    </w:p>
    <w:p w14:paraId="62673345" w14:textId="77777777" w:rsidR="00C72BAB" w:rsidRDefault="00C72BAB" w:rsidP="00C72BAB"/>
    <w:p w14:paraId="4FE6D3E3" w14:textId="77E63418" w:rsidR="00683713" w:rsidRDefault="00683713" w:rsidP="00C72BAB">
      <w:pPr>
        <w:pStyle w:val="ListParagraph"/>
        <w:numPr>
          <w:ilvl w:val="0"/>
          <w:numId w:val="9"/>
        </w:numPr>
        <w:rPr>
          <w:b/>
        </w:rPr>
      </w:pPr>
      <w:r w:rsidRPr="00C72BAB">
        <w:rPr>
          <w:b/>
        </w:rPr>
        <w:t>Respond to AER</w:t>
      </w:r>
    </w:p>
    <w:p w14:paraId="556961A5" w14:textId="77777777" w:rsidR="00C72BAB" w:rsidRPr="00C72BAB" w:rsidRDefault="00C72BAB" w:rsidP="00C72BAB">
      <w:pPr>
        <w:rPr>
          <w:b/>
        </w:rPr>
      </w:pPr>
    </w:p>
    <w:p w14:paraId="76E5E3F5" w14:textId="762105F9" w:rsidR="00683713" w:rsidRDefault="00683713" w:rsidP="00C72BAB">
      <w:pPr>
        <w:pStyle w:val="ListParagraph"/>
        <w:numPr>
          <w:ilvl w:val="0"/>
          <w:numId w:val="9"/>
        </w:numPr>
        <w:rPr>
          <w:b/>
        </w:rPr>
      </w:pPr>
      <w:r w:rsidRPr="00C72BAB">
        <w:rPr>
          <w:b/>
        </w:rPr>
        <w:t>CRG recommendations</w:t>
      </w:r>
    </w:p>
    <w:p w14:paraId="6BEF20E8" w14:textId="77777777" w:rsidR="00C72BAB" w:rsidRPr="00C72BAB" w:rsidRDefault="00C72BAB" w:rsidP="00C72BAB">
      <w:pPr>
        <w:rPr>
          <w:b/>
        </w:rPr>
      </w:pPr>
    </w:p>
    <w:p w14:paraId="548FF698" w14:textId="2ADE33B5" w:rsidR="00683713" w:rsidRPr="00C72BAB" w:rsidRDefault="00683713" w:rsidP="00C72BAB">
      <w:pPr>
        <w:pStyle w:val="ListParagraph"/>
        <w:numPr>
          <w:ilvl w:val="0"/>
          <w:numId w:val="9"/>
        </w:numPr>
        <w:rPr>
          <w:b/>
        </w:rPr>
      </w:pPr>
      <w:r w:rsidRPr="00C72BAB">
        <w:rPr>
          <w:b/>
        </w:rPr>
        <w:t>Alignment with ENA position</w:t>
      </w:r>
    </w:p>
    <w:p w14:paraId="71169303" w14:textId="77777777" w:rsidR="00E40935" w:rsidRPr="00E40935" w:rsidRDefault="00E40935">
      <w:pPr>
        <w:rPr>
          <w:b/>
        </w:rPr>
      </w:pPr>
    </w:p>
    <w:sectPr w:rsidR="00E40935" w:rsidRPr="00E409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2101F"/>
    <w:multiLevelType w:val="hybridMultilevel"/>
    <w:tmpl w:val="34B8D8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D152C"/>
    <w:multiLevelType w:val="hybridMultilevel"/>
    <w:tmpl w:val="EAC4E4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6648B"/>
    <w:multiLevelType w:val="hybridMultilevel"/>
    <w:tmpl w:val="E738D66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470573"/>
    <w:multiLevelType w:val="hybridMultilevel"/>
    <w:tmpl w:val="7A7C8C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C0128"/>
    <w:multiLevelType w:val="hybridMultilevel"/>
    <w:tmpl w:val="0DF262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B2E01"/>
    <w:multiLevelType w:val="hybridMultilevel"/>
    <w:tmpl w:val="3B22D43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80788E"/>
    <w:multiLevelType w:val="hybridMultilevel"/>
    <w:tmpl w:val="654C7EC4"/>
    <w:lvl w:ilvl="0" w:tplc="0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C43B1A"/>
    <w:multiLevelType w:val="hybridMultilevel"/>
    <w:tmpl w:val="30C095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B81D46"/>
    <w:multiLevelType w:val="hybridMultilevel"/>
    <w:tmpl w:val="74DA6D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304"/>
    <w:rsid w:val="00470304"/>
    <w:rsid w:val="005122C4"/>
    <w:rsid w:val="00683713"/>
    <w:rsid w:val="006900E1"/>
    <w:rsid w:val="00844BE2"/>
    <w:rsid w:val="00BB3EC1"/>
    <w:rsid w:val="00C72BAB"/>
    <w:rsid w:val="00D46F7C"/>
    <w:rsid w:val="00E40935"/>
    <w:rsid w:val="00F7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B59C3"/>
  <w15:chartTrackingRefBased/>
  <w15:docId w15:val="{8ABE0AAA-4B55-45E5-945B-2CAD45B5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Karunaratne, Mineka</cp:lastModifiedBy>
  <cp:revision>2</cp:revision>
  <dcterms:created xsi:type="dcterms:W3CDTF">2018-02-22T02:22:00Z</dcterms:created>
  <dcterms:modified xsi:type="dcterms:W3CDTF">2018-02-22T02:22:00Z</dcterms:modified>
</cp:coreProperties>
</file>