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37" w:rsidRPr="00515615" w:rsidRDefault="00385B37" w:rsidP="00385B37">
      <w:pPr>
        <w:pStyle w:val="Header"/>
        <w:spacing w:before="120" w:after="120" w:line="240" w:lineRule="auto"/>
        <w:rPr>
          <w:rFonts w:asciiTheme="minorHAnsi" w:hAnsiTheme="minorHAnsi" w:cstheme="minorHAnsi"/>
          <w:b/>
          <w:color w:val="1E398D"/>
          <w:sz w:val="28"/>
          <w:szCs w:val="28"/>
        </w:rPr>
      </w:pPr>
      <w:r w:rsidRPr="00515615">
        <w:rPr>
          <w:rFonts w:asciiTheme="minorHAnsi" w:hAnsiTheme="minorHAnsi" w:cstheme="minorHAnsi"/>
          <w:b/>
          <w:color w:val="1E398D"/>
          <w:sz w:val="28"/>
          <w:szCs w:val="28"/>
        </w:rPr>
        <w:t xml:space="preserve">Confidentiality </w:t>
      </w:r>
      <w:r>
        <w:rPr>
          <w:rFonts w:asciiTheme="minorHAnsi" w:hAnsiTheme="minorHAnsi" w:cstheme="minorHAnsi"/>
          <w:b/>
          <w:color w:val="1E398D"/>
          <w:sz w:val="28"/>
          <w:szCs w:val="28"/>
        </w:rPr>
        <w:t>Template</w:t>
      </w:r>
    </w:p>
    <w:p w:rsidR="002775FF" w:rsidRDefault="007B053A" w:rsidP="00385B37">
      <w:pPr>
        <w:pStyle w:val="MarginText"/>
        <w:spacing w:before="120" w:after="120"/>
        <w:rPr>
          <w:rFonts w:asciiTheme="minorHAnsi" w:hAnsiTheme="minorHAnsi" w:cstheme="minorHAnsi"/>
          <w:sz w:val="21"/>
          <w:szCs w:val="21"/>
        </w:rPr>
      </w:pPr>
      <w:r w:rsidRPr="005F1795">
        <w:rPr>
          <w:rFonts w:asciiTheme="minorHAnsi" w:hAnsiTheme="minorHAnsi" w:cstheme="minorHAnsi"/>
          <w:b/>
          <w:sz w:val="21"/>
          <w:szCs w:val="21"/>
        </w:rPr>
        <w:t>CitiPower</w:t>
      </w:r>
      <w:r w:rsidRPr="005F1795">
        <w:rPr>
          <w:rFonts w:asciiTheme="minorHAnsi" w:hAnsiTheme="minorHAnsi" w:cstheme="minorHAnsi"/>
          <w:sz w:val="21"/>
          <w:szCs w:val="21"/>
        </w:rPr>
        <w:t xml:space="preserve"> sets out below the completed Confidentiality template in respect of this regulatory proposal in accordance with the AER's </w:t>
      </w:r>
      <w:r w:rsidRPr="005F1795">
        <w:rPr>
          <w:rFonts w:asciiTheme="minorHAnsi" w:hAnsiTheme="minorHAnsi" w:cstheme="minorHAnsi"/>
          <w:i/>
          <w:sz w:val="21"/>
          <w:szCs w:val="21"/>
        </w:rPr>
        <w:t>Better Regulation Confidentiality Guideline</w:t>
      </w:r>
      <w:r w:rsidRPr="005F1795">
        <w:rPr>
          <w:rFonts w:asciiTheme="minorHAnsi" w:hAnsiTheme="minorHAnsi" w:cstheme="minorHAnsi"/>
          <w:sz w:val="21"/>
          <w:szCs w:val="21"/>
        </w:rPr>
        <w:t xml:space="preserve"> dated November 2013 (</w:t>
      </w:r>
      <w:r w:rsidRPr="005F1795">
        <w:rPr>
          <w:rFonts w:asciiTheme="minorHAnsi" w:hAnsiTheme="minorHAnsi" w:cstheme="minorHAnsi"/>
          <w:b/>
          <w:sz w:val="21"/>
          <w:szCs w:val="21"/>
        </w:rPr>
        <w:t>Confidentiality Guideline</w:t>
      </w:r>
      <w:r w:rsidRPr="005F1795">
        <w:rPr>
          <w:rFonts w:asciiTheme="minorHAnsi" w:hAnsiTheme="minorHAnsi" w:cstheme="minorHAnsi"/>
          <w:sz w:val="21"/>
          <w:szCs w:val="21"/>
        </w:rPr>
        <w:t>).</w:t>
      </w:r>
    </w:p>
    <w:p w:rsidR="00887A27" w:rsidRDefault="00515615" w:rsidP="00515615">
      <w:pPr>
        <w:pStyle w:val="TableCaption"/>
        <w:rPr>
          <w:rFonts w:cstheme="minorHAnsi"/>
          <w:sz w:val="21"/>
          <w:szCs w:val="21"/>
        </w:rPr>
      </w:pPr>
      <w:r>
        <w:t>Table 1.</w:t>
      </w:r>
      <w:fldSimple w:instr=" SEQ Table \* ARABIC \s 1 ">
        <w:r w:rsidR="0057265B">
          <w:rPr>
            <w:noProof/>
          </w:rPr>
          <w:t>1</w:t>
        </w:r>
      </w:fldSimple>
      <w:r>
        <w:t xml:space="preserve"> </w:t>
      </w:r>
      <w:r>
        <w:tab/>
        <w:t>Confidentiality template</w:t>
      </w:r>
    </w:p>
    <w:tbl>
      <w:tblPr>
        <w:tblW w:w="14742" w:type="dxa"/>
        <w:tblInd w:w="57" w:type="dxa"/>
        <w:tblBorders>
          <w:top w:val="single" w:sz="6" w:space="0" w:color="1E398D"/>
          <w:left w:val="single" w:sz="6" w:space="0" w:color="1E398D"/>
          <w:bottom w:val="single" w:sz="6" w:space="0" w:color="1E398D"/>
          <w:right w:val="single" w:sz="6" w:space="0" w:color="1E398D"/>
          <w:insideH w:val="single" w:sz="6" w:space="0" w:color="1E398D"/>
          <w:insideV w:val="single" w:sz="6" w:space="0" w:color="1E398D"/>
        </w:tblBorders>
        <w:tblCellMar>
          <w:left w:w="57" w:type="dxa"/>
          <w:bottom w:w="57" w:type="dxa"/>
          <w:right w:w="57" w:type="dxa"/>
        </w:tblCellMar>
        <w:tblLook w:val="0460" w:firstRow="1" w:lastRow="1" w:firstColumn="0" w:lastColumn="0" w:noHBand="0" w:noVBand="1"/>
      </w:tblPr>
      <w:tblGrid>
        <w:gridCol w:w="2270"/>
        <w:gridCol w:w="1984"/>
        <w:gridCol w:w="1557"/>
        <w:gridCol w:w="1843"/>
        <w:gridCol w:w="1843"/>
        <w:gridCol w:w="1840"/>
        <w:gridCol w:w="3405"/>
      </w:tblGrid>
      <w:tr w:rsidR="00887A27" w:rsidRPr="002C5B5D" w:rsidTr="008340AC">
        <w:trPr>
          <w:tblHeader/>
        </w:trPr>
        <w:tc>
          <w:tcPr>
            <w:tcW w:w="770" w:type="pct"/>
            <w:shd w:val="clear" w:color="auto" w:fill="1E398D"/>
          </w:tcPr>
          <w:p w:rsidR="00887A27" w:rsidRPr="00385B37" w:rsidRDefault="00887A27" w:rsidP="00B35C0D">
            <w:pPr>
              <w:pStyle w:val="TableHeading"/>
              <w:rPr>
                <w:b/>
                <w:sz w:val="16"/>
                <w:szCs w:val="16"/>
              </w:rPr>
            </w:pPr>
            <w:r w:rsidRPr="00385B37">
              <w:rPr>
                <w:b/>
                <w:sz w:val="16"/>
                <w:szCs w:val="16"/>
              </w:rPr>
              <w:t>Title, page and paragraph number of document containing the confidential information</w:t>
            </w:r>
          </w:p>
        </w:tc>
        <w:tc>
          <w:tcPr>
            <w:tcW w:w="673" w:type="pct"/>
            <w:shd w:val="clear" w:color="auto" w:fill="1E398D"/>
          </w:tcPr>
          <w:p w:rsidR="00887A27" w:rsidRPr="00385B37" w:rsidRDefault="00887A27" w:rsidP="00B35C0D">
            <w:pPr>
              <w:pStyle w:val="TableHeading"/>
              <w:rPr>
                <w:b/>
                <w:sz w:val="16"/>
                <w:szCs w:val="16"/>
              </w:rPr>
            </w:pPr>
            <w:r w:rsidRPr="00385B37">
              <w:rPr>
                <w:b/>
                <w:sz w:val="16"/>
                <w:szCs w:val="16"/>
              </w:rPr>
              <w:t>Description of the confidential information</w:t>
            </w:r>
          </w:p>
        </w:tc>
        <w:tc>
          <w:tcPr>
            <w:tcW w:w="528" w:type="pct"/>
            <w:shd w:val="clear" w:color="auto" w:fill="1E398D"/>
          </w:tcPr>
          <w:p w:rsidR="00887A27" w:rsidRPr="00385B37" w:rsidRDefault="00887A27" w:rsidP="00B35C0D">
            <w:pPr>
              <w:pStyle w:val="TableHeading"/>
              <w:rPr>
                <w:b/>
                <w:sz w:val="16"/>
                <w:szCs w:val="16"/>
              </w:rPr>
            </w:pPr>
            <w:r w:rsidRPr="00385B37">
              <w:rPr>
                <w:b/>
                <w:sz w:val="16"/>
                <w:szCs w:val="16"/>
              </w:rPr>
              <w:t>Topic the confidential information relates to (e.g. capex, opex, the rate of return etc.)</w:t>
            </w:r>
          </w:p>
        </w:tc>
        <w:tc>
          <w:tcPr>
            <w:tcW w:w="625" w:type="pct"/>
            <w:shd w:val="clear" w:color="auto" w:fill="1E398D"/>
          </w:tcPr>
          <w:p w:rsidR="00887A27" w:rsidRPr="00385B37" w:rsidRDefault="00887A27" w:rsidP="00B35C0D">
            <w:pPr>
              <w:pStyle w:val="TableHeading"/>
              <w:rPr>
                <w:b/>
                <w:sz w:val="16"/>
                <w:szCs w:val="16"/>
              </w:rPr>
            </w:pPr>
            <w:r w:rsidRPr="00385B37">
              <w:rPr>
                <w:b/>
                <w:sz w:val="16"/>
                <w:szCs w:val="16"/>
              </w:rPr>
              <w:t>Identify the recognised confidentiality category that the confidential information falls within</w:t>
            </w:r>
          </w:p>
        </w:tc>
        <w:tc>
          <w:tcPr>
            <w:tcW w:w="625" w:type="pct"/>
            <w:shd w:val="clear" w:color="auto" w:fill="1E398D"/>
          </w:tcPr>
          <w:p w:rsidR="00887A27" w:rsidRPr="00385B37" w:rsidRDefault="00887A27" w:rsidP="00B35C0D">
            <w:pPr>
              <w:pStyle w:val="MarginText"/>
              <w:overflowPunct w:val="0"/>
              <w:autoSpaceDE w:val="0"/>
              <w:autoSpaceDN w:val="0"/>
              <w:spacing w:before="60" w:after="60"/>
              <w:jc w:val="left"/>
              <w:textAlignment w:val="baseline"/>
              <w:rPr>
                <w:rFonts w:asciiTheme="minorHAnsi" w:hAnsiTheme="minorHAnsi" w:cstheme="minorHAnsi"/>
                <w:b/>
                <w:sz w:val="16"/>
                <w:szCs w:val="16"/>
              </w:rPr>
            </w:pPr>
            <w:r w:rsidRPr="00385B37">
              <w:rPr>
                <w:rFonts w:asciiTheme="minorHAnsi" w:hAnsiTheme="minorHAnsi" w:cstheme="minorHAnsi"/>
                <w:b/>
                <w:sz w:val="16"/>
                <w:szCs w:val="16"/>
              </w:rPr>
              <w:t>Provide a brief explanation of why the confidential information falls into the selected category</w:t>
            </w:r>
          </w:p>
          <w:p w:rsidR="00887A27" w:rsidRPr="00385B37" w:rsidRDefault="00887A27" w:rsidP="00B35C0D">
            <w:pPr>
              <w:pStyle w:val="TableHeading"/>
              <w:rPr>
                <w:b/>
                <w:sz w:val="16"/>
                <w:szCs w:val="16"/>
              </w:rPr>
            </w:pPr>
            <w:r w:rsidRPr="00385B37">
              <w:rPr>
                <w:b/>
                <w:sz w:val="16"/>
                <w:szCs w:val="16"/>
              </w:rPr>
              <w:t>If the information falls within 'other' please provide further details on why the information should be treated as confidential</w:t>
            </w:r>
          </w:p>
        </w:tc>
        <w:tc>
          <w:tcPr>
            <w:tcW w:w="624" w:type="pct"/>
            <w:shd w:val="clear" w:color="auto" w:fill="1E398D"/>
          </w:tcPr>
          <w:p w:rsidR="00887A27" w:rsidRPr="00385B37" w:rsidRDefault="00887A27" w:rsidP="00B35C0D">
            <w:pPr>
              <w:pStyle w:val="TableHeading"/>
              <w:rPr>
                <w:b/>
                <w:sz w:val="16"/>
                <w:szCs w:val="16"/>
              </w:rPr>
            </w:pPr>
            <w:r w:rsidRPr="00385B37">
              <w:rPr>
                <w:b/>
                <w:sz w:val="16"/>
                <w:szCs w:val="16"/>
              </w:rPr>
              <w:t>Specify reasons supporting how and why detriment would be caused from disclosing the confidential information</w:t>
            </w:r>
          </w:p>
        </w:tc>
        <w:tc>
          <w:tcPr>
            <w:tcW w:w="1155" w:type="pct"/>
            <w:shd w:val="clear" w:color="auto" w:fill="1E398D"/>
          </w:tcPr>
          <w:p w:rsidR="00887A27" w:rsidRPr="00385B37" w:rsidRDefault="00887A27" w:rsidP="00B35C0D">
            <w:pPr>
              <w:pStyle w:val="TableHeading"/>
              <w:rPr>
                <w:b/>
                <w:sz w:val="16"/>
                <w:szCs w:val="16"/>
              </w:rPr>
            </w:pPr>
            <w:r w:rsidRPr="00385B37">
              <w:rPr>
                <w:b/>
                <w:sz w:val="16"/>
                <w:szCs w:val="16"/>
              </w:rPr>
              <w:t>Provide any reasons supporting why the identified detriment is not outweighed by the public benefit (especially public benefits such as the effect on the long term interests of consumers)</w:t>
            </w:r>
          </w:p>
        </w:tc>
      </w:tr>
      <w:tr w:rsidR="008340AC" w:rsidRPr="002C5B5D" w:rsidTr="008340AC">
        <w:tc>
          <w:tcPr>
            <w:tcW w:w="5000" w:type="pct"/>
            <w:gridSpan w:val="7"/>
            <w:shd w:val="clear" w:color="auto" w:fill="auto"/>
          </w:tcPr>
          <w:p w:rsidR="008340AC" w:rsidRPr="008340AC" w:rsidRDefault="008340AC" w:rsidP="00B35C0D">
            <w:pPr>
              <w:pStyle w:val="TableText"/>
              <w:rPr>
                <w:b/>
                <w:sz w:val="16"/>
                <w:szCs w:val="16"/>
              </w:rPr>
            </w:pPr>
            <w:r w:rsidRPr="008340AC">
              <w:rPr>
                <w:b/>
                <w:bCs/>
                <w:sz w:val="16"/>
                <w:szCs w:val="16"/>
              </w:rPr>
              <w:t xml:space="preserve">Attachments to the </w:t>
            </w:r>
            <w:r>
              <w:rPr>
                <w:b/>
                <w:bCs/>
                <w:sz w:val="16"/>
                <w:szCs w:val="16"/>
              </w:rPr>
              <w:t>Regulatory proposal and appendices</w:t>
            </w:r>
          </w:p>
        </w:tc>
      </w:tr>
      <w:tr w:rsidR="00996F6D" w:rsidRPr="002C5B5D" w:rsidTr="008340AC">
        <w:tc>
          <w:tcPr>
            <w:tcW w:w="770" w:type="pct"/>
            <w:shd w:val="clear" w:color="auto" w:fill="auto"/>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bCs/>
                <w:color w:val="333333"/>
                <w:sz w:val="16"/>
                <w:szCs w:val="16"/>
                <w:lang w:val="en-AU"/>
              </w:rPr>
              <w:t>CP CONFIDENTIAL ATT 10.10 - Dimension Data, Monitoring IT security price estimate, 2014, pp. 3–19.</w:t>
            </w:r>
          </w:p>
        </w:tc>
        <w:tc>
          <w:tcPr>
            <w:tcW w:w="673" w:type="pct"/>
            <w:shd w:val="clear" w:color="auto" w:fill="auto"/>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Pricing estimate for provision of IT monitoring services</w:t>
            </w:r>
          </w:p>
        </w:tc>
        <w:tc>
          <w:tcPr>
            <w:tcW w:w="528" w:type="pct"/>
            <w:shd w:val="clear" w:color="auto" w:fill="auto"/>
          </w:tcPr>
          <w:p w:rsidR="00996F6D" w:rsidRPr="00385B37" w:rsidRDefault="00996F6D" w:rsidP="00B35C0D">
            <w:pPr>
              <w:pStyle w:val="TableText"/>
              <w:rPr>
                <w:sz w:val="16"/>
                <w:szCs w:val="16"/>
              </w:rPr>
            </w:pPr>
            <w:r w:rsidRPr="00385B37">
              <w:rPr>
                <w:sz w:val="16"/>
                <w:szCs w:val="16"/>
              </w:rPr>
              <w:t>Opex</w:t>
            </w:r>
          </w:p>
        </w:tc>
        <w:tc>
          <w:tcPr>
            <w:tcW w:w="625" w:type="pct"/>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cost inputs and market intelligence, and information affecting the security of the network</w:t>
            </w:r>
          </w:p>
        </w:tc>
        <w:tc>
          <w:tcPr>
            <w:tcW w:w="625" w:type="pct"/>
          </w:tcPr>
          <w:p w:rsidR="00996F6D" w:rsidRPr="00385B37" w:rsidRDefault="00996F6D" w:rsidP="00B35C0D">
            <w:pPr>
              <w:pStyle w:val="TableText"/>
              <w:rPr>
                <w:sz w:val="16"/>
                <w:szCs w:val="16"/>
              </w:rPr>
            </w:pPr>
            <w:r w:rsidRPr="00385B37">
              <w:rPr>
                <w:sz w:val="16"/>
                <w:szCs w:val="16"/>
              </w:rPr>
              <w:t>The attachment includes market sensitive pricing estimates, as well as details of the proposed service that may identify areas that may be the target of network security breaches.</w:t>
            </w:r>
          </w:p>
        </w:tc>
        <w:tc>
          <w:tcPr>
            <w:tcW w:w="624" w:type="pct"/>
            <w:shd w:val="clear" w:color="auto" w:fill="auto"/>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Disclosing unit prices may limit bargaining power in future tender processes.</w:t>
            </w:r>
          </w:p>
          <w:p w:rsidR="00996F6D" w:rsidRPr="00385B37" w:rsidRDefault="00996F6D" w:rsidP="00B35C0D">
            <w:pPr>
              <w:pStyle w:val="TableText"/>
              <w:rPr>
                <w:sz w:val="16"/>
                <w:szCs w:val="16"/>
              </w:rPr>
            </w:pPr>
            <w:r w:rsidRPr="00385B37">
              <w:rPr>
                <w:sz w:val="16"/>
                <w:szCs w:val="16"/>
              </w:rPr>
              <w:t>Major security risk of hacking and interference in IT systems and network control systems</w:t>
            </w:r>
          </w:p>
        </w:tc>
        <w:tc>
          <w:tcPr>
            <w:tcW w:w="1155" w:type="pct"/>
            <w:shd w:val="clear" w:color="auto" w:fill="auto"/>
          </w:tcPr>
          <w:p w:rsidR="00996F6D" w:rsidRPr="00385B37" w:rsidRDefault="00996F6D" w:rsidP="00B35C0D">
            <w:pPr>
              <w:pStyle w:val="TableText"/>
              <w:rPr>
                <w:sz w:val="16"/>
                <w:szCs w:val="16"/>
              </w:rPr>
            </w:pPr>
            <w:r w:rsidRPr="00385B37">
              <w:rPr>
                <w:sz w:val="16"/>
                <w:szCs w:val="16"/>
              </w:rPr>
              <w:t>Sufficient information is provided in our regulatory proposal for the public to assess the reasonableness of this step change (without disclosure of the full detail).</w:t>
            </w:r>
          </w:p>
        </w:tc>
      </w:tr>
      <w:tr w:rsidR="00996F6D" w:rsidRPr="002C5B5D" w:rsidTr="008340AC">
        <w:tc>
          <w:tcPr>
            <w:tcW w:w="770" w:type="pct"/>
            <w:shd w:val="clear" w:color="auto" w:fill="auto"/>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12.4</w:t>
            </w:r>
            <w:r w:rsidR="00E90562">
              <w:rPr>
                <w:rFonts w:asciiTheme="minorHAnsi" w:hAnsiTheme="minorHAnsi" w:cstheme="minorHAnsi"/>
                <w:color w:val="333333"/>
                <w:sz w:val="16"/>
                <w:szCs w:val="16"/>
              </w:rPr>
              <w:t>3</w:t>
            </w:r>
            <w:r w:rsidRPr="00385B37">
              <w:rPr>
                <w:rFonts w:asciiTheme="minorHAnsi" w:hAnsiTheme="minorHAnsi" w:cstheme="minorHAnsi"/>
                <w:color w:val="333333"/>
                <w:sz w:val="16"/>
                <w:szCs w:val="16"/>
              </w:rPr>
              <w:t>, CitiPower, Letter proposing return on debt averaging periods, April 2015</w:t>
            </w:r>
          </w:p>
          <w:p w:rsidR="00996F6D" w:rsidRPr="00385B37" w:rsidRDefault="00996F6D" w:rsidP="004F25DC">
            <w:pPr>
              <w:pStyle w:val="MarginText"/>
              <w:spacing w:before="60" w:after="60"/>
              <w:jc w:val="left"/>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Table 1, page 2</w:t>
            </w:r>
          </w:p>
          <w:p w:rsidR="00996F6D" w:rsidRPr="00385B37" w:rsidRDefault="00996F6D" w:rsidP="004F25DC">
            <w:pPr>
              <w:pStyle w:val="MarginText"/>
              <w:spacing w:before="60" w:after="60"/>
              <w:jc w:val="left"/>
              <w:rPr>
                <w:rFonts w:asciiTheme="minorHAnsi" w:hAnsiTheme="minorHAnsi" w:cstheme="minorHAnsi"/>
                <w:color w:val="333333"/>
                <w:sz w:val="16"/>
                <w:szCs w:val="16"/>
              </w:rPr>
            </w:pPr>
            <w:r w:rsidRPr="00385B37">
              <w:rPr>
                <w:rFonts w:asciiTheme="minorHAnsi" w:hAnsiTheme="minorHAnsi" w:cstheme="minorHAnsi"/>
                <w:color w:val="333333"/>
                <w:sz w:val="16"/>
                <w:szCs w:val="16"/>
              </w:rPr>
              <w:t>2.5 paragraphs and foot note, page 2</w:t>
            </w:r>
          </w:p>
          <w:p w:rsidR="00996F6D" w:rsidRPr="00385B37" w:rsidRDefault="00996F6D" w:rsidP="004F25DC">
            <w:pPr>
              <w:pStyle w:val="MarginText"/>
              <w:spacing w:before="60" w:after="60"/>
              <w:jc w:val="left"/>
              <w:rPr>
                <w:rFonts w:asciiTheme="minorHAnsi" w:hAnsiTheme="minorHAnsi" w:cstheme="minorHAnsi"/>
                <w:color w:val="333333"/>
                <w:sz w:val="16"/>
                <w:szCs w:val="16"/>
              </w:rPr>
            </w:pPr>
            <w:r w:rsidRPr="00385B37">
              <w:rPr>
                <w:rFonts w:asciiTheme="minorHAnsi" w:hAnsiTheme="minorHAnsi" w:cstheme="minorHAnsi"/>
                <w:color w:val="333333"/>
                <w:sz w:val="16"/>
                <w:szCs w:val="16"/>
              </w:rPr>
              <w:t>Table 2, page 3</w:t>
            </w:r>
          </w:p>
          <w:p w:rsidR="00996F6D" w:rsidRPr="00385B37" w:rsidRDefault="00996F6D" w:rsidP="004F25DC">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Part of a sentence, page 4</w:t>
            </w:r>
          </w:p>
        </w:tc>
        <w:tc>
          <w:tcPr>
            <w:tcW w:w="673" w:type="pct"/>
            <w:shd w:val="clear" w:color="auto" w:fill="auto"/>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Nominating the averaging period for 2016 cost of debt</w:t>
            </w:r>
          </w:p>
        </w:tc>
        <w:tc>
          <w:tcPr>
            <w:tcW w:w="528" w:type="pct"/>
            <w:shd w:val="clear" w:color="auto" w:fill="auto"/>
          </w:tcPr>
          <w:p w:rsidR="00996F6D" w:rsidRPr="00385B37" w:rsidRDefault="00996F6D" w:rsidP="00B35C0D">
            <w:pPr>
              <w:pStyle w:val="TableText"/>
              <w:rPr>
                <w:sz w:val="16"/>
                <w:szCs w:val="16"/>
              </w:rPr>
            </w:pPr>
            <w:r w:rsidRPr="00385B37">
              <w:rPr>
                <w:sz w:val="16"/>
                <w:szCs w:val="16"/>
              </w:rPr>
              <w:t>Rate of Return</w:t>
            </w:r>
          </w:p>
        </w:tc>
        <w:tc>
          <w:tcPr>
            <w:tcW w:w="625" w:type="pct"/>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Rate of Return Guidelines require averaging period is to be confidential.</w:t>
            </w:r>
          </w:p>
        </w:tc>
        <w:tc>
          <w:tcPr>
            <w:tcW w:w="625" w:type="pct"/>
          </w:tcPr>
          <w:p w:rsidR="00996F6D" w:rsidRPr="00385B37" w:rsidRDefault="00996F6D" w:rsidP="00B35C0D">
            <w:pPr>
              <w:pStyle w:val="TableText"/>
              <w:rPr>
                <w:sz w:val="16"/>
                <w:szCs w:val="16"/>
              </w:rPr>
            </w:pPr>
            <w:r w:rsidRPr="00385B37">
              <w:rPr>
                <w:sz w:val="16"/>
                <w:szCs w:val="16"/>
              </w:rPr>
              <w:t>It relates to estimation of cost of debt for determining the allowed rate of return.</w:t>
            </w:r>
          </w:p>
        </w:tc>
        <w:tc>
          <w:tcPr>
            <w:tcW w:w="624" w:type="pct"/>
            <w:shd w:val="clear" w:color="auto" w:fill="auto"/>
          </w:tcPr>
          <w:p w:rsidR="00996F6D" w:rsidRPr="00385B37" w:rsidRDefault="00996F6D" w:rsidP="00B35C0D">
            <w:pPr>
              <w:pStyle w:val="TableText"/>
              <w:rPr>
                <w:sz w:val="16"/>
                <w:szCs w:val="16"/>
              </w:rPr>
            </w:pPr>
            <w:r w:rsidRPr="00385B37">
              <w:rPr>
                <w:sz w:val="16"/>
                <w:szCs w:val="16"/>
              </w:rPr>
              <w:t>Information could be used by another party to the detriment of the company.</w:t>
            </w:r>
          </w:p>
        </w:tc>
        <w:tc>
          <w:tcPr>
            <w:tcW w:w="1155" w:type="pct"/>
            <w:shd w:val="clear" w:color="auto" w:fill="auto"/>
          </w:tcPr>
          <w:p w:rsidR="00996F6D" w:rsidRPr="00385B37" w:rsidRDefault="00996F6D" w:rsidP="00B35C0D">
            <w:pPr>
              <w:pStyle w:val="TableText"/>
              <w:rPr>
                <w:sz w:val="16"/>
                <w:szCs w:val="16"/>
              </w:rPr>
            </w:pPr>
            <w:r w:rsidRPr="00385B37">
              <w:rPr>
                <w:sz w:val="16"/>
                <w:szCs w:val="16"/>
              </w:rPr>
              <w:t>There is no public benefit and guideline requires this information to be confidential for each year.</w:t>
            </w:r>
          </w:p>
        </w:tc>
      </w:tr>
      <w:tr w:rsidR="00996F6D" w:rsidRPr="002C5B5D" w:rsidTr="008340AC">
        <w:tc>
          <w:tcPr>
            <w:tcW w:w="770" w:type="pct"/>
            <w:shd w:val="clear" w:color="auto" w:fill="auto"/>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CP CONFIDENTIAL APP E.41, CitiPower and Poweror, IT Security – Network Security Internal Audit Report, July 2013</w:t>
            </w:r>
          </w:p>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Pages i / 7 / 8 / 9 / 10 / 11 / 12 / 13 / 14 / 15 / 16 / 17 / 18 / 19 / 20  / 21 / 22 / 23 / 24 / 25 / 26 / 27 / 28 / 29 / 30 / 31 / 32 / 33 / 34 / 35 / 36 / 37 / 38 / 39 / 40 / 41 / 42 / 43 / 44 / 45 / 46 / 47 / 48 / 49 / 50 / 51 / 52 / 53 / 54 / 55 / 56 / 57 / 58 / 59 / 60 / 61 / 62 / 63 </w:t>
            </w:r>
          </w:p>
        </w:tc>
        <w:tc>
          <w:tcPr>
            <w:tcW w:w="673" w:type="pct"/>
            <w:shd w:val="clear" w:color="auto" w:fill="auto"/>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Detailed descriptions of IT Network security vulnerabilities , and IP addresses and URL’s </w:t>
            </w:r>
          </w:p>
        </w:tc>
        <w:tc>
          <w:tcPr>
            <w:tcW w:w="528" w:type="pct"/>
            <w:shd w:val="clear" w:color="auto" w:fill="auto"/>
          </w:tcPr>
          <w:p w:rsidR="00996F6D" w:rsidRPr="00385B37" w:rsidRDefault="00996F6D" w:rsidP="00B35C0D">
            <w:pPr>
              <w:pStyle w:val="TableText"/>
              <w:rPr>
                <w:sz w:val="16"/>
                <w:szCs w:val="16"/>
              </w:rPr>
            </w:pPr>
            <w:r w:rsidRPr="00385B37">
              <w:rPr>
                <w:sz w:val="16"/>
                <w:szCs w:val="16"/>
              </w:rPr>
              <w:t>Non Network IT CAPEX &amp; OPEX - Security Stream.</w:t>
            </w:r>
          </w:p>
        </w:tc>
        <w:tc>
          <w:tcPr>
            <w:tcW w:w="625" w:type="pct"/>
          </w:tcPr>
          <w:p w:rsidR="00996F6D" w:rsidRPr="00385B37" w:rsidRDefault="00996F6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Information affecting the security of the network </w:t>
            </w:r>
          </w:p>
        </w:tc>
        <w:tc>
          <w:tcPr>
            <w:tcW w:w="625" w:type="pct"/>
          </w:tcPr>
          <w:p w:rsidR="00996F6D" w:rsidRPr="00385B37" w:rsidRDefault="00996F6D" w:rsidP="00B35C0D">
            <w:pPr>
              <w:pStyle w:val="TableText"/>
              <w:rPr>
                <w:sz w:val="16"/>
                <w:szCs w:val="16"/>
              </w:rPr>
            </w:pPr>
            <w:r w:rsidRPr="00385B37">
              <w:rPr>
                <w:sz w:val="16"/>
                <w:szCs w:val="16"/>
              </w:rPr>
              <w:t>Detailed descriptions of IT Network security vulnerabilities , and IP addresses and URL’s which would allow access to CitiPower’s IT network</w:t>
            </w:r>
          </w:p>
        </w:tc>
        <w:tc>
          <w:tcPr>
            <w:tcW w:w="624" w:type="pct"/>
            <w:shd w:val="clear" w:color="auto" w:fill="auto"/>
          </w:tcPr>
          <w:p w:rsidR="00996F6D" w:rsidRPr="00385B37" w:rsidRDefault="00996F6D" w:rsidP="00B35C0D">
            <w:pPr>
              <w:pStyle w:val="TableText"/>
              <w:rPr>
                <w:sz w:val="16"/>
                <w:szCs w:val="16"/>
              </w:rPr>
            </w:pPr>
            <w:r w:rsidRPr="00385B37">
              <w:rPr>
                <w:sz w:val="16"/>
                <w:szCs w:val="16"/>
              </w:rPr>
              <w:t>Major security risk of hacking and interference in IT systems and network control systems</w:t>
            </w:r>
          </w:p>
        </w:tc>
        <w:tc>
          <w:tcPr>
            <w:tcW w:w="1155" w:type="pct"/>
            <w:shd w:val="clear" w:color="auto" w:fill="auto"/>
          </w:tcPr>
          <w:p w:rsidR="00996F6D" w:rsidRPr="00385B37" w:rsidRDefault="00996F6D" w:rsidP="00B35C0D">
            <w:pPr>
              <w:pStyle w:val="TableText"/>
              <w:rPr>
                <w:sz w:val="16"/>
                <w:szCs w:val="16"/>
              </w:rPr>
            </w:pPr>
            <w:r w:rsidRPr="00385B37">
              <w:rPr>
                <w:sz w:val="16"/>
                <w:szCs w:val="16"/>
              </w:rPr>
              <w:t>Access to this information does not add benefit to public or customers.  Risk of damage to systems and outages caused by hacking would outweigh any gains.</w:t>
            </w:r>
          </w:p>
        </w:tc>
      </w:tr>
      <w:tr w:rsidR="000A1971" w:rsidRPr="002C5B5D" w:rsidTr="008340AC">
        <w:tc>
          <w:tcPr>
            <w:tcW w:w="770" w:type="pct"/>
            <w:shd w:val="clear" w:color="auto" w:fill="auto"/>
          </w:tcPr>
          <w:p w:rsidR="000A1971" w:rsidRPr="00385B37" w:rsidRDefault="00385B37"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APP E.4</w:t>
            </w:r>
            <w:r>
              <w:rPr>
                <w:rFonts w:asciiTheme="minorHAnsi" w:hAnsiTheme="minorHAnsi" w:cstheme="minorHAnsi"/>
                <w:color w:val="333333"/>
                <w:sz w:val="16"/>
                <w:szCs w:val="16"/>
              </w:rPr>
              <w:t>5</w:t>
            </w:r>
            <w:r w:rsidRPr="00385B37">
              <w:rPr>
                <w:rFonts w:asciiTheme="minorHAnsi" w:hAnsiTheme="minorHAnsi" w:cstheme="minorHAnsi"/>
                <w:color w:val="333333"/>
                <w:sz w:val="16"/>
                <w:szCs w:val="16"/>
              </w:rPr>
              <w:t>,</w:t>
            </w:r>
            <w:r>
              <w:rPr>
                <w:rFonts w:asciiTheme="minorHAnsi" w:hAnsiTheme="minorHAnsi" w:cstheme="minorHAnsi"/>
                <w:color w:val="333333"/>
                <w:sz w:val="16"/>
                <w:szCs w:val="16"/>
              </w:rPr>
              <w:t xml:space="preserve"> </w:t>
            </w:r>
            <w:r w:rsidR="000A1971" w:rsidRPr="00385B37">
              <w:rPr>
                <w:rFonts w:asciiTheme="minorHAnsi" w:hAnsiTheme="minorHAnsi" w:cstheme="minorHAnsi"/>
                <w:color w:val="333333"/>
                <w:sz w:val="16"/>
                <w:szCs w:val="16"/>
              </w:rPr>
              <w:t xml:space="preserve">SCADA IT Operations -  Internal Audit Report, </w:t>
            </w:r>
            <w:r>
              <w:rPr>
                <w:rFonts w:asciiTheme="minorHAnsi" w:hAnsiTheme="minorHAnsi" w:cstheme="minorHAnsi"/>
                <w:color w:val="333333"/>
                <w:sz w:val="16"/>
                <w:szCs w:val="16"/>
              </w:rPr>
              <w:t>September</w:t>
            </w:r>
            <w:r w:rsidR="000A1971" w:rsidRPr="00385B37">
              <w:rPr>
                <w:rFonts w:asciiTheme="minorHAnsi" w:hAnsiTheme="minorHAnsi" w:cstheme="minorHAnsi"/>
                <w:color w:val="333333"/>
                <w:sz w:val="16"/>
                <w:szCs w:val="16"/>
              </w:rPr>
              <w:t xml:space="preserve"> 201</w:t>
            </w:r>
            <w:r>
              <w:rPr>
                <w:rFonts w:asciiTheme="minorHAnsi" w:hAnsiTheme="minorHAnsi" w:cstheme="minorHAnsi"/>
                <w:color w:val="333333"/>
                <w:sz w:val="16"/>
                <w:szCs w:val="16"/>
              </w:rPr>
              <w:t>2</w:t>
            </w:r>
          </w:p>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Page i / 6 / 7 / 8 / 9 / 10 / 11 / 12 / 13 / 14 / 15 / 16 / 17 / 18 / 19 / </w:t>
            </w:r>
            <w:r w:rsidRPr="00385B37">
              <w:rPr>
                <w:rFonts w:asciiTheme="minorHAnsi" w:hAnsiTheme="minorHAnsi" w:cstheme="minorHAnsi"/>
                <w:color w:val="333333"/>
                <w:sz w:val="16"/>
                <w:szCs w:val="16"/>
              </w:rPr>
              <w:lastRenderedPageBreak/>
              <w:t xml:space="preserve">20 /  / 21 / 22 / 23 / 24 / 25 / 26 / 27 / 28 / 29 / 30 / 31 / 32  </w:t>
            </w:r>
          </w:p>
        </w:tc>
        <w:tc>
          <w:tcPr>
            <w:tcW w:w="673" w:type="pct"/>
            <w:shd w:val="clear" w:color="auto" w:fill="auto"/>
          </w:tcPr>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 xml:space="preserve">Detailed descriptions of SCADA IT operational security vulnerabilities , and IP addresses and URL’s </w:t>
            </w:r>
          </w:p>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p>
        </w:tc>
        <w:tc>
          <w:tcPr>
            <w:tcW w:w="528" w:type="pct"/>
            <w:shd w:val="clear" w:color="auto" w:fill="auto"/>
          </w:tcPr>
          <w:p w:rsidR="000A1971" w:rsidRPr="00385B37" w:rsidRDefault="000A1971" w:rsidP="00B35C0D">
            <w:pPr>
              <w:pStyle w:val="TableText"/>
              <w:rPr>
                <w:sz w:val="16"/>
                <w:szCs w:val="16"/>
              </w:rPr>
            </w:pPr>
            <w:r w:rsidRPr="00385B37">
              <w:rPr>
                <w:sz w:val="16"/>
                <w:szCs w:val="16"/>
              </w:rPr>
              <w:t>Non Network IT CAPEX &amp; OPEX - Security Stream.</w:t>
            </w:r>
          </w:p>
        </w:tc>
        <w:tc>
          <w:tcPr>
            <w:tcW w:w="625" w:type="pct"/>
          </w:tcPr>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Information affecting the security of SCADA IT operations</w:t>
            </w:r>
          </w:p>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p>
        </w:tc>
        <w:tc>
          <w:tcPr>
            <w:tcW w:w="625" w:type="pct"/>
          </w:tcPr>
          <w:p w:rsidR="000A1971" w:rsidRPr="00385B37" w:rsidRDefault="000A1971" w:rsidP="00B35C0D">
            <w:pPr>
              <w:pStyle w:val="TableText"/>
              <w:rPr>
                <w:sz w:val="16"/>
                <w:szCs w:val="16"/>
              </w:rPr>
            </w:pPr>
            <w:r w:rsidRPr="00385B37">
              <w:rPr>
                <w:sz w:val="16"/>
                <w:szCs w:val="16"/>
              </w:rPr>
              <w:t>IP addresses and URL’s which would allow access to CitiPower’s IT network</w:t>
            </w:r>
          </w:p>
        </w:tc>
        <w:tc>
          <w:tcPr>
            <w:tcW w:w="624" w:type="pct"/>
            <w:shd w:val="clear" w:color="auto" w:fill="auto"/>
          </w:tcPr>
          <w:p w:rsidR="000A1971" w:rsidRPr="00385B37" w:rsidRDefault="000A1971" w:rsidP="00B35C0D">
            <w:pPr>
              <w:pStyle w:val="TableText"/>
              <w:rPr>
                <w:sz w:val="16"/>
                <w:szCs w:val="16"/>
              </w:rPr>
            </w:pPr>
            <w:r w:rsidRPr="00385B37">
              <w:rPr>
                <w:sz w:val="16"/>
                <w:szCs w:val="16"/>
              </w:rPr>
              <w:t>Major security risk of hacking and interference in SCADA system</w:t>
            </w:r>
          </w:p>
        </w:tc>
        <w:tc>
          <w:tcPr>
            <w:tcW w:w="1155" w:type="pct"/>
            <w:shd w:val="clear" w:color="auto" w:fill="auto"/>
          </w:tcPr>
          <w:p w:rsidR="000A1971" w:rsidRPr="00385B37" w:rsidRDefault="000A1971" w:rsidP="00B35C0D">
            <w:pPr>
              <w:pStyle w:val="TableText"/>
              <w:rPr>
                <w:sz w:val="16"/>
                <w:szCs w:val="16"/>
              </w:rPr>
            </w:pPr>
            <w:r w:rsidRPr="00385B37">
              <w:rPr>
                <w:sz w:val="16"/>
                <w:szCs w:val="16"/>
              </w:rPr>
              <w:t>Access to this information does not add benefit to public or customers.  Risk of damage to systems and outages caused by hacking would outweigh any gains.</w:t>
            </w:r>
          </w:p>
        </w:tc>
      </w:tr>
      <w:tr w:rsidR="000A1971" w:rsidRPr="002C5B5D" w:rsidTr="008340AC">
        <w:tc>
          <w:tcPr>
            <w:tcW w:w="770" w:type="pct"/>
            <w:shd w:val="clear" w:color="auto" w:fill="auto"/>
          </w:tcPr>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CP CONFIDENTIAL APP E.58 - CitiPower, Material Project, CUST 13 E Gate Development, Melbourne, pages 5&amp;7</w:t>
            </w:r>
          </w:p>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APP E.59 - CitiPower, Material Project, CUST 14 Metro Rail construction supply, page 4</w:t>
            </w:r>
          </w:p>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APP E.60 - CitiPower, Material Project, CUST 15 Spencer Street development (Old Age site), pages 1,2,4&amp;6</w:t>
            </w:r>
          </w:p>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APP E.63 - CitiPower, Material Project, CUST 18 Yarra Trams (Dept of Transport), pages 1,2,4,5&amp;6</w:t>
            </w:r>
          </w:p>
        </w:tc>
        <w:tc>
          <w:tcPr>
            <w:tcW w:w="673" w:type="pct"/>
            <w:shd w:val="clear" w:color="auto" w:fill="auto"/>
          </w:tcPr>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Material business cases to support customer connection projects will contain detailed information including correspondence with the customer and costs relating to the overall works and their contribution for the connection.</w:t>
            </w:r>
          </w:p>
        </w:tc>
        <w:tc>
          <w:tcPr>
            <w:tcW w:w="528" w:type="pct"/>
            <w:shd w:val="clear" w:color="auto" w:fill="auto"/>
          </w:tcPr>
          <w:p w:rsidR="000A1971" w:rsidRPr="00385B37" w:rsidRDefault="000A1971" w:rsidP="00B35C0D">
            <w:pPr>
              <w:pStyle w:val="TableText"/>
              <w:rPr>
                <w:sz w:val="16"/>
                <w:szCs w:val="16"/>
              </w:rPr>
            </w:pPr>
            <w:r w:rsidRPr="00385B37">
              <w:rPr>
                <w:sz w:val="16"/>
                <w:szCs w:val="16"/>
              </w:rPr>
              <w:t>Capex: connections</w:t>
            </w:r>
          </w:p>
        </w:tc>
        <w:tc>
          <w:tcPr>
            <w:tcW w:w="625" w:type="pct"/>
          </w:tcPr>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Personal information</w:t>
            </w:r>
          </w:p>
        </w:tc>
        <w:tc>
          <w:tcPr>
            <w:tcW w:w="625" w:type="pct"/>
          </w:tcPr>
          <w:p w:rsidR="000A1971" w:rsidRPr="00385B37" w:rsidRDefault="000A1971" w:rsidP="00B35C0D">
            <w:pPr>
              <w:pStyle w:val="TableText"/>
              <w:rPr>
                <w:sz w:val="16"/>
                <w:szCs w:val="16"/>
              </w:rPr>
            </w:pPr>
            <w:r w:rsidRPr="00385B37">
              <w:rPr>
                <w:sz w:val="16"/>
                <w:szCs w:val="16"/>
              </w:rPr>
              <w:t>Information about the connection and connection cost that is not in the public domain and may be harmful to the customer if disclosed.</w:t>
            </w:r>
          </w:p>
        </w:tc>
        <w:tc>
          <w:tcPr>
            <w:tcW w:w="624" w:type="pct"/>
            <w:shd w:val="clear" w:color="auto" w:fill="auto"/>
          </w:tcPr>
          <w:p w:rsidR="000A1971" w:rsidRPr="00385B37" w:rsidRDefault="000A1971" w:rsidP="00B35C0D">
            <w:pPr>
              <w:pStyle w:val="TableText"/>
              <w:rPr>
                <w:sz w:val="16"/>
                <w:szCs w:val="16"/>
              </w:rPr>
            </w:pPr>
            <w:r w:rsidRPr="00385B37">
              <w:rPr>
                <w:sz w:val="16"/>
                <w:szCs w:val="16"/>
              </w:rPr>
              <w:t>Project specifics around strategy, location of assets and approach to customer connection, together with project costs, may be damaging to the customer’s competitiveness or reputation.</w:t>
            </w:r>
          </w:p>
        </w:tc>
        <w:tc>
          <w:tcPr>
            <w:tcW w:w="1155" w:type="pct"/>
            <w:shd w:val="clear" w:color="auto" w:fill="auto"/>
          </w:tcPr>
          <w:p w:rsidR="000A1971" w:rsidRPr="00385B37" w:rsidRDefault="000A1971"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The customer connection projects are discussed in the capital expenditure appendix using information that is publicly available. </w:t>
            </w:r>
          </w:p>
          <w:p w:rsidR="000A1971" w:rsidRPr="00385B37" w:rsidRDefault="000A1971" w:rsidP="00B35C0D">
            <w:pPr>
              <w:pStyle w:val="TableText"/>
              <w:rPr>
                <w:sz w:val="16"/>
                <w:szCs w:val="16"/>
              </w:rPr>
            </w:pPr>
            <w:r w:rsidRPr="00385B37">
              <w:rPr>
                <w:sz w:val="16"/>
                <w:szCs w:val="16"/>
              </w:rPr>
              <w:t xml:space="preserve">These material business cases provide more granular information on the connection and the detriment caused to the customer by disclosure would outweigh any further public benefit. </w:t>
            </w:r>
          </w:p>
        </w:tc>
      </w:tr>
      <w:tr w:rsidR="00F34E8D" w:rsidRPr="002C5B5D" w:rsidTr="008340AC">
        <w:tc>
          <w:tcPr>
            <w:tcW w:w="770"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bCs/>
                <w:color w:val="333333"/>
                <w:sz w:val="16"/>
                <w:szCs w:val="16"/>
                <w:lang w:val="en-AU"/>
              </w:rPr>
              <w:t>CP CONFIDENTIAL APP G.3 - Lease renewals, April 2015, p.2-7.</w:t>
            </w:r>
          </w:p>
        </w:tc>
        <w:tc>
          <w:tcPr>
            <w:tcW w:w="673"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information regarding the renewal of zone substation leases that are being renegotiated.</w:t>
            </w:r>
          </w:p>
        </w:tc>
        <w:tc>
          <w:tcPr>
            <w:tcW w:w="528" w:type="pct"/>
            <w:shd w:val="clear" w:color="auto" w:fill="auto"/>
          </w:tcPr>
          <w:p w:rsidR="00F34E8D" w:rsidRPr="00385B37" w:rsidRDefault="00F34E8D" w:rsidP="00B35C0D">
            <w:pPr>
              <w:pStyle w:val="TableText"/>
              <w:rPr>
                <w:sz w:val="16"/>
                <w:szCs w:val="16"/>
              </w:rPr>
            </w:pPr>
            <w:r w:rsidRPr="00385B37">
              <w:rPr>
                <w:sz w:val="16"/>
                <w:szCs w:val="16"/>
              </w:rPr>
              <w:t>Opex</w:t>
            </w:r>
          </w:p>
        </w:tc>
        <w:tc>
          <w:tcPr>
            <w:tcW w:w="625" w:type="pct"/>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cost inputs and market intelligence</w:t>
            </w:r>
          </w:p>
        </w:tc>
        <w:tc>
          <w:tcPr>
            <w:tcW w:w="625" w:type="pct"/>
          </w:tcPr>
          <w:p w:rsidR="00F34E8D" w:rsidRPr="00385B37" w:rsidRDefault="00F34E8D" w:rsidP="00B35C0D">
            <w:pPr>
              <w:pStyle w:val="TableText"/>
              <w:rPr>
                <w:sz w:val="16"/>
                <w:szCs w:val="16"/>
              </w:rPr>
            </w:pPr>
            <w:r w:rsidRPr="00385B37">
              <w:rPr>
                <w:sz w:val="16"/>
                <w:szCs w:val="16"/>
              </w:rPr>
              <w:t xml:space="preserve">The attachment includes information that identifies the specific zone substations that are the </w:t>
            </w:r>
            <w:r w:rsidRPr="00385B37">
              <w:rPr>
                <w:sz w:val="16"/>
                <w:szCs w:val="16"/>
              </w:rPr>
              <w:lastRenderedPageBreak/>
              <w:t>subject of the lease renegotiations.</w:t>
            </w:r>
          </w:p>
        </w:tc>
        <w:tc>
          <w:tcPr>
            <w:tcW w:w="624" w:type="pct"/>
            <w:shd w:val="clear" w:color="auto" w:fill="auto"/>
          </w:tcPr>
          <w:p w:rsidR="00F34E8D" w:rsidRPr="00385B37" w:rsidRDefault="00F34E8D" w:rsidP="00B35C0D">
            <w:pPr>
              <w:pStyle w:val="TableText"/>
              <w:rPr>
                <w:sz w:val="16"/>
                <w:szCs w:val="16"/>
              </w:rPr>
            </w:pPr>
            <w:r w:rsidRPr="00385B37">
              <w:rPr>
                <w:sz w:val="16"/>
                <w:szCs w:val="16"/>
              </w:rPr>
              <w:lastRenderedPageBreak/>
              <w:t xml:space="preserve">As the lease negotiations are ongoing, disclosing the specifics of the relevant zone substations </w:t>
            </w:r>
            <w:r w:rsidRPr="00385B37">
              <w:rPr>
                <w:sz w:val="16"/>
                <w:szCs w:val="16"/>
              </w:rPr>
              <w:lastRenderedPageBreak/>
              <w:t>may limit our bargaining position.</w:t>
            </w:r>
          </w:p>
        </w:tc>
        <w:tc>
          <w:tcPr>
            <w:tcW w:w="1155"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Sufficient information is provided in our regulatory proposal for the public to assess the reasonableness of this step change (without disclosure of the full detail).</w:t>
            </w:r>
          </w:p>
        </w:tc>
      </w:tr>
      <w:tr w:rsidR="00F34E8D" w:rsidRPr="002C5B5D" w:rsidTr="008340AC">
        <w:tc>
          <w:tcPr>
            <w:tcW w:w="770"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bCs/>
                <w:color w:val="333333"/>
                <w:sz w:val="16"/>
                <w:szCs w:val="16"/>
                <w:lang w:val="en-AU"/>
              </w:rPr>
              <w:lastRenderedPageBreak/>
              <w:t>CP CONFIDENTIAL APP G.4 - Lease renewal valuations, pp. 1-11.</w:t>
            </w:r>
          </w:p>
        </w:tc>
        <w:tc>
          <w:tcPr>
            <w:tcW w:w="673"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information regarding the renewal of zone substation leases that are being renegotiated.</w:t>
            </w:r>
          </w:p>
        </w:tc>
        <w:tc>
          <w:tcPr>
            <w:tcW w:w="528" w:type="pct"/>
            <w:shd w:val="clear" w:color="auto" w:fill="auto"/>
          </w:tcPr>
          <w:p w:rsidR="00F34E8D" w:rsidRPr="00385B37" w:rsidRDefault="00F34E8D" w:rsidP="00B35C0D">
            <w:pPr>
              <w:pStyle w:val="TableText"/>
              <w:rPr>
                <w:sz w:val="16"/>
                <w:szCs w:val="16"/>
              </w:rPr>
            </w:pPr>
            <w:r w:rsidRPr="00385B37">
              <w:rPr>
                <w:sz w:val="16"/>
                <w:szCs w:val="16"/>
              </w:rPr>
              <w:t>Opex</w:t>
            </w:r>
          </w:p>
        </w:tc>
        <w:tc>
          <w:tcPr>
            <w:tcW w:w="625" w:type="pct"/>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cost inputs and market intelligence</w:t>
            </w:r>
          </w:p>
        </w:tc>
        <w:tc>
          <w:tcPr>
            <w:tcW w:w="625" w:type="pct"/>
          </w:tcPr>
          <w:p w:rsidR="00F34E8D" w:rsidRPr="00385B37" w:rsidRDefault="00F34E8D" w:rsidP="00B35C0D">
            <w:pPr>
              <w:pStyle w:val="TableText"/>
              <w:rPr>
                <w:sz w:val="16"/>
                <w:szCs w:val="16"/>
              </w:rPr>
            </w:pPr>
            <w:r w:rsidRPr="00385B37">
              <w:rPr>
                <w:sz w:val="16"/>
                <w:szCs w:val="16"/>
              </w:rPr>
              <w:t>The attachment includes information that identifies the specific zone substations that are the subject of the lease renegotiations, as well as corresponding lease valuations.</w:t>
            </w:r>
          </w:p>
        </w:tc>
        <w:tc>
          <w:tcPr>
            <w:tcW w:w="624" w:type="pct"/>
            <w:shd w:val="clear" w:color="auto" w:fill="auto"/>
          </w:tcPr>
          <w:p w:rsidR="00F34E8D" w:rsidRPr="00385B37" w:rsidRDefault="00F34E8D" w:rsidP="00B35C0D">
            <w:pPr>
              <w:pStyle w:val="TableText"/>
              <w:rPr>
                <w:sz w:val="16"/>
                <w:szCs w:val="16"/>
              </w:rPr>
            </w:pPr>
            <w:r w:rsidRPr="00385B37">
              <w:rPr>
                <w:sz w:val="16"/>
                <w:szCs w:val="16"/>
              </w:rPr>
              <w:t>As the lease negotiations are ongoing, disclosing the specifics of the relevant zone substations may limit our bargaining position.</w:t>
            </w:r>
          </w:p>
        </w:tc>
        <w:tc>
          <w:tcPr>
            <w:tcW w:w="1155"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Sufficient information is provided in our regulatory proposal for the public to assess the reasonableness of this step change (without disclosure of the full detail).</w:t>
            </w:r>
          </w:p>
        </w:tc>
      </w:tr>
      <w:tr w:rsidR="00F34E8D" w:rsidRPr="002C5B5D" w:rsidTr="008340AC">
        <w:tc>
          <w:tcPr>
            <w:tcW w:w="770"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0.5 Deed of Variation, Supply of Vegetation Management Services, 16 December 2009, pp. 2-4.</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0.6 Supply of Vegetation Management Services Modification No.1, pp. 3-4.</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CP CONFIDENTIAL ATT 0.8 Supply of Vegetation Management Services </w:t>
            </w:r>
            <w:r w:rsidRPr="00385B37">
              <w:rPr>
                <w:rFonts w:asciiTheme="minorHAnsi" w:hAnsiTheme="minorHAnsi" w:cstheme="minorHAnsi"/>
                <w:color w:val="333333"/>
                <w:sz w:val="16"/>
                <w:szCs w:val="16"/>
              </w:rPr>
              <w:lastRenderedPageBreak/>
              <w:t>Modification No.3, pp. 4-5.</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0.9 Deed of Variation Supply of Vegetation Management Services, 1 March 2011, pp. 6-44.</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0.11 2012 Deed of Variation Supply of Vegetation Management Services, 1 January 2012, pp. 3-28.</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0.12 Supply of Vegetation Management Services Modification No.5, pp. 4-5.</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0.13 2013, 2014, 2015 Deed of Variation Supply of Vegetation Management Services, pp. 6-16.</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CP CONFIDENTIAL ATT 0.14 2014 and 2015 Deed of Variation, Supply of Vegetation Management Services between Powercor and Vemco, pp. 6-13.</w:t>
            </w:r>
          </w:p>
          <w:p w:rsidR="0082239F" w:rsidRPr="00385B37" w:rsidRDefault="00F34E8D" w:rsidP="0082239F">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CP CONFIDENTIAL ATT 0.16 Vemco supply of services - </w:t>
            </w:r>
            <w:r w:rsidRPr="00385B37">
              <w:rPr>
                <w:rFonts w:asciiTheme="minorHAnsi" w:hAnsiTheme="minorHAnsi" w:cstheme="minorHAnsi"/>
                <w:color w:val="333333"/>
                <w:sz w:val="16"/>
                <w:szCs w:val="16"/>
              </w:rPr>
              <w:lastRenderedPageBreak/>
              <w:t>conditions of contract 2008, pp. 5-74.</w:t>
            </w:r>
          </w:p>
        </w:tc>
        <w:tc>
          <w:tcPr>
            <w:tcW w:w="673"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Various service agreement contracts between CitiPower and its vegetation management services provider.</w:t>
            </w:r>
          </w:p>
        </w:tc>
        <w:tc>
          <w:tcPr>
            <w:tcW w:w="528" w:type="pct"/>
            <w:shd w:val="clear" w:color="auto" w:fill="auto"/>
          </w:tcPr>
          <w:p w:rsidR="00F34E8D" w:rsidRPr="00385B37" w:rsidRDefault="00F34E8D" w:rsidP="00B35C0D">
            <w:pPr>
              <w:pStyle w:val="TableText"/>
              <w:rPr>
                <w:sz w:val="16"/>
                <w:szCs w:val="16"/>
              </w:rPr>
            </w:pPr>
            <w:r w:rsidRPr="00385B37">
              <w:rPr>
                <w:sz w:val="16"/>
                <w:szCs w:val="16"/>
              </w:rPr>
              <w:t>CP PUBLIC ATT 0.3 - CitiPower, Vegetation management expenditure, April 2015</w:t>
            </w:r>
          </w:p>
        </w:tc>
        <w:tc>
          <w:tcPr>
            <w:tcW w:w="625" w:type="pct"/>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cost inputs and market intelligence</w:t>
            </w:r>
          </w:p>
        </w:tc>
        <w:tc>
          <w:tcPr>
            <w:tcW w:w="625" w:type="pct"/>
          </w:tcPr>
          <w:p w:rsidR="00F34E8D" w:rsidRPr="00385B37" w:rsidRDefault="00F34E8D" w:rsidP="00B35C0D">
            <w:pPr>
              <w:pStyle w:val="TableText"/>
              <w:rPr>
                <w:sz w:val="16"/>
                <w:szCs w:val="16"/>
              </w:rPr>
            </w:pPr>
            <w:r w:rsidRPr="00385B37">
              <w:rPr>
                <w:sz w:val="16"/>
                <w:szCs w:val="16"/>
              </w:rPr>
              <w:t>Contracts include detail that may affect our ability to obtain competitive prices in future infrastructure transactions, such as tender processes (e.g. unit prices).</w:t>
            </w:r>
          </w:p>
        </w:tc>
        <w:tc>
          <w:tcPr>
            <w:tcW w:w="624" w:type="pct"/>
            <w:shd w:val="clear" w:color="auto" w:fill="auto"/>
          </w:tcPr>
          <w:p w:rsidR="00F34E8D" w:rsidRPr="00385B37" w:rsidRDefault="00F34E8D" w:rsidP="00B35C0D">
            <w:pPr>
              <w:pStyle w:val="TableText"/>
              <w:rPr>
                <w:sz w:val="16"/>
                <w:szCs w:val="16"/>
              </w:rPr>
            </w:pPr>
            <w:r w:rsidRPr="00385B37">
              <w:rPr>
                <w:sz w:val="16"/>
                <w:szCs w:val="16"/>
              </w:rPr>
              <w:t xml:space="preserve">Disclosing unit prices in these contracts may limit bargaining power in future tender processes. </w:t>
            </w:r>
          </w:p>
        </w:tc>
        <w:tc>
          <w:tcPr>
            <w:tcW w:w="1155"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Sufficient information is provided in our Vegetation management expenditure attachment for the public to assess the efficiency of vegetation management practices.</w:t>
            </w:r>
          </w:p>
        </w:tc>
      </w:tr>
      <w:tr w:rsidR="008340AC" w:rsidRPr="002C5B5D" w:rsidTr="008340AC">
        <w:tc>
          <w:tcPr>
            <w:tcW w:w="5000" w:type="pct"/>
            <w:gridSpan w:val="7"/>
            <w:shd w:val="clear" w:color="auto" w:fill="auto"/>
          </w:tcPr>
          <w:p w:rsidR="008340AC" w:rsidRPr="008340AC" w:rsidRDefault="008340AC" w:rsidP="00B35C0D">
            <w:pPr>
              <w:pStyle w:val="TableText"/>
              <w:rPr>
                <w:b/>
                <w:sz w:val="16"/>
                <w:szCs w:val="16"/>
              </w:rPr>
            </w:pPr>
            <w:r w:rsidRPr="008340AC">
              <w:rPr>
                <w:b/>
                <w:bCs/>
                <w:sz w:val="16"/>
                <w:szCs w:val="16"/>
              </w:rPr>
              <w:lastRenderedPageBreak/>
              <w:t>Models</w:t>
            </w:r>
          </w:p>
        </w:tc>
      </w:tr>
      <w:tr w:rsidR="00F34E8D" w:rsidRPr="002C5B5D" w:rsidTr="008340AC">
        <w:tc>
          <w:tcPr>
            <w:tcW w:w="770"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Model: CP PUBLIC MOD 1.2 - CP Metering Capex &amp; Opex - public version</w:t>
            </w:r>
          </w:p>
          <w:p w:rsidR="00F34E8D" w:rsidRPr="00385B37" w:rsidRDefault="00F34E8D" w:rsidP="004F25DC">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Worksheet ‘Material rates’ , 1 sheet out of 16 worksheets</w:t>
            </w:r>
          </w:p>
        </w:tc>
        <w:tc>
          <w:tcPr>
            <w:tcW w:w="673"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Third party service providers unit rates for purchase of meters and communications devices, in US dollars.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p>
        </w:tc>
        <w:tc>
          <w:tcPr>
            <w:tcW w:w="528"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Metering – Alternative Control Services.</w:t>
            </w:r>
          </w:p>
          <w:p w:rsidR="00F34E8D" w:rsidRPr="00385B37" w:rsidRDefault="00F34E8D" w:rsidP="004F25DC">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p>
        </w:tc>
        <w:tc>
          <w:tcPr>
            <w:tcW w:w="625" w:type="pct"/>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cost inputs and market intelligence</w:t>
            </w:r>
          </w:p>
        </w:tc>
        <w:tc>
          <w:tcPr>
            <w:tcW w:w="625" w:type="pct"/>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Information about the service providers’ business operations that is not in the public domain and may be harmful to the service provider if disclosed.</w:t>
            </w:r>
          </w:p>
        </w:tc>
        <w:tc>
          <w:tcPr>
            <w:tcW w:w="624"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Information relating to service providers’ unit rates may be damaging to the service providers’ competitiveness or reputation.</w:t>
            </w:r>
          </w:p>
        </w:tc>
        <w:tc>
          <w:tcPr>
            <w:tcW w:w="1155" w:type="pct"/>
            <w:shd w:val="clear" w:color="auto" w:fill="auto"/>
          </w:tcPr>
          <w:p w:rsidR="00F34E8D" w:rsidRPr="00385B37" w:rsidRDefault="00F34E8D" w:rsidP="00B35C0D">
            <w:pPr>
              <w:pStyle w:val="TableText"/>
              <w:rPr>
                <w:sz w:val="16"/>
                <w:szCs w:val="16"/>
              </w:rPr>
            </w:pPr>
            <w:r w:rsidRPr="00385B37">
              <w:rPr>
                <w:sz w:val="16"/>
                <w:szCs w:val="16"/>
              </w:rPr>
              <w:t>Access to this information at a detailed unit cost level does not add benefit to public or customers. We have disclosed the unit cost information in Australian dollars as this protects the original service provider unit rates provided in US dollars. The expenditure information is also provided at a more aggregated category level.</w:t>
            </w:r>
          </w:p>
        </w:tc>
      </w:tr>
      <w:tr w:rsidR="00F34E8D" w:rsidRPr="002C5B5D" w:rsidTr="008340AC">
        <w:tc>
          <w:tcPr>
            <w:tcW w:w="770"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AU"/>
              </w:rPr>
              <w:t xml:space="preserve">CitiPower detailed capital </w:t>
            </w:r>
            <w:r w:rsidRPr="00385B37">
              <w:rPr>
                <w:rFonts w:asciiTheme="minorHAnsi" w:hAnsiTheme="minorHAnsi" w:cstheme="minorHAnsi"/>
                <w:bCs/>
                <w:color w:val="333333"/>
                <w:sz w:val="16"/>
                <w:szCs w:val="16"/>
                <w:lang w:val="en-US"/>
              </w:rPr>
              <w:t>expenditure models plus one opex model:</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1.16 CP augmentation capex.xlsx (entire workbook, 17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1.18 CP connections capex.xlsm (entire workbook, 19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 xml:space="preserve">CP CONFIDENTIAL MOD 1.19 CP environmental capex.xlsx (entire </w:t>
            </w:r>
            <w:r w:rsidRPr="00385B37">
              <w:rPr>
                <w:rFonts w:asciiTheme="minorHAnsi" w:hAnsiTheme="minorHAnsi" w:cstheme="minorHAnsi"/>
                <w:bCs/>
                <w:color w:val="333333"/>
                <w:sz w:val="16"/>
                <w:szCs w:val="16"/>
                <w:lang w:val="en-US"/>
              </w:rPr>
              <w:lastRenderedPageBreak/>
              <w:t>workbook, 9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1.21 CP lines replacement capex.xlsm (entire workbook, 35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1.22 CP protection replacement capex.xlsm (entire workbook, 16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1.23 CP faults capex.xlsm (entire workbook, 11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1.24 CP network SCADA.xlsm (entire workbook, 28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1.25 CP plant &amp; stations capex.xlsx (entire workbook, 10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1.26 CP VBRC capex.xlsm (entire workbook, 9 sheets)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US"/>
              </w:rPr>
            </w:pPr>
            <w:r w:rsidRPr="00385B37">
              <w:rPr>
                <w:rFonts w:asciiTheme="minorHAnsi" w:hAnsiTheme="minorHAnsi" w:cstheme="minorHAnsi"/>
                <w:bCs/>
                <w:color w:val="333333"/>
                <w:sz w:val="16"/>
                <w:szCs w:val="16"/>
                <w:lang w:val="en-US"/>
              </w:rPr>
              <w:t>CP CONFIDENTIAL MOD 1.27 CP Yarra Valley Water replacement capex.xlsx (entire workbook, 7 sheets)</w:t>
            </w:r>
          </w:p>
          <w:p w:rsidR="00F34E8D" w:rsidRPr="00385B37" w:rsidRDefault="00F34E8D" w:rsidP="00B94A53">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bCs/>
                <w:color w:val="333333"/>
                <w:sz w:val="16"/>
                <w:szCs w:val="16"/>
                <w:lang w:val="en-US"/>
              </w:rPr>
              <w:lastRenderedPageBreak/>
              <w:t>CP CONFIDENTIAL MOD 1.32 CP GHD Vegetation Management 24032015.xlsx (</w:t>
            </w:r>
            <w:r w:rsidR="00B94A53" w:rsidRPr="00385B37">
              <w:rPr>
                <w:rFonts w:asciiTheme="minorHAnsi" w:hAnsiTheme="minorHAnsi" w:cstheme="minorHAnsi"/>
                <w:bCs/>
                <w:color w:val="333333"/>
                <w:sz w:val="16"/>
                <w:szCs w:val="16"/>
                <w:lang w:val="en-US"/>
              </w:rPr>
              <w:t>1 of</w:t>
            </w:r>
            <w:r w:rsidRPr="00385B37">
              <w:rPr>
                <w:rFonts w:asciiTheme="minorHAnsi" w:hAnsiTheme="minorHAnsi" w:cstheme="minorHAnsi"/>
                <w:bCs/>
                <w:color w:val="333333"/>
                <w:sz w:val="16"/>
                <w:szCs w:val="16"/>
                <w:lang w:val="en-US"/>
              </w:rPr>
              <w:t xml:space="preserve"> </w:t>
            </w:r>
            <w:r w:rsidR="00B94A53" w:rsidRPr="00385B37">
              <w:rPr>
                <w:rFonts w:asciiTheme="minorHAnsi" w:hAnsiTheme="minorHAnsi" w:cstheme="minorHAnsi"/>
                <w:bCs/>
                <w:color w:val="333333"/>
                <w:sz w:val="16"/>
                <w:szCs w:val="16"/>
                <w:lang w:val="en-US"/>
              </w:rPr>
              <w:t>8</w:t>
            </w:r>
            <w:r w:rsidRPr="00385B37">
              <w:rPr>
                <w:rFonts w:asciiTheme="minorHAnsi" w:hAnsiTheme="minorHAnsi" w:cstheme="minorHAnsi"/>
                <w:bCs/>
                <w:color w:val="333333"/>
                <w:sz w:val="16"/>
                <w:szCs w:val="16"/>
                <w:lang w:val="en-US"/>
              </w:rPr>
              <w:t xml:space="preserve"> sheets)</w:t>
            </w:r>
          </w:p>
        </w:tc>
        <w:tc>
          <w:tcPr>
            <w:tcW w:w="673"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Market sensitive cost information, as well as personal information that could identify specific customers.</w:t>
            </w:r>
          </w:p>
        </w:tc>
        <w:tc>
          <w:tcPr>
            <w:tcW w:w="528" w:type="pct"/>
            <w:shd w:val="clear" w:color="auto" w:fill="auto"/>
          </w:tcPr>
          <w:p w:rsidR="00F34E8D" w:rsidRPr="00385B37" w:rsidRDefault="00F34E8D" w:rsidP="00B35C0D">
            <w:pPr>
              <w:pStyle w:val="TableText"/>
              <w:rPr>
                <w:sz w:val="16"/>
                <w:szCs w:val="16"/>
              </w:rPr>
            </w:pPr>
            <w:r w:rsidRPr="00385B37">
              <w:rPr>
                <w:sz w:val="16"/>
                <w:szCs w:val="16"/>
              </w:rPr>
              <w:t>Capex and opex</w:t>
            </w:r>
          </w:p>
        </w:tc>
        <w:tc>
          <w:tcPr>
            <w:tcW w:w="625" w:type="pct"/>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Market sensitive cost inputs and personal information.</w:t>
            </w:r>
          </w:p>
        </w:tc>
        <w:tc>
          <w:tcPr>
            <w:tcW w:w="625" w:type="pct"/>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Information about some connection and connection costs that are not in the public domain and may be harmful to the customer if disclosed. </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 xml:space="preserve">The models include detail that may affect our ability to obtain competitive prices in future infrastructure transactions, such as </w:t>
            </w:r>
            <w:r w:rsidRPr="00385B37">
              <w:rPr>
                <w:rFonts w:asciiTheme="minorHAnsi" w:hAnsiTheme="minorHAnsi" w:cstheme="minorHAnsi"/>
                <w:color w:val="333333"/>
                <w:sz w:val="16"/>
                <w:szCs w:val="16"/>
              </w:rPr>
              <w:lastRenderedPageBreak/>
              <w:t xml:space="preserve">tender processes (e.g. unit prices). </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p>
          <w:p w:rsidR="00F34E8D" w:rsidRPr="00385B37" w:rsidRDefault="00F34E8D" w:rsidP="00B35C0D">
            <w:pPr>
              <w:pStyle w:val="TableText"/>
              <w:rPr>
                <w:sz w:val="16"/>
                <w:szCs w:val="16"/>
              </w:rPr>
            </w:pPr>
          </w:p>
        </w:tc>
        <w:tc>
          <w:tcPr>
            <w:tcW w:w="624"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 xml:space="preserve">Project specifics around location of assets and approach to customer connection, together with project costs, may be damaging to the customer’s competitiveness or reputation. </w:t>
            </w:r>
          </w:p>
          <w:p w:rsidR="00F34E8D" w:rsidRPr="00385B37" w:rsidRDefault="00F34E8D" w:rsidP="00B35C0D">
            <w:pPr>
              <w:pStyle w:val="TableText"/>
              <w:rPr>
                <w:sz w:val="16"/>
                <w:szCs w:val="16"/>
              </w:rPr>
            </w:pPr>
            <w:r w:rsidRPr="00385B37">
              <w:rPr>
                <w:sz w:val="16"/>
                <w:szCs w:val="16"/>
              </w:rPr>
              <w:t xml:space="preserve">Disclosing unit prices in these models may limit </w:t>
            </w:r>
            <w:r w:rsidRPr="00385B37">
              <w:rPr>
                <w:sz w:val="16"/>
                <w:szCs w:val="16"/>
              </w:rPr>
              <w:lastRenderedPageBreak/>
              <w:t>bargaining power in future tender processes.</w:t>
            </w:r>
          </w:p>
        </w:tc>
        <w:tc>
          <w:tcPr>
            <w:tcW w:w="1155" w:type="pct"/>
            <w:shd w:val="clear" w:color="auto" w:fill="auto"/>
          </w:tcPr>
          <w:p w:rsidR="00F34E8D" w:rsidRPr="00385B37" w:rsidRDefault="00F34E8D" w:rsidP="00B35C0D">
            <w:pPr>
              <w:pStyle w:val="TableText"/>
              <w:rPr>
                <w:sz w:val="16"/>
                <w:szCs w:val="16"/>
              </w:rPr>
            </w:pPr>
            <w:r w:rsidRPr="00385B37">
              <w:rPr>
                <w:sz w:val="16"/>
                <w:szCs w:val="16"/>
              </w:rPr>
              <w:lastRenderedPageBreak/>
              <w:t xml:space="preserve">Access to this information does not add benefit to public or customers. Expenditure information, consistent with AER reporting requirements, is provided in the publicly available Price Reset RIN Templates.  </w:t>
            </w:r>
          </w:p>
        </w:tc>
      </w:tr>
      <w:tr w:rsidR="00DB3A95" w:rsidRPr="002C5B5D" w:rsidTr="00DB3A95">
        <w:tc>
          <w:tcPr>
            <w:tcW w:w="5000" w:type="pct"/>
            <w:gridSpan w:val="7"/>
            <w:shd w:val="clear" w:color="auto" w:fill="auto"/>
          </w:tcPr>
          <w:p w:rsidR="00DB3A95" w:rsidRPr="00DB3A95" w:rsidRDefault="00DB3A95" w:rsidP="00B35C0D">
            <w:pPr>
              <w:pStyle w:val="TableText"/>
              <w:rPr>
                <w:rStyle w:val="AERbody"/>
                <w:rFonts w:asciiTheme="minorHAnsi" w:hAnsiTheme="minorHAnsi"/>
                <w:b/>
                <w:color w:val="333333"/>
                <w:sz w:val="16"/>
                <w:szCs w:val="16"/>
              </w:rPr>
            </w:pPr>
            <w:r w:rsidRPr="00DB3A95">
              <w:rPr>
                <w:b/>
                <w:bCs/>
                <w:sz w:val="16"/>
                <w:szCs w:val="16"/>
              </w:rPr>
              <w:lastRenderedPageBreak/>
              <w:t>Reset RIN Regulatory templates</w:t>
            </w:r>
          </w:p>
        </w:tc>
      </w:tr>
      <w:tr w:rsidR="00F34E8D" w:rsidRPr="002C5B5D" w:rsidTr="008340AC">
        <w:tc>
          <w:tcPr>
            <w:tcW w:w="770"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Appendix A: Regulatory templates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CP CONFIDENTIAL RIN 1.1- CitiPower, Vic Reset RIN 2016-20 – Consolidated Information</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bCs/>
                <w:color w:val="333333"/>
                <w:sz w:val="16"/>
                <w:szCs w:val="16"/>
                <w:lang w:val="en-AU"/>
              </w:rPr>
              <w:t>Template 2.12 Input Tables</w:t>
            </w:r>
          </w:p>
        </w:tc>
        <w:tc>
          <w:tcPr>
            <w:tcW w:w="673"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Related party contract cost and related party contract margin</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2015 only</w:t>
            </w:r>
          </w:p>
        </w:tc>
        <w:tc>
          <w:tcPr>
            <w:tcW w:w="528" w:type="pct"/>
            <w:shd w:val="clear" w:color="auto" w:fill="auto"/>
          </w:tcPr>
          <w:p w:rsidR="00F34E8D" w:rsidRPr="00385B37" w:rsidRDefault="00F34E8D" w:rsidP="00B35C0D">
            <w:pPr>
              <w:pStyle w:val="TableText"/>
              <w:rPr>
                <w:sz w:val="16"/>
                <w:szCs w:val="16"/>
              </w:rPr>
            </w:pPr>
            <w:r w:rsidRPr="00385B37">
              <w:rPr>
                <w:rStyle w:val="AERbody"/>
                <w:rFonts w:asciiTheme="minorHAnsi" w:hAnsiTheme="minorHAnsi"/>
                <w:color w:val="333333"/>
                <w:sz w:val="16"/>
                <w:szCs w:val="16"/>
              </w:rPr>
              <w:t>Opex and capex</w:t>
            </w:r>
          </w:p>
        </w:tc>
        <w:tc>
          <w:tcPr>
            <w:tcW w:w="625" w:type="pct"/>
          </w:tcPr>
          <w:p w:rsidR="00F34E8D" w:rsidRPr="00385B37" w:rsidRDefault="00F34E8D" w:rsidP="00B35C0D">
            <w:pPr>
              <w:pStyle w:val="AERtabletextleft"/>
              <w:spacing w:before="40" w:after="40" w:line="240" w:lineRule="auto"/>
              <w:contextualSpacing/>
              <w:rPr>
                <w:rStyle w:val="AERbody"/>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Market sensitive cost inputs</w:t>
            </w:r>
          </w:p>
          <w:p w:rsidR="00F34E8D" w:rsidRPr="00385B37" w:rsidRDefault="00F34E8D" w:rsidP="00B35C0D">
            <w:pPr>
              <w:pStyle w:val="AERtabletextleft"/>
              <w:spacing w:before="40" w:after="40" w:line="240" w:lineRule="auto"/>
              <w:contextualSpacing/>
              <w:rPr>
                <w:rStyle w:val="AERbody"/>
                <w:rFonts w:asciiTheme="minorHAnsi" w:hAnsiTheme="minorHAnsi" w:cstheme="minorHAnsi"/>
                <w:color w:val="333333"/>
                <w:sz w:val="16"/>
                <w:szCs w:val="16"/>
              </w:rPr>
            </w:pP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Market intelligence</w:t>
            </w:r>
          </w:p>
        </w:tc>
        <w:tc>
          <w:tcPr>
            <w:tcW w:w="625" w:type="pct"/>
          </w:tcPr>
          <w:p w:rsidR="00F34E8D" w:rsidRPr="00385B37" w:rsidRDefault="00F34E8D" w:rsidP="00B35C0D">
            <w:pPr>
              <w:pStyle w:val="TableText"/>
              <w:rPr>
                <w:sz w:val="16"/>
                <w:szCs w:val="16"/>
              </w:rPr>
            </w:pPr>
            <w:r w:rsidRPr="00385B37">
              <w:rPr>
                <w:rStyle w:val="AERbody"/>
                <w:rFonts w:asciiTheme="minorHAnsi" w:hAnsiTheme="minorHAnsi"/>
                <w:color w:val="333333"/>
                <w:sz w:val="16"/>
                <w:szCs w:val="16"/>
              </w:rPr>
              <w:t xml:space="preserve">Disclosure of this information would compromise the commercial activities of PNS and CHED Services which provide services to parties other than CitiPower.  </w:t>
            </w:r>
          </w:p>
        </w:tc>
        <w:tc>
          <w:tcPr>
            <w:tcW w:w="624" w:type="pct"/>
            <w:shd w:val="clear" w:color="auto" w:fill="auto"/>
          </w:tcPr>
          <w:p w:rsidR="00F34E8D" w:rsidRDefault="00F34E8D" w:rsidP="00B35C0D">
            <w:pPr>
              <w:pStyle w:val="TableText"/>
              <w:rPr>
                <w:rStyle w:val="AERbody"/>
                <w:rFonts w:asciiTheme="minorHAnsi" w:hAnsiTheme="minorHAnsi"/>
                <w:color w:val="333333"/>
                <w:sz w:val="16"/>
                <w:szCs w:val="16"/>
              </w:rPr>
            </w:pPr>
            <w:r w:rsidRPr="00385B37">
              <w:rPr>
                <w:rStyle w:val="AERbody"/>
                <w:rFonts w:asciiTheme="minorHAnsi" w:hAnsiTheme="minorHAnsi"/>
                <w:color w:val="333333"/>
                <w:sz w:val="16"/>
                <w:szCs w:val="16"/>
              </w:rPr>
              <w:t>Disclosure of the actual costs and margins would potentially compromise the contracts CHED Services and PNS have in place with other parties and/or future bids they may make for other contracts.  Competitors could potentially undercut prices on existing contracts held by each business or compromise their bargaining position in any future tender.</w:t>
            </w:r>
          </w:p>
          <w:p w:rsidR="00DB3A95" w:rsidRPr="00385B37" w:rsidRDefault="00DB3A95" w:rsidP="00B35C0D">
            <w:pPr>
              <w:pStyle w:val="TableText"/>
              <w:rPr>
                <w:sz w:val="16"/>
                <w:szCs w:val="16"/>
              </w:rPr>
            </w:pPr>
          </w:p>
        </w:tc>
        <w:tc>
          <w:tcPr>
            <w:tcW w:w="1155" w:type="pct"/>
            <w:shd w:val="clear" w:color="auto" w:fill="auto"/>
          </w:tcPr>
          <w:p w:rsidR="00F34E8D" w:rsidRPr="00385B37" w:rsidRDefault="00F34E8D" w:rsidP="00B35C0D">
            <w:pPr>
              <w:pStyle w:val="TableText"/>
              <w:rPr>
                <w:sz w:val="16"/>
                <w:szCs w:val="16"/>
              </w:rPr>
            </w:pPr>
            <w:r w:rsidRPr="00385B37">
              <w:rPr>
                <w:rStyle w:val="AERbody"/>
                <w:rFonts w:asciiTheme="minorHAnsi" w:hAnsiTheme="minorHAnsi"/>
                <w:color w:val="333333"/>
                <w:sz w:val="16"/>
                <w:szCs w:val="16"/>
              </w:rPr>
              <w:t xml:space="preserve">There is little detriment to the long term interests of consumers from this information not being disclosed.  The AER is in possession of the information and is able to use it as it sees fit in any regulatory determination.  Further, the AER, and prior to that the ESCV, did not disclose the information as part of previous regulatory determinations, yet made decisions relating to these related party contracts based on their relative merits at the time.  </w:t>
            </w:r>
          </w:p>
        </w:tc>
      </w:tr>
      <w:tr w:rsidR="00F34E8D" w:rsidRPr="002C5B5D" w:rsidTr="008340AC">
        <w:tc>
          <w:tcPr>
            <w:tcW w:w="770"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lastRenderedPageBreak/>
              <w:t>Appendix A: Regulatory templates</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CP CONFIDENTIAL RIN 1.2- CitiPower, Vic Reset RIN 2016-20 - Back  casting</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Template 2.12 Input tables</w:t>
            </w:r>
          </w:p>
        </w:tc>
        <w:tc>
          <w:tcPr>
            <w:tcW w:w="673" w:type="pct"/>
            <w:shd w:val="clear" w:color="auto" w:fill="auto"/>
          </w:tcPr>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Related party contract cost and related party contract margin</w:t>
            </w: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p>
          <w:p w:rsidR="00F34E8D" w:rsidRPr="00385B37" w:rsidRDefault="00F34E8D"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t>2009-2014</w:t>
            </w:r>
          </w:p>
        </w:tc>
        <w:tc>
          <w:tcPr>
            <w:tcW w:w="528" w:type="pct"/>
            <w:shd w:val="clear" w:color="auto" w:fill="auto"/>
          </w:tcPr>
          <w:p w:rsidR="00F34E8D" w:rsidRPr="00385B37" w:rsidRDefault="00F34E8D" w:rsidP="00B35C0D">
            <w:pPr>
              <w:pStyle w:val="TableText"/>
              <w:rPr>
                <w:rStyle w:val="AERbody"/>
                <w:rFonts w:asciiTheme="minorHAnsi" w:hAnsiTheme="minorHAnsi"/>
                <w:color w:val="333333"/>
                <w:sz w:val="16"/>
                <w:szCs w:val="16"/>
              </w:rPr>
            </w:pPr>
            <w:r w:rsidRPr="00385B37">
              <w:rPr>
                <w:rStyle w:val="AERbody"/>
                <w:rFonts w:asciiTheme="minorHAnsi" w:hAnsiTheme="minorHAnsi"/>
                <w:color w:val="333333"/>
                <w:sz w:val="16"/>
                <w:szCs w:val="16"/>
              </w:rPr>
              <w:t>Opex and capex</w:t>
            </w:r>
          </w:p>
        </w:tc>
        <w:tc>
          <w:tcPr>
            <w:tcW w:w="625" w:type="pct"/>
          </w:tcPr>
          <w:p w:rsidR="00F34E8D" w:rsidRPr="00385B37" w:rsidRDefault="00F34E8D" w:rsidP="00B35C0D">
            <w:pPr>
              <w:pStyle w:val="AERtabletextleft"/>
              <w:spacing w:before="40" w:after="40" w:line="240" w:lineRule="auto"/>
              <w:contextualSpacing/>
              <w:rPr>
                <w:rStyle w:val="AERbody"/>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Market sensitive cost inputs</w:t>
            </w:r>
          </w:p>
          <w:p w:rsidR="00F34E8D" w:rsidRPr="00385B37" w:rsidRDefault="00F34E8D" w:rsidP="00B35C0D">
            <w:pPr>
              <w:pStyle w:val="AERtabletextleft"/>
              <w:spacing w:before="40" w:after="40" w:line="240" w:lineRule="auto"/>
              <w:contextualSpacing/>
              <w:rPr>
                <w:rStyle w:val="AERbody"/>
                <w:rFonts w:asciiTheme="minorHAnsi" w:hAnsiTheme="minorHAnsi" w:cstheme="minorHAnsi"/>
                <w:color w:val="333333"/>
                <w:sz w:val="16"/>
                <w:szCs w:val="16"/>
              </w:rPr>
            </w:pPr>
          </w:p>
          <w:p w:rsidR="00F34E8D" w:rsidRPr="00385B37" w:rsidRDefault="00F34E8D" w:rsidP="00B35C0D">
            <w:pPr>
              <w:pStyle w:val="AERtabletextleft"/>
              <w:spacing w:before="40" w:after="40" w:line="240" w:lineRule="auto"/>
              <w:contextualSpacing/>
              <w:rPr>
                <w:rStyle w:val="AERbody"/>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Market intelligence</w:t>
            </w:r>
          </w:p>
        </w:tc>
        <w:tc>
          <w:tcPr>
            <w:tcW w:w="625" w:type="pct"/>
          </w:tcPr>
          <w:p w:rsidR="00F34E8D" w:rsidRPr="00385B37" w:rsidRDefault="00F34E8D" w:rsidP="00B35C0D">
            <w:pPr>
              <w:pStyle w:val="TableText"/>
              <w:rPr>
                <w:rStyle w:val="AERbody"/>
                <w:rFonts w:asciiTheme="minorHAnsi" w:hAnsiTheme="minorHAnsi"/>
                <w:color w:val="333333"/>
                <w:sz w:val="16"/>
                <w:szCs w:val="16"/>
              </w:rPr>
            </w:pPr>
            <w:r w:rsidRPr="00385B37">
              <w:rPr>
                <w:rStyle w:val="AERbody"/>
                <w:rFonts w:asciiTheme="minorHAnsi" w:hAnsiTheme="minorHAnsi"/>
                <w:color w:val="333333"/>
                <w:sz w:val="16"/>
                <w:szCs w:val="16"/>
              </w:rPr>
              <w:t xml:space="preserve">Disclosure of this information would compromise the commercial activities of PNS and CHED Services which provide services to parties other than CitiPower.  </w:t>
            </w:r>
          </w:p>
        </w:tc>
        <w:tc>
          <w:tcPr>
            <w:tcW w:w="624" w:type="pct"/>
            <w:shd w:val="clear" w:color="auto" w:fill="auto"/>
          </w:tcPr>
          <w:p w:rsidR="00F34E8D" w:rsidRPr="00385B37" w:rsidRDefault="00F34E8D" w:rsidP="00B35C0D">
            <w:pPr>
              <w:pStyle w:val="TableText"/>
              <w:rPr>
                <w:rStyle w:val="AERbody"/>
                <w:rFonts w:asciiTheme="minorHAnsi" w:hAnsiTheme="minorHAnsi"/>
                <w:color w:val="333333"/>
                <w:sz w:val="16"/>
                <w:szCs w:val="16"/>
              </w:rPr>
            </w:pPr>
            <w:r w:rsidRPr="00385B37">
              <w:rPr>
                <w:rStyle w:val="AERbody"/>
                <w:rFonts w:asciiTheme="minorHAnsi" w:hAnsiTheme="minorHAnsi"/>
                <w:color w:val="333333"/>
                <w:sz w:val="16"/>
                <w:szCs w:val="16"/>
              </w:rPr>
              <w:t>Disclosure of the actual costs and margins would potentially compromise the contracts CHED Services and PNS have in place with other parties and/or future bids they may make for other contracts.  Competitors could potentially undercut prices on existing contracts held by each business or compromise their bargaining position in any future tender.</w:t>
            </w:r>
          </w:p>
        </w:tc>
        <w:tc>
          <w:tcPr>
            <w:tcW w:w="1155" w:type="pct"/>
            <w:shd w:val="clear" w:color="auto" w:fill="auto"/>
          </w:tcPr>
          <w:p w:rsidR="00F34E8D" w:rsidRDefault="00F34E8D" w:rsidP="00B35C0D">
            <w:pPr>
              <w:pStyle w:val="TableText"/>
              <w:rPr>
                <w:rStyle w:val="AERbody"/>
                <w:rFonts w:asciiTheme="minorHAnsi" w:hAnsiTheme="minorHAnsi"/>
                <w:color w:val="333333"/>
                <w:sz w:val="16"/>
                <w:szCs w:val="16"/>
              </w:rPr>
            </w:pPr>
            <w:r w:rsidRPr="00385B37">
              <w:rPr>
                <w:rStyle w:val="AERbody"/>
                <w:rFonts w:asciiTheme="minorHAnsi" w:hAnsiTheme="minorHAnsi"/>
                <w:color w:val="333333"/>
                <w:sz w:val="16"/>
                <w:szCs w:val="16"/>
              </w:rPr>
              <w:t xml:space="preserve">There is little detriment to the long term interests of consumers from this information not being disclosed.  The AER is in possession of the information and is able to use it as it sees fit in any regulatory determination.  Further, the AER, and prior to that the ESCV, did not disclose the information as part of previous regulatory determinations, yet made decisions relating to these related party contracts based on their relative merits at the time.  </w:t>
            </w:r>
          </w:p>
          <w:p w:rsidR="0082239F" w:rsidRPr="00385B37" w:rsidRDefault="0082239F" w:rsidP="00B35C0D">
            <w:pPr>
              <w:pStyle w:val="TableText"/>
              <w:rPr>
                <w:rStyle w:val="AERbody"/>
                <w:rFonts w:asciiTheme="minorHAnsi" w:hAnsiTheme="minorHAnsi"/>
                <w:color w:val="333333"/>
                <w:sz w:val="16"/>
                <w:szCs w:val="16"/>
              </w:rPr>
            </w:pPr>
          </w:p>
        </w:tc>
      </w:tr>
      <w:tr w:rsidR="00DB3A95" w:rsidTr="00DB3A95">
        <w:tc>
          <w:tcPr>
            <w:tcW w:w="5000" w:type="pct"/>
            <w:gridSpan w:val="7"/>
            <w:tcBorders>
              <w:top w:val="single" w:sz="6" w:space="0" w:color="1E398D"/>
              <w:left w:val="single" w:sz="6" w:space="0" w:color="1E398D"/>
              <w:bottom w:val="single" w:sz="6" w:space="0" w:color="1E398D"/>
              <w:right w:val="single" w:sz="6" w:space="0" w:color="1E398D"/>
            </w:tcBorders>
            <w:shd w:val="clear" w:color="auto" w:fill="auto"/>
          </w:tcPr>
          <w:p w:rsidR="00DB3A95" w:rsidRPr="00DB3A95" w:rsidRDefault="00DB3A95" w:rsidP="00B35C0D">
            <w:pPr>
              <w:pStyle w:val="TableText"/>
              <w:rPr>
                <w:rStyle w:val="AERbody"/>
                <w:rFonts w:asciiTheme="minorHAnsi" w:hAnsiTheme="minorHAnsi"/>
                <w:b/>
                <w:color w:val="333333"/>
                <w:sz w:val="16"/>
                <w:szCs w:val="16"/>
              </w:rPr>
            </w:pPr>
            <w:bookmarkStart w:id="0" w:name="_GoBack" w:colFirst="0" w:colLast="0"/>
            <w:r w:rsidRPr="00DB3A95">
              <w:rPr>
                <w:b/>
                <w:bCs/>
                <w:sz w:val="16"/>
                <w:szCs w:val="16"/>
              </w:rPr>
              <w:t>Reset RIN Schedule 1 attachments</w:t>
            </w:r>
          </w:p>
        </w:tc>
      </w:tr>
      <w:bookmarkEnd w:id="0"/>
      <w:tr w:rsidR="00B94A53" w:rsidTr="008340AC">
        <w:tc>
          <w:tcPr>
            <w:tcW w:w="770"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94A53">
            <w:pPr>
              <w:pStyle w:val="MarginText"/>
              <w:overflowPunct w:val="0"/>
              <w:autoSpaceDE w:val="0"/>
              <w:autoSpaceDN w:val="0"/>
              <w:spacing w:before="60" w:after="60"/>
              <w:jc w:val="left"/>
              <w:textAlignment w:val="baseline"/>
              <w:rPr>
                <w:rStyle w:val="AERbody"/>
                <w:rFonts w:asciiTheme="minorHAnsi" w:hAnsiTheme="minorHAnsi" w:cstheme="minorHAnsi"/>
                <w:color w:val="333333"/>
                <w:sz w:val="16"/>
                <w:szCs w:val="16"/>
              </w:rPr>
            </w:pPr>
            <w:r w:rsidRPr="00385B37">
              <w:rPr>
                <w:rFonts w:asciiTheme="minorHAnsi" w:hAnsiTheme="minorHAnsi" w:cstheme="minorHAnsi"/>
                <w:bCs/>
                <w:color w:val="333333"/>
                <w:sz w:val="16"/>
                <w:szCs w:val="16"/>
                <w:lang w:val="en-AU"/>
              </w:rPr>
              <w:t>CP CONFIDENTIAL RIN 1.19, CitiPower, 2009-2013 Category Analysis RIN</w:t>
            </w:r>
          </w:p>
          <w:p w:rsidR="00B94A53" w:rsidRPr="00385B37" w:rsidRDefault="00B94A53" w:rsidP="00B94A53">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Style w:val="AERbody"/>
                <w:rFonts w:asciiTheme="minorHAnsi" w:hAnsiTheme="minorHAnsi" w:cstheme="minorHAnsi"/>
                <w:color w:val="333333"/>
                <w:sz w:val="16"/>
                <w:szCs w:val="16"/>
              </w:rPr>
              <w:t>Tables 2.3.1, 2.3.2 and 2.12</w:t>
            </w:r>
          </w:p>
        </w:tc>
        <w:tc>
          <w:tcPr>
            <w:tcW w:w="673"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Related party contract cost and related party contract margin</w:t>
            </w:r>
          </w:p>
        </w:tc>
        <w:tc>
          <w:tcPr>
            <w:tcW w:w="528"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rStyle w:val="AERbody"/>
                <w:rFonts w:asciiTheme="minorHAnsi" w:hAnsiTheme="minorHAnsi"/>
                <w:color w:val="333333"/>
                <w:sz w:val="16"/>
                <w:szCs w:val="16"/>
              </w:rPr>
              <w:t>Opex and capex</w:t>
            </w:r>
          </w:p>
        </w:tc>
        <w:tc>
          <w:tcPr>
            <w:tcW w:w="625" w:type="pct"/>
            <w:tcBorders>
              <w:top w:val="single" w:sz="6" w:space="0" w:color="1E398D"/>
              <w:left w:val="single" w:sz="6" w:space="0" w:color="1E398D"/>
              <w:bottom w:val="single" w:sz="6" w:space="0" w:color="1E398D"/>
              <w:right w:val="single" w:sz="6" w:space="0" w:color="1E398D"/>
            </w:tcBorders>
          </w:tcPr>
          <w:p w:rsidR="00B94A53" w:rsidRPr="00385B37" w:rsidRDefault="00B94A53" w:rsidP="00B35C0D">
            <w:pPr>
              <w:pStyle w:val="AERtabletextleft"/>
              <w:spacing w:before="40" w:after="40" w:line="240" w:lineRule="auto"/>
              <w:contextualSpacing/>
              <w:rPr>
                <w:rStyle w:val="AERbody"/>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Market sensitive cost inputs</w:t>
            </w:r>
          </w:p>
          <w:p w:rsidR="00B94A53" w:rsidRPr="00385B37" w:rsidRDefault="00B94A53" w:rsidP="004F25DC">
            <w:pPr>
              <w:pStyle w:val="AERtabletextleft"/>
              <w:spacing w:before="40" w:after="40"/>
              <w:contextualSpacing/>
              <w:rPr>
                <w:rFonts w:asciiTheme="minorHAnsi" w:hAnsiTheme="minorHAnsi" w:cstheme="minorHAnsi"/>
                <w:color w:val="333333"/>
                <w:szCs w:val="16"/>
              </w:rPr>
            </w:pPr>
            <w:r w:rsidRPr="00385B37">
              <w:rPr>
                <w:rStyle w:val="AERbody"/>
                <w:rFonts w:asciiTheme="minorHAnsi" w:hAnsiTheme="minorHAnsi" w:cstheme="minorHAnsi"/>
                <w:color w:val="333333"/>
                <w:sz w:val="16"/>
                <w:szCs w:val="16"/>
              </w:rPr>
              <w:t>Market intelligence</w:t>
            </w:r>
          </w:p>
        </w:tc>
        <w:tc>
          <w:tcPr>
            <w:tcW w:w="625" w:type="pct"/>
            <w:tcBorders>
              <w:top w:val="single" w:sz="6" w:space="0" w:color="1E398D"/>
              <w:left w:val="single" w:sz="6" w:space="0" w:color="1E398D"/>
              <w:bottom w:val="single" w:sz="6" w:space="0" w:color="1E398D"/>
              <w:right w:val="single" w:sz="6" w:space="0" w:color="1E398D"/>
            </w:tcBorders>
          </w:tcPr>
          <w:p w:rsidR="00B94A53" w:rsidRPr="00385B37" w:rsidRDefault="00B94A53" w:rsidP="00B35C0D">
            <w:pPr>
              <w:pStyle w:val="TableText"/>
              <w:rPr>
                <w:sz w:val="16"/>
                <w:szCs w:val="16"/>
              </w:rPr>
            </w:pPr>
            <w:r w:rsidRPr="00385B37">
              <w:rPr>
                <w:rStyle w:val="AERbody"/>
                <w:rFonts w:asciiTheme="minorHAnsi" w:hAnsiTheme="minorHAnsi"/>
                <w:color w:val="333333"/>
                <w:sz w:val="16"/>
                <w:szCs w:val="16"/>
              </w:rPr>
              <w:t xml:space="preserve">Disclosure of this information would compromise the commercial activities of </w:t>
            </w:r>
            <w:r w:rsidRPr="00385B37">
              <w:rPr>
                <w:rStyle w:val="AERbody"/>
                <w:rFonts w:asciiTheme="minorHAnsi" w:hAnsiTheme="minorHAnsi"/>
                <w:color w:val="333333"/>
                <w:sz w:val="16"/>
                <w:szCs w:val="16"/>
              </w:rPr>
              <w:lastRenderedPageBreak/>
              <w:t xml:space="preserve">PNS and CHED Services which provide services to parties other than CitiPower/Powercor Australia.  </w:t>
            </w:r>
          </w:p>
        </w:tc>
        <w:tc>
          <w:tcPr>
            <w:tcW w:w="624"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rStyle w:val="AERbody"/>
                <w:rFonts w:asciiTheme="minorHAnsi" w:hAnsiTheme="minorHAnsi"/>
                <w:color w:val="333333"/>
                <w:sz w:val="16"/>
                <w:szCs w:val="16"/>
              </w:rPr>
              <w:lastRenderedPageBreak/>
              <w:t xml:space="preserve">Disclosure of the actual costs and margins would potentially compromise the contracts CHED </w:t>
            </w:r>
            <w:r w:rsidRPr="00385B37">
              <w:rPr>
                <w:rStyle w:val="AERbody"/>
                <w:rFonts w:asciiTheme="minorHAnsi" w:hAnsiTheme="minorHAnsi"/>
                <w:color w:val="333333"/>
                <w:sz w:val="16"/>
                <w:szCs w:val="16"/>
              </w:rPr>
              <w:lastRenderedPageBreak/>
              <w:t>Services and PNS have in place with other parties and/or future bids they may make for other contracts.  Competitors could potentially undercut prices on existing contracts held by each business or compromise their bargaining position in any future tender.</w:t>
            </w:r>
          </w:p>
        </w:tc>
        <w:tc>
          <w:tcPr>
            <w:tcW w:w="1155"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rStyle w:val="AERbody"/>
                <w:rFonts w:asciiTheme="minorHAnsi" w:hAnsiTheme="minorHAnsi"/>
                <w:color w:val="333333"/>
                <w:sz w:val="16"/>
                <w:szCs w:val="16"/>
              </w:rPr>
              <w:lastRenderedPageBreak/>
              <w:t xml:space="preserve">There is little detriment to the long term interests of consumers from this information not being disclosed.  The AER is in possession of the information and is able to use it as it sees fit in any </w:t>
            </w:r>
            <w:r w:rsidRPr="00385B37">
              <w:rPr>
                <w:rStyle w:val="AERbody"/>
                <w:rFonts w:asciiTheme="minorHAnsi" w:hAnsiTheme="minorHAnsi"/>
                <w:color w:val="333333"/>
                <w:sz w:val="16"/>
                <w:szCs w:val="16"/>
              </w:rPr>
              <w:lastRenderedPageBreak/>
              <w:t xml:space="preserve">regulatory determination.  Further, the AER, and prior to that the ESCV, did not disclose the information as part of previous regulatory determinations, yet made decisions relating to these related party contracts based on their relative merits at the time.  </w:t>
            </w:r>
          </w:p>
        </w:tc>
      </w:tr>
      <w:tr w:rsidR="00B94A53" w:rsidTr="008340AC">
        <w:tc>
          <w:tcPr>
            <w:tcW w:w="770"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MarginText"/>
              <w:overflowPunct w:val="0"/>
              <w:autoSpaceDE w:val="0"/>
              <w:autoSpaceDN w:val="0"/>
              <w:spacing w:before="60" w:after="60"/>
              <w:jc w:val="left"/>
              <w:textAlignment w:val="baseline"/>
              <w:rPr>
                <w:rStyle w:val="AERbody"/>
                <w:rFonts w:asciiTheme="minorHAnsi" w:hAnsiTheme="minorHAnsi" w:cstheme="minorHAnsi"/>
                <w:color w:val="333333"/>
                <w:sz w:val="16"/>
                <w:szCs w:val="16"/>
              </w:rPr>
            </w:pPr>
            <w:r w:rsidRPr="00385B37">
              <w:rPr>
                <w:rFonts w:asciiTheme="minorHAnsi" w:hAnsiTheme="minorHAnsi" w:cstheme="minorHAnsi"/>
                <w:bCs/>
                <w:color w:val="333333"/>
                <w:sz w:val="16"/>
                <w:szCs w:val="16"/>
                <w:lang w:val="en-AU"/>
              </w:rPr>
              <w:lastRenderedPageBreak/>
              <w:t>CP CONFIDENTIAL RIN 1.20, CitiPower, 2014 Category Analysis RIN</w:t>
            </w:r>
          </w:p>
          <w:p w:rsidR="00B94A53" w:rsidRPr="00385B37" w:rsidRDefault="00B94A53" w:rsidP="00B94A53">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Style w:val="AERbody"/>
                <w:rFonts w:asciiTheme="minorHAnsi" w:hAnsiTheme="minorHAnsi" w:cstheme="minorHAnsi"/>
                <w:color w:val="333333"/>
                <w:sz w:val="16"/>
                <w:szCs w:val="16"/>
              </w:rPr>
              <w:t>Tables 2.3.2 and 2.12</w:t>
            </w:r>
          </w:p>
        </w:tc>
        <w:tc>
          <w:tcPr>
            <w:tcW w:w="673"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Related party contract cost and related party contract margin</w:t>
            </w:r>
          </w:p>
        </w:tc>
        <w:tc>
          <w:tcPr>
            <w:tcW w:w="528"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rStyle w:val="AERbody"/>
                <w:rFonts w:asciiTheme="minorHAnsi" w:hAnsiTheme="minorHAnsi"/>
                <w:color w:val="333333"/>
                <w:sz w:val="16"/>
                <w:szCs w:val="16"/>
              </w:rPr>
              <w:t>Opex and capex</w:t>
            </w:r>
          </w:p>
        </w:tc>
        <w:tc>
          <w:tcPr>
            <w:tcW w:w="625" w:type="pct"/>
            <w:tcBorders>
              <w:top w:val="single" w:sz="6" w:space="0" w:color="1E398D"/>
              <w:left w:val="single" w:sz="6" w:space="0" w:color="1E398D"/>
              <w:bottom w:val="single" w:sz="6" w:space="0" w:color="1E398D"/>
              <w:right w:val="single" w:sz="6" w:space="0" w:color="1E398D"/>
            </w:tcBorders>
          </w:tcPr>
          <w:p w:rsidR="00B94A53" w:rsidRPr="00385B37" w:rsidRDefault="00B94A53" w:rsidP="00B35C0D">
            <w:pPr>
              <w:pStyle w:val="AERtabletextleft"/>
              <w:spacing w:before="40" w:after="40" w:line="240" w:lineRule="auto"/>
              <w:contextualSpacing/>
              <w:rPr>
                <w:rStyle w:val="AERbody"/>
                <w:rFonts w:asciiTheme="minorHAnsi" w:hAnsiTheme="minorHAnsi" w:cstheme="minorHAnsi"/>
                <w:color w:val="333333"/>
                <w:sz w:val="16"/>
                <w:szCs w:val="16"/>
              </w:rPr>
            </w:pPr>
            <w:r w:rsidRPr="00385B37">
              <w:rPr>
                <w:rStyle w:val="AERbody"/>
                <w:rFonts w:asciiTheme="minorHAnsi" w:hAnsiTheme="minorHAnsi" w:cstheme="minorHAnsi"/>
                <w:color w:val="333333"/>
                <w:sz w:val="16"/>
                <w:szCs w:val="16"/>
              </w:rPr>
              <w:t>Market sensitive cost inputs</w:t>
            </w:r>
          </w:p>
          <w:p w:rsidR="00B94A53" w:rsidRPr="00385B37" w:rsidRDefault="00B94A53" w:rsidP="004F25DC">
            <w:pPr>
              <w:pStyle w:val="AERtabletextleft"/>
              <w:spacing w:before="40" w:after="40"/>
              <w:contextualSpacing/>
              <w:rPr>
                <w:rFonts w:asciiTheme="minorHAnsi" w:hAnsiTheme="minorHAnsi" w:cstheme="minorHAnsi"/>
                <w:color w:val="333333"/>
                <w:szCs w:val="16"/>
              </w:rPr>
            </w:pPr>
            <w:r w:rsidRPr="00385B37">
              <w:rPr>
                <w:rStyle w:val="AERbody"/>
                <w:rFonts w:asciiTheme="minorHAnsi" w:hAnsiTheme="minorHAnsi" w:cstheme="minorHAnsi"/>
                <w:color w:val="333333"/>
                <w:sz w:val="16"/>
                <w:szCs w:val="16"/>
              </w:rPr>
              <w:t>Market intelligence</w:t>
            </w:r>
          </w:p>
        </w:tc>
        <w:tc>
          <w:tcPr>
            <w:tcW w:w="625" w:type="pct"/>
            <w:tcBorders>
              <w:top w:val="single" w:sz="6" w:space="0" w:color="1E398D"/>
              <w:left w:val="single" w:sz="6" w:space="0" w:color="1E398D"/>
              <w:bottom w:val="single" w:sz="6" w:space="0" w:color="1E398D"/>
              <w:right w:val="single" w:sz="6" w:space="0" w:color="1E398D"/>
            </w:tcBorders>
          </w:tcPr>
          <w:p w:rsidR="00B94A53" w:rsidRPr="00385B37" w:rsidRDefault="00B94A53" w:rsidP="00B35C0D">
            <w:pPr>
              <w:pStyle w:val="TableText"/>
              <w:rPr>
                <w:sz w:val="16"/>
                <w:szCs w:val="16"/>
              </w:rPr>
            </w:pPr>
            <w:r w:rsidRPr="00385B37">
              <w:rPr>
                <w:rStyle w:val="AERbody"/>
                <w:rFonts w:asciiTheme="minorHAnsi" w:hAnsiTheme="minorHAnsi"/>
                <w:color w:val="333333"/>
                <w:sz w:val="16"/>
                <w:szCs w:val="16"/>
              </w:rPr>
              <w:t xml:space="preserve">Disclosure of this information would compromise the commercial activities of PNS and CHED Services which provide services to parties other than CitiPower.  </w:t>
            </w:r>
          </w:p>
        </w:tc>
        <w:tc>
          <w:tcPr>
            <w:tcW w:w="624"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rStyle w:val="AERbody"/>
                <w:rFonts w:asciiTheme="minorHAnsi" w:hAnsiTheme="minorHAnsi"/>
                <w:color w:val="333333"/>
                <w:sz w:val="16"/>
                <w:szCs w:val="16"/>
              </w:rPr>
              <w:t xml:space="preserve">Disclosure of the actual costs and margins would potentially compromise the contracts CHED Services and PNS have in place with other parties and/or future bids they may make for other contracts.  Competitors could potentially undercut </w:t>
            </w:r>
            <w:r w:rsidRPr="00385B37">
              <w:rPr>
                <w:rStyle w:val="AERbody"/>
                <w:rFonts w:asciiTheme="minorHAnsi" w:hAnsiTheme="minorHAnsi"/>
                <w:color w:val="333333"/>
                <w:sz w:val="16"/>
                <w:szCs w:val="16"/>
              </w:rPr>
              <w:lastRenderedPageBreak/>
              <w:t>prices on existing contracts held by each business or compromise their bargaining position in any future tender.</w:t>
            </w:r>
          </w:p>
        </w:tc>
        <w:tc>
          <w:tcPr>
            <w:tcW w:w="1155" w:type="pct"/>
            <w:tcBorders>
              <w:top w:val="single" w:sz="6" w:space="0" w:color="1E398D"/>
              <w:left w:val="single" w:sz="6" w:space="0" w:color="1E398D"/>
              <w:bottom w:val="single" w:sz="6" w:space="0" w:color="1E398D"/>
              <w:right w:val="single" w:sz="6" w:space="0" w:color="1E398D"/>
            </w:tcBorders>
            <w:shd w:val="clear" w:color="auto" w:fill="auto"/>
          </w:tcPr>
          <w:p w:rsidR="00B94A53" w:rsidRDefault="00B94A53" w:rsidP="00B35C0D">
            <w:pPr>
              <w:pStyle w:val="TableText"/>
              <w:rPr>
                <w:rStyle w:val="AERbody"/>
                <w:rFonts w:asciiTheme="minorHAnsi" w:hAnsiTheme="minorHAnsi"/>
                <w:color w:val="333333"/>
                <w:sz w:val="16"/>
                <w:szCs w:val="16"/>
              </w:rPr>
            </w:pPr>
            <w:r w:rsidRPr="00385B37">
              <w:rPr>
                <w:rStyle w:val="AERbody"/>
                <w:rFonts w:asciiTheme="minorHAnsi" w:hAnsiTheme="minorHAnsi"/>
                <w:color w:val="333333"/>
                <w:sz w:val="16"/>
                <w:szCs w:val="16"/>
              </w:rPr>
              <w:lastRenderedPageBreak/>
              <w:t xml:space="preserve">There is little detriment to the long term interests of consumers from this information not being disclosed.  The AER is in possession of the information and is able to use it as it sees fit in any regulatory determination.  Further, the AER, and prior to that the ESCV, did not disclose the information as part of previous regulatory determinations, yet made decisions relating to these related party contracts based on their relative merits at the time.  </w:t>
            </w:r>
          </w:p>
          <w:p w:rsidR="0082239F" w:rsidRPr="00385B37" w:rsidRDefault="0082239F" w:rsidP="00B35C0D">
            <w:pPr>
              <w:pStyle w:val="TableText"/>
              <w:rPr>
                <w:sz w:val="16"/>
                <w:szCs w:val="16"/>
              </w:rPr>
            </w:pPr>
          </w:p>
        </w:tc>
      </w:tr>
      <w:tr w:rsidR="00B94A53" w:rsidTr="008340AC">
        <w:tc>
          <w:tcPr>
            <w:tcW w:w="770"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lastRenderedPageBreak/>
              <w:t>CP CONFIDENTIAL RIN 1.22 Corporate services agreement 2012-2014, pp. 26-102.</w:t>
            </w:r>
          </w:p>
          <w:p w:rsidR="00B94A53" w:rsidRPr="00385B37" w:rsidRDefault="00B94A53"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CP CONFIDENTIAL RIN 1.23 Corporate services agreement, deed of variation 2014, p. 4.</w:t>
            </w:r>
          </w:p>
          <w:p w:rsidR="00B94A53" w:rsidRPr="00385B37" w:rsidRDefault="00B94A53"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CP CONFIDENTIAL RIN 1.24 Metering services agreement 2008-2013, pp. 7, 31-37.</w:t>
            </w:r>
          </w:p>
          <w:p w:rsidR="00B94A53" w:rsidRPr="00385B37" w:rsidRDefault="00B94A53"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CP CONFIDENTIAL RIN 1.25 Metering services agreement, deed of variation 2014, pp. 10-16.</w:t>
            </w:r>
          </w:p>
          <w:p w:rsidR="00F877FA" w:rsidRPr="00385B37" w:rsidRDefault="00B94A53" w:rsidP="00F877FA">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CP CONFIDENTIAL RIN 1.26 Metering services agreement, deed of variation 2015, pp. 9-15.</w:t>
            </w:r>
            <w:r w:rsidR="00F877FA" w:rsidRPr="00385B37">
              <w:rPr>
                <w:rFonts w:asciiTheme="minorHAnsi" w:hAnsiTheme="minorHAnsi" w:cstheme="minorHAnsi"/>
                <w:bCs/>
                <w:color w:val="333333"/>
                <w:sz w:val="16"/>
                <w:szCs w:val="16"/>
                <w:lang w:val="en-AU"/>
              </w:rPr>
              <w:t xml:space="preserve"> </w:t>
            </w:r>
          </w:p>
          <w:p w:rsidR="00B94A53" w:rsidRPr="00385B37" w:rsidRDefault="00F877FA" w:rsidP="00B35C0D">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 xml:space="preserve">CP CONFIDENTIAL RIN 1.28 Network services agreement </w:t>
            </w:r>
            <w:r w:rsidRPr="00385B37">
              <w:rPr>
                <w:rFonts w:asciiTheme="minorHAnsi" w:hAnsiTheme="minorHAnsi" w:cstheme="minorHAnsi"/>
                <w:bCs/>
                <w:color w:val="333333"/>
                <w:sz w:val="16"/>
                <w:szCs w:val="16"/>
                <w:lang w:val="en-AU"/>
              </w:rPr>
              <w:lastRenderedPageBreak/>
              <w:t>2015, pp. 4, 7-12.</w:t>
            </w:r>
          </w:p>
          <w:p w:rsidR="00B94A53" w:rsidRPr="00385B37" w:rsidRDefault="00B94A53" w:rsidP="00F877FA">
            <w:pPr>
              <w:pStyle w:val="MarginText"/>
              <w:overflowPunct w:val="0"/>
              <w:autoSpaceDE w:val="0"/>
              <w:autoSpaceDN w:val="0"/>
              <w:spacing w:before="60" w:after="60"/>
              <w:jc w:val="left"/>
              <w:textAlignment w:val="baseline"/>
              <w:rPr>
                <w:rFonts w:asciiTheme="minorHAnsi" w:hAnsiTheme="minorHAnsi" w:cstheme="minorHAnsi"/>
                <w:bCs/>
                <w:color w:val="333333"/>
                <w:sz w:val="16"/>
                <w:szCs w:val="16"/>
                <w:lang w:val="en-AU"/>
              </w:rPr>
            </w:pPr>
            <w:r w:rsidRPr="00385B37">
              <w:rPr>
                <w:rFonts w:asciiTheme="minorHAnsi" w:hAnsiTheme="minorHAnsi" w:cstheme="minorHAnsi"/>
                <w:bCs/>
                <w:color w:val="333333"/>
                <w:sz w:val="16"/>
                <w:szCs w:val="16"/>
                <w:lang w:val="en-AU"/>
              </w:rPr>
              <w:t>CP CONFIDENTIAL RIN 1.27 Network services agreement 2012-2014, pp. 32-38.</w:t>
            </w:r>
            <w:r w:rsidR="00F877FA" w:rsidRPr="00385B37">
              <w:rPr>
                <w:rFonts w:asciiTheme="minorHAnsi" w:hAnsiTheme="minorHAnsi" w:cstheme="minorHAnsi"/>
                <w:bCs/>
                <w:color w:val="333333"/>
                <w:sz w:val="16"/>
                <w:szCs w:val="16"/>
                <w:lang w:val="en-AU"/>
              </w:rPr>
              <w:t xml:space="preserve"> </w:t>
            </w:r>
            <w:r w:rsidRPr="00385B37">
              <w:rPr>
                <w:rFonts w:asciiTheme="minorHAnsi" w:hAnsiTheme="minorHAnsi" w:cstheme="minorHAnsi"/>
                <w:bCs/>
                <w:color w:val="333333"/>
                <w:sz w:val="16"/>
                <w:szCs w:val="16"/>
                <w:lang w:val="en-AU"/>
              </w:rPr>
              <w:t>CP CONFIDENTIAL RIN 1.30 DRMS constitution, pp. 2-26.</w:t>
            </w:r>
          </w:p>
        </w:tc>
        <w:tc>
          <w:tcPr>
            <w:tcW w:w="673"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sidRPr="00385B37">
              <w:rPr>
                <w:rFonts w:asciiTheme="minorHAnsi" w:hAnsiTheme="minorHAnsi" w:cstheme="minorHAnsi"/>
                <w:color w:val="333333"/>
                <w:sz w:val="16"/>
                <w:szCs w:val="16"/>
              </w:rPr>
              <w:lastRenderedPageBreak/>
              <w:t>Various service agreements contracts between CitiPower and its related entities.</w:t>
            </w:r>
          </w:p>
        </w:tc>
        <w:tc>
          <w:tcPr>
            <w:tcW w:w="528"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sz w:val="16"/>
                <w:szCs w:val="16"/>
              </w:rPr>
              <w:t>CP PUBLIC RIN 1.21 CitiPower, Other Entities, 30 April 2015</w:t>
            </w:r>
          </w:p>
        </w:tc>
        <w:tc>
          <w:tcPr>
            <w:tcW w:w="625" w:type="pct"/>
            <w:tcBorders>
              <w:top w:val="single" w:sz="6" w:space="0" w:color="1E398D"/>
              <w:left w:val="single" w:sz="6" w:space="0" w:color="1E398D"/>
              <w:bottom w:val="single" w:sz="6" w:space="0" w:color="1E398D"/>
              <w:right w:val="single" w:sz="6" w:space="0" w:color="1E398D"/>
            </w:tcBorders>
          </w:tcPr>
          <w:p w:rsidR="00B94A53" w:rsidRPr="00385B37" w:rsidRDefault="00B94A53" w:rsidP="004F25DC">
            <w:pPr>
              <w:pStyle w:val="AERtabletextleft"/>
              <w:spacing w:before="40" w:after="40"/>
              <w:contextualSpacing/>
              <w:rPr>
                <w:rFonts w:asciiTheme="minorHAnsi" w:hAnsiTheme="minorHAnsi" w:cstheme="minorHAnsi"/>
                <w:color w:val="333333"/>
                <w:szCs w:val="16"/>
              </w:rPr>
            </w:pPr>
            <w:r w:rsidRPr="00385B37">
              <w:rPr>
                <w:rFonts w:asciiTheme="minorHAnsi" w:hAnsiTheme="minorHAnsi" w:cstheme="minorHAnsi"/>
                <w:color w:val="333333"/>
                <w:szCs w:val="16"/>
              </w:rPr>
              <w:t>Market sensitive cost inputs and market intelligence</w:t>
            </w:r>
          </w:p>
        </w:tc>
        <w:tc>
          <w:tcPr>
            <w:tcW w:w="625" w:type="pct"/>
            <w:tcBorders>
              <w:top w:val="single" w:sz="6" w:space="0" w:color="1E398D"/>
              <w:left w:val="single" w:sz="6" w:space="0" w:color="1E398D"/>
              <w:bottom w:val="single" w:sz="6" w:space="0" w:color="1E398D"/>
              <w:right w:val="single" w:sz="6" w:space="0" w:color="1E398D"/>
            </w:tcBorders>
          </w:tcPr>
          <w:p w:rsidR="00B94A53" w:rsidRPr="00385B37" w:rsidRDefault="00B94A53" w:rsidP="00B35C0D">
            <w:pPr>
              <w:pStyle w:val="TableText"/>
              <w:rPr>
                <w:sz w:val="16"/>
                <w:szCs w:val="16"/>
              </w:rPr>
            </w:pPr>
            <w:r w:rsidRPr="00385B37">
              <w:rPr>
                <w:sz w:val="16"/>
                <w:szCs w:val="16"/>
              </w:rPr>
              <w:t>Contracts include detail that may affect our ability to obtain competitive prices in future infrastructure transactions, such as tender processes (e.g. unit prices).</w:t>
            </w:r>
          </w:p>
        </w:tc>
        <w:tc>
          <w:tcPr>
            <w:tcW w:w="624"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sz w:val="16"/>
                <w:szCs w:val="16"/>
              </w:rPr>
              <w:t xml:space="preserve">Disclosing unit prices in these contracts may limit bargaining power in future tender processes. </w:t>
            </w:r>
          </w:p>
        </w:tc>
        <w:tc>
          <w:tcPr>
            <w:tcW w:w="1155" w:type="pct"/>
            <w:tcBorders>
              <w:top w:val="single" w:sz="6" w:space="0" w:color="1E398D"/>
              <w:left w:val="single" w:sz="6" w:space="0" w:color="1E398D"/>
              <w:bottom w:val="single" w:sz="6" w:space="0" w:color="1E398D"/>
              <w:right w:val="single" w:sz="6" w:space="0" w:color="1E398D"/>
            </w:tcBorders>
            <w:shd w:val="clear" w:color="auto" w:fill="auto"/>
          </w:tcPr>
          <w:p w:rsidR="00B94A53" w:rsidRPr="00385B37" w:rsidRDefault="00B94A53" w:rsidP="00B35C0D">
            <w:pPr>
              <w:pStyle w:val="TableText"/>
              <w:rPr>
                <w:sz w:val="16"/>
                <w:szCs w:val="16"/>
              </w:rPr>
            </w:pPr>
            <w:r w:rsidRPr="00385B37">
              <w:rPr>
                <w:sz w:val="16"/>
                <w:szCs w:val="16"/>
              </w:rPr>
              <w:t>Sufficient information is provided in our Other entities attachment for the public to assess the efficiency of our related party margins.</w:t>
            </w:r>
          </w:p>
        </w:tc>
      </w:tr>
    </w:tbl>
    <w:p w:rsidR="0071740C" w:rsidRPr="0071740C" w:rsidRDefault="0071740C" w:rsidP="0071740C">
      <w:pPr>
        <w:pStyle w:val="Source"/>
        <w:rPr>
          <w:color w:val="333333"/>
        </w:rPr>
      </w:pPr>
      <w:r w:rsidRPr="0071740C">
        <w:rPr>
          <w:color w:val="333333"/>
        </w:rPr>
        <w:lastRenderedPageBreak/>
        <w:t>CitiPower</w:t>
      </w:r>
    </w:p>
    <w:p w:rsidR="008340AC" w:rsidRDefault="008340AC">
      <w:pPr>
        <w:overflowPunct/>
        <w:autoSpaceDE/>
        <w:autoSpaceDN/>
        <w:adjustRightInd/>
        <w:spacing w:after="0" w:line="240" w:lineRule="auto"/>
        <w:jc w:val="left"/>
        <w:textAlignment w:val="auto"/>
        <w:rPr>
          <w:rFonts w:asciiTheme="minorHAnsi" w:hAnsiTheme="minorHAnsi" w:cstheme="minorHAnsi"/>
          <w:b/>
          <w:color w:val="1E398D"/>
          <w:sz w:val="28"/>
          <w:szCs w:val="28"/>
        </w:rPr>
      </w:pPr>
      <w:r>
        <w:rPr>
          <w:rFonts w:asciiTheme="minorHAnsi" w:hAnsiTheme="minorHAnsi" w:cstheme="minorHAnsi"/>
          <w:b/>
          <w:color w:val="1E398D"/>
          <w:sz w:val="28"/>
          <w:szCs w:val="28"/>
        </w:rPr>
        <w:br w:type="page"/>
      </w:r>
    </w:p>
    <w:p w:rsidR="00385B37" w:rsidRPr="00515615" w:rsidRDefault="00385B37" w:rsidP="00385B37">
      <w:pPr>
        <w:pStyle w:val="Header"/>
        <w:spacing w:before="120" w:after="120" w:line="240" w:lineRule="auto"/>
        <w:rPr>
          <w:rFonts w:asciiTheme="minorHAnsi" w:hAnsiTheme="minorHAnsi" w:cstheme="minorHAnsi"/>
          <w:b/>
          <w:color w:val="1E398D"/>
          <w:sz w:val="28"/>
          <w:szCs w:val="28"/>
        </w:rPr>
      </w:pPr>
      <w:r>
        <w:rPr>
          <w:rFonts w:asciiTheme="minorHAnsi" w:hAnsiTheme="minorHAnsi" w:cstheme="minorHAnsi"/>
          <w:b/>
          <w:color w:val="1E398D"/>
          <w:sz w:val="28"/>
          <w:szCs w:val="28"/>
        </w:rPr>
        <w:lastRenderedPageBreak/>
        <w:t>Portion of confidential material</w:t>
      </w:r>
    </w:p>
    <w:p w:rsidR="00385B37" w:rsidRDefault="00385B37" w:rsidP="00385B37">
      <w:pPr>
        <w:pStyle w:val="TableCaption"/>
        <w:rPr>
          <w:rFonts w:cstheme="minorHAnsi"/>
          <w:sz w:val="21"/>
          <w:szCs w:val="21"/>
        </w:rPr>
      </w:pPr>
      <w:r>
        <w:t xml:space="preserve">Table 1.2 </w:t>
      </w:r>
      <w:r>
        <w:tab/>
        <w:t>Portion of confidential material</w:t>
      </w:r>
    </w:p>
    <w:tbl>
      <w:tblPr>
        <w:tblW w:w="14742" w:type="dxa"/>
        <w:tblInd w:w="57" w:type="dxa"/>
        <w:tblBorders>
          <w:top w:val="single" w:sz="6" w:space="0" w:color="1E398D"/>
          <w:left w:val="single" w:sz="6" w:space="0" w:color="1E398D"/>
          <w:bottom w:val="single" w:sz="6" w:space="0" w:color="1E398D"/>
          <w:right w:val="single" w:sz="6" w:space="0" w:color="1E398D"/>
          <w:insideH w:val="single" w:sz="6" w:space="0" w:color="1E398D"/>
          <w:insideV w:val="single" w:sz="6" w:space="0" w:color="1E398D"/>
        </w:tblBorders>
        <w:tblCellMar>
          <w:left w:w="57" w:type="dxa"/>
          <w:bottom w:w="57" w:type="dxa"/>
          <w:right w:w="57" w:type="dxa"/>
        </w:tblCellMar>
        <w:tblLook w:val="0460" w:firstRow="1" w:lastRow="1" w:firstColumn="0" w:lastColumn="0" w:noHBand="0" w:noVBand="1"/>
      </w:tblPr>
      <w:tblGrid>
        <w:gridCol w:w="2457"/>
        <w:gridCol w:w="2457"/>
        <w:gridCol w:w="2457"/>
        <w:gridCol w:w="2457"/>
        <w:gridCol w:w="2457"/>
        <w:gridCol w:w="2457"/>
      </w:tblGrid>
      <w:tr w:rsidR="00385B37" w:rsidRPr="002C5B5D" w:rsidTr="008340AC">
        <w:trPr>
          <w:tblHeader/>
        </w:trPr>
        <w:tc>
          <w:tcPr>
            <w:tcW w:w="833" w:type="pct"/>
            <w:shd w:val="clear" w:color="auto" w:fill="1E398D"/>
          </w:tcPr>
          <w:p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Submission Title</w:t>
            </w:r>
          </w:p>
        </w:tc>
        <w:tc>
          <w:tcPr>
            <w:tcW w:w="833" w:type="pct"/>
            <w:shd w:val="clear" w:color="auto" w:fill="1E398D"/>
          </w:tcPr>
          <w:p w:rsidR="00385B37" w:rsidRPr="00E90562" w:rsidRDefault="00385B37" w:rsidP="00385B37">
            <w:pPr>
              <w:pStyle w:val="TableHeading"/>
              <w:rPr>
                <w:rFonts w:ascii="Calibri" w:hAnsi="Calibri" w:cs="Calibri"/>
                <w:b/>
                <w:sz w:val="16"/>
                <w:szCs w:val="16"/>
              </w:rPr>
            </w:pPr>
            <w:r w:rsidRPr="00E90562">
              <w:rPr>
                <w:rFonts w:ascii="Calibri" w:hAnsi="Calibri" w:cs="Calibri"/>
                <w:b/>
                <w:sz w:val="16"/>
                <w:szCs w:val="16"/>
              </w:rPr>
              <w:t>Number of pages of submission that include information subject to a claim of confidentiality</w:t>
            </w:r>
          </w:p>
        </w:tc>
        <w:tc>
          <w:tcPr>
            <w:tcW w:w="833" w:type="pct"/>
            <w:shd w:val="clear" w:color="auto" w:fill="1E398D"/>
          </w:tcPr>
          <w:p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Number of pages of submission that do not include information subject to a claim of confidentiality</w:t>
            </w:r>
          </w:p>
        </w:tc>
        <w:tc>
          <w:tcPr>
            <w:tcW w:w="833" w:type="pct"/>
            <w:shd w:val="clear" w:color="auto" w:fill="1E398D"/>
          </w:tcPr>
          <w:p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Total number of pages of submission</w:t>
            </w:r>
          </w:p>
        </w:tc>
        <w:tc>
          <w:tcPr>
            <w:tcW w:w="833" w:type="pct"/>
            <w:shd w:val="clear" w:color="auto" w:fill="1E398D"/>
          </w:tcPr>
          <w:p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Percentage of submission that include information subject to a claim of confidentiality</w:t>
            </w:r>
          </w:p>
        </w:tc>
        <w:tc>
          <w:tcPr>
            <w:tcW w:w="833" w:type="pct"/>
            <w:shd w:val="clear" w:color="auto" w:fill="1E398D"/>
          </w:tcPr>
          <w:p w:rsidR="00385B37" w:rsidRPr="00E90562" w:rsidRDefault="00385B37" w:rsidP="00B35C0D">
            <w:pPr>
              <w:pStyle w:val="TableHeading"/>
              <w:rPr>
                <w:rFonts w:ascii="Calibri" w:hAnsi="Calibri" w:cs="Calibri"/>
                <w:b/>
                <w:sz w:val="16"/>
                <w:szCs w:val="16"/>
              </w:rPr>
            </w:pPr>
            <w:r w:rsidRPr="00E90562">
              <w:rPr>
                <w:rFonts w:ascii="Calibri" w:hAnsi="Calibri" w:cs="Calibri"/>
                <w:b/>
                <w:sz w:val="16"/>
                <w:szCs w:val="16"/>
              </w:rPr>
              <w:t>Percentage of pages of submission that do not include information subject to a claim of confidentiality</w:t>
            </w:r>
          </w:p>
        </w:tc>
      </w:tr>
      <w:tr w:rsidR="00385B37" w:rsidRPr="002C5B5D" w:rsidTr="008340AC">
        <w:tc>
          <w:tcPr>
            <w:tcW w:w="833" w:type="pct"/>
            <w:shd w:val="clear" w:color="auto" w:fill="auto"/>
          </w:tcPr>
          <w:p w:rsidR="00385B37" w:rsidRPr="00385B37" w:rsidRDefault="00990814"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Regulatory proposal overview paper</w:t>
            </w:r>
          </w:p>
        </w:tc>
        <w:tc>
          <w:tcPr>
            <w:tcW w:w="833" w:type="pct"/>
            <w:shd w:val="clear" w:color="auto" w:fill="auto"/>
          </w:tcPr>
          <w:p w:rsidR="00385B37" w:rsidRPr="00385B37" w:rsidRDefault="00990814"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0</w:t>
            </w:r>
          </w:p>
        </w:tc>
        <w:tc>
          <w:tcPr>
            <w:tcW w:w="833" w:type="pct"/>
            <w:shd w:val="clear" w:color="auto" w:fill="auto"/>
          </w:tcPr>
          <w:p w:rsidR="00385B37" w:rsidRPr="00385B37" w:rsidRDefault="00990814" w:rsidP="00990814">
            <w:pPr>
              <w:pStyle w:val="TableText"/>
              <w:jc w:val="center"/>
              <w:rPr>
                <w:sz w:val="16"/>
                <w:szCs w:val="16"/>
              </w:rPr>
            </w:pPr>
            <w:r>
              <w:rPr>
                <w:sz w:val="16"/>
                <w:szCs w:val="16"/>
              </w:rPr>
              <w:t>22</w:t>
            </w:r>
          </w:p>
        </w:tc>
        <w:tc>
          <w:tcPr>
            <w:tcW w:w="833" w:type="pct"/>
          </w:tcPr>
          <w:p w:rsidR="00385B37" w:rsidRPr="00385B37" w:rsidRDefault="00990814"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22</w:t>
            </w:r>
          </w:p>
        </w:tc>
        <w:tc>
          <w:tcPr>
            <w:tcW w:w="833" w:type="pct"/>
          </w:tcPr>
          <w:p w:rsidR="00385B37" w:rsidRPr="00385B37" w:rsidRDefault="00990814" w:rsidP="00990814">
            <w:pPr>
              <w:pStyle w:val="TableText"/>
              <w:jc w:val="center"/>
              <w:rPr>
                <w:sz w:val="16"/>
                <w:szCs w:val="16"/>
              </w:rPr>
            </w:pPr>
            <w:r>
              <w:rPr>
                <w:sz w:val="16"/>
                <w:szCs w:val="16"/>
              </w:rPr>
              <w:t>0</w:t>
            </w:r>
            <w:r w:rsidR="008340AC">
              <w:rPr>
                <w:sz w:val="16"/>
                <w:szCs w:val="16"/>
              </w:rPr>
              <w:t>%</w:t>
            </w:r>
          </w:p>
        </w:tc>
        <w:tc>
          <w:tcPr>
            <w:tcW w:w="833" w:type="pct"/>
            <w:shd w:val="clear" w:color="auto" w:fill="auto"/>
          </w:tcPr>
          <w:p w:rsidR="00385B37" w:rsidRPr="00385B37" w:rsidRDefault="00990814" w:rsidP="00990814">
            <w:pPr>
              <w:pStyle w:val="TableText"/>
              <w:jc w:val="center"/>
              <w:rPr>
                <w:sz w:val="16"/>
                <w:szCs w:val="16"/>
              </w:rPr>
            </w:pPr>
            <w:r>
              <w:rPr>
                <w:sz w:val="16"/>
                <w:szCs w:val="16"/>
              </w:rPr>
              <w:t>100</w:t>
            </w:r>
            <w:r w:rsidR="008340AC">
              <w:rPr>
                <w:sz w:val="16"/>
                <w:szCs w:val="16"/>
              </w:rPr>
              <w:t>%</w:t>
            </w:r>
          </w:p>
        </w:tc>
      </w:tr>
      <w:tr w:rsidR="00990814" w:rsidRPr="002C5B5D" w:rsidTr="008340AC">
        <w:tc>
          <w:tcPr>
            <w:tcW w:w="833" w:type="pct"/>
            <w:shd w:val="clear" w:color="auto" w:fill="auto"/>
          </w:tcPr>
          <w:p w:rsidR="00990814" w:rsidRPr="00385B37" w:rsidRDefault="00990814"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Regulatory proposal</w:t>
            </w:r>
          </w:p>
        </w:tc>
        <w:tc>
          <w:tcPr>
            <w:tcW w:w="833" w:type="pct"/>
            <w:shd w:val="clear" w:color="auto" w:fill="auto"/>
          </w:tcPr>
          <w:p w:rsidR="00990814" w:rsidRPr="00385B37" w:rsidRDefault="00990814"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0</w:t>
            </w:r>
          </w:p>
        </w:tc>
        <w:tc>
          <w:tcPr>
            <w:tcW w:w="833" w:type="pct"/>
            <w:shd w:val="clear" w:color="auto" w:fill="auto"/>
          </w:tcPr>
          <w:p w:rsidR="00990814" w:rsidRPr="00385B37" w:rsidRDefault="00990814" w:rsidP="00990814">
            <w:pPr>
              <w:pStyle w:val="TableText"/>
              <w:jc w:val="center"/>
              <w:rPr>
                <w:sz w:val="16"/>
                <w:szCs w:val="16"/>
              </w:rPr>
            </w:pPr>
            <w:r>
              <w:rPr>
                <w:sz w:val="16"/>
                <w:szCs w:val="16"/>
              </w:rPr>
              <w:t>344</w:t>
            </w:r>
          </w:p>
        </w:tc>
        <w:tc>
          <w:tcPr>
            <w:tcW w:w="833" w:type="pct"/>
          </w:tcPr>
          <w:p w:rsidR="00990814" w:rsidRPr="00385B37" w:rsidRDefault="00990814"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344</w:t>
            </w:r>
          </w:p>
        </w:tc>
        <w:tc>
          <w:tcPr>
            <w:tcW w:w="833" w:type="pct"/>
          </w:tcPr>
          <w:p w:rsidR="00990814" w:rsidRPr="00385B37" w:rsidRDefault="00990814" w:rsidP="00990814">
            <w:pPr>
              <w:pStyle w:val="TableText"/>
              <w:jc w:val="center"/>
              <w:rPr>
                <w:sz w:val="16"/>
                <w:szCs w:val="16"/>
              </w:rPr>
            </w:pPr>
            <w:r>
              <w:rPr>
                <w:sz w:val="16"/>
                <w:szCs w:val="16"/>
              </w:rPr>
              <w:t>0</w:t>
            </w:r>
            <w:r w:rsidR="008340AC">
              <w:rPr>
                <w:sz w:val="16"/>
                <w:szCs w:val="16"/>
              </w:rPr>
              <w:t>%</w:t>
            </w:r>
          </w:p>
        </w:tc>
        <w:tc>
          <w:tcPr>
            <w:tcW w:w="833" w:type="pct"/>
            <w:shd w:val="clear" w:color="auto" w:fill="auto"/>
          </w:tcPr>
          <w:p w:rsidR="00990814" w:rsidRPr="00385B37" w:rsidRDefault="00990814" w:rsidP="00990814">
            <w:pPr>
              <w:pStyle w:val="TableText"/>
              <w:jc w:val="center"/>
              <w:rPr>
                <w:sz w:val="16"/>
                <w:szCs w:val="16"/>
              </w:rPr>
            </w:pPr>
            <w:r>
              <w:rPr>
                <w:sz w:val="16"/>
                <w:szCs w:val="16"/>
              </w:rPr>
              <w:t>100</w:t>
            </w:r>
            <w:r w:rsidR="008340AC">
              <w:rPr>
                <w:sz w:val="16"/>
                <w:szCs w:val="16"/>
              </w:rPr>
              <w:t>%</w:t>
            </w:r>
          </w:p>
        </w:tc>
      </w:tr>
      <w:tr w:rsidR="00990814" w:rsidRPr="002C5B5D" w:rsidTr="008340AC">
        <w:tc>
          <w:tcPr>
            <w:tcW w:w="833" w:type="pct"/>
            <w:shd w:val="clear" w:color="auto" w:fill="auto"/>
          </w:tcPr>
          <w:p w:rsidR="00990814" w:rsidRDefault="00990814"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Appendices</w:t>
            </w:r>
          </w:p>
        </w:tc>
        <w:tc>
          <w:tcPr>
            <w:tcW w:w="833" w:type="pct"/>
            <w:shd w:val="clear" w:color="auto" w:fill="auto"/>
          </w:tcPr>
          <w:p w:rsidR="00990814" w:rsidRPr="00385B37" w:rsidRDefault="00990814"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0</w:t>
            </w:r>
          </w:p>
        </w:tc>
        <w:tc>
          <w:tcPr>
            <w:tcW w:w="833" w:type="pct"/>
            <w:shd w:val="clear" w:color="auto" w:fill="auto"/>
          </w:tcPr>
          <w:p w:rsidR="00990814" w:rsidRPr="00385B37" w:rsidRDefault="0071740C" w:rsidP="00990814">
            <w:pPr>
              <w:pStyle w:val="TableText"/>
              <w:jc w:val="center"/>
              <w:rPr>
                <w:sz w:val="16"/>
                <w:szCs w:val="16"/>
              </w:rPr>
            </w:pPr>
            <w:r>
              <w:rPr>
                <w:sz w:val="16"/>
                <w:szCs w:val="16"/>
              </w:rPr>
              <w:t>412</w:t>
            </w:r>
          </w:p>
        </w:tc>
        <w:tc>
          <w:tcPr>
            <w:tcW w:w="833" w:type="pct"/>
          </w:tcPr>
          <w:p w:rsidR="00990814" w:rsidRPr="00385B37" w:rsidRDefault="0071740C"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412</w:t>
            </w:r>
          </w:p>
        </w:tc>
        <w:tc>
          <w:tcPr>
            <w:tcW w:w="833" w:type="pct"/>
          </w:tcPr>
          <w:p w:rsidR="00990814" w:rsidRPr="00385B37" w:rsidRDefault="00990814" w:rsidP="00990814">
            <w:pPr>
              <w:pStyle w:val="TableText"/>
              <w:jc w:val="center"/>
              <w:rPr>
                <w:sz w:val="16"/>
                <w:szCs w:val="16"/>
              </w:rPr>
            </w:pPr>
            <w:r>
              <w:rPr>
                <w:sz w:val="16"/>
                <w:szCs w:val="16"/>
              </w:rPr>
              <w:t>0</w:t>
            </w:r>
            <w:r w:rsidR="008340AC">
              <w:rPr>
                <w:sz w:val="16"/>
                <w:szCs w:val="16"/>
              </w:rPr>
              <w:t>%</w:t>
            </w:r>
          </w:p>
        </w:tc>
        <w:tc>
          <w:tcPr>
            <w:tcW w:w="833" w:type="pct"/>
            <w:shd w:val="clear" w:color="auto" w:fill="auto"/>
          </w:tcPr>
          <w:p w:rsidR="00990814" w:rsidRPr="00385B37" w:rsidRDefault="00990814" w:rsidP="00990814">
            <w:pPr>
              <w:pStyle w:val="TableText"/>
              <w:jc w:val="center"/>
              <w:rPr>
                <w:sz w:val="16"/>
                <w:szCs w:val="16"/>
              </w:rPr>
            </w:pPr>
            <w:r>
              <w:rPr>
                <w:sz w:val="16"/>
                <w:szCs w:val="16"/>
              </w:rPr>
              <w:t>100</w:t>
            </w:r>
            <w:r w:rsidR="008340AC">
              <w:rPr>
                <w:sz w:val="16"/>
                <w:szCs w:val="16"/>
              </w:rPr>
              <w:t>%</w:t>
            </w:r>
          </w:p>
        </w:tc>
      </w:tr>
      <w:tr w:rsidR="00990814" w:rsidRPr="002C5B5D" w:rsidTr="008340AC">
        <w:tc>
          <w:tcPr>
            <w:tcW w:w="833" w:type="pct"/>
            <w:shd w:val="clear" w:color="auto" w:fill="auto"/>
          </w:tcPr>
          <w:p w:rsidR="00990814" w:rsidRDefault="00990814"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Attachments</w:t>
            </w:r>
          </w:p>
        </w:tc>
        <w:tc>
          <w:tcPr>
            <w:tcW w:w="833" w:type="pct"/>
            <w:shd w:val="clear" w:color="auto" w:fill="auto"/>
          </w:tcPr>
          <w:p w:rsidR="00990814" w:rsidRPr="00385B37" w:rsidRDefault="00B910A1"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290</w:t>
            </w:r>
          </w:p>
        </w:tc>
        <w:tc>
          <w:tcPr>
            <w:tcW w:w="833" w:type="pct"/>
            <w:shd w:val="clear" w:color="auto" w:fill="auto"/>
          </w:tcPr>
          <w:p w:rsidR="00990814" w:rsidRPr="00385B37" w:rsidRDefault="00B910A1" w:rsidP="00990814">
            <w:pPr>
              <w:pStyle w:val="TableText"/>
              <w:jc w:val="center"/>
              <w:rPr>
                <w:sz w:val="16"/>
                <w:szCs w:val="16"/>
              </w:rPr>
            </w:pPr>
            <w:r>
              <w:rPr>
                <w:sz w:val="16"/>
                <w:szCs w:val="16"/>
              </w:rPr>
              <w:t>25,171</w:t>
            </w:r>
          </w:p>
        </w:tc>
        <w:tc>
          <w:tcPr>
            <w:tcW w:w="833" w:type="pct"/>
          </w:tcPr>
          <w:p w:rsidR="00990814" w:rsidRPr="00385B37" w:rsidRDefault="00B910A1"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sidRPr="00B910A1">
              <w:rPr>
                <w:rFonts w:asciiTheme="minorHAnsi" w:hAnsiTheme="minorHAnsi" w:cstheme="minorHAnsi"/>
                <w:color w:val="333333"/>
                <w:sz w:val="16"/>
                <w:szCs w:val="16"/>
              </w:rPr>
              <w:t>25,461</w:t>
            </w:r>
          </w:p>
        </w:tc>
        <w:tc>
          <w:tcPr>
            <w:tcW w:w="833" w:type="pct"/>
          </w:tcPr>
          <w:p w:rsidR="00990814" w:rsidRPr="00385B37" w:rsidRDefault="00B910A1" w:rsidP="00990814">
            <w:pPr>
              <w:pStyle w:val="TableText"/>
              <w:jc w:val="center"/>
              <w:rPr>
                <w:sz w:val="16"/>
                <w:szCs w:val="16"/>
              </w:rPr>
            </w:pPr>
            <w:r>
              <w:rPr>
                <w:sz w:val="16"/>
                <w:szCs w:val="16"/>
              </w:rPr>
              <w:t>1</w:t>
            </w:r>
            <w:r w:rsidR="008340AC">
              <w:rPr>
                <w:sz w:val="16"/>
                <w:szCs w:val="16"/>
              </w:rPr>
              <w:t>%</w:t>
            </w:r>
          </w:p>
        </w:tc>
        <w:tc>
          <w:tcPr>
            <w:tcW w:w="833" w:type="pct"/>
            <w:shd w:val="clear" w:color="auto" w:fill="auto"/>
          </w:tcPr>
          <w:p w:rsidR="00990814" w:rsidRPr="00385B37" w:rsidRDefault="00B910A1" w:rsidP="00990814">
            <w:pPr>
              <w:pStyle w:val="TableText"/>
              <w:jc w:val="center"/>
              <w:rPr>
                <w:sz w:val="16"/>
                <w:szCs w:val="16"/>
              </w:rPr>
            </w:pPr>
            <w:r>
              <w:rPr>
                <w:sz w:val="16"/>
                <w:szCs w:val="16"/>
              </w:rPr>
              <w:t>99</w:t>
            </w:r>
            <w:r w:rsidR="008340AC">
              <w:rPr>
                <w:sz w:val="16"/>
                <w:szCs w:val="16"/>
              </w:rPr>
              <w:t>%</w:t>
            </w:r>
          </w:p>
        </w:tc>
      </w:tr>
      <w:tr w:rsidR="00990814" w:rsidRPr="002C5B5D" w:rsidTr="008340AC">
        <w:tc>
          <w:tcPr>
            <w:tcW w:w="833" w:type="pct"/>
            <w:shd w:val="clear" w:color="auto" w:fill="auto"/>
          </w:tcPr>
          <w:p w:rsidR="00990814" w:rsidRDefault="00990814"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Models</w:t>
            </w:r>
          </w:p>
        </w:tc>
        <w:tc>
          <w:tcPr>
            <w:tcW w:w="833" w:type="pct"/>
            <w:shd w:val="clear" w:color="auto" w:fill="auto"/>
          </w:tcPr>
          <w:p w:rsidR="00990814" w:rsidRPr="00385B37" w:rsidRDefault="00B910A1"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163</w:t>
            </w:r>
          </w:p>
        </w:tc>
        <w:tc>
          <w:tcPr>
            <w:tcW w:w="833" w:type="pct"/>
            <w:shd w:val="clear" w:color="auto" w:fill="auto"/>
          </w:tcPr>
          <w:p w:rsidR="00990814" w:rsidRPr="00385B37" w:rsidRDefault="00B910A1" w:rsidP="00990814">
            <w:pPr>
              <w:pStyle w:val="TableText"/>
              <w:jc w:val="center"/>
              <w:rPr>
                <w:sz w:val="16"/>
                <w:szCs w:val="16"/>
              </w:rPr>
            </w:pPr>
            <w:r>
              <w:rPr>
                <w:sz w:val="16"/>
                <w:szCs w:val="16"/>
              </w:rPr>
              <w:t>502</w:t>
            </w:r>
          </w:p>
        </w:tc>
        <w:tc>
          <w:tcPr>
            <w:tcW w:w="833" w:type="pct"/>
          </w:tcPr>
          <w:p w:rsidR="00990814" w:rsidRPr="00385B37" w:rsidRDefault="00B910A1"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665</w:t>
            </w:r>
          </w:p>
        </w:tc>
        <w:tc>
          <w:tcPr>
            <w:tcW w:w="833" w:type="pct"/>
          </w:tcPr>
          <w:p w:rsidR="00990814" w:rsidRPr="00385B37" w:rsidRDefault="00B910A1" w:rsidP="00990814">
            <w:pPr>
              <w:pStyle w:val="TableText"/>
              <w:jc w:val="center"/>
              <w:rPr>
                <w:sz w:val="16"/>
                <w:szCs w:val="16"/>
              </w:rPr>
            </w:pPr>
            <w:r>
              <w:rPr>
                <w:sz w:val="16"/>
                <w:szCs w:val="16"/>
              </w:rPr>
              <w:t>25</w:t>
            </w:r>
            <w:r w:rsidR="008340AC">
              <w:rPr>
                <w:sz w:val="16"/>
                <w:szCs w:val="16"/>
              </w:rPr>
              <w:t>%</w:t>
            </w:r>
          </w:p>
        </w:tc>
        <w:tc>
          <w:tcPr>
            <w:tcW w:w="833" w:type="pct"/>
            <w:shd w:val="clear" w:color="auto" w:fill="auto"/>
          </w:tcPr>
          <w:p w:rsidR="00990814" w:rsidRDefault="00B910A1" w:rsidP="00990814">
            <w:pPr>
              <w:pStyle w:val="TableText"/>
              <w:jc w:val="center"/>
              <w:rPr>
                <w:sz w:val="16"/>
                <w:szCs w:val="16"/>
              </w:rPr>
            </w:pPr>
            <w:r>
              <w:rPr>
                <w:sz w:val="16"/>
                <w:szCs w:val="16"/>
              </w:rPr>
              <w:t>75</w:t>
            </w:r>
            <w:r w:rsidR="008340AC">
              <w:rPr>
                <w:sz w:val="16"/>
                <w:szCs w:val="16"/>
              </w:rPr>
              <w:t>%</w:t>
            </w:r>
          </w:p>
        </w:tc>
      </w:tr>
      <w:tr w:rsidR="00990814" w:rsidRPr="002C5B5D" w:rsidTr="008340AC">
        <w:tc>
          <w:tcPr>
            <w:tcW w:w="833" w:type="pct"/>
            <w:shd w:val="clear" w:color="auto" w:fill="auto"/>
          </w:tcPr>
          <w:p w:rsidR="00990814" w:rsidRDefault="00990814"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Reset RIN - templates</w:t>
            </w:r>
          </w:p>
        </w:tc>
        <w:tc>
          <w:tcPr>
            <w:tcW w:w="833" w:type="pct"/>
            <w:shd w:val="clear" w:color="auto" w:fill="auto"/>
          </w:tcPr>
          <w:p w:rsidR="00990814" w:rsidRPr="00385B37" w:rsidRDefault="00E90562"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3</w:t>
            </w:r>
            <w:r w:rsidR="00D04927">
              <w:rPr>
                <w:rFonts w:asciiTheme="minorHAnsi" w:hAnsiTheme="minorHAnsi" w:cstheme="minorHAnsi"/>
                <w:color w:val="333333"/>
                <w:sz w:val="16"/>
                <w:szCs w:val="16"/>
              </w:rPr>
              <w:t xml:space="preserve"> (tables)</w:t>
            </w:r>
          </w:p>
        </w:tc>
        <w:tc>
          <w:tcPr>
            <w:tcW w:w="833" w:type="pct"/>
            <w:shd w:val="clear" w:color="auto" w:fill="auto"/>
          </w:tcPr>
          <w:p w:rsidR="00990814" w:rsidRPr="00385B37" w:rsidRDefault="00E90562" w:rsidP="00990814">
            <w:pPr>
              <w:pStyle w:val="TableText"/>
              <w:jc w:val="center"/>
              <w:rPr>
                <w:sz w:val="16"/>
                <w:szCs w:val="16"/>
              </w:rPr>
            </w:pPr>
            <w:r>
              <w:rPr>
                <w:sz w:val="16"/>
                <w:szCs w:val="16"/>
              </w:rPr>
              <w:t>94</w:t>
            </w:r>
            <w:r w:rsidR="00D04927">
              <w:rPr>
                <w:sz w:val="16"/>
                <w:szCs w:val="16"/>
              </w:rPr>
              <w:t xml:space="preserve"> (tables)</w:t>
            </w:r>
          </w:p>
        </w:tc>
        <w:tc>
          <w:tcPr>
            <w:tcW w:w="833" w:type="pct"/>
          </w:tcPr>
          <w:p w:rsidR="00990814" w:rsidRPr="00385B37" w:rsidRDefault="00E90562"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97</w:t>
            </w:r>
            <w:r w:rsidR="00D04927">
              <w:rPr>
                <w:rFonts w:asciiTheme="minorHAnsi" w:hAnsiTheme="minorHAnsi" w:cstheme="minorHAnsi"/>
                <w:color w:val="333333"/>
                <w:sz w:val="16"/>
                <w:szCs w:val="16"/>
              </w:rPr>
              <w:t xml:space="preserve"> (tables)</w:t>
            </w:r>
          </w:p>
        </w:tc>
        <w:tc>
          <w:tcPr>
            <w:tcW w:w="833" w:type="pct"/>
          </w:tcPr>
          <w:p w:rsidR="00990814" w:rsidRPr="00385B37" w:rsidRDefault="001E1F80" w:rsidP="00990814">
            <w:pPr>
              <w:pStyle w:val="TableText"/>
              <w:jc w:val="center"/>
              <w:rPr>
                <w:sz w:val="16"/>
                <w:szCs w:val="16"/>
              </w:rPr>
            </w:pPr>
            <w:r>
              <w:rPr>
                <w:sz w:val="16"/>
                <w:szCs w:val="16"/>
              </w:rPr>
              <w:t>3</w:t>
            </w:r>
            <w:r w:rsidR="008340AC">
              <w:rPr>
                <w:sz w:val="16"/>
                <w:szCs w:val="16"/>
              </w:rPr>
              <w:t>%</w:t>
            </w:r>
          </w:p>
        </w:tc>
        <w:tc>
          <w:tcPr>
            <w:tcW w:w="833" w:type="pct"/>
            <w:shd w:val="clear" w:color="auto" w:fill="auto"/>
          </w:tcPr>
          <w:p w:rsidR="00990814" w:rsidRDefault="00B910A1" w:rsidP="00990814">
            <w:pPr>
              <w:pStyle w:val="TableText"/>
              <w:jc w:val="center"/>
              <w:rPr>
                <w:sz w:val="16"/>
                <w:szCs w:val="16"/>
              </w:rPr>
            </w:pPr>
            <w:r>
              <w:rPr>
                <w:sz w:val="16"/>
                <w:szCs w:val="16"/>
              </w:rPr>
              <w:t>9</w:t>
            </w:r>
            <w:r w:rsidR="001E1F80">
              <w:rPr>
                <w:sz w:val="16"/>
                <w:szCs w:val="16"/>
              </w:rPr>
              <w:t>7</w:t>
            </w:r>
            <w:r w:rsidR="008340AC">
              <w:rPr>
                <w:sz w:val="16"/>
                <w:szCs w:val="16"/>
              </w:rPr>
              <w:t>%</w:t>
            </w:r>
          </w:p>
        </w:tc>
      </w:tr>
      <w:tr w:rsidR="00990814" w:rsidRPr="002C5B5D" w:rsidTr="008340AC">
        <w:tc>
          <w:tcPr>
            <w:tcW w:w="833" w:type="pct"/>
            <w:shd w:val="clear" w:color="auto" w:fill="auto"/>
          </w:tcPr>
          <w:p w:rsidR="00990814" w:rsidRDefault="00990814" w:rsidP="00B35C0D">
            <w:pPr>
              <w:pStyle w:val="MarginText"/>
              <w:overflowPunct w:val="0"/>
              <w:autoSpaceDE w:val="0"/>
              <w:autoSpaceDN w:val="0"/>
              <w:spacing w:before="60" w:after="60"/>
              <w:jc w:val="left"/>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Reset RIN – schedule 1 attachments</w:t>
            </w:r>
          </w:p>
        </w:tc>
        <w:tc>
          <w:tcPr>
            <w:tcW w:w="833" w:type="pct"/>
            <w:shd w:val="clear" w:color="auto" w:fill="auto"/>
          </w:tcPr>
          <w:p w:rsidR="00990814" w:rsidRPr="00385B37" w:rsidRDefault="00E90562" w:rsidP="008340AC">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13</w:t>
            </w:r>
            <w:r w:rsidR="008340AC">
              <w:rPr>
                <w:rFonts w:asciiTheme="minorHAnsi" w:hAnsiTheme="minorHAnsi" w:cstheme="minorHAnsi"/>
                <w:color w:val="333333"/>
                <w:sz w:val="16"/>
                <w:szCs w:val="16"/>
              </w:rPr>
              <w:t>4</w:t>
            </w:r>
          </w:p>
        </w:tc>
        <w:tc>
          <w:tcPr>
            <w:tcW w:w="833" w:type="pct"/>
            <w:shd w:val="clear" w:color="auto" w:fill="auto"/>
          </w:tcPr>
          <w:p w:rsidR="00990814" w:rsidRPr="00385B37" w:rsidRDefault="00627879" w:rsidP="00990814">
            <w:pPr>
              <w:pStyle w:val="TableText"/>
              <w:jc w:val="center"/>
              <w:rPr>
                <w:sz w:val="16"/>
                <w:szCs w:val="16"/>
              </w:rPr>
            </w:pPr>
            <w:r>
              <w:rPr>
                <w:sz w:val="16"/>
                <w:szCs w:val="16"/>
              </w:rPr>
              <w:t>693</w:t>
            </w:r>
          </w:p>
        </w:tc>
        <w:tc>
          <w:tcPr>
            <w:tcW w:w="833" w:type="pct"/>
          </w:tcPr>
          <w:p w:rsidR="00990814" w:rsidRPr="00385B37" w:rsidRDefault="00627879" w:rsidP="00990814">
            <w:pPr>
              <w:pStyle w:val="MarginText"/>
              <w:overflowPunct w:val="0"/>
              <w:autoSpaceDE w:val="0"/>
              <w:autoSpaceDN w:val="0"/>
              <w:spacing w:before="60" w:after="60"/>
              <w:jc w:val="center"/>
              <w:textAlignment w:val="baseline"/>
              <w:rPr>
                <w:rFonts w:asciiTheme="minorHAnsi" w:hAnsiTheme="minorHAnsi" w:cstheme="minorHAnsi"/>
                <w:color w:val="333333"/>
                <w:sz w:val="16"/>
                <w:szCs w:val="16"/>
              </w:rPr>
            </w:pPr>
            <w:r>
              <w:rPr>
                <w:rFonts w:asciiTheme="minorHAnsi" w:hAnsiTheme="minorHAnsi" w:cstheme="minorHAnsi"/>
                <w:color w:val="333333"/>
                <w:sz w:val="16"/>
                <w:szCs w:val="16"/>
              </w:rPr>
              <w:t>825</w:t>
            </w:r>
          </w:p>
        </w:tc>
        <w:tc>
          <w:tcPr>
            <w:tcW w:w="833" w:type="pct"/>
          </w:tcPr>
          <w:p w:rsidR="00990814" w:rsidRPr="00385B37" w:rsidRDefault="00627879" w:rsidP="00990814">
            <w:pPr>
              <w:pStyle w:val="TableText"/>
              <w:jc w:val="center"/>
              <w:rPr>
                <w:sz w:val="16"/>
                <w:szCs w:val="16"/>
              </w:rPr>
            </w:pPr>
            <w:r>
              <w:rPr>
                <w:sz w:val="16"/>
                <w:szCs w:val="16"/>
              </w:rPr>
              <w:t>16</w:t>
            </w:r>
            <w:r w:rsidR="008340AC">
              <w:rPr>
                <w:sz w:val="16"/>
                <w:szCs w:val="16"/>
              </w:rPr>
              <w:t>%</w:t>
            </w:r>
          </w:p>
        </w:tc>
        <w:tc>
          <w:tcPr>
            <w:tcW w:w="833" w:type="pct"/>
            <w:shd w:val="clear" w:color="auto" w:fill="auto"/>
          </w:tcPr>
          <w:p w:rsidR="00990814" w:rsidRDefault="00E90562" w:rsidP="00990814">
            <w:pPr>
              <w:pStyle w:val="TableText"/>
              <w:jc w:val="center"/>
              <w:rPr>
                <w:sz w:val="16"/>
                <w:szCs w:val="16"/>
              </w:rPr>
            </w:pPr>
            <w:r>
              <w:rPr>
                <w:sz w:val="16"/>
                <w:szCs w:val="16"/>
              </w:rPr>
              <w:t>8</w:t>
            </w:r>
            <w:r w:rsidR="00627879">
              <w:rPr>
                <w:sz w:val="16"/>
                <w:szCs w:val="16"/>
              </w:rPr>
              <w:t>4</w:t>
            </w:r>
            <w:r w:rsidR="008340AC">
              <w:rPr>
                <w:sz w:val="16"/>
                <w:szCs w:val="16"/>
              </w:rPr>
              <w:t>%</w:t>
            </w:r>
          </w:p>
        </w:tc>
      </w:tr>
    </w:tbl>
    <w:p w:rsidR="0071740C" w:rsidRPr="0071740C" w:rsidRDefault="0071740C" w:rsidP="0071740C">
      <w:pPr>
        <w:pStyle w:val="Source"/>
        <w:rPr>
          <w:color w:val="333333"/>
        </w:rPr>
      </w:pPr>
      <w:r w:rsidRPr="0071740C">
        <w:rPr>
          <w:color w:val="333333"/>
        </w:rPr>
        <w:t>CitiPower</w:t>
      </w:r>
    </w:p>
    <w:p w:rsidR="008340AC" w:rsidRDefault="008340AC">
      <w:pPr>
        <w:pStyle w:val="MarginText"/>
        <w:rPr>
          <w:rFonts w:asciiTheme="minorHAnsi" w:hAnsiTheme="minorHAnsi" w:cstheme="minorHAnsi"/>
          <w:sz w:val="21"/>
          <w:szCs w:val="21"/>
        </w:rPr>
      </w:pPr>
      <w:r>
        <w:rPr>
          <w:rFonts w:asciiTheme="minorHAnsi" w:hAnsiTheme="minorHAnsi" w:cstheme="minorHAnsi"/>
          <w:sz w:val="21"/>
          <w:szCs w:val="21"/>
        </w:rPr>
        <w:t>Note: This notice is an approximate indication of the proportion and comparative proportion of material in CitiPower’s Regulatory Proposal and Reset RIN response that is subject to a claim of confidentiality compared to what is not.</w:t>
      </w:r>
    </w:p>
    <w:p w:rsidR="00887A27" w:rsidRPr="00F877FA" w:rsidRDefault="00F877FA">
      <w:pPr>
        <w:pStyle w:val="MarginText"/>
        <w:rPr>
          <w:rFonts w:asciiTheme="minorHAnsi" w:hAnsiTheme="minorHAnsi" w:cstheme="minorHAnsi"/>
          <w:sz w:val="21"/>
          <w:szCs w:val="21"/>
        </w:rPr>
      </w:pPr>
      <w:r w:rsidRPr="00F877FA">
        <w:rPr>
          <w:rFonts w:asciiTheme="minorHAnsi" w:hAnsiTheme="minorHAnsi" w:cstheme="minorHAnsi"/>
          <w:sz w:val="21"/>
          <w:szCs w:val="21"/>
        </w:rPr>
        <w:t xml:space="preserve">CitiPower consents to the AER disclosing all CitiPower's </w:t>
      </w:r>
      <w:r w:rsidR="008340AC">
        <w:rPr>
          <w:rFonts w:asciiTheme="minorHAnsi" w:hAnsiTheme="minorHAnsi" w:cstheme="minorHAnsi"/>
          <w:sz w:val="21"/>
          <w:szCs w:val="21"/>
        </w:rPr>
        <w:t>non-confidential i</w:t>
      </w:r>
      <w:r w:rsidRPr="00F877FA">
        <w:rPr>
          <w:rFonts w:asciiTheme="minorHAnsi" w:hAnsiTheme="minorHAnsi" w:cstheme="minorHAnsi"/>
          <w:sz w:val="21"/>
          <w:szCs w:val="21"/>
        </w:rPr>
        <w:t>nformation on the AER website.</w:t>
      </w:r>
    </w:p>
    <w:sectPr w:rsidR="00887A27" w:rsidRPr="00F877FA" w:rsidSect="008340AC">
      <w:headerReference w:type="default" r:id="rId11"/>
      <w:footerReference w:type="even" r:id="rId12"/>
      <w:footerReference w:type="default" r:id="rId13"/>
      <w:footerReference w:type="first" r:id="rId14"/>
      <w:endnotePr>
        <w:numFmt w:val="decimal"/>
      </w:endnotePr>
      <w:type w:val="continuous"/>
      <w:pgSz w:w="16834" w:h="11909" w:orient="landscape" w:code="9"/>
      <w:pgMar w:top="2127" w:right="1080" w:bottom="1701" w:left="1080" w:header="706" w:footer="2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F7" w:rsidRDefault="001309F7">
      <w:r>
        <w:separator/>
      </w:r>
    </w:p>
  </w:endnote>
  <w:endnote w:type="continuationSeparator" w:id="0">
    <w:p w:rsidR="001309F7" w:rsidRDefault="0013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FF" w:rsidRDefault="007B0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775FF" w:rsidRDefault="002775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FF" w:rsidRPr="00887A27" w:rsidRDefault="00887A27" w:rsidP="00887A27">
    <w:pPr>
      <w:pBdr>
        <w:top w:val="single" w:sz="4" w:space="1" w:color="auto"/>
      </w:pBdr>
      <w:tabs>
        <w:tab w:val="center" w:pos="4153"/>
        <w:tab w:val="right" w:pos="8306"/>
      </w:tabs>
    </w:pPr>
    <w:r w:rsidRPr="003B74F4">
      <w:rPr>
        <w:rFonts w:ascii="Calibri" w:hAnsi="Calibri" w:cs="Arial"/>
        <w:sz w:val="16"/>
        <w:szCs w:val="16"/>
      </w:rPr>
      <w:t xml:space="preserve">Page </w:t>
    </w:r>
    <w:r w:rsidRPr="003B74F4">
      <w:rPr>
        <w:rFonts w:ascii="Calibri" w:hAnsi="Calibri" w:cs="Arial"/>
        <w:sz w:val="16"/>
        <w:szCs w:val="16"/>
      </w:rPr>
      <w:fldChar w:fldCharType="begin"/>
    </w:r>
    <w:r w:rsidRPr="003B74F4">
      <w:rPr>
        <w:rFonts w:ascii="Calibri" w:hAnsi="Calibri" w:cs="Arial"/>
        <w:sz w:val="16"/>
        <w:szCs w:val="16"/>
      </w:rPr>
      <w:instrText xml:space="preserve"> PAGE </w:instrText>
    </w:r>
    <w:r w:rsidRPr="003B74F4">
      <w:rPr>
        <w:rFonts w:ascii="Calibri" w:hAnsi="Calibri" w:cs="Arial"/>
        <w:sz w:val="16"/>
        <w:szCs w:val="16"/>
      </w:rPr>
      <w:fldChar w:fldCharType="separate"/>
    </w:r>
    <w:r w:rsidR="003A1A23">
      <w:rPr>
        <w:rFonts w:ascii="Calibri" w:hAnsi="Calibri" w:cs="Arial"/>
        <w:noProof/>
        <w:sz w:val="16"/>
        <w:szCs w:val="16"/>
      </w:rPr>
      <w:t>1</w:t>
    </w:r>
    <w:r w:rsidRPr="003B74F4">
      <w:rPr>
        <w:rFonts w:ascii="Calibri" w:hAnsi="Calibri" w:cs="Arial"/>
        <w:sz w:val="16"/>
        <w:szCs w:val="16"/>
      </w:rPr>
      <w:fldChar w:fldCharType="end"/>
    </w:r>
    <w:r w:rsidRPr="003B74F4">
      <w:rPr>
        <w:rFonts w:ascii="Calibri" w:hAnsi="Calibri" w:cs="Arial"/>
        <w:sz w:val="16"/>
        <w:szCs w:val="16"/>
      </w:rPr>
      <w:t xml:space="preserve"> of </w:t>
    </w:r>
    <w:r w:rsidRPr="003B74F4">
      <w:rPr>
        <w:rFonts w:ascii="Calibri" w:hAnsi="Calibri" w:cs="Arial"/>
        <w:sz w:val="16"/>
        <w:szCs w:val="16"/>
      </w:rPr>
      <w:fldChar w:fldCharType="begin"/>
    </w:r>
    <w:r w:rsidRPr="003B74F4">
      <w:rPr>
        <w:rFonts w:ascii="Calibri" w:hAnsi="Calibri" w:cs="Arial"/>
        <w:sz w:val="16"/>
        <w:szCs w:val="16"/>
      </w:rPr>
      <w:instrText xml:space="preserve"> NUMPAGES </w:instrText>
    </w:r>
    <w:r w:rsidRPr="003B74F4">
      <w:rPr>
        <w:rFonts w:ascii="Calibri" w:hAnsi="Calibri" w:cs="Arial"/>
        <w:sz w:val="16"/>
        <w:szCs w:val="16"/>
      </w:rPr>
      <w:fldChar w:fldCharType="separate"/>
    </w:r>
    <w:r w:rsidR="003A1A23">
      <w:rPr>
        <w:rFonts w:ascii="Calibri" w:hAnsi="Calibri" w:cs="Arial"/>
        <w:noProof/>
        <w:sz w:val="16"/>
        <w:szCs w:val="16"/>
      </w:rPr>
      <w:t>13</w:t>
    </w:r>
    <w:r w:rsidRPr="003B74F4">
      <w:rPr>
        <w:rFonts w:ascii="Calibri" w:hAnsi="Calibri"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FF" w:rsidRDefault="002775FF">
    <w:pPr>
      <w:pStyle w:val="Footer"/>
      <w:pBdr>
        <w:top w:val="single" w:sz="6"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F7" w:rsidRDefault="001309F7">
      <w:r>
        <w:separator/>
      </w:r>
    </w:p>
  </w:footnote>
  <w:footnote w:type="continuationSeparator" w:id="0">
    <w:p w:rsidR="001309F7" w:rsidRDefault="0013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27" w:rsidRPr="00515615" w:rsidRDefault="00887A27" w:rsidP="005F1795">
    <w:pPr>
      <w:pStyle w:val="Header"/>
      <w:spacing w:after="0" w:line="240" w:lineRule="auto"/>
      <w:rPr>
        <w:rFonts w:asciiTheme="minorHAnsi" w:hAnsiTheme="minorHAnsi" w:cstheme="minorHAnsi"/>
        <w:b/>
        <w:color w:val="1E398D"/>
        <w:sz w:val="28"/>
        <w:szCs w:val="28"/>
      </w:rPr>
    </w:pPr>
    <w:r w:rsidRPr="00515615">
      <w:rPr>
        <w:rFonts w:asciiTheme="minorHAnsi" w:hAnsiTheme="minorHAnsi" w:cstheme="minorHAnsi"/>
        <w:b/>
        <w:color w:val="1E398D"/>
        <w:sz w:val="28"/>
        <w:szCs w:val="28"/>
      </w:rPr>
      <w:t>C</w:t>
    </w:r>
    <w:r w:rsidR="00B910A1">
      <w:rPr>
        <w:rFonts w:asciiTheme="minorHAnsi" w:hAnsiTheme="minorHAnsi" w:cstheme="minorHAnsi"/>
        <w:b/>
        <w:color w:val="1E398D"/>
        <w:sz w:val="28"/>
        <w:szCs w:val="28"/>
      </w:rPr>
      <w:t>itiPower Pty</w:t>
    </w:r>
  </w:p>
  <w:p w:rsidR="005F1795" w:rsidRPr="00515615" w:rsidRDefault="005F1795" w:rsidP="005F1795">
    <w:pPr>
      <w:pStyle w:val="Header"/>
      <w:spacing w:after="0" w:line="240" w:lineRule="auto"/>
      <w:rPr>
        <w:rFonts w:asciiTheme="minorHAnsi" w:hAnsiTheme="minorHAnsi" w:cstheme="minorHAnsi"/>
        <w:b/>
        <w:color w:val="1E398D"/>
        <w:sz w:val="28"/>
        <w:szCs w:val="28"/>
      </w:rPr>
    </w:pPr>
    <w:r w:rsidRPr="00515615">
      <w:rPr>
        <w:rFonts w:asciiTheme="minorHAnsi" w:hAnsiTheme="minorHAnsi" w:cstheme="minorHAnsi"/>
        <w:b/>
        <w:color w:val="1E398D"/>
        <w:sz w:val="28"/>
        <w:szCs w:val="28"/>
      </w:rPr>
      <w:t>2</w:t>
    </w:r>
    <w:r w:rsidR="00887A27" w:rsidRPr="00515615">
      <w:rPr>
        <w:rFonts w:asciiTheme="minorHAnsi" w:hAnsiTheme="minorHAnsi" w:cstheme="minorHAnsi"/>
        <w:b/>
        <w:color w:val="1E398D"/>
        <w:sz w:val="28"/>
        <w:szCs w:val="28"/>
      </w:rPr>
      <w:t>016-2020 Price Reset</w:t>
    </w:r>
  </w:p>
  <w:p w:rsidR="00515615" w:rsidRPr="00515615" w:rsidRDefault="00515615" w:rsidP="005F1795">
    <w:pPr>
      <w:pStyle w:val="Header"/>
      <w:spacing w:after="0" w:line="240" w:lineRule="auto"/>
      <w:rPr>
        <w:rFonts w:asciiTheme="minorHAnsi" w:hAnsiTheme="minorHAnsi" w:cstheme="minorHAnsi"/>
        <w:b/>
        <w:color w:val="1E398D"/>
        <w:sz w:val="28"/>
        <w:szCs w:val="28"/>
      </w:rPr>
    </w:pPr>
    <w:r w:rsidRPr="00515615">
      <w:rPr>
        <w:rFonts w:asciiTheme="minorHAnsi" w:hAnsiTheme="minorHAnsi" w:cstheme="minorHAnsi"/>
        <w:b/>
        <w:color w:val="1E398D"/>
        <w:sz w:val="28"/>
        <w:szCs w:val="28"/>
      </w:rPr>
      <w:t>Confidentiality Claim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74A1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B201A3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AC1BC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AC7C6"/>
    <w:lvl w:ilvl="0">
      <w:start w:val="1"/>
      <w:numFmt w:val="decimal"/>
      <w:pStyle w:val="ListNumber2"/>
      <w:lvlText w:val="%1."/>
      <w:lvlJc w:val="left"/>
      <w:pPr>
        <w:tabs>
          <w:tab w:val="num" w:pos="643"/>
        </w:tabs>
        <w:ind w:left="643" w:hanging="360"/>
      </w:pPr>
    </w:lvl>
  </w:abstractNum>
  <w:abstractNum w:abstractNumId="4">
    <w:nsid w:val="FFFFFF88"/>
    <w:multiLevelType w:val="singleLevel"/>
    <w:tmpl w:val="57721562"/>
    <w:lvl w:ilvl="0">
      <w:start w:val="1"/>
      <w:numFmt w:val="decimal"/>
      <w:pStyle w:val="ListNumber"/>
      <w:lvlText w:val="%1."/>
      <w:lvlJc w:val="left"/>
      <w:pPr>
        <w:tabs>
          <w:tab w:val="num" w:pos="360"/>
        </w:tabs>
        <w:ind w:left="360" w:hanging="360"/>
      </w:pPr>
    </w:lvl>
  </w:abstractNum>
  <w:abstractNum w:abstractNumId="5">
    <w:nsid w:val="FFFFFFFE"/>
    <w:multiLevelType w:val="singleLevel"/>
    <w:tmpl w:val="31E0C652"/>
    <w:lvl w:ilvl="0">
      <w:numFmt w:val="bullet"/>
      <w:lvlText w:val="*"/>
      <w:lvlJc w:val="left"/>
    </w:lvl>
  </w:abstractNum>
  <w:abstractNum w:abstractNumId="6">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nsid w:val="054A0B0E"/>
    <w:multiLevelType w:val="multilevel"/>
    <w:tmpl w:val="A754D258"/>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8501C54"/>
    <w:multiLevelType w:val="hybridMultilevel"/>
    <w:tmpl w:val="0B540A7E"/>
    <w:lvl w:ilvl="0" w:tplc="0C09000F">
      <w:start w:val="1"/>
      <w:numFmt w:val="decimal"/>
      <w:pStyle w:val="para0bulle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A977122"/>
    <w:multiLevelType w:val="multilevel"/>
    <w:tmpl w:val="3112F87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40"/>
        </w:tabs>
        <w:ind w:left="1440" w:hanging="720"/>
      </w:pPr>
      <w:rPr>
        <w:caps w:val="0"/>
        <w:effect w:val="none"/>
      </w:rPr>
    </w:lvl>
    <w:lvl w:ilvl="2">
      <w:start w:val="1"/>
      <w:numFmt w:val="decimal"/>
      <w:lvlText w:val="%1.%2.%3"/>
      <w:lvlJc w:val="left"/>
      <w:pPr>
        <w:tabs>
          <w:tab w:val="num" w:pos="2520"/>
        </w:tabs>
        <w:ind w:left="2520" w:hanging="72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none"/>
      <w:lvlText w:val=""/>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0">
    <w:nsid w:val="0B4471B6"/>
    <w:multiLevelType w:val="multilevel"/>
    <w:tmpl w:val="8EEC567C"/>
    <w:lvl w:ilvl="0">
      <w:start w:val="1"/>
      <w:numFmt w:val="none"/>
      <w:pStyle w:val="Source"/>
      <w:lvlText w:val="Source:"/>
      <w:lvlJc w:val="left"/>
      <w:pPr>
        <w:tabs>
          <w:tab w:val="num" w:pos="567"/>
        </w:tabs>
        <w:ind w:left="567" w:hanging="567"/>
      </w:pPr>
      <w:rPr>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0C513322"/>
    <w:multiLevelType w:val="multilevel"/>
    <w:tmpl w:val="D1C06560"/>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F874EEC"/>
    <w:multiLevelType w:val="multilevel"/>
    <w:tmpl w:val="1AEC4B66"/>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3597CF9"/>
    <w:multiLevelType w:val="multilevel"/>
    <w:tmpl w:val="B478DFE6"/>
    <w:numStyleLink w:val="AERnumberedlist"/>
  </w:abstractNum>
  <w:abstractNum w:abstractNumId="14">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nsid w:val="21AD1096"/>
    <w:multiLevelType w:val="multilevel"/>
    <w:tmpl w:val="B2AACF4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8FC0863"/>
    <w:multiLevelType w:val="multilevel"/>
    <w:tmpl w:val="B0346E18"/>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5B5953"/>
    <w:multiLevelType w:val="multilevel"/>
    <w:tmpl w:val="CE6244D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D583D1F"/>
    <w:multiLevelType w:val="multilevel"/>
    <w:tmpl w:val="74904E94"/>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9">
    <w:nsid w:val="2FC4228B"/>
    <w:multiLevelType w:val="multilevel"/>
    <w:tmpl w:val="D4904E46"/>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FD942BB"/>
    <w:multiLevelType w:val="multilevel"/>
    <w:tmpl w:val="8520A824"/>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1B52749"/>
    <w:multiLevelType w:val="multilevel"/>
    <w:tmpl w:val="CDC0E4EA"/>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54C57B6"/>
    <w:multiLevelType w:val="multilevel"/>
    <w:tmpl w:val="BCAA7C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7916463"/>
    <w:multiLevelType w:val="multilevel"/>
    <w:tmpl w:val="8806F4A2"/>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nsid w:val="3D8F48D0"/>
    <w:multiLevelType w:val="multilevel"/>
    <w:tmpl w:val="634A7DB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6">
    <w:nsid w:val="4BDD15C3"/>
    <w:multiLevelType w:val="multilevel"/>
    <w:tmpl w:val="851C0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41C7FD2"/>
    <w:multiLevelType w:val="multilevel"/>
    <w:tmpl w:val="0CD0FA10"/>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9">
    <w:nsid w:val="54B84EF0"/>
    <w:multiLevelType w:val="multilevel"/>
    <w:tmpl w:val="1A60469A"/>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382068"/>
    <w:multiLevelType w:val="multilevel"/>
    <w:tmpl w:val="927C1DA0"/>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1">
    <w:nsid w:val="6815379B"/>
    <w:multiLevelType w:val="multilevel"/>
    <w:tmpl w:val="3C84FB92"/>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2">
    <w:nsid w:val="6F3E6F69"/>
    <w:multiLevelType w:val="multilevel"/>
    <w:tmpl w:val="E9726A1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3">
    <w:nsid w:val="73D329E2"/>
    <w:multiLevelType w:val="multilevel"/>
    <w:tmpl w:val="23783F1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257379"/>
    <w:multiLevelType w:val="hybridMultilevel"/>
    <w:tmpl w:val="667E81A4"/>
    <w:lvl w:ilvl="0" w:tplc="FA1822E2">
      <w:start w:val="1"/>
      <w:numFmt w:val="bullet"/>
      <w:lvlText w:val="•"/>
      <w:lvlJc w:val="left"/>
      <w:pPr>
        <w:tabs>
          <w:tab w:val="num" w:pos="360"/>
        </w:tabs>
        <w:ind w:left="360" w:hanging="360"/>
      </w:pPr>
      <w:rPr>
        <w:rFonts w:ascii="Arial" w:hAnsi="Arial" w:hint="default"/>
      </w:rPr>
    </w:lvl>
    <w:lvl w:ilvl="1" w:tplc="89D2B644" w:tentative="1">
      <w:start w:val="1"/>
      <w:numFmt w:val="bullet"/>
      <w:lvlText w:val="•"/>
      <w:lvlJc w:val="left"/>
      <w:pPr>
        <w:tabs>
          <w:tab w:val="num" w:pos="1080"/>
        </w:tabs>
        <w:ind w:left="1080" w:hanging="360"/>
      </w:pPr>
      <w:rPr>
        <w:rFonts w:ascii="Arial" w:hAnsi="Arial" w:hint="default"/>
      </w:rPr>
    </w:lvl>
    <w:lvl w:ilvl="2" w:tplc="F52EB0A2" w:tentative="1">
      <w:start w:val="1"/>
      <w:numFmt w:val="bullet"/>
      <w:lvlText w:val="•"/>
      <w:lvlJc w:val="left"/>
      <w:pPr>
        <w:tabs>
          <w:tab w:val="num" w:pos="1800"/>
        </w:tabs>
        <w:ind w:left="1800" w:hanging="360"/>
      </w:pPr>
      <w:rPr>
        <w:rFonts w:ascii="Arial" w:hAnsi="Arial" w:hint="default"/>
      </w:rPr>
    </w:lvl>
    <w:lvl w:ilvl="3" w:tplc="BD60B0CA" w:tentative="1">
      <w:start w:val="1"/>
      <w:numFmt w:val="bullet"/>
      <w:lvlText w:val="•"/>
      <w:lvlJc w:val="left"/>
      <w:pPr>
        <w:tabs>
          <w:tab w:val="num" w:pos="2520"/>
        </w:tabs>
        <w:ind w:left="2520" w:hanging="360"/>
      </w:pPr>
      <w:rPr>
        <w:rFonts w:ascii="Arial" w:hAnsi="Arial" w:hint="default"/>
      </w:rPr>
    </w:lvl>
    <w:lvl w:ilvl="4" w:tplc="A30A5D8A" w:tentative="1">
      <w:start w:val="1"/>
      <w:numFmt w:val="bullet"/>
      <w:lvlText w:val="•"/>
      <w:lvlJc w:val="left"/>
      <w:pPr>
        <w:tabs>
          <w:tab w:val="num" w:pos="3240"/>
        </w:tabs>
        <w:ind w:left="3240" w:hanging="360"/>
      </w:pPr>
      <w:rPr>
        <w:rFonts w:ascii="Arial" w:hAnsi="Arial" w:hint="default"/>
      </w:rPr>
    </w:lvl>
    <w:lvl w:ilvl="5" w:tplc="0EDC4F2C" w:tentative="1">
      <w:start w:val="1"/>
      <w:numFmt w:val="bullet"/>
      <w:lvlText w:val="•"/>
      <w:lvlJc w:val="left"/>
      <w:pPr>
        <w:tabs>
          <w:tab w:val="num" w:pos="3960"/>
        </w:tabs>
        <w:ind w:left="3960" w:hanging="360"/>
      </w:pPr>
      <w:rPr>
        <w:rFonts w:ascii="Arial" w:hAnsi="Arial" w:hint="default"/>
      </w:rPr>
    </w:lvl>
    <w:lvl w:ilvl="6" w:tplc="C0563E94" w:tentative="1">
      <w:start w:val="1"/>
      <w:numFmt w:val="bullet"/>
      <w:lvlText w:val="•"/>
      <w:lvlJc w:val="left"/>
      <w:pPr>
        <w:tabs>
          <w:tab w:val="num" w:pos="4680"/>
        </w:tabs>
        <w:ind w:left="4680" w:hanging="360"/>
      </w:pPr>
      <w:rPr>
        <w:rFonts w:ascii="Arial" w:hAnsi="Arial" w:hint="default"/>
      </w:rPr>
    </w:lvl>
    <w:lvl w:ilvl="7" w:tplc="3104BE4E" w:tentative="1">
      <w:start w:val="1"/>
      <w:numFmt w:val="bullet"/>
      <w:lvlText w:val="•"/>
      <w:lvlJc w:val="left"/>
      <w:pPr>
        <w:tabs>
          <w:tab w:val="num" w:pos="5400"/>
        </w:tabs>
        <w:ind w:left="5400" w:hanging="360"/>
      </w:pPr>
      <w:rPr>
        <w:rFonts w:ascii="Arial" w:hAnsi="Arial" w:hint="default"/>
      </w:rPr>
    </w:lvl>
    <w:lvl w:ilvl="8" w:tplc="4996763C" w:tentative="1">
      <w:start w:val="1"/>
      <w:numFmt w:val="bullet"/>
      <w:lvlText w:val="•"/>
      <w:lvlJc w:val="left"/>
      <w:pPr>
        <w:tabs>
          <w:tab w:val="num" w:pos="6120"/>
        </w:tabs>
        <w:ind w:left="6120" w:hanging="360"/>
      </w:pPr>
      <w:rPr>
        <w:rFonts w:ascii="Arial" w:hAnsi="Arial" w:hint="default"/>
      </w:rPr>
    </w:lvl>
  </w:abstractNum>
  <w:abstractNum w:abstractNumId="35">
    <w:nsid w:val="7CC30636"/>
    <w:multiLevelType w:val="multilevel"/>
    <w:tmpl w:val="D5AA6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D365547"/>
    <w:multiLevelType w:val="multilevel"/>
    <w:tmpl w:val="2D08FE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24"/>
  </w:num>
  <w:num w:numId="3">
    <w:abstractNumId w:val="30"/>
  </w:num>
  <w:num w:numId="4">
    <w:abstractNumId w:val="20"/>
  </w:num>
  <w:num w:numId="5">
    <w:abstractNumId w:val="31"/>
  </w:num>
  <w:num w:numId="6">
    <w:abstractNumId w:val="28"/>
  </w:num>
  <w:num w:numId="7">
    <w:abstractNumId w:val="25"/>
  </w:num>
  <w:num w:numId="8">
    <w:abstractNumId w:val="18"/>
  </w:num>
  <w:num w:numId="9">
    <w:abstractNumId w:val="32"/>
  </w:num>
  <w:num w:numId="10">
    <w:abstractNumId w:val="6"/>
  </w:num>
  <w:num w:numId="11">
    <w:abstractNumId w:val="9"/>
  </w:num>
  <w:num w:numId="12">
    <w:abstractNumId w:val="26"/>
  </w:num>
  <w:num w:numId="13">
    <w:abstractNumId w:val="33"/>
  </w:num>
  <w:num w:numId="14">
    <w:abstractNumId w:val="16"/>
  </w:num>
  <w:num w:numId="15">
    <w:abstractNumId w:val="35"/>
  </w:num>
  <w:num w:numId="16">
    <w:abstractNumId w:val="1"/>
  </w:num>
  <w:num w:numId="17">
    <w:abstractNumId w:val="2"/>
  </w:num>
  <w:num w:numId="18">
    <w:abstractNumId w:val="3"/>
  </w:num>
  <w:num w:numId="19">
    <w:abstractNumId w:val="21"/>
  </w:num>
  <w:num w:numId="20">
    <w:abstractNumId w:val="22"/>
  </w:num>
  <w:num w:numId="21">
    <w:abstractNumId w:val="15"/>
  </w:num>
  <w:num w:numId="22">
    <w:abstractNumId w:val="12"/>
  </w:num>
  <w:num w:numId="23">
    <w:abstractNumId w:val="4"/>
  </w:num>
  <w:num w:numId="24">
    <w:abstractNumId w:val="17"/>
  </w:num>
  <w:num w:numId="25">
    <w:abstractNumId w:val="29"/>
  </w:num>
  <w:num w:numId="26">
    <w:abstractNumId w:val="19"/>
  </w:num>
  <w:num w:numId="27">
    <w:abstractNumId w:val="7"/>
  </w:num>
  <w:num w:numId="28">
    <w:abstractNumId w:val="11"/>
  </w:num>
  <w:num w:numId="29">
    <w:abstractNumId w:val="23"/>
  </w:num>
  <w:num w:numId="30">
    <w:abstractNumId w:val="0"/>
  </w:num>
  <w:num w:numId="31">
    <w:abstractNumId w:val="5"/>
    <w:lvlOverride w:ilvl="0">
      <w:lvl w:ilvl="0">
        <w:start w:val="1"/>
        <w:numFmt w:val="bullet"/>
        <w:lvlText w:val=""/>
        <w:legacy w:legacy="1" w:legacySpace="0" w:legacyIndent="720"/>
        <w:lvlJc w:val="left"/>
        <w:pPr>
          <w:ind w:left="720" w:hanging="720"/>
        </w:pPr>
        <w:rPr>
          <w:rFonts w:ascii="Symbol" w:hAnsi="Symbol" w:hint="default"/>
        </w:rPr>
      </w:lvl>
    </w:lvlOverride>
  </w:num>
  <w:num w:numId="32">
    <w:abstractNumId w:val="34"/>
  </w:num>
  <w:num w:numId="33">
    <w:abstractNumId w:val="27"/>
  </w:num>
  <w:num w:numId="34">
    <w:abstractNumId w:val="13"/>
  </w:num>
  <w:num w:numId="35">
    <w:abstractNumId w:val="36"/>
  </w:num>
  <w:num w:numId="36">
    <w:abstractNumId w:val="8"/>
  </w:num>
  <w:num w:numId="3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A3"/>
    <w:rsid w:val="000A1971"/>
    <w:rsid w:val="001309F7"/>
    <w:rsid w:val="00186A88"/>
    <w:rsid w:val="001E1F80"/>
    <w:rsid w:val="002206E7"/>
    <w:rsid w:val="00230C20"/>
    <w:rsid w:val="00242857"/>
    <w:rsid w:val="0024496C"/>
    <w:rsid w:val="002775FF"/>
    <w:rsid w:val="002A3B1B"/>
    <w:rsid w:val="002B2842"/>
    <w:rsid w:val="002C1F54"/>
    <w:rsid w:val="002C7837"/>
    <w:rsid w:val="00364282"/>
    <w:rsid w:val="00382C59"/>
    <w:rsid w:val="00385B37"/>
    <w:rsid w:val="003A1A23"/>
    <w:rsid w:val="003C3911"/>
    <w:rsid w:val="00444E2A"/>
    <w:rsid w:val="004F25DC"/>
    <w:rsid w:val="00515615"/>
    <w:rsid w:val="0054040C"/>
    <w:rsid w:val="00562C30"/>
    <w:rsid w:val="00567942"/>
    <w:rsid w:val="0057265B"/>
    <w:rsid w:val="005F1795"/>
    <w:rsid w:val="00620532"/>
    <w:rsid w:val="00627879"/>
    <w:rsid w:val="00676E95"/>
    <w:rsid w:val="006B3959"/>
    <w:rsid w:val="006D3BEB"/>
    <w:rsid w:val="006F178F"/>
    <w:rsid w:val="0071740C"/>
    <w:rsid w:val="0076323E"/>
    <w:rsid w:val="007B053A"/>
    <w:rsid w:val="007E66F1"/>
    <w:rsid w:val="007F2CCF"/>
    <w:rsid w:val="00804AFF"/>
    <w:rsid w:val="0082239F"/>
    <w:rsid w:val="008340AC"/>
    <w:rsid w:val="00887A27"/>
    <w:rsid w:val="008A788E"/>
    <w:rsid w:val="008E3752"/>
    <w:rsid w:val="008E6BA8"/>
    <w:rsid w:val="00980FA3"/>
    <w:rsid w:val="00990814"/>
    <w:rsid w:val="00996F6D"/>
    <w:rsid w:val="009D3E61"/>
    <w:rsid w:val="009F1E30"/>
    <w:rsid w:val="00A47F09"/>
    <w:rsid w:val="00A6228F"/>
    <w:rsid w:val="00AA7330"/>
    <w:rsid w:val="00B04F97"/>
    <w:rsid w:val="00B63F1B"/>
    <w:rsid w:val="00B910A1"/>
    <w:rsid w:val="00B94A53"/>
    <w:rsid w:val="00C0112A"/>
    <w:rsid w:val="00C053ED"/>
    <w:rsid w:val="00C65237"/>
    <w:rsid w:val="00C65D40"/>
    <w:rsid w:val="00CF7DF7"/>
    <w:rsid w:val="00D023AA"/>
    <w:rsid w:val="00D04927"/>
    <w:rsid w:val="00D26A0E"/>
    <w:rsid w:val="00D406A1"/>
    <w:rsid w:val="00DB3A95"/>
    <w:rsid w:val="00DD5A0E"/>
    <w:rsid w:val="00E90562"/>
    <w:rsid w:val="00E93ECA"/>
    <w:rsid w:val="00EB4864"/>
    <w:rsid w:val="00EC6ED9"/>
    <w:rsid w:val="00F15F72"/>
    <w:rsid w:val="00F21F73"/>
    <w:rsid w:val="00F34E8D"/>
    <w:rsid w:val="00F35F13"/>
    <w:rsid w:val="00F877FA"/>
    <w:rsid w:val="00F9579B"/>
    <w:rsid w:val="00FA6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uiPriority="1" w:qFormat="1"/>
    <w:lsdException w:name="heading 9" w:uiPriority="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uiPriority w:val="1"/>
    <w:qFormat/>
    <w:pPr>
      <w:numPr>
        <w:ilvl w:val="6"/>
        <w:numId w:val="3"/>
      </w:numPr>
      <w:outlineLvl w:val="6"/>
    </w:pPr>
  </w:style>
  <w:style w:type="paragraph" w:styleId="Heading8">
    <w:name w:val="heading 8"/>
    <w:basedOn w:val="HouseStyleBase"/>
    <w:uiPriority w:val="1"/>
    <w:qFormat/>
    <w:pPr>
      <w:numPr>
        <w:ilvl w:val="7"/>
        <w:numId w:val="3"/>
      </w:numPr>
      <w:outlineLvl w:val="7"/>
    </w:pPr>
  </w:style>
  <w:style w:type="paragraph" w:styleId="Heading9">
    <w:name w:val="heading 9"/>
    <w:basedOn w:val="HouseStyleBaseCentred"/>
    <w:uiPriority w:val="1"/>
    <w:qFormat/>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SchSection">
    <w:name w:val="SchSection"/>
    <w:basedOn w:val="HouseStyleBaseCentred"/>
    <w:next w:val="MarginText"/>
    <w:pPr>
      <w:keepNext/>
      <w:numPr>
        <w:ilvl w:val="2"/>
        <w:numId w:val="4"/>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Centred"/>
    <w:pPr>
      <w:numPr>
        <w:ilvl w:val="1"/>
        <w:numId w:val="8"/>
      </w:numPr>
      <w:jc w:val="both"/>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pPr>
      <w:keepNext/>
      <w:numPr>
        <w:ilvl w:val="1"/>
        <w:numId w:val="4"/>
      </w:numPr>
      <w:jc w:val="center"/>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keepNext/>
      <w:numPr>
        <w:numId w:val="13"/>
      </w:numPr>
      <w:jc w:val="center"/>
      <w:outlineLvl w:val="0"/>
    </w:pPr>
    <w:rPr>
      <w:b/>
      <w:caps/>
    </w:rPr>
  </w:style>
  <w:style w:type="paragraph" w:customStyle="1" w:styleId="AppPart">
    <w:name w:val="AppPart"/>
    <w:basedOn w:val="HouseStyleBaseCentred"/>
    <w:pPr>
      <w:keepNext/>
      <w:pageBreakBefore/>
      <w:numPr>
        <w:ilvl w:val="1"/>
        <w:numId w:val="13"/>
      </w:numPr>
      <w:jc w:val="center"/>
      <w:outlineLvl w:val="1"/>
    </w:pPr>
    <w:rPr>
      <w:b/>
    </w:rPr>
  </w:style>
  <w:style w:type="paragraph" w:customStyle="1" w:styleId="RecitalNumbering">
    <w:name w:val="Recital Numbering"/>
    <w:basedOn w:val="HouseStyleBase"/>
    <w:pPr>
      <w:numPr>
        <w:numId w:val="29"/>
      </w:numPr>
      <w:outlineLvl w:val="0"/>
    </w:pPr>
  </w:style>
  <w:style w:type="paragraph" w:customStyle="1" w:styleId="RecitalNumbering2">
    <w:name w:val="Recital Numbering 2"/>
    <w:basedOn w:val="HouseStyleBase"/>
    <w:pPr>
      <w:numPr>
        <w:ilvl w:val="1"/>
        <w:numId w:val="29"/>
      </w:numPr>
      <w:outlineLvl w:val="1"/>
    </w:pPr>
  </w:style>
  <w:style w:type="paragraph" w:customStyle="1" w:styleId="DefinitionNumbering1">
    <w:name w:val="Definition Numbering 1"/>
    <w:basedOn w:val="HouseStyleBase"/>
    <w:pPr>
      <w:numPr>
        <w:numId w:val="6"/>
      </w:numPr>
      <w:outlineLvl w:val="1"/>
    </w:pPr>
  </w:style>
  <w:style w:type="paragraph" w:customStyle="1" w:styleId="DefinitionNumbering2">
    <w:name w:val="Definition Numbering 2"/>
    <w:basedOn w:val="HouseStyleBase"/>
    <w:pPr>
      <w:numPr>
        <w:ilvl w:val="1"/>
        <w:numId w:val="6"/>
      </w:numPr>
      <w:outlineLvl w:val="1"/>
    </w:pPr>
  </w:style>
  <w:style w:type="paragraph" w:customStyle="1" w:styleId="DefinitionNumbering3">
    <w:name w:val="Definition Numbering 3"/>
    <w:basedOn w:val="HouseStyleBase"/>
    <w:pPr>
      <w:numPr>
        <w:ilvl w:val="2"/>
        <w:numId w:val="6"/>
      </w:numPr>
      <w:outlineLvl w:val="1"/>
    </w:pPr>
  </w:style>
  <w:style w:type="paragraph" w:customStyle="1" w:styleId="DefinitionNumbering4">
    <w:name w:val="Definition Numbering 4"/>
    <w:basedOn w:val="HouseStyleBase"/>
    <w:pPr>
      <w:numPr>
        <w:ilvl w:val="3"/>
        <w:numId w:val="6"/>
      </w:numPr>
      <w:outlineLvl w:val="1"/>
    </w:pPr>
  </w:style>
  <w:style w:type="paragraph" w:customStyle="1" w:styleId="DefinitionNumbering5">
    <w:name w:val="Definition Numbering 5"/>
    <w:basedOn w:val="HouseStyleBase"/>
    <w:pPr>
      <w:numPr>
        <w:ilvl w:val="4"/>
        <w:numId w:val="6"/>
      </w:numPr>
      <w:outlineLvl w:val="1"/>
    </w:pPr>
  </w:style>
  <w:style w:type="paragraph" w:customStyle="1" w:styleId="DefinitionNumbering6">
    <w:name w:val="Definition Numbering 6"/>
    <w:basedOn w:val="HouseStyleBase"/>
    <w:pPr>
      <w:numPr>
        <w:ilvl w:val="5"/>
        <w:numId w:val="6"/>
      </w:numPr>
      <w:outlineLvl w:val="1"/>
    </w:pPr>
  </w:style>
  <w:style w:type="paragraph" w:customStyle="1" w:styleId="DefinitionNumbering7">
    <w:name w:val="Definition Numbering 7"/>
    <w:basedOn w:val="HouseStyleBase"/>
    <w:pPr>
      <w:numPr>
        <w:ilvl w:val="6"/>
        <w:numId w:val="6"/>
      </w:numPr>
      <w:outlineLvl w:val="1"/>
    </w:pPr>
  </w:style>
  <w:style w:type="paragraph" w:customStyle="1" w:styleId="DefinitionNumbering8">
    <w:name w:val="Definition Numbering 8"/>
    <w:basedOn w:val="HouseStyleBase"/>
    <w:pPr>
      <w:numPr>
        <w:ilvl w:val="7"/>
        <w:numId w:val="10"/>
      </w:numPr>
      <w:outlineLvl w:val="7"/>
    </w:pPr>
  </w:style>
  <w:style w:type="paragraph" w:customStyle="1" w:styleId="DefinitionNumbering9">
    <w:name w:val="Definition Numbering 9"/>
    <w:basedOn w:val="HouseStyleBase"/>
    <w:pPr>
      <w:numPr>
        <w:ilvl w:val="8"/>
        <w:numId w:val="10"/>
      </w:numPr>
      <w:outlineLvl w:val="8"/>
    </w:pPr>
  </w:style>
  <w:style w:type="paragraph" w:customStyle="1" w:styleId="RecitalNumbering3">
    <w:name w:val="Recital Numbering 3"/>
    <w:basedOn w:val="HouseStyleBase"/>
    <w:pPr>
      <w:numPr>
        <w:ilvl w:val="2"/>
        <w:numId w:val="9"/>
      </w:numPr>
      <w:overflowPunct w:val="0"/>
      <w:autoSpaceDE w:val="0"/>
      <w:autoSpaceDN w:val="0"/>
      <w:textAlignment w:val="baseline"/>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Centred"/>
    <w:pPr>
      <w:numPr>
        <w:numId w:val="8"/>
      </w:numPr>
      <w:jc w:val="both"/>
    </w:pPr>
  </w:style>
  <w:style w:type="paragraph" w:styleId="ListBullet3">
    <w:name w:val="List Bullet 3"/>
    <w:basedOn w:val="HouseStyleBaseCentred"/>
    <w:pPr>
      <w:numPr>
        <w:ilvl w:val="2"/>
        <w:numId w:val="8"/>
      </w:numPr>
      <w:jc w:val="both"/>
    </w:pPr>
  </w:style>
  <w:style w:type="paragraph" w:styleId="ListBullet4">
    <w:name w:val="List Bullet 4"/>
    <w:basedOn w:val="HouseStyleBaseCentred"/>
    <w:pPr>
      <w:numPr>
        <w:ilvl w:val="3"/>
        <w:numId w:val="8"/>
      </w:numPr>
      <w:jc w:val="both"/>
    </w:pPr>
  </w:style>
  <w:style w:type="paragraph" w:styleId="ListBullet5">
    <w:name w:val="List Bullet 5"/>
    <w:basedOn w:val="HouseStyleBaseCentred"/>
    <w:pPr>
      <w:numPr>
        <w:ilvl w:val="4"/>
        <w:numId w:val="8"/>
      </w:numPr>
      <w:jc w:val="both"/>
    </w:pPr>
  </w:style>
  <w:style w:type="paragraph" w:customStyle="1" w:styleId="ListBullet6">
    <w:name w:val="List Bullet 6"/>
    <w:basedOn w:val="HouseStyleBaseCentred"/>
    <w:pPr>
      <w:numPr>
        <w:ilvl w:val="5"/>
        <w:numId w:val="8"/>
      </w:numPr>
      <w:jc w:val="both"/>
    </w:pPr>
  </w:style>
  <w:style w:type="paragraph" w:customStyle="1" w:styleId="ListBullet7">
    <w:name w:val="List Bullet 7"/>
    <w:basedOn w:val="HouseStyleBaseCentred"/>
    <w:pPr>
      <w:numPr>
        <w:ilvl w:val="6"/>
        <w:numId w:val="8"/>
      </w:numPr>
      <w:jc w:val="both"/>
    </w:pPr>
  </w:style>
  <w:style w:type="paragraph" w:customStyle="1" w:styleId="ListBullet8">
    <w:name w:val="List Bullet 8"/>
    <w:basedOn w:val="HouseStyleBaseCentred"/>
    <w:pPr>
      <w:numPr>
        <w:ilvl w:val="7"/>
        <w:numId w:val="8"/>
      </w:numPr>
      <w:jc w:val="both"/>
    </w:pPr>
  </w:style>
  <w:style w:type="paragraph" w:customStyle="1" w:styleId="ListBullet9">
    <w:name w:val="List Bullet 9"/>
    <w:basedOn w:val="HouseStyleBaseCentred"/>
    <w:pPr>
      <w:numPr>
        <w:ilvl w:val="8"/>
        <w:numId w:val="8"/>
      </w:numPr>
      <w:jc w:val="both"/>
    </w:pPr>
  </w:style>
  <w:style w:type="paragraph" w:customStyle="1" w:styleId="ScheduleL1">
    <w:name w:val="Schedule L1"/>
    <w:basedOn w:val="HouseStyleBase"/>
    <w:next w:val="ScheduleL2A"/>
    <w:pPr>
      <w:numPr>
        <w:numId w:val="7"/>
      </w:numPr>
      <w:outlineLvl w:val="1"/>
    </w:pPr>
    <w:rPr>
      <w:b/>
      <w:caps/>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outlineLvl w:val="8"/>
    </w:p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eastAsia="STZhongsong"/>
      <w:b/>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link w:val="BodyTextIndent"/>
    <w:rPr>
      <w:rFonts w:eastAsia="STZhongsong"/>
      <w:sz w:val="22"/>
      <w:lang w:val="en-GB" w:eastAsia="zh-CN"/>
    </w:rPr>
  </w:style>
  <w:style w:type="character" w:customStyle="1" w:styleId="BodyTextFirstIndent2Char">
    <w:name w:val="Body Text First Indent 2 Char"/>
    <w:link w:val="BodyTextFirstIndent2"/>
    <w:rPr>
      <w:rFonts w:eastAsia="STZhongsong"/>
      <w:sz w:val="22"/>
      <w:lang w:val="en-GB" w:eastAsia="en-US"/>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8"/>
      </w:numPr>
      <w:outlineLvl w:val="0"/>
    </w:pPr>
  </w:style>
  <w:style w:type="character" w:customStyle="1" w:styleId="Generallevel1Char">
    <w:name w:val="General level 1 Char"/>
    <w:basedOn w:val="MarginText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8"/>
      </w:numPr>
      <w:outlineLvl w:val="1"/>
    </w:pPr>
  </w:style>
  <w:style w:type="character" w:customStyle="1" w:styleId="Generallevel2Char">
    <w:name w:val="General level 2 Char"/>
    <w:basedOn w:val="MarginText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8"/>
      </w:numPr>
      <w:outlineLvl w:val="2"/>
    </w:pPr>
  </w:style>
  <w:style w:type="character" w:customStyle="1" w:styleId="Generallevel3Char">
    <w:name w:val="General level 3 Char"/>
    <w:basedOn w:val="MarginText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8"/>
      </w:numPr>
      <w:outlineLvl w:val="3"/>
    </w:pPr>
  </w:style>
  <w:style w:type="character" w:customStyle="1" w:styleId="Generallevel4Char">
    <w:name w:val="General level 4 Char"/>
    <w:basedOn w:val="MarginText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8"/>
      </w:numPr>
      <w:outlineLvl w:val="4"/>
    </w:pPr>
  </w:style>
  <w:style w:type="character" w:customStyle="1" w:styleId="Generallevel5Char">
    <w:name w:val="General level 5 Char"/>
    <w:basedOn w:val="MarginText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8"/>
      </w:numPr>
      <w:outlineLvl w:val="5"/>
    </w:pPr>
  </w:style>
  <w:style w:type="character" w:customStyle="1" w:styleId="Generallevel6Char">
    <w:name w:val="General level 6 Char"/>
    <w:basedOn w:val="MarginTextChar"/>
    <w:link w:val="Generallevel6"/>
    <w:rPr>
      <w:rFonts w:eastAsia="STZhongsong"/>
      <w:sz w:val="22"/>
      <w:lang w:eastAsia="zh-CN"/>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3"/>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Cs/>
      <w:caps w:val="0"/>
      <w:kern w:val="32"/>
      <w:sz w:val="32"/>
      <w:szCs w:val="32"/>
      <w:lang w:eastAsia="en-US"/>
    </w:rPr>
  </w:style>
  <w:style w:type="character" w:customStyle="1" w:styleId="HeaderChar">
    <w:name w:val="Header Char"/>
    <w:basedOn w:val="DefaultParagraphFont"/>
    <w:link w:val="Header"/>
    <w:uiPriority w:val="99"/>
    <w:rsid w:val="005F1795"/>
    <w:rPr>
      <w:sz w:val="22"/>
      <w:lang w:val="en-GB" w:eastAsia="en-US"/>
    </w:rPr>
  </w:style>
  <w:style w:type="paragraph" w:customStyle="1" w:styleId="Default">
    <w:name w:val="Default"/>
    <w:rsid w:val="00567942"/>
    <w:pPr>
      <w:autoSpaceDE w:val="0"/>
      <w:autoSpaceDN w:val="0"/>
      <w:adjustRightInd w:val="0"/>
    </w:pPr>
    <w:rPr>
      <w:rFonts w:ascii="Arial" w:hAnsi="Arial" w:cs="Arial"/>
      <w:color w:val="000000"/>
      <w:sz w:val="24"/>
      <w:szCs w:val="24"/>
    </w:rPr>
  </w:style>
  <w:style w:type="character" w:customStyle="1" w:styleId="AERbody">
    <w:name w:val="AER body"/>
    <w:qFormat/>
    <w:rsid w:val="00A6228F"/>
    <w:rPr>
      <w:rFonts w:ascii="Gautami" w:hAnsi="Gautami"/>
      <w:color w:val="auto"/>
      <w:sz w:val="20"/>
    </w:rPr>
  </w:style>
  <w:style w:type="paragraph" w:customStyle="1" w:styleId="AERtabletextleft">
    <w:name w:val="AER table text left"/>
    <w:qFormat/>
    <w:rsid w:val="00A6228F"/>
    <w:pPr>
      <w:spacing w:before="80" w:after="120" w:line="288" w:lineRule="auto"/>
    </w:pPr>
    <w:rPr>
      <w:rFonts w:ascii="Gautami" w:hAnsi="Gautami"/>
      <w:sz w:val="16"/>
      <w:szCs w:val="24"/>
      <w:lang w:eastAsia="en-US"/>
    </w:rPr>
  </w:style>
  <w:style w:type="paragraph" w:customStyle="1" w:styleId="AERbodytext">
    <w:name w:val="AER body text"/>
    <w:link w:val="AERbodytextChar"/>
    <w:qFormat/>
    <w:rsid w:val="00A6228F"/>
    <w:pPr>
      <w:numPr>
        <w:numId w:val="34"/>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A6228F"/>
    <w:pPr>
      <w:numPr>
        <w:ilvl w:val="1"/>
      </w:numPr>
      <w:tabs>
        <w:tab w:val="clear" w:pos="357"/>
        <w:tab w:val="num" w:pos="360"/>
        <w:tab w:val="num" w:pos="1440"/>
      </w:tabs>
      <w:spacing w:after="200"/>
      <w:ind w:left="1440" w:hanging="720"/>
    </w:pPr>
  </w:style>
  <w:style w:type="paragraph" w:customStyle="1" w:styleId="AERnumberedlistsecondstyle">
    <w:name w:val="AER numbered list (second style)"/>
    <w:basedOn w:val="AERnumberedlistfirststyle"/>
    <w:qFormat/>
    <w:rsid w:val="00A6228F"/>
    <w:pPr>
      <w:numPr>
        <w:ilvl w:val="2"/>
      </w:numPr>
      <w:tabs>
        <w:tab w:val="clear" w:pos="720"/>
        <w:tab w:val="num" w:pos="360"/>
        <w:tab w:val="num" w:pos="2160"/>
      </w:tabs>
      <w:ind w:left="2160" w:hanging="720"/>
    </w:pPr>
  </w:style>
  <w:style w:type="paragraph" w:customStyle="1" w:styleId="AERnumberedlistthirdstyle">
    <w:name w:val="AER numbered list (third style)"/>
    <w:basedOn w:val="AERnumberedlistsecondstyle"/>
    <w:qFormat/>
    <w:rsid w:val="00A6228F"/>
    <w:pPr>
      <w:numPr>
        <w:ilvl w:val="3"/>
      </w:numPr>
      <w:tabs>
        <w:tab w:val="clear" w:pos="1077"/>
        <w:tab w:val="num" w:pos="360"/>
        <w:tab w:val="num" w:pos="2880"/>
      </w:tabs>
      <w:ind w:left="2880" w:hanging="720"/>
    </w:pPr>
  </w:style>
  <w:style w:type="numbering" w:customStyle="1" w:styleId="AERnumberedlist">
    <w:name w:val="AER numbered list"/>
    <w:uiPriority w:val="99"/>
    <w:rsid w:val="00A6228F"/>
    <w:pPr>
      <w:numPr>
        <w:numId w:val="33"/>
      </w:numPr>
    </w:pPr>
  </w:style>
  <w:style w:type="paragraph" w:customStyle="1" w:styleId="AERnumberedlist2first">
    <w:name w:val="AER numbered list 2 first"/>
    <w:basedOn w:val="AERbodytext"/>
    <w:qFormat/>
    <w:rsid w:val="00A6228F"/>
    <w:pPr>
      <w:numPr>
        <w:ilvl w:val="4"/>
      </w:numPr>
      <w:tabs>
        <w:tab w:val="clear" w:pos="357"/>
        <w:tab w:val="num" w:pos="360"/>
        <w:tab w:val="num" w:pos="3600"/>
      </w:tabs>
      <w:ind w:left="3600" w:hanging="720"/>
    </w:pPr>
  </w:style>
  <w:style w:type="paragraph" w:customStyle="1" w:styleId="AERnumberedlist2second">
    <w:name w:val="AER numbered list 2 second"/>
    <w:basedOn w:val="AERnumberedlist2first"/>
    <w:qFormat/>
    <w:rsid w:val="00A6228F"/>
    <w:pPr>
      <w:numPr>
        <w:ilvl w:val="5"/>
      </w:numPr>
      <w:tabs>
        <w:tab w:val="clear" w:pos="720"/>
        <w:tab w:val="num" w:pos="360"/>
        <w:tab w:val="num" w:pos="4320"/>
      </w:tabs>
      <w:ind w:left="4320" w:hanging="720"/>
    </w:pPr>
  </w:style>
  <w:style w:type="paragraph" w:customStyle="1" w:styleId="AERnumberedlist2third">
    <w:name w:val="AER numbered list 2 third"/>
    <w:basedOn w:val="AERnumberedlist2second"/>
    <w:qFormat/>
    <w:rsid w:val="00A6228F"/>
    <w:pPr>
      <w:numPr>
        <w:ilvl w:val="6"/>
      </w:numPr>
      <w:tabs>
        <w:tab w:val="clear" w:pos="1077"/>
        <w:tab w:val="num" w:pos="360"/>
        <w:tab w:val="num" w:pos="5040"/>
      </w:tabs>
      <w:ind w:left="5040" w:hanging="720"/>
    </w:pPr>
  </w:style>
  <w:style w:type="character" w:customStyle="1" w:styleId="AERbodytextChar">
    <w:name w:val="AER body text Char"/>
    <w:link w:val="AERbodytext"/>
    <w:rsid w:val="00A6228F"/>
    <w:rPr>
      <w:rFonts w:ascii="Gautami" w:hAnsi="Gautami"/>
      <w:szCs w:val="24"/>
      <w:lang w:eastAsia="en-US"/>
    </w:rPr>
  </w:style>
  <w:style w:type="paragraph" w:customStyle="1" w:styleId="TableText">
    <w:name w:val="Table Text"/>
    <w:basedOn w:val="TableHeading"/>
    <w:qFormat/>
    <w:rsid w:val="00887A27"/>
    <w:rPr>
      <w:color w:val="333333"/>
      <w:sz w:val="18"/>
    </w:rPr>
  </w:style>
  <w:style w:type="paragraph" w:customStyle="1" w:styleId="TableHeading">
    <w:name w:val="Table Heading"/>
    <w:basedOn w:val="Normal"/>
    <w:qFormat/>
    <w:rsid w:val="00887A27"/>
    <w:pPr>
      <w:overflowPunct/>
      <w:autoSpaceDE/>
      <w:autoSpaceDN/>
      <w:snapToGrid w:val="0"/>
      <w:spacing w:before="50" w:after="50" w:line="240" w:lineRule="atLeast"/>
      <w:jc w:val="left"/>
      <w:textAlignment w:val="auto"/>
    </w:pPr>
    <w:rPr>
      <w:rFonts w:asciiTheme="minorHAnsi" w:eastAsia="SimSun" w:hAnsiTheme="minorHAnsi" w:cstheme="minorHAnsi"/>
      <w:color w:val="FFFFFF"/>
      <w:kern w:val="20"/>
      <w:sz w:val="21"/>
      <w:szCs w:val="24"/>
      <w:lang w:val="en-AU" w:eastAsia="zh-CN"/>
    </w:rPr>
  </w:style>
  <w:style w:type="paragraph" w:customStyle="1" w:styleId="para0bullet">
    <w:name w:val="para0bullet"/>
    <w:basedOn w:val="Normal"/>
    <w:rsid w:val="00F877FA"/>
    <w:pPr>
      <w:numPr>
        <w:numId w:val="36"/>
      </w:numPr>
      <w:overflowPunct/>
      <w:autoSpaceDE/>
      <w:autoSpaceDN/>
      <w:adjustRightInd/>
      <w:spacing w:after="60" w:line="240" w:lineRule="auto"/>
      <w:jc w:val="left"/>
      <w:textAlignment w:val="auto"/>
    </w:pPr>
    <w:rPr>
      <w:color w:val="000000"/>
      <w:szCs w:val="22"/>
      <w:lang w:val="en-AU" w:eastAsia="en-AU"/>
    </w:rPr>
  </w:style>
  <w:style w:type="paragraph" w:customStyle="1" w:styleId="TableCaption">
    <w:name w:val="Table Caption"/>
    <w:basedOn w:val="Normal"/>
    <w:next w:val="Normal"/>
    <w:rsid w:val="00515615"/>
    <w:pPr>
      <w:keepNext/>
      <w:overflowPunct/>
      <w:autoSpaceDE/>
      <w:autoSpaceDN/>
      <w:adjustRightInd/>
      <w:spacing w:before="240" w:after="113" w:line="240" w:lineRule="atLeast"/>
      <w:ind w:left="1134" w:hanging="1134"/>
      <w:contextualSpacing/>
      <w:jc w:val="left"/>
      <w:textAlignment w:val="auto"/>
    </w:pPr>
    <w:rPr>
      <w:rFonts w:asciiTheme="minorHAnsi" w:hAnsiTheme="minorHAnsi"/>
      <w:b/>
      <w:bCs/>
      <w:color w:val="666666"/>
      <w:spacing w:val="-3"/>
      <w:sz w:val="18"/>
      <w:szCs w:val="16"/>
      <w:lang w:val="en-AU" w:eastAsia="en-AU"/>
    </w:rPr>
  </w:style>
  <w:style w:type="paragraph" w:customStyle="1" w:styleId="Source">
    <w:name w:val="Source"/>
    <w:next w:val="Normal"/>
    <w:link w:val="SourceChar"/>
    <w:qFormat/>
    <w:rsid w:val="0071740C"/>
    <w:pPr>
      <w:numPr>
        <w:numId w:val="37"/>
      </w:numPr>
      <w:spacing w:before="43" w:after="110" w:line="200" w:lineRule="atLeast"/>
      <w:contextualSpacing/>
    </w:pPr>
    <w:rPr>
      <w:rFonts w:asciiTheme="minorHAnsi" w:hAnsiTheme="minorHAnsi" w:cstheme="minorHAnsi"/>
      <w:color w:val="1F497D" w:themeColor="text2"/>
      <w:spacing w:val="-3"/>
      <w:sz w:val="16"/>
      <w:szCs w:val="14"/>
    </w:rPr>
  </w:style>
  <w:style w:type="character" w:customStyle="1" w:styleId="SourceChar">
    <w:name w:val="Source Char"/>
    <w:basedOn w:val="DefaultParagraphFont"/>
    <w:link w:val="Source"/>
    <w:rsid w:val="0071740C"/>
    <w:rPr>
      <w:rFonts w:asciiTheme="minorHAnsi" w:hAnsiTheme="minorHAnsi" w:cstheme="minorHAnsi"/>
      <w:color w:val="1F497D" w:themeColor="text2"/>
      <w:spacing w:val="-3"/>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uiPriority="1" w:qFormat="1"/>
    <w:lsdException w:name="heading 9" w:uiPriority="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uiPriority w:val="1"/>
    <w:qFormat/>
    <w:pPr>
      <w:numPr>
        <w:ilvl w:val="6"/>
        <w:numId w:val="3"/>
      </w:numPr>
      <w:outlineLvl w:val="6"/>
    </w:pPr>
  </w:style>
  <w:style w:type="paragraph" w:styleId="Heading8">
    <w:name w:val="heading 8"/>
    <w:basedOn w:val="HouseStyleBase"/>
    <w:uiPriority w:val="1"/>
    <w:qFormat/>
    <w:pPr>
      <w:numPr>
        <w:ilvl w:val="7"/>
        <w:numId w:val="3"/>
      </w:numPr>
      <w:outlineLvl w:val="7"/>
    </w:pPr>
  </w:style>
  <w:style w:type="paragraph" w:styleId="Heading9">
    <w:name w:val="heading 9"/>
    <w:basedOn w:val="HouseStyleBaseCentred"/>
    <w:uiPriority w:val="1"/>
    <w:qFormat/>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SchSection">
    <w:name w:val="SchSection"/>
    <w:basedOn w:val="HouseStyleBaseCentred"/>
    <w:next w:val="MarginText"/>
    <w:pPr>
      <w:keepNext/>
      <w:numPr>
        <w:ilvl w:val="2"/>
        <w:numId w:val="4"/>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Centred"/>
    <w:pPr>
      <w:numPr>
        <w:ilvl w:val="1"/>
        <w:numId w:val="8"/>
      </w:numPr>
      <w:jc w:val="both"/>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pPr>
      <w:keepNext/>
      <w:numPr>
        <w:ilvl w:val="1"/>
        <w:numId w:val="4"/>
      </w:numPr>
      <w:jc w:val="center"/>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keepNext/>
      <w:numPr>
        <w:numId w:val="13"/>
      </w:numPr>
      <w:jc w:val="center"/>
      <w:outlineLvl w:val="0"/>
    </w:pPr>
    <w:rPr>
      <w:b/>
      <w:caps/>
    </w:rPr>
  </w:style>
  <w:style w:type="paragraph" w:customStyle="1" w:styleId="AppPart">
    <w:name w:val="AppPart"/>
    <w:basedOn w:val="HouseStyleBaseCentred"/>
    <w:pPr>
      <w:keepNext/>
      <w:pageBreakBefore/>
      <w:numPr>
        <w:ilvl w:val="1"/>
        <w:numId w:val="13"/>
      </w:numPr>
      <w:jc w:val="center"/>
      <w:outlineLvl w:val="1"/>
    </w:pPr>
    <w:rPr>
      <w:b/>
    </w:rPr>
  </w:style>
  <w:style w:type="paragraph" w:customStyle="1" w:styleId="RecitalNumbering">
    <w:name w:val="Recital Numbering"/>
    <w:basedOn w:val="HouseStyleBase"/>
    <w:pPr>
      <w:numPr>
        <w:numId w:val="29"/>
      </w:numPr>
      <w:outlineLvl w:val="0"/>
    </w:pPr>
  </w:style>
  <w:style w:type="paragraph" w:customStyle="1" w:styleId="RecitalNumbering2">
    <w:name w:val="Recital Numbering 2"/>
    <w:basedOn w:val="HouseStyleBase"/>
    <w:pPr>
      <w:numPr>
        <w:ilvl w:val="1"/>
        <w:numId w:val="29"/>
      </w:numPr>
      <w:outlineLvl w:val="1"/>
    </w:pPr>
  </w:style>
  <w:style w:type="paragraph" w:customStyle="1" w:styleId="DefinitionNumbering1">
    <w:name w:val="Definition Numbering 1"/>
    <w:basedOn w:val="HouseStyleBase"/>
    <w:pPr>
      <w:numPr>
        <w:numId w:val="6"/>
      </w:numPr>
      <w:outlineLvl w:val="1"/>
    </w:pPr>
  </w:style>
  <w:style w:type="paragraph" w:customStyle="1" w:styleId="DefinitionNumbering2">
    <w:name w:val="Definition Numbering 2"/>
    <w:basedOn w:val="HouseStyleBase"/>
    <w:pPr>
      <w:numPr>
        <w:ilvl w:val="1"/>
        <w:numId w:val="6"/>
      </w:numPr>
      <w:outlineLvl w:val="1"/>
    </w:pPr>
  </w:style>
  <w:style w:type="paragraph" w:customStyle="1" w:styleId="DefinitionNumbering3">
    <w:name w:val="Definition Numbering 3"/>
    <w:basedOn w:val="HouseStyleBase"/>
    <w:pPr>
      <w:numPr>
        <w:ilvl w:val="2"/>
        <w:numId w:val="6"/>
      </w:numPr>
      <w:outlineLvl w:val="1"/>
    </w:pPr>
  </w:style>
  <w:style w:type="paragraph" w:customStyle="1" w:styleId="DefinitionNumbering4">
    <w:name w:val="Definition Numbering 4"/>
    <w:basedOn w:val="HouseStyleBase"/>
    <w:pPr>
      <w:numPr>
        <w:ilvl w:val="3"/>
        <w:numId w:val="6"/>
      </w:numPr>
      <w:outlineLvl w:val="1"/>
    </w:pPr>
  </w:style>
  <w:style w:type="paragraph" w:customStyle="1" w:styleId="DefinitionNumbering5">
    <w:name w:val="Definition Numbering 5"/>
    <w:basedOn w:val="HouseStyleBase"/>
    <w:pPr>
      <w:numPr>
        <w:ilvl w:val="4"/>
        <w:numId w:val="6"/>
      </w:numPr>
      <w:outlineLvl w:val="1"/>
    </w:pPr>
  </w:style>
  <w:style w:type="paragraph" w:customStyle="1" w:styleId="DefinitionNumbering6">
    <w:name w:val="Definition Numbering 6"/>
    <w:basedOn w:val="HouseStyleBase"/>
    <w:pPr>
      <w:numPr>
        <w:ilvl w:val="5"/>
        <w:numId w:val="6"/>
      </w:numPr>
      <w:outlineLvl w:val="1"/>
    </w:pPr>
  </w:style>
  <w:style w:type="paragraph" w:customStyle="1" w:styleId="DefinitionNumbering7">
    <w:name w:val="Definition Numbering 7"/>
    <w:basedOn w:val="HouseStyleBase"/>
    <w:pPr>
      <w:numPr>
        <w:ilvl w:val="6"/>
        <w:numId w:val="6"/>
      </w:numPr>
      <w:outlineLvl w:val="1"/>
    </w:pPr>
  </w:style>
  <w:style w:type="paragraph" w:customStyle="1" w:styleId="DefinitionNumbering8">
    <w:name w:val="Definition Numbering 8"/>
    <w:basedOn w:val="HouseStyleBase"/>
    <w:pPr>
      <w:numPr>
        <w:ilvl w:val="7"/>
        <w:numId w:val="10"/>
      </w:numPr>
      <w:outlineLvl w:val="7"/>
    </w:pPr>
  </w:style>
  <w:style w:type="paragraph" w:customStyle="1" w:styleId="DefinitionNumbering9">
    <w:name w:val="Definition Numbering 9"/>
    <w:basedOn w:val="HouseStyleBase"/>
    <w:pPr>
      <w:numPr>
        <w:ilvl w:val="8"/>
        <w:numId w:val="10"/>
      </w:numPr>
      <w:outlineLvl w:val="8"/>
    </w:pPr>
  </w:style>
  <w:style w:type="paragraph" w:customStyle="1" w:styleId="RecitalNumbering3">
    <w:name w:val="Recital Numbering 3"/>
    <w:basedOn w:val="HouseStyleBase"/>
    <w:pPr>
      <w:numPr>
        <w:ilvl w:val="2"/>
        <w:numId w:val="9"/>
      </w:numPr>
      <w:overflowPunct w:val="0"/>
      <w:autoSpaceDE w:val="0"/>
      <w:autoSpaceDN w:val="0"/>
      <w:textAlignment w:val="baseline"/>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Centred"/>
    <w:pPr>
      <w:numPr>
        <w:numId w:val="8"/>
      </w:numPr>
      <w:jc w:val="both"/>
    </w:pPr>
  </w:style>
  <w:style w:type="paragraph" w:styleId="ListBullet3">
    <w:name w:val="List Bullet 3"/>
    <w:basedOn w:val="HouseStyleBaseCentred"/>
    <w:pPr>
      <w:numPr>
        <w:ilvl w:val="2"/>
        <w:numId w:val="8"/>
      </w:numPr>
      <w:jc w:val="both"/>
    </w:pPr>
  </w:style>
  <w:style w:type="paragraph" w:styleId="ListBullet4">
    <w:name w:val="List Bullet 4"/>
    <w:basedOn w:val="HouseStyleBaseCentred"/>
    <w:pPr>
      <w:numPr>
        <w:ilvl w:val="3"/>
        <w:numId w:val="8"/>
      </w:numPr>
      <w:jc w:val="both"/>
    </w:pPr>
  </w:style>
  <w:style w:type="paragraph" w:styleId="ListBullet5">
    <w:name w:val="List Bullet 5"/>
    <w:basedOn w:val="HouseStyleBaseCentred"/>
    <w:pPr>
      <w:numPr>
        <w:ilvl w:val="4"/>
        <w:numId w:val="8"/>
      </w:numPr>
      <w:jc w:val="both"/>
    </w:pPr>
  </w:style>
  <w:style w:type="paragraph" w:customStyle="1" w:styleId="ListBullet6">
    <w:name w:val="List Bullet 6"/>
    <w:basedOn w:val="HouseStyleBaseCentred"/>
    <w:pPr>
      <w:numPr>
        <w:ilvl w:val="5"/>
        <w:numId w:val="8"/>
      </w:numPr>
      <w:jc w:val="both"/>
    </w:pPr>
  </w:style>
  <w:style w:type="paragraph" w:customStyle="1" w:styleId="ListBullet7">
    <w:name w:val="List Bullet 7"/>
    <w:basedOn w:val="HouseStyleBaseCentred"/>
    <w:pPr>
      <w:numPr>
        <w:ilvl w:val="6"/>
        <w:numId w:val="8"/>
      </w:numPr>
      <w:jc w:val="both"/>
    </w:pPr>
  </w:style>
  <w:style w:type="paragraph" w:customStyle="1" w:styleId="ListBullet8">
    <w:name w:val="List Bullet 8"/>
    <w:basedOn w:val="HouseStyleBaseCentred"/>
    <w:pPr>
      <w:numPr>
        <w:ilvl w:val="7"/>
        <w:numId w:val="8"/>
      </w:numPr>
      <w:jc w:val="both"/>
    </w:pPr>
  </w:style>
  <w:style w:type="paragraph" w:customStyle="1" w:styleId="ListBullet9">
    <w:name w:val="List Bullet 9"/>
    <w:basedOn w:val="HouseStyleBaseCentred"/>
    <w:pPr>
      <w:numPr>
        <w:ilvl w:val="8"/>
        <w:numId w:val="8"/>
      </w:numPr>
      <w:jc w:val="both"/>
    </w:pPr>
  </w:style>
  <w:style w:type="paragraph" w:customStyle="1" w:styleId="ScheduleL1">
    <w:name w:val="Schedule L1"/>
    <w:basedOn w:val="HouseStyleBase"/>
    <w:next w:val="ScheduleL2A"/>
    <w:pPr>
      <w:numPr>
        <w:numId w:val="7"/>
      </w:numPr>
      <w:outlineLvl w:val="1"/>
    </w:pPr>
    <w:rPr>
      <w:b/>
      <w:caps/>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outlineLvl w:val="8"/>
    </w:p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eastAsia="STZhongsong"/>
      <w:b/>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link w:val="BodyTextIndent"/>
    <w:rPr>
      <w:rFonts w:eastAsia="STZhongsong"/>
      <w:sz w:val="22"/>
      <w:lang w:val="en-GB" w:eastAsia="zh-CN"/>
    </w:rPr>
  </w:style>
  <w:style w:type="character" w:customStyle="1" w:styleId="BodyTextFirstIndent2Char">
    <w:name w:val="Body Text First Indent 2 Char"/>
    <w:link w:val="BodyTextFirstIndent2"/>
    <w:rPr>
      <w:rFonts w:eastAsia="STZhongsong"/>
      <w:sz w:val="22"/>
      <w:lang w:val="en-GB" w:eastAsia="en-US"/>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8"/>
      </w:numPr>
      <w:outlineLvl w:val="0"/>
    </w:pPr>
  </w:style>
  <w:style w:type="character" w:customStyle="1" w:styleId="Generallevel1Char">
    <w:name w:val="General level 1 Char"/>
    <w:basedOn w:val="MarginText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8"/>
      </w:numPr>
      <w:outlineLvl w:val="1"/>
    </w:pPr>
  </w:style>
  <w:style w:type="character" w:customStyle="1" w:styleId="Generallevel2Char">
    <w:name w:val="General level 2 Char"/>
    <w:basedOn w:val="MarginText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8"/>
      </w:numPr>
      <w:outlineLvl w:val="2"/>
    </w:pPr>
  </w:style>
  <w:style w:type="character" w:customStyle="1" w:styleId="Generallevel3Char">
    <w:name w:val="General level 3 Char"/>
    <w:basedOn w:val="MarginText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8"/>
      </w:numPr>
      <w:outlineLvl w:val="3"/>
    </w:pPr>
  </w:style>
  <w:style w:type="character" w:customStyle="1" w:styleId="Generallevel4Char">
    <w:name w:val="General level 4 Char"/>
    <w:basedOn w:val="MarginText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8"/>
      </w:numPr>
      <w:outlineLvl w:val="4"/>
    </w:pPr>
  </w:style>
  <w:style w:type="character" w:customStyle="1" w:styleId="Generallevel5Char">
    <w:name w:val="General level 5 Char"/>
    <w:basedOn w:val="MarginText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8"/>
      </w:numPr>
      <w:outlineLvl w:val="5"/>
    </w:pPr>
  </w:style>
  <w:style w:type="character" w:customStyle="1" w:styleId="Generallevel6Char">
    <w:name w:val="General level 6 Char"/>
    <w:basedOn w:val="MarginTextChar"/>
    <w:link w:val="Generallevel6"/>
    <w:rPr>
      <w:rFonts w:eastAsia="STZhongsong"/>
      <w:sz w:val="22"/>
      <w:lang w:eastAsia="zh-CN"/>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3"/>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Cs/>
      <w:caps w:val="0"/>
      <w:kern w:val="32"/>
      <w:sz w:val="32"/>
      <w:szCs w:val="32"/>
      <w:lang w:eastAsia="en-US"/>
    </w:rPr>
  </w:style>
  <w:style w:type="character" w:customStyle="1" w:styleId="HeaderChar">
    <w:name w:val="Header Char"/>
    <w:basedOn w:val="DefaultParagraphFont"/>
    <w:link w:val="Header"/>
    <w:uiPriority w:val="99"/>
    <w:rsid w:val="005F1795"/>
    <w:rPr>
      <w:sz w:val="22"/>
      <w:lang w:val="en-GB" w:eastAsia="en-US"/>
    </w:rPr>
  </w:style>
  <w:style w:type="paragraph" w:customStyle="1" w:styleId="Default">
    <w:name w:val="Default"/>
    <w:rsid w:val="00567942"/>
    <w:pPr>
      <w:autoSpaceDE w:val="0"/>
      <w:autoSpaceDN w:val="0"/>
      <w:adjustRightInd w:val="0"/>
    </w:pPr>
    <w:rPr>
      <w:rFonts w:ascii="Arial" w:hAnsi="Arial" w:cs="Arial"/>
      <w:color w:val="000000"/>
      <w:sz w:val="24"/>
      <w:szCs w:val="24"/>
    </w:rPr>
  </w:style>
  <w:style w:type="character" w:customStyle="1" w:styleId="AERbody">
    <w:name w:val="AER body"/>
    <w:qFormat/>
    <w:rsid w:val="00A6228F"/>
    <w:rPr>
      <w:rFonts w:ascii="Gautami" w:hAnsi="Gautami"/>
      <w:color w:val="auto"/>
      <w:sz w:val="20"/>
    </w:rPr>
  </w:style>
  <w:style w:type="paragraph" w:customStyle="1" w:styleId="AERtabletextleft">
    <w:name w:val="AER table text left"/>
    <w:qFormat/>
    <w:rsid w:val="00A6228F"/>
    <w:pPr>
      <w:spacing w:before="80" w:after="120" w:line="288" w:lineRule="auto"/>
    </w:pPr>
    <w:rPr>
      <w:rFonts w:ascii="Gautami" w:hAnsi="Gautami"/>
      <w:sz w:val="16"/>
      <w:szCs w:val="24"/>
      <w:lang w:eastAsia="en-US"/>
    </w:rPr>
  </w:style>
  <w:style w:type="paragraph" w:customStyle="1" w:styleId="AERbodytext">
    <w:name w:val="AER body text"/>
    <w:link w:val="AERbodytextChar"/>
    <w:qFormat/>
    <w:rsid w:val="00A6228F"/>
    <w:pPr>
      <w:numPr>
        <w:numId w:val="34"/>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A6228F"/>
    <w:pPr>
      <w:numPr>
        <w:ilvl w:val="1"/>
      </w:numPr>
      <w:tabs>
        <w:tab w:val="clear" w:pos="357"/>
        <w:tab w:val="num" w:pos="360"/>
        <w:tab w:val="num" w:pos="1440"/>
      </w:tabs>
      <w:spacing w:after="200"/>
      <w:ind w:left="1440" w:hanging="720"/>
    </w:pPr>
  </w:style>
  <w:style w:type="paragraph" w:customStyle="1" w:styleId="AERnumberedlistsecondstyle">
    <w:name w:val="AER numbered list (second style)"/>
    <w:basedOn w:val="AERnumberedlistfirststyle"/>
    <w:qFormat/>
    <w:rsid w:val="00A6228F"/>
    <w:pPr>
      <w:numPr>
        <w:ilvl w:val="2"/>
      </w:numPr>
      <w:tabs>
        <w:tab w:val="clear" w:pos="720"/>
        <w:tab w:val="num" w:pos="360"/>
        <w:tab w:val="num" w:pos="2160"/>
      </w:tabs>
      <w:ind w:left="2160" w:hanging="720"/>
    </w:pPr>
  </w:style>
  <w:style w:type="paragraph" w:customStyle="1" w:styleId="AERnumberedlistthirdstyle">
    <w:name w:val="AER numbered list (third style)"/>
    <w:basedOn w:val="AERnumberedlistsecondstyle"/>
    <w:qFormat/>
    <w:rsid w:val="00A6228F"/>
    <w:pPr>
      <w:numPr>
        <w:ilvl w:val="3"/>
      </w:numPr>
      <w:tabs>
        <w:tab w:val="clear" w:pos="1077"/>
        <w:tab w:val="num" w:pos="360"/>
        <w:tab w:val="num" w:pos="2880"/>
      </w:tabs>
      <w:ind w:left="2880" w:hanging="720"/>
    </w:pPr>
  </w:style>
  <w:style w:type="numbering" w:customStyle="1" w:styleId="AERnumberedlist">
    <w:name w:val="AER numbered list"/>
    <w:uiPriority w:val="99"/>
    <w:rsid w:val="00A6228F"/>
    <w:pPr>
      <w:numPr>
        <w:numId w:val="33"/>
      </w:numPr>
    </w:pPr>
  </w:style>
  <w:style w:type="paragraph" w:customStyle="1" w:styleId="AERnumberedlist2first">
    <w:name w:val="AER numbered list 2 first"/>
    <w:basedOn w:val="AERbodytext"/>
    <w:qFormat/>
    <w:rsid w:val="00A6228F"/>
    <w:pPr>
      <w:numPr>
        <w:ilvl w:val="4"/>
      </w:numPr>
      <w:tabs>
        <w:tab w:val="clear" w:pos="357"/>
        <w:tab w:val="num" w:pos="360"/>
        <w:tab w:val="num" w:pos="3600"/>
      </w:tabs>
      <w:ind w:left="3600" w:hanging="720"/>
    </w:pPr>
  </w:style>
  <w:style w:type="paragraph" w:customStyle="1" w:styleId="AERnumberedlist2second">
    <w:name w:val="AER numbered list 2 second"/>
    <w:basedOn w:val="AERnumberedlist2first"/>
    <w:qFormat/>
    <w:rsid w:val="00A6228F"/>
    <w:pPr>
      <w:numPr>
        <w:ilvl w:val="5"/>
      </w:numPr>
      <w:tabs>
        <w:tab w:val="clear" w:pos="720"/>
        <w:tab w:val="num" w:pos="360"/>
        <w:tab w:val="num" w:pos="4320"/>
      </w:tabs>
      <w:ind w:left="4320" w:hanging="720"/>
    </w:pPr>
  </w:style>
  <w:style w:type="paragraph" w:customStyle="1" w:styleId="AERnumberedlist2third">
    <w:name w:val="AER numbered list 2 third"/>
    <w:basedOn w:val="AERnumberedlist2second"/>
    <w:qFormat/>
    <w:rsid w:val="00A6228F"/>
    <w:pPr>
      <w:numPr>
        <w:ilvl w:val="6"/>
      </w:numPr>
      <w:tabs>
        <w:tab w:val="clear" w:pos="1077"/>
        <w:tab w:val="num" w:pos="360"/>
        <w:tab w:val="num" w:pos="5040"/>
      </w:tabs>
      <w:ind w:left="5040" w:hanging="720"/>
    </w:pPr>
  </w:style>
  <w:style w:type="character" w:customStyle="1" w:styleId="AERbodytextChar">
    <w:name w:val="AER body text Char"/>
    <w:link w:val="AERbodytext"/>
    <w:rsid w:val="00A6228F"/>
    <w:rPr>
      <w:rFonts w:ascii="Gautami" w:hAnsi="Gautami"/>
      <w:szCs w:val="24"/>
      <w:lang w:eastAsia="en-US"/>
    </w:rPr>
  </w:style>
  <w:style w:type="paragraph" w:customStyle="1" w:styleId="TableText">
    <w:name w:val="Table Text"/>
    <w:basedOn w:val="TableHeading"/>
    <w:qFormat/>
    <w:rsid w:val="00887A27"/>
    <w:rPr>
      <w:color w:val="333333"/>
      <w:sz w:val="18"/>
    </w:rPr>
  </w:style>
  <w:style w:type="paragraph" w:customStyle="1" w:styleId="TableHeading">
    <w:name w:val="Table Heading"/>
    <w:basedOn w:val="Normal"/>
    <w:qFormat/>
    <w:rsid w:val="00887A27"/>
    <w:pPr>
      <w:overflowPunct/>
      <w:autoSpaceDE/>
      <w:autoSpaceDN/>
      <w:snapToGrid w:val="0"/>
      <w:spacing w:before="50" w:after="50" w:line="240" w:lineRule="atLeast"/>
      <w:jc w:val="left"/>
      <w:textAlignment w:val="auto"/>
    </w:pPr>
    <w:rPr>
      <w:rFonts w:asciiTheme="minorHAnsi" w:eastAsia="SimSun" w:hAnsiTheme="minorHAnsi" w:cstheme="minorHAnsi"/>
      <w:color w:val="FFFFFF"/>
      <w:kern w:val="20"/>
      <w:sz w:val="21"/>
      <w:szCs w:val="24"/>
      <w:lang w:val="en-AU" w:eastAsia="zh-CN"/>
    </w:rPr>
  </w:style>
  <w:style w:type="paragraph" w:customStyle="1" w:styleId="para0bullet">
    <w:name w:val="para0bullet"/>
    <w:basedOn w:val="Normal"/>
    <w:rsid w:val="00F877FA"/>
    <w:pPr>
      <w:numPr>
        <w:numId w:val="36"/>
      </w:numPr>
      <w:overflowPunct/>
      <w:autoSpaceDE/>
      <w:autoSpaceDN/>
      <w:adjustRightInd/>
      <w:spacing w:after="60" w:line="240" w:lineRule="auto"/>
      <w:jc w:val="left"/>
      <w:textAlignment w:val="auto"/>
    </w:pPr>
    <w:rPr>
      <w:color w:val="000000"/>
      <w:szCs w:val="22"/>
      <w:lang w:val="en-AU" w:eastAsia="en-AU"/>
    </w:rPr>
  </w:style>
  <w:style w:type="paragraph" w:customStyle="1" w:styleId="TableCaption">
    <w:name w:val="Table Caption"/>
    <w:basedOn w:val="Normal"/>
    <w:next w:val="Normal"/>
    <w:rsid w:val="00515615"/>
    <w:pPr>
      <w:keepNext/>
      <w:overflowPunct/>
      <w:autoSpaceDE/>
      <w:autoSpaceDN/>
      <w:adjustRightInd/>
      <w:spacing w:before="240" w:after="113" w:line="240" w:lineRule="atLeast"/>
      <w:ind w:left="1134" w:hanging="1134"/>
      <w:contextualSpacing/>
      <w:jc w:val="left"/>
      <w:textAlignment w:val="auto"/>
    </w:pPr>
    <w:rPr>
      <w:rFonts w:asciiTheme="minorHAnsi" w:hAnsiTheme="minorHAnsi"/>
      <w:b/>
      <w:bCs/>
      <w:color w:val="666666"/>
      <w:spacing w:val="-3"/>
      <w:sz w:val="18"/>
      <w:szCs w:val="16"/>
      <w:lang w:val="en-AU" w:eastAsia="en-AU"/>
    </w:rPr>
  </w:style>
  <w:style w:type="paragraph" w:customStyle="1" w:styleId="Source">
    <w:name w:val="Source"/>
    <w:next w:val="Normal"/>
    <w:link w:val="SourceChar"/>
    <w:qFormat/>
    <w:rsid w:val="0071740C"/>
    <w:pPr>
      <w:numPr>
        <w:numId w:val="37"/>
      </w:numPr>
      <w:spacing w:before="43" w:after="110" w:line="200" w:lineRule="atLeast"/>
      <w:contextualSpacing/>
    </w:pPr>
    <w:rPr>
      <w:rFonts w:asciiTheme="minorHAnsi" w:hAnsiTheme="minorHAnsi" w:cstheme="minorHAnsi"/>
      <w:color w:val="1F497D" w:themeColor="text2"/>
      <w:spacing w:val="-3"/>
      <w:sz w:val="16"/>
      <w:szCs w:val="14"/>
    </w:rPr>
  </w:style>
  <w:style w:type="character" w:customStyle="1" w:styleId="SourceChar">
    <w:name w:val="Source Char"/>
    <w:basedOn w:val="DefaultParagraphFont"/>
    <w:link w:val="Source"/>
    <w:rsid w:val="0071740C"/>
    <w:rPr>
      <w:rFonts w:asciiTheme="minorHAnsi" w:hAnsiTheme="minorHAnsi" w:cstheme="minorHAnsi"/>
      <w:color w:val="1F497D" w:themeColor="text2"/>
      <w:spacing w:val="-3"/>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4134">
      <w:bodyDiv w:val="1"/>
      <w:marLeft w:val="0"/>
      <w:marRight w:val="0"/>
      <w:marTop w:val="0"/>
      <w:marBottom w:val="0"/>
      <w:divBdr>
        <w:top w:val="none" w:sz="0" w:space="0" w:color="auto"/>
        <w:left w:val="none" w:sz="0" w:space="0" w:color="auto"/>
        <w:bottom w:val="none" w:sz="0" w:space="0" w:color="auto"/>
        <w:right w:val="none" w:sz="0" w:space="0" w:color="auto"/>
      </w:divBdr>
      <w:divsChild>
        <w:div w:id="397821841">
          <w:marLeft w:val="446"/>
          <w:marRight w:val="0"/>
          <w:marTop w:val="0"/>
          <w:marBottom w:val="0"/>
          <w:divBdr>
            <w:top w:val="none" w:sz="0" w:space="0" w:color="auto"/>
            <w:left w:val="none" w:sz="0" w:space="0" w:color="auto"/>
            <w:bottom w:val="none" w:sz="0" w:space="0" w:color="auto"/>
            <w:right w:val="none" w:sz="0" w:space="0" w:color="auto"/>
          </w:divBdr>
        </w:div>
        <w:div w:id="1215041424">
          <w:marLeft w:val="446"/>
          <w:marRight w:val="0"/>
          <w:marTop w:val="0"/>
          <w:marBottom w:val="0"/>
          <w:divBdr>
            <w:top w:val="none" w:sz="0" w:space="0" w:color="auto"/>
            <w:left w:val="none" w:sz="0" w:space="0" w:color="auto"/>
            <w:bottom w:val="none" w:sz="0" w:space="0" w:color="auto"/>
            <w:right w:val="none" w:sz="0" w:space="0" w:color="auto"/>
          </w:divBdr>
        </w:div>
        <w:div w:id="474220953">
          <w:marLeft w:val="446"/>
          <w:marRight w:val="0"/>
          <w:marTop w:val="0"/>
          <w:marBottom w:val="0"/>
          <w:divBdr>
            <w:top w:val="none" w:sz="0" w:space="0" w:color="auto"/>
            <w:left w:val="none" w:sz="0" w:space="0" w:color="auto"/>
            <w:bottom w:val="none" w:sz="0" w:space="0" w:color="auto"/>
            <w:right w:val="none" w:sz="0" w:space="0" w:color="auto"/>
          </w:divBdr>
        </w:div>
        <w:div w:id="910040957">
          <w:marLeft w:val="446"/>
          <w:marRight w:val="0"/>
          <w:marTop w:val="0"/>
          <w:marBottom w:val="0"/>
          <w:divBdr>
            <w:top w:val="none" w:sz="0" w:space="0" w:color="auto"/>
            <w:left w:val="none" w:sz="0" w:space="0" w:color="auto"/>
            <w:bottom w:val="none" w:sz="0" w:space="0" w:color="auto"/>
            <w:right w:val="none" w:sz="0" w:space="0" w:color="auto"/>
          </w:divBdr>
        </w:div>
        <w:div w:id="1480732156">
          <w:marLeft w:val="446"/>
          <w:marRight w:val="0"/>
          <w:marTop w:val="0"/>
          <w:marBottom w:val="0"/>
          <w:divBdr>
            <w:top w:val="none" w:sz="0" w:space="0" w:color="auto"/>
            <w:left w:val="none" w:sz="0" w:space="0" w:color="auto"/>
            <w:bottom w:val="none" w:sz="0" w:space="0" w:color="auto"/>
            <w:right w:val="none" w:sz="0" w:space="0" w:color="auto"/>
          </w:divBdr>
        </w:div>
        <w:div w:id="420219996">
          <w:marLeft w:val="446"/>
          <w:marRight w:val="0"/>
          <w:marTop w:val="0"/>
          <w:marBottom w:val="0"/>
          <w:divBdr>
            <w:top w:val="none" w:sz="0" w:space="0" w:color="auto"/>
            <w:left w:val="none" w:sz="0" w:space="0" w:color="auto"/>
            <w:bottom w:val="none" w:sz="0" w:space="0" w:color="auto"/>
            <w:right w:val="none" w:sz="0" w:space="0" w:color="auto"/>
          </w:divBdr>
        </w:div>
        <w:div w:id="1383678648">
          <w:marLeft w:val="446"/>
          <w:marRight w:val="0"/>
          <w:marTop w:val="0"/>
          <w:marBottom w:val="0"/>
          <w:divBdr>
            <w:top w:val="none" w:sz="0" w:space="0" w:color="auto"/>
            <w:left w:val="none" w:sz="0" w:space="0" w:color="auto"/>
            <w:bottom w:val="none" w:sz="0" w:space="0" w:color="auto"/>
            <w:right w:val="none" w:sz="0" w:space="0" w:color="auto"/>
          </w:divBdr>
        </w:div>
        <w:div w:id="1736850145">
          <w:marLeft w:val="446"/>
          <w:marRight w:val="0"/>
          <w:marTop w:val="0"/>
          <w:marBottom w:val="0"/>
          <w:divBdr>
            <w:top w:val="none" w:sz="0" w:space="0" w:color="auto"/>
            <w:left w:val="none" w:sz="0" w:space="0" w:color="auto"/>
            <w:bottom w:val="none" w:sz="0" w:space="0" w:color="auto"/>
            <w:right w:val="none" w:sz="0" w:space="0" w:color="auto"/>
          </w:divBdr>
        </w:div>
        <w:div w:id="1992362304">
          <w:marLeft w:val="446"/>
          <w:marRight w:val="0"/>
          <w:marTop w:val="0"/>
          <w:marBottom w:val="0"/>
          <w:divBdr>
            <w:top w:val="none" w:sz="0" w:space="0" w:color="auto"/>
            <w:left w:val="none" w:sz="0" w:space="0" w:color="auto"/>
            <w:bottom w:val="none" w:sz="0" w:space="0" w:color="auto"/>
            <w:right w:val="none" w:sz="0" w:space="0" w:color="auto"/>
          </w:divBdr>
        </w:div>
        <w:div w:id="309022024">
          <w:marLeft w:val="446"/>
          <w:marRight w:val="0"/>
          <w:marTop w:val="0"/>
          <w:marBottom w:val="0"/>
          <w:divBdr>
            <w:top w:val="none" w:sz="0" w:space="0" w:color="auto"/>
            <w:left w:val="none" w:sz="0" w:space="0" w:color="auto"/>
            <w:bottom w:val="none" w:sz="0" w:space="0" w:color="auto"/>
            <w:right w:val="none" w:sz="0" w:space="0" w:color="auto"/>
          </w:divBdr>
        </w:div>
      </w:divsChild>
    </w:div>
    <w:div w:id="1651248055">
      <w:bodyDiv w:val="1"/>
      <w:marLeft w:val="0"/>
      <w:marRight w:val="0"/>
      <w:marTop w:val="0"/>
      <w:marBottom w:val="0"/>
      <w:divBdr>
        <w:top w:val="none" w:sz="0" w:space="0" w:color="auto"/>
        <w:left w:val="none" w:sz="0" w:space="0" w:color="auto"/>
        <w:bottom w:val="none" w:sz="0" w:space="0" w:color="auto"/>
        <w:right w:val="none" w:sz="0" w:space="0" w:color="auto"/>
      </w:divBdr>
    </w:div>
    <w:div w:id="20843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ur.gibbons\AppData\Roaming\plato\data\main\template-files\international-blank-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18D88F0DC94A449196286538D6D1AF" ma:contentTypeVersion="0" ma:contentTypeDescription="Create a new document." ma:contentTypeScope="" ma:versionID="1db0b440ff00bc1b7b87d637716b819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8E261-640C-4B54-A290-E7A8A787811F}">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92F5C-5735-4555-9176-CB74FDB2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5947C3-3F1D-4298-A6E8-997A4DBF3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international-blank-au.dot</Template>
  <TotalTime>0</TotalTime>
  <Pages>13</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CitiPower Confidentiality Claim</vt:lpstr>
    </vt:vector>
  </TitlesOfParts>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CitiPower Confidentiality Claim</dc:title>
  <dc:creator/>
  <cp:lastModifiedBy/>
  <cp:revision>1</cp:revision>
  <dcterms:created xsi:type="dcterms:W3CDTF">2015-04-30T03:17:00Z</dcterms:created>
  <dcterms:modified xsi:type="dcterms:W3CDTF">2015-04-30T03:17:00Z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international-blank-single</vt:lpwstr>
  </property>
  <property fmtid="{D5CDD505-2E9C-101B-9397-08002B2CF9AE}" pid="3" name="Plato Template Version">
    <vt:lpwstr>0.0</vt:lpwstr>
  </property>
  <property fmtid="{D5CDD505-2E9C-101B-9397-08002B2CF9AE}" pid="4" name="Plato Language">
    <vt:lpwstr>en_AU</vt:lpwstr>
  </property>
  <property fmtid="{D5CDD505-2E9C-101B-9397-08002B2CF9AE}" pid="5" name="Plato Office">
    <vt:lpwstr>MELBRN</vt:lpwstr>
  </property>
  <property fmtid="{D5CDD505-2E9C-101B-9397-08002B2CF9AE}" pid="6" name="Plato Jurisdiction">
    <vt:lpwstr>AUS</vt:lpwstr>
  </property>
  <property fmtid="{D5CDD505-2E9C-101B-9397-08002B2CF9AE}" pid="7" name="ContentTypeId">
    <vt:lpwstr>0x010100C318D88F0DC94A449196286538D6D1AF</vt:lpwstr>
  </property>
</Properties>
</file>