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099676627"/>
        <w:docPartObj>
          <w:docPartGallery w:val="Cover Pages"/>
          <w:docPartUnique/>
        </w:docPartObj>
      </w:sdtPr>
      <w:sdtEndPr>
        <w:rPr>
          <w:rFonts w:eastAsiaTheme="majorEastAsia" w:cstheme="majorBidi"/>
          <w:b/>
          <w:noProof/>
          <w:sz w:val="72"/>
          <w:szCs w:val="72"/>
          <w:lang w:eastAsia="en-AU"/>
        </w:rPr>
      </w:sdtEndPr>
      <w:sdtContent>
        <w:p w:rsidR="004B50D4" w:rsidRPr="00DB723B" w:rsidRDefault="004B50D4" w:rsidP="004B50D4">
          <w:r w:rsidRPr="00DB723B">
            <w:rPr>
              <w:noProof/>
              <w:lang w:eastAsia="en-AU"/>
            </w:rPr>
            <w:drawing>
              <wp:anchor distT="0" distB="0" distL="114300" distR="114300" simplePos="0" relativeHeight="251659264" behindDoc="1" locked="0" layoutInCell="1" allowOverlap="1" wp14:anchorId="54889BF8" wp14:editId="17D44ED1">
                <wp:simplePos x="0" y="0"/>
                <wp:positionH relativeFrom="column">
                  <wp:posOffset>-1107440</wp:posOffset>
                </wp:positionH>
                <wp:positionV relativeFrom="paragraph">
                  <wp:posOffset>-928370</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rsidR="004B50D4" w:rsidRPr="00DB723B" w:rsidRDefault="004B50D4" w:rsidP="004B50D4"/>
        <w:p w:rsidR="004B50D4" w:rsidRPr="00DB723B" w:rsidRDefault="004B50D4" w:rsidP="004B50D4"/>
        <w:p w:rsidR="004B50D4" w:rsidRPr="00DB723B" w:rsidRDefault="004B50D4" w:rsidP="004B50D4"/>
        <w:p w:rsidR="004B50D4" w:rsidRPr="00DB723B" w:rsidRDefault="004B50D4" w:rsidP="004B50D4"/>
        <w:p w:rsidR="004B50D4" w:rsidRPr="00DB723B" w:rsidRDefault="004B50D4" w:rsidP="004B50D4"/>
        <w:p w:rsidR="004B50D4" w:rsidRPr="00DB723B" w:rsidRDefault="004B50D4" w:rsidP="004B50D4"/>
        <w:p w:rsidR="004B50D4" w:rsidRPr="00DB723B" w:rsidRDefault="004B50D4" w:rsidP="004B50D4"/>
        <w:p w:rsidR="004B50D4" w:rsidRPr="00DB723B" w:rsidRDefault="004B50D4" w:rsidP="004B50D4"/>
        <w:p w:rsidR="004B50D4" w:rsidRPr="00DB723B" w:rsidRDefault="004B50D4" w:rsidP="004B50D4">
          <w:pPr>
            <w:pStyle w:val="ReportTitle"/>
          </w:pPr>
          <w:r>
            <w:t>Compliance with dispatch instructions</w:t>
          </w:r>
          <w:r w:rsidR="00275B06">
            <w:t>, offers and bids</w:t>
          </w:r>
        </w:p>
        <w:p w:rsidR="004B50D4" w:rsidRPr="00DB723B" w:rsidRDefault="004B50D4" w:rsidP="004B50D4">
          <w:pPr>
            <w:pStyle w:val="ReportSubtitle"/>
          </w:pPr>
          <w:r>
            <w:t>Compliance Bulletin No. 1</w:t>
          </w:r>
        </w:p>
        <w:p w:rsidR="004B50D4" w:rsidRPr="00DB723B" w:rsidRDefault="004855B5" w:rsidP="004B50D4">
          <w:pPr>
            <w:pStyle w:val="ReportDate"/>
          </w:pPr>
          <w:r>
            <w:t xml:space="preserve">July </w:t>
          </w:r>
          <w:r w:rsidR="006B0909">
            <w:t>2016</w:t>
          </w:r>
        </w:p>
        <w:p w:rsidR="004B50D4" w:rsidRPr="00DB723B" w:rsidRDefault="004B50D4" w:rsidP="004B50D4">
          <w:r w:rsidRPr="00DB723B">
            <w:br w:type="page"/>
          </w:r>
        </w:p>
        <w:p w:rsidR="004B50D4" w:rsidRDefault="0051590A" w:rsidP="004B50D4">
          <w:pPr>
            <w:spacing w:line="240" w:lineRule="auto"/>
            <w:rPr>
              <w:rFonts w:eastAsiaTheme="majorEastAsia" w:cstheme="majorBidi"/>
              <w:b/>
              <w:noProof/>
              <w:sz w:val="72"/>
              <w:szCs w:val="72"/>
              <w:lang w:eastAsia="en-AU"/>
            </w:rPr>
          </w:pPr>
        </w:p>
      </w:sdtContent>
    </w:sdt>
    <w:p w:rsidR="004B50D4" w:rsidRDefault="004B50D4" w:rsidP="004B50D4">
      <w:pPr>
        <w:spacing w:line="240" w:lineRule="auto"/>
      </w:pPr>
      <w:r>
        <w:t>© Commonwealth of Australia 201</w:t>
      </w:r>
      <w:r w:rsidR="006B0909">
        <w:t>6</w:t>
      </w:r>
    </w:p>
    <w:p w:rsidR="004B50D4" w:rsidRDefault="004B50D4" w:rsidP="004B50D4">
      <w:pPr>
        <w:pStyle w:val="Copyright"/>
      </w:pPr>
      <w:r>
        <w:t>This work is copyright. In addition to any use permitted under the Copyright Act 1968, all material contained within this work is provided under a Creative Commons Attributions 3.0 Australia licence, with the exception of:</w:t>
      </w:r>
    </w:p>
    <w:p w:rsidR="004B50D4" w:rsidRDefault="004B50D4" w:rsidP="004B50D4">
      <w:pPr>
        <w:pStyle w:val="StyleCopyrightBefore0pt"/>
        <w:numPr>
          <w:ilvl w:val="0"/>
          <w:numId w:val="29"/>
        </w:numPr>
      </w:pPr>
      <w:r>
        <w:t>the Commonwealth Coat of Arms</w:t>
      </w:r>
    </w:p>
    <w:p w:rsidR="004B50D4" w:rsidRDefault="004B50D4" w:rsidP="004B50D4">
      <w:pPr>
        <w:pStyle w:val="StyleCopyrightBefore0pt"/>
        <w:numPr>
          <w:ilvl w:val="0"/>
          <w:numId w:val="29"/>
        </w:numPr>
      </w:pPr>
      <w:r>
        <w:t>the ACCC and AER logos</w:t>
      </w:r>
    </w:p>
    <w:p w:rsidR="004B50D4" w:rsidRPr="00B927D8" w:rsidRDefault="004B50D4" w:rsidP="004B50D4">
      <w:pPr>
        <w:pStyle w:val="ListBullet"/>
        <w:numPr>
          <w:ilvl w:val="0"/>
          <w:numId w:val="29"/>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4B50D4" w:rsidRDefault="004B50D4" w:rsidP="004B50D4">
      <w:pPr>
        <w:pStyle w:val="Copyrigh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t xml:space="preserve">Canberra ACT 2601 </w:t>
      </w:r>
      <w:r>
        <w:br/>
        <w:t>or publishing.unit@accc.gov.au.</w:t>
      </w:r>
    </w:p>
    <w:p w:rsidR="004B50D4" w:rsidRDefault="004B50D4" w:rsidP="004B50D4">
      <w:pPr>
        <w:pStyle w:val="Copyright"/>
      </w:pPr>
      <w:r>
        <w:t>Inquiries about this publication should be addressed to:</w:t>
      </w:r>
    </w:p>
    <w:p w:rsidR="004B50D4" w:rsidRDefault="004B50D4" w:rsidP="004B50D4">
      <w:pPr>
        <w:pStyle w:val="Copyright"/>
      </w:pPr>
      <w:r>
        <w:t xml:space="preserve">Australian Energy </w:t>
      </w:r>
      <w:r w:rsidRPr="00F171E0">
        <w:t>Regulator</w:t>
      </w:r>
      <w:r>
        <w:br/>
        <w:t>GPO Box 520</w:t>
      </w:r>
      <w:r>
        <w:br/>
        <w:t>Melbourne  Vic  3001</w:t>
      </w:r>
    </w:p>
    <w:p w:rsidR="004B50D4" w:rsidRDefault="004B50D4" w:rsidP="004B50D4">
      <w:pPr>
        <w:pStyle w:val="Copyright"/>
      </w:pPr>
      <w:r>
        <w:t>Tel: (03) 9290 1444</w:t>
      </w:r>
      <w:r>
        <w:br/>
        <w:t>Fax: (03) 9290 1457</w:t>
      </w:r>
    </w:p>
    <w:p w:rsidR="004B50D4" w:rsidRPr="00951978" w:rsidRDefault="004B50D4" w:rsidP="004B50D4">
      <w:pPr>
        <w:pStyle w:val="Copyright"/>
        <w:rPr>
          <w:color w:val="0000FF"/>
          <w:sz w:val="22"/>
          <w:u w:val="single"/>
        </w:rPr>
      </w:pPr>
      <w:r>
        <w:t xml:space="preserve">Email: </w:t>
      </w:r>
      <w:hyperlink r:id="rId11" w:history="1">
        <w:r w:rsidRPr="009E223F">
          <w:rPr>
            <w:rStyle w:val="Hyperlink"/>
            <w:sz w:val="20"/>
          </w:rPr>
          <w:t>AERInquiry@aer.gov.au</w:t>
        </w:r>
      </w:hyperlink>
      <w:r>
        <w:rPr>
          <w:rStyle w:val="Hyperlink"/>
        </w:rPr>
        <w:br/>
      </w:r>
      <w:r>
        <w:t xml:space="preserve">AER Reference: </w:t>
      </w:r>
      <w:r w:rsidR="00275B06">
        <w:t>57992</w:t>
      </w:r>
      <w:r w:rsidR="00D54FB4">
        <w:t>;</w:t>
      </w:r>
      <w:r w:rsidR="004855B5" w:rsidRPr="009E223F">
        <w:t>D16/69467</w:t>
      </w:r>
    </w:p>
    <w:p w:rsidR="004B50D4" w:rsidRDefault="004B50D4" w:rsidP="00461BF6">
      <w:pPr>
        <w:pStyle w:val="Copyright"/>
      </w:pPr>
    </w:p>
    <w:p w:rsidR="004B50D4" w:rsidRPr="00C569B4" w:rsidRDefault="004B50D4" w:rsidP="004B50D4">
      <w:r w:rsidRPr="00C569B4">
        <w:t>Amendment Record</w:t>
      </w:r>
    </w:p>
    <w:tbl>
      <w:tblPr>
        <w:tblStyle w:val="AERTable-Text"/>
        <w:tblW w:w="0" w:type="auto"/>
        <w:tblLook w:val="04A0" w:firstRow="1" w:lastRow="0" w:firstColumn="1" w:lastColumn="0" w:noHBand="0" w:noVBand="1"/>
      </w:tblPr>
      <w:tblGrid>
        <w:gridCol w:w="2912"/>
        <w:gridCol w:w="2883"/>
        <w:gridCol w:w="2898"/>
      </w:tblGrid>
      <w:tr w:rsidR="004B50D4" w:rsidTr="00275B06">
        <w:trPr>
          <w:cnfStyle w:val="100000000000" w:firstRow="1" w:lastRow="0" w:firstColumn="0" w:lastColumn="0" w:oddVBand="0" w:evenVBand="0" w:oddHBand="0" w:evenHBand="0" w:firstRowFirstColumn="0" w:firstRowLastColumn="0" w:lastRowFirstColumn="0" w:lastRowLastColumn="0"/>
        </w:trPr>
        <w:tc>
          <w:tcPr>
            <w:tcW w:w="2912" w:type="dxa"/>
          </w:tcPr>
          <w:p w:rsidR="004B50D4" w:rsidRDefault="004B50D4" w:rsidP="00711F3B">
            <w:r>
              <w:t>Version</w:t>
            </w:r>
          </w:p>
        </w:tc>
        <w:tc>
          <w:tcPr>
            <w:tcW w:w="2883" w:type="dxa"/>
          </w:tcPr>
          <w:p w:rsidR="004B50D4" w:rsidRDefault="004B50D4" w:rsidP="00711F3B">
            <w:r>
              <w:t>Date</w:t>
            </w:r>
          </w:p>
        </w:tc>
        <w:tc>
          <w:tcPr>
            <w:tcW w:w="2898" w:type="dxa"/>
          </w:tcPr>
          <w:p w:rsidR="004B50D4" w:rsidRDefault="004B50D4" w:rsidP="00711F3B">
            <w:r>
              <w:t>Pages</w:t>
            </w:r>
          </w:p>
        </w:tc>
      </w:tr>
      <w:tr w:rsidR="00275B06" w:rsidTr="00275B06">
        <w:tc>
          <w:tcPr>
            <w:tcW w:w="2912" w:type="dxa"/>
          </w:tcPr>
          <w:p w:rsidR="00275B06" w:rsidRDefault="00275B06" w:rsidP="00711F3B">
            <w:pPr>
              <w:spacing w:before="0" w:after="200"/>
            </w:pPr>
            <w:r>
              <w:t>2.0</w:t>
            </w:r>
            <w:r w:rsidR="00AA2AEA">
              <w:t xml:space="preserve">  </w:t>
            </w:r>
          </w:p>
        </w:tc>
        <w:tc>
          <w:tcPr>
            <w:tcW w:w="2883" w:type="dxa"/>
          </w:tcPr>
          <w:p w:rsidR="00275B06" w:rsidRDefault="004855B5" w:rsidP="004855B5">
            <w:pPr>
              <w:spacing w:before="0" w:after="200"/>
            </w:pPr>
            <w:r>
              <w:t>July</w:t>
            </w:r>
            <w:r w:rsidR="006B0909">
              <w:t xml:space="preserve"> 2016</w:t>
            </w:r>
          </w:p>
        </w:tc>
        <w:tc>
          <w:tcPr>
            <w:tcW w:w="2898" w:type="dxa"/>
          </w:tcPr>
          <w:p w:rsidR="00275B06" w:rsidRDefault="000F0922" w:rsidP="00711F3B">
            <w:pPr>
              <w:spacing w:before="0" w:after="200"/>
            </w:pPr>
            <w:r>
              <w:t>9</w:t>
            </w:r>
          </w:p>
        </w:tc>
      </w:tr>
      <w:tr w:rsidR="00275B06" w:rsidTr="00275B06">
        <w:trPr>
          <w:cnfStyle w:val="000000010000" w:firstRow="0" w:lastRow="0" w:firstColumn="0" w:lastColumn="0" w:oddVBand="0" w:evenVBand="0" w:oddHBand="0" w:evenHBand="1" w:firstRowFirstColumn="0" w:firstRowLastColumn="0" w:lastRowFirstColumn="0" w:lastRowLastColumn="0"/>
        </w:trPr>
        <w:tc>
          <w:tcPr>
            <w:tcW w:w="2912" w:type="dxa"/>
          </w:tcPr>
          <w:p w:rsidR="00275B06" w:rsidRDefault="00275B06" w:rsidP="00711F3B">
            <w:pPr>
              <w:spacing w:before="0" w:after="200"/>
            </w:pPr>
            <w:r>
              <w:t>1.0</w:t>
            </w:r>
          </w:p>
        </w:tc>
        <w:tc>
          <w:tcPr>
            <w:tcW w:w="2883" w:type="dxa"/>
          </w:tcPr>
          <w:p w:rsidR="00275B06" w:rsidRDefault="00275B06" w:rsidP="00711F3B">
            <w:pPr>
              <w:spacing w:before="0" w:after="200"/>
            </w:pPr>
            <w:r>
              <w:t>December 2006</w:t>
            </w:r>
          </w:p>
        </w:tc>
        <w:tc>
          <w:tcPr>
            <w:tcW w:w="2898" w:type="dxa"/>
          </w:tcPr>
          <w:p w:rsidR="00275B06" w:rsidRDefault="00275B06" w:rsidP="00711F3B">
            <w:pPr>
              <w:spacing w:before="0" w:after="200"/>
            </w:pPr>
            <w:r>
              <w:t>3</w:t>
            </w:r>
          </w:p>
        </w:tc>
      </w:tr>
    </w:tbl>
    <w:p w:rsidR="004B50D4" w:rsidRDefault="004B50D4" w:rsidP="004B50D4"/>
    <w:p w:rsidR="004B50D4" w:rsidRDefault="004B50D4" w:rsidP="004B50D4">
      <w:pPr>
        <w:spacing w:line="240" w:lineRule="auto"/>
      </w:pPr>
      <w:r>
        <w:br w:type="page"/>
      </w:r>
    </w:p>
    <w:p w:rsidR="004B50D4" w:rsidRDefault="004B50D4" w:rsidP="004B50D4">
      <w:pPr>
        <w:pStyle w:val="Heading1notnumber"/>
      </w:pPr>
      <w:bookmarkStart w:id="1" w:name="_Toc427075682"/>
      <w:bookmarkStart w:id="2" w:name="_Toc213047617"/>
      <w:r>
        <w:lastRenderedPageBreak/>
        <w:t>Shortened forms</w:t>
      </w:r>
      <w:bookmarkEnd w:id="1"/>
    </w:p>
    <w:p w:rsidR="004B50D4" w:rsidRDefault="004B50D4" w:rsidP="004B50D4">
      <w:pPr>
        <w:spacing w:line="240" w:lineRule="auto"/>
      </w:pPr>
    </w:p>
    <w:tbl>
      <w:tblPr>
        <w:tblW w:w="8613" w:type="dxa"/>
        <w:tblLook w:val="04A0" w:firstRow="1" w:lastRow="0" w:firstColumn="1" w:lastColumn="0" w:noHBand="0" w:noVBand="1"/>
      </w:tblPr>
      <w:tblGrid>
        <w:gridCol w:w="2660"/>
        <w:gridCol w:w="5953"/>
      </w:tblGrid>
      <w:tr w:rsidR="004B50D4" w:rsidTr="009E223F">
        <w:tc>
          <w:tcPr>
            <w:tcW w:w="2660" w:type="dxa"/>
            <w:hideMark/>
          </w:tcPr>
          <w:p w:rsidR="004B50D4" w:rsidRDefault="00275B06" w:rsidP="009E223F">
            <w:r>
              <w:t>AEMC</w:t>
            </w:r>
          </w:p>
        </w:tc>
        <w:tc>
          <w:tcPr>
            <w:tcW w:w="5953" w:type="dxa"/>
            <w:hideMark/>
          </w:tcPr>
          <w:p w:rsidR="004B50D4" w:rsidRDefault="00275B06" w:rsidP="009E223F">
            <w:r>
              <w:t>Australian Energy Market Commission</w:t>
            </w:r>
          </w:p>
        </w:tc>
      </w:tr>
      <w:tr w:rsidR="00F63F4B" w:rsidTr="009E223F">
        <w:tc>
          <w:tcPr>
            <w:tcW w:w="2660" w:type="dxa"/>
          </w:tcPr>
          <w:p w:rsidR="00F63F4B" w:rsidRDefault="00F63F4B" w:rsidP="00711F3B">
            <w:r>
              <w:t>AEMO</w:t>
            </w:r>
          </w:p>
        </w:tc>
        <w:tc>
          <w:tcPr>
            <w:tcW w:w="5953" w:type="dxa"/>
          </w:tcPr>
          <w:p w:rsidR="00F63F4B" w:rsidRDefault="00F63F4B" w:rsidP="00711F3B">
            <w:r>
              <w:t>Australian Energy Market Operator</w:t>
            </w:r>
          </w:p>
        </w:tc>
      </w:tr>
      <w:tr w:rsidR="004B50D4" w:rsidTr="009E223F">
        <w:tc>
          <w:tcPr>
            <w:tcW w:w="2660" w:type="dxa"/>
            <w:hideMark/>
          </w:tcPr>
          <w:p w:rsidR="004B50D4" w:rsidRDefault="004B50D4" w:rsidP="00711F3B">
            <w:r>
              <w:t>AER</w:t>
            </w:r>
          </w:p>
        </w:tc>
        <w:tc>
          <w:tcPr>
            <w:tcW w:w="5953" w:type="dxa"/>
            <w:hideMark/>
          </w:tcPr>
          <w:p w:rsidR="004B50D4" w:rsidRDefault="004B50D4" w:rsidP="00711F3B">
            <w:r>
              <w:t>Australian Energy Regulator</w:t>
            </w:r>
          </w:p>
        </w:tc>
      </w:tr>
      <w:tr w:rsidR="004B50D4" w:rsidTr="009E223F">
        <w:tc>
          <w:tcPr>
            <w:tcW w:w="2660" w:type="dxa"/>
            <w:hideMark/>
          </w:tcPr>
          <w:p w:rsidR="00275B06" w:rsidRDefault="00275B06" w:rsidP="00711F3B">
            <w:r>
              <w:t>Law</w:t>
            </w:r>
          </w:p>
        </w:tc>
        <w:tc>
          <w:tcPr>
            <w:tcW w:w="5953" w:type="dxa"/>
            <w:hideMark/>
          </w:tcPr>
          <w:p w:rsidR="00275B06" w:rsidRDefault="00275B06" w:rsidP="00711F3B">
            <w:r>
              <w:t>National Electricity Law</w:t>
            </w:r>
          </w:p>
        </w:tc>
      </w:tr>
      <w:tr w:rsidR="004B50D4" w:rsidTr="009E223F">
        <w:tc>
          <w:tcPr>
            <w:tcW w:w="2660" w:type="dxa"/>
            <w:hideMark/>
          </w:tcPr>
          <w:p w:rsidR="004B50D4" w:rsidRDefault="001D23D5" w:rsidP="00711F3B">
            <w:r>
              <w:t>Market participant</w:t>
            </w:r>
          </w:p>
        </w:tc>
        <w:tc>
          <w:tcPr>
            <w:tcW w:w="5953" w:type="dxa"/>
            <w:hideMark/>
          </w:tcPr>
          <w:p w:rsidR="004B50D4" w:rsidRDefault="004D3902" w:rsidP="009E223F">
            <w:r>
              <w:t>R</w:t>
            </w:r>
            <w:r w:rsidRPr="009E223F">
              <w:t>egistered by AEMO as a Market Generator, Market Customer, Market Small Generation Aggregator or Market Network Service Provider</w:t>
            </w:r>
          </w:p>
        </w:tc>
      </w:tr>
      <w:tr w:rsidR="00F63F4B" w:rsidTr="00F63F4B">
        <w:tc>
          <w:tcPr>
            <w:tcW w:w="2660" w:type="dxa"/>
          </w:tcPr>
          <w:p w:rsidR="00F63F4B" w:rsidRDefault="00F63F4B" w:rsidP="00711F3B">
            <w:r>
              <w:t>NEM</w:t>
            </w:r>
          </w:p>
        </w:tc>
        <w:tc>
          <w:tcPr>
            <w:tcW w:w="5953" w:type="dxa"/>
          </w:tcPr>
          <w:p w:rsidR="00F63F4B" w:rsidRDefault="00F63F4B" w:rsidP="004D3902">
            <w:r>
              <w:t>National Electricity Market</w:t>
            </w:r>
          </w:p>
        </w:tc>
      </w:tr>
      <w:tr w:rsidR="004B50D4" w:rsidTr="009E223F">
        <w:tc>
          <w:tcPr>
            <w:tcW w:w="2660" w:type="dxa"/>
            <w:hideMark/>
          </w:tcPr>
          <w:p w:rsidR="004B50D4" w:rsidRPr="00C21907" w:rsidRDefault="004B50D4" w:rsidP="00711F3B">
            <w:r w:rsidRPr="00C21907">
              <w:t>Relevant participant</w:t>
            </w:r>
          </w:p>
        </w:tc>
        <w:tc>
          <w:tcPr>
            <w:tcW w:w="5953" w:type="dxa"/>
            <w:hideMark/>
          </w:tcPr>
          <w:p w:rsidR="004B50D4" w:rsidRPr="00C21907" w:rsidRDefault="004B50D4" w:rsidP="00711F3B">
            <w:r w:rsidRPr="00C21907">
              <w:t>Scheduled Generator, Semi-Scheduled Generator and/or a Market Participant operating in the NEM</w:t>
            </w:r>
          </w:p>
        </w:tc>
      </w:tr>
      <w:tr w:rsidR="00633AF6" w:rsidTr="009E223F">
        <w:tc>
          <w:tcPr>
            <w:tcW w:w="2660" w:type="dxa"/>
          </w:tcPr>
          <w:p w:rsidR="00633AF6" w:rsidRPr="00C21907" w:rsidRDefault="00633AF6" w:rsidP="00711F3B">
            <w:r>
              <w:t>Rules</w:t>
            </w:r>
          </w:p>
        </w:tc>
        <w:tc>
          <w:tcPr>
            <w:tcW w:w="5953" w:type="dxa"/>
          </w:tcPr>
          <w:p w:rsidR="00633AF6" w:rsidRPr="00C21907" w:rsidRDefault="00633AF6" w:rsidP="00711F3B">
            <w:r>
              <w:t>National Electricity Rules</w:t>
            </w:r>
          </w:p>
        </w:tc>
      </w:tr>
      <w:tr w:rsidR="00633AF6" w:rsidTr="009E223F">
        <w:tc>
          <w:tcPr>
            <w:tcW w:w="2660" w:type="dxa"/>
            <w:hideMark/>
          </w:tcPr>
          <w:p w:rsidR="00633AF6" w:rsidRPr="00C21907" w:rsidRDefault="00633AF6" w:rsidP="00711F3B">
            <w:r w:rsidRPr="00C21907">
              <w:t>Statement of Approach</w:t>
            </w:r>
          </w:p>
        </w:tc>
        <w:tc>
          <w:tcPr>
            <w:tcW w:w="5953" w:type="dxa"/>
            <w:hideMark/>
          </w:tcPr>
          <w:p w:rsidR="00633AF6" w:rsidRPr="00C21907" w:rsidRDefault="00633AF6">
            <w:r>
              <w:t>AER Compliance</w:t>
            </w:r>
            <w:r w:rsidR="004D3902">
              <w:t xml:space="preserve"> and Enforcement</w:t>
            </w:r>
            <w:r>
              <w:t xml:space="preserve"> —</w:t>
            </w:r>
            <w:r w:rsidRPr="00C21907">
              <w:t xml:space="preserve"> Statement of Approach</w:t>
            </w:r>
          </w:p>
        </w:tc>
      </w:tr>
    </w:tbl>
    <w:p w:rsidR="004B50D4" w:rsidRDefault="004B50D4" w:rsidP="004B50D4">
      <w:pPr>
        <w:spacing w:line="240" w:lineRule="auto"/>
      </w:pPr>
      <w:r>
        <w:br w:type="page"/>
      </w:r>
    </w:p>
    <w:p w:rsidR="004B50D4" w:rsidRDefault="004B50D4" w:rsidP="004B50D4">
      <w:pPr>
        <w:sectPr w:rsidR="004B50D4" w:rsidSect="007A4D1F">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1009" w:gutter="0"/>
          <w:pgNumType w:fmt="lowerRoman"/>
          <w:cols w:space="720"/>
          <w:docGrid w:linePitch="326"/>
        </w:sectPr>
      </w:pPr>
    </w:p>
    <w:bookmarkEnd w:id="2"/>
    <w:p w:rsidR="00213A2B" w:rsidRDefault="00213A2B" w:rsidP="00213A2B">
      <w:pPr>
        <w:pStyle w:val="Heading1"/>
      </w:pPr>
      <w:r>
        <w:lastRenderedPageBreak/>
        <w:t>Purpose of this compliance bulletin</w:t>
      </w:r>
    </w:p>
    <w:p w:rsidR="00213A2B" w:rsidRDefault="00213A2B" w:rsidP="00213A2B">
      <w:r w:rsidRPr="00417A4B">
        <w:t xml:space="preserve">The Australian Energy Regulator (AER) aims to work co-operatively with </w:t>
      </w:r>
      <w:r>
        <w:t xml:space="preserve">National Electricity Market (NEM) </w:t>
      </w:r>
      <w:r w:rsidRPr="00417A4B">
        <w:t>participants to help them understand their obligations under the national energy framework and to help them achieve compliance</w:t>
      </w:r>
      <w:r>
        <w:t xml:space="preserve"> with those obligations</w:t>
      </w:r>
      <w:r w:rsidRPr="00417A4B">
        <w:t>. The purpose of this compliance bulletin is</w:t>
      </w:r>
      <w:r>
        <w:t xml:space="preserve"> to</w:t>
      </w:r>
      <w:r w:rsidRPr="00417A4B">
        <w:t xml:space="preserve"> </w:t>
      </w:r>
      <w:r>
        <w:t xml:space="preserve">inform market participants of our broad </w:t>
      </w:r>
      <w:r w:rsidR="00A6104D">
        <w:t>understanding</w:t>
      </w:r>
      <w:r>
        <w:t xml:space="preserve"> </w:t>
      </w:r>
      <w:r w:rsidR="007D0590">
        <w:t xml:space="preserve">of, </w:t>
      </w:r>
      <w:r>
        <w:t>and enforcement approach</w:t>
      </w:r>
      <w:r w:rsidRPr="00417A4B">
        <w:t xml:space="preserve"> when monitoring and enforcing compliance with</w:t>
      </w:r>
      <w:r w:rsidR="007D0590">
        <w:t>,</w:t>
      </w:r>
      <w:r w:rsidRPr="00417A4B">
        <w:t xml:space="preserve"> the </w:t>
      </w:r>
      <w:r>
        <w:t>National Electricity Rules (Rules) regarding following dispatch instructions issued by the Australian Energy Market Operator (AEMO).</w:t>
      </w:r>
    </w:p>
    <w:p w:rsidR="00213A2B" w:rsidRDefault="00213A2B" w:rsidP="00213A2B">
      <w:pPr>
        <w:pStyle w:val="BodyText"/>
      </w:pPr>
      <w:r>
        <w:t>This</w:t>
      </w:r>
      <w:r w:rsidRPr="008F1DB5">
        <w:t xml:space="preserve"> </w:t>
      </w:r>
      <w:r>
        <w:t>compliance bulletin is intended to replace our 2006 compliance bulletin and summarise our approach to compliance and enforcement of clause 4.9.8</w:t>
      </w:r>
      <w:r w:rsidR="00034A1C">
        <w:t xml:space="preserve"> of the Rules</w:t>
      </w:r>
      <w:r>
        <w:t>.</w:t>
      </w:r>
      <w:r>
        <w:rPr>
          <w:rStyle w:val="FootnoteReference"/>
        </w:rPr>
        <w:footnoteReference w:id="1"/>
      </w:r>
    </w:p>
    <w:p w:rsidR="007C6764" w:rsidRDefault="00213A2B" w:rsidP="00213A2B">
      <w:pPr>
        <w:pStyle w:val="BodyText"/>
      </w:pPr>
      <w:r>
        <w:t xml:space="preserve">Our 2006 compliance bulletin was </w:t>
      </w:r>
      <w:r w:rsidR="001D7F10">
        <w:t>published in response to market</w:t>
      </w:r>
      <w:r>
        <w:t xml:space="preserve"> events on 31 October 2005 and focused on the relationship between clauses 4.9.8(a) and 3.8.23 of the Rules. This compliance bulletin has a broader focus and captures our approach to the enforcement of subclauses 4.9.8(a)-(e).</w:t>
      </w:r>
      <w:r w:rsidR="009B695E">
        <w:t xml:space="preserve"> </w:t>
      </w:r>
      <w:r>
        <w:t xml:space="preserve">It also </w:t>
      </w:r>
      <w:r w:rsidR="004855B5">
        <w:t>takes into account the AER</w:t>
      </w:r>
      <w:r w:rsidR="007D0590">
        <w:t>’s</w:t>
      </w:r>
      <w:r w:rsidR="004855B5">
        <w:t xml:space="preserve"> </w:t>
      </w:r>
      <w:r w:rsidR="004855B5" w:rsidRPr="00D91680">
        <w:rPr>
          <w:rStyle w:val="Emphasis"/>
        </w:rPr>
        <w:t xml:space="preserve">Compliance </w:t>
      </w:r>
      <w:r w:rsidR="00461BF6" w:rsidRPr="00D91680">
        <w:rPr>
          <w:rStyle w:val="Emphasis"/>
        </w:rPr>
        <w:t xml:space="preserve">and </w:t>
      </w:r>
      <w:r w:rsidR="00461BF6" w:rsidRPr="00FA1AD4">
        <w:rPr>
          <w:rStyle w:val="Emphasis"/>
        </w:rPr>
        <w:t xml:space="preserve">Enforcement </w:t>
      </w:r>
      <w:r w:rsidR="004855B5" w:rsidRPr="00D91680">
        <w:rPr>
          <w:rStyle w:val="Emphasis"/>
        </w:rPr>
        <w:t>— Statement of Approach</w:t>
      </w:r>
      <w:r w:rsidR="004855B5">
        <w:t xml:space="preserve"> (Statement of Approach)</w:t>
      </w:r>
      <w:r w:rsidR="00EF4D49">
        <w:rPr>
          <w:rStyle w:val="FootnoteReference"/>
        </w:rPr>
        <w:footnoteReference w:id="2"/>
      </w:r>
      <w:r w:rsidR="00EF4D49">
        <w:t xml:space="preserve"> and </w:t>
      </w:r>
      <w:r>
        <w:t>incorporates the outcomes of a recent Federal Court decision related to this provision.</w:t>
      </w:r>
      <w:r>
        <w:rPr>
          <w:rStyle w:val="FootnoteReference"/>
        </w:rPr>
        <w:footnoteReference w:id="3"/>
      </w:r>
      <w:r w:rsidRPr="003031C0">
        <w:t xml:space="preserve"> </w:t>
      </w:r>
    </w:p>
    <w:p w:rsidR="00213A2B" w:rsidRDefault="007C6764" w:rsidP="00213A2B">
      <w:pPr>
        <w:pStyle w:val="BodyText"/>
      </w:pPr>
      <w:r>
        <w:t>Despite the broader focus of this compliance bulletin, its publication does not represent a change in the AER’s approach to enforcement of clause 4.9.8</w:t>
      </w:r>
      <w:r w:rsidR="00034A1C">
        <w:t xml:space="preserve"> of the Rules</w:t>
      </w:r>
      <w:r>
        <w:t>.</w:t>
      </w:r>
      <w:r w:rsidR="00A33642">
        <w:t xml:space="preserve"> We have published this compliance bulletin because w</w:t>
      </w:r>
      <w:r w:rsidR="00213A2B">
        <w:t>e</w:t>
      </w:r>
      <w:r w:rsidR="00213A2B" w:rsidRPr="008F1DB5">
        <w:t xml:space="preserve"> believe there is value in clarifying </w:t>
      </w:r>
      <w:r w:rsidR="00213A2B">
        <w:t>our</w:t>
      </w:r>
      <w:r w:rsidR="00213A2B" w:rsidRPr="008F1DB5">
        <w:t xml:space="preserve"> approach to monitoring compliance with, and enforcement of, </w:t>
      </w:r>
      <w:r w:rsidR="00213A2B">
        <w:t xml:space="preserve">these </w:t>
      </w:r>
      <w:r w:rsidR="00213A2B" w:rsidRPr="008F1DB5">
        <w:t>provisions</w:t>
      </w:r>
      <w:r w:rsidR="00213A2B">
        <w:t xml:space="preserve"> to </w:t>
      </w:r>
      <w:r w:rsidR="00213A2B" w:rsidRPr="008F1DB5">
        <w:t>provide greater certainty and predictability for market participants and reduce compliance costs.</w:t>
      </w:r>
      <w:r w:rsidR="0030160F">
        <w:t xml:space="preserve"> </w:t>
      </w:r>
    </w:p>
    <w:p w:rsidR="00213A2B" w:rsidRPr="004B50D4" w:rsidRDefault="00213A2B" w:rsidP="00213A2B">
      <w:pPr>
        <w:pStyle w:val="Heading1"/>
      </w:pPr>
      <w:r w:rsidRPr="004B50D4">
        <w:t>Regulatory framework</w:t>
      </w:r>
    </w:p>
    <w:p w:rsidR="00213A2B" w:rsidRDefault="00213A2B" w:rsidP="00213A2B">
      <w:r>
        <w:t>This section describes the roles and functions of the AER and summarises the provisions of the Rules that are relevant to this compliance bulletin.</w:t>
      </w:r>
    </w:p>
    <w:p w:rsidR="00213A2B" w:rsidRPr="0003437A" w:rsidRDefault="00213A2B" w:rsidP="00213A2B">
      <w:pPr>
        <w:pStyle w:val="Heading2"/>
      </w:pPr>
      <w:r w:rsidRPr="0003437A">
        <w:t>Role and functions of the AER</w:t>
      </w:r>
    </w:p>
    <w:p w:rsidR="00213A2B" w:rsidRDefault="00213A2B" w:rsidP="00213A2B">
      <w:r>
        <w:t>The AER has functions and powers which include</w:t>
      </w:r>
      <w:r w:rsidR="007D0590">
        <w:t>:</w:t>
      </w:r>
      <w:r>
        <w:rPr>
          <w:rStyle w:val="FootnoteReference"/>
        </w:rPr>
        <w:footnoteReference w:id="4"/>
      </w:r>
    </w:p>
    <w:p w:rsidR="00213A2B" w:rsidRDefault="00213A2B" w:rsidP="00213A2B">
      <w:pPr>
        <w:pStyle w:val="Bulletpoint"/>
        <w:ind w:left="357" w:hanging="357"/>
      </w:pPr>
      <w:r>
        <w:t>Monitoring compliance with the National Electricity Law (Law) and the Rules.</w:t>
      </w:r>
    </w:p>
    <w:p w:rsidR="00213A2B" w:rsidRDefault="00213A2B" w:rsidP="00213A2B">
      <w:pPr>
        <w:pStyle w:val="Bulletpoint"/>
        <w:ind w:left="357" w:hanging="357"/>
      </w:pPr>
      <w:r>
        <w:t>Investigating breaches or possible breaches of the Law and the Rules.</w:t>
      </w:r>
    </w:p>
    <w:p w:rsidR="00213A2B" w:rsidRDefault="00213A2B" w:rsidP="00213A2B">
      <w:pPr>
        <w:pStyle w:val="Bulletpoint"/>
        <w:ind w:left="357" w:hanging="357"/>
      </w:pPr>
      <w:r>
        <w:t xml:space="preserve">Instituting and conducting proceedings in relation to breaches and appeals from decisions in those proceedings. </w:t>
      </w:r>
    </w:p>
    <w:p w:rsidR="00213A2B" w:rsidRDefault="00213A2B" w:rsidP="003937D5">
      <w:pPr>
        <w:keepNext/>
        <w:keepLines/>
      </w:pPr>
      <w:r>
        <w:lastRenderedPageBreak/>
        <w:t xml:space="preserve">In exercising these functions and powers, we </w:t>
      </w:r>
      <w:r w:rsidR="00F46CFC">
        <w:t xml:space="preserve">aim </w:t>
      </w:r>
      <w:r>
        <w:t>to ensure that:</w:t>
      </w:r>
    </w:p>
    <w:p w:rsidR="00213A2B" w:rsidRDefault="00213A2B" w:rsidP="003937D5">
      <w:pPr>
        <w:pStyle w:val="Bulletpoint"/>
        <w:keepNext/>
        <w:keepLines/>
        <w:ind w:left="357" w:hanging="357"/>
      </w:pPr>
      <w:r>
        <w:t xml:space="preserve">Our approach is consistent over time. </w:t>
      </w:r>
    </w:p>
    <w:p w:rsidR="00213A2B" w:rsidRDefault="00213A2B" w:rsidP="003937D5">
      <w:pPr>
        <w:pStyle w:val="Bulletpoint"/>
        <w:keepNext/>
        <w:keepLines/>
        <w:ind w:left="357" w:hanging="357"/>
      </w:pPr>
      <w:r>
        <w:t xml:space="preserve">Our processes are cost effective for participants and the AER. </w:t>
      </w:r>
    </w:p>
    <w:p w:rsidR="00213A2B" w:rsidRDefault="00213A2B" w:rsidP="003937D5">
      <w:pPr>
        <w:pStyle w:val="Bulletpoint"/>
        <w:keepNext/>
        <w:keepLines/>
        <w:ind w:left="357" w:hanging="357"/>
      </w:pPr>
      <w:r>
        <w:t xml:space="preserve">Our activities are transparent. </w:t>
      </w:r>
    </w:p>
    <w:p w:rsidR="00213A2B" w:rsidRPr="0003437A" w:rsidRDefault="00A33642" w:rsidP="00213A2B">
      <w:r>
        <w:t xml:space="preserve">Our Statement of Approach </w:t>
      </w:r>
      <w:r w:rsidR="00B7087C">
        <w:t xml:space="preserve">details our </w:t>
      </w:r>
      <w:r w:rsidR="00A6104D">
        <w:t xml:space="preserve">approach to </w:t>
      </w:r>
      <w:r w:rsidR="00B7087C">
        <w:t xml:space="preserve">compliance and </w:t>
      </w:r>
      <w:r w:rsidR="00A6104D">
        <w:t xml:space="preserve">the </w:t>
      </w:r>
      <w:r w:rsidR="00B7087C">
        <w:t>enforcement</w:t>
      </w:r>
      <w:r w:rsidR="00A6104D">
        <w:t xml:space="preserve"> options available to us</w:t>
      </w:r>
      <w:r w:rsidR="00B7087C">
        <w:t xml:space="preserve"> and </w:t>
      </w:r>
      <w:r w:rsidR="004F2491">
        <w:t xml:space="preserve">sets out the criteria we </w:t>
      </w:r>
      <w:r w:rsidR="00F46CFC">
        <w:t xml:space="preserve">apply </w:t>
      </w:r>
      <w:r w:rsidR="004F2491">
        <w:t>when</w:t>
      </w:r>
      <w:r w:rsidR="00F46CFC">
        <w:t xml:space="preserve"> exercising </w:t>
      </w:r>
      <w:r w:rsidR="004F2491">
        <w:t xml:space="preserve">our </w:t>
      </w:r>
      <w:r>
        <w:t xml:space="preserve">discretion </w:t>
      </w:r>
      <w:r w:rsidR="00F46CFC">
        <w:t xml:space="preserve">regarding </w:t>
      </w:r>
      <w:r>
        <w:t xml:space="preserve">enforcement </w:t>
      </w:r>
      <w:r w:rsidR="00461BF6">
        <w:t>action</w:t>
      </w:r>
      <w:r>
        <w:t xml:space="preserve">. </w:t>
      </w:r>
      <w:r w:rsidR="00F46CFC">
        <w:t xml:space="preserve"> Matters are </w:t>
      </w:r>
      <w:r>
        <w:t xml:space="preserve">assessed on </w:t>
      </w:r>
      <w:r w:rsidR="00F46CFC">
        <w:t xml:space="preserve">a case-by-case basis </w:t>
      </w:r>
      <w:r>
        <w:t xml:space="preserve">with all relevant circumstances </w:t>
      </w:r>
      <w:r w:rsidR="009F7DBC">
        <w:t xml:space="preserve">being </w:t>
      </w:r>
      <w:r>
        <w:t xml:space="preserve">considered, including those outlined in our Statement of Approach. </w:t>
      </w:r>
    </w:p>
    <w:p w:rsidR="00213A2B" w:rsidRPr="0003437A" w:rsidRDefault="00213A2B" w:rsidP="00213A2B">
      <w:pPr>
        <w:pStyle w:val="Heading2"/>
      </w:pPr>
      <w:r w:rsidRPr="0003437A">
        <w:t>Relevant Rules</w:t>
      </w:r>
    </w:p>
    <w:p w:rsidR="00213A2B" w:rsidRDefault="00213A2B" w:rsidP="00213A2B">
      <w:r>
        <w:t xml:space="preserve">Clause 4.9.8 of the Rules outlines the general responsibilities of all </w:t>
      </w:r>
      <w:r w:rsidR="00A6104D">
        <w:t>market</w:t>
      </w:r>
      <w:r>
        <w:t xml:space="preserve"> participants</w:t>
      </w:r>
      <w:r w:rsidR="0015792F">
        <w:t>:</w:t>
      </w:r>
    </w:p>
    <w:p w:rsidR="00213A2B" w:rsidRDefault="00213A2B" w:rsidP="00213A2B">
      <w:pPr>
        <w:pStyle w:val="ListParagraph"/>
        <w:numPr>
          <w:ilvl w:val="0"/>
          <w:numId w:val="31"/>
        </w:numPr>
      </w:pPr>
      <w:r>
        <w:t>to follow dispatch instructions</w:t>
      </w:r>
      <w:r w:rsidR="004F1CEC">
        <w:t>,</w:t>
      </w:r>
      <w:r>
        <w:t xml:space="preserve"> and </w:t>
      </w:r>
    </w:p>
    <w:p w:rsidR="00213A2B" w:rsidRDefault="00213A2B" w:rsidP="00213A2B">
      <w:pPr>
        <w:pStyle w:val="ListParagraph"/>
        <w:numPr>
          <w:ilvl w:val="0"/>
          <w:numId w:val="31"/>
        </w:numPr>
      </w:pPr>
      <w:r>
        <w:t>to submit offers or bids that generators, loads and scheduled network service providers are able to comply with</w:t>
      </w:r>
      <w:r w:rsidRPr="00BB210F">
        <w:t xml:space="preserve"> </w:t>
      </w:r>
      <w:r>
        <w:t xml:space="preserve">at all times. </w:t>
      </w:r>
    </w:p>
    <w:p w:rsidR="00213A2B" w:rsidRPr="00293A60" w:rsidRDefault="00213A2B" w:rsidP="00213A2B">
      <w:r>
        <w:t xml:space="preserve">Dispatch instructions in this context are those set out in clauses </w:t>
      </w:r>
      <w:r w:rsidRPr="006279B2">
        <w:t>4.9.2, 4.9.2A, 4.9.3</w:t>
      </w:r>
      <w:r>
        <w:t xml:space="preserve"> and</w:t>
      </w:r>
      <w:r w:rsidRPr="006279B2">
        <w:t xml:space="preserve"> 4.9.3A</w:t>
      </w:r>
      <w:r>
        <w:t>, which incorporate instructions as to energy output, load reduction, ancillary services provision and certain plant settings.</w:t>
      </w:r>
    </w:p>
    <w:p w:rsidR="00213A2B" w:rsidRPr="00293A60" w:rsidRDefault="00213A2B" w:rsidP="00213A2B">
      <w:r>
        <w:t>All subclauses within c</w:t>
      </w:r>
      <w:r w:rsidRPr="00293A60">
        <w:t>lause 4.9.8</w:t>
      </w:r>
      <w:r>
        <w:t xml:space="preserve"> of the Rules</w:t>
      </w:r>
      <w:r w:rsidRPr="00293A60">
        <w:t xml:space="preserve"> are </w:t>
      </w:r>
      <w:r w:rsidR="001C68DD" w:rsidRPr="00293A60">
        <w:t>civil penalty provisions</w:t>
      </w:r>
      <w:r w:rsidR="001C68DD">
        <w:t xml:space="preserve"> which </w:t>
      </w:r>
      <w:r w:rsidR="009F7DBC">
        <w:t>means that we are able</w:t>
      </w:r>
      <w:r w:rsidR="004F1CEC">
        <w:t xml:space="preserve"> </w:t>
      </w:r>
      <w:r>
        <w:t xml:space="preserve">to issue an infringement notice carrying an </w:t>
      </w:r>
      <w:r w:rsidRPr="00293A60">
        <w:t xml:space="preserve">infringement penalty </w:t>
      </w:r>
      <w:r>
        <w:t>of</w:t>
      </w:r>
      <w:r w:rsidRPr="00293A60">
        <w:t xml:space="preserve"> $20,000</w:t>
      </w:r>
      <w:r>
        <w:t xml:space="preserve"> for each breach by a body corporate</w:t>
      </w:r>
      <w:r w:rsidRPr="00293A60">
        <w:t>.</w:t>
      </w:r>
      <w:r>
        <w:rPr>
          <w:rStyle w:val="FootnoteReference"/>
        </w:rPr>
        <w:footnoteReference w:id="5"/>
      </w:r>
    </w:p>
    <w:p w:rsidR="00213A2B" w:rsidRDefault="00213A2B" w:rsidP="00213A2B">
      <w:r>
        <w:t>The</w:t>
      </w:r>
      <w:r w:rsidRPr="00293A60">
        <w:t xml:space="preserve"> AER'</w:t>
      </w:r>
      <w:r>
        <w:t>s enforcement tools also include the ability to accept administrative or enforceable undertakings and</w:t>
      </w:r>
      <w:r w:rsidRPr="00293A60">
        <w:t xml:space="preserve"> </w:t>
      </w:r>
      <w:r>
        <w:t xml:space="preserve">commence proceedings in the Federal Court in order to seek </w:t>
      </w:r>
      <w:r w:rsidR="009F7DBC">
        <w:t xml:space="preserve">pecuniary </w:t>
      </w:r>
      <w:r>
        <w:t xml:space="preserve">penalties and declarations in relation to the impugned conduct. The maximum </w:t>
      </w:r>
      <w:r w:rsidR="009F7DBC">
        <w:t xml:space="preserve">pecuniary </w:t>
      </w:r>
      <w:r>
        <w:t xml:space="preserve">penalty that can be awarded by a court for each breach of </w:t>
      </w:r>
      <w:r w:rsidR="009F7DBC">
        <w:t>clause 4.9.8 of the Rules</w:t>
      </w:r>
      <w:r>
        <w:t xml:space="preserve"> is $100,000.</w:t>
      </w:r>
    </w:p>
    <w:p w:rsidR="00213A2B" w:rsidRPr="00080DC8" w:rsidRDefault="00213A2B" w:rsidP="00213A2B">
      <w:pPr>
        <w:pStyle w:val="Heading3"/>
        <w:numPr>
          <w:ilvl w:val="2"/>
          <w:numId w:val="30"/>
        </w:numPr>
        <w:tabs>
          <w:tab w:val="left" w:pos="1021"/>
        </w:tabs>
        <w:ind w:left="1021" w:hanging="1021"/>
      </w:pPr>
      <w:r>
        <w:t>Clause 4.9.8</w:t>
      </w:r>
    </w:p>
    <w:p w:rsidR="00213A2B" w:rsidRDefault="00213A2B" w:rsidP="00213A2B">
      <w:r>
        <w:t>Clause 4.9.8 of the Rules states:</w:t>
      </w:r>
    </w:p>
    <w:p w:rsidR="00213A2B" w:rsidRDefault="00213A2B" w:rsidP="00213A2B">
      <w:pPr>
        <w:pStyle w:val="BodyTextIndent"/>
        <w:ind w:left="709" w:hanging="426"/>
      </w:pPr>
      <w:r>
        <w:t xml:space="preserve">(a) </w:t>
      </w:r>
      <w:r>
        <w:tab/>
      </w:r>
      <w:r w:rsidRPr="00EB7B98">
        <w:t xml:space="preserve">A </w:t>
      </w:r>
      <w:r w:rsidRPr="00EB7B98">
        <w:rPr>
          <w:rStyle w:val="Emphasis"/>
        </w:rPr>
        <w:t>Registered Participant</w:t>
      </w:r>
      <w:r w:rsidRPr="00EB7B98">
        <w:t xml:space="preserve"> must comply with a </w:t>
      </w:r>
      <w:r w:rsidRPr="00EB7B98">
        <w:rPr>
          <w:rStyle w:val="Emphasis"/>
        </w:rPr>
        <w:t>dispatch instruction</w:t>
      </w:r>
      <w:r w:rsidRPr="00EB7B98">
        <w:t xml:space="preserve"> given to it by </w:t>
      </w:r>
      <w:r w:rsidRPr="00EB7B98">
        <w:rPr>
          <w:rStyle w:val="Emphasis"/>
        </w:rPr>
        <w:t>AEMO</w:t>
      </w:r>
      <w:r w:rsidRPr="00EB7B98">
        <w:t xml:space="preserve"> unless to do so would, in the </w:t>
      </w:r>
      <w:r w:rsidRPr="00EB7B98">
        <w:rPr>
          <w:rStyle w:val="Emphasis"/>
        </w:rPr>
        <w:t>Registered Participant's</w:t>
      </w:r>
      <w:r w:rsidRPr="00EB7B98">
        <w:t xml:space="preserve"> reasonable opinion, be a hazard to public safety or materially risk damaging equipment.</w:t>
      </w:r>
    </w:p>
    <w:p w:rsidR="00213A2B" w:rsidRDefault="00213A2B" w:rsidP="00213A2B">
      <w:pPr>
        <w:pStyle w:val="BodyTextIndent"/>
        <w:ind w:left="709" w:hanging="426"/>
      </w:pPr>
      <w:r>
        <w:t>(b)</w:t>
      </w:r>
      <w:r>
        <w:tab/>
      </w:r>
      <w:r w:rsidRPr="00EB7B98">
        <w:t xml:space="preserve">A </w:t>
      </w:r>
      <w:r w:rsidRPr="00EB7B98">
        <w:rPr>
          <w:rStyle w:val="Emphasis"/>
        </w:rPr>
        <w:t>Scheduled Generator</w:t>
      </w:r>
      <w:r w:rsidRPr="00EB7B98">
        <w:t xml:space="preserve"> must ensure that each of its </w:t>
      </w:r>
      <w:r w:rsidRPr="00EB7B98">
        <w:rPr>
          <w:rStyle w:val="Emphasis"/>
        </w:rPr>
        <w:t>scheduled generating units</w:t>
      </w:r>
      <w:r w:rsidRPr="00EB7B98">
        <w:t xml:space="preserve"> is at all times able to comply with the latest </w:t>
      </w:r>
      <w:r w:rsidRPr="00EB7B98">
        <w:rPr>
          <w:rStyle w:val="Emphasis"/>
        </w:rPr>
        <w:t>generation dispatch offer</w:t>
      </w:r>
      <w:r w:rsidRPr="00EB7B98">
        <w:t xml:space="preserve"> under Chapter 3 in respect of that </w:t>
      </w:r>
      <w:r w:rsidRPr="00EB7B98">
        <w:rPr>
          <w:rStyle w:val="Emphasis"/>
        </w:rPr>
        <w:t>generating unit</w:t>
      </w:r>
      <w:r w:rsidRPr="00EB7B98">
        <w:t>.</w:t>
      </w:r>
    </w:p>
    <w:p w:rsidR="00213A2B" w:rsidRDefault="00213A2B" w:rsidP="00213A2B">
      <w:pPr>
        <w:pStyle w:val="BodyTextIndent"/>
        <w:ind w:left="709" w:hanging="426"/>
      </w:pPr>
      <w:r w:rsidRPr="00974BCF">
        <w:lastRenderedPageBreak/>
        <w:t xml:space="preserve">(b1) A </w:t>
      </w:r>
      <w:r w:rsidRPr="00AF2234">
        <w:rPr>
          <w:rStyle w:val="Emphasis"/>
        </w:rPr>
        <w:t>Scheduled Network Service Provider</w:t>
      </w:r>
      <w:r w:rsidRPr="00974BCF">
        <w:t xml:space="preserve"> must ensure that each of its </w:t>
      </w:r>
      <w:r w:rsidRPr="00AF2234">
        <w:rPr>
          <w:rStyle w:val="Emphasis"/>
        </w:rPr>
        <w:t>scheduled network services</w:t>
      </w:r>
      <w:r w:rsidRPr="00974BCF">
        <w:t xml:space="preserve"> is at all times able to comply with the latest </w:t>
      </w:r>
      <w:r w:rsidRPr="00AF2234">
        <w:rPr>
          <w:rStyle w:val="Emphasis"/>
        </w:rPr>
        <w:t>network dispatch offer</w:t>
      </w:r>
      <w:r w:rsidRPr="00974BCF">
        <w:t xml:space="preserve"> under Chapter 3 in respect of that </w:t>
      </w:r>
      <w:r w:rsidRPr="00AF2234">
        <w:rPr>
          <w:rStyle w:val="Emphasis"/>
        </w:rPr>
        <w:t>market network service</w:t>
      </w:r>
      <w:r w:rsidRPr="00974BCF">
        <w:t>.</w:t>
      </w:r>
    </w:p>
    <w:p w:rsidR="00213A2B" w:rsidRDefault="00213A2B" w:rsidP="00213A2B">
      <w:pPr>
        <w:pStyle w:val="BodyTextIndent"/>
        <w:ind w:left="709" w:hanging="426"/>
      </w:pPr>
      <w:r>
        <w:t xml:space="preserve">(c) </w:t>
      </w:r>
      <w:r>
        <w:tab/>
      </w:r>
      <w:r w:rsidRPr="00814A8B">
        <w:t xml:space="preserve">A </w:t>
      </w:r>
      <w:r w:rsidRPr="00711F3B">
        <w:rPr>
          <w:rStyle w:val="Emphasis"/>
        </w:rPr>
        <w:t>Registered Participant</w:t>
      </w:r>
      <w:r w:rsidRPr="00814A8B">
        <w:t xml:space="preserve"> must ensure that each of its </w:t>
      </w:r>
      <w:r w:rsidRPr="00711F3B">
        <w:rPr>
          <w:rStyle w:val="Emphasis"/>
        </w:rPr>
        <w:t>facilities</w:t>
      </w:r>
      <w:r w:rsidRPr="00814A8B">
        <w:t xml:space="preserve"> is at all times able to comply with any relevant </w:t>
      </w:r>
      <w:r w:rsidRPr="00711F3B">
        <w:rPr>
          <w:rStyle w:val="Emphasis"/>
        </w:rPr>
        <w:t>dispatch bid</w:t>
      </w:r>
      <w:r w:rsidRPr="00814A8B">
        <w:t xml:space="preserve"> under Chapter 3 in respect of the </w:t>
      </w:r>
      <w:r w:rsidRPr="00711F3B">
        <w:rPr>
          <w:rStyle w:val="Emphasis"/>
        </w:rPr>
        <w:t>facility</w:t>
      </w:r>
      <w:r w:rsidRPr="00814A8B">
        <w:t xml:space="preserve"> (as adjusted by any subsequent restatement of that bid under Chapter 3).</w:t>
      </w:r>
    </w:p>
    <w:p w:rsidR="00213A2B" w:rsidRDefault="00213A2B" w:rsidP="00213A2B">
      <w:pPr>
        <w:pStyle w:val="BodyTextIndent"/>
        <w:ind w:left="709" w:hanging="426"/>
      </w:pPr>
      <w:r>
        <w:t xml:space="preserve">(d) </w:t>
      </w:r>
      <w:r>
        <w:tab/>
      </w:r>
      <w:r w:rsidRPr="00814A8B">
        <w:t xml:space="preserve">A </w:t>
      </w:r>
      <w:r w:rsidRPr="00711F3B">
        <w:rPr>
          <w:rStyle w:val="Emphasis"/>
        </w:rPr>
        <w:t xml:space="preserve">Market Participant </w:t>
      </w:r>
      <w:r w:rsidRPr="00814A8B">
        <w:t xml:space="preserve">which has classified a </w:t>
      </w:r>
      <w:r w:rsidRPr="00711F3B">
        <w:rPr>
          <w:rStyle w:val="Emphasis"/>
        </w:rPr>
        <w:t xml:space="preserve">generating unit </w:t>
      </w:r>
      <w:r w:rsidRPr="00814A8B">
        <w:t xml:space="preserve">or </w:t>
      </w:r>
      <w:r w:rsidRPr="00711F3B">
        <w:rPr>
          <w:rStyle w:val="Emphasis"/>
        </w:rPr>
        <w:t>load</w:t>
      </w:r>
      <w:r w:rsidRPr="00814A8B">
        <w:t xml:space="preserve"> as an </w:t>
      </w:r>
      <w:r w:rsidRPr="00711F3B">
        <w:rPr>
          <w:rStyle w:val="Emphasis"/>
        </w:rPr>
        <w:t>ancillary service</w:t>
      </w:r>
      <w:r w:rsidRPr="00814A8B">
        <w:t xml:space="preserve"> </w:t>
      </w:r>
      <w:r w:rsidRPr="00711F3B">
        <w:rPr>
          <w:rStyle w:val="Emphasis"/>
        </w:rPr>
        <w:t>generating unit</w:t>
      </w:r>
      <w:r w:rsidRPr="00814A8B">
        <w:t xml:space="preserve"> or an </w:t>
      </w:r>
      <w:r w:rsidRPr="00711F3B">
        <w:rPr>
          <w:rStyle w:val="Emphasis"/>
        </w:rPr>
        <w:t>ancillary service load</w:t>
      </w:r>
      <w:r w:rsidRPr="00814A8B">
        <w:t xml:space="preserve">, as the case may be, must ensure that the </w:t>
      </w:r>
      <w:r w:rsidRPr="00711F3B">
        <w:rPr>
          <w:rStyle w:val="Emphasis"/>
        </w:rPr>
        <w:t>ancillary service generating unit</w:t>
      </w:r>
      <w:r w:rsidRPr="00814A8B">
        <w:t xml:space="preserve"> or </w:t>
      </w:r>
      <w:r w:rsidRPr="00711F3B">
        <w:rPr>
          <w:rStyle w:val="Emphasis"/>
        </w:rPr>
        <w:t>ancillary service load</w:t>
      </w:r>
      <w:r w:rsidRPr="00814A8B">
        <w:t xml:space="preserve"> is at all times able to comply with the latest </w:t>
      </w:r>
      <w:r w:rsidRPr="00711F3B">
        <w:rPr>
          <w:rStyle w:val="Emphasis"/>
        </w:rPr>
        <w:t>market ancillary service offer</w:t>
      </w:r>
      <w:r w:rsidRPr="00814A8B">
        <w:t xml:space="preserve"> for the relevant trading interval.</w:t>
      </w:r>
    </w:p>
    <w:p w:rsidR="00213A2B" w:rsidRDefault="00213A2B" w:rsidP="00213A2B">
      <w:pPr>
        <w:pStyle w:val="BodyTextIndent"/>
        <w:ind w:left="709" w:hanging="426"/>
      </w:pPr>
      <w:r>
        <w:t xml:space="preserve">(e) </w:t>
      </w:r>
      <w:r>
        <w:tab/>
      </w:r>
      <w:r w:rsidRPr="00AA56C0">
        <w:t xml:space="preserve">A </w:t>
      </w:r>
      <w:r w:rsidRPr="00711F3B">
        <w:rPr>
          <w:rStyle w:val="Emphasis"/>
        </w:rPr>
        <w:t>Semi-Scheduled Generator</w:t>
      </w:r>
      <w:r w:rsidRPr="00AA56C0">
        <w:t xml:space="preserve"> must ensure that each of its </w:t>
      </w:r>
      <w:r w:rsidRPr="00711F3B">
        <w:rPr>
          <w:rStyle w:val="Emphasis"/>
        </w:rPr>
        <w:t xml:space="preserve">semi-scheduled generating units </w:t>
      </w:r>
      <w:r w:rsidRPr="00AA56C0">
        <w:t xml:space="preserve">is at all times able to comply with its latest </w:t>
      </w:r>
      <w:r w:rsidRPr="00711F3B">
        <w:rPr>
          <w:rStyle w:val="Emphasis"/>
        </w:rPr>
        <w:t>generation dispatch offer</w:t>
      </w:r>
      <w:r w:rsidRPr="00AA56C0">
        <w:t>.</w:t>
      </w:r>
    </w:p>
    <w:p w:rsidR="00213A2B" w:rsidRDefault="00213A2B" w:rsidP="00213A2B">
      <w:pPr>
        <w:pStyle w:val="Heading3"/>
        <w:keepNext/>
        <w:keepLines/>
        <w:numPr>
          <w:ilvl w:val="2"/>
          <w:numId w:val="30"/>
        </w:numPr>
        <w:tabs>
          <w:tab w:val="left" w:pos="1021"/>
        </w:tabs>
        <w:ind w:left="1021" w:hanging="1021"/>
      </w:pPr>
      <w:r>
        <w:t>Clause 3.8.23</w:t>
      </w:r>
    </w:p>
    <w:p w:rsidR="00213A2B" w:rsidRDefault="00213A2B" w:rsidP="00213A2B">
      <w:pPr>
        <w:keepNext/>
        <w:keepLines/>
      </w:pPr>
      <w:r w:rsidRPr="00FF7D86">
        <w:t xml:space="preserve">Clause 3.8.23 of the Rules </w:t>
      </w:r>
      <w:r>
        <w:t>states</w:t>
      </w:r>
      <w:r w:rsidRPr="00FF7D86">
        <w:t>:</w:t>
      </w:r>
    </w:p>
    <w:p w:rsidR="00213A2B" w:rsidRDefault="00213A2B" w:rsidP="00213A2B">
      <w:pPr>
        <w:pStyle w:val="BodyTextIndent"/>
        <w:ind w:left="709" w:hanging="426"/>
      </w:pPr>
      <w:r>
        <w:t>(a)</w:t>
      </w:r>
      <w:r>
        <w:tab/>
        <w:t xml:space="preserve">If a </w:t>
      </w:r>
      <w:r w:rsidRPr="00A80930">
        <w:rPr>
          <w:rStyle w:val="Emphasis"/>
        </w:rPr>
        <w:t>scheduled generating unit</w:t>
      </w:r>
      <w:r>
        <w:t xml:space="preserve">, </w:t>
      </w:r>
      <w:r w:rsidRPr="00A80930">
        <w:rPr>
          <w:rStyle w:val="Emphasis"/>
        </w:rPr>
        <w:t>scheduled network service</w:t>
      </w:r>
      <w:r>
        <w:t xml:space="preserve"> or </w:t>
      </w:r>
      <w:r w:rsidRPr="00A80930">
        <w:rPr>
          <w:rStyle w:val="Emphasis"/>
        </w:rPr>
        <w:t>scheduled load</w:t>
      </w:r>
      <w:r>
        <w:t xml:space="preserve"> fails to respond to a </w:t>
      </w:r>
      <w:r w:rsidRPr="00A80930">
        <w:rPr>
          <w:rStyle w:val="Emphasis"/>
        </w:rPr>
        <w:t>dispatch instruction</w:t>
      </w:r>
      <w:r>
        <w:t xml:space="preserve"> within a tolerable time and accuracy (as determined in </w:t>
      </w:r>
      <w:r w:rsidRPr="00A80930">
        <w:rPr>
          <w:rStyle w:val="Emphasis"/>
        </w:rPr>
        <w:t>AEMO’s</w:t>
      </w:r>
      <w:r>
        <w:t xml:space="preserve"> reasonable opinion), then the </w:t>
      </w:r>
      <w:r w:rsidRPr="00A80930">
        <w:rPr>
          <w:rStyle w:val="Emphasis"/>
        </w:rPr>
        <w:t>scheduled generating unit</w:t>
      </w:r>
      <w:r>
        <w:t xml:space="preserve">, </w:t>
      </w:r>
      <w:r w:rsidRPr="00A80930">
        <w:rPr>
          <w:rStyle w:val="Emphasis"/>
        </w:rPr>
        <w:t>scheduled network service</w:t>
      </w:r>
      <w:r>
        <w:t xml:space="preserve"> or </w:t>
      </w:r>
      <w:r w:rsidRPr="00A80930">
        <w:rPr>
          <w:rStyle w:val="Emphasis"/>
        </w:rPr>
        <w:t>scheduled load</w:t>
      </w:r>
      <w:r>
        <w:t xml:space="preserve"> (as the case may be):</w:t>
      </w:r>
    </w:p>
    <w:p w:rsidR="00213A2B" w:rsidRPr="00A80930" w:rsidRDefault="00213A2B" w:rsidP="00213A2B">
      <w:pPr>
        <w:pStyle w:val="NormalIndent"/>
      </w:pPr>
      <w:r w:rsidRPr="00A80930">
        <w:t>(1)</w:t>
      </w:r>
      <w:r w:rsidRPr="00A80930">
        <w:tab/>
        <w:t>is to be declared and identified as non-conforming; and</w:t>
      </w:r>
    </w:p>
    <w:p w:rsidR="00213A2B" w:rsidRPr="00A80930" w:rsidRDefault="00213A2B" w:rsidP="00213A2B">
      <w:pPr>
        <w:pStyle w:val="NormalIndent"/>
      </w:pPr>
      <w:r w:rsidRPr="00A80930">
        <w:t>(2)</w:t>
      </w:r>
      <w:r w:rsidRPr="00A80930">
        <w:tab/>
        <w:t xml:space="preserve">cannot be used as the basis for setting </w:t>
      </w:r>
      <w:r w:rsidRPr="00A80930">
        <w:rPr>
          <w:rStyle w:val="Emphasis"/>
        </w:rPr>
        <w:t>spot prices</w:t>
      </w:r>
      <w:r w:rsidRPr="00A80930">
        <w:t>.</w:t>
      </w:r>
    </w:p>
    <w:p w:rsidR="00213A2B" w:rsidRPr="00FF7D86" w:rsidRDefault="00213A2B" w:rsidP="00213A2B">
      <w:pPr>
        <w:pStyle w:val="BodyTextIndent"/>
      </w:pPr>
      <w:r w:rsidRPr="00FF7D86">
        <w:t>…</w:t>
      </w:r>
    </w:p>
    <w:p w:rsidR="00213A2B" w:rsidRDefault="00213A2B" w:rsidP="00213A2B">
      <w:pPr>
        <w:pStyle w:val="BodyTextIndent"/>
        <w:ind w:left="709" w:hanging="426"/>
      </w:pPr>
      <w:r>
        <w:t>(e)</w:t>
      </w:r>
      <w:r>
        <w:tab/>
      </w:r>
      <w:r w:rsidRPr="00A80930">
        <w:t xml:space="preserve">If a </w:t>
      </w:r>
      <w:r w:rsidRPr="000361E9">
        <w:rPr>
          <w:rStyle w:val="Emphasis"/>
        </w:rPr>
        <w:t>generating unit</w:t>
      </w:r>
      <w:r w:rsidRPr="00A80930">
        <w:t xml:space="preserve">, </w:t>
      </w:r>
      <w:r w:rsidRPr="000361E9">
        <w:rPr>
          <w:rStyle w:val="Emphasis"/>
        </w:rPr>
        <w:t>scheduled network service</w:t>
      </w:r>
      <w:r w:rsidRPr="00A80930">
        <w:t xml:space="preserve"> or </w:t>
      </w:r>
      <w:r w:rsidRPr="000361E9">
        <w:rPr>
          <w:rStyle w:val="Emphasis"/>
        </w:rPr>
        <w:t>scheduled load</w:t>
      </w:r>
      <w:r w:rsidRPr="00A80930">
        <w:t xml:space="preserve"> (as the case may be) continues to be non-conforming under this clause 3.8.23 after a reasonable period of time, </w:t>
      </w:r>
      <w:r w:rsidRPr="000361E9">
        <w:rPr>
          <w:rStyle w:val="Emphasis"/>
        </w:rPr>
        <w:t>AEMO</w:t>
      </w:r>
      <w:r w:rsidRPr="00A80930">
        <w:t xml:space="preserve"> must prepare a report setting out the details of the non-conformance and forward a copy of the report to the </w:t>
      </w:r>
      <w:r w:rsidRPr="000361E9">
        <w:rPr>
          <w:rStyle w:val="Emphasis"/>
        </w:rPr>
        <w:t>Scheduled Generator</w:t>
      </w:r>
      <w:r w:rsidRPr="00A80930">
        <w:t xml:space="preserve">, </w:t>
      </w:r>
      <w:r w:rsidRPr="000361E9">
        <w:rPr>
          <w:rStyle w:val="Emphasis"/>
        </w:rPr>
        <w:t>Semi-Scheduled Generator</w:t>
      </w:r>
      <w:r w:rsidRPr="00A80930">
        <w:t xml:space="preserve">, </w:t>
      </w:r>
      <w:r w:rsidRPr="000361E9">
        <w:rPr>
          <w:rStyle w:val="Emphasis"/>
        </w:rPr>
        <w:t>Scheduled Network Service Provider</w:t>
      </w:r>
      <w:r w:rsidRPr="00A80930">
        <w:t xml:space="preserve"> or </w:t>
      </w:r>
      <w:r w:rsidRPr="000361E9">
        <w:rPr>
          <w:rStyle w:val="Emphasis"/>
        </w:rPr>
        <w:t>Market Customer</w:t>
      </w:r>
      <w:r w:rsidRPr="00A80930">
        <w:t xml:space="preserve"> (as the case may be) and the </w:t>
      </w:r>
      <w:r w:rsidRPr="000361E9">
        <w:rPr>
          <w:rStyle w:val="Emphasis"/>
        </w:rPr>
        <w:t>AER</w:t>
      </w:r>
      <w:r w:rsidRPr="00A80930">
        <w:t xml:space="preserve">. </w:t>
      </w:r>
    </w:p>
    <w:p w:rsidR="00213A2B" w:rsidRDefault="00213A2B" w:rsidP="00213A2B">
      <w:pPr>
        <w:pStyle w:val="Heading2"/>
      </w:pPr>
      <w:r>
        <w:t>The importance of compliance</w:t>
      </w:r>
    </w:p>
    <w:p w:rsidR="00213A2B" w:rsidRDefault="00213A2B" w:rsidP="00213A2B">
      <w:r>
        <w:t>In the Snowy Hydro judgement, his Honour Justice Beach stated at paragraph 19:</w:t>
      </w:r>
      <w:r w:rsidR="00413E35">
        <w:rPr>
          <w:rStyle w:val="FootnoteReference"/>
        </w:rPr>
        <w:footnoteReference w:id="6"/>
      </w:r>
    </w:p>
    <w:p w:rsidR="00213A2B" w:rsidRDefault="0015792F" w:rsidP="00213A2B">
      <w:pPr>
        <w:pStyle w:val="Quote"/>
      </w:pPr>
      <w:r>
        <w:t xml:space="preserve">“…. </w:t>
      </w:r>
      <w:r w:rsidR="00213A2B">
        <w:t>Cl 4.9.8(a) of the Rules required that a registered participant must comply with a dispatch instruction given to it by AEMO unless to do so would, in the registered participant</w:t>
      </w:r>
      <w:r>
        <w:t>’</w:t>
      </w:r>
      <w:r w:rsidR="00213A2B">
        <w:t>s reasonable opinion, be a hazard to public safety or materially risk damaging equipment.  Compliance with dispatch instructions is necessary to ensure the power system remains secure.  AEMO relies upon conformance with dispatch instructions to ensure it can effectively perform its functions as both power system operator and market operator for the NEM.</w:t>
      </w:r>
      <w:r>
        <w:t>”</w:t>
      </w:r>
    </w:p>
    <w:p w:rsidR="00213A2B" w:rsidRDefault="00213A2B" w:rsidP="00213A2B">
      <w:r>
        <w:lastRenderedPageBreak/>
        <w:t>Chapter 4 of the Rules provides the framework for achieving and maintaining a secure power system. The requirement for</w:t>
      </w:r>
      <w:r w:rsidR="00252BC7">
        <w:t xml:space="preserve"> registered </w:t>
      </w:r>
      <w:r>
        <w:t xml:space="preserve">participants to comply with dispatch instructions, as specified in Chapter 4 of the Rules, is essential to the secure operation of the power system. </w:t>
      </w:r>
      <w:r w:rsidR="00252BC7">
        <w:t>Registered</w:t>
      </w:r>
      <w:r w:rsidR="00186214">
        <w:t xml:space="preserve"> p</w:t>
      </w:r>
      <w:r>
        <w:t xml:space="preserve">articipants are obliged to </w:t>
      </w:r>
      <w:r w:rsidRPr="00B31B33">
        <w:t>follow dispatch instructions issued by AEMO unless to do so would, in the participant’s reasonable opinion, be a hazard to public safety or materially risk damaging equipment</w:t>
      </w:r>
      <w:r w:rsidR="004F1CEC">
        <w:t>. Furthermore, the R</w:t>
      </w:r>
      <w:r>
        <w:t xml:space="preserve">ules require </w:t>
      </w:r>
      <w:r w:rsidR="00252BC7">
        <w:t xml:space="preserve">market </w:t>
      </w:r>
      <w:r>
        <w:t>participant offers and bids to represent the capabilities of their equipment at that time.</w:t>
      </w:r>
    </w:p>
    <w:p w:rsidR="0008120D" w:rsidRDefault="0008120D" w:rsidP="0008120D">
      <w:r>
        <w:t xml:space="preserve">Under the Rules, AEMO is responsible for the operation and administration of the wholesale electricity market. AEMO coordinates a central dispatch process to manage the spot market, which involves matching generator offers and demand in real time. Every five minutes, AEMO issues dispatch instructions based on </w:t>
      </w:r>
      <w:r w:rsidR="00252BC7">
        <w:t xml:space="preserve">relevant </w:t>
      </w:r>
      <w:r>
        <w:t>participants’ bids and offers and system capabilities so that the quantity of electricity produced will meet the demand for electricity at the lowest available cost, while maintaining the technical security of the power system.</w:t>
      </w:r>
    </w:p>
    <w:p w:rsidR="0008120D" w:rsidRDefault="0008120D" w:rsidP="0008120D">
      <w:r>
        <w:t xml:space="preserve">Pricing, system security and the overall market integrity of the five minute dispatch cycle relies on market participants accurately representing their capabilities and following dispatch instructions as they are issued. If widespread, failure to follow dispatch instructions can raise system security issues, requiring AEMO to intervene. AEMO must be confident that at all times </w:t>
      </w:r>
      <w:r w:rsidR="006E6DFE">
        <w:t xml:space="preserve">relevant </w:t>
      </w:r>
      <w:r>
        <w:t>participants have accurately represented their capabilities and will follow dispatch instructions, other than in the limited circumstances allowed by the Rules. This enables AEMO to assess its security management options based on accurate information, including where necessary, issuing directions to participants. Furthermore</w:t>
      </w:r>
      <w:r w:rsidR="00B16B49">
        <w:t>,</w:t>
      </w:r>
      <w:r w:rsidR="006E6DFE">
        <w:t xml:space="preserve"> market</w:t>
      </w:r>
      <w:r>
        <w:t xml:space="preserve"> participants then have confidence that the market price and dispatch instructions calcul</w:t>
      </w:r>
      <w:r w:rsidR="001C68DD">
        <w:t>ated by AEMO result</w:t>
      </w:r>
      <w:r>
        <w:t xml:space="preserve"> from a process where all participants have provided accurate information to AEMO that appropriately reflects their capability.</w:t>
      </w:r>
    </w:p>
    <w:p w:rsidR="0008120D" w:rsidRDefault="0008120D" w:rsidP="0008120D">
      <w:r>
        <w:t xml:space="preserve">Failure to accurately represent capability or follow dispatch instructions distorts market forecasts and outcomes and inevitably affects other </w:t>
      </w:r>
      <w:r w:rsidR="00186214">
        <w:t xml:space="preserve">market </w:t>
      </w:r>
      <w:r>
        <w:t>participants in the NEM. Non-compliance with dispatch instructions can increase the requirement for frequency control ancillary services at a greater market cost. These are costs that are borne by all registered participants, and therefore ultimately by consumers. Not following dispatch instructions can, over time, also result in an increase in the safety margins used by AEMO and network service providers in determining the technical envelope in which the power system can operate, reducing its utilisation and compromising its operation.</w:t>
      </w:r>
    </w:p>
    <w:p w:rsidR="00213A2B" w:rsidRDefault="00213A2B" w:rsidP="00213A2B">
      <w:pPr>
        <w:pStyle w:val="Heading2"/>
        <w:ind w:left="680" w:hanging="680"/>
      </w:pPr>
      <w:r w:rsidRPr="00324220">
        <w:t>The relationship between clauses 4.9.8(a) and 3.8.23</w:t>
      </w:r>
      <w:r>
        <w:t xml:space="preserve"> </w:t>
      </w:r>
    </w:p>
    <w:p w:rsidR="00213A2B" w:rsidRDefault="00213A2B" w:rsidP="009E223F">
      <w:pPr>
        <w:pStyle w:val="BodyTextIndent"/>
        <w:ind w:left="0"/>
      </w:pPr>
      <w:r>
        <w:t xml:space="preserve">Chapter 4 of the Rules describes the obligations of participants that operate in the NEM. As outlined above, clause 4.9.8(a) describes the requirement for registered participants to comply with dispatch instructions, as this is fundamental to the secure operation of the power system. </w:t>
      </w:r>
    </w:p>
    <w:p w:rsidR="00213A2B" w:rsidRDefault="00213A2B" w:rsidP="00213A2B">
      <w:pPr>
        <w:pStyle w:val="BodyTextIndent"/>
        <w:ind w:left="0"/>
      </w:pPr>
      <w:r>
        <w:t xml:space="preserve">Chapter 3 of the Rules describes the </w:t>
      </w:r>
      <w:r w:rsidRPr="009E223F">
        <w:t>procedures which govern the operation of the market relating to the wholesale trading of electricity and the provision of ancillary services</w:t>
      </w:r>
      <w:r>
        <w:t xml:space="preserve">. Rule 3.8 covers spot market operation and </w:t>
      </w:r>
      <w:r w:rsidRPr="00E03793">
        <w:t xml:space="preserve">clause 3.8.23 </w:t>
      </w:r>
      <w:r>
        <w:t xml:space="preserve">places obligations on AEMO to act to </w:t>
      </w:r>
      <w:r w:rsidRPr="00FF7D86">
        <w:t>ensur</w:t>
      </w:r>
      <w:r>
        <w:t>e</w:t>
      </w:r>
      <w:r w:rsidRPr="00FF7D86">
        <w:t xml:space="preserve"> </w:t>
      </w:r>
      <w:r>
        <w:t xml:space="preserve">it can </w:t>
      </w:r>
      <w:r w:rsidRPr="00FF7D86">
        <w:t>realign pricing and dispatch outcomes within a tolerable time and</w:t>
      </w:r>
      <w:r>
        <w:t xml:space="preserve"> </w:t>
      </w:r>
      <w:r w:rsidRPr="00E03793">
        <w:t xml:space="preserve">accuracy. </w:t>
      </w:r>
      <w:r>
        <w:lastRenderedPageBreak/>
        <w:t>AEMO</w:t>
      </w:r>
      <w:r w:rsidRPr="00E03793">
        <w:t xml:space="preserve"> has developed and amends</w:t>
      </w:r>
      <w:r>
        <w:t>,</w:t>
      </w:r>
      <w:r w:rsidRPr="00E03793">
        <w:t xml:space="preserve"> from time to time, procedures for</w:t>
      </w:r>
      <w:r>
        <w:t xml:space="preserve"> </w:t>
      </w:r>
      <w:r w:rsidRPr="00E03793">
        <w:t>managing failure to conform to dispatch instructions under</w:t>
      </w:r>
      <w:r w:rsidR="0015792F" w:rsidRPr="0015792F">
        <w:t xml:space="preserve"> </w:t>
      </w:r>
      <w:r w:rsidR="0015792F" w:rsidRPr="00E03793">
        <w:t>clause 3.8.23</w:t>
      </w:r>
      <w:r w:rsidRPr="00E03793">
        <w:t xml:space="preserve"> of the Rules.</w:t>
      </w:r>
      <w:r>
        <w:t xml:space="preserve"> </w:t>
      </w:r>
    </w:p>
    <w:p w:rsidR="00213A2B" w:rsidRDefault="00213A2B" w:rsidP="00213A2B">
      <w:r>
        <w:t>S</w:t>
      </w:r>
      <w:r w:rsidRPr="00E03793">
        <w:t xml:space="preserve">ome industry participants </w:t>
      </w:r>
      <w:r>
        <w:t xml:space="preserve">are under the misapprehension that </w:t>
      </w:r>
      <w:r w:rsidR="009211AA">
        <w:t xml:space="preserve">they have sufficiently complied with </w:t>
      </w:r>
      <w:r w:rsidRPr="00E03793">
        <w:t xml:space="preserve">clause 4.9.8(a) </w:t>
      </w:r>
      <w:r>
        <w:t xml:space="preserve">unless they are flagged as </w:t>
      </w:r>
      <w:r w:rsidRPr="00E03793">
        <w:t xml:space="preserve">non-conforming by </w:t>
      </w:r>
      <w:r>
        <w:t>AEMO</w:t>
      </w:r>
      <w:r w:rsidRPr="00E03793">
        <w:t xml:space="preserve"> under clause 3.8.23.</w:t>
      </w:r>
      <w:r>
        <w:t xml:space="preserve"> This is incorrect. The obligation placed on registered participants under clause 4.9.8(a) is a separate and distinct obligation. However, compliance with clause 4.9.8(a) means, by implication, that a </w:t>
      </w:r>
      <w:r w:rsidR="00186214">
        <w:t xml:space="preserve">registered </w:t>
      </w:r>
      <w:r>
        <w:t>participant cannot be non-conforming under clause 3.8.23.</w:t>
      </w:r>
    </w:p>
    <w:p w:rsidR="00213A2B" w:rsidRDefault="00213A2B" w:rsidP="00213A2B">
      <w:pPr>
        <w:pStyle w:val="Heading1"/>
      </w:pPr>
      <w:r>
        <w:t>Our compliance and enforcement approach</w:t>
      </w:r>
    </w:p>
    <w:p w:rsidR="00B35B79" w:rsidRDefault="00213A2B" w:rsidP="00213A2B">
      <w:r>
        <w:t xml:space="preserve">This section sets out our approach to </w:t>
      </w:r>
      <w:r w:rsidR="009211AA">
        <w:t xml:space="preserve">participants’ </w:t>
      </w:r>
      <w:r>
        <w:t xml:space="preserve">compliance </w:t>
      </w:r>
      <w:r w:rsidR="009211AA">
        <w:t xml:space="preserve">with </w:t>
      </w:r>
      <w:r>
        <w:t xml:space="preserve">and enforcement of clause 4.9.8. </w:t>
      </w:r>
      <w:r w:rsidR="00FC431F">
        <w:t>Whilst this compliance bulletin is primarily aimed at compliance with dispatch instructions and/or offers for energy</w:t>
      </w:r>
      <w:r w:rsidR="004713E3">
        <w:t>,</w:t>
      </w:r>
      <w:r w:rsidR="00FC431F">
        <w:t xml:space="preserve"> it is equally applicable to other types of dispatch instructions. </w:t>
      </w:r>
    </w:p>
    <w:p w:rsidR="008E6BB1" w:rsidRDefault="00213A2B" w:rsidP="00B64E3D">
      <w:r>
        <w:t xml:space="preserve">We do not consider that there is a conflict between achieving compliance with dispatch instructions </w:t>
      </w:r>
      <w:r w:rsidR="009211AA">
        <w:t xml:space="preserve">where the participant has been </w:t>
      </w:r>
      <w:r>
        <w:t xml:space="preserve">issued </w:t>
      </w:r>
      <w:r w:rsidR="009211AA">
        <w:t xml:space="preserve">with instructions </w:t>
      </w:r>
      <w:r>
        <w:t>for different services, such as energy and frequency control ancillary services</w:t>
      </w:r>
      <w:r w:rsidR="00DA61DC">
        <w:t xml:space="preserve"> (FCAS)</w:t>
      </w:r>
      <w:r>
        <w:t>.</w:t>
      </w:r>
      <w:r w:rsidR="00456698">
        <w:t xml:space="preserve"> </w:t>
      </w:r>
    </w:p>
    <w:p w:rsidR="00B64E3D" w:rsidRDefault="00B64E3D" w:rsidP="00B64E3D">
      <w:r>
        <w:t xml:space="preserve">AEMO will only acquire FCAS services from a scheduled generating unit if the scheduled generator has classified one or more of its generating units as </w:t>
      </w:r>
      <w:r w:rsidR="004D0A90">
        <w:t xml:space="preserve">an </w:t>
      </w:r>
      <w:r>
        <w:t xml:space="preserve">ancillary service generating unit and submitted a market ancillary services offer. </w:t>
      </w:r>
      <w:r w:rsidR="008E6BB1">
        <w:t xml:space="preserve">AEMO will issue dispatch instructions based on </w:t>
      </w:r>
      <w:r w:rsidR="004D0A90">
        <w:t xml:space="preserve">FCAS </w:t>
      </w:r>
      <w:r w:rsidR="008E6BB1">
        <w:t>providers’ offers. The</w:t>
      </w:r>
      <w:r w:rsidR="004D0A90">
        <w:t>se</w:t>
      </w:r>
      <w:r w:rsidR="008E6BB1">
        <w:t xml:space="preserve"> </w:t>
      </w:r>
      <w:r>
        <w:t xml:space="preserve">instructions </w:t>
      </w:r>
      <w:r w:rsidR="004D0A90">
        <w:t xml:space="preserve">will </w:t>
      </w:r>
      <w:r>
        <w:t xml:space="preserve">notify </w:t>
      </w:r>
      <w:r w:rsidR="004D0A90">
        <w:t xml:space="preserve">a scheduled generator </w:t>
      </w:r>
      <w:r>
        <w:t>i</w:t>
      </w:r>
      <w:r w:rsidR="00FC431F">
        <w:t>f</w:t>
      </w:r>
      <w:r>
        <w:t xml:space="preserve"> the generating unit has been enabled for the provision of FCAS </w:t>
      </w:r>
      <w:r w:rsidR="008E6BB1">
        <w:t>during the dispatch interval</w:t>
      </w:r>
      <w:r>
        <w:t xml:space="preserve">. </w:t>
      </w:r>
    </w:p>
    <w:p w:rsidR="00B64E3D" w:rsidRDefault="008E6BB1" w:rsidP="00B64E3D">
      <w:r>
        <w:t xml:space="preserve">It is possible that the </w:t>
      </w:r>
      <w:r w:rsidR="00B64E3D">
        <w:t xml:space="preserve">provision of an FCAS </w:t>
      </w:r>
      <w:r w:rsidR="00FC431F">
        <w:t xml:space="preserve">service </w:t>
      </w:r>
      <w:r>
        <w:t xml:space="preserve">will require a </w:t>
      </w:r>
      <w:r w:rsidR="00B64E3D">
        <w:t xml:space="preserve">unit </w:t>
      </w:r>
      <w:r>
        <w:t xml:space="preserve">to adjust its output at the end of the five minute dispatch interval away </w:t>
      </w:r>
      <w:r w:rsidR="00B64E3D">
        <w:t xml:space="preserve">from </w:t>
      </w:r>
      <w:r w:rsidR="004D0A90">
        <w:t xml:space="preserve">the target output specified in an earlier </w:t>
      </w:r>
      <w:r w:rsidR="00B64E3D">
        <w:t>dispatch instruction</w:t>
      </w:r>
      <w:r w:rsidR="004D0A90">
        <w:t>. In these circumstances</w:t>
      </w:r>
      <w:r w:rsidR="00B64E3D">
        <w:t xml:space="preserve">, </w:t>
      </w:r>
      <w:r w:rsidR="004D0A90">
        <w:t xml:space="preserve">the </w:t>
      </w:r>
      <w:r w:rsidR="00B64E3D">
        <w:t xml:space="preserve">prior issued energy dispatch instruction would be qualified to the extent of any inconsistency resulting from a subsequent </w:t>
      </w:r>
      <w:r w:rsidR="004D0A90">
        <w:t xml:space="preserve">provision </w:t>
      </w:r>
      <w:r w:rsidR="00B64E3D">
        <w:t xml:space="preserve">of FCAS </w:t>
      </w:r>
      <w:r w:rsidR="004D0A90">
        <w:t>(</w:t>
      </w:r>
      <w:r w:rsidR="00B64E3D">
        <w:t xml:space="preserve">pursuant to </w:t>
      </w:r>
      <w:r w:rsidR="004D0A90">
        <w:t xml:space="preserve">the FCAS </w:t>
      </w:r>
      <w:r w:rsidR="00B64E3D">
        <w:t>enablement dispatch instruction</w:t>
      </w:r>
      <w:r w:rsidR="004D0A90">
        <w:t>)</w:t>
      </w:r>
      <w:r w:rsidR="00B64E3D">
        <w:t xml:space="preserve">. </w:t>
      </w:r>
    </w:p>
    <w:p w:rsidR="008E6BB1" w:rsidRPr="00F856B1" w:rsidRDefault="00B64E3D" w:rsidP="00213A2B">
      <w:r>
        <w:t>W</w:t>
      </w:r>
      <w:r w:rsidR="00213A2B">
        <w:t xml:space="preserve">hen assessing compliance with 4.9.8(a), the AER </w:t>
      </w:r>
      <w:r>
        <w:t xml:space="preserve">is cognisant of the different types of </w:t>
      </w:r>
      <w:r w:rsidR="00213A2B">
        <w:t>dispatch instructions issued</w:t>
      </w:r>
      <w:r>
        <w:t xml:space="preserve"> to </w:t>
      </w:r>
      <w:r w:rsidR="005E3EF3">
        <w:t>registered</w:t>
      </w:r>
      <w:r>
        <w:t xml:space="preserve"> participants</w:t>
      </w:r>
      <w:r w:rsidR="004D0A90" w:rsidRPr="004D0A90">
        <w:t xml:space="preserve"> </w:t>
      </w:r>
      <w:r w:rsidR="004D0A90">
        <w:t>(that is, we</w:t>
      </w:r>
      <w:r w:rsidR="004D0A90" w:rsidRPr="00F13A1D">
        <w:t xml:space="preserve"> take into consideration whether the relevant generating unit was providing </w:t>
      </w:r>
      <w:r w:rsidR="004D0A90">
        <w:t xml:space="preserve">FCAS </w:t>
      </w:r>
      <w:r w:rsidR="004D0A90" w:rsidRPr="00F13A1D">
        <w:t>when assessing deviations from energy target</w:t>
      </w:r>
      <w:r w:rsidR="004D0A90">
        <w:t>)</w:t>
      </w:r>
      <w:r w:rsidR="00213A2B">
        <w:t>.</w:t>
      </w:r>
    </w:p>
    <w:p w:rsidR="00213A2B" w:rsidRDefault="00213A2B" w:rsidP="00213A2B">
      <w:pPr>
        <w:pStyle w:val="Heading2"/>
      </w:pPr>
      <w:r>
        <w:t xml:space="preserve">Subclauses 4.9.8(a)-(e) </w:t>
      </w:r>
    </w:p>
    <w:p w:rsidR="00213A2B" w:rsidRDefault="00213A2B" w:rsidP="00213A2B">
      <w:r>
        <w:t xml:space="preserve">AEMO issues dispatch instructions for energy based on a registered participant's offer (including ramp rates) amongst other information. Other dispatch instructions may also be made by AEMO regarding FCAS and changes to plant configuration. The dispatch instructions issued to each generator, load or network service provider are based on their offers or bids. The subclauses of clause 4.9.8 are designed to work together: subclauses 4.9.8(b)-(e) require a </w:t>
      </w:r>
      <w:r w:rsidR="00AE7BD9">
        <w:t xml:space="preserve">market </w:t>
      </w:r>
      <w:r>
        <w:t>participant to provide an offer with which it can comply, thereby promoting compliance with subclause 4.9.8(a).</w:t>
      </w:r>
    </w:p>
    <w:p w:rsidR="00AE7BD9" w:rsidRDefault="00213A2B" w:rsidP="00213A2B">
      <w:r>
        <w:lastRenderedPageBreak/>
        <w:t xml:space="preserve">Subclauses 4.9.8(a)-(e) are </w:t>
      </w:r>
      <w:r w:rsidR="001C68DD">
        <w:t>separate and distinct obligations which are</w:t>
      </w:r>
      <w:r>
        <w:t xml:space="preserve"> </w:t>
      </w:r>
      <w:r w:rsidR="001C68DD">
        <w:t xml:space="preserve">separately </w:t>
      </w:r>
      <w:r>
        <w:t>enforceable. For example, a scheduled generator that is at all times able to comply with its latest offer but does not follow a dispatch instruction, where there is no hazard to public safety or a material risk of equipment damage, may satisfy clause 4.9.8(b) but breach clause 4.9.8(a).</w:t>
      </w:r>
      <w:r w:rsidR="00072EB0">
        <w:t xml:space="preserve"> </w:t>
      </w:r>
      <w:r w:rsidR="00AE7BD9">
        <w:t xml:space="preserve">Conversely, regardless of whether dispatch instructions </w:t>
      </w:r>
      <w:r w:rsidR="00072EB0">
        <w:t xml:space="preserve">were </w:t>
      </w:r>
      <w:r w:rsidR="00AE7BD9">
        <w:t>followed as required by clause 4.9.8(a), if a scheduled generator</w:t>
      </w:r>
      <w:r w:rsidR="00072EB0">
        <w:t>’s offer or rebid did</w:t>
      </w:r>
      <w:r w:rsidR="00AE7BD9">
        <w:t xml:space="preserve"> not reflect the capability of that </w:t>
      </w:r>
      <w:r w:rsidR="00072EB0">
        <w:t>generator</w:t>
      </w:r>
      <w:r w:rsidR="00AE7BD9">
        <w:t xml:space="preserve"> </w:t>
      </w:r>
      <w:r w:rsidR="00072EB0">
        <w:t>at any point in time, the generator may be in breach of clause 4.9.8(b).</w:t>
      </w:r>
    </w:p>
    <w:p w:rsidR="00213A2B" w:rsidRPr="00763AB4" w:rsidRDefault="00213A2B" w:rsidP="00213A2B">
      <w:pPr>
        <w:pStyle w:val="Heading2"/>
      </w:pPr>
      <w:r>
        <w:t>Complying with the current dispatch instruction</w:t>
      </w:r>
    </w:p>
    <w:p w:rsidR="00213A2B" w:rsidRPr="00576731" w:rsidRDefault="00213A2B" w:rsidP="00213A2B">
      <w:r>
        <w:t xml:space="preserve">Attempts to manage a generating unit's ability to comply with an expected dispatch instruction for a </w:t>
      </w:r>
      <w:r w:rsidRPr="009E223F">
        <w:rPr>
          <w:u w:val="single"/>
        </w:rPr>
        <w:t>future</w:t>
      </w:r>
      <w:r>
        <w:t xml:space="preserve"> dispatch interval do not relieve a registered participant</w:t>
      </w:r>
      <w:r w:rsidR="004713E3">
        <w:t xml:space="preserve"> of its</w:t>
      </w:r>
      <w:r>
        <w:t xml:space="preserve"> obligation to comply with a </w:t>
      </w:r>
      <w:r w:rsidRPr="009E223F">
        <w:rPr>
          <w:u w:val="single"/>
        </w:rPr>
        <w:t>current</w:t>
      </w:r>
      <w:r>
        <w:t xml:space="preserve"> dispatch instruction issued by AEMO. </w:t>
      </w:r>
    </w:p>
    <w:p w:rsidR="00213A2B" w:rsidRDefault="00DC6F7B" w:rsidP="00213A2B">
      <w:r>
        <w:t>In the Snowy Hydro matter, t</w:t>
      </w:r>
      <w:r w:rsidR="00213A2B">
        <w:t>he Federal Court accepted the proposition that a generating unit’s ability to comply with an expected dispatch instruction for a future dispatch interval could not (of itself and without more) lawfully excuse a failure to comply with a dispatch instruction.</w:t>
      </w:r>
      <w:r w:rsidR="00213A2B">
        <w:rPr>
          <w:rStyle w:val="FootnoteReference"/>
        </w:rPr>
        <w:footnoteReference w:id="7"/>
      </w:r>
      <w:r w:rsidR="00213A2B">
        <w:t xml:space="preserve"> For example, w</w:t>
      </w:r>
      <w:r w:rsidR="00213A2B" w:rsidRPr="00BA4A5E">
        <w:t xml:space="preserve">here </w:t>
      </w:r>
      <w:r w:rsidR="00213A2B">
        <w:t>a registered participant</w:t>
      </w:r>
      <w:r w:rsidR="00213A2B" w:rsidRPr="00BA4A5E">
        <w:t xml:space="preserve"> is aware that </w:t>
      </w:r>
      <w:r w:rsidR="00213A2B">
        <w:t>a unit</w:t>
      </w:r>
      <w:r w:rsidR="00213A2B" w:rsidRPr="00BA4A5E">
        <w:t xml:space="preserve"> </w:t>
      </w:r>
      <w:r w:rsidR="00213A2B">
        <w:t>is</w:t>
      </w:r>
      <w:r w:rsidR="00213A2B" w:rsidRPr="00BA4A5E">
        <w:t xml:space="preserve"> deviating from dispatch </w:t>
      </w:r>
      <w:r w:rsidR="00213A2B">
        <w:t>instructions</w:t>
      </w:r>
      <w:r w:rsidR="00213A2B" w:rsidRPr="00BA4A5E">
        <w:t>,</w:t>
      </w:r>
      <w:r w:rsidR="00213A2B">
        <w:t xml:space="preserve"> </w:t>
      </w:r>
      <w:r w:rsidR="00213A2B" w:rsidRPr="00BA4A5E">
        <w:t xml:space="preserve">immediate steps should be taken to </w:t>
      </w:r>
      <w:r w:rsidR="00F24C5A">
        <w:t>comply</w:t>
      </w:r>
      <w:r w:rsidR="00213A2B">
        <w:t>.</w:t>
      </w:r>
      <w:r w:rsidR="00213A2B" w:rsidRPr="00BA4A5E">
        <w:t xml:space="preserve"> </w:t>
      </w:r>
      <w:r w:rsidR="00213A2B">
        <w:t xml:space="preserve">The possibility that such steps may result in future dispatch instructions that require a rapid shut-down and start-up cycle is irrelevant. </w:t>
      </w:r>
    </w:p>
    <w:p w:rsidR="00213A2B" w:rsidRDefault="00213A2B" w:rsidP="00213A2B">
      <w:r>
        <w:t xml:space="preserve">In the AER’s view, wear and tear on a plant as a result of its operation does not amount to </w:t>
      </w:r>
      <w:r w:rsidR="00072EB0">
        <w:t xml:space="preserve">a </w:t>
      </w:r>
      <w:r>
        <w:t xml:space="preserve">material risk </w:t>
      </w:r>
      <w:r w:rsidR="00072EB0">
        <w:t xml:space="preserve">of </w:t>
      </w:r>
      <w:r>
        <w:t>damaging equipment for the purposes of clause 4.9.8(a).</w:t>
      </w:r>
      <w:r>
        <w:rPr>
          <w:rStyle w:val="FootnoteReference"/>
        </w:rPr>
        <w:footnoteReference w:id="8"/>
      </w:r>
      <w:r>
        <w:rPr>
          <w:rStyle w:val="CommentReference"/>
        </w:rPr>
        <w:t xml:space="preserve"> </w:t>
      </w:r>
      <w:r w:rsidR="003A0677">
        <w:t>Registered p</w:t>
      </w:r>
      <w:r>
        <w:t xml:space="preserve">articipants have the ability to limit their exposure to rapid shut-down and start-up cycles through the structure of dispatch offers and by rebidding and should be cognisant of the application of 4.9.8(b) in this regard. </w:t>
      </w:r>
    </w:p>
    <w:p w:rsidR="00213A2B" w:rsidRPr="0003437A" w:rsidRDefault="00213A2B" w:rsidP="00213A2B">
      <w:pPr>
        <w:pStyle w:val="Heading2"/>
      </w:pPr>
      <w:r>
        <w:t>Compliance with latest generation dispatch offer</w:t>
      </w:r>
    </w:p>
    <w:p w:rsidR="00213A2B" w:rsidRDefault="00213A2B" w:rsidP="00213A2B">
      <w:r>
        <w:t>Subc</w:t>
      </w:r>
      <w:r w:rsidRPr="00F01A2F">
        <w:t>lause</w:t>
      </w:r>
      <w:r>
        <w:t>s</w:t>
      </w:r>
      <w:r w:rsidRPr="00F01A2F">
        <w:t xml:space="preserve"> 4.9.8(b)</w:t>
      </w:r>
      <w:r>
        <w:t>-(e) of the Rules</w:t>
      </w:r>
      <w:r w:rsidRPr="00F01A2F">
        <w:t xml:space="preserve"> require that each </w:t>
      </w:r>
      <w:r>
        <w:t>generator, load and network service provider</w:t>
      </w:r>
      <w:r w:rsidRPr="00F01A2F">
        <w:t xml:space="preserve"> is at all</w:t>
      </w:r>
      <w:r>
        <w:t xml:space="preserve"> </w:t>
      </w:r>
      <w:r w:rsidRPr="00F01A2F">
        <w:t>times able to comply with the latest dispatch offer</w:t>
      </w:r>
      <w:r>
        <w:t xml:space="preserve"> or bid</w:t>
      </w:r>
      <w:r w:rsidRPr="00F01A2F">
        <w:t xml:space="preserve"> submitted in respect</w:t>
      </w:r>
      <w:r>
        <w:t xml:space="preserve"> </w:t>
      </w:r>
      <w:r w:rsidRPr="00F01A2F">
        <w:t>of that unit</w:t>
      </w:r>
      <w:r>
        <w:t>, load or facility</w:t>
      </w:r>
      <w:r w:rsidRPr="00F01A2F">
        <w:t>.</w:t>
      </w:r>
      <w:r>
        <w:t xml:space="preserve"> There are no qualifications in the application of these subclauses. </w:t>
      </w:r>
      <w:r w:rsidRPr="00F5680A">
        <w:t xml:space="preserve">Given that the NEM operates on a 5-minute basis, </w:t>
      </w:r>
      <w:r>
        <w:t xml:space="preserve">the offer of each generator, load or network service provider </w:t>
      </w:r>
      <w:r w:rsidRPr="007819A3">
        <w:t>must</w:t>
      </w:r>
      <w:r>
        <w:t xml:space="preserve"> be</w:t>
      </w:r>
      <w:r w:rsidRPr="007819A3">
        <w:t xml:space="preserve"> monitor</w:t>
      </w:r>
      <w:r>
        <w:t>ed and varied</w:t>
      </w:r>
      <w:r w:rsidRPr="007819A3">
        <w:t xml:space="preserve"> as required to ensure it always complies with </w:t>
      </w:r>
      <w:r>
        <w:t>the capability of that unit, load or facility</w:t>
      </w:r>
      <w:r w:rsidRPr="007819A3">
        <w:t xml:space="preserve"> as conditions change</w:t>
      </w:r>
      <w:r>
        <w:t>, and that it rebids where necessary</w:t>
      </w:r>
      <w:r w:rsidRPr="007819A3">
        <w:t>.</w:t>
      </w:r>
    </w:p>
    <w:p w:rsidR="00303C4A" w:rsidRDefault="00213A2B" w:rsidP="00461BF6">
      <w:r>
        <w:t>AEMO</w:t>
      </w:r>
      <w:r w:rsidRPr="00695F0C">
        <w:t xml:space="preserve">'s dispatch engine issues </w:t>
      </w:r>
      <w:r>
        <w:t xml:space="preserve">dispatch </w:t>
      </w:r>
      <w:r w:rsidRPr="00695F0C">
        <w:t>instructions</w:t>
      </w:r>
      <w:r>
        <w:t xml:space="preserve"> in accordance with the latest offer or bid submitted in respect of a generator, load or network service provider. An offer or bid must not be submitted in respect of a generator, load or network service provider that cannot be complied with due to the technical and physical limitations of the unit. If the physical or technical limitations of a unit, load or facility change as a result of a change in conditions, the </w:t>
      </w:r>
      <w:r w:rsidR="003A0677">
        <w:t xml:space="preserve">relevant </w:t>
      </w:r>
      <w:r>
        <w:t xml:space="preserve">participant should rebid to avoid its latest offer resulting in a dispatch instruction that the </w:t>
      </w:r>
      <w:r w:rsidRPr="009D5225">
        <w:t>unit</w:t>
      </w:r>
      <w:r>
        <w:t>, load or facility</w:t>
      </w:r>
      <w:r w:rsidRPr="009D5225">
        <w:t xml:space="preserve"> is unable to follow.</w:t>
      </w:r>
    </w:p>
    <w:sectPr w:rsidR="00303C4A" w:rsidSect="00691616">
      <w:footerReference w:type="first" r:id="rId18"/>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9C9" w:rsidRDefault="001F09C9" w:rsidP="004B4412">
      <w:pPr>
        <w:spacing w:before="0"/>
      </w:pPr>
      <w:r>
        <w:separator/>
      </w:r>
    </w:p>
  </w:endnote>
  <w:endnote w:type="continuationSeparator" w:id="0">
    <w:p w:rsidR="001F09C9" w:rsidRDefault="001F09C9"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57E" w:rsidRDefault="001035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0D4" w:rsidRPr="007A4D1F" w:rsidRDefault="004B50D4" w:rsidP="007A4D1F">
    <w:pPr>
      <w:tabs>
        <w:tab w:val="left" w:pos="1623"/>
        <w:tab w:val="center" w:pos="4513"/>
        <w:tab w:val="right" w:pos="9026"/>
      </w:tabs>
      <w:spacing w:after="120"/>
      <w:rPr>
        <w:rFonts w:eastAsia="Arial" w:cs="Times New Roman"/>
        <w:color w:val="000000" w:themeColor="text1"/>
        <w:sz w:val="18"/>
      </w:rPr>
    </w:pPr>
    <w:r>
      <w:rPr>
        <w:rFonts w:eastAsia="Arial" w:cs="Times New Roman"/>
        <w:color w:val="000000" w:themeColor="text1"/>
        <w:sz w:val="18"/>
      </w:rPr>
      <w:fldChar w:fldCharType="begin"/>
    </w:r>
    <w:r>
      <w:rPr>
        <w:rFonts w:eastAsia="Arial" w:cs="Times New Roman"/>
        <w:color w:val="000000" w:themeColor="text1"/>
        <w:sz w:val="18"/>
      </w:rPr>
      <w:instrText xml:space="preserve"> STYLEREF  "Report Title"  \* MERGEFORMAT </w:instrText>
    </w:r>
    <w:r>
      <w:rPr>
        <w:rFonts w:eastAsia="Arial" w:cs="Times New Roman"/>
        <w:color w:val="000000" w:themeColor="text1"/>
        <w:sz w:val="18"/>
      </w:rPr>
      <w:fldChar w:fldCharType="separate"/>
    </w:r>
    <w:r w:rsidR="0051590A">
      <w:rPr>
        <w:rFonts w:eastAsia="Arial" w:cs="Times New Roman"/>
        <w:noProof/>
        <w:color w:val="000000" w:themeColor="text1"/>
        <w:sz w:val="18"/>
      </w:rPr>
      <w:t>Compliance with dispatch instructions, offers and bids</w:t>
    </w:r>
    <w:r>
      <w:rPr>
        <w:rFonts w:eastAsia="Arial" w:cs="Times New Roman"/>
        <w:color w:val="000000" w:themeColor="text1"/>
        <w:sz w:val="18"/>
      </w:rPr>
      <w:fldChar w:fldCharType="end"/>
    </w:r>
    <w:r w:rsidRPr="007A4D1F">
      <w:rPr>
        <w:rFonts w:eastAsia="Arial" w:cs="Times New Roman"/>
        <w:color w:val="000000" w:themeColor="text1"/>
        <w:sz w:val="18"/>
      </w:rPr>
      <w:tab/>
    </w:r>
    <w:r w:rsidRPr="007A4D1F">
      <w:rPr>
        <w:rFonts w:eastAsia="Arial" w:cs="Times New Roman"/>
        <w:color w:val="000000" w:themeColor="text1"/>
        <w:sz w:val="18"/>
      </w:rPr>
      <w:tab/>
    </w:r>
    <w:r w:rsidRPr="007A4D1F">
      <w:rPr>
        <w:rFonts w:eastAsia="Arial" w:cs="Times New Roman"/>
        <w:color w:val="000000" w:themeColor="text1"/>
        <w:sz w:val="18"/>
      </w:rPr>
      <w:tab/>
    </w:r>
    <w:r w:rsidRPr="007A4D1F">
      <w:rPr>
        <w:rFonts w:eastAsia="Arial" w:cs="Times New Roman"/>
        <w:color w:val="000000" w:themeColor="text1"/>
        <w:sz w:val="18"/>
      </w:rPr>
      <w:fldChar w:fldCharType="begin"/>
    </w:r>
    <w:r w:rsidRPr="007A4D1F">
      <w:rPr>
        <w:rFonts w:eastAsia="Arial" w:cs="Times New Roman"/>
        <w:color w:val="000000" w:themeColor="text1"/>
        <w:sz w:val="18"/>
      </w:rPr>
      <w:instrText xml:space="preserve"> PAGE   \* MERGEFORMAT </w:instrText>
    </w:r>
    <w:r w:rsidRPr="007A4D1F">
      <w:rPr>
        <w:rFonts w:eastAsia="Arial" w:cs="Times New Roman"/>
        <w:color w:val="000000" w:themeColor="text1"/>
        <w:sz w:val="18"/>
      </w:rPr>
      <w:fldChar w:fldCharType="separate"/>
    </w:r>
    <w:r w:rsidR="0051590A">
      <w:rPr>
        <w:rFonts w:eastAsia="Arial" w:cs="Times New Roman"/>
        <w:noProof/>
        <w:color w:val="000000" w:themeColor="text1"/>
        <w:sz w:val="18"/>
      </w:rPr>
      <w:t>i</w:t>
    </w:r>
    <w:r w:rsidRPr="007A4D1F">
      <w:rPr>
        <w:rFonts w:eastAsia="Arial" w:cs="Times New Roman"/>
        <w:noProof/>
        <w:color w:val="000000" w:themeColor="text1"/>
        <w:sz w:val="18"/>
      </w:rPr>
      <w:fldChar w:fldCharType="end"/>
    </w:r>
    <w:r w:rsidRPr="007A4D1F">
      <w:rPr>
        <w:rFonts w:eastAsia="Arial" w:cs="Times New Roman"/>
        <w:color w:val="000000" w:themeColor="text1"/>
        <w:sz w:val="18"/>
      </w:rPr>
      <w:tab/>
    </w:r>
  </w:p>
  <w:p w:rsidR="004B50D4" w:rsidRDefault="004B50D4" w:rsidP="00A60023">
    <w:pPr>
      <w:pStyle w:val="Footer"/>
      <w:tabs>
        <w:tab w:val="clear" w:pos="4513"/>
        <w:tab w:val="clear" w:pos="9026"/>
        <w:tab w:val="left" w:pos="85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57E" w:rsidRDefault="0010357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9C9" w:rsidRDefault="001F09C9" w:rsidP="004B4412">
      <w:pPr>
        <w:spacing w:before="0"/>
      </w:pPr>
      <w:r>
        <w:separator/>
      </w:r>
    </w:p>
  </w:footnote>
  <w:footnote w:type="continuationSeparator" w:id="0">
    <w:p w:rsidR="001F09C9" w:rsidRDefault="001F09C9" w:rsidP="004B4412">
      <w:pPr>
        <w:spacing w:before="0"/>
      </w:pPr>
      <w:r>
        <w:continuationSeparator/>
      </w:r>
    </w:p>
  </w:footnote>
  <w:footnote w:id="1">
    <w:p w:rsidR="00213A2B" w:rsidRDefault="00213A2B" w:rsidP="00213A2B">
      <w:pPr>
        <w:pStyle w:val="FootnoteText"/>
      </w:pPr>
      <w:r>
        <w:rPr>
          <w:rStyle w:val="FootnoteReference"/>
        </w:rPr>
        <w:footnoteRef/>
      </w:r>
      <w:r>
        <w:t xml:space="preserve"> </w:t>
      </w:r>
      <w:r>
        <w:tab/>
      </w:r>
      <w:hyperlink r:id="rId1" w:history="1">
        <w:r w:rsidRPr="00BB210F">
          <w:rPr>
            <w:rStyle w:val="Hyperlink"/>
            <w:sz w:val="16"/>
            <w:szCs w:val="16"/>
          </w:rPr>
          <w:t>http://www.aer.gov.au/node/1188</w:t>
        </w:r>
      </w:hyperlink>
      <w:r>
        <w:t xml:space="preserve"> </w:t>
      </w:r>
    </w:p>
  </w:footnote>
  <w:footnote w:id="2">
    <w:p w:rsidR="00EF4D49" w:rsidRDefault="00EF4D49">
      <w:pPr>
        <w:pStyle w:val="FootnoteText"/>
      </w:pPr>
      <w:r>
        <w:rPr>
          <w:rStyle w:val="FootnoteReference"/>
        </w:rPr>
        <w:footnoteRef/>
      </w:r>
      <w:r>
        <w:t xml:space="preserve"> </w:t>
      </w:r>
      <w:r>
        <w:tab/>
        <w:t xml:space="preserve">AER, </w:t>
      </w:r>
      <w:r w:rsidR="00461BF6" w:rsidRPr="00D91680">
        <w:rPr>
          <w:rStyle w:val="Emphasis"/>
        </w:rPr>
        <w:t>Compliance and</w:t>
      </w:r>
      <w:r w:rsidR="00461BF6" w:rsidRPr="00FA1AD4">
        <w:rPr>
          <w:rStyle w:val="Emphasis"/>
        </w:rPr>
        <w:t xml:space="preserve"> </w:t>
      </w:r>
      <w:r w:rsidRPr="00FA1AD4">
        <w:rPr>
          <w:rStyle w:val="Emphasis"/>
        </w:rPr>
        <w:t xml:space="preserve">Enforcement </w:t>
      </w:r>
      <w:r w:rsidRPr="00D91680">
        <w:rPr>
          <w:rStyle w:val="Emphasis"/>
        </w:rPr>
        <w:t>— Statement of Approach</w:t>
      </w:r>
      <w:r>
        <w:t xml:space="preserve">, April 2014: </w:t>
      </w:r>
      <w:hyperlink r:id="rId2" w:history="1">
        <w:r w:rsidRPr="00A5440D">
          <w:rPr>
            <w:rStyle w:val="Hyperlink"/>
            <w:sz w:val="16"/>
          </w:rPr>
          <w:t>https://www.aer.gov.au/publications/corporate-documents/aer-compliance-and-enforcement-statement-of-approach</w:t>
        </w:r>
      </w:hyperlink>
      <w:r>
        <w:t>.</w:t>
      </w:r>
    </w:p>
  </w:footnote>
  <w:footnote w:id="3">
    <w:p w:rsidR="00213A2B" w:rsidRDefault="00213A2B" w:rsidP="00213A2B">
      <w:pPr>
        <w:pStyle w:val="FootnoteText"/>
      </w:pPr>
      <w:r>
        <w:rPr>
          <w:rStyle w:val="FootnoteReference"/>
        </w:rPr>
        <w:footnoteRef/>
      </w:r>
      <w:r>
        <w:t xml:space="preserve"> </w:t>
      </w:r>
      <w:r>
        <w:tab/>
      </w:r>
      <w:r w:rsidRPr="00763AB4">
        <w:rPr>
          <w:rStyle w:val="Emphasis"/>
        </w:rPr>
        <w:t>Australian Energy Regulator v Snowy Hydro Ltd (No 2)</w:t>
      </w:r>
      <w:r>
        <w:t xml:space="preserve"> [2015] FCA 58 (AER v Snowy Hydro)</w:t>
      </w:r>
    </w:p>
  </w:footnote>
  <w:footnote w:id="4">
    <w:p w:rsidR="00213A2B" w:rsidRDefault="00213A2B" w:rsidP="00213A2B">
      <w:pPr>
        <w:pStyle w:val="FootnoteText"/>
      </w:pPr>
      <w:r>
        <w:rPr>
          <w:rStyle w:val="FootnoteReference"/>
        </w:rPr>
        <w:footnoteRef/>
      </w:r>
      <w:r>
        <w:t xml:space="preserve"> </w:t>
      </w:r>
      <w:r>
        <w:tab/>
        <w:t>The AER's functions and powers are outlined in Part 3, Section 15 of the National Electricity Law.</w:t>
      </w:r>
    </w:p>
  </w:footnote>
  <w:footnote w:id="5">
    <w:p w:rsidR="00213A2B" w:rsidRDefault="00213A2B" w:rsidP="00213A2B">
      <w:pPr>
        <w:pStyle w:val="FootnoteText"/>
      </w:pPr>
      <w:r>
        <w:rPr>
          <w:rStyle w:val="FootnoteReference"/>
        </w:rPr>
        <w:footnoteRef/>
      </w:r>
      <w:r>
        <w:t xml:space="preserve"> </w:t>
      </w:r>
      <w:r>
        <w:tab/>
        <w:t xml:space="preserve">Section 76 of the National Electricity Law </w:t>
      </w:r>
      <w:r w:rsidR="009F7DBC">
        <w:t xml:space="preserve">provides that an </w:t>
      </w:r>
      <w:r>
        <w:t xml:space="preserve">infringement penalty for a breach of a civil penalty provision </w:t>
      </w:r>
      <w:r w:rsidR="009F7DBC">
        <w:t xml:space="preserve">by a natural person </w:t>
      </w:r>
      <w:r>
        <w:t>is $4000</w:t>
      </w:r>
      <w:r w:rsidR="009F7DBC">
        <w:t>, and by a</w:t>
      </w:r>
      <w:r>
        <w:t xml:space="preserve"> </w:t>
      </w:r>
      <w:r w:rsidR="009F7DBC">
        <w:t>body corporate</w:t>
      </w:r>
      <w:r>
        <w:t xml:space="preserve"> $</w:t>
      </w:r>
      <w:r w:rsidR="007D0590">
        <w:t>20,</w:t>
      </w:r>
      <w:r>
        <w:t>000</w:t>
      </w:r>
      <w:r w:rsidR="007D0590">
        <w:t>.</w:t>
      </w:r>
      <w:r>
        <w:t xml:space="preserve"> </w:t>
      </w:r>
    </w:p>
  </w:footnote>
  <w:footnote w:id="6">
    <w:p w:rsidR="00413E35" w:rsidRDefault="00413E35">
      <w:pPr>
        <w:pStyle w:val="FootnoteText"/>
      </w:pPr>
      <w:r>
        <w:rPr>
          <w:rStyle w:val="FootnoteReference"/>
        </w:rPr>
        <w:footnoteRef/>
      </w:r>
      <w:r>
        <w:t xml:space="preserve"> </w:t>
      </w:r>
      <w:r w:rsidR="00C51A09" w:rsidRPr="009E223F">
        <w:rPr>
          <w:i/>
          <w:szCs w:val="16"/>
        </w:rPr>
        <w:t>Australian Energy Regulator v Snowy Hydro Limited (No.2)</w:t>
      </w:r>
      <w:r w:rsidR="00C51A09" w:rsidRPr="00C51A09">
        <w:rPr>
          <w:szCs w:val="16"/>
        </w:rPr>
        <w:t xml:space="preserve"> [2015] FCA 58</w:t>
      </w:r>
    </w:p>
  </w:footnote>
  <w:footnote w:id="7">
    <w:p w:rsidR="00213A2B" w:rsidRDefault="00213A2B" w:rsidP="00213A2B">
      <w:pPr>
        <w:pStyle w:val="FootnoteText"/>
      </w:pPr>
      <w:r>
        <w:rPr>
          <w:rStyle w:val="FootnoteReference"/>
        </w:rPr>
        <w:footnoteRef/>
      </w:r>
      <w:r>
        <w:t xml:space="preserve"> </w:t>
      </w:r>
      <w:r>
        <w:tab/>
        <w:t>For example, see paragraphs 24 and 171.</w:t>
      </w:r>
    </w:p>
  </w:footnote>
  <w:footnote w:id="8">
    <w:p w:rsidR="00213A2B" w:rsidRDefault="00213A2B" w:rsidP="00213A2B">
      <w:pPr>
        <w:pStyle w:val="FootnoteText"/>
      </w:pPr>
      <w:r>
        <w:rPr>
          <w:rStyle w:val="FootnoteReference"/>
        </w:rPr>
        <w:footnoteRef/>
      </w:r>
      <w:r>
        <w:t xml:space="preserve"> </w:t>
      </w:r>
      <w:r>
        <w:tab/>
        <w:t>The Federal Court also accepted this view on the factual basis that arose within AER v Snowy Hydro. See paragraphs 65-67, 72-74, 77-79 and 84-90.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57E" w:rsidRDefault="001035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0A5" w:rsidRDefault="00C840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57E" w:rsidRDefault="001035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E670E04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4">
    <w:nsid w:val="18790D6B"/>
    <w:multiLevelType w:val="hybridMultilevel"/>
    <w:tmpl w:val="D4509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6">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8">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2">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6">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7">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8">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9">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9"/>
  </w:num>
  <w:num w:numId="3">
    <w:abstractNumId w:val="7"/>
  </w:num>
  <w:num w:numId="4">
    <w:abstractNumId w:val="6"/>
  </w:num>
  <w:num w:numId="5">
    <w:abstractNumId w:val="5"/>
  </w:num>
  <w:num w:numId="6">
    <w:abstractNumId w:val="4"/>
  </w:num>
  <w:num w:numId="7">
    <w:abstractNumId w:val="1"/>
  </w:num>
  <w:num w:numId="8">
    <w:abstractNumId w:val="0"/>
  </w:num>
  <w:num w:numId="9">
    <w:abstractNumId w:val="24"/>
  </w:num>
  <w:num w:numId="10">
    <w:abstractNumId w:val="18"/>
  </w:num>
  <w:num w:numId="11">
    <w:abstractNumId w:val="11"/>
  </w:num>
  <w:num w:numId="12">
    <w:abstractNumId w:val="15"/>
  </w:num>
  <w:num w:numId="13">
    <w:abstractNumId w:val="17"/>
  </w:num>
  <w:num w:numId="14">
    <w:abstractNumId w:val="2"/>
  </w:num>
  <w:num w:numId="15">
    <w:abstractNumId w:val="25"/>
  </w:num>
  <w:num w:numId="16">
    <w:abstractNumId w:val="28"/>
  </w:num>
  <w:num w:numId="17">
    <w:abstractNumId w:val="27"/>
  </w:num>
  <w:num w:numId="18">
    <w:abstractNumId w:val="21"/>
  </w:num>
  <w:num w:numId="19">
    <w:abstractNumId w:val="16"/>
  </w:num>
  <w:num w:numId="20">
    <w:abstractNumId w:val="19"/>
  </w:num>
  <w:num w:numId="21">
    <w:abstractNumId w:val="26"/>
  </w:num>
  <w:num w:numId="22">
    <w:abstractNumId w:val="22"/>
  </w:num>
  <w:num w:numId="23">
    <w:abstractNumId w:val="8"/>
  </w:num>
  <w:num w:numId="24">
    <w:abstractNumId w:val="3"/>
  </w:num>
  <w:num w:numId="25">
    <w:abstractNumId w:val="20"/>
  </w:num>
  <w:num w:numId="26">
    <w:abstractNumId w:val="13"/>
  </w:num>
  <w:num w:numId="27">
    <w:abstractNumId w:val="23"/>
  </w:num>
  <w:num w:numId="28">
    <w:abstractNumId w:val="2"/>
    <w:lvlOverride w:ilvl="0">
      <w:startOverride w:val="1"/>
    </w:lvlOverride>
  </w:num>
  <w:num w:numId="29">
    <w:abstractNumId w:val="9"/>
  </w:num>
  <w:num w:numId="30">
    <w:abstractNumId w:val="10"/>
  </w:num>
  <w:num w:numId="31">
    <w:abstractNumId w:val="14"/>
  </w:num>
  <w:num w:numId="32">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0172\D16 69467  Compliance Bulletin No 1 - Compliance with Dispatch Instructions, Offers and Bids.DOCX"/>
  </w:docVars>
  <w:rsids>
    <w:rsidRoot w:val="004B50D4"/>
    <w:rsid w:val="00004C28"/>
    <w:rsid w:val="0002115F"/>
    <w:rsid w:val="00021202"/>
    <w:rsid w:val="000225C4"/>
    <w:rsid w:val="0003286D"/>
    <w:rsid w:val="00034A1C"/>
    <w:rsid w:val="0003578C"/>
    <w:rsid w:val="00047106"/>
    <w:rsid w:val="00060605"/>
    <w:rsid w:val="00063247"/>
    <w:rsid w:val="00070703"/>
    <w:rsid w:val="00070F9F"/>
    <w:rsid w:val="0007137B"/>
    <w:rsid w:val="00072EB0"/>
    <w:rsid w:val="0008120D"/>
    <w:rsid w:val="00085663"/>
    <w:rsid w:val="00085EBF"/>
    <w:rsid w:val="00095808"/>
    <w:rsid w:val="0009707B"/>
    <w:rsid w:val="00097478"/>
    <w:rsid w:val="000D122C"/>
    <w:rsid w:val="000D472A"/>
    <w:rsid w:val="000E1819"/>
    <w:rsid w:val="000E6C72"/>
    <w:rsid w:val="000F0922"/>
    <w:rsid w:val="000F2368"/>
    <w:rsid w:val="00101099"/>
    <w:rsid w:val="0010357E"/>
    <w:rsid w:val="00116EB2"/>
    <w:rsid w:val="00124609"/>
    <w:rsid w:val="0013615E"/>
    <w:rsid w:val="001573BD"/>
    <w:rsid w:val="001573E4"/>
    <w:rsid w:val="0015792F"/>
    <w:rsid w:val="001579DA"/>
    <w:rsid w:val="00160756"/>
    <w:rsid w:val="00162A2E"/>
    <w:rsid w:val="0017232E"/>
    <w:rsid w:val="00174102"/>
    <w:rsid w:val="00175808"/>
    <w:rsid w:val="00180157"/>
    <w:rsid w:val="001804FC"/>
    <w:rsid w:val="00181223"/>
    <w:rsid w:val="00182670"/>
    <w:rsid w:val="00186214"/>
    <w:rsid w:val="00186F77"/>
    <w:rsid w:val="001926A4"/>
    <w:rsid w:val="001A3A19"/>
    <w:rsid w:val="001B246B"/>
    <w:rsid w:val="001B3F01"/>
    <w:rsid w:val="001B45A0"/>
    <w:rsid w:val="001C18EE"/>
    <w:rsid w:val="001C68DD"/>
    <w:rsid w:val="001D055E"/>
    <w:rsid w:val="001D23D5"/>
    <w:rsid w:val="001D2714"/>
    <w:rsid w:val="001D7F10"/>
    <w:rsid w:val="001E2A35"/>
    <w:rsid w:val="001F09C9"/>
    <w:rsid w:val="001F492E"/>
    <w:rsid w:val="001F6DA3"/>
    <w:rsid w:val="00212737"/>
    <w:rsid w:val="00213A2B"/>
    <w:rsid w:val="00224DB9"/>
    <w:rsid w:val="00251745"/>
    <w:rsid w:val="00252BC7"/>
    <w:rsid w:val="00263AC0"/>
    <w:rsid w:val="0026772D"/>
    <w:rsid w:val="00275B06"/>
    <w:rsid w:val="002866FD"/>
    <w:rsid w:val="00286874"/>
    <w:rsid w:val="00295225"/>
    <w:rsid w:val="00296B65"/>
    <w:rsid w:val="002A21A2"/>
    <w:rsid w:val="002A7DEF"/>
    <w:rsid w:val="002C4BBC"/>
    <w:rsid w:val="002D62D7"/>
    <w:rsid w:val="002D6D97"/>
    <w:rsid w:val="002E30D0"/>
    <w:rsid w:val="002F23A7"/>
    <w:rsid w:val="002F7986"/>
    <w:rsid w:val="0030160F"/>
    <w:rsid w:val="003031C0"/>
    <w:rsid w:val="00303C4A"/>
    <w:rsid w:val="00307F6D"/>
    <w:rsid w:val="003177A2"/>
    <w:rsid w:val="00321E2C"/>
    <w:rsid w:val="00322AF1"/>
    <w:rsid w:val="00324220"/>
    <w:rsid w:val="003271B5"/>
    <w:rsid w:val="003301BA"/>
    <w:rsid w:val="00330CA0"/>
    <w:rsid w:val="00331264"/>
    <w:rsid w:val="00331FDA"/>
    <w:rsid w:val="00334C8D"/>
    <w:rsid w:val="00335A83"/>
    <w:rsid w:val="00340655"/>
    <w:rsid w:val="003459E6"/>
    <w:rsid w:val="003518B3"/>
    <w:rsid w:val="00371641"/>
    <w:rsid w:val="00383FB3"/>
    <w:rsid w:val="003846F1"/>
    <w:rsid w:val="003937D5"/>
    <w:rsid w:val="003A0677"/>
    <w:rsid w:val="003A673F"/>
    <w:rsid w:val="003B5A70"/>
    <w:rsid w:val="003D5CF7"/>
    <w:rsid w:val="003D646A"/>
    <w:rsid w:val="00413E35"/>
    <w:rsid w:val="00456698"/>
    <w:rsid w:val="00461BF6"/>
    <w:rsid w:val="004713E3"/>
    <w:rsid w:val="004751D0"/>
    <w:rsid w:val="00475DDE"/>
    <w:rsid w:val="00480B4B"/>
    <w:rsid w:val="004855B5"/>
    <w:rsid w:val="00485DC4"/>
    <w:rsid w:val="004B4412"/>
    <w:rsid w:val="004B50D4"/>
    <w:rsid w:val="004C1FB9"/>
    <w:rsid w:val="004C348C"/>
    <w:rsid w:val="004D0A90"/>
    <w:rsid w:val="004D244A"/>
    <w:rsid w:val="004D3902"/>
    <w:rsid w:val="004D55BA"/>
    <w:rsid w:val="004F1CEC"/>
    <w:rsid w:val="004F2491"/>
    <w:rsid w:val="004F6A12"/>
    <w:rsid w:val="005038DB"/>
    <w:rsid w:val="00507C21"/>
    <w:rsid w:val="005138F2"/>
    <w:rsid w:val="00514499"/>
    <w:rsid w:val="005152D9"/>
    <w:rsid w:val="0051590A"/>
    <w:rsid w:val="00521951"/>
    <w:rsid w:val="0052379B"/>
    <w:rsid w:val="0052510D"/>
    <w:rsid w:val="00530128"/>
    <w:rsid w:val="00532467"/>
    <w:rsid w:val="00546F44"/>
    <w:rsid w:val="00547BA2"/>
    <w:rsid w:val="00547CCF"/>
    <w:rsid w:val="00564A4D"/>
    <w:rsid w:val="005713EE"/>
    <w:rsid w:val="00571B35"/>
    <w:rsid w:val="00571C9F"/>
    <w:rsid w:val="00577A09"/>
    <w:rsid w:val="00580B78"/>
    <w:rsid w:val="00584D8F"/>
    <w:rsid w:val="00596D42"/>
    <w:rsid w:val="005A404D"/>
    <w:rsid w:val="005B1E3C"/>
    <w:rsid w:val="005C24AC"/>
    <w:rsid w:val="005C26CC"/>
    <w:rsid w:val="005E3EF3"/>
    <w:rsid w:val="005E6C0E"/>
    <w:rsid w:val="00615C6B"/>
    <w:rsid w:val="006279B2"/>
    <w:rsid w:val="00632D6D"/>
    <w:rsid w:val="00633AF6"/>
    <w:rsid w:val="00642C3E"/>
    <w:rsid w:val="00646025"/>
    <w:rsid w:val="00663DAD"/>
    <w:rsid w:val="00676679"/>
    <w:rsid w:val="00691616"/>
    <w:rsid w:val="00696ED6"/>
    <w:rsid w:val="006B0909"/>
    <w:rsid w:val="006B2D7B"/>
    <w:rsid w:val="006B4CF9"/>
    <w:rsid w:val="006B7AC8"/>
    <w:rsid w:val="006D1E0F"/>
    <w:rsid w:val="006D550F"/>
    <w:rsid w:val="006D77F3"/>
    <w:rsid w:val="006E6DFE"/>
    <w:rsid w:val="00701CAB"/>
    <w:rsid w:val="00707563"/>
    <w:rsid w:val="0072348C"/>
    <w:rsid w:val="00724A37"/>
    <w:rsid w:val="007303C3"/>
    <w:rsid w:val="0074277D"/>
    <w:rsid w:val="00743223"/>
    <w:rsid w:val="00746E01"/>
    <w:rsid w:val="00763E5D"/>
    <w:rsid w:val="00767740"/>
    <w:rsid w:val="00777EE6"/>
    <w:rsid w:val="00782EEA"/>
    <w:rsid w:val="007A3CE7"/>
    <w:rsid w:val="007B2C72"/>
    <w:rsid w:val="007C1C53"/>
    <w:rsid w:val="007C2457"/>
    <w:rsid w:val="007C6764"/>
    <w:rsid w:val="007D0590"/>
    <w:rsid w:val="007D7690"/>
    <w:rsid w:val="007E171A"/>
    <w:rsid w:val="007E26A9"/>
    <w:rsid w:val="007E4904"/>
    <w:rsid w:val="007E4CB5"/>
    <w:rsid w:val="007F0264"/>
    <w:rsid w:val="007F066B"/>
    <w:rsid w:val="008033C4"/>
    <w:rsid w:val="00806C88"/>
    <w:rsid w:val="0081034E"/>
    <w:rsid w:val="008234A0"/>
    <w:rsid w:val="0082534E"/>
    <w:rsid w:val="008344F6"/>
    <w:rsid w:val="0083510F"/>
    <w:rsid w:val="00851209"/>
    <w:rsid w:val="00851EE9"/>
    <w:rsid w:val="0088007E"/>
    <w:rsid w:val="008837AC"/>
    <w:rsid w:val="008945B4"/>
    <w:rsid w:val="008A587D"/>
    <w:rsid w:val="008C1208"/>
    <w:rsid w:val="008C5486"/>
    <w:rsid w:val="008C65A8"/>
    <w:rsid w:val="008D2B6E"/>
    <w:rsid w:val="008E6BB1"/>
    <w:rsid w:val="008E7031"/>
    <w:rsid w:val="009211AA"/>
    <w:rsid w:val="00922C95"/>
    <w:rsid w:val="009233EE"/>
    <w:rsid w:val="00933F6A"/>
    <w:rsid w:val="009661DE"/>
    <w:rsid w:val="009856B7"/>
    <w:rsid w:val="0098602B"/>
    <w:rsid w:val="0099102C"/>
    <w:rsid w:val="00991B3B"/>
    <w:rsid w:val="009962BA"/>
    <w:rsid w:val="009B695E"/>
    <w:rsid w:val="009B74B0"/>
    <w:rsid w:val="009D4414"/>
    <w:rsid w:val="009D6B46"/>
    <w:rsid w:val="009E223F"/>
    <w:rsid w:val="009F4940"/>
    <w:rsid w:val="009F517C"/>
    <w:rsid w:val="009F7DBC"/>
    <w:rsid w:val="00A1665B"/>
    <w:rsid w:val="00A33642"/>
    <w:rsid w:val="00A4478A"/>
    <w:rsid w:val="00A44852"/>
    <w:rsid w:val="00A57D04"/>
    <w:rsid w:val="00A60A26"/>
    <w:rsid w:val="00A6104D"/>
    <w:rsid w:val="00A61598"/>
    <w:rsid w:val="00A84F46"/>
    <w:rsid w:val="00A871D5"/>
    <w:rsid w:val="00A871F4"/>
    <w:rsid w:val="00AA2AEA"/>
    <w:rsid w:val="00AB7CB7"/>
    <w:rsid w:val="00AC1B2C"/>
    <w:rsid w:val="00AC3264"/>
    <w:rsid w:val="00AC6F01"/>
    <w:rsid w:val="00AE0FE2"/>
    <w:rsid w:val="00AE1BF1"/>
    <w:rsid w:val="00AE5901"/>
    <w:rsid w:val="00AE7BD9"/>
    <w:rsid w:val="00AF0DD2"/>
    <w:rsid w:val="00B05D58"/>
    <w:rsid w:val="00B10314"/>
    <w:rsid w:val="00B13048"/>
    <w:rsid w:val="00B15998"/>
    <w:rsid w:val="00B16B49"/>
    <w:rsid w:val="00B1716D"/>
    <w:rsid w:val="00B17A1D"/>
    <w:rsid w:val="00B207A0"/>
    <w:rsid w:val="00B35B79"/>
    <w:rsid w:val="00B52BB0"/>
    <w:rsid w:val="00B56E03"/>
    <w:rsid w:val="00B60F5D"/>
    <w:rsid w:val="00B64E3D"/>
    <w:rsid w:val="00B67CAB"/>
    <w:rsid w:val="00B67E91"/>
    <w:rsid w:val="00B7087C"/>
    <w:rsid w:val="00B73A62"/>
    <w:rsid w:val="00B8080B"/>
    <w:rsid w:val="00B87C39"/>
    <w:rsid w:val="00BA4665"/>
    <w:rsid w:val="00BB210F"/>
    <w:rsid w:val="00BB2FB2"/>
    <w:rsid w:val="00BB3304"/>
    <w:rsid w:val="00BD3446"/>
    <w:rsid w:val="00BE1F1B"/>
    <w:rsid w:val="00BE47B5"/>
    <w:rsid w:val="00BE4C99"/>
    <w:rsid w:val="00C058AB"/>
    <w:rsid w:val="00C06739"/>
    <w:rsid w:val="00C26550"/>
    <w:rsid w:val="00C44B93"/>
    <w:rsid w:val="00C51A09"/>
    <w:rsid w:val="00C538A9"/>
    <w:rsid w:val="00C53B5A"/>
    <w:rsid w:val="00C54F5A"/>
    <w:rsid w:val="00C56B68"/>
    <w:rsid w:val="00C755AD"/>
    <w:rsid w:val="00C840A5"/>
    <w:rsid w:val="00C86679"/>
    <w:rsid w:val="00C95072"/>
    <w:rsid w:val="00CA5AF0"/>
    <w:rsid w:val="00CB666B"/>
    <w:rsid w:val="00CF799E"/>
    <w:rsid w:val="00D01CF0"/>
    <w:rsid w:val="00D0442A"/>
    <w:rsid w:val="00D14E0B"/>
    <w:rsid w:val="00D203E1"/>
    <w:rsid w:val="00D30291"/>
    <w:rsid w:val="00D32459"/>
    <w:rsid w:val="00D445A9"/>
    <w:rsid w:val="00D544B8"/>
    <w:rsid w:val="00D54FB4"/>
    <w:rsid w:val="00D61388"/>
    <w:rsid w:val="00D61A54"/>
    <w:rsid w:val="00D64DEA"/>
    <w:rsid w:val="00D80893"/>
    <w:rsid w:val="00D92CF1"/>
    <w:rsid w:val="00D92D38"/>
    <w:rsid w:val="00D950F5"/>
    <w:rsid w:val="00DA42FC"/>
    <w:rsid w:val="00DA61DC"/>
    <w:rsid w:val="00DB0F93"/>
    <w:rsid w:val="00DC542F"/>
    <w:rsid w:val="00DC6F7B"/>
    <w:rsid w:val="00DC7981"/>
    <w:rsid w:val="00DE4EFA"/>
    <w:rsid w:val="00DE5520"/>
    <w:rsid w:val="00E04818"/>
    <w:rsid w:val="00E06442"/>
    <w:rsid w:val="00E23993"/>
    <w:rsid w:val="00E25B8C"/>
    <w:rsid w:val="00E358BB"/>
    <w:rsid w:val="00E4071A"/>
    <w:rsid w:val="00E4674F"/>
    <w:rsid w:val="00E6313B"/>
    <w:rsid w:val="00E65C85"/>
    <w:rsid w:val="00E66199"/>
    <w:rsid w:val="00E75568"/>
    <w:rsid w:val="00E755EC"/>
    <w:rsid w:val="00E7624D"/>
    <w:rsid w:val="00E803FE"/>
    <w:rsid w:val="00E84266"/>
    <w:rsid w:val="00EA3D42"/>
    <w:rsid w:val="00EA6B1B"/>
    <w:rsid w:val="00EE28F3"/>
    <w:rsid w:val="00EF101A"/>
    <w:rsid w:val="00EF4D49"/>
    <w:rsid w:val="00EF5110"/>
    <w:rsid w:val="00EF7D15"/>
    <w:rsid w:val="00F15882"/>
    <w:rsid w:val="00F20BD3"/>
    <w:rsid w:val="00F24C5A"/>
    <w:rsid w:val="00F373A5"/>
    <w:rsid w:val="00F46CFC"/>
    <w:rsid w:val="00F47559"/>
    <w:rsid w:val="00F60BE4"/>
    <w:rsid w:val="00F61B84"/>
    <w:rsid w:val="00F63F4B"/>
    <w:rsid w:val="00F64C7B"/>
    <w:rsid w:val="00F65593"/>
    <w:rsid w:val="00F676DD"/>
    <w:rsid w:val="00F75A26"/>
    <w:rsid w:val="00F83FAD"/>
    <w:rsid w:val="00F856B1"/>
    <w:rsid w:val="00F91DC6"/>
    <w:rsid w:val="00F952A0"/>
    <w:rsid w:val="00FA1AD4"/>
    <w:rsid w:val="00FA3C7F"/>
    <w:rsid w:val="00FB52D7"/>
    <w:rsid w:val="00FB74E2"/>
    <w:rsid w:val="00FC431F"/>
    <w:rsid w:val="00FD2805"/>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4B50D4"/>
    <w:pPr>
      <w:spacing w:line="276" w:lineRule="auto"/>
    </w:pPr>
    <w:rPr>
      <w:rFonts w:ascii="Arial" w:hAnsi="Arial"/>
    </w:rPr>
  </w:style>
  <w:style w:type="paragraph" w:styleId="Heading1">
    <w:name w:val="heading 1"/>
    <w:basedOn w:val="Normal"/>
    <w:next w:val="Normal"/>
    <w:link w:val="Heading1Char"/>
    <w:qFormat/>
    <w:rsid w:val="004B50D4"/>
    <w:pPr>
      <w:numPr>
        <w:numId w:val="30"/>
      </w:numPr>
      <w:tabs>
        <w:tab w:val="left" w:pos="680"/>
      </w:tabs>
      <w:spacing w:before="240"/>
      <w:ind w:left="680" w:hanging="680"/>
      <w:outlineLvl w:val="0"/>
    </w:pPr>
    <w:rPr>
      <w:rFonts w:eastAsiaTheme="majorEastAsia" w:cs="Arial"/>
      <w:b/>
      <w:bCs/>
      <w:color w:val="51626F"/>
      <w:sz w:val="36"/>
      <w:szCs w:val="36"/>
    </w:rPr>
  </w:style>
  <w:style w:type="paragraph" w:styleId="Heading2">
    <w:name w:val="heading 2"/>
    <w:next w:val="Normal"/>
    <w:link w:val="Heading2Char"/>
    <w:qFormat/>
    <w:rsid w:val="004B50D4"/>
    <w:pPr>
      <w:keepNext/>
      <w:numPr>
        <w:ilvl w:val="1"/>
        <w:numId w:val="30"/>
      </w:numPr>
      <w:tabs>
        <w:tab w:val="left" w:pos="680"/>
      </w:tabs>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0D4"/>
    <w:rPr>
      <w:rFonts w:ascii="Arial" w:eastAsiaTheme="majorEastAsia" w:hAnsi="Arial" w:cs="Arial"/>
      <w:b/>
      <w:bCs/>
      <w:color w:val="51626F"/>
      <w:sz w:val="36"/>
      <w:szCs w:val="36"/>
    </w:rPr>
  </w:style>
  <w:style w:type="character" w:customStyle="1" w:styleId="Heading2Char">
    <w:name w:val="Heading 2 Char"/>
    <w:basedOn w:val="DefaultParagraphFont"/>
    <w:link w:val="Heading2"/>
    <w:rsid w:val="004B50D4"/>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ind w:left="680" w:hanging="680"/>
    </w:pPr>
  </w:style>
  <w:style w:type="paragraph" w:customStyle="1" w:styleId="Numbered11">
    <w:name w:val="Numbered 1.1"/>
    <w:basedOn w:val="Heading2"/>
    <w:next w:val="Normal"/>
    <w:qFormat/>
    <w:rsid w:val="00F61B84"/>
    <w:pPr>
      <w:numPr>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rsid w:val="003A673F"/>
    <w:rPr>
      <w:rFonts w:ascii="Arial" w:hAnsi="Arial"/>
      <w:sz w:val="16"/>
      <w:szCs w:val="20"/>
    </w:rPr>
  </w:style>
  <w:style w:type="character" w:styleId="FootnoteReference">
    <w:name w:val="footnote reference"/>
    <w:basedOn w:val="DefaultParagraphFont"/>
    <w:uiPriority w:val="99"/>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Heading1notnumber">
    <w:name w:val="Heading 1 not number"/>
    <w:basedOn w:val="Heading1"/>
    <w:qFormat/>
    <w:rsid w:val="004B50D4"/>
    <w:pPr>
      <w:pageBreakBefore/>
      <w:numPr>
        <w:numId w:val="0"/>
      </w:numPr>
    </w:pPr>
    <w:rPr>
      <w:b w:val="0"/>
      <w:color w:val="70635A"/>
    </w:rPr>
  </w:style>
  <w:style w:type="paragraph" w:customStyle="1" w:styleId="Copyright">
    <w:name w:val="Copyright"/>
    <w:basedOn w:val="Normal"/>
    <w:next w:val="Normal"/>
    <w:link w:val="CopyrightChar"/>
    <w:rsid w:val="004B50D4"/>
    <w:pPr>
      <w:spacing w:line="288" w:lineRule="auto"/>
    </w:pPr>
    <w:rPr>
      <w:sz w:val="20"/>
      <w:szCs w:val="20"/>
    </w:rPr>
  </w:style>
  <w:style w:type="paragraph" w:customStyle="1" w:styleId="ReportTitle">
    <w:name w:val="Report Title"/>
    <w:basedOn w:val="Normal"/>
    <w:next w:val="Normal"/>
    <w:link w:val="ReportTitleChar"/>
    <w:rsid w:val="004B50D4"/>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table" w:customStyle="1" w:styleId="AERTable-Text">
    <w:name w:val="AER Table - Text"/>
    <w:basedOn w:val="TableNormal"/>
    <w:uiPriority w:val="99"/>
    <w:rsid w:val="004B50D4"/>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4B50D4"/>
    <w:rPr>
      <w:b w:val="0"/>
      <w:sz w:val="36"/>
      <w:szCs w:val="36"/>
    </w:rPr>
  </w:style>
  <w:style w:type="paragraph" w:customStyle="1" w:styleId="ReportSubtitle">
    <w:name w:val="Report Subtitle"/>
    <w:basedOn w:val="ReportTitle"/>
    <w:link w:val="ReportSubtitleChar"/>
    <w:rsid w:val="004B50D4"/>
    <w:rPr>
      <w:sz w:val="56"/>
      <w:szCs w:val="56"/>
    </w:rPr>
  </w:style>
  <w:style w:type="character" w:customStyle="1" w:styleId="ReportTitleChar">
    <w:name w:val="Report Title Char"/>
    <w:basedOn w:val="Heading1Char"/>
    <w:link w:val="ReportTitle"/>
    <w:rsid w:val="004B50D4"/>
    <w:rPr>
      <w:rFonts w:ascii="Arial" w:eastAsiaTheme="majorEastAsia" w:hAnsi="Arial" w:cs="Arial"/>
      <w:b w:val="0"/>
      <w:bCs w:val="0"/>
      <w:noProof/>
      <w:color w:val="51626F"/>
      <w:sz w:val="72"/>
      <w:szCs w:val="72"/>
      <w:lang w:eastAsia="en-AU"/>
    </w:rPr>
  </w:style>
  <w:style w:type="character" w:customStyle="1" w:styleId="ReportDateChar">
    <w:name w:val="Report Date Char"/>
    <w:basedOn w:val="ReportTitleChar"/>
    <w:link w:val="ReportDate"/>
    <w:rsid w:val="004B50D4"/>
    <w:rPr>
      <w:rFonts w:ascii="Arial" w:eastAsiaTheme="majorEastAsia" w:hAnsi="Arial" w:cs="Arial"/>
      <w:b/>
      <w:bCs w:val="0"/>
      <w:noProof/>
      <w:color w:val="51626F"/>
      <w:sz w:val="36"/>
      <w:szCs w:val="36"/>
      <w:lang w:eastAsia="en-AU"/>
    </w:rPr>
  </w:style>
  <w:style w:type="character" w:customStyle="1" w:styleId="ReportSubtitleChar">
    <w:name w:val="Report Subtitle Char"/>
    <w:basedOn w:val="ReportTitleChar"/>
    <w:link w:val="ReportSubtitle"/>
    <w:rsid w:val="004B50D4"/>
    <w:rPr>
      <w:rFonts w:ascii="Arial" w:eastAsiaTheme="majorEastAsia" w:hAnsi="Arial" w:cs="Arial"/>
      <w:b w:val="0"/>
      <w:bCs w:val="0"/>
      <w:noProof/>
      <w:color w:val="51626F"/>
      <w:sz w:val="56"/>
      <w:szCs w:val="56"/>
      <w:lang w:eastAsia="en-AU"/>
    </w:rPr>
  </w:style>
  <w:style w:type="character" w:customStyle="1" w:styleId="CopyrightChar">
    <w:name w:val="Copyright Char"/>
    <w:basedOn w:val="DefaultParagraphFont"/>
    <w:link w:val="Copyright"/>
    <w:rsid w:val="004B50D4"/>
    <w:rPr>
      <w:rFonts w:ascii="Arial" w:hAnsi="Arial"/>
      <w:sz w:val="20"/>
      <w:szCs w:val="20"/>
    </w:rPr>
  </w:style>
  <w:style w:type="paragraph" w:styleId="BodyTextIndent">
    <w:name w:val="Body Text Indent"/>
    <w:basedOn w:val="Normal"/>
    <w:link w:val="BodyTextIndentChar"/>
    <w:uiPriority w:val="99"/>
    <w:unhideWhenUsed/>
    <w:rsid w:val="004B50D4"/>
    <w:pPr>
      <w:spacing w:after="120"/>
      <w:ind w:left="283"/>
    </w:pPr>
  </w:style>
  <w:style w:type="character" w:customStyle="1" w:styleId="BodyTextIndentChar">
    <w:name w:val="Body Text Indent Char"/>
    <w:basedOn w:val="DefaultParagraphFont"/>
    <w:link w:val="BodyTextIndent"/>
    <w:uiPriority w:val="99"/>
    <w:rsid w:val="004B50D4"/>
    <w:rPr>
      <w:rFonts w:ascii="Arial" w:hAnsi="Arial"/>
    </w:rPr>
  </w:style>
  <w:style w:type="character" w:styleId="CommentReference">
    <w:name w:val="annotation reference"/>
    <w:basedOn w:val="DefaultParagraphFont"/>
    <w:uiPriority w:val="99"/>
    <w:unhideWhenUsed/>
    <w:rsid w:val="004B50D4"/>
    <w:rPr>
      <w:sz w:val="16"/>
      <w:szCs w:val="16"/>
    </w:rPr>
  </w:style>
  <w:style w:type="character" w:styleId="PlaceholderText">
    <w:name w:val="Placeholder Text"/>
    <w:basedOn w:val="DefaultParagraphFont"/>
    <w:uiPriority w:val="99"/>
    <w:semiHidden/>
    <w:rsid w:val="004B50D4"/>
    <w:rPr>
      <w:color w:val="808080"/>
    </w:rPr>
  </w:style>
  <w:style w:type="paragraph" w:customStyle="1" w:styleId="StyleCopyrightBefore0pt">
    <w:name w:val="Style Copyright + Before:  0 pt"/>
    <w:basedOn w:val="Copyright"/>
    <w:rsid w:val="004B50D4"/>
    <w:pPr>
      <w:spacing w:before="120"/>
    </w:pPr>
    <w:rPr>
      <w:rFonts w:eastAsia="Times New Roman" w:cs="Times New Roman"/>
    </w:rPr>
  </w:style>
  <w:style w:type="character" w:customStyle="1" w:styleId="AERtextsize8">
    <w:name w:val="AER text size 8"/>
    <w:basedOn w:val="DefaultParagraphFont"/>
    <w:uiPriority w:val="1"/>
    <w:qFormat/>
    <w:rsid w:val="004B50D4"/>
    <w:rPr>
      <w:rFonts w:ascii="Arial" w:hAnsi="Arial"/>
      <w:color w:val="auto"/>
      <w:sz w:val="16"/>
    </w:rPr>
  </w:style>
  <w:style w:type="paragraph" w:styleId="CommentText">
    <w:name w:val="annotation text"/>
    <w:basedOn w:val="Normal"/>
    <w:link w:val="CommentTextChar"/>
    <w:uiPriority w:val="99"/>
    <w:unhideWhenUsed/>
    <w:rsid w:val="004B50D4"/>
    <w:pPr>
      <w:spacing w:line="240" w:lineRule="auto"/>
    </w:pPr>
    <w:rPr>
      <w:sz w:val="20"/>
      <w:szCs w:val="20"/>
    </w:rPr>
  </w:style>
  <w:style w:type="character" w:customStyle="1" w:styleId="CommentTextChar">
    <w:name w:val="Comment Text Char"/>
    <w:basedOn w:val="DefaultParagraphFont"/>
    <w:link w:val="CommentText"/>
    <w:uiPriority w:val="99"/>
    <w:rsid w:val="004B50D4"/>
    <w:rPr>
      <w:rFonts w:ascii="Arial" w:hAnsi="Arial"/>
      <w:sz w:val="20"/>
      <w:szCs w:val="20"/>
    </w:rPr>
  </w:style>
  <w:style w:type="paragraph" w:styleId="BodyText">
    <w:name w:val="Body Text"/>
    <w:basedOn w:val="Normal"/>
    <w:link w:val="BodyTextChar"/>
    <w:uiPriority w:val="99"/>
    <w:unhideWhenUsed/>
    <w:rsid w:val="004B50D4"/>
    <w:pPr>
      <w:spacing w:after="120"/>
    </w:pPr>
  </w:style>
  <w:style w:type="character" w:customStyle="1" w:styleId="BodyTextChar">
    <w:name w:val="Body Text Char"/>
    <w:basedOn w:val="DefaultParagraphFont"/>
    <w:link w:val="BodyText"/>
    <w:uiPriority w:val="99"/>
    <w:rsid w:val="004B50D4"/>
    <w:rPr>
      <w:rFonts w:ascii="Arial" w:hAnsi="Arial"/>
    </w:rPr>
  </w:style>
  <w:style w:type="paragraph" w:styleId="CommentSubject">
    <w:name w:val="annotation subject"/>
    <w:basedOn w:val="CommentText"/>
    <w:next w:val="CommentText"/>
    <w:link w:val="CommentSubjectChar"/>
    <w:uiPriority w:val="99"/>
    <w:semiHidden/>
    <w:unhideWhenUsed/>
    <w:rsid w:val="009F517C"/>
    <w:rPr>
      <w:b/>
      <w:bCs/>
    </w:rPr>
  </w:style>
  <w:style w:type="character" w:customStyle="1" w:styleId="CommentSubjectChar">
    <w:name w:val="Comment Subject Char"/>
    <w:basedOn w:val="CommentTextChar"/>
    <w:link w:val="CommentSubject"/>
    <w:uiPriority w:val="99"/>
    <w:semiHidden/>
    <w:rsid w:val="009F517C"/>
    <w:rPr>
      <w:rFonts w:ascii="Arial" w:hAnsi="Arial"/>
      <w:b/>
      <w:bCs/>
      <w:sz w:val="20"/>
      <w:szCs w:val="20"/>
    </w:rPr>
  </w:style>
  <w:style w:type="paragraph" w:styleId="Revision">
    <w:name w:val="Revision"/>
    <w:hidden/>
    <w:uiPriority w:val="99"/>
    <w:semiHidden/>
    <w:rsid w:val="00D445A9"/>
    <w:pPr>
      <w:spacing w:before="0"/>
    </w:pPr>
    <w:rPr>
      <w:rFonts w:ascii="Arial" w:hAnsi="Arial"/>
    </w:rPr>
  </w:style>
  <w:style w:type="character" w:styleId="FollowedHyperlink">
    <w:name w:val="FollowedHyperlink"/>
    <w:basedOn w:val="DefaultParagraphFont"/>
    <w:uiPriority w:val="99"/>
    <w:semiHidden/>
    <w:unhideWhenUsed/>
    <w:rsid w:val="0013615E"/>
    <w:rPr>
      <w:color w:val="800080" w:themeColor="followedHyperlink"/>
      <w:u w:val="single"/>
    </w:rPr>
  </w:style>
  <w:style w:type="paragraph" w:customStyle="1" w:styleId="Default">
    <w:name w:val="Default"/>
    <w:rsid w:val="004D3902"/>
    <w:pPr>
      <w:autoSpaceDE w:val="0"/>
      <w:autoSpaceDN w:val="0"/>
      <w:adjustRightInd w:val="0"/>
      <w:spacing w:before="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4B50D4"/>
    <w:pPr>
      <w:spacing w:line="276" w:lineRule="auto"/>
    </w:pPr>
    <w:rPr>
      <w:rFonts w:ascii="Arial" w:hAnsi="Arial"/>
    </w:rPr>
  </w:style>
  <w:style w:type="paragraph" w:styleId="Heading1">
    <w:name w:val="heading 1"/>
    <w:basedOn w:val="Normal"/>
    <w:next w:val="Normal"/>
    <w:link w:val="Heading1Char"/>
    <w:qFormat/>
    <w:rsid w:val="004B50D4"/>
    <w:pPr>
      <w:numPr>
        <w:numId w:val="30"/>
      </w:numPr>
      <w:tabs>
        <w:tab w:val="left" w:pos="680"/>
      </w:tabs>
      <w:spacing w:before="240"/>
      <w:ind w:left="680" w:hanging="680"/>
      <w:outlineLvl w:val="0"/>
    </w:pPr>
    <w:rPr>
      <w:rFonts w:eastAsiaTheme="majorEastAsia" w:cs="Arial"/>
      <w:b/>
      <w:bCs/>
      <w:color w:val="51626F"/>
      <w:sz w:val="36"/>
      <w:szCs w:val="36"/>
    </w:rPr>
  </w:style>
  <w:style w:type="paragraph" w:styleId="Heading2">
    <w:name w:val="heading 2"/>
    <w:next w:val="Normal"/>
    <w:link w:val="Heading2Char"/>
    <w:qFormat/>
    <w:rsid w:val="004B50D4"/>
    <w:pPr>
      <w:keepNext/>
      <w:numPr>
        <w:ilvl w:val="1"/>
        <w:numId w:val="30"/>
      </w:numPr>
      <w:tabs>
        <w:tab w:val="left" w:pos="680"/>
      </w:tabs>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0D4"/>
    <w:rPr>
      <w:rFonts w:ascii="Arial" w:eastAsiaTheme="majorEastAsia" w:hAnsi="Arial" w:cs="Arial"/>
      <w:b/>
      <w:bCs/>
      <w:color w:val="51626F"/>
      <w:sz w:val="36"/>
      <w:szCs w:val="36"/>
    </w:rPr>
  </w:style>
  <w:style w:type="character" w:customStyle="1" w:styleId="Heading2Char">
    <w:name w:val="Heading 2 Char"/>
    <w:basedOn w:val="DefaultParagraphFont"/>
    <w:link w:val="Heading2"/>
    <w:rsid w:val="004B50D4"/>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ind w:left="680" w:hanging="680"/>
    </w:pPr>
  </w:style>
  <w:style w:type="paragraph" w:customStyle="1" w:styleId="Numbered11">
    <w:name w:val="Numbered 1.1"/>
    <w:basedOn w:val="Heading2"/>
    <w:next w:val="Normal"/>
    <w:qFormat/>
    <w:rsid w:val="00F61B84"/>
    <w:pPr>
      <w:numPr>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rsid w:val="003A673F"/>
    <w:rPr>
      <w:rFonts w:ascii="Arial" w:hAnsi="Arial"/>
      <w:sz w:val="16"/>
      <w:szCs w:val="20"/>
    </w:rPr>
  </w:style>
  <w:style w:type="character" w:styleId="FootnoteReference">
    <w:name w:val="footnote reference"/>
    <w:basedOn w:val="DefaultParagraphFont"/>
    <w:uiPriority w:val="99"/>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Heading1notnumber">
    <w:name w:val="Heading 1 not number"/>
    <w:basedOn w:val="Heading1"/>
    <w:qFormat/>
    <w:rsid w:val="004B50D4"/>
    <w:pPr>
      <w:pageBreakBefore/>
      <w:numPr>
        <w:numId w:val="0"/>
      </w:numPr>
    </w:pPr>
    <w:rPr>
      <w:b w:val="0"/>
      <w:color w:val="70635A"/>
    </w:rPr>
  </w:style>
  <w:style w:type="paragraph" w:customStyle="1" w:styleId="Copyright">
    <w:name w:val="Copyright"/>
    <w:basedOn w:val="Normal"/>
    <w:next w:val="Normal"/>
    <w:link w:val="CopyrightChar"/>
    <w:rsid w:val="004B50D4"/>
    <w:pPr>
      <w:spacing w:line="288" w:lineRule="auto"/>
    </w:pPr>
    <w:rPr>
      <w:sz w:val="20"/>
      <w:szCs w:val="20"/>
    </w:rPr>
  </w:style>
  <w:style w:type="paragraph" w:customStyle="1" w:styleId="ReportTitle">
    <w:name w:val="Report Title"/>
    <w:basedOn w:val="Normal"/>
    <w:next w:val="Normal"/>
    <w:link w:val="ReportTitleChar"/>
    <w:rsid w:val="004B50D4"/>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table" w:customStyle="1" w:styleId="AERTable-Text">
    <w:name w:val="AER Table - Text"/>
    <w:basedOn w:val="TableNormal"/>
    <w:uiPriority w:val="99"/>
    <w:rsid w:val="004B50D4"/>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4B50D4"/>
    <w:rPr>
      <w:b w:val="0"/>
      <w:sz w:val="36"/>
      <w:szCs w:val="36"/>
    </w:rPr>
  </w:style>
  <w:style w:type="paragraph" w:customStyle="1" w:styleId="ReportSubtitle">
    <w:name w:val="Report Subtitle"/>
    <w:basedOn w:val="ReportTitle"/>
    <w:link w:val="ReportSubtitleChar"/>
    <w:rsid w:val="004B50D4"/>
    <w:rPr>
      <w:sz w:val="56"/>
      <w:szCs w:val="56"/>
    </w:rPr>
  </w:style>
  <w:style w:type="character" w:customStyle="1" w:styleId="ReportTitleChar">
    <w:name w:val="Report Title Char"/>
    <w:basedOn w:val="Heading1Char"/>
    <w:link w:val="ReportTitle"/>
    <w:rsid w:val="004B50D4"/>
    <w:rPr>
      <w:rFonts w:ascii="Arial" w:eastAsiaTheme="majorEastAsia" w:hAnsi="Arial" w:cs="Arial"/>
      <w:b w:val="0"/>
      <w:bCs w:val="0"/>
      <w:noProof/>
      <w:color w:val="51626F"/>
      <w:sz w:val="72"/>
      <w:szCs w:val="72"/>
      <w:lang w:eastAsia="en-AU"/>
    </w:rPr>
  </w:style>
  <w:style w:type="character" w:customStyle="1" w:styleId="ReportDateChar">
    <w:name w:val="Report Date Char"/>
    <w:basedOn w:val="ReportTitleChar"/>
    <w:link w:val="ReportDate"/>
    <w:rsid w:val="004B50D4"/>
    <w:rPr>
      <w:rFonts w:ascii="Arial" w:eastAsiaTheme="majorEastAsia" w:hAnsi="Arial" w:cs="Arial"/>
      <w:b/>
      <w:bCs w:val="0"/>
      <w:noProof/>
      <w:color w:val="51626F"/>
      <w:sz w:val="36"/>
      <w:szCs w:val="36"/>
      <w:lang w:eastAsia="en-AU"/>
    </w:rPr>
  </w:style>
  <w:style w:type="character" w:customStyle="1" w:styleId="ReportSubtitleChar">
    <w:name w:val="Report Subtitle Char"/>
    <w:basedOn w:val="ReportTitleChar"/>
    <w:link w:val="ReportSubtitle"/>
    <w:rsid w:val="004B50D4"/>
    <w:rPr>
      <w:rFonts w:ascii="Arial" w:eastAsiaTheme="majorEastAsia" w:hAnsi="Arial" w:cs="Arial"/>
      <w:b w:val="0"/>
      <w:bCs w:val="0"/>
      <w:noProof/>
      <w:color w:val="51626F"/>
      <w:sz w:val="56"/>
      <w:szCs w:val="56"/>
      <w:lang w:eastAsia="en-AU"/>
    </w:rPr>
  </w:style>
  <w:style w:type="character" w:customStyle="1" w:styleId="CopyrightChar">
    <w:name w:val="Copyright Char"/>
    <w:basedOn w:val="DefaultParagraphFont"/>
    <w:link w:val="Copyright"/>
    <w:rsid w:val="004B50D4"/>
    <w:rPr>
      <w:rFonts w:ascii="Arial" w:hAnsi="Arial"/>
      <w:sz w:val="20"/>
      <w:szCs w:val="20"/>
    </w:rPr>
  </w:style>
  <w:style w:type="paragraph" w:styleId="BodyTextIndent">
    <w:name w:val="Body Text Indent"/>
    <w:basedOn w:val="Normal"/>
    <w:link w:val="BodyTextIndentChar"/>
    <w:uiPriority w:val="99"/>
    <w:unhideWhenUsed/>
    <w:rsid w:val="004B50D4"/>
    <w:pPr>
      <w:spacing w:after="120"/>
      <w:ind w:left="283"/>
    </w:pPr>
  </w:style>
  <w:style w:type="character" w:customStyle="1" w:styleId="BodyTextIndentChar">
    <w:name w:val="Body Text Indent Char"/>
    <w:basedOn w:val="DefaultParagraphFont"/>
    <w:link w:val="BodyTextIndent"/>
    <w:uiPriority w:val="99"/>
    <w:rsid w:val="004B50D4"/>
    <w:rPr>
      <w:rFonts w:ascii="Arial" w:hAnsi="Arial"/>
    </w:rPr>
  </w:style>
  <w:style w:type="character" w:styleId="CommentReference">
    <w:name w:val="annotation reference"/>
    <w:basedOn w:val="DefaultParagraphFont"/>
    <w:uiPriority w:val="99"/>
    <w:unhideWhenUsed/>
    <w:rsid w:val="004B50D4"/>
    <w:rPr>
      <w:sz w:val="16"/>
      <w:szCs w:val="16"/>
    </w:rPr>
  </w:style>
  <w:style w:type="character" w:styleId="PlaceholderText">
    <w:name w:val="Placeholder Text"/>
    <w:basedOn w:val="DefaultParagraphFont"/>
    <w:uiPriority w:val="99"/>
    <w:semiHidden/>
    <w:rsid w:val="004B50D4"/>
    <w:rPr>
      <w:color w:val="808080"/>
    </w:rPr>
  </w:style>
  <w:style w:type="paragraph" w:customStyle="1" w:styleId="StyleCopyrightBefore0pt">
    <w:name w:val="Style Copyright + Before:  0 pt"/>
    <w:basedOn w:val="Copyright"/>
    <w:rsid w:val="004B50D4"/>
    <w:pPr>
      <w:spacing w:before="120"/>
    </w:pPr>
    <w:rPr>
      <w:rFonts w:eastAsia="Times New Roman" w:cs="Times New Roman"/>
    </w:rPr>
  </w:style>
  <w:style w:type="character" w:customStyle="1" w:styleId="AERtextsize8">
    <w:name w:val="AER text size 8"/>
    <w:basedOn w:val="DefaultParagraphFont"/>
    <w:uiPriority w:val="1"/>
    <w:qFormat/>
    <w:rsid w:val="004B50D4"/>
    <w:rPr>
      <w:rFonts w:ascii="Arial" w:hAnsi="Arial"/>
      <w:color w:val="auto"/>
      <w:sz w:val="16"/>
    </w:rPr>
  </w:style>
  <w:style w:type="paragraph" w:styleId="CommentText">
    <w:name w:val="annotation text"/>
    <w:basedOn w:val="Normal"/>
    <w:link w:val="CommentTextChar"/>
    <w:uiPriority w:val="99"/>
    <w:unhideWhenUsed/>
    <w:rsid w:val="004B50D4"/>
    <w:pPr>
      <w:spacing w:line="240" w:lineRule="auto"/>
    </w:pPr>
    <w:rPr>
      <w:sz w:val="20"/>
      <w:szCs w:val="20"/>
    </w:rPr>
  </w:style>
  <w:style w:type="character" w:customStyle="1" w:styleId="CommentTextChar">
    <w:name w:val="Comment Text Char"/>
    <w:basedOn w:val="DefaultParagraphFont"/>
    <w:link w:val="CommentText"/>
    <w:uiPriority w:val="99"/>
    <w:rsid w:val="004B50D4"/>
    <w:rPr>
      <w:rFonts w:ascii="Arial" w:hAnsi="Arial"/>
      <w:sz w:val="20"/>
      <w:szCs w:val="20"/>
    </w:rPr>
  </w:style>
  <w:style w:type="paragraph" w:styleId="BodyText">
    <w:name w:val="Body Text"/>
    <w:basedOn w:val="Normal"/>
    <w:link w:val="BodyTextChar"/>
    <w:uiPriority w:val="99"/>
    <w:unhideWhenUsed/>
    <w:rsid w:val="004B50D4"/>
    <w:pPr>
      <w:spacing w:after="120"/>
    </w:pPr>
  </w:style>
  <w:style w:type="character" w:customStyle="1" w:styleId="BodyTextChar">
    <w:name w:val="Body Text Char"/>
    <w:basedOn w:val="DefaultParagraphFont"/>
    <w:link w:val="BodyText"/>
    <w:uiPriority w:val="99"/>
    <w:rsid w:val="004B50D4"/>
    <w:rPr>
      <w:rFonts w:ascii="Arial" w:hAnsi="Arial"/>
    </w:rPr>
  </w:style>
  <w:style w:type="paragraph" w:styleId="CommentSubject">
    <w:name w:val="annotation subject"/>
    <w:basedOn w:val="CommentText"/>
    <w:next w:val="CommentText"/>
    <w:link w:val="CommentSubjectChar"/>
    <w:uiPriority w:val="99"/>
    <w:semiHidden/>
    <w:unhideWhenUsed/>
    <w:rsid w:val="009F517C"/>
    <w:rPr>
      <w:b/>
      <w:bCs/>
    </w:rPr>
  </w:style>
  <w:style w:type="character" w:customStyle="1" w:styleId="CommentSubjectChar">
    <w:name w:val="Comment Subject Char"/>
    <w:basedOn w:val="CommentTextChar"/>
    <w:link w:val="CommentSubject"/>
    <w:uiPriority w:val="99"/>
    <w:semiHidden/>
    <w:rsid w:val="009F517C"/>
    <w:rPr>
      <w:rFonts w:ascii="Arial" w:hAnsi="Arial"/>
      <w:b/>
      <w:bCs/>
      <w:sz w:val="20"/>
      <w:szCs w:val="20"/>
    </w:rPr>
  </w:style>
  <w:style w:type="paragraph" w:styleId="Revision">
    <w:name w:val="Revision"/>
    <w:hidden/>
    <w:uiPriority w:val="99"/>
    <w:semiHidden/>
    <w:rsid w:val="00D445A9"/>
    <w:pPr>
      <w:spacing w:before="0"/>
    </w:pPr>
    <w:rPr>
      <w:rFonts w:ascii="Arial" w:hAnsi="Arial"/>
    </w:rPr>
  </w:style>
  <w:style w:type="character" w:styleId="FollowedHyperlink">
    <w:name w:val="FollowedHyperlink"/>
    <w:basedOn w:val="DefaultParagraphFont"/>
    <w:uiPriority w:val="99"/>
    <w:semiHidden/>
    <w:unhideWhenUsed/>
    <w:rsid w:val="0013615E"/>
    <w:rPr>
      <w:color w:val="800080" w:themeColor="followedHyperlink"/>
      <w:u w:val="single"/>
    </w:rPr>
  </w:style>
  <w:style w:type="paragraph" w:customStyle="1" w:styleId="Default">
    <w:name w:val="Default"/>
    <w:rsid w:val="004D3902"/>
    <w:pPr>
      <w:autoSpaceDE w:val="0"/>
      <w:autoSpaceDN w:val="0"/>
      <w:adjustRightInd w:val="0"/>
      <w:spacing w:before="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aer.gov.au/publications/corporate-documents/aer-compliance-and-enforcement-statement-of-approach" TargetMode="External"/><Relationship Id="rId1" Type="http://schemas.openxmlformats.org/officeDocument/2006/relationships/hyperlink" Target="http://www.aer.gov.au/node/1188"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E5C832-FBEB-4391-8C72-81ED8C283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9050A6F6</Template>
  <TotalTime>0</TotalTime>
  <Pages>9</Pages>
  <Words>2755</Words>
  <Characters>15706</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2016-07-15T05:18:00Z</dcterms:created>
  <dcterms:modified xsi:type="dcterms:W3CDTF">2016-07-15T05:18:00Z</dcterms:modified>
</cp:coreProperties>
</file>