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25538598"/>
        <w:docPartObj>
          <w:docPartGallery w:val="Cover Pages"/>
          <w:docPartUnique/>
        </w:docPartObj>
      </w:sdtPr>
      <w:sdtEndPr>
        <w:rPr>
          <w:noProof/>
          <w:lang w:eastAsia="en-AU"/>
        </w:rPr>
      </w:sdtEndPr>
      <w:sdtContent>
        <w:p w:rsidR="00FA042E" w:rsidRPr="00FA042E" w:rsidRDefault="00FA042E" w:rsidP="00951978">
          <w:r w:rsidRPr="00FA042E">
            <w:rPr>
              <w:noProof/>
              <w:lang w:eastAsia="en-AU"/>
            </w:rPr>
            <w:drawing>
              <wp:anchor distT="0" distB="0" distL="114300" distR="114300" simplePos="0" relativeHeight="251659264" behindDoc="1" locked="0" layoutInCell="1" allowOverlap="1" wp14:anchorId="0F06435C" wp14:editId="7E52E008">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AE14CF"/>
        <w:p w:rsidR="00FA042E" w:rsidRPr="00FA042E" w:rsidRDefault="00FA042E" w:rsidP="00AE14CF"/>
        <w:p w:rsidR="00FA042E" w:rsidRPr="00FA042E" w:rsidRDefault="00FA042E" w:rsidP="00AE14CF"/>
        <w:p w:rsidR="00FA042E" w:rsidRPr="00FA042E" w:rsidRDefault="00FA042E" w:rsidP="00AE14CF"/>
        <w:p w:rsidR="00FA042E" w:rsidRPr="00FA042E" w:rsidRDefault="00683933" w:rsidP="00327A1E">
          <w:pPr>
            <w:pStyle w:val="ReportTitle"/>
          </w:pPr>
          <w:r>
            <w:t>Consultation Paper</w:t>
          </w:r>
        </w:p>
        <w:p w:rsidR="00FA042E" w:rsidRPr="00FA042E" w:rsidRDefault="00C36F7E" w:rsidP="00327A1E">
          <w:pPr>
            <w:pStyle w:val="ReportTitle"/>
          </w:pPr>
          <w:r>
            <w:t xml:space="preserve">Draft </w:t>
          </w:r>
          <w:r w:rsidR="00683933">
            <w:t>Revised Stakeholder Engagement Framework</w:t>
          </w:r>
        </w:p>
        <w:p w:rsidR="00FA042E" w:rsidRPr="00FA042E" w:rsidRDefault="008513F9" w:rsidP="00327A1E">
          <w:pPr>
            <w:pStyle w:val="ReportDate"/>
          </w:pPr>
          <w:r>
            <w:t xml:space="preserve">June </w:t>
          </w:r>
          <w:r w:rsidR="00FA042E" w:rsidRPr="00FA042E">
            <w:t>201</w:t>
          </w:r>
          <w:r w:rsidR="00782C38">
            <w:t>7</w:t>
          </w:r>
        </w:p>
        <w:p w:rsidR="00FA042E" w:rsidRPr="00FA042E" w:rsidRDefault="00FA042E" w:rsidP="00DB723B">
          <w:r w:rsidRPr="00FA042E">
            <w:br w:type="page"/>
          </w:r>
        </w:p>
        <w:p w:rsidR="00A135A5" w:rsidRDefault="001F4AB1" w:rsidP="00A135A5">
          <w:pPr>
            <w:spacing w:line="240" w:lineRule="auto"/>
            <w:rPr>
              <w:noProof/>
              <w:lang w:eastAsia="en-AU"/>
            </w:rPr>
          </w:pPr>
        </w:p>
      </w:sdtContent>
    </w:sdt>
    <w:p w:rsidR="000A6C7B" w:rsidRDefault="000A6C7B" w:rsidP="00A135A5">
      <w:pPr>
        <w:spacing w:line="240" w:lineRule="auto"/>
      </w:pPr>
      <w:r>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AER logo</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 xml:space="preserve">or </w:t>
      </w:r>
      <w:hyperlink r:id="rId11" w:history="1">
        <w:r w:rsidRPr="00886C77">
          <w:rPr>
            <w:rStyle w:val="Hyperlink"/>
            <w:sz w:val="20"/>
          </w:rPr>
          <w:t>publishing.unit@accc.gov.au</w:t>
        </w:r>
      </w:hyperlink>
      <w:r>
        <w:t>.</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w:t>
      </w:r>
      <w:r w:rsidR="00886C77">
        <w:t>IC</w:t>
      </w:r>
      <w:r>
        <w:t xml:space="preserve">  3001</w:t>
      </w:r>
    </w:p>
    <w:p w:rsidR="004B085B" w:rsidRDefault="000A6C7B" w:rsidP="00872B78">
      <w:pPr>
        <w:pStyle w:val="Copyright"/>
      </w:pPr>
      <w:r>
        <w:t xml:space="preserve">Tel: </w:t>
      </w:r>
      <w:r w:rsidR="00872B78">
        <w:t>1300 585165</w:t>
      </w:r>
    </w:p>
    <w:p w:rsidR="000A6C7B" w:rsidRPr="00951978" w:rsidRDefault="000A6C7B" w:rsidP="00886C77">
      <w:pPr>
        <w:pStyle w:val="Copyright"/>
        <w:rPr>
          <w:color w:val="0000FF"/>
          <w:sz w:val="22"/>
          <w:u w:val="single"/>
        </w:rPr>
      </w:pPr>
      <w:r>
        <w:t xml:space="preserve">Email: </w:t>
      </w:r>
      <w:hyperlink r:id="rId12" w:history="1">
        <w:r w:rsidR="002E4F3A" w:rsidRPr="00424C36">
          <w:rPr>
            <w:rStyle w:val="Hyperlink"/>
            <w:sz w:val="20"/>
          </w:rPr>
          <w:t>SEFreview@aer.gov.au</w:t>
        </w:r>
      </w:hyperlink>
      <w:r w:rsidR="002E4F3A">
        <w:t xml:space="preserve"> </w:t>
      </w:r>
      <w:r w:rsidR="00ED67BE">
        <w:t xml:space="preserve"> </w:t>
      </w:r>
      <w:r w:rsidR="00951978">
        <w:rPr>
          <w:rStyle w:val="Hyperlink"/>
        </w:rPr>
        <w:br/>
      </w:r>
      <w:r>
        <w:t xml:space="preserve">AER Reference: </w:t>
      </w:r>
      <w:r w:rsidR="00886C77">
        <w:t>50496; D17/58029</w:t>
      </w:r>
    </w:p>
    <w:p w:rsidR="000A6C7B" w:rsidRDefault="000A6C7B" w:rsidP="000A6C7B"/>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A1149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6235313" w:history="1">
        <w:r w:rsidR="00A1149F" w:rsidRPr="0078428B">
          <w:rPr>
            <w:rStyle w:val="Hyperlink"/>
          </w:rPr>
          <w:t>1</w:t>
        </w:r>
        <w:r w:rsidR="00A1149F">
          <w:rPr>
            <w:rFonts w:asciiTheme="minorHAnsi" w:eastAsiaTheme="minorEastAsia" w:hAnsiTheme="minorHAnsi"/>
            <w:b w:val="0"/>
            <w:color w:val="auto"/>
            <w:sz w:val="22"/>
            <w:lang w:val="en-AU" w:eastAsia="en-AU"/>
          </w:rPr>
          <w:tab/>
        </w:r>
        <w:r w:rsidR="00A1149F" w:rsidRPr="0078428B">
          <w:rPr>
            <w:rStyle w:val="Hyperlink"/>
          </w:rPr>
          <w:t>Introduction</w:t>
        </w:r>
        <w:r w:rsidR="00A1149F">
          <w:rPr>
            <w:webHidden/>
          </w:rPr>
          <w:tab/>
        </w:r>
        <w:r w:rsidR="00A1149F">
          <w:rPr>
            <w:webHidden/>
          </w:rPr>
          <w:fldChar w:fldCharType="begin"/>
        </w:r>
        <w:r w:rsidR="00A1149F">
          <w:rPr>
            <w:webHidden/>
          </w:rPr>
          <w:instrText xml:space="preserve"> PAGEREF _Toc486235313 \h </w:instrText>
        </w:r>
        <w:r w:rsidR="00A1149F">
          <w:rPr>
            <w:webHidden/>
          </w:rPr>
        </w:r>
        <w:r w:rsidR="00A1149F">
          <w:rPr>
            <w:webHidden/>
          </w:rPr>
          <w:fldChar w:fldCharType="separate"/>
        </w:r>
        <w:r w:rsidR="00A1149F">
          <w:rPr>
            <w:webHidden/>
          </w:rPr>
          <w:t>1</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14" w:history="1">
        <w:r w:rsidR="00A1149F" w:rsidRPr="0078428B">
          <w:rPr>
            <w:rStyle w:val="Hyperlink"/>
          </w:rPr>
          <w:t>2</w:t>
        </w:r>
        <w:r w:rsidR="00A1149F">
          <w:rPr>
            <w:rFonts w:asciiTheme="minorHAnsi" w:eastAsiaTheme="minorEastAsia" w:hAnsiTheme="minorHAnsi"/>
            <w:b w:val="0"/>
            <w:color w:val="auto"/>
            <w:sz w:val="22"/>
            <w:lang w:val="en-AU" w:eastAsia="en-AU"/>
          </w:rPr>
          <w:tab/>
        </w:r>
        <w:r w:rsidR="00A1149F" w:rsidRPr="0078428B">
          <w:rPr>
            <w:rStyle w:val="Hyperlink"/>
          </w:rPr>
          <w:t>Why are we reviewing our Framework?</w:t>
        </w:r>
        <w:r w:rsidR="00A1149F">
          <w:rPr>
            <w:webHidden/>
          </w:rPr>
          <w:tab/>
        </w:r>
        <w:r w:rsidR="00A1149F">
          <w:rPr>
            <w:webHidden/>
          </w:rPr>
          <w:fldChar w:fldCharType="begin"/>
        </w:r>
        <w:r w:rsidR="00A1149F">
          <w:rPr>
            <w:webHidden/>
          </w:rPr>
          <w:instrText xml:space="preserve"> PAGEREF _Toc486235314 \h </w:instrText>
        </w:r>
        <w:r w:rsidR="00A1149F">
          <w:rPr>
            <w:webHidden/>
          </w:rPr>
        </w:r>
        <w:r w:rsidR="00A1149F">
          <w:rPr>
            <w:webHidden/>
          </w:rPr>
          <w:fldChar w:fldCharType="separate"/>
        </w:r>
        <w:r w:rsidR="00A1149F">
          <w:rPr>
            <w:webHidden/>
          </w:rPr>
          <w:t>2</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15" w:history="1">
        <w:r w:rsidR="00A1149F" w:rsidRPr="0078428B">
          <w:rPr>
            <w:rStyle w:val="Hyperlink"/>
          </w:rPr>
          <w:t>3</w:t>
        </w:r>
        <w:r w:rsidR="00A1149F">
          <w:rPr>
            <w:rFonts w:asciiTheme="minorHAnsi" w:eastAsiaTheme="minorEastAsia" w:hAnsiTheme="minorHAnsi"/>
            <w:b w:val="0"/>
            <w:color w:val="auto"/>
            <w:sz w:val="22"/>
            <w:lang w:val="en-AU" w:eastAsia="en-AU"/>
          </w:rPr>
          <w:tab/>
        </w:r>
        <w:r w:rsidR="00A1149F" w:rsidRPr="0078428B">
          <w:rPr>
            <w:rStyle w:val="Hyperlink"/>
          </w:rPr>
          <w:t>The current AER Stakeholder Engagement Framework</w:t>
        </w:r>
        <w:r w:rsidR="00A1149F">
          <w:rPr>
            <w:webHidden/>
          </w:rPr>
          <w:tab/>
        </w:r>
        <w:r w:rsidR="00A1149F">
          <w:rPr>
            <w:webHidden/>
          </w:rPr>
          <w:fldChar w:fldCharType="begin"/>
        </w:r>
        <w:r w:rsidR="00A1149F">
          <w:rPr>
            <w:webHidden/>
          </w:rPr>
          <w:instrText xml:space="preserve"> PAGEREF _Toc486235315 \h </w:instrText>
        </w:r>
        <w:r w:rsidR="00A1149F">
          <w:rPr>
            <w:webHidden/>
          </w:rPr>
        </w:r>
        <w:r w:rsidR="00A1149F">
          <w:rPr>
            <w:webHidden/>
          </w:rPr>
          <w:fldChar w:fldCharType="separate"/>
        </w:r>
        <w:r w:rsidR="00A1149F">
          <w:rPr>
            <w:webHidden/>
          </w:rPr>
          <w:t>3</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16" w:history="1">
        <w:r w:rsidR="00A1149F" w:rsidRPr="0078428B">
          <w:rPr>
            <w:rStyle w:val="Hyperlink"/>
          </w:rPr>
          <w:t>4</w:t>
        </w:r>
        <w:r w:rsidR="00A1149F">
          <w:rPr>
            <w:rFonts w:asciiTheme="minorHAnsi" w:eastAsiaTheme="minorEastAsia" w:hAnsiTheme="minorHAnsi"/>
            <w:b w:val="0"/>
            <w:color w:val="auto"/>
            <w:sz w:val="22"/>
            <w:lang w:val="en-AU" w:eastAsia="en-AU"/>
          </w:rPr>
          <w:tab/>
        </w:r>
        <w:r w:rsidR="00A1149F" w:rsidRPr="0078428B">
          <w:rPr>
            <w:rStyle w:val="Hyperlink"/>
          </w:rPr>
          <w:t>How we have engaged stakeholders in this review</w:t>
        </w:r>
        <w:r w:rsidR="00A1149F">
          <w:rPr>
            <w:webHidden/>
          </w:rPr>
          <w:tab/>
        </w:r>
        <w:r w:rsidR="00A1149F">
          <w:rPr>
            <w:webHidden/>
          </w:rPr>
          <w:fldChar w:fldCharType="begin"/>
        </w:r>
        <w:r w:rsidR="00A1149F">
          <w:rPr>
            <w:webHidden/>
          </w:rPr>
          <w:instrText xml:space="preserve"> PAGEREF _Toc486235316 \h </w:instrText>
        </w:r>
        <w:r w:rsidR="00A1149F">
          <w:rPr>
            <w:webHidden/>
          </w:rPr>
        </w:r>
        <w:r w:rsidR="00A1149F">
          <w:rPr>
            <w:webHidden/>
          </w:rPr>
          <w:fldChar w:fldCharType="separate"/>
        </w:r>
        <w:r w:rsidR="00A1149F">
          <w:rPr>
            <w:webHidden/>
          </w:rPr>
          <w:t>4</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17" w:history="1">
        <w:r w:rsidR="00A1149F" w:rsidRPr="0078428B">
          <w:rPr>
            <w:rStyle w:val="Hyperlink"/>
          </w:rPr>
          <w:t>5</w:t>
        </w:r>
        <w:r w:rsidR="00A1149F">
          <w:rPr>
            <w:rFonts w:asciiTheme="minorHAnsi" w:eastAsiaTheme="minorEastAsia" w:hAnsiTheme="minorHAnsi"/>
            <w:b w:val="0"/>
            <w:color w:val="auto"/>
            <w:sz w:val="22"/>
            <w:lang w:val="en-AU" w:eastAsia="en-AU"/>
          </w:rPr>
          <w:tab/>
        </w:r>
        <w:r w:rsidR="00A1149F" w:rsidRPr="0078428B">
          <w:rPr>
            <w:rStyle w:val="Hyperlink"/>
          </w:rPr>
          <w:t>The new draft Framework</w:t>
        </w:r>
        <w:r w:rsidR="00A1149F">
          <w:rPr>
            <w:webHidden/>
          </w:rPr>
          <w:tab/>
        </w:r>
        <w:r w:rsidR="00A1149F">
          <w:rPr>
            <w:webHidden/>
          </w:rPr>
          <w:fldChar w:fldCharType="begin"/>
        </w:r>
        <w:r w:rsidR="00A1149F">
          <w:rPr>
            <w:webHidden/>
          </w:rPr>
          <w:instrText xml:space="preserve"> PAGEREF _Toc486235317 \h </w:instrText>
        </w:r>
        <w:r w:rsidR="00A1149F">
          <w:rPr>
            <w:webHidden/>
          </w:rPr>
        </w:r>
        <w:r w:rsidR="00A1149F">
          <w:rPr>
            <w:webHidden/>
          </w:rPr>
          <w:fldChar w:fldCharType="separate"/>
        </w:r>
        <w:r w:rsidR="00A1149F">
          <w:rPr>
            <w:webHidden/>
          </w:rPr>
          <w:t>5</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18" w:history="1">
        <w:r w:rsidR="00A1149F" w:rsidRPr="0078428B">
          <w:rPr>
            <w:rStyle w:val="Hyperlink"/>
          </w:rPr>
          <w:t>Draft AER stakeholder engagement framework</w:t>
        </w:r>
        <w:r w:rsidR="00A1149F">
          <w:rPr>
            <w:webHidden/>
          </w:rPr>
          <w:tab/>
        </w:r>
        <w:r w:rsidR="00A1149F">
          <w:rPr>
            <w:webHidden/>
          </w:rPr>
          <w:fldChar w:fldCharType="begin"/>
        </w:r>
        <w:r w:rsidR="00A1149F">
          <w:rPr>
            <w:webHidden/>
          </w:rPr>
          <w:instrText xml:space="preserve"> PAGEREF _Toc486235318 \h </w:instrText>
        </w:r>
        <w:r w:rsidR="00A1149F">
          <w:rPr>
            <w:webHidden/>
          </w:rPr>
        </w:r>
        <w:r w:rsidR="00A1149F">
          <w:rPr>
            <w:webHidden/>
          </w:rPr>
          <w:fldChar w:fldCharType="separate"/>
        </w:r>
        <w:r w:rsidR="00A1149F">
          <w:rPr>
            <w:webHidden/>
          </w:rPr>
          <w:t>6</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19" w:history="1">
        <w:r w:rsidR="00A1149F" w:rsidRPr="0078428B">
          <w:rPr>
            <w:rStyle w:val="Hyperlink"/>
          </w:rPr>
          <w:t>6</w:t>
        </w:r>
        <w:r w:rsidR="00A1149F">
          <w:rPr>
            <w:rFonts w:asciiTheme="minorHAnsi" w:eastAsiaTheme="minorEastAsia" w:hAnsiTheme="minorHAnsi"/>
            <w:b w:val="0"/>
            <w:color w:val="auto"/>
            <w:sz w:val="22"/>
            <w:lang w:val="en-AU" w:eastAsia="en-AU"/>
          </w:rPr>
          <w:tab/>
        </w:r>
        <w:r w:rsidR="00A1149F" w:rsidRPr="0078428B">
          <w:rPr>
            <w:rStyle w:val="Hyperlink"/>
          </w:rPr>
          <w:t>How feedback from stakeholders has informed our proposals about the draft revised Framework</w:t>
        </w:r>
        <w:r w:rsidR="00A1149F">
          <w:rPr>
            <w:webHidden/>
          </w:rPr>
          <w:tab/>
        </w:r>
        <w:r w:rsidR="00A1149F">
          <w:rPr>
            <w:webHidden/>
          </w:rPr>
          <w:fldChar w:fldCharType="begin"/>
        </w:r>
        <w:r w:rsidR="00A1149F">
          <w:rPr>
            <w:webHidden/>
          </w:rPr>
          <w:instrText xml:space="preserve"> PAGEREF _Toc486235319 \h </w:instrText>
        </w:r>
        <w:r w:rsidR="00A1149F">
          <w:rPr>
            <w:webHidden/>
          </w:rPr>
        </w:r>
        <w:r w:rsidR="00A1149F">
          <w:rPr>
            <w:webHidden/>
          </w:rPr>
          <w:fldChar w:fldCharType="separate"/>
        </w:r>
        <w:r w:rsidR="00A1149F">
          <w:rPr>
            <w:webHidden/>
          </w:rPr>
          <w:t>11</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20" w:history="1">
        <w:r w:rsidR="00A1149F" w:rsidRPr="0078428B">
          <w:rPr>
            <w:rStyle w:val="Hyperlink"/>
          </w:rPr>
          <w:t>6.1</w:t>
        </w:r>
        <w:r w:rsidR="00A1149F">
          <w:rPr>
            <w:rFonts w:asciiTheme="minorHAnsi" w:eastAsiaTheme="minorEastAsia" w:hAnsiTheme="minorHAnsi"/>
            <w:b w:val="0"/>
            <w:color w:val="auto"/>
            <w:sz w:val="22"/>
            <w:lang w:eastAsia="en-AU"/>
          </w:rPr>
          <w:tab/>
        </w:r>
        <w:r w:rsidR="00A1149F" w:rsidRPr="0078428B">
          <w:rPr>
            <w:rStyle w:val="Hyperlink"/>
          </w:rPr>
          <w:t>Format and structure</w:t>
        </w:r>
        <w:r w:rsidR="00A1149F">
          <w:rPr>
            <w:webHidden/>
          </w:rPr>
          <w:tab/>
        </w:r>
        <w:r w:rsidR="00A1149F">
          <w:rPr>
            <w:webHidden/>
          </w:rPr>
          <w:fldChar w:fldCharType="begin"/>
        </w:r>
        <w:r w:rsidR="00A1149F">
          <w:rPr>
            <w:webHidden/>
          </w:rPr>
          <w:instrText xml:space="preserve"> PAGEREF _Toc486235320 \h </w:instrText>
        </w:r>
        <w:r w:rsidR="00A1149F">
          <w:rPr>
            <w:webHidden/>
          </w:rPr>
        </w:r>
        <w:r w:rsidR="00A1149F">
          <w:rPr>
            <w:webHidden/>
          </w:rPr>
          <w:fldChar w:fldCharType="separate"/>
        </w:r>
        <w:r w:rsidR="00A1149F">
          <w:rPr>
            <w:webHidden/>
          </w:rPr>
          <w:t>11</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21" w:history="1">
        <w:r w:rsidR="00A1149F" w:rsidRPr="0078428B">
          <w:rPr>
            <w:rStyle w:val="Hyperlink"/>
          </w:rPr>
          <w:t>6.2</w:t>
        </w:r>
        <w:r w:rsidR="00A1149F">
          <w:rPr>
            <w:rFonts w:asciiTheme="minorHAnsi" w:eastAsiaTheme="minorEastAsia" w:hAnsiTheme="minorHAnsi"/>
            <w:b w:val="0"/>
            <w:color w:val="auto"/>
            <w:sz w:val="22"/>
            <w:lang w:eastAsia="en-AU"/>
          </w:rPr>
          <w:tab/>
        </w:r>
        <w:r w:rsidR="00A1149F" w:rsidRPr="0078428B">
          <w:rPr>
            <w:rStyle w:val="Hyperlink"/>
          </w:rPr>
          <w:t>Principles</w:t>
        </w:r>
        <w:r w:rsidR="00A1149F">
          <w:rPr>
            <w:webHidden/>
          </w:rPr>
          <w:tab/>
        </w:r>
        <w:r w:rsidR="00A1149F">
          <w:rPr>
            <w:webHidden/>
          </w:rPr>
          <w:fldChar w:fldCharType="begin"/>
        </w:r>
        <w:r w:rsidR="00A1149F">
          <w:rPr>
            <w:webHidden/>
          </w:rPr>
          <w:instrText xml:space="preserve"> PAGEREF _Toc486235321 \h </w:instrText>
        </w:r>
        <w:r w:rsidR="00A1149F">
          <w:rPr>
            <w:webHidden/>
          </w:rPr>
        </w:r>
        <w:r w:rsidR="00A1149F">
          <w:rPr>
            <w:webHidden/>
          </w:rPr>
          <w:fldChar w:fldCharType="separate"/>
        </w:r>
        <w:r w:rsidR="00A1149F">
          <w:rPr>
            <w:webHidden/>
          </w:rPr>
          <w:t>11</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22" w:history="1">
        <w:r w:rsidR="00A1149F" w:rsidRPr="0078428B">
          <w:rPr>
            <w:rStyle w:val="Hyperlink"/>
          </w:rPr>
          <w:t>6.3</w:t>
        </w:r>
        <w:r w:rsidR="00A1149F">
          <w:rPr>
            <w:rFonts w:asciiTheme="minorHAnsi" w:eastAsiaTheme="minorEastAsia" w:hAnsiTheme="minorHAnsi"/>
            <w:b w:val="0"/>
            <w:color w:val="auto"/>
            <w:sz w:val="22"/>
            <w:lang w:eastAsia="en-AU"/>
          </w:rPr>
          <w:tab/>
        </w:r>
        <w:r w:rsidR="00A1149F" w:rsidRPr="0078428B">
          <w:rPr>
            <w:rStyle w:val="Hyperlink"/>
          </w:rPr>
          <w:t>Our engagement approaches and objectives</w:t>
        </w:r>
        <w:r w:rsidR="00A1149F">
          <w:rPr>
            <w:webHidden/>
          </w:rPr>
          <w:tab/>
        </w:r>
        <w:r w:rsidR="00A1149F">
          <w:rPr>
            <w:webHidden/>
          </w:rPr>
          <w:fldChar w:fldCharType="begin"/>
        </w:r>
        <w:r w:rsidR="00A1149F">
          <w:rPr>
            <w:webHidden/>
          </w:rPr>
          <w:instrText xml:space="preserve"> PAGEREF _Toc486235322 \h </w:instrText>
        </w:r>
        <w:r w:rsidR="00A1149F">
          <w:rPr>
            <w:webHidden/>
          </w:rPr>
        </w:r>
        <w:r w:rsidR="00A1149F">
          <w:rPr>
            <w:webHidden/>
          </w:rPr>
          <w:fldChar w:fldCharType="separate"/>
        </w:r>
        <w:r w:rsidR="00A1149F">
          <w:rPr>
            <w:webHidden/>
          </w:rPr>
          <w:t>13</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23" w:history="1">
        <w:r w:rsidR="00A1149F" w:rsidRPr="0078428B">
          <w:rPr>
            <w:rStyle w:val="Hyperlink"/>
          </w:rPr>
          <w:t>7</w:t>
        </w:r>
        <w:r w:rsidR="00A1149F">
          <w:rPr>
            <w:rFonts w:asciiTheme="minorHAnsi" w:eastAsiaTheme="minorEastAsia" w:hAnsiTheme="minorHAnsi"/>
            <w:b w:val="0"/>
            <w:color w:val="auto"/>
            <w:sz w:val="22"/>
            <w:lang w:val="en-AU" w:eastAsia="en-AU"/>
          </w:rPr>
          <w:tab/>
        </w:r>
        <w:r w:rsidR="00A1149F" w:rsidRPr="0078428B">
          <w:rPr>
            <w:rStyle w:val="Hyperlink"/>
          </w:rPr>
          <w:t>How we will use feedback from stakeholders to improve the effectiveness of our engagement</w:t>
        </w:r>
        <w:r w:rsidR="00A1149F">
          <w:rPr>
            <w:webHidden/>
          </w:rPr>
          <w:tab/>
        </w:r>
        <w:r w:rsidR="00A1149F">
          <w:rPr>
            <w:webHidden/>
          </w:rPr>
          <w:fldChar w:fldCharType="begin"/>
        </w:r>
        <w:r w:rsidR="00A1149F">
          <w:rPr>
            <w:webHidden/>
          </w:rPr>
          <w:instrText xml:space="preserve"> PAGEREF _Toc486235323 \h </w:instrText>
        </w:r>
        <w:r w:rsidR="00A1149F">
          <w:rPr>
            <w:webHidden/>
          </w:rPr>
        </w:r>
        <w:r w:rsidR="00A1149F">
          <w:rPr>
            <w:webHidden/>
          </w:rPr>
          <w:fldChar w:fldCharType="separate"/>
        </w:r>
        <w:r w:rsidR="00A1149F">
          <w:rPr>
            <w:webHidden/>
          </w:rPr>
          <w:t>15</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24" w:history="1">
        <w:r w:rsidR="00A1149F" w:rsidRPr="0078428B">
          <w:rPr>
            <w:rStyle w:val="Hyperlink"/>
          </w:rPr>
          <w:t>7.1</w:t>
        </w:r>
        <w:r w:rsidR="00A1149F">
          <w:rPr>
            <w:rFonts w:asciiTheme="minorHAnsi" w:eastAsiaTheme="minorEastAsia" w:hAnsiTheme="minorHAnsi"/>
            <w:b w:val="0"/>
            <w:color w:val="auto"/>
            <w:sz w:val="22"/>
            <w:lang w:eastAsia="en-AU"/>
          </w:rPr>
          <w:tab/>
        </w:r>
        <w:r w:rsidR="00A1149F" w:rsidRPr="0078428B">
          <w:rPr>
            <w:rStyle w:val="Hyperlink"/>
          </w:rPr>
          <w:t>Principle 1 - Communicating in a clear, accurate and timely way</w:t>
        </w:r>
        <w:r w:rsidR="00A1149F">
          <w:rPr>
            <w:webHidden/>
          </w:rPr>
          <w:tab/>
        </w:r>
        <w:r w:rsidR="00A1149F">
          <w:rPr>
            <w:webHidden/>
          </w:rPr>
          <w:fldChar w:fldCharType="begin"/>
        </w:r>
        <w:r w:rsidR="00A1149F">
          <w:rPr>
            <w:webHidden/>
          </w:rPr>
          <w:instrText xml:space="preserve"> PAGEREF _Toc486235324 \h </w:instrText>
        </w:r>
        <w:r w:rsidR="00A1149F">
          <w:rPr>
            <w:webHidden/>
          </w:rPr>
        </w:r>
        <w:r w:rsidR="00A1149F">
          <w:rPr>
            <w:webHidden/>
          </w:rPr>
          <w:fldChar w:fldCharType="separate"/>
        </w:r>
        <w:r w:rsidR="00A1149F">
          <w:rPr>
            <w:webHidden/>
          </w:rPr>
          <w:t>15</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25" w:history="1">
        <w:r w:rsidR="00A1149F" w:rsidRPr="0078428B">
          <w:rPr>
            <w:rStyle w:val="Hyperlink"/>
          </w:rPr>
          <w:t>7.1.1</w:t>
        </w:r>
        <w:r w:rsidR="00A1149F">
          <w:rPr>
            <w:rFonts w:asciiTheme="minorHAnsi" w:eastAsiaTheme="minorEastAsia" w:hAnsiTheme="minorHAnsi"/>
            <w:lang w:eastAsia="en-AU"/>
          </w:rPr>
          <w:tab/>
        </w:r>
        <w:r w:rsidR="00A1149F" w:rsidRPr="0078428B">
          <w:rPr>
            <w:rStyle w:val="Hyperlink"/>
          </w:rPr>
          <w:t>Using plain language</w:t>
        </w:r>
        <w:r w:rsidR="00A1149F">
          <w:rPr>
            <w:webHidden/>
          </w:rPr>
          <w:tab/>
        </w:r>
        <w:r w:rsidR="00A1149F">
          <w:rPr>
            <w:webHidden/>
          </w:rPr>
          <w:fldChar w:fldCharType="begin"/>
        </w:r>
        <w:r w:rsidR="00A1149F">
          <w:rPr>
            <w:webHidden/>
          </w:rPr>
          <w:instrText xml:space="preserve"> PAGEREF _Toc486235325 \h </w:instrText>
        </w:r>
        <w:r w:rsidR="00A1149F">
          <w:rPr>
            <w:webHidden/>
          </w:rPr>
        </w:r>
        <w:r w:rsidR="00A1149F">
          <w:rPr>
            <w:webHidden/>
          </w:rPr>
          <w:fldChar w:fldCharType="separate"/>
        </w:r>
        <w:r w:rsidR="00A1149F">
          <w:rPr>
            <w:webHidden/>
          </w:rPr>
          <w:t>15</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26" w:history="1">
        <w:r w:rsidR="00A1149F" w:rsidRPr="0078428B">
          <w:rPr>
            <w:rStyle w:val="Hyperlink"/>
          </w:rPr>
          <w:t>7.1.2</w:t>
        </w:r>
        <w:r w:rsidR="00A1149F">
          <w:rPr>
            <w:rFonts w:asciiTheme="minorHAnsi" w:eastAsiaTheme="minorEastAsia" w:hAnsiTheme="minorHAnsi"/>
            <w:lang w:eastAsia="en-AU"/>
          </w:rPr>
          <w:tab/>
        </w:r>
        <w:r w:rsidR="00A1149F" w:rsidRPr="0078428B">
          <w:rPr>
            <w:rStyle w:val="Hyperlink"/>
          </w:rPr>
          <w:t>Having clear and realistic timeframes for input</w:t>
        </w:r>
        <w:r w:rsidR="00A1149F">
          <w:rPr>
            <w:webHidden/>
          </w:rPr>
          <w:tab/>
        </w:r>
        <w:r w:rsidR="00A1149F">
          <w:rPr>
            <w:webHidden/>
          </w:rPr>
          <w:fldChar w:fldCharType="begin"/>
        </w:r>
        <w:r w:rsidR="00A1149F">
          <w:rPr>
            <w:webHidden/>
          </w:rPr>
          <w:instrText xml:space="preserve"> PAGEREF _Toc486235326 \h </w:instrText>
        </w:r>
        <w:r w:rsidR="00A1149F">
          <w:rPr>
            <w:webHidden/>
          </w:rPr>
        </w:r>
        <w:r w:rsidR="00A1149F">
          <w:rPr>
            <w:webHidden/>
          </w:rPr>
          <w:fldChar w:fldCharType="separate"/>
        </w:r>
        <w:r w:rsidR="00A1149F">
          <w:rPr>
            <w:webHidden/>
          </w:rPr>
          <w:t>16</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27" w:history="1">
        <w:r w:rsidR="00A1149F" w:rsidRPr="0078428B">
          <w:rPr>
            <w:rStyle w:val="Hyperlink"/>
          </w:rPr>
          <w:t>7.1.3</w:t>
        </w:r>
        <w:r w:rsidR="00A1149F">
          <w:rPr>
            <w:rFonts w:asciiTheme="minorHAnsi" w:eastAsiaTheme="minorEastAsia" w:hAnsiTheme="minorHAnsi"/>
            <w:lang w:eastAsia="en-AU"/>
          </w:rPr>
          <w:tab/>
        </w:r>
        <w:r w:rsidR="00A1149F" w:rsidRPr="0078428B">
          <w:rPr>
            <w:rStyle w:val="Hyperlink"/>
          </w:rPr>
          <w:t>Engaging through the whole lifecycle</w:t>
        </w:r>
        <w:r w:rsidR="00A1149F">
          <w:rPr>
            <w:webHidden/>
          </w:rPr>
          <w:tab/>
        </w:r>
        <w:r w:rsidR="00A1149F">
          <w:rPr>
            <w:webHidden/>
          </w:rPr>
          <w:fldChar w:fldCharType="begin"/>
        </w:r>
        <w:r w:rsidR="00A1149F">
          <w:rPr>
            <w:webHidden/>
          </w:rPr>
          <w:instrText xml:space="preserve"> PAGEREF _Toc486235327 \h </w:instrText>
        </w:r>
        <w:r w:rsidR="00A1149F">
          <w:rPr>
            <w:webHidden/>
          </w:rPr>
        </w:r>
        <w:r w:rsidR="00A1149F">
          <w:rPr>
            <w:webHidden/>
          </w:rPr>
          <w:fldChar w:fldCharType="separate"/>
        </w:r>
        <w:r w:rsidR="00A1149F">
          <w:rPr>
            <w:webHidden/>
          </w:rPr>
          <w:t>16</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28" w:history="1">
        <w:r w:rsidR="00A1149F" w:rsidRPr="0078428B">
          <w:rPr>
            <w:rStyle w:val="Hyperlink"/>
          </w:rPr>
          <w:t>7.2</w:t>
        </w:r>
        <w:r w:rsidR="00A1149F">
          <w:rPr>
            <w:rFonts w:asciiTheme="minorHAnsi" w:eastAsiaTheme="minorEastAsia" w:hAnsiTheme="minorHAnsi"/>
            <w:b w:val="0"/>
            <w:color w:val="auto"/>
            <w:sz w:val="22"/>
            <w:lang w:eastAsia="en-AU"/>
          </w:rPr>
          <w:tab/>
        </w:r>
        <w:r w:rsidR="00A1149F" w:rsidRPr="0078428B">
          <w:rPr>
            <w:rStyle w:val="Hyperlink"/>
          </w:rPr>
          <w:t>Principle 2 - Being accessible and inclusive</w:t>
        </w:r>
        <w:r w:rsidR="00A1149F">
          <w:rPr>
            <w:webHidden/>
          </w:rPr>
          <w:tab/>
        </w:r>
        <w:r w:rsidR="00A1149F">
          <w:rPr>
            <w:webHidden/>
          </w:rPr>
          <w:fldChar w:fldCharType="begin"/>
        </w:r>
        <w:r w:rsidR="00A1149F">
          <w:rPr>
            <w:webHidden/>
          </w:rPr>
          <w:instrText xml:space="preserve"> PAGEREF _Toc486235328 \h </w:instrText>
        </w:r>
        <w:r w:rsidR="00A1149F">
          <w:rPr>
            <w:webHidden/>
          </w:rPr>
        </w:r>
        <w:r w:rsidR="00A1149F">
          <w:rPr>
            <w:webHidden/>
          </w:rPr>
          <w:fldChar w:fldCharType="separate"/>
        </w:r>
        <w:r w:rsidR="00A1149F">
          <w:rPr>
            <w:webHidden/>
          </w:rPr>
          <w:t>17</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29" w:history="1">
        <w:r w:rsidR="00A1149F" w:rsidRPr="0078428B">
          <w:rPr>
            <w:rStyle w:val="Hyperlink"/>
          </w:rPr>
          <w:t>7.2.1</w:t>
        </w:r>
        <w:r w:rsidR="00A1149F">
          <w:rPr>
            <w:rFonts w:asciiTheme="minorHAnsi" w:eastAsiaTheme="minorEastAsia" w:hAnsiTheme="minorHAnsi"/>
            <w:lang w:eastAsia="en-AU"/>
          </w:rPr>
          <w:tab/>
        </w:r>
        <w:r w:rsidR="00A1149F" w:rsidRPr="0078428B">
          <w:rPr>
            <w:rStyle w:val="Hyperlink"/>
          </w:rPr>
          <w:t>Being flexible</w:t>
        </w:r>
        <w:r w:rsidR="00A1149F">
          <w:rPr>
            <w:webHidden/>
          </w:rPr>
          <w:tab/>
        </w:r>
        <w:r w:rsidR="00A1149F">
          <w:rPr>
            <w:webHidden/>
          </w:rPr>
          <w:fldChar w:fldCharType="begin"/>
        </w:r>
        <w:r w:rsidR="00A1149F">
          <w:rPr>
            <w:webHidden/>
          </w:rPr>
          <w:instrText xml:space="preserve"> PAGEREF _Toc486235329 \h </w:instrText>
        </w:r>
        <w:r w:rsidR="00A1149F">
          <w:rPr>
            <w:webHidden/>
          </w:rPr>
        </w:r>
        <w:r w:rsidR="00A1149F">
          <w:rPr>
            <w:webHidden/>
          </w:rPr>
          <w:fldChar w:fldCharType="separate"/>
        </w:r>
        <w:r w:rsidR="00A1149F">
          <w:rPr>
            <w:webHidden/>
          </w:rPr>
          <w:t>18</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0" w:history="1">
        <w:r w:rsidR="00A1149F" w:rsidRPr="0078428B">
          <w:rPr>
            <w:rStyle w:val="Hyperlink"/>
          </w:rPr>
          <w:t>7.2.2</w:t>
        </w:r>
        <w:r w:rsidR="00A1149F">
          <w:rPr>
            <w:rFonts w:asciiTheme="minorHAnsi" w:eastAsiaTheme="minorEastAsia" w:hAnsiTheme="minorHAnsi"/>
            <w:lang w:eastAsia="en-AU"/>
          </w:rPr>
          <w:tab/>
        </w:r>
        <w:r w:rsidR="00A1149F" w:rsidRPr="0078428B">
          <w:rPr>
            <w:rStyle w:val="Hyperlink"/>
          </w:rPr>
          <w:t>Tailoring our engagement</w:t>
        </w:r>
        <w:r w:rsidR="00A1149F">
          <w:rPr>
            <w:webHidden/>
          </w:rPr>
          <w:tab/>
        </w:r>
        <w:r w:rsidR="00A1149F">
          <w:rPr>
            <w:webHidden/>
          </w:rPr>
          <w:fldChar w:fldCharType="begin"/>
        </w:r>
        <w:r w:rsidR="00A1149F">
          <w:rPr>
            <w:webHidden/>
          </w:rPr>
          <w:instrText xml:space="preserve"> PAGEREF _Toc486235330 \h </w:instrText>
        </w:r>
        <w:r w:rsidR="00A1149F">
          <w:rPr>
            <w:webHidden/>
          </w:rPr>
        </w:r>
        <w:r w:rsidR="00A1149F">
          <w:rPr>
            <w:webHidden/>
          </w:rPr>
          <w:fldChar w:fldCharType="separate"/>
        </w:r>
        <w:r w:rsidR="00A1149F">
          <w:rPr>
            <w:webHidden/>
          </w:rPr>
          <w:t>18</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1" w:history="1">
        <w:r w:rsidR="00A1149F" w:rsidRPr="0078428B">
          <w:rPr>
            <w:rStyle w:val="Hyperlink"/>
          </w:rPr>
          <w:t>7.2.3</w:t>
        </w:r>
        <w:r w:rsidR="00A1149F">
          <w:rPr>
            <w:rFonts w:asciiTheme="minorHAnsi" w:eastAsiaTheme="minorEastAsia" w:hAnsiTheme="minorHAnsi"/>
            <w:lang w:eastAsia="en-AU"/>
          </w:rPr>
          <w:tab/>
        </w:r>
        <w:r w:rsidR="00A1149F" w:rsidRPr="0078428B">
          <w:rPr>
            <w:rStyle w:val="Hyperlink"/>
          </w:rPr>
          <w:t>Targeted communication</w:t>
        </w:r>
        <w:r w:rsidR="00A1149F">
          <w:rPr>
            <w:webHidden/>
          </w:rPr>
          <w:tab/>
        </w:r>
        <w:r w:rsidR="00A1149F">
          <w:rPr>
            <w:webHidden/>
          </w:rPr>
          <w:fldChar w:fldCharType="begin"/>
        </w:r>
        <w:r w:rsidR="00A1149F">
          <w:rPr>
            <w:webHidden/>
          </w:rPr>
          <w:instrText xml:space="preserve"> PAGEREF _Toc486235331 \h </w:instrText>
        </w:r>
        <w:r w:rsidR="00A1149F">
          <w:rPr>
            <w:webHidden/>
          </w:rPr>
        </w:r>
        <w:r w:rsidR="00A1149F">
          <w:rPr>
            <w:webHidden/>
          </w:rPr>
          <w:fldChar w:fldCharType="separate"/>
        </w:r>
        <w:r w:rsidR="00A1149F">
          <w:rPr>
            <w:webHidden/>
          </w:rPr>
          <w:t>19</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2" w:history="1">
        <w:r w:rsidR="00A1149F" w:rsidRPr="0078428B">
          <w:rPr>
            <w:rStyle w:val="Hyperlink"/>
          </w:rPr>
          <w:t>7.2.4</w:t>
        </w:r>
        <w:r w:rsidR="00A1149F">
          <w:rPr>
            <w:rFonts w:asciiTheme="minorHAnsi" w:eastAsiaTheme="minorEastAsia" w:hAnsiTheme="minorHAnsi"/>
            <w:lang w:eastAsia="en-AU"/>
          </w:rPr>
          <w:tab/>
        </w:r>
        <w:r w:rsidR="00A1149F" w:rsidRPr="0078428B">
          <w:rPr>
            <w:rStyle w:val="Hyperlink"/>
          </w:rPr>
          <w:t>Building knowledge and capacity where needed</w:t>
        </w:r>
        <w:r w:rsidR="00A1149F">
          <w:rPr>
            <w:webHidden/>
          </w:rPr>
          <w:tab/>
        </w:r>
        <w:r w:rsidR="00A1149F">
          <w:rPr>
            <w:webHidden/>
          </w:rPr>
          <w:fldChar w:fldCharType="begin"/>
        </w:r>
        <w:r w:rsidR="00A1149F">
          <w:rPr>
            <w:webHidden/>
          </w:rPr>
          <w:instrText xml:space="preserve"> PAGEREF _Toc486235332 \h </w:instrText>
        </w:r>
        <w:r w:rsidR="00A1149F">
          <w:rPr>
            <w:webHidden/>
          </w:rPr>
        </w:r>
        <w:r w:rsidR="00A1149F">
          <w:rPr>
            <w:webHidden/>
          </w:rPr>
          <w:fldChar w:fldCharType="separate"/>
        </w:r>
        <w:r w:rsidR="00A1149F">
          <w:rPr>
            <w:webHidden/>
          </w:rPr>
          <w:t>20</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3" w:history="1">
        <w:r w:rsidR="00A1149F" w:rsidRPr="0078428B">
          <w:rPr>
            <w:rStyle w:val="Hyperlink"/>
          </w:rPr>
          <w:t>7.2.5</w:t>
        </w:r>
        <w:r w:rsidR="00A1149F">
          <w:rPr>
            <w:rFonts w:asciiTheme="minorHAnsi" w:eastAsiaTheme="minorEastAsia" w:hAnsiTheme="minorHAnsi"/>
            <w:lang w:eastAsia="en-AU"/>
          </w:rPr>
          <w:tab/>
        </w:r>
        <w:r w:rsidR="00A1149F" w:rsidRPr="0078428B">
          <w:rPr>
            <w:rStyle w:val="Hyperlink"/>
          </w:rPr>
          <w:t>Considering the time and resources needed by stakeholders to engage effectively</w:t>
        </w:r>
        <w:r w:rsidR="00A1149F">
          <w:rPr>
            <w:webHidden/>
          </w:rPr>
          <w:tab/>
        </w:r>
        <w:r w:rsidR="00A1149F">
          <w:rPr>
            <w:webHidden/>
          </w:rPr>
          <w:fldChar w:fldCharType="begin"/>
        </w:r>
        <w:r w:rsidR="00A1149F">
          <w:rPr>
            <w:webHidden/>
          </w:rPr>
          <w:instrText xml:space="preserve"> PAGEREF _Toc486235333 \h </w:instrText>
        </w:r>
        <w:r w:rsidR="00A1149F">
          <w:rPr>
            <w:webHidden/>
          </w:rPr>
        </w:r>
        <w:r w:rsidR="00A1149F">
          <w:rPr>
            <w:webHidden/>
          </w:rPr>
          <w:fldChar w:fldCharType="separate"/>
        </w:r>
        <w:r w:rsidR="00A1149F">
          <w:rPr>
            <w:webHidden/>
          </w:rPr>
          <w:t>20</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34" w:history="1">
        <w:r w:rsidR="00A1149F" w:rsidRPr="0078428B">
          <w:rPr>
            <w:rStyle w:val="Hyperlink"/>
          </w:rPr>
          <w:t>7.3</w:t>
        </w:r>
        <w:r w:rsidR="00A1149F">
          <w:rPr>
            <w:rFonts w:asciiTheme="minorHAnsi" w:eastAsiaTheme="minorEastAsia" w:hAnsiTheme="minorHAnsi"/>
            <w:b w:val="0"/>
            <w:color w:val="auto"/>
            <w:sz w:val="22"/>
            <w:lang w:eastAsia="en-AU"/>
          </w:rPr>
          <w:tab/>
        </w:r>
        <w:r w:rsidR="00A1149F" w:rsidRPr="0078428B">
          <w:rPr>
            <w:rStyle w:val="Hyperlink"/>
          </w:rPr>
          <w:t>Principle 3 - Being transparent</w:t>
        </w:r>
        <w:r w:rsidR="00A1149F">
          <w:rPr>
            <w:webHidden/>
          </w:rPr>
          <w:tab/>
        </w:r>
        <w:r w:rsidR="00A1149F">
          <w:rPr>
            <w:webHidden/>
          </w:rPr>
          <w:fldChar w:fldCharType="begin"/>
        </w:r>
        <w:r w:rsidR="00A1149F">
          <w:rPr>
            <w:webHidden/>
          </w:rPr>
          <w:instrText xml:space="preserve"> PAGEREF _Toc486235334 \h </w:instrText>
        </w:r>
        <w:r w:rsidR="00A1149F">
          <w:rPr>
            <w:webHidden/>
          </w:rPr>
        </w:r>
        <w:r w:rsidR="00A1149F">
          <w:rPr>
            <w:webHidden/>
          </w:rPr>
          <w:fldChar w:fldCharType="separate"/>
        </w:r>
        <w:r w:rsidR="00A1149F">
          <w:rPr>
            <w:webHidden/>
          </w:rPr>
          <w:t>22</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5" w:history="1">
        <w:r w:rsidR="00A1149F" w:rsidRPr="0078428B">
          <w:rPr>
            <w:rStyle w:val="Hyperlink"/>
          </w:rPr>
          <w:t>7.3.1</w:t>
        </w:r>
        <w:r w:rsidR="00A1149F">
          <w:rPr>
            <w:rFonts w:asciiTheme="minorHAnsi" w:eastAsiaTheme="minorEastAsia" w:hAnsiTheme="minorHAnsi"/>
            <w:lang w:eastAsia="en-AU"/>
          </w:rPr>
          <w:tab/>
        </w:r>
        <w:r w:rsidR="00A1149F" w:rsidRPr="0078428B">
          <w:rPr>
            <w:rStyle w:val="Hyperlink"/>
          </w:rPr>
          <w:t>Explaining the purpose and approach</w:t>
        </w:r>
        <w:r w:rsidR="00A1149F">
          <w:rPr>
            <w:webHidden/>
          </w:rPr>
          <w:tab/>
        </w:r>
        <w:r w:rsidR="00A1149F">
          <w:rPr>
            <w:webHidden/>
          </w:rPr>
          <w:fldChar w:fldCharType="begin"/>
        </w:r>
        <w:r w:rsidR="00A1149F">
          <w:rPr>
            <w:webHidden/>
          </w:rPr>
          <w:instrText xml:space="preserve"> PAGEREF _Toc486235335 \h </w:instrText>
        </w:r>
        <w:r w:rsidR="00A1149F">
          <w:rPr>
            <w:webHidden/>
          </w:rPr>
        </w:r>
        <w:r w:rsidR="00A1149F">
          <w:rPr>
            <w:webHidden/>
          </w:rPr>
          <w:fldChar w:fldCharType="separate"/>
        </w:r>
        <w:r w:rsidR="00A1149F">
          <w:rPr>
            <w:webHidden/>
          </w:rPr>
          <w:t>22</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6" w:history="1">
        <w:r w:rsidR="00A1149F" w:rsidRPr="0078428B">
          <w:rPr>
            <w:rStyle w:val="Hyperlink"/>
          </w:rPr>
          <w:t>7.3.2</w:t>
        </w:r>
        <w:r w:rsidR="00A1149F">
          <w:rPr>
            <w:rFonts w:asciiTheme="minorHAnsi" w:eastAsiaTheme="minorEastAsia" w:hAnsiTheme="minorHAnsi"/>
            <w:lang w:eastAsia="en-AU"/>
          </w:rPr>
          <w:tab/>
        </w:r>
        <w:r w:rsidR="00A1149F" w:rsidRPr="0078428B">
          <w:rPr>
            <w:rStyle w:val="Hyperlink"/>
          </w:rPr>
          <w:t>Reporting on how stakeholder input informed our decision</w:t>
        </w:r>
        <w:r w:rsidR="00A1149F">
          <w:rPr>
            <w:webHidden/>
          </w:rPr>
          <w:tab/>
        </w:r>
        <w:r w:rsidR="00A1149F">
          <w:rPr>
            <w:webHidden/>
          </w:rPr>
          <w:fldChar w:fldCharType="begin"/>
        </w:r>
        <w:r w:rsidR="00A1149F">
          <w:rPr>
            <w:webHidden/>
          </w:rPr>
          <w:instrText xml:space="preserve"> PAGEREF _Toc486235336 \h </w:instrText>
        </w:r>
        <w:r w:rsidR="00A1149F">
          <w:rPr>
            <w:webHidden/>
          </w:rPr>
        </w:r>
        <w:r w:rsidR="00A1149F">
          <w:rPr>
            <w:webHidden/>
          </w:rPr>
          <w:fldChar w:fldCharType="separate"/>
        </w:r>
        <w:r w:rsidR="00A1149F">
          <w:rPr>
            <w:webHidden/>
          </w:rPr>
          <w:t>23</w:t>
        </w:r>
        <w:r w:rsidR="00A1149F">
          <w:rPr>
            <w:webHidden/>
          </w:rPr>
          <w:fldChar w:fldCharType="end"/>
        </w:r>
      </w:hyperlink>
    </w:p>
    <w:p w:rsidR="00A1149F" w:rsidRDefault="001F4AB1">
      <w:pPr>
        <w:pStyle w:val="TOC3"/>
        <w:rPr>
          <w:rFonts w:asciiTheme="minorHAnsi" w:eastAsiaTheme="minorEastAsia" w:hAnsiTheme="minorHAnsi"/>
          <w:lang w:eastAsia="en-AU"/>
        </w:rPr>
      </w:pPr>
      <w:hyperlink w:anchor="_Toc486235337" w:history="1">
        <w:r w:rsidR="00A1149F" w:rsidRPr="0078428B">
          <w:rPr>
            <w:rStyle w:val="Hyperlink"/>
          </w:rPr>
          <w:t>7.3.3</w:t>
        </w:r>
        <w:r w:rsidR="00A1149F">
          <w:rPr>
            <w:rFonts w:asciiTheme="minorHAnsi" w:eastAsiaTheme="minorEastAsia" w:hAnsiTheme="minorHAnsi"/>
            <w:lang w:eastAsia="en-AU"/>
          </w:rPr>
          <w:tab/>
        </w:r>
        <w:r w:rsidR="00A1149F" w:rsidRPr="0078428B">
          <w:rPr>
            <w:rStyle w:val="Hyperlink"/>
          </w:rPr>
          <w:t>Being transparent in this process</w:t>
        </w:r>
        <w:r w:rsidR="00A1149F">
          <w:rPr>
            <w:webHidden/>
          </w:rPr>
          <w:tab/>
        </w:r>
        <w:r w:rsidR="00A1149F">
          <w:rPr>
            <w:webHidden/>
          </w:rPr>
          <w:fldChar w:fldCharType="begin"/>
        </w:r>
        <w:r w:rsidR="00A1149F">
          <w:rPr>
            <w:webHidden/>
          </w:rPr>
          <w:instrText xml:space="preserve"> PAGEREF _Toc486235337 \h </w:instrText>
        </w:r>
        <w:r w:rsidR="00A1149F">
          <w:rPr>
            <w:webHidden/>
          </w:rPr>
        </w:r>
        <w:r w:rsidR="00A1149F">
          <w:rPr>
            <w:webHidden/>
          </w:rPr>
          <w:fldChar w:fldCharType="separate"/>
        </w:r>
        <w:r w:rsidR="00A1149F">
          <w:rPr>
            <w:webHidden/>
          </w:rPr>
          <w:t>24</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38" w:history="1">
        <w:r w:rsidR="00A1149F" w:rsidRPr="0078428B">
          <w:rPr>
            <w:rStyle w:val="Hyperlink"/>
          </w:rPr>
          <w:t>7.4</w:t>
        </w:r>
        <w:r w:rsidR="00A1149F">
          <w:rPr>
            <w:rFonts w:asciiTheme="minorHAnsi" w:eastAsiaTheme="minorEastAsia" w:hAnsiTheme="minorHAnsi"/>
            <w:b w:val="0"/>
            <w:color w:val="auto"/>
            <w:sz w:val="22"/>
            <w:lang w:eastAsia="en-AU"/>
          </w:rPr>
          <w:tab/>
        </w:r>
        <w:r w:rsidR="00A1149F" w:rsidRPr="0078428B">
          <w:rPr>
            <w:rStyle w:val="Hyperlink"/>
          </w:rPr>
          <w:t>Principle 4 – Ensuring the effectiveness of our engagement is measurable</w:t>
        </w:r>
        <w:r w:rsidR="00A1149F">
          <w:rPr>
            <w:webHidden/>
          </w:rPr>
          <w:tab/>
        </w:r>
        <w:r w:rsidR="00A1149F">
          <w:rPr>
            <w:webHidden/>
          </w:rPr>
          <w:fldChar w:fldCharType="begin"/>
        </w:r>
        <w:r w:rsidR="00A1149F">
          <w:rPr>
            <w:webHidden/>
          </w:rPr>
          <w:instrText xml:space="preserve"> PAGEREF _Toc486235338 \h </w:instrText>
        </w:r>
        <w:r w:rsidR="00A1149F">
          <w:rPr>
            <w:webHidden/>
          </w:rPr>
        </w:r>
        <w:r w:rsidR="00A1149F">
          <w:rPr>
            <w:webHidden/>
          </w:rPr>
          <w:fldChar w:fldCharType="separate"/>
        </w:r>
        <w:r w:rsidR="00A1149F">
          <w:rPr>
            <w:webHidden/>
          </w:rPr>
          <w:t>24</w:t>
        </w:r>
        <w:r w:rsidR="00A1149F">
          <w:rPr>
            <w:webHidden/>
          </w:rPr>
          <w:fldChar w:fldCharType="end"/>
        </w:r>
      </w:hyperlink>
    </w:p>
    <w:p w:rsidR="00A1149F" w:rsidRDefault="001F4AB1">
      <w:pPr>
        <w:pStyle w:val="TOC2"/>
        <w:rPr>
          <w:rFonts w:asciiTheme="minorHAnsi" w:eastAsiaTheme="minorEastAsia" w:hAnsiTheme="minorHAnsi"/>
          <w:b w:val="0"/>
          <w:color w:val="auto"/>
          <w:sz w:val="22"/>
          <w:lang w:eastAsia="en-AU"/>
        </w:rPr>
      </w:pPr>
      <w:hyperlink w:anchor="_Toc486235339" w:history="1">
        <w:r w:rsidR="00A1149F" w:rsidRPr="0078428B">
          <w:rPr>
            <w:rStyle w:val="Hyperlink"/>
          </w:rPr>
          <w:t>7.5</w:t>
        </w:r>
        <w:r w:rsidR="00A1149F">
          <w:rPr>
            <w:rFonts w:asciiTheme="minorHAnsi" w:eastAsiaTheme="minorEastAsia" w:hAnsiTheme="minorHAnsi"/>
            <w:b w:val="0"/>
            <w:color w:val="auto"/>
            <w:sz w:val="22"/>
            <w:lang w:eastAsia="en-AU"/>
          </w:rPr>
          <w:tab/>
        </w:r>
        <w:r w:rsidR="00A1149F" w:rsidRPr="0078428B">
          <w:rPr>
            <w:rStyle w:val="Hyperlink"/>
          </w:rPr>
          <w:t>Other issues raised</w:t>
        </w:r>
        <w:r w:rsidR="00A1149F">
          <w:rPr>
            <w:webHidden/>
          </w:rPr>
          <w:tab/>
        </w:r>
        <w:r w:rsidR="00A1149F">
          <w:rPr>
            <w:webHidden/>
          </w:rPr>
          <w:fldChar w:fldCharType="begin"/>
        </w:r>
        <w:r w:rsidR="00A1149F">
          <w:rPr>
            <w:webHidden/>
          </w:rPr>
          <w:instrText xml:space="preserve"> PAGEREF _Toc486235339 \h </w:instrText>
        </w:r>
        <w:r w:rsidR="00A1149F">
          <w:rPr>
            <w:webHidden/>
          </w:rPr>
        </w:r>
        <w:r w:rsidR="00A1149F">
          <w:rPr>
            <w:webHidden/>
          </w:rPr>
          <w:fldChar w:fldCharType="separate"/>
        </w:r>
        <w:r w:rsidR="00A1149F">
          <w:rPr>
            <w:webHidden/>
          </w:rPr>
          <w:t>24</w:t>
        </w:r>
        <w:r w:rsidR="00A1149F">
          <w:rPr>
            <w:webHidden/>
          </w:rPr>
          <w:fldChar w:fldCharType="end"/>
        </w:r>
      </w:hyperlink>
    </w:p>
    <w:p w:rsidR="00A1149F" w:rsidRDefault="001F4AB1">
      <w:pPr>
        <w:pStyle w:val="TOC1"/>
        <w:rPr>
          <w:rFonts w:asciiTheme="minorHAnsi" w:eastAsiaTheme="minorEastAsia" w:hAnsiTheme="minorHAnsi"/>
          <w:b w:val="0"/>
          <w:color w:val="auto"/>
          <w:sz w:val="22"/>
          <w:lang w:val="en-AU" w:eastAsia="en-AU"/>
        </w:rPr>
      </w:pPr>
      <w:hyperlink w:anchor="_Toc486235340" w:history="1">
        <w:r w:rsidR="00A1149F" w:rsidRPr="0078428B">
          <w:rPr>
            <w:rStyle w:val="Hyperlink"/>
          </w:rPr>
          <w:t>8</w:t>
        </w:r>
        <w:r w:rsidR="00A1149F">
          <w:rPr>
            <w:rFonts w:asciiTheme="minorHAnsi" w:eastAsiaTheme="minorEastAsia" w:hAnsiTheme="minorHAnsi"/>
            <w:b w:val="0"/>
            <w:color w:val="auto"/>
            <w:sz w:val="22"/>
            <w:lang w:val="en-AU" w:eastAsia="en-AU"/>
          </w:rPr>
          <w:tab/>
        </w:r>
        <w:r w:rsidR="00A1149F" w:rsidRPr="0078428B">
          <w:rPr>
            <w:rStyle w:val="Hyperlink"/>
          </w:rPr>
          <w:t>How to have your say</w:t>
        </w:r>
        <w:r w:rsidR="00A1149F">
          <w:rPr>
            <w:webHidden/>
          </w:rPr>
          <w:tab/>
        </w:r>
        <w:r w:rsidR="00A1149F">
          <w:rPr>
            <w:webHidden/>
          </w:rPr>
          <w:fldChar w:fldCharType="begin"/>
        </w:r>
        <w:r w:rsidR="00A1149F">
          <w:rPr>
            <w:webHidden/>
          </w:rPr>
          <w:instrText xml:space="preserve"> PAGEREF _Toc486235340 \h </w:instrText>
        </w:r>
        <w:r w:rsidR="00A1149F">
          <w:rPr>
            <w:webHidden/>
          </w:rPr>
        </w:r>
        <w:r w:rsidR="00A1149F">
          <w:rPr>
            <w:webHidden/>
          </w:rPr>
          <w:fldChar w:fldCharType="separate"/>
        </w:r>
        <w:r w:rsidR="00A1149F">
          <w:rPr>
            <w:webHidden/>
          </w:rPr>
          <w:t>25</w:t>
        </w:r>
        <w:r w:rsidR="00A1149F">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p>
    <w:p w:rsidR="00683933" w:rsidRDefault="00EC642F" w:rsidP="00683933">
      <w:pPr>
        <w:pStyle w:val="Heading1"/>
      </w:pPr>
      <w:bookmarkStart w:id="2" w:name="_Toc486235313"/>
      <w:r>
        <w:t>Introduction</w:t>
      </w:r>
      <w:bookmarkEnd w:id="2"/>
      <w:r w:rsidR="00683933" w:rsidRPr="00683933">
        <w:t xml:space="preserve"> </w:t>
      </w:r>
    </w:p>
    <w:p w:rsidR="0018421A" w:rsidRDefault="00E04FCC" w:rsidP="00683933">
      <w:r>
        <w:t xml:space="preserve">The AER recognises that the decisions we make and the actions we take in performing our regulatory roles and other activities affect a wide range of individuals, businesses and organisations. </w:t>
      </w:r>
      <w:r w:rsidRPr="00E04FCC">
        <w:t xml:space="preserve">Effective and meaningful engagement with stakeholders across </w:t>
      </w:r>
      <w:r w:rsidR="00E24BA7">
        <w:t xml:space="preserve">all our </w:t>
      </w:r>
      <w:r w:rsidRPr="00E04FCC">
        <w:t>functions is essential to fulfilling our role</w:t>
      </w:r>
      <w:r w:rsidR="00A135A5">
        <w:t xml:space="preserve">, and it provides stakeholders with an opportunity to inform and influence </w:t>
      </w:r>
      <w:r w:rsidR="00564D4F">
        <w:t xml:space="preserve">what we do. </w:t>
      </w:r>
      <w:r w:rsidR="0018421A">
        <w:t>It helps us to make better decisions, enhances the transparency and predictability of our regulatory activities and processes</w:t>
      </w:r>
      <w:r w:rsidR="003B60AA">
        <w:t xml:space="preserve"> and builds stakeholders' trust and confidence in the regulatory regime.  </w:t>
      </w:r>
    </w:p>
    <w:p w:rsidR="006224DC" w:rsidRDefault="00564D4F" w:rsidP="00170562">
      <w:r>
        <w:t>W</w:t>
      </w:r>
      <w:r w:rsidR="006224DC">
        <w:t xml:space="preserve">e </w:t>
      </w:r>
      <w:r w:rsidR="009E52A9">
        <w:t xml:space="preserve">introduced </w:t>
      </w:r>
      <w:r w:rsidR="00E24BA7">
        <w:t xml:space="preserve">a </w:t>
      </w:r>
      <w:r w:rsidR="003B60AA">
        <w:t>Stakeholder Engagement Framework</w:t>
      </w:r>
      <w:r w:rsidR="00AE5F7F">
        <w:t xml:space="preserve"> </w:t>
      </w:r>
      <w:r w:rsidR="003055A2">
        <w:t>in 2013.</w:t>
      </w:r>
      <w:r w:rsidR="002E3E0B">
        <w:t xml:space="preserve"> </w:t>
      </w:r>
      <w:r w:rsidR="006224DC">
        <w:t xml:space="preserve">It aims to </w:t>
      </w:r>
      <w:r w:rsidR="006224DC" w:rsidRPr="006224DC">
        <w:t xml:space="preserve">improve the quality of our engagement, embed a consistency around how we communicate and engage with stakeholders, and enable flexibility to tailor our approach to the circumstances. </w:t>
      </w:r>
    </w:p>
    <w:p w:rsidR="005E0613" w:rsidRDefault="006224DC" w:rsidP="00170562">
      <w:r>
        <w:t xml:space="preserve">The results of our latest stakeholder survey </w:t>
      </w:r>
      <w:r w:rsidR="00E41E6C">
        <w:t xml:space="preserve">indicate </w:t>
      </w:r>
      <w:r w:rsidR="00803E3C">
        <w:t>much greater stakeholder satisfaction with our consultation and engagement since the Framework was put in place</w:t>
      </w:r>
      <w:r w:rsidR="005E0613">
        <w:t xml:space="preserve">, and positive feedback about </w:t>
      </w:r>
      <w:r w:rsidR="00803E3C" w:rsidRPr="00803E3C">
        <w:t>recent initiatives to improve our engagement and communication materials.</w:t>
      </w:r>
      <w:r w:rsidR="005E0613">
        <w:t xml:space="preserve"> </w:t>
      </w:r>
    </w:p>
    <w:p w:rsidR="009C089E" w:rsidRDefault="00AE5F7F" w:rsidP="00E24BA7">
      <w:r>
        <w:t xml:space="preserve">We are committed to continually improving the quality of our engagement. </w:t>
      </w:r>
      <w:r w:rsidR="005E0613">
        <w:t>As part of this commitment, we</w:t>
      </w:r>
      <w:r w:rsidR="005E0613" w:rsidRPr="005E0613">
        <w:t xml:space="preserve"> are reviewing </w:t>
      </w:r>
      <w:r w:rsidR="005E0613">
        <w:t xml:space="preserve">the Framework </w:t>
      </w:r>
      <w:r w:rsidR="005E0613" w:rsidRPr="005E0613">
        <w:t>to make sure it remains relevant and effective</w:t>
      </w:r>
      <w:r w:rsidR="005E0613">
        <w:t xml:space="preserve">. </w:t>
      </w:r>
      <w:r w:rsidR="00C3387D">
        <w:t xml:space="preserve">Extensive </w:t>
      </w:r>
      <w:r w:rsidR="00975B69">
        <w:t xml:space="preserve">informal engagement with </w:t>
      </w:r>
      <w:r w:rsidR="00EC642F">
        <w:t xml:space="preserve">stakeholders </w:t>
      </w:r>
      <w:r w:rsidR="00C3387D">
        <w:t xml:space="preserve">since October last year has </w:t>
      </w:r>
      <w:r w:rsidR="00975B69">
        <w:t>helped us to produce a new draft version of the Framework, on which we are now consulting</w:t>
      </w:r>
      <w:r w:rsidR="00C3387D">
        <w:t xml:space="preserve">, as well as </w:t>
      </w:r>
      <w:r w:rsidR="005A29F1">
        <w:t xml:space="preserve">providing </w:t>
      </w:r>
      <w:r w:rsidR="00C3387D">
        <w:t xml:space="preserve">valuable wider input on </w:t>
      </w:r>
      <w:r w:rsidR="00ED54A7">
        <w:t xml:space="preserve">how we </w:t>
      </w:r>
      <w:r w:rsidR="00C3387D">
        <w:t>engage</w:t>
      </w:r>
      <w:r>
        <w:t>.</w:t>
      </w:r>
      <w:r w:rsidR="00C3387D">
        <w:t xml:space="preserve"> </w:t>
      </w:r>
      <w:r w:rsidR="00284232">
        <w:t xml:space="preserve">The new draft </w:t>
      </w:r>
      <w:r w:rsidR="005A29F1">
        <w:t xml:space="preserve">Framework </w:t>
      </w:r>
      <w:r w:rsidR="00802AFE">
        <w:t>is set out in Chapter 5</w:t>
      </w:r>
      <w:r w:rsidR="00284232">
        <w:t>.</w:t>
      </w:r>
    </w:p>
    <w:p w:rsidR="009F3513" w:rsidRDefault="007A1B16" w:rsidP="00683933">
      <w:r>
        <w:t xml:space="preserve">This paper </w:t>
      </w:r>
      <w:r w:rsidR="00ED54A7">
        <w:t xml:space="preserve">explains </w:t>
      </w:r>
      <w:r w:rsidR="00975B69" w:rsidRPr="00975B69">
        <w:t xml:space="preserve">our thinking behind the </w:t>
      </w:r>
      <w:r w:rsidR="005F2DFB">
        <w:t>new</w:t>
      </w:r>
      <w:r w:rsidR="00975B69" w:rsidRPr="00975B69">
        <w:t xml:space="preserve"> draft</w:t>
      </w:r>
      <w:r w:rsidR="00C3387D">
        <w:t xml:space="preserve"> Framework</w:t>
      </w:r>
      <w:r w:rsidR="00975B69" w:rsidRPr="00975B69">
        <w:t xml:space="preserve">, </w:t>
      </w:r>
      <w:r w:rsidR="00C3387D">
        <w:t>including</w:t>
      </w:r>
      <w:r w:rsidR="00975B69" w:rsidRPr="00975B69">
        <w:t xml:space="preserve"> how stakeholder input has informed </w:t>
      </w:r>
      <w:r w:rsidR="005A29F1">
        <w:t>our proposals</w:t>
      </w:r>
      <w:r w:rsidR="00ED54A7">
        <w:t xml:space="preserve">. It also sets out </w:t>
      </w:r>
      <w:r w:rsidR="00280985">
        <w:t xml:space="preserve">some proposed </w:t>
      </w:r>
      <w:r w:rsidR="00F53072" w:rsidRPr="00F53072">
        <w:t>changes</w:t>
      </w:r>
      <w:r w:rsidR="00D679DF">
        <w:t>,</w:t>
      </w:r>
      <w:r w:rsidR="00F53072" w:rsidRPr="00F53072">
        <w:t xml:space="preserve"> </w:t>
      </w:r>
      <w:r w:rsidR="00D679DF">
        <w:t>based on stakeholder feedback,</w:t>
      </w:r>
      <w:r w:rsidR="00D679DF" w:rsidRPr="00F53072">
        <w:t xml:space="preserve"> </w:t>
      </w:r>
      <w:r w:rsidR="00F53072" w:rsidRPr="00F53072">
        <w:t xml:space="preserve">to the way we apply the principles in the Framework to help improve the effectiveness of our </w:t>
      </w:r>
      <w:r w:rsidR="00F53072">
        <w:t>engagement</w:t>
      </w:r>
      <w:r w:rsidR="00280985">
        <w:t xml:space="preserve">. </w:t>
      </w:r>
    </w:p>
    <w:p w:rsidR="005F2DFB" w:rsidRDefault="005F2DFB" w:rsidP="00683933">
      <w:r>
        <w:t xml:space="preserve">The Framework </w:t>
      </w:r>
      <w:r w:rsidR="00CA5A0C">
        <w:t>plays an important part in determining when, how and with whom we engage</w:t>
      </w:r>
      <w:r w:rsidR="006007A8">
        <w:t xml:space="preserve">. </w:t>
      </w:r>
      <w:r w:rsidR="00A032D5">
        <w:t xml:space="preserve">Having access to </w:t>
      </w:r>
      <w:r w:rsidR="00CA5A0C">
        <w:t>diverse</w:t>
      </w:r>
      <w:r w:rsidR="00A032D5">
        <w:t xml:space="preserve"> stakeholder views and </w:t>
      </w:r>
      <w:r w:rsidR="00CA5A0C">
        <w:t xml:space="preserve">insights, and being challenged by them, </w:t>
      </w:r>
      <w:r w:rsidR="00A032D5">
        <w:t xml:space="preserve">will strengthen our decisions. </w:t>
      </w:r>
      <w:r w:rsidR="00CA5A0C">
        <w:t>Of course our approach</w:t>
      </w:r>
      <w:r w:rsidR="006007A8">
        <w:t xml:space="preserve"> </w:t>
      </w:r>
      <w:r>
        <w:t>needs to work well not just for the AER but for stakeholders too</w:t>
      </w:r>
      <w:r w:rsidR="006007A8">
        <w:t xml:space="preserve">. The </w:t>
      </w:r>
      <w:r w:rsidR="00CA5A0C">
        <w:t>F</w:t>
      </w:r>
      <w:r w:rsidR="006007A8">
        <w:t xml:space="preserve">ramework </w:t>
      </w:r>
      <w:r w:rsidR="006106C1">
        <w:t>should</w:t>
      </w:r>
      <w:r w:rsidR="006007A8">
        <w:t xml:space="preserve"> </w:t>
      </w:r>
      <w:r w:rsidR="00A032D5">
        <w:t>provide</w:t>
      </w:r>
      <w:r w:rsidR="006007A8">
        <w:t xml:space="preserve"> stakeholders </w:t>
      </w:r>
      <w:r w:rsidR="00A032D5">
        <w:t>with</w:t>
      </w:r>
      <w:r w:rsidR="006007A8">
        <w:t xml:space="preserve"> </w:t>
      </w:r>
      <w:r w:rsidR="006106C1">
        <w:t>clarity</w:t>
      </w:r>
      <w:r w:rsidR="00A032D5">
        <w:t xml:space="preserve"> about the AER's process</w:t>
      </w:r>
      <w:r w:rsidR="006B0849">
        <w:t>es</w:t>
      </w:r>
      <w:r w:rsidR="00A032D5">
        <w:t xml:space="preserve"> and how best they </w:t>
      </w:r>
      <w:r w:rsidR="00FE056C">
        <w:t>can</w:t>
      </w:r>
      <w:r w:rsidR="006007A8">
        <w:t xml:space="preserve"> put their ideas and views to </w:t>
      </w:r>
      <w:r w:rsidR="00CA5A0C">
        <w:t>us, so that they can influence what we decide, which in turn advances the long-term interests of consumers</w:t>
      </w:r>
      <w:r w:rsidR="00A032D5">
        <w:t xml:space="preserve">. </w:t>
      </w:r>
      <w:r w:rsidR="00CA5A0C">
        <w:t>A</w:t>
      </w:r>
      <w:r w:rsidR="00A032D5">
        <w:t xml:space="preserve"> </w:t>
      </w:r>
      <w:r w:rsidR="00FE056C">
        <w:t>strong</w:t>
      </w:r>
      <w:r w:rsidR="00A032D5">
        <w:t xml:space="preserve"> </w:t>
      </w:r>
      <w:r w:rsidR="00CA5A0C">
        <w:t>F</w:t>
      </w:r>
      <w:r w:rsidR="00A032D5">
        <w:t>ramework</w:t>
      </w:r>
      <w:r w:rsidR="00FE056C">
        <w:t xml:space="preserve"> is essential to a robust decision-making progress</w:t>
      </w:r>
      <w:r>
        <w:t xml:space="preserve"> and so we </w:t>
      </w:r>
      <w:r w:rsidR="00284232">
        <w:t>encourage feedback on our draft. Details of how to have your say, either on paper or in another way that suits you better,</w:t>
      </w:r>
      <w:r w:rsidR="004B78C9">
        <w:t xml:space="preserve"> are set out in Chapter 8</w:t>
      </w:r>
      <w:r w:rsidR="00284232">
        <w:t xml:space="preserve">. </w:t>
      </w:r>
    </w:p>
    <w:p w:rsidR="009F3513" w:rsidRDefault="009F3513" w:rsidP="00033F08">
      <w:pPr>
        <w:pStyle w:val="Heading1"/>
      </w:pPr>
      <w:bookmarkStart w:id="3" w:name="_Toc486235314"/>
      <w:r>
        <w:t>Why are we reviewing our Framework?</w:t>
      </w:r>
      <w:bookmarkEnd w:id="3"/>
    </w:p>
    <w:p w:rsidR="009F3513" w:rsidRDefault="009F3513" w:rsidP="009F3513">
      <w:r w:rsidRPr="003D3E32">
        <w:t xml:space="preserve">We </w:t>
      </w:r>
      <w:r>
        <w:t xml:space="preserve">commenced our review in the latter part of </w:t>
      </w:r>
      <w:r w:rsidR="00284232">
        <w:t>2016</w:t>
      </w:r>
      <w:r w:rsidR="00D679DF">
        <w:t>,</w:t>
      </w:r>
      <w:r w:rsidR="00284232">
        <w:t xml:space="preserve"> </w:t>
      </w:r>
      <w:r w:rsidR="00D679DF">
        <w:t>in line with</w:t>
      </w:r>
      <w:r>
        <w:t xml:space="preserve"> </w:t>
      </w:r>
      <w:r w:rsidRPr="003D3E32">
        <w:t xml:space="preserve">the commitment we made when we released the Framework in </w:t>
      </w:r>
      <w:r>
        <w:t xml:space="preserve">October </w:t>
      </w:r>
      <w:r w:rsidRPr="003D3E32">
        <w:t>2013 to review it after three years of operation.</w:t>
      </w:r>
    </w:p>
    <w:p w:rsidR="009F3513" w:rsidRDefault="009F3513" w:rsidP="009F3513">
      <w:r w:rsidRPr="00540A67">
        <w:t xml:space="preserve">We are </w:t>
      </w:r>
      <w:r>
        <w:t xml:space="preserve">also </w:t>
      </w:r>
      <w:r w:rsidRPr="00540A67">
        <w:t>committed to continually improving the quality of our engagement and a key element of this is evaluating our performance under the Framework.</w:t>
      </w:r>
      <w:r>
        <w:t xml:space="preserve"> This includes an assessment of the Framework and the way we have implemented it.</w:t>
      </w:r>
    </w:p>
    <w:p w:rsidR="009F3513" w:rsidRDefault="009F3513" w:rsidP="009F3513">
      <w:r>
        <w:t xml:space="preserve">One measure of our performance is the improved stakeholder satisfaction results in our </w:t>
      </w:r>
      <w:hyperlink r:id="rId19" w:history="1">
        <w:r w:rsidRPr="008515AF">
          <w:rPr>
            <w:rStyle w:val="Hyperlink"/>
          </w:rPr>
          <w:t>2016 Stakeholder Survey</w:t>
        </w:r>
      </w:hyperlink>
      <w:r>
        <w:t xml:space="preserve">. This survey, conducted by an independent research agency, </w:t>
      </w:r>
      <w:r w:rsidR="005A29F1">
        <w:t>helps us identify</w:t>
      </w:r>
      <w:r>
        <w:t xml:space="preserve"> what we do well and where </w:t>
      </w:r>
      <w:r w:rsidR="005A29F1">
        <w:t>we should</w:t>
      </w:r>
      <w:r>
        <w:t xml:space="preserve"> focus our efforts to improve the way we operate.</w:t>
      </w:r>
    </w:p>
    <w:p w:rsidR="009F3513" w:rsidRDefault="009F3513" w:rsidP="009F3513">
      <w:r>
        <w:t>Overall, our 2016 survey results showed significant improvement, with 77 per cent of stakeholders satisfied with how effectively we perform our functions as a regulator (compared with 52 per cent in 2014). The results also showed significant improvement in p</w:t>
      </w:r>
      <w:r w:rsidRPr="007F0548">
        <w:t xml:space="preserve">erceptions of </w:t>
      </w:r>
      <w:r>
        <w:t xml:space="preserve">our </w:t>
      </w:r>
      <w:r w:rsidRPr="007F0548">
        <w:t xml:space="preserve">consultation and engagement, with 70 per cent satisfied overall (up from 56 per cent in 2014). </w:t>
      </w:r>
      <w:r>
        <w:t>Stakeholders generally perceived their interactions with the AER favourably, with 85 per</w:t>
      </w:r>
      <w:r w:rsidR="00A40F5B">
        <w:t xml:space="preserve"> </w:t>
      </w:r>
      <w:r>
        <w:t>cent indicating a positive working relationship between their organisation and the AER. Perceptions of our communication were also generally favourable, with 81 per cent satisfied overall.</w:t>
      </w:r>
    </w:p>
    <w:p w:rsidR="009F3513" w:rsidRPr="007F0548" w:rsidRDefault="009F3513" w:rsidP="009F3513">
      <w:r>
        <w:t>T</w:t>
      </w:r>
      <w:r w:rsidRPr="00C85D3E">
        <w:t>hese improved results reflect the changes</w:t>
      </w:r>
      <w:r>
        <w:t xml:space="preserve"> and improvements we have made </w:t>
      </w:r>
      <w:r w:rsidRPr="00C85D3E">
        <w:t xml:space="preserve">to our consultation processes through </w:t>
      </w:r>
      <w:r>
        <w:t xml:space="preserve">the introduction of our retail functions, </w:t>
      </w:r>
      <w:r w:rsidRPr="00C85D3E">
        <w:t xml:space="preserve">our Better Regulation reforms in 2013 and </w:t>
      </w:r>
      <w:r w:rsidR="005A29F1">
        <w:t>our strengthened focus</w:t>
      </w:r>
      <w:r w:rsidRPr="00C85D3E">
        <w:t xml:space="preserve"> </w:t>
      </w:r>
      <w:r w:rsidR="005A29F1">
        <w:t xml:space="preserve">on meeting </w:t>
      </w:r>
      <w:r w:rsidRPr="00C85D3E">
        <w:t xml:space="preserve">stakeholders’ needs. As well as the Framework itself, </w:t>
      </w:r>
      <w:r>
        <w:t xml:space="preserve">we </w:t>
      </w:r>
      <w:r w:rsidRPr="00C85D3E">
        <w:t xml:space="preserve">expanded </w:t>
      </w:r>
      <w:r>
        <w:t xml:space="preserve">our engagement </w:t>
      </w:r>
      <w:r w:rsidRPr="00C85D3E">
        <w:t>tools, including the establishment of the Consumer Challenge Panel (CCP)</w:t>
      </w:r>
      <w:r w:rsidR="005A29F1">
        <w:t>,</w:t>
      </w:r>
      <w:r w:rsidRPr="008515AF">
        <w:t xml:space="preserve"> </w:t>
      </w:r>
      <w:r>
        <w:t xml:space="preserve">which </w:t>
      </w:r>
      <w:r w:rsidRPr="008515AF">
        <w:t>assists the AER to make better regulatory determinations by providing input on issues of importance to consumers</w:t>
      </w:r>
      <w:r w:rsidR="005A29F1">
        <w:t>. We have published</w:t>
      </w:r>
      <w:r w:rsidR="004B78C9">
        <w:t xml:space="preserve"> </w:t>
      </w:r>
      <w:r w:rsidR="00B92F95">
        <w:t>easy-to-</w:t>
      </w:r>
      <w:r>
        <w:t>read fact sheets and overviews summarising the important points in our draft and final network revenue decisions</w:t>
      </w:r>
      <w:r w:rsidR="005A29F1">
        <w:t>,</w:t>
      </w:r>
      <w:r>
        <w:t xml:space="preserve"> </w:t>
      </w:r>
      <w:r w:rsidR="005A29F1">
        <w:t>so that</w:t>
      </w:r>
      <w:r>
        <w:t xml:space="preserve"> stakeholders </w:t>
      </w:r>
      <w:r w:rsidR="005A29F1">
        <w:t>can see the main points</w:t>
      </w:r>
      <w:r w:rsidRPr="00C509B7">
        <w:t xml:space="preserve"> without ha</w:t>
      </w:r>
      <w:r>
        <w:t xml:space="preserve">ving to read lengthy full decisions. </w:t>
      </w:r>
    </w:p>
    <w:p w:rsidR="009F3513" w:rsidRDefault="009F3513" w:rsidP="009F3513">
      <w:r>
        <w:t>O</w:t>
      </w:r>
      <w:r w:rsidRPr="0079202F">
        <w:t>ur stakeholder survey also identified some specific areas where we can do better in terms of engaging with our stakeholders.</w:t>
      </w:r>
      <w:r>
        <w:t xml:space="preserve"> </w:t>
      </w:r>
      <w:r w:rsidRPr="0079202F">
        <w:t>These centre around</w:t>
      </w:r>
      <w:r>
        <w:t>:</w:t>
      </w:r>
    </w:p>
    <w:p w:rsidR="009F3513" w:rsidRDefault="009F3513" w:rsidP="009F3513">
      <w:pPr>
        <w:pStyle w:val="ListBullet"/>
      </w:pPr>
      <w:r w:rsidRPr="0079202F">
        <w:t>leading debate on priority issues</w:t>
      </w:r>
    </w:p>
    <w:p w:rsidR="009F3513" w:rsidRDefault="009F3513" w:rsidP="009F3513">
      <w:pPr>
        <w:pStyle w:val="ListBullet"/>
      </w:pPr>
      <w:r w:rsidRPr="0079202F">
        <w:t xml:space="preserve">ensuring </w:t>
      </w:r>
      <w:r w:rsidR="005A29F1">
        <w:t xml:space="preserve">we give </w:t>
      </w:r>
      <w:r>
        <w:t xml:space="preserve">stakeholders </w:t>
      </w:r>
      <w:r w:rsidRPr="0079202F">
        <w:t xml:space="preserve">clear and realistic timeframes to provide input into the </w:t>
      </w:r>
      <w:r>
        <w:t xml:space="preserve"> </w:t>
      </w:r>
      <w:r w:rsidR="005A29F1">
        <w:t xml:space="preserve">decisions </w:t>
      </w:r>
      <w:r w:rsidRPr="0079202F">
        <w:t>that matter to</w:t>
      </w:r>
      <w:r>
        <w:t xml:space="preserve"> them</w:t>
      </w:r>
    </w:p>
    <w:p w:rsidR="009F3513" w:rsidRDefault="009F3513" w:rsidP="009F3513">
      <w:pPr>
        <w:pStyle w:val="ListBullet"/>
      </w:pPr>
      <w:r w:rsidRPr="0079202F">
        <w:t>tailoring our consultation</w:t>
      </w:r>
      <w:r w:rsidR="005A29F1">
        <w:t>s more effectively</w:t>
      </w:r>
      <w:r w:rsidRPr="0079202F">
        <w:t xml:space="preserve"> to meet the needs of different stakeholders</w:t>
      </w:r>
    </w:p>
    <w:p w:rsidR="009F3513" w:rsidRDefault="009F3513" w:rsidP="009F3513">
      <w:pPr>
        <w:pStyle w:val="ListBullet"/>
      </w:pPr>
      <w:r w:rsidRPr="0079202F">
        <w:t xml:space="preserve">being </w:t>
      </w:r>
      <w:r w:rsidR="005A29F1">
        <w:t>clearer</w:t>
      </w:r>
      <w:r w:rsidRPr="0079202F">
        <w:t xml:space="preserve"> about how stakeholder input </w:t>
      </w:r>
      <w:r>
        <w:t>inform</w:t>
      </w:r>
      <w:r w:rsidR="005A29F1">
        <w:t>s</w:t>
      </w:r>
      <w:r>
        <w:t xml:space="preserve"> </w:t>
      </w:r>
      <w:r w:rsidRPr="0079202F">
        <w:t>our decision-making.</w:t>
      </w:r>
      <w:r>
        <w:t xml:space="preserve"> </w:t>
      </w:r>
    </w:p>
    <w:p w:rsidR="009F3513" w:rsidRDefault="002003EA" w:rsidP="00683933">
      <w:r>
        <w:t>W</w:t>
      </w:r>
      <w:r w:rsidR="009F3513">
        <w:t xml:space="preserve">e have </w:t>
      </w:r>
      <w:r>
        <w:t>asked</w:t>
      </w:r>
      <w:r w:rsidR="009F3513">
        <w:t xml:space="preserve"> stakeholders </w:t>
      </w:r>
      <w:r>
        <w:t>about their views on these issues during the course of this review</w:t>
      </w:r>
      <w:r w:rsidR="004B78C9">
        <w:t>.</w:t>
      </w:r>
    </w:p>
    <w:p w:rsidR="00F0699E" w:rsidRDefault="0090625C" w:rsidP="00033F08">
      <w:pPr>
        <w:pStyle w:val="Heading1"/>
      </w:pPr>
      <w:bookmarkStart w:id="4" w:name="_Toc486235315"/>
      <w:r>
        <w:t>T</w:t>
      </w:r>
      <w:r w:rsidR="006E3B8D">
        <w:t>he</w:t>
      </w:r>
      <w:r w:rsidR="005B314A">
        <w:t xml:space="preserve"> current </w:t>
      </w:r>
      <w:r w:rsidR="00F0699E">
        <w:t>AER Stakeholder Engagement Framework</w:t>
      </w:r>
      <w:bookmarkEnd w:id="4"/>
    </w:p>
    <w:p w:rsidR="005B314A" w:rsidRDefault="008441E3" w:rsidP="008441E3">
      <w:r w:rsidRPr="00F0699E">
        <w:t xml:space="preserve">The </w:t>
      </w:r>
      <w:hyperlink r:id="rId20" w:history="1">
        <w:r w:rsidR="00150FD0">
          <w:rPr>
            <w:rStyle w:val="Hyperlink"/>
          </w:rPr>
          <w:t>current Framework</w:t>
        </w:r>
      </w:hyperlink>
      <w:r w:rsidRPr="00F0699E">
        <w:t xml:space="preserve"> </w:t>
      </w:r>
      <w:r w:rsidR="005B314A">
        <w:t xml:space="preserve">provides a structure </w:t>
      </w:r>
      <w:r w:rsidR="002618D2">
        <w:t xml:space="preserve">to allow </w:t>
      </w:r>
      <w:r w:rsidR="005B314A">
        <w:t>stakeholders' needs and interests to be consistently, transparently and meaningfully considered in our activities, including those processes through which we reach decisions.</w:t>
      </w:r>
    </w:p>
    <w:p w:rsidR="006E39EA" w:rsidRDefault="006E39EA" w:rsidP="006E39EA">
      <w:r>
        <w:t xml:space="preserve">It </w:t>
      </w:r>
      <w:r w:rsidRPr="006E39EA">
        <w:t>sets out:</w:t>
      </w:r>
    </w:p>
    <w:p w:rsidR="00870D16" w:rsidRPr="006E39EA" w:rsidRDefault="00870D16" w:rsidP="00033F08">
      <w:pPr>
        <w:pStyle w:val="Bulletpoint"/>
      </w:pPr>
      <w:r>
        <w:t>why stakeholder engagement is important to us</w:t>
      </w:r>
    </w:p>
    <w:p w:rsidR="006E39EA" w:rsidRDefault="00870D16" w:rsidP="00033F08">
      <w:pPr>
        <w:pStyle w:val="Bulletpoint"/>
      </w:pPr>
      <w:r>
        <w:t xml:space="preserve">the </w:t>
      </w:r>
      <w:r w:rsidR="006E39EA" w:rsidRPr="006E39EA">
        <w:t>principles that will underpin our engagement activities</w:t>
      </w:r>
    </w:p>
    <w:p w:rsidR="006E39EA" w:rsidRPr="006E39EA" w:rsidRDefault="00870D16" w:rsidP="00033F08">
      <w:pPr>
        <w:pStyle w:val="Bulletpoint"/>
      </w:pPr>
      <w:r>
        <w:t xml:space="preserve">the </w:t>
      </w:r>
      <w:r w:rsidR="006E39EA" w:rsidRPr="006E39EA">
        <w:t xml:space="preserve">different levels of engagement and the mechanisms we will use to engage with our stakeholders, recognising that tools and strategies must be tailored to suit </w:t>
      </w:r>
      <w:r w:rsidR="00A57DC8">
        <w:t>particular</w:t>
      </w:r>
      <w:r w:rsidR="00A57DC8" w:rsidRPr="006E39EA">
        <w:t xml:space="preserve"> </w:t>
      </w:r>
      <w:r w:rsidR="006E39EA" w:rsidRPr="006E39EA">
        <w:t>decisions, activities and processes.</w:t>
      </w:r>
    </w:p>
    <w:p w:rsidR="006E39EA" w:rsidRDefault="00870D16" w:rsidP="008441E3">
      <w:r>
        <w:t>It also contains information about what the AER does</w:t>
      </w:r>
      <w:r w:rsidR="002618D2">
        <w:t>,</w:t>
      </w:r>
      <w:r>
        <w:t xml:space="preserve"> who we will engage with and the kinds of issues we will engage with stakeholders on.</w:t>
      </w:r>
    </w:p>
    <w:p w:rsidR="008441E3" w:rsidRDefault="00870D16" w:rsidP="00033F08">
      <w:r>
        <w:t xml:space="preserve">The Framework </w:t>
      </w:r>
      <w:r w:rsidR="002618D2">
        <w:t>is principles-based to allow</w:t>
      </w:r>
      <w:r w:rsidR="002618D2" w:rsidRPr="002618D2">
        <w:t xml:space="preserve"> flexibility to ta</w:t>
      </w:r>
      <w:r w:rsidR="002618D2">
        <w:t xml:space="preserve">ilor engagement to the needs of our different roles and functions. There are four </w:t>
      </w:r>
      <w:r w:rsidR="008441E3" w:rsidRPr="009267DA">
        <w:t>principle</w:t>
      </w:r>
      <w:r w:rsidR="002618D2">
        <w:t xml:space="preserve">s, each of which </w:t>
      </w:r>
      <w:r w:rsidR="008441E3" w:rsidRPr="009267DA">
        <w:t>seeks to clarify the purpose of the AER’s engagement with stakeholders and g</w:t>
      </w:r>
      <w:r w:rsidR="008441E3">
        <w:t>uide how that engagement occurs:</w:t>
      </w:r>
    </w:p>
    <w:p w:rsidR="008441E3" w:rsidRPr="008441E3" w:rsidRDefault="008441E3" w:rsidP="008441E3">
      <w:r w:rsidRPr="00033F08">
        <w:rPr>
          <w:rStyle w:val="Strong"/>
        </w:rPr>
        <w:t>Principle 1 – clear, accurate and timely communication</w:t>
      </w:r>
      <w:r w:rsidR="00150FD0" w:rsidRPr="00033F08">
        <w:rPr>
          <w:rStyle w:val="Strong"/>
        </w:rPr>
        <w:t xml:space="preserve"> </w:t>
      </w:r>
      <w:r w:rsidR="00F80FD7">
        <w:t xml:space="preserve">This is </w:t>
      </w:r>
      <w:r w:rsidRPr="008441E3">
        <w:t>critical to good engagement</w:t>
      </w:r>
      <w:r w:rsidR="005C7C2E">
        <w:t xml:space="preserve"> and </w:t>
      </w:r>
      <w:r w:rsidR="00886EC3">
        <w:t xml:space="preserve">refers to </w:t>
      </w:r>
      <w:r w:rsidR="005C7C2E">
        <w:t xml:space="preserve">using </w:t>
      </w:r>
      <w:r w:rsidR="003768DF">
        <w:t xml:space="preserve">plain </w:t>
      </w:r>
      <w:r w:rsidR="005C7C2E">
        <w:t xml:space="preserve">language </w:t>
      </w:r>
      <w:r w:rsidR="00886EC3">
        <w:t xml:space="preserve">and providing communication in a way that </w:t>
      </w:r>
      <w:r w:rsidR="005C7C2E">
        <w:t xml:space="preserve">will help stakeholders understand the issues and </w:t>
      </w:r>
      <w:r w:rsidR="00886EC3">
        <w:t xml:space="preserve">enable them to </w:t>
      </w:r>
      <w:r w:rsidR="005C7C2E">
        <w:t xml:space="preserve">make informed </w:t>
      </w:r>
      <w:r w:rsidR="00886EC3">
        <w:t>contributions within a reasonable time.</w:t>
      </w:r>
    </w:p>
    <w:p w:rsidR="008441E3" w:rsidRPr="008441E3" w:rsidRDefault="008441E3" w:rsidP="008441E3">
      <w:r w:rsidRPr="00033F08">
        <w:rPr>
          <w:rStyle w:val="Strong"/>
        </w:rPr>
        <w:t>Principle 2 – accessible and inclusive</w:t>
      </w:r>
      <w:r w:rsidR="00150FD0" w:rsidRPr="00033F08">
        <w:rPr>
          <w:rStyle w:val="Strong"/>
        </w:rPr>
        <w:t xml:space="preserve"> </w:t>
      </w:r>
      <w:r w:rsidRPr="008441E3">
        <w:t>This recognises that some stakeholder groups need assistance to understand the issues and their impact, and to participate in our processes</w:t>
      </w:r>
      <w:r w:rsidR="00F80FD7">
        <w:t>.</w:t>
      </w:r>
    </w:p>
    <w:p w:rsidR="008076B5" w:rsidRDefault="008441E3" w:rsidP="008441E3">
      <w:r w:rsidRPr="00033F08">
        <w:rPr>
          <w:rStyle w:val="Strong"/>
        </w:rPr>
        <w:t xml:space="preserve">Principle 3 </w:t>
      </w:r>
      <w:r w:rsidR="0090625C" w:rsidRPr="00033F08">
        <w:rPr>
          <w:rStyle w:val="Strong"/>
        </w:rPr>
        <w:t>–</w:t>
      </w:r>
      <w:r w:rsidRPr="00033F08">
        <w:rPr>
          <w:rStyle w:val="Strong"/>
        </w:rPr>
        <w:t xml:space="preserve"> transparent</w:t>
      </w:r>
      <w:r w:rsidR="00150FD0">
        <w:t xml:space="preserve"> </w:t>
      </w:r>
      <w:r w:rsidRPr="008441E3">
        <w:t>This is about making sure that p</w:t>
      </w:r>
      <w:r w:rsidR="00740CD6">
        <w:t xml:space="preserve">eople know where they stand in our </w:t>
      </w:r>
      <w:r w:rsidRPr="008441E3">
        <w:t>process</w:t>
      </w:r>
      <w:r w:rsidR="00740CD6">
        <w:t>es</w:t>
      </w:r>
      <w:r w:rsidRPr="008441E3">
        <w:t xml:space="preserve">, being clear about what opportunities they have to </w:t>
      </w:r>
      <w:r w:rsidR="008076B5">
        <w:t>input</w:t>
      </w:r>
      <w:r w:rsidRPr="008441E3">
        <w:t>, and how their input has</w:t>
      </w:r>
      <w:r w:rsidR="008076B5">
        <w:t xml:space="preserve"> </w:t>
      </w:r>
      <w:r w:rsidR="005C7C2E">
        <w:t>informed our decisions.</w:t>
      </w:r>
    </w:p>
    <w:p w:rsidR="008441E3" w:rsidRDefault="008441E3" w:rsidP="008441E3">
      <w:r w:rsidRPr="00033F08">
        <w:rPr>
          <w:rStyle w:val="Strong"/>
        </w:rPr>
        <w:t xml:space="preserve">Principle 4 </w:t>
      </w:r>
      <w:r w:rsidR="0090625C" w:rsidRPr="00033F08">
        <w:rPr>
          <w:rStyle w:val="Strong"/>
        </w:rPr>
        <w:t>–</w:t>
      </w:r>
      <w:r w:rsidRPr="00033F08">
        <w:rPr>
          <w:rStyle w:val="Strong"/>
        </w:rPr>
        <w:t xml:space="preserve"> measurable</w:t>
      </w:r>
      <w:r w:rsidR="00150FD0">
        <w:t xml:space="preserve"> </w:t>
      </w:r>
      <w:r w:rsidRPr="008441E3">
        <w:t>This captures that we need to be able to evaluate and review our engagement activities so that we can improve on them</w:t>
      </w:r>
      <w:r w:rsidR="008513F9">
        <w:t>.</w:t>
      </w:r>
    </w:p>
    <w:p w:rsidR="00150FD0" w:rsidRPr="008441E3" w:rsidRDefault="00150FD0" w:rsidP="008441E3">
      <w:r>
        <w:t xml:space="preserve">The Framework also includes </w:t>
      </w:r>
      <w:r w:rsidR="00A40F5B">
        <w:t>illustrations</w:t>
      </w:r>
      <w:r>
        <w:t xml:space="preserve"> of </w:t>
      </w:r>
      <w:r w:rsidR="00A40F5B">
        <w:t xml:space="preserve">how we might apply </w:t>
      </w:r>
      <w:r>
        <w:t>each principle in our engagement activities.</w:t>
      </w:r>
    </w:p>
    <w:p w:rsidR="0090625C" w:rsidRDefault="002618D2" w:rsidP="004B78C9">
      <w:r>
        <w:t xml:space="preserve">The </w:t>
      </w:r>
      <w:r w:rsidR="00D766DC">
        <w:t xml:space="preserve">current </w:t>
      </w:r>
      <w:r>
        <w:t xml:space="preserve">Framework uses a </w:t>
      </w:r>
      <w:r w:rsidRPr="002618D2">
        <w:t>Stakeholder Engagement Spectrum based on the International Association for Public Participation's (IAP2) public participation spectrum (</w:t>
      </w:r>
      <w:hyperlink r:id="rId21" w:history="1">
        <w:r w:rsidRPr="002618D2">
          <w:rPr>
            <w:rStyle w:val="Hyperlink"/>
          </w:rPr>
          <w:t>www.iap2.org.au</w:t>
        </w:r>
      </w:hyperlink>
      <w:r w:rsidRPr="002618D2">
        <w:t>)</w:t>
      </w:r>
      <w:r>
        <w:t xml:space="preserve"> to indicate the different levels of engagement we may use. </w:t>
      </w:r>
      <w:r w:rsidRPr="002618D2">
        <w:t>This spectrum has five levels</w:t>
      </w:r>
      <w:r w:rsidR="00A40F5B">
        <w:t>:</w:t>
      </w:r>
      <w:r w:rsidRPr="002618D2">
        <w:t xml:space="preserve"> ‘Inform’, ‘Consult,’ ‘Involve’, ’Collaborate’ and “Empower’.</w:t>
      </w:r>
      <w:r w:rsidR="00150FD0">
        <w:t xml:space="preserve"> Each level of engagement involves a promise made to our stakeholders and includes examples of engagement methods that could be used at each level. </w:t>
      </w:r>
      <w:r w:rsidR="0090625C">
        <w:br w:type="page"/>
      </w:r>
    </w:p>
    <w:p w:rsidR="0090625C" w:rsidRPr="0090625C" w:rsidRDefault="0090625C" w:rsidP="0090625C">
      <w:pPr>
        <w:pStyle w:val="Heading1"/>
      </w:pPr>
      <w:bookmarkStart w:id="5" w:name="_Toc486235316"/>
      <w:r w:rsidRPr="0090625C">
        <w:t xml:space="preserve">How we </w:t>
      </w:r>
      <w:r>
        <w:t xml:space="preserve">have </w:t>
      </w:r>
      <w:r w:rsidRPr="0090625C">
        <w:t>engaged stakeholders in this review</w:t>
      </w:r>
      <w:bookmarkEnd w:id="5"/>
    </w:p>
    <w:p w:rsidR="0090625C" w:rsidRDefault="0090625C" w:rsidP="0090625C">
      <w:r>
        <w:t>We</w:t>
      </w:r>
      <w:r w:rsidR="00A57DC8">
        <w:t xml:space="preserve"> </w:t>
      </w:r>
      <w:hyperlink r:id="rId22" w:history="1">
        <w:r w:rsidRPr="00B36549">
          <w:rPr>
            <w:rStyle w:val="Hyperlink"/>
          </w:rPr>
          <w:t>commenced</w:t>
        </w:r>
      </w:hyperlink>
      <w:r>
        <w:t xml:space="preserve"> the review in October 2016 by inviting preliminary views from stakeholders </w:t>
      </w:r>
      <w:r w:rsidRPr="009E4239">
        <w:t xml:space="preserve">on the Framework and </w:t>
      </w:r>
      <w:r>
        <w:t xml:space="preserve">how we could better </w:t>
      </w:r>
      <w:r w:rsidRPr="009E4239">
        <w:t>meet</w:t>
      </w:r>
      <w:r>
        <w:t xml:space="preserve"> </w:t>
      </w:r>
      <w:r w:rsidRPr="009E4239">
        <w:t>stakeholders</w:t>
      </w:r>
      <w:r>
        <w:t>'</w:t>
      </w:r>
      <w:r w:rsidRPr="008515AF">
        <w:t xml:space="preserve"> expectations</w:t>
      </w:r>
      <w:r w:rsidRPr="009E4239">
        <w:t>.</w:t>
      </w:r>
      <w:r>
        <w:t xml:space="preserve"> </w:t>
      </w:r>
    </w:p>
    <w:p w:rsidR="0090625C" w:rsidRDefault="0090625C" w:rsidP="0090625C">
      <w:r>
        <w:t xml:space="preserve">Summaries of the input and submissions we received </w:t>
      </w:r>
      <w:r w:rsidR="00A40F5B">
        <w:t xml:space="preserve">are </w:t>
      </w:r>
      <w:r>
        <w:t xml:space="preserve">available on our </w:t>
      </w:r>
      <w:hyperlink r:id="rId23" w:history="1">
        <w:r w:rsidRPr="009E4239">
          <w:rPr>
            <w:rStyle w:val="Hyperlink"/>
          </w:rPr>
          <w:t>website.</w:t>
        </w:r>
      </w:hyperlink>
    </w:p>
    <w:p w:rsidR="0090625C" w:rsidRPr="00E3183E" w:rsidRDefault="0090625C" w:rsidP="0090625C">
      <w:r>
        <w:t xml:space="preserve">In February we held </w:t>
      </w:r>
      <w:r w:rsidRPr="00E3183E">
        <w:t>a half-day workshop to inform our review of the Framework.</w:t>
      </w:r>
      <w:r>
        <w:t xml:space="preserve"> </w:t>
      </w:r>
      <w:r w:rsidR="00280985" w:rsidRPr="00280985">
        <w:t>The workshop was held via video conference in Adelaide, Brisbane, Canberra, Hobart, Melbourne, Perth and Sydney</w:t>
      </w:r>
      <w:r w:rsidR="00A40F5B">
        <w:t>,</w:t>
      </w:r>
      <w:r w:rsidR="00280985">
        <w:t xml:space="preserve"> </w:t>
      </w:r>
      <w:r w:rsidR="00A40F5B">
        <w:t>and involved</w:t>
      </w:r>
      <w:r w:rsidR="00907B68">
        <w:t xml:space="preserve"> </w:t>
      </w:r>
      <w:r w:rsidR="00280985">
        <w:t>representatives from regulated businesses, consumer groups</w:t>
      </w:r>
      <w:r w:rsidR="00907B68">
        <w:t>, government and energy industry consultants</w:t>
      </w:r>
      <w:r w:rsidR="00280985" w:rsidRPr="00280985">
        <w:t>.</w:t>
      </w:r>
      <w:r w:rsidR="00907B68">
        <w:t xml:space="preserve"> </w:t>
      </w:r>
      <w:r>
        <w:t>P</w:t>
      </w:r>
      <w:r w:rsidRPr="00807B19">
        <w:t xml:space="preserve">articipants </w:t>
      </w:r>
      <w:r>
        <w:t xml:space="preserve">were provided with some better practice case studies as pre-reading and were invited to </w:t>
      </w:r>
      <w:r w:rsidRPr="00807B19">
        <w:t xml:space="preserve">discuss </w:t>
      </w:r>
      <w:r>
        <w:t xml:space="preserve">their </w:t>
      </w:r>
      <w:r w:rsidRPr="00807B19">
        <w:t xml:space="preserve">engagement expectations </w:t>
      </w:r>
      <w:r>
        <w:t xml:space="preserve">with reference to these, as well as their </w:t>
      </w:r>
      <w:r w:rsidRPr="00807B19">
        <w:t>past experience</w:t>
      </w:r>
      <w:r>
        <w:t>s</w:t>
      </w:r>
      <w:r w:rsidRPr="00807B19">
        <w:t xml:space="preserve"> </w:t>
      </w:r>
      <w:r>
        <w:t xml:space="preserve">engaging </w:t>
      </w:r>
      <w:r w:rsidRPr="00807B19">
        <w:t xml:space="preserve">with </w:t>
      </w:r>
      <w:r>
        <w:t xml:space="preserve">the </w:t>
      </w:r>
      <w:r w:rsidRPr="00807B19">
        <w:t>AER</w:t>
      </w:r>
      <w:r>
        <w:t xml:space="preserve"> and </w:t>
      </w:r>
      <w:r w:rsidRPr="00807B19">
        <w:t>other organisations</w:t>
      </w:r>
      <w:r>
        <w:t>.</w:t>
      </w:r>
      <w:r w:rsidRPr="00807B19">
        <w:t xml:space="preserve"> </w:t>
      </w:r>
      <w:r>
        <w:t xml:space="preserve">They were also asked for their preferences for </w:t>
      </w:r>
      <w:r w:rsidR="00782B79">
        <w:t>a revised</w:t>
      </w:r>
      <w:r>
        <w:t xml:space="preserve"> Framework.</w:t>
      </w:r>
    </w:p>
    <w:p w:rsidR="0090625C" w:rsidRDefault="0090625C" w:rsidP="0090625C">
      <w:r>
        <w:t xml:space="preserve">Materials from the workshop are also available </w:t>
      </w:r>
      <w:r w:rsidRPr="002B77B8">
        <w:t>on our</w:t>
      </w:r>
      <w:r>
        <w:t xml:space="preserve"> </w:t>
      </w:r>
      <w:hyperlink r:id="rId24" w:history="1">
        <w:r w:rsidRPr="009E4239">
          <w:rPr>
            <w:rStyle w:val="Hyperlink"/>
          </w:rPr>
          <w:t>website.</w:t>
        </w:r>
      </w:hyperlink>
      <w:r>
        <w:t xml:space="preserve"> </w:t>
      </w:r>
      <w:r w:rsidRPr="002B77B8">
        <w:t xml:space="preserve"> </w:t>
      </w:r>
    </w:p>
    <w:p w:rsidR="00150FD0" w:rsidRDefault="00150FD0" w:rsidP="008441E3"/>
    <w:p w:rsidR="00EC795E" w:rsidRDefault="0090625C" w:rsidP="00033F08">
      <w:pPr>
        <w:pStyle w:val="Heading1"/>
      </w:pPr>
      <w:bookmarkStart w:id="6" w:name="_Toc486235317"/>
      <w:r>
        <w:t>The new draft Framework</w:t>
      </w:r>
      <w:bookmarkEnd w:id="6"/>
    </w:p>
    <w:p w:rsidR="00EC795E" w:rsidRDefault="00EC795E" w:rsidP="00033F08">
      <w:r>
        <w:t xml:space="preserve">Feedback from our stakeholders has helped us to develop a new </w:t>
      </w:r>
      <w:r w:rsidR="007020E7">
        <w:t xml:space="preserve">proposed </w:t>
      </w:r>
      <w:r>
        <w:t xml:space="preserve">version of the Framework which is more </w:t>
      </w:r>
      <w:r w:rsidR="004A5BCD">
        <w:t xml:space="preserve">targeted </w:t>
      </w:r>
      <w:r>
        <w:t>and easier-to</w:t>
      </w:r>
      <w:r w:rsidR="00B92F95">
        <w:t>-</w:t>
      </w:r>
      <w:r>
        <w:t xml:space="preserve">read. </w:t>
      </w:r>
      <w:r w:rsidR="005B6239">
        <w:t>W</w:t>
      </w:r>
      <w:r w:rsidR="007650A3">
        <w:t>e have aimed to re</w:t>
      </w:r>
      <w:r w:rsidR="005B6239">
        <w:t>tain</w:t>
      </w:r>
      <w:r>
        <w:t xml:space="preserve"> all of the important elements of the current Framework and </w:t>
      </w:r>
      <w:r w:rsidR="007650A3">
        <w:t>add</w:t>
      </w:r>
      <w:r w:rsidR="007020E7">
        <w:t xml:space="preserve"> </w:t>
      </w:r>
      <w:r>
        <w:t xml:space="preserve">some new </w:t>
      </w:r>
      <w:r w:rsidR="007020E7">
        <w:t xml:space="preserve">features which we and/or our stakeholders </w:t>
      </w:r>
      <w:r w:rsidR="00B92F95">
        <w:t>considered</w:t>
      </w:r>
      <w:r w:rsidR="00364FEE">
        <w:t xml:space="preserve"> </w:t>
      </w:r>
      <w:r w:rsidR="007020E7">
        <w:t>would be useful.</w:t>
      </w:r>
    </w:p>
    <w:p w:rsidR="00EC795E" w:rsidRDefault="00512052" w:rsidP="00033F08">
      <w:r>
        <w:t>B</w:t>
      </w:r>
      <w:r w:rsidR="007020E7">
        <w:t xml:space="preserve">ackground information about what the AER does and who our stakeholders </w:t>
      </w:r>
      <w:r>
        <w:t xml:space="preserve">are has been </w:t>
      </w:r>
      <w:r w:rsidR="007020E7">
        <w:t xml:space="preserve">replaced with a description of our purpose and why we consider stakeholder engagement important. </w:t>
      </w:r>
      <w:r>
        <w:t xml:space="preserve">A diagram has been added </w:t>
      </w:r>
      <w:r w:rsidR="007020E7">
        <w:t xml:space="preserve">to show </w:t>
      </w:r>
      <w:r w:rsidR="00EC111C">
        <w:t xml:space="preserve">the part </w:t>
      </w:r>
      <w:r w:rsidR="007020E7">
        <w:t>stakeholder engagement</w:t>
      </w:r>
      <w:r w:rsidR="00EC111C">
        <w:t xml:space="preserve"> plays</w:t>
      </w:r>
      <w:r w:rsidR="007020E7">
        <w:t xml:space="preserve"> </w:t>
      </w:r>
      <w:r>
        <w:t xml:space="preserve">in </w:t>
      </w:r>
      <w:r w:rsidR="00EC111C">
        <w:t xml:space="preserve">all </w:t>
      </w:r>
      <w:r w:rsidR="007020E7">
        <w:t>our work.</w:t>
      </w:r>
    </w:p>
    <w:p w:rsidR="007020E7" w:rsidRDefault="007020E7" w:rsidP="00033F08">
      <w:r>
        <w:t>The principles</w:t>
      </w:r>
      <w:r w:rsidR="0049124F">
        <w:t>-</w:t>
      </w:r>
      <w:r>
        <w:t>based approach has been retained</w:t>
      </w:r>
      <w:r w:rsidR="00EC111C">
        <w:t xml:space="preserve"> in the new draft</w:t>
      </w:r>
      <w:r>
        <w:t>, along with the four key principles (</w:t>
      </w:r>
      <w:r w:rsidR="004A5BCD">
        <w:t>clear</w:t>
      </w:r>
      <w:r>
        <w:t>, accurate and timely communication</w:t>
      </w:r>
      <w:r w:rsidR="00EC111C">
        <w:t>;</w:t>
      </w:r>
      <w:r>
        <w:t xml:space="preserve"> engagement which is accessible and inclusive</w:t>
      </w:r>
      <w:r w:rsidR="00EC111C">
        <w:t>;</w:t>
      </w:r>
      <w:r>
        <w:t xml:space="preserve"> transparent</w:t>
      </w:r>
      <w:r w:rsidR="00EC111C">
        <w:t>;</w:t>
      </w:r>
      <w:r>
        <w:t xml:space="preserve"> and measurable).</w:t>
      </w:r>
      <w:r w:rsidR="00F76C04">
        <w:t xml:space="preserve"> </w:t>
      </w:r>
      <w:r w:rsidR="00512052">
        <w:t xml:space="preserve">The activities that </w:t>
      </w:r>
      <w:r w:rsidR="00364FEE">
        <w:t xml:space="preserve">we </w:t>
      </w:r>
      <w:r w:rsidR="00512052">
        <w:t xml:space="preserve">will undertake to implement each principle have </w:t>
      </w:r>
      <w:r w:rsidR="004A5BCD">
        <w:t xml:space="preserve">been </w:t>
      </w:r>
      <w:r w:rsidR="00B4329E">
        <w:t xml:space="preserve">refined and </w:t>
      </w:r>
      <w:r w:rsidR="00512052">
        <w:t xml:space="preserve">reflect </w:t>
      </w:r>
      <w:r w:rsidR="004A5BCD">
        <w:t>the main issues that stakeholders have told us are important.</w:t>
      </w:r>
    </w:p>
    <w:p w:rsidR="004A5BCD" w:rsidRDefault="004A5BCD" w:rsidP="00033F08">
      <w:r>
        <w:t>To address issues r</w:t>
      </w:r>
      <w:r w:rsidR="007650A3">
        <w:t>aised by stakeholders, the five-</w:t>
      </w:r>
      <w:r>
        <w:t xml:space="preserve">level engagement spectrum has been replaced with </w:t>
      </w:r>
      <w:r w:rsidR="00736383">
        <w:t xml:space="preserve">a diagram which shows </w:t>
      </w:r>
      <w:r>
        <w:t xml:space="preserve">four different </w:t>
      </w:r>
      <w:r w:rsidR="00736383">
        <w:t>approaches</w:t>
      </w:r>
      <w:r>
        <w:t xml:space="preserve"> we may use </w:t>
      </w:r>
      <w:r w:rsidR="00736383">
        <w:t>depending on the particular project or activity</w:t>
      </w:r>
      <w:r w:rsidR="00512052">
        <w:t xml:space="preserve">. </w:t>
      </w:r>
      <w:r w:rsidR="00736383">
        <w:t>The</w:t>
      </w:r>
      <w:r w:rsidR="00512052">
        <w:t>se</w:t>
      </w:r>
      <w:r w:rsidR="00736383">
        <w:t xml:space="preserve"> four </w:t>
      </w:r>
      <w:r w:rsidR="00512052">
        <w:t xml:space="preserve">engagement </w:t>
      </w:r>
      <w:r w:rsidR="00736383">
        <w:t>approaches are to:</w:t>
      </w:r>
    </w:p>
    <w:p w:rsidR="00736383" w:rsidRPr="00736383" w:rsidRDefault="00736383" w:rsidP="00033F08">
      <w:pPr>
        <w:pStyle w:val="Bulletpoint"/>
      </w:pPr>
      <w:r w:rsidRPr="00736383">
        <w:t xml:space="preserve">provide information to build understanding and keep stakeholders informed </w:t>
      </w:r>
    </w:p>
    <w:p w:rsidR="00736383" w:rsidRPr="00736383" w:rsidRDefault="00736383" w:rsidP="00033F08">
      <w:pPr>
        <w:pStyle w:val="Bulletpoint"/>
      </w:pPr>
      <w:r w:rsidRPr="00736383">
        <w:t>seek stakeholder views and provide feedback on how stakeholder input informed our decision</w:t>
      </w:r>
    </w:p>
    <w:p w:rsidR="00736383" w:rsidRPr="00736383" w:rsidRDefault="00736383" w:rsidP="00033F08">
      <w:pPr>
        <w:pStyle w:val="Bulletpoint"/>
      </w:pPr>
      <w:r w:rsidRPr="00736383">
        <w:t>work with stakeholders to reflect their views in the options, solutions and approaches developed and provide feedback on how this influenced our decision</w:t>
      </w:r>
    </w:p>
    <w:p w:rsidR="00EC795E" w:rsidRDefault="00736383" w:rsidP="00033F08">
      <w:pPr>
        <w:pStyle w:val="Bulletpoint"/>
      </w:pPr>
      <w:r w:rsidRPr="00736383">
        <w:t>partner with stakeholders for advice and innovation in developing solutions and recommendations and incorporate this into the decision.</w:t>
      </w:r>
    </w:p>
    <w:p w:rsidR="009F3513" w:rsidRDefault="009F3513" w:rsidP="00033F08">
      <w:r>
        <w:t xml:space="preserve">Examples </w:t>
      </w:r>
      <w:r w:rsidR="00A57DC8">
        <w:t>of</w:t>
      </w:r>
      <w:r>
        <w:t xml:space="preserve"> the different methods of engagement that may accompany each approach have been retained and refined.</w:t>
      </w:r>
    </w:p>
    <w:p w:rsidR="009F3513" w:rsidRDefault="009F3513" w:rsidP="00033F08">
      <w:r>
        <w:t>A third diagram has been added to explain how we will engage with stakeholders during different stages of our work.</w:t>
      </w:r>
    </w:p>
    <w:p w:rsidR="009F3513" w:rsidRDefault="00512052" w:rsidP="00033F08">
      <w:r>
        <w:t>The proposed new version of the Framework also reiterates our commitments to improve the effectiveness of our engagement over time and to review the Framework document</w:t>
      </w:r>
      <w:r w:rsidR="00EC111C" w:rsidRPr="00EC111C">
        <w:t xml:space="preserve"> </w:t>
      </w:r>
      <w:r w:rsidR="00EC111C">
        <w:t>periodically</w:t>
      </w:r>
      <w:r w:rsidR="009F3513">
        <w:t>.</w:t>
      </w:r>
    </w:p>
    <w:p w:rsidR="009F3513" w:rsidRDefault="009F3513" w:rsidP="00033F08">
      <w:r>
        <w:t xml:space="preserve">The full text of our proposed revised Framework is </w:t>
      </w:r>
      <w:r w:rsidR="0090625C">
        <w:t>set out below.</w:t>
      </w:r>
    </w:p>
    <w:p w:rsidR="0090625C" w:rsidRDefault="0090625C">
      <w:pPr>
        <w:spacing w:line="240" w:lineRule="auto"/>
        <w:rPr>
          <w:rStyle w:val="Strong"/>
        </w:rPr>
      </w:pPr>
      <w:r>
        <w:rPr>
          <w:rStyle w:val="Strong"/>
        </w:rPr>
        <w:br w:type="page"/>
      </w:r>
    </w:p>
    <w:p w:rsidR="009F3513" w:rsidRPr="009D3136" w:rsidRDefault="0090625C" w:rsidP="009D3136">
      <w:pPr>
        <w:pStyle w:val="Heading2"/>
        <w:numPr>
          <w:ilvl w:val="0"/>
          <w:numId w:val="0"/>
        </w:numPr>
        <w:ind w:left="576" w:hanging="576"/>
        <w:rPr>
          <w:rStyle w:val="Bold"/>
          <w:b/>
          <w:bCs/>
        </w:rPr>
      </w:pPr>
      <w:bookmarkStart w:id="7" w:name="_Toc486235318"/>
      <w:r w:rsidRPr="009D3136">
        <w:rPr>
          <w:rStyle w:val="Bold"/>
          <w:b/>
          <w:bCs/>
        </w:rPr>
        <w:t xml:space="preserve">Draft </w:t>
      </w:r>
      <w:r w:rsidR="009F3513" w:rsidRPr="009D3136">
        <w:rPr>
          <w:rStyle w:val="Bold"/>
          <w:b/>
          <w:bCs/>
        </w:rPr>
        <w:t>AER stakeholder engagement framework</w:t>
      </w:r>
      <w:bookmarkEnd w:id="7"/>
      <w:r w:rsidR="009F3513" w:rsidRPr="009D3136">
        <w:rPr>
          <w:rStyle w:val="Bold"/>
          <w:b/>
          <w:bCs/>
        </w:rPr>
        <w:t xml:space="preserve"> </w:t>
      </w:r>
    </w:p>
    <w:p w:rsidR="009F3513" w:rsidRPr="009F3513" w:rsidRDefault="009F3513" w:rsidP="009F3513">
      <w:r w:rsidRPr="00033F08">
        <w:rPr>
          <w:rStyle w:val="Strong"/>
        </w:rPr>
        <w:t>Our purpose</w:t>
      </w:r>
      <w:r w:rsidRPr="009F3513">
        <w:t>: we work to make Australians better off, now and in the future, through independent, effective regulation and monitoring of energy markets and networks.</w:t>
      </w:r>
    </w:p>
    <w:p w:rsidR="009F3513" w:rsidRPr="009F3513" w:rsidRDefault="009F3513" w:rsidP="009F3513">
      <w:r w:rsidRPr="009F3513">
        <w:t>The decisions we make and the actions we take affect a wide range of individuals, businesses and organisations. Engaging with those affected by our work helps us make better decisions, provides greater transparency and predictability, and builds trust and confidence in the regulatory regime.</w:t>
      </w:r>
    </w:p>
    <w:p w:rsidR="009F3513" w:rsidRPr="00033F08" w:rsidRDefault="009F3513" w:rsidP="009F3513">
      <w:pPr>
        <w:rPr>
          <w:rStyle w:val="Strong"/>
        </w:rPr>
      </w:pPr>
      <w:r w:rsidRPr="00033F08">
        <w:rPr>
          <w:rStyle w:val="Strong"/>
        </w:rPr>
        <w:t>Stakeholder engagement helps us:</w:t>
      </w:r>
    </w:p>
    <w:p w:rsidR="009F3513" w:rsidRPr="009F3513" w:rsidRDefault="009F3513" w:rsidP="00033F08">
      <w:pPr>
        <w:pStyle w:val="Bulletpoint"/>
      </w:pPr>
      <w:r w:rsidRPr="009F3513">
        <w:t>Sharpen our purpose</w:t>
      </w:r>
    </w:p>
    <w:p w:rsidR="009F3513" w:rsidRPr="009F3513" w:rsidRDefault="009F3513" w:rsidP="00033F08">
      <w:pPr>
        <w:pStyle w:val="Bulletpoint"/>
      </w:pPr>
      <w:r w:rsidRPr="009F3513">
        <w:t>Shape our strategic priorities, so we focus in the right areas</w:t>
      </w:r>
    </w:p>
    <w:p w:rsidR="009F3513" w:rsidRPr="009F3513" w:rsidRDefault="009F3513" w:rsidP="00033F08">
      <w:pPr>
        <w:pStyle w:val="Bulletpoint"/>
      </w:pPr>
      <w:r w:rsidRPr="009F3513">
        <w:t>Identify emerging issues in the market</w:t>
      </w:r>
    </w:p>
    <w:p w:rsidR="009F3513" w:rsidRPr="009F3513" w:rsidRDefault="009F3513" w:rsidP="00033F08">
      <w:pPr>
        <w:pStyle w:val="Bulletpoint"/>
      </w:pPr>
      <w:r w:rsidRPr="009F3513">
        <w:t>Improve our insight into businesses’ and consumers’ behaviour and needs</w:t>
      </w:r>
    </w:p>
    <w:p w:rsidR="009F3513" w:rsidRPr="009F3513" w:rsidRDefault="009F3513" w:rsidP="00033F08">
      <w:pPr>
        <w:pStyle w:val="Bulletpoint"/>
      </w:pPr>
      <w:r w:rsidRPr="009F3513">
        <w:t>Develop, refine and implement our interventions, so that they deliver the best outcomes for consumers</w:t>
      </w:r>
    </w:p>
    <w:p w:rsidR="009F3513" w:rsidRPr="009F3513" w:rsidRDefault="009F3513" w:rsidP="00033F08">
      <w:pPr>
        <w:pStyle w:val="Bulletpoint"/>
      </w:pPr>
      <w:r w:rsidRPr="009F3513">
        <w:t>Make best use of our resources</w:t>
      </w:r>
    </w:p>
    <w:p w:rsidR="009F3513" w:rsidRPr="009F3513" w:rsidRDefault="009F3513" w:rsidP="00033F08">
      <w:pPr>
        <w:pStyle w:val="Bulletpoint"/>
      </w:pPr>
      <w:r w:rsidRPr="009F3513">
        <w:t>Embrace the spirit of better regulation, including evaluating our own performance</w:t>
      </w:r>
    </w:p>
    <w:p w:rsidR="009F3513" w:rsidRPr="009F3513" w:rsidRDefault="009F3513" w:rsidP="00033F08">
      <w:pPr>
        <w:pStyle w:val="Bulletpoint"/>
      </w:pPr>
      <w:r w:rsidRPr="009F3513">
        <w:t>Learn from others’ experiences</w:t>
      </w:r>
    </w:p>
    <w:p w:rsidR="009F3513" w:rsidRPr="009F3513" w:rsidRDefault="009F3513" w:rsidP="00033F08">
      <w:pPr>
        <w:pStyle w:val="Bulletpoint"/>
      </w:pPr>
      <w:r w:rsidRPr="009F3513">
        <w:t>Communicate effectively with both consumers and regulated businesses</w:t>
      </w:r>
    </w:p>
    <w:p w:rsidR="009F3513" w:rsidRPr="00033F08" w:rsidRDefault="009F3513" w:rsidP="009F3513">
      <w:pPr>
        <w:rPr>
          <w:rStyle w:val="Strong"/>
        </w:rPr>
      </w:pPr>
      <w:r w:rsidRPr="00033F08">
        <w:rPr>
          <w:rStyle w:val="Strong"/>
        </w:rPr>
        <w:t>How stakeholder engagement fits in:</w:t>
      </w:r>
    </w:p>
    <w:p w:rsidR="00EF0E5D" w:rsidRDefault="009F3513" w:rsidP="009F3513">
      <w:r w:rsidRPr="009F3513">
        <w:t>Stakeholder engagement forms a vital part of a wider regulatory approach involving reporting and monitoring, consumer insight and engagement, and formal consultation and decision-making processes</w:t>
      </w:r>
      <w:r w:rsidR="0041798F">
        <w:t xml:space="preserve"> as depicted in </w:t>
      </w:r>
      <w:r w:rsidR="00EF0E5D">
        <w:fldChar w:fldCharType="begin"/>
      </w:r>
      <w:r w:rsidR="00EF0E5D">
        <w:instrText xml:space="preserve"> REF _Ref485647118 \h </w:instrText>
      </w:r>
      <w:r w:rsidR="00EF0E5D">
        <w:fldChar w:fldCharType="separate"/>
      </w:r>
      <w:r w:rsidR="00590A24">
        <w:t xml:space="preserve">Figure </w:t>
      </w:r>
      <w:r w:rsidR="00590A24">
        <w:rPr>
          <w:noProof/>
        </w:rPr>
        <w:t>1</w:t>
      </w:r>
      <w:r w:rsidR="00EF0E5D">
        <w:fldChar w:fldCharType="end"/>
      </w:r>
      <w:r w:rsidR="00EF0E5D">
        <w:t xml:space="preserve"> </w:t>
      </w:r>
      <w:r w:rsidR="0041798F">
        <w:t>below</w:t>
      </w:r>
      <w:r w:rsidRPr="009F3513">
        <w:t>.</w:t>
      </w:r>
    </w:p>
    <w:p w:rsidR="00EF0E5D" w:rsidRDefault="00EF0E5D">
      <w:pPr>
        <w:spacing w:line="240" w:lineRule="auto"/>
      </w:pPr>
      <w:r>
        <w:br w:type="page"/>
      </w:r>
    </w:p>
    <w:p w:rsidR="009F3513" w:rsidRPr="009F3513" w:rsidRDefault="00EF0E5D" w:rsidP="006B0849">
      <w:pPr>
        <w:pStyle w:val="Caption"/>
      </w:pPr>
      <w:bookmarkStart w:id="8" w:name="_Ref485647118"/>
      <w:r>
        <w:t xml:space="preserve">Figure </w:t>
      </w:r>
      <w:fldSimple w:instr=" SEQ Figure \* ARABIC ">
        <w:r w:rsidR="00590A24">
          <w:rPr>
            <w:noProof/>
          </w:rPr>
          <w:t>1</w:t>
        </w:r>
      </w:fldSimple>
      <w:bookmarkEnd w:id="8"/>
      <w:r>
        <w:t xml:space="preserve"> How stakeholder engagement fits in</w:t>
      </w:r>
    </w:p>
    <w:p w:rsidR="009F3513" w:rsidRPr="009F3513" w:rsidRDefault="009F3513" w:rsidP="009F3513">
      <w:r w:rsidRPr="009F3513">
        <w:rPr>
          <w:noProof/>
          <w:lang w:eastAsia="en-AU"/>
        </w:rPr>
        <w:drawing>
          <wp:inline distT="0" distB="0" distL="0" distR="0" wp14:anchorId="136FE37F" wp14:editId="46773B3B">
            <wp:extent cx="5781675" cy="49815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F3513" w:rsidRPr="009F3513" w:rsidRDefault="009F3513" w:rsidP="009F3513">
      <w:r w:rsidRPr="009F3513">
        <w:t xml:space="preserve">This Framework helps us consistently, transparently and meaningfully consider stakeholder input across our work. </w:t>
      </w:r>
    </w:p>
    <w:p w:rsidR="009F3513" w:rsidRPr="00033F08" w:rsidRDefault="009F3513" w:rsidP="009F3513">
      <w:pPr>
        <w:rPr>
          <w:rStyle w:val="Strong"/>
        </w:rPr>
      </w:pPr>
      <w:r w:rsidRPr="00033F08">
        <w:rPr>
          <w:rStyle w:val="Strong"/>
        </w:rPr>
        <w:t>Our principles-based approach:</w:t>
      </w:r>
    </w:p>
    <w:p w:rsidR="009F3513" w:rsidRPr="009F3513" w:rsidRDefault="009F3513" w:rsidP="00033F08">
      <w:pPr>
        <w:pStyle w:val="Bulletpoint"/>
      </w:pPr>
      <w:r w:rsidRPr="009F3513">
        <w:t>To communicate in a clear, accurate and timely way, we will:</w:t>
      </w:r>
    </w:p>
    <w:p w:rsidR="009F3513" w:rsidRPr="009F3513" w:rsidRDefault="009F3513" w:rsidP="00033F08">
      <w:pPr>
        <w:pStyle w:val="Bulletpoint2"/>
      </w:pPr>
      <w:r w:rsidRPr="009F3513">
        <w:t>Use plain language to assist stakeholders to understand issues and make informed contributions</w:t>
      </w:r>
    </w:p>
    <w:p w:rsidR="009F3513" w:rsidRPr="009F3513" w:rsidRDefault="009F3513" w:rsidP="00033F08">
      <w:pPr>
        <w:pStyle w:val="Bulletpoint2"/>
      </w:pPr>
      <w:r w:rsidRPr="009F3513">
        <w:t>Have clear and realistic timeframes for input</w:t>
      </w:r>
    </w:p>
    <w:p w:rsidR="009F3513" w:rsidRPr="009F3513" w:rsidRDefault="009F3513" w:rsidP="00033F08">
      <w:pPr>
        <w:pStyle w:val="Bulletpoint2"/>
      </w:pPr>
      <w:r w:rsidRPr="009F3513">
        <w:t>Engage through the whole lifecycle, from planning to consultation and closure, including seeking views as early as possible</w:t>
      </w:r>
      <w:r w:rsidR="00D340EF">
        <w:t>.</w:t>
      </w:r>
    </w:p>
    <w:p w:rsidR="009F3513" w:rsidRPr="009F3513" w:rsidRDefault="009F3513" w:rsidP="00033F08">
      <w:pPr>
        <w:pStyle w:val="Bulletpoint"/>
      </w:pPr>
      <w:r w:rsidRPr="009F3513">
        <w:t>To be accessible and inclusive, we will:</w:t>
      </w:r>
    </w:p>
    <w:p w:rsidR="009F3513" w:rsidRPr="009F3513" w:rsidRDefault="009F3513" w:rsidP="00033F08">
      <w:pPr>
        <w:pStyle w:val="Bulletpoint2"/>
      </w:pPr>
      <w:r w:rsidRPr="009F3513">
        <w:t>Be flexible and tailor our engagement and communication to meet different stakeholder needs and our various decisions, activities and processes</w:t>
      </w:r>
    </w:p>
    <w:p w:rsidR="009F3513" w:rsidRPr="009F3513" w:rsidRDefault="009F3513" w:rsidP="00033F08">
      <w:pPr>
        <w:pStyle w:val="Bulletpoint2"/>
      </w:pPr>
      <w:r w:rsidRPr="009F3513">
        <w:t>Take steps where needed to build knowledge and capacity to help stakeholders to engage</w:t>
      </w:r>
      <w:r w:rsidR="00D340EF">
        <w:t>.</w:t>
      </w:r>
    </w:p>
    <w:p w:rsidR="009F3513" w:rsidRPr="009F3513" w:rsidRDefault="009F3513" w:rsidP="00033F08">
      <w:pPr>
        <w:pStyle w:val="Bulletpoint2"/>
      </w:pPr>
      <w:r w:rsidRPr="009F3513">
        <w:t>Consider the time and resources needed by stakeholders to engage</w:t>
      </w:r>
      <w:r w:rsidR="00D340EF" w:rsidRPr="00D340EF">
        <w:t xml:space="preserve"> </w:t>
      </w:r>
      <w:r w:rsidR="00D340EF" w:rsidRPr="009F3513">
        <w:t>effectively</w:t>
      </w:r>
      <w:r w:rsidRPr="009F3513">
        <w:t>, and where possible:</w:t>
      </w:r>
    </w:p>
    <w:p w:rsidR="009F3513" w:rsidRPr="009F3513" w:rsidRDefault="009F3513" w:rsidP="00033F08">
      <w:pPr>
        <w:pStyle w:val="ListBullet4"/>
      </w:pPr>
      <w:r w:rsidRPr="009F3513">
        <w:t>hold meetings at mutually convenient times and locations and coordinate engagement activities</w:t>
      </w:r>
    </w:p>
    <w:p w:rsidR="009F3513" w:rsidRPr="009F3513" w:rsidRDefault="009F3513" w:rsidP="00033F08">
      <w:pPr>
        <w:pStyle w:val="ListBullet4"/>
      </w:pPr>
      <w:r w:rsidRPr="009F3513">
        <w:t>allow at least 4 weeks for stakeholders to provide submissions</w:t>
      </w:r>
    </w:p>
    <w:p w:rsidR="0087447C" w:rsidRPr="009F3513" w:rsidRDefault="009F3513" w:rsidP="0087447C">
      <w:pPr>
        <w:pStyle w:val="ListBullet4"/>
      </w:pPr>
      <w:r w:rsidRPr="009F3513">
        <w:t>accept submissions in a range of formats, including written</w:t>
      </w:r>
      <w:r w:rsidR="00AD507D">
        <w:t xml:space="preserve"> </w:t>
      </w:r>
      <w:r w:rsidRPr="009F3513">
        <w:t xml:space="preserve">submissions, </w:t>
      </w:r>
      <w:r w:rsidR="006C19CF">
        <w:t xml:space="preserve">oral </w:t>
      </w:r>
      <w:r w:rsidRPr="009F3513">
        <w:t>or emailed comments etc</w:t>
      </w:r>
      <w:r w:rsidR="00B459D7">
        <w:t>.</w:t>
      </w:r>
    </w:p>
    <w:p w:rsidR="009F3513" w:rsidRPr="009F3513" w:rsidRDefault="009F3513" w:rsidP="00033F08">
      <w:pPr>
        <w:pStyle w:val="Bulletpoint"/>
      </w:pPr>
      <w:r w:rsidRPr="009F3513">
        <w:t>To be transparent, we will:</w:t>
      </w:r>
    </w:p>
    <w:p w:rsidR="009F3513" w:rsidRPr="009F3513" w:rsidRDefault="009F3513" w:rsidP="00033F08">
      <w:pPr>
        <w:pStyle w:val="Bulletpoint2"/>
      </w:pPr>
      <w:r w:rsidRPr="009F3513">
        <w:t>Explain the purpose of our engagement, our objectives, and where it fits in our approach</w:t>
      </w:r>
    </w:p>
    <w:p w:rsidR="009F3513" w:rsidRPr="009F3513" w:rsidRDefault="009F3513" w:rsidP="00033F08">
      <w:pPr>
        <w:pStyle w:val="Bulletpoint2"/>
      </w:pPr>
      <w:r w:rsidRPr="009F3513">
        <w:t>Report on how stakeholder input was considered and how it informed our decision or process</w:t>
      </w:r>
    </w:p>
    <w:p w:rsidR="009F3513" w:rsidRPr="009F3513" w:rsidRDefault="009F3513" w:rsidP="00033F08">
      <w:pPr>
        <w:pStyle w:val="Bulletpoint2"/>
      </w:pPr>
      <w:r w:rsidRPr="009F3513">
        <w:t>Report on our engagement activities, and their effectiveness, on our website and in our annual report</w:t>
      </w:r>
      <w:r w:rsidR="00D340EF">
        <w:t>.</w:t>
      </w:r>
    </w:p>
    <w:p w:rsidR="009F3513" w:rsidRPr="009F3513" w:rsidRDefault="009F3513" w:rsidP="00033F08">
      <w:pPr>
        <w:pStyle w:val="Bulletpoint"/>
      </w:pPr>
      <w:r w:rsidRPr="009F3513">
        <w:t>To ensure the effectiveness of our engagement is measurable, we will:</w:t>
      </w:r>
    </w:p>
    <w:p w:rsidR="009F3513" w:rsidRPr="009F3513" w:rsidRDefault="009F3513" w:rsidP="00033F08">
      <w:pPr>
        <w:pStyle w:val="Bulletpoint2"/>
      </w:pPr>
      <w:r w:rsidRPr="009F3513">
        <w:t xml:space="preserve">Seek feedback on our engagement activities, using a range of methods, to evaluate their effectiveness and use this information to improve </w:t>
      </w:r>
      <w:r w:rsidR="00D340EF" w:rsidRPr="009F3513">
        <w:t>continuously</w:t>
      </w:r>
    </w:p>
    <w:p w:rsidR="009F3513" w:rsidRPr="009F3513" w:rsidRDefault="009F3513" w:rsidP="00033F08">
      <w:pPr>
        <w:pStyle w:val="Bulletpoint2"/>
      </w:pPr>
      <w:r w:rsidRPr="009F3513">
        <w:t>Monitor our progress through our stakeholder survey</w:t>
      </w:r>
      <w:r w:rsidR="00D340EF">
        <w:t>.</w:t>
      </w:r>
    </w:p>
    <w:p w:rsidR="009F3513" w:rsidRPr="009F3513" w:rsidRDefault="009F3513" w:rsidP="009F3513">
      <w:r w:rsidRPr="00033F08">
        <w:rPr>
          <w:rStyle w:val="Strong"/>
        </w:rPr>
        <w:t>Our engagement approach</w:t>
      </w:r>
      <w:r w:rsidRPr="009F3513">
        <w:t>: shows the different types of engagement we may use depending on the particular project or decision, and the different methods that may accompany each approach.</w:t>
      </w:r>
    </w:p>
    <w:p w:rsidR="009F3513" w:rsidRPr="009F3513" w:rsidRDefault="009F3513" w:rsidP="009F3513">
      <w:r w:rsidRPr="009F3513">
        <w:t>The engagement approach will be determined by our role and responsibilities, the issue or decision being considered, and what we are trying to achieve.</w:t>
      </w:r>
    </w:p>
    <w:p w:rsidR="009F3513" w:rsidRDefault="009F3513" w:rsidP="009F3513">
      <w:r w:rsidRPr="009F3513">
        <w:t xml:space="preserve">Each engagement approach involves a clear objective and promise to our stakeholders. </w:t>
      </w:r>
      <w:r w:rsidR="00EF0E5D">
        <w:fldChar w:fldCharType="begin"/>
      </w:r>
      <w:r w:rsidR="00EF0E5D">
        <w:instrText xml:space="preserve"> REF _Ref485647185 \h </w:instrText>
      </w:r>
      <w:r w:rsidR="00EF0E5D">
        <w:fldChar w:fldCharType="separate"/>
      </w:r>
      <w:r w:rsidR="00590A24">
        <w:t xml:space="preserve">Figure </w:t>
      </w:r>
      <w:r w:rsidR="00590A24">
        <w:rPr>
          <w:noProof/>
        </w:rPr>
        <w:t>2</w:t>
      </w:r>
      <w:r w:rsidR="00EF0E5D">
        <w:fldChar w:fldCharType="end"/>
      </w:r>
      <w:r w:rsidR="00EF0E5D">
        <w:t xml:space="preserve"> </w:t>
      </w:r>
      <w:r w:rsidRPr="009F3513">
        <w:t>sets out our commitments, with some illustrations of how we will apply these.</w:t>
      </w:r>
    </w:p>
    <w:p w:rsidR="0041798F" w:rsidRPr="009F3513" w:rsidRDefault="0041798F" w:rsidP="009F3513"/>
    <w:p w:rsidR="00EF0E5D" w:rsidRDefault="00EF0E5D" w:rsidP="009F3513"/>
    <w:p w:rsidR="00EF0E5D" w:rsidRDefault="00EF0E5D">
      <w:pPr>
        <w:spacing w:line="240" w:lineRule="auto"/>
      </w:pPr>
      <w:r>
        <w:br w:type="page"/>
      </w:r>
    </w:p>
    <w:p w:rsidR="00EF0E5D" w:rsidRDefault="00EF0E5D" w:rsidP="006B0849">
      <w:pPr>
        <w:pStyle w:val="Caption"/>
      </w:pPr>
      <w:bookmarkStart w:id="9" w:name="_Ref485647185"/>
      <w:r>
        <w:t xml:space="preserve">Figure </w:t>
      </w:r>
      <w:fldSimple w:instr=" SEQ Figure \* ARABIC ">
        <w:r w:rsidR="00590A24">
          <w:rPr>
            <w:noProof/>
          </w:rPr>
          <w:t>2</w:t>
        </w:r>
      </w:fldSimple>
      <w:bookmarkEnd w:id="9"/>
      <w:r>
        <w:t xml:space="preserve"> Engagement approach</w:t>
      </w:r>
    </w:p>
    <w:p w:rsidR="009F3513" w:rsidRPr="009F3513" w:rsidRDefault="009F3513" w:rsidP="009F3513">
      <w:r w:rsidRPr="009F3513">
        <w:rPr>
          <w:noProof/>
          <w:lang w:eastAsia="en-AU"/>
        </w:rPr>
        <mc:AlternateContent>
          <mc:Choice Requires="wps">
            <w:drawing>
              <wp:anchor distT="0" distB="0" distL="114300" distR="114300" simplePos="0" relativeHeight="251661312" behindDoc="0" locked="0" layoutInCell="1" allowOverlap="1" wp14:anchorId="672813D5" wp14:editId="078DC493">
                <wp:simplePos x="0" y="0"/>
                <wp:positionH relativeFrom="column">
                  <wp:posOffset>2162175</wp:posOffset>
                </wp:positionH>
                <wp:positionV relativeFrom="paragraph">
                  <wp:posOffset>1860219</wp:posOffset>
                </wp:positionV>
                <wp:extent cx="1160891" cy="397068"/>
                <wp:effectExtent l="0" t="0" r="127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397068"/>
                        </a:xfrm>
                        <a:prstGeom prst="rect">
                          <a:avLst/>
                        </a:prstGeom>
                        <a:solidFill>
                          <a:sysClr val="window" lastClr="FFFFFF"/>
                        </a:solidFill>
                        <a:ln w="9525">
                          <a:noFill/>
                          <a:miter lim="800000"/>
                          <a:headEnd/>
                          <a:tailEnd/>
                        </a:ln>
                      </wps:spPr>
                      <wps:txbx>
                        <w:txbxContent>
                          <w:p w:rsidR="00590A24" w:rsidRPr="00F8607A" w:rsidRDefault="00590A24" w:rsidP="009F3513">
                            <w:pPr>
                              <w:spacing w:before="0"/>
                              <w:jc w:val="center"/>
                              <w:rPr>
                                <w:b/>
                                <w:sz w:val="20"/>
                                <w:szCs w:val="20"/>
                              </w:rPr>
                            </w:pPr>
                            <w:r w:rsidRPr="00F8607A">
                              <w:rPr>
                                <w:b/>
                                <w:sz w:val="20"/>
                                <w:szCs w:val="20"/>
                              </w:rPr>
                              <w:t xml:space="preserve">Engagement </w:t>
                            </w:r>
                            <w:r>
                              <w:rPr>
                                <w:b/>
                                <w:sz w:val="20"/>
                                <w:szCs w:val="20"/>
                              </w:rPr>
                              <w:t>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25pt;margin-top:146.45pt;width:91.4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" fillcolor="window" stroked="f">
                <v:textbox>
                  <w:txbxContent>
                    <w:p w:rsidR="00590A24" w:rsidRPr="00F8607A" w:rsidRDefault="00590A24" w:rsidP="009F3513">
                      <w:pPr>
                        <w:spacing w:before="0"/>
                        <w:jc w:val="center"/>
                        <w:rPr>
                          <w:b/>
                          <w:sz w:val="20"/>
                          <w:szCs w:val="20"/>
                        </w:rPr>
                      </w:pPr>
                      <w:r w:rsidRPr="00F8607A">
                        <w:rPr>
                          <w:b/>
                          <w:sz w:val="20"/>
                          <w:szCs w:val="20"/>
                        </w:rPr>
                        <w:t xml:space="preserve">Engagement </w:t>
                      </w:r>
                      <w:r>
                        <w:rPr>
                          <w:b/>
                          <w:sz w:val="20"/>
                          <w:szCs w:val="20"/>
                        </w:rPr>
                        <w:t>approach</w:t>
                      </w:r>
                    </w:p>
                  </w:txbxContent>
                </v:textbox>
              </v:shape>
            </w:pict>
          </mc:Fallback>
        </mc:AlternateContent>
      </w:r>
      <w:r w:rsidRPr="009F3513">
        <w:rPr>
          <w:noProof/>
          <w:lang w:eastAsia="en-AU"/>
        </w:rPr>
        <w:drawing>
          <wp:inline distT="0" distB="0" distL="0" distR="0" wp14:anchorId="64BAE7FC" wp14:editId="71628B4E">
            <wp:extent cx="5486400" cy="4110824"/>
            <wp:effectExtent l="0" t="0" r="19050" b="234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9F3513" w:rsidRPr="009F3513" w:rsidRDefault="009F3513" w:rsidP="009F3513"/>
    <w:p w:rsidR="009F3513" w:rsidRPr="008A28FF" w:rsidRDefault="009F3513" w:rsidP="009F3513">
      <w:pPr>
        <w:rPr>
          <w:rStyle w:val="Strong"/>
        </w:rPr>
      </w:pPr>
      <w:r w:rsidRPr="008A28FF">
        <w:rPr>
          <w:rStyle w:val="Strong"/>
        </w:rPr>
        <w:t>How we will engage:</w:t>
      </w:r>
    </w:p>
    <w:p w:rsidR="009F3513" w:rsidRDefault="009F3513" w:rsidP="009F3513">
      <w:r w:rsidRPr="009F3513">
        <w:t xml:space="preserve">Stakeholder engagement can make a positive contribution at every stage of what we do, from strategic planning to how we support individual consumers. </w:t>
      </w:r>
      <w:r w:rsidR="00E546CC">
        <w:t xml:space="preserve">While </w:t>
      </w:r>
      <w:r w:rsidR="00D340EF">
        <w:t xml:space="preserve">much of </w:t>
      </w:r>
      <w:r w:rsidR="00E546CC">
        <w:t>i</w:t>
      </w:r>
      <w:r w:rsidR="00907B68" w:rsidRPr="00907B68">
        <w:t xml:space="preserve">t </w:t>
      </w:r>
      <w:r w:rsidR="00D340EF">
        <w:t>will often be</w:t>
      </w:r>
      <w:r w:rsidR="00907B68" w:rsidRPr="00907B68">
        <w:t xml:space="preserve"> project-based</w:t>
      </w:r>
      <w:r w:rsidR="00E546CC">
        <w:t>,</w:t>
      </w:r>
      <w:r w:rsidR="00907B68" w:rsidRPr="00907B68">
        <w:t xml:space="preserve"> we aim to have an ongoing dialogue with </w:t>
      </w:r>
      <w:r w:rsidR="00E546CC">
        <w:t xml:space="preserve">our </w:t>
      </w:r>
      <w:r w:rsidR="00907B68" w:rsidRPr="00907B68">
        <w:t>stakeholders</w:t>
      </w:r>
      <w:r w:rsidR="00D340EF">
        <w:t xml:space="preserve"> too. </w:t>
      </w:r>
      <w:r w:rsidR="005D287B">
        <w:fldChar w:fldCharType="begin"/>
      </w:r>
      <w:r w:rsidR="005D287B">
        <w:instrText xml:space="preserve"> REF _Ref485647421 \h </w:instrText>
      </w:r>
      <w:r w:rsidR="005D287B">
        <w:fldChar w:fldCharType="separate"/>
      </w:r>
      <w:r w:rsidR="00590A24">
        <w:t xml:space="preserve">Figure </w:t>
      </w:r>
      <w:r w:rsidR="00590A24">
        <w:rPr>
          <w:noProof/>
        </w:rPr>
        <w:t>3</w:t>
      </w:r>
      <w:r w:rsidR="005D287B">
        <w:fldChar w:fldCharType="end"/>
      </w:r>
      <w:r w:rsidRPr="009F3513">
        <w:t xml:space="preserve"> illustrates some key points for engagement</w:t>
      </w:r>
      <w:r w:rsidR="0041798F">
        <w:t>.</w:t>
      </w:r>
      <w:r w:rsidR="00907B68">
        <w:t xml:space="preserve"> We recognise that not every stakeholder may want or will be able </w:t>
      </w:r>
      <w:r w:rsidR="00D340EF">
        <w:t xml:space="preserve">to </w:t>
      </w:r>
      <w:r w:rsidR="00907B68">
        <w:t>input at each point.</w:t>
      </w:r>
    </w:p>
    <w:p w:rsidR="00EF0E5D" w:rsidRDefault="00EF0E5D">
      <w:pPr>
        <w:spacing w:line="240" w:lineRule="auto"/>
      </w:pPr>
      <w:r>
        <w:br w:type="page"/>
      </w:r>
    </w:p>
    <w:p w:rsidR="00EF0E5D" w:rsidRDefault="00EF0E5D" w:rsidP="00062F7F">
      <w:pPr>
        <w:pStyle w:val="Caption"/>
        <w:rPr>
          <w:rStyle w:val="Strong"/>
        </w:rPr>
      </w:pPr>
      <w:bookmarkStart w:id="10" w:name="_Ref485647421"/>
      <w:r>
        <w:t xml:space="preserve">Figure </w:t>
      </w:r>
      <w:fldSimple w:instr=" SEQ Figure \* ARABIC ">
        <w:r w:rsidR="00590A24">
          <w:rPr>
            <w:noProof/>
          </w:rPr>
          <w:t>3</w:t>
        </w:r>
      </w:fldSimple>
      <w:bookmarkEnd w:id="10"/>
      <w:r w:rsidR="005D287B">
        <w:t xml:space="preserve"> Key points of engagement</w:t>
      </w:r>
    </w:p>
    <w:p w:rsidR="001715DA" w:rsidRDefault="00180CE8" w:rsidP="009F3513">
      <w:pPr>
        <w:rPr>
          <w:rStyle w:val="Strong"/>
        </w:rPr>
      </w:pPr>
      <w:r w:rsidRPr="00180CE8">
        <w:rPr>
          <w:noProof/>
          <w:lang w:eastAsia="en-AU"/>
        </w:rPr>
        <w:drawing>
          <wp:inline distT="0" distB="0" distL="0" distR="0" wp14:anchorId="6C872A97" wp14:editId="1879DB6B">
            <wp:extent cx="5731510" cy="29600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31510" cy="2960055"/>
                    </a:xfrm>
                    <a:prstGeom prst="rect">
                      <a:avLst/>
                    </a:prstGeom>
                  </pic:spPr>
                </pic:pic>
              </a:graphicData>
            </a:graphic>
          </wp:inline>
        </w:drawing>
      </w:r>
    </w:p>
    <w:p w:rsidR="009F3513" w:rsidRPr="00033F08" w:rsidRDefault="009F3513" w:rsidP="009F3513">
      <w:pPr>
        <w:rPr>
          <w:rStyle w:val="Strong"/>
        </w:rPr>
      </w:pPr>
      <w:r w:rsidRPr="00033F08">
        <w:rPr>
          <w:rStyle w:val="Strong"/>
        </w:rPr>
        <w:t>Improving and learning</w:t>
      </w:r>
    </w:p>
    <w:p w:rsidR="009F3513" w:rsidRPr="009F3513" w:rsidRDefault="009F3513" w:rsidP="009F3513">
      <w:r w:rsidRPr="009F3513">
        <w:t>We are committed to improving the effectiveness of our engagement with stakeholders over time and will monitor and measure our progress. We will periodically review this Framework, and we will always welcome input about how we can engage better and lessons we can learn from other bodies.</w:t>
      </w:r>
    </w:p>
    <w:p w:rsidR="00F443EE" w:rsidRDefault="0090625C" w:rsidP="00F443EE">
      <w:pPr>
        <w:pStyle w:val="Heading1"/>
      </w:pPr>
      <w:bookmarkStart w:id="11" w:name="_Toc486235319"/>
      <w:r>
        <w:t>How f</w:t>
      </w:r>
      <w:r w:rsidR="00F443EE">
        <w:t>eedback from stakeholders</w:t>
      </w:r>
      <w:r>
        <w:t xml:space="preserve"> has informed our proposals</w:t>
      </w:r>
      <w:r w:rsidR="004B78C9">
        <w:t xml:space="preserve"> about the draft revised Framework</w:t>
      </w:r>
      <w:bookmarkEnd w:id="11"/>
      <w:r w:rsidR="004B78C9">
        <w:t xml:space="preserve"> </w:t>
      </w:r>
    </w:p>
    <w:p w:rsidR="00F443EE" w:rsidRPr="00732DF8" w:rsidRDefault="00150FD0" w:rsidP="00F443EE">
      <w:r>
        <w:t xml:space="preserve">The </w:t>
      </w:r>
      <w:r w:rsidR="00F443EE" w:rsidRPr="00732DF8">
        <w:t xml:space="preserve">changes </w:t>
      </w:r>
      <w:r>
        <w:t xml:space="preserve">that we are proposing </w:t>
      </w:r>
      <w:r w:rsidR="00F443EE" w:rsidRPr="00732DF8">
        <w:t xml:space="preserve">to </w:t>
      </w:r>
      <w:r>
        <w:t xml:space="preserve">make </w:t>
      </w:r>
      <w:r w:rsidR="00033F08">
        <w:t xml:space="preserve">to </w:t>
      </w:r>
      <w:r w:rsidR="00F443EE" w:rsidRPr="00732DF8">
        <w:t xml:space="preserve">the Framework document </w:t>
      </w:r>
      <w:r>
        <w:t>are based on stakeholder feedback</w:t>
      </w:r>
      <w:r w:rsidR="00765BEA">
        <w:t>,</w:t>
      </w:r>
      <w:r>
        <w:t xml:space="preserve"> </w:t>
      </w:r>
      <w:r w:rsidR="00F443EE" w:rsidRPr="00732DF8">
        <w:t xml:space="preserve">which </w:t>
      </w:r>
      <w:r>
        <w:t xml:space="preserve">is </w:t>
      </w:r>
      <w:r w:rsidR="00F443EE" w:rsidRPr="00732DF8">
        <w:t xml:space="preserve">discussed below. </w:t>
      </w:r>
      <w:r w:rsidR="003A3224">
        <w:t>T</w:t>
      </w:r>
      <w:r w:rsidR="00F443EE" w:rsidRPr="00732DF8">
        <w:t>hese are set out under three headings:  format and structure; principles</w:t>
      </w:r>
      <w:r w:rsidR="003A3224">
        <w:t>;</w:t>
      </w:r>
      <w:r w:rsidR="00F443EE" w:rsidRPr="00732DF8">
        <w:t xml:space="preserve"> and engagement approaches.</w:t>
      </w:r>
    </w:p>
    <w:p w:rsidR="00F443EE" w:rsidRPr="00732DF8" w:rsidRDefault="00F443EE" w:rsidP="00033F08">
      <w:pPr>
        <w:pStyle w:val="Heading2"/>
      </w:pPr>
      <w:bookmarkStart w:id="12" w:name="_Toc486235320"/>
      <w:r w:rsidRPr="00732DF8">
        <w:t>Format and structure</w:t>
      </w:r>
      <w:bookmarkEnd w:id="12"/>
      <w:r w:rsidRPr="00732DF8">
        <w:t xml:space="preserve"> </w:t>
      </w:r>
    </w:p>
    <w:p w:rsidR="00F443EE" w:rsidRPr="00732DF8" w:rsidRDefault="00F443EE" w:rsidP="00F443EE">
      <w:r w:rsidRPr="00732DF8">
        <w:t xml:space="preserve">Stakeholders agreed that the Framework should retain simple, consistent information and its plain language approach. There were mixed views about whether the Framework document should be shorter. Some </w:t>
      </w:r>
      <w:r w:rsidR="00765BEA">
        <w:t xml:space="preserve">liked this idea while others </w:t>
      </w:r>
      <w:r w:rsidRPr="00732DF8">
        <w:t>suggest</w:t>
      </w:r>
      <w:r w:rsidR="004E13E9">
        <w:t>ed</w:t>
      </w:r>
      <w:r w:rsidRPr="00732DF8">
        <w:t xml:space="preserve"> </w:t>
      </w:r>
      <w:r w:rsidR="0014639F">
        <w:t xml:space="preserve">we should have a summary version </w:t>
      </w:r>
      <w:r w:rsidR="00AD119F">
        <w:t>alongside</w:t>
      </w:r>
      <w:r w:rsidRPr="00732DF8">
        <w:t xml:space="preserve"> a more detailed Framework document with more definitions and information about the engagement process such as who we will engage with, what we will engage about, why we want to engage, when we need to engage and how we will engage.</w:t>
      </w:r>
    </w:p>
    <w:p w:rsidR="00577750" w:rsidRDefault="00CD0E98" w:rsidP="00F443EE">
      <w:r w:rsidRPr="00CD0E98">
        <w:t>We think there is scope to take some information out of the existing Framework document that is not necessary or important to explain how we engage</w:t>
      </w:r>
      <w:r w:rsidR="00577750">
        <w:t>. This will result in a more succinct document, which would not require a summary version.</w:t>
      </w:r>
    </w:p>
    <w:p w:rsidR="00F443EE" w:rsidRPr="00732DF8" w:rsidRDefault="00F443EE" w:rsidP="00F443EE">
      <w:r w:rsidRPr="00732DF8">
        <w:t xml:space="preserve">Based on the feedback from </w:t>
      </w:r>
      <w:r w:rsidR="00577750">
        <w:t xml:space="preserve">our </w:t>
      </w:r>
      <w:r w:rsidRPr="00732DF8">
        <w:t xml:space="preserve">stakeholders, we have developed a more targeted document which sets out a broad overarching approach to our stakeholder engagement and the reasons why we do it. We have focused the </w:t>
      </w:r>
      <w:r w:rsidR="00045E18">
        <w:t>new draft</w:t>
      </w:r>
      <w:r w:rsidR="00045E18" w:rsidRPr="00732DF8">
        <w:t xml:space="preserve"> </w:t>
      </w:r>
      <w:r w:rsidRPr="00732DF8">
        <w:t xml:space="preserve">more on the commitments we are making to our stakeholders, with less background information about what the AER does and who our stakeholders are. We have done this by replacing the </w:t>
      </w:r>
      <w:r w:rsidR="00045E18">
        <w:t>'</w:t>
      </w:r>
      <w:r w:rsidR="00623A61">
        <w:t>I</w:t>
      </w:r>
      <w:r w:rsidRPr="00732DF8">
        <w:t>ntroduction</w:t>
      </w:r>
      <w:r w:rsidR="00045E18">
        <w:t>'</w:t>
      </w:r>
      <w:r w:rsidRPr="00732DF8">
        <w:t xml:space="preserve">, </w:t>
      </w:r>
      <w:r w:rsidR="00045E18">
        <w:t>'</w:t>
      </w:r>
      <w:r w:rsidR="00623A61">
        <w:t>A</w:t>
      </w:r>
      <w:r w:rsidRPr="00732DF8">
        <w:t>bout the AER</w:t>
      </w:r>
      <w:r w:rsidR="00045E18">
        <w:t>'</w:t>
      </w:r>
      <w:r w:rsidRPr="00732DF8">
        <w:t xml:space="preserve"> and </w:t>
      </w:r>
      <w:r w:rsidR="00045E18">
        <w:t>'</w:t>
      </w:r>
      <w:r w:rsidR="00623A61">
        <w:t>S</w:t>
      </w:r>
      <w:r w:rsidRPr="00732DF8">
        <w:t>cope</w:t>
      </w:r>
      <w:r w:rsidR="00045E18">
        <w:t>'</w:t>
      </w:r>
      <w:r w:rsidRPr="00732DF8">
        <w:t xml:space="preserve"> sections with a short description of our purpose and providing more information about why we consider stakeholder engagement important. As one of our stakeholders</w:t>
      </w:r>
      <w:r w:rsidR="00045E18" w:rsidRPr="00045E18">
        <w:t xml:space="preserve"> </w:t>
      </w:r>
      <w:r w:rsidR="00045E18" w:rsidRPr="00732DF8">
        <w:t>suggested</w:t>
      </w:r>
      <w:r w:rsidRPr="00732DF8">
        <w:t xml:space="preserve">, we have included the reasons why we want to engage with our stakeholders. We have also added diagrams to make it easier for stakeholders to </w:t>
      </w:r>
      <w:r w:rsidR="00045E18">
        <w:t>see</w:t>
      </w:r>
      <w:r w:rsidR="00045E18" w:rsidRPr="00732DF8">
        <w:t xml:space="preserve"> </w:t>
      </w:r>
      <w:r w:rsidRPr="00732DF8">
        <w:t xml:space="preserve">how engagement fits in with the rest of our work and </w:t>
      </w:r>
      <w:r w:rsidR="00045E18">
        <w:t>the key points at</w:t>
      </w:r>
      <w:r w:rsidR="00045E18" w:rsidRPr="00732DF8">
        <w:t xml:space="preserve"> </w:t>
      </w:r>
      <w:r w:rsidR="00577750">
        <w:t xml:space="preserve">which </w:t>
      </w:r>
      <w:r w:rsidRPr="00732DF8">
        <w:t xml:space="preserve">we will </w:t>
      </w:r>
      <w:r w:rsidR="00045E18">
        <w:t xml:space="preserve">typically </w:t>
      </w:r>
      <w:r w:rsidRPr="00732DF8">
        <w:t>engage.</w:t>
      </w:r>
    </w:p>
    <w:p w:rsidR="00F443EE" w:rsidRPr="00732DF8" w:rsidRDefault="00F443EE" w:rsidP="00F443EE">
      <w:r w:rsidRPr="00732DF8">
        <w:t>We have retained the key elements of the current Framework such as the purpose, the principles-based approach and descriptions of our engagement approaches. We have also repeated our commitments to improving the effectiveness of our engagement over time and to reviewing the Framework</w:t>
      </w:r>
      <w:r w:rsidR="00623A61" w:rsidRPr="00623A61">
        <w:t xml:space="preserve"> periodically</w:t>
      </w:r>
      <w:r w:rsidRPr="00732DF8">
        <w:t>.</w:t>
      </w:r>
    </w:p>
    <w:p w:rsidR="00F443EE" w:rsidRPr="00732DF8" w:rsidRDefault="00F443EE" w:rsidP="00033F08">
      <w:pPr>
        <w:pStyle w:val="Heading2"/>
      </w:pPr>
      <w:bookmarkStart w:id="13" w:name="_Toc486235321"/>
      <w:r w:rsidRPr="00732DF8">
        <w:t>Principles</w:t>
      </w:r>
      <w:bookmarkEnd w:id="13"/>
    </w:p>
    <w:p w:rsidR="00F443EE" w:rsidRPr="00732DF8" w:rsidRDefault="00F443EE" w:rsidP="00F443EE">
      <w:r w:rsidRPr="00732DF8">
        <w:t>The majority of stakeholders considered that a principles</w:t>
      </w:r>
      <w:r w:rsidR="00623A61">
        <w:t>-</w:t>
      </w:r>
      <w:r w:rsidR="00765BEA">
        <w:t>based approach i</w:t>
      </w:r>
      <w:r w:rsidRPr="00732DF8">
        <w:t xml:space="preserve">s still appropriate to support effective engagement, allowing the AER sufficient flexibility to use different approaches for different projects and processes. They agreed that the four engagement principles (clear, accurate and timely communication and being accessible and inclusive, transparent and measurable) </w:t>
      </w:r>
      <w:r w:rsidR="00AB56DA">
        <w:t>a</w:t>
      </w:r>
      <w:r w:rsidRPr="00732DF8">
        <w:t xml:space="preserve">re still relevant and appropriate. </w:t>
      </w:r>
    </w:p>
    <w:p w:rsidR="00173396" w:rsidRDefault="00AE0B75" w:rsidP="00F443EE">
      <w:r w:rsidRPr="00AE0B75">
        <w:t xml:space="preserve">There were some suggestions </w:t>
      </w:r>
      <w:r w:rsidR="00045E18">
        <w:t>that we should</w:t>
      </w:r>
      <w:r w:rsidR="00045E18" w:rsidRPr="00AE0B75">
        <w:t xml:space="preserve"> </w:t>
      </w:r>
      <w:r w:rsidRPr="00AE0B75">
        <w:t>expand the</w:t>
      </w:r>
      <w:r>
        <w:t xml:space="preserve"> principles</w:t>
      </w:r>
      <w:r w:rsidRPr="00AE0B75">
        <w:t xml:space="preserve"> to include other</w:t>
      </w:r>
      <w:r>
        <w:t>s</w:t>
      </w:r>
      <w:r w:rsidRPr="00AE0B75">
        <w:t xml:space="preserve">  such as ‘no surprises’, ‘consistency’, ‘trust’, ‘honesty’, ‘respect’ and ‘integrity’. One stakeholder also suggested including </w:t>
      </w:r>
      <w:r w:rsidR="00045E18">
        <w:t>'</w:t>
      </w:r>
      <w:r w:rsidRPr="00AE0B75">
        <w:t>proactive consumer engagement</w:t>
      </w:r>
      <w:r w:rsidR="00045E18">
        <w:t>'</w:t>
      </w:r>
      <w:r w:rsidRPr="00AE0B75">
        <w:t xml:space="preserve"> as a principle to address concerns that consumer advocates and community welfare organisations generally have limited capacity to engage in complex consultation processes and would benefit from proactive information in order to provide meaningful and constructive feedback. </w:t>
      </w:r>
    </w:p>
    <w:p w:rsidR="00F443EE" w:rsidRPr="00732DF8" w:rsidRDefault="00173396" w:rsidP="00F443EE">
      <w:r>
        <w:t xml:space="preserve">Our instinct is that it would generally be better to have a small number of principles, which are capable of being recalled and applied easily, rather than creating a long list - though we </w:t>
      </w:r>
      <w:r w:rsidR="006B0849">
        <w:t>do not have a strong view about precisely how many there should be</w:t>
      </w:r>
      <w:r>
        <w:t>. None of the suggested additions are in themselves objectionable, but we are not convinced they add much to the current list:</w:t>
      </w:r>
      <w:r w:rsidR="00841A0D">
        <w:t xml:space="preserve"> </w:t>
      </w:r>
      <w:r w:rsidR="00045E18">
        <w:t xml:space="preserve">the </w:t>
      </w:r>
      <w:r w:rsidR="00F443EE" w:rsidRPr="00732DF8">
        <w:t xml:space="preserve">intent </w:t>
      </w:r>
      <w:r w:rsidR="00045E18">
        <w:t xml:space="preserve">of these additional suggestions </w:t>
      </w:r>
      <w:r w:rsidR="00F443EE" w:rsidRPr="00732DF8">
        <w:t xml:space="preserve">is </w:t>
      </w:r>
      <w:r>
        <w:t xml:space="preserve">arguably </w:t>
      </w:r>
      <w:r w:rsidR="00F443EE" w:rsidRPr="00732DF8">
        <w:t>already captured in the existing principles. For example:</w:t>
      </w:r>
    </w:p>
    <w:p w:rsidR="00F443EE" w:rsidRPr="00732DF8" w:rsidRDefault="002F220C" w:rsidP="002F220C">
      <w:pPr>
        <w:pStyle w:val="Bulletpoint"/>
      </w:pPr>
      <w:r>
        <w:t>I</w:t>
      </w:r>
      <w:r w:rsidR="00F443EE" w:rsidRPr="00732DF8">
        <w:t xml:space="preserve">f our engagement meets </w:t>
      </w:r>
      <w:r>
        <w:t>all four</w:t>
      </w:r>
      <w:r w:rsidRPr="00732DF8">
        <w:t xml:space="preserve"> </w:t>
      </w:r>
      <w:r w:rsidR="00F443EE" w:rsidRPr="00732DF8">
        <w:t>existing principles</w:t>
      </w:r>
      <w:r>
        <w:t>, it is highly likely that it also demonstrates</w:t>
      </w:r>
      <w:r w:rsidRPr="002F220C">
        <w:t xml:space="preserve"> </w:t>
      </w:r>
      <w:r>
        <w:t>t</w:t>
      </w:r>
      <w:r w:rsidRPr="00732DF8">
        <w:t>rust,</w:t>
      </w:r>
      <w:r>
        <w:t xml:space="preserve"> honesty, respect and integrity</w:t>
      </w:r>
      <w:r w:rsidR="00F443EE" w:rsidRPr="00732DF8">
        <w:t xml:space="preserve">. In addition, we have kept the language from the objectives in our current Framework that engaging with those affected by our work builds trust and confidence in our processes and wider activities. </w:t>
      </w:r>
    </w:p>
    <w:p w:rsidR="00F443EE" w:rsidRPr="00732DF8" w:rsidRDefault="00F443EE" w:rsidP="00F443EE">
      <w:pPr>
        <w:pStyle w:val="Bulletpoint"/>
      </w:pPr>
      <w:r w:rsidRPr="00732DF8">
        <w:t xml:space="preserve">By being accessible, inclusive and transparent we will also deliver ‘no surprises’ and ‘consistency’ in our approach. </w:t>
      </w:r>
    </w:p>
    <w:p w:rsidR="00F443EE" w:rsidRPr="00732DF8" w:rsidRDefault="00F443EE" w:rsidP="00F443EE">
      <w:pPr>
        <w:pStyle w:val="Bulletpoint"/>
      </w:pPr>
      <w:r w:rsidRPr="00732DF8">
        <w:t xml:space="preserve">The commitments we have kept in the draft revised Framework under the principle of </w:t>
      </w:r>
      <w:r w:rsidR="002F220C">
        <w:t>'</w:t>
      </w:r>
      <w:r w:rsidRPr="00732DF8">
        <w:t>being accessible and inclusive</w:t>
      </w:r>
      <w:r w:rsidR="002F220C">
        <w:t>'</w:t>
      </w:r>
      <w:r w:rsidRPr="00732DF8">
        <w:t xml:space="preserve"> </w:t>
      </w:r>
      <w:r w:rsidR="002F220C">
        <w:t>enable</w:t>
      </w:r>
      <w:r w:rsidR="002F220C" w:rsidRPr="00732DF8">
        <w:t xml:space="preserve"> </w:t>
      </w:r>
      <w:r w:rsidRPr="00732DF8">
        <w:t>us to provide proactive consumer engagement</w:t>
      </w:r>
      <w:r w:rsidR="002F220C">
        <w:t xml:space="preserve">. This includes </w:t>
      </w:r>
      <w:r w:rsidRPr="00732DF8">
        <w:t>being flexible and tailoring our engagement and communication to meet different stakeholder needs, taking steps where needed to build knowledge and capacity to help stakeholders engage, and considering the time and resources needed by stakeholders to engage</w:t>
      </w:r>
      <w:r w:rsidR="002F220C" w:rsidRPr="002F220C">
        <w:t xml:space="preserve"> </w:t>
      </w:r>
      <w:r w:rsidR="002F220C" w:rsidRPr="00732DF8">
        <w:t>effectively</w:t>
      </w:r>
      <w:r w:rsidRPr="00732DF8">
        <w:t xml:space="preserve">. </w:t>
      </w:r>
    </w:p>
    <w:p w:rsidR="00F443EE" w:rsidRPr="00732DF8" w:rsidRDefault="00F443EE" w:rsidP="00173396">
      <w:pPr>
        <w:pStyle w:val="ListContinue"/>
      </w:pPr>
      <w:r w:rsidRPr="00732DF8">
        <w:t>We will continue to make this a significant priority, and look to where we can supplement mechanisms already in place to flag upcoming consultation with consumer representatives and provide them with information to enable considered input. These currently include our issues/consultation papers, stakeholder forums/ workshops and plain language fact sheets and overviews which summarise key points in our draft and final network revenue decision documents. We have our Customer Consultative Group which keeps us informed</w:t>
      </w:r>
      <w:r w:rsidR="00A5323F">
        <w:t xml:space="preserve"> of issues important to consumers</w:t>
      </w:r>
      <w:r w:rsidRPr="00732DF8">
        <w:t xml:space="preserve">, as well as our Consumer Challenge Panel </w:t>
      </w:r>
      <w:r w:rsidR="009E2D94">
        <w:t xml:space="preserve">which </w:t>
      </w:r>
      <w:r w:rsidRPr="00732DF8">
        <w:t xml:space="preserve">we have set up to seek input and engagement into our network determinations. </w:t>
      </w:r>
      <w:r w:rsidR="009E2D94" w:rsidRPr="009E2D94">
        <w:t xml:space="preserve">Where appropriate, we </w:t>
      </w:r>
      <w:r w:rsidR="00E546CC">
        <w:t xml:space="preserve">also </w:t>
      </w:r>
      <w:r w:rsidR="009E2D94" w:rsidRPr="009E2D94">
        <w:t>establish working reference groups for specific projects or programs</w:t>
      </w:r>
      <w:r w:rsidR="009E2D94">
        <w:t xml:space="preserve"> such as our recently announced </w:t>
      </w:r>
      <w:r w:rsidR="009E2D94" w:rsidRPr="009E2D94">
        <w:t>consumer reference group on the regulatory treatment of inflation</w:t>
      </w:r>
      <w:r w:rsidR="009E2D94">
        <w:t>.</w:t>
      </w:r>
      <w:r w:rsidR="00173396">
        <w:t xml:space="preserve"> </w:t>
      </w:r>
      <w:r w:rsidRPr="00732DF8">
        <w:t xml:space="preserve">In addition, we </w:t>
      </w:r>
      <w:r w:rsidR="000A29A3">
        <w:t xml:space="preserve">have recently begun publishing </w:t>
      </w:r>
      <w:r w:rsidRPr="00732DF8">
        <w:t xml:space="preserve">a </w:t>
      </w:r>
      <w:hyperlink r:id="rId36" w:history="1">
        <w:r w:rsidRPr="00180CE8">
          <w:rPr>
            <w:rStyle w:val="Hyperlink"/>
          </w:rPr>
          <w:t>newsletter</w:t>
        </w:r>
      </w:hyperlink>
      <w:r w:rsidRPr="00732DF8">
        <w:t xml:space="preserve"> which will further assist to keep our stakeholders informed about upcoming processes, consultations and events. </w:t>
      </w:r>
    </w:p>
    <w:p w:rsidR="00173396" w:rsidRDefault="00173396" w:rsidP="00F443EE">
      <w:r>
        <w:t xml:space="preserve">We would however welcome further views on whether any of these additional principles, or any others not listed here, are essential additions which are not covered by the existing four principles.  </w:t>
      </w:r>
    </w:p>
    <w:p w:rsidR="00F443EE" w:rsidRPr="00732DF8" w:rsidRDefault="00F443EE" w:rsidP="00F443EE">
      <w:r w:rsidRPr="00732DF8">
        <w:t xml:space="preserve">Each of the four engagement principles contains a description of activities we will undertake to implement it. </w:t>
      </w:r>
      <w:r w:rsidR="00765BEA">
        <w:t>These lists</w:t>
      </w:r>
      <w:r w:rsidRPr="00732DF8">
        <w:t xml:space="preserve"> of activities </w:t>
      </w:r>
      <w:r w:rsidR="00765BEA">
        <w:t>take</w:t>
      </w:r>
      <w:r w:rsidRPr="00732DF8">
        <w:t xml:space="preserve"> into account issues that stakeholders have told us are </w:t>
      </w:r>
      <w:r w:rsidR="00765BEA">
        <w:t xml:space="preserve">particularly </w:t>
      </w:r>
      <w:r w:rsidRPr="00732DF8">
        <w:t>important</w:t>
      </w:r>
      <w:r w:rsidR="00765BEA">
        <w:t>, but they are not intended to be exhaustive, and we will remain open to additional suggestions</w:t>
      </w:r>
      <w:r w:rsidRPr="00732DF8">
        <w:t xml:space="preserve">. </w:t>
      </w:r>
    </w:p>
    <w:p w:rsidR="00AE0B75" w:rsidRPr="00AE0B75" w:rsidRDefault="00AE0B75" w:rsidP="00AE0B75">
      <w:r w:rsidRPr="00AE0B75">
        <w:t xml:space="preserve">There were also </w:t>
      </w:r>
      <w:r w:rsidR="00E41EF0">
        <w:t>suggestions we should</w:t>
      </w:r>
      <w:r w:rsidRPr="00AE0B75">
        <w:t xml:space="preserve"> include some more prescriptive language about how we will implement each of the principles</w:t>
      </w:r>
      <w:r w:rsidR="00E41EF0">
        <w:t>. These include</w:t>
      </w:r>
      <w:r w:rsidRPr="00AE0B75">
        <w:t xml:space="preserve"> 'all stakeholders are offered the same range of methods and mediums to communicate', 'report publicly the number of engagements with each stakeholder, dates and method/medium' and 'clear objectives for each of the measureable criteria are to be set along with actions to be taken in case the objectives are not met'.</w:t>
      </w:r>
    </w:p>
    <w:p w:rsidR="00F443EE" w:rsidRPr="00732DF8" w:rsidRDefault="00F443EE" w:rsidP="00F443EE">
      <w:r w:rsidRPr="00732DF8">
        <w:t>We consider that including the</w:t>
      </w:r>
      <w:r w:rsidR="000A29A3">
        <w:t>se</w:t>
      </w:r>
      <w:r w:rsidRPr="00732DF8">
        <w:t xml:space="preserve"> more prescriptive elements would move away from the principles</w:t>
      </w:r>
      <w:r w:rsidR="0049124F">
        <w:t>-</w:t>
      </w:r>
      <w:r w:rsidRPr="00732DF8">
        <w:t>based approach we adopted when the Framework was developed in 2013</w:t>
      </w:r>
      <w:r w:rsidR="00E41EF0">
        <w:t xml:space="preserve">, and which most stakeholders have told us in our discussions to date that they still support. </w:t>
      </w:r>
      <w:r w:rsidR="00AE0B75">
        <w:t xml:space="preserve"> </w:t>
      </w:r>
      <w:r w:rsidR="00E41EF0">
        <w:t>Changing this would reduce our ability to</w:t>
      </w:r>
      <w:r w:rsidRPr="00732DF8">
        <w:t xml:space="preserve"> tailor engagement</w:t>
      </w:r>
      <w:r w:rsidR="00E41EF0">
        <w:t xml:space="preserve"> approaches to meet the needs of individual projects and specific stakeholders</w:t>
      </w:r>
      <w:r w:rsidR="00F60EF3">
        <w:t>,</w:t>
      </w:r>
      <w:r w:rsidR="00F60EF3" w:rsidRPr="00F60EF3">
        <w:t xml:space="preserve"> which we regard as important given the range of work we undertake</w:t>
      </w:r>
      <w:r w:rsidRPr="00732DF8">
        <w:t xml:space="preserve">. </w:t>
      </w:r>
    </w:p>
    <w:p w:rsidR="00F443EE" w:rsidRPr="00732DF8" w:rsidRDefault="00F443EE" w:rsidP="00F443EE">
      <w:r w:rsidRPr="00732DF8">
        <w:t xml:space="preserve">We recognise that more </w:t>
      </w:r>
      <w:r w:rsidR="00E41EF0">
        <w:t>detail</w:t>
      </w:r>
      <w:r w:rsidR="00E41EF0" w:rsidRPr="00732DF8">
        <w:t xml:space="preserve"> </w:t>
      </w:r>
      <w:r w:rsidRPr="00732DF8">
        <w:t xml:space="preserve">will be appropriate when we are </w:t>
      </w:r>
      <w:r w:rsidR="00E41EF0">
        <w:t xml:space="preserve">setting our proposed approach </w:t>
      </w:r>
      <w:r w:rsidR="00312D76">
        <w:t xml:space="preserve">to </w:t>
      </w:r>
      <w:r w:rsidR="00E41EF0">
        <w:t>engagement for each new piece of work</w:t>
      </w:r>
      <w:r w:rsidR="006C467D">
        <w:t>.</w:t>
      </w:r>
      <w:r w:rsidR="00E41EF0">
        <w:t xml:space="preserve"> </w:t>
      </w:r>
    </w:p>
    <w:p w:rsidR="00F443EE" w:rsidRPr="00732DF8" w:rsidRDefault="00F443EE" w:rsidP="00033F08">
      <w:pPr>
        <w:pStyle w:val="Heading2"/>
      </w:pPr>
      <w:bookmarkStart w:id="14" w:name="_Toc486235322"/>
      <w:r w:rsidRPr="00732DF8">
        <w:t>Our engagement approaches and objectives</w:t>
      </w:r>
      <w:bookmarkEnd w:id="14"/>
      <w:r w:rsidRPr="00732DF8">
        <w:t xml:space="preserve"> </w:t>
      </w:r>
    </w:p>
    <w:p w:rsidR="00F443EE" w:rsidRDefault="00F443EE" w:rsidP="00F443EE">
      <w:r w:rsidRPr="00F443EE">
        <w:t xml:space="preserve">The </w:t>
      </w:r>
      <w:r>
        <w:t xml:space="preserve">current </w:t>
      </w:r>
      <w:r w:rsidRPr="00F443EE">
        <w:t>Framework uses a Stakeholder Engagement Spectrum based on the International Association for Public Participation's (IAP2) public participation spectrum (www.iap2.org.au) to indicate the different levels of engagement we may use. This spectrum has five levels</w:t>
      </w:r>
      <w:r w:rsidR="00AE0B75">
        <w:t>:</w:t>
      </w:r>
      <w:r w:rsidRPr="00F443EE">
        <w:t xml:space="preserve"> ‘Inform’, ‘Consult</w:t>
      </w:r>
      <w:r w:rsidR="00134E13">
        <w:t>'</w:t>
      </w:r>
      <w:r w:rsidRPr="00F443EE">
        <w:t xml:space="preserve">, ‘Involve’, </w:t>
      </w:r>
      <w:r w:rsidR="006C467D">
        <w:t>'</w:t>
      </w:r>
      <w:r w:rsidRPr="00F443EE">
        <w:t xml:space="preserve">Collaborate’ and </w:t>
      </w:r>
      <w:r w:rsidR="006C467D">
        <w:t>'</w:t>
      </w:r>
      <w:r w:rsidRPr="00F443EE">
        <w:t>Empower’.</w:t>
      </w:r>
    </w:p>
    <w:p w:rsidR="00F443EE" w:rsidRPr="00732DF8" w:rsidRDefault="00F443EE" w:rsidP="00F443EE">
      <w:r w:rsidRPr="00732DF8">
        <w:t>Stakeholders generally supported the use of the IAP2 spectrum as a basis to exp</w:t>
      </w:r>
      <w:r w:rsidR="00CE2B02">
        <w:t>lain and guide our engagement. B</w:t>
      </w:r>
      <w:r w:rsidRPr="00732DF8">
        <w:t xml:space="preserve">ut some raised questions </w:t>
      </w:r>
      <w:r w:rsidR="006C467D">
        <w:t>about the relevance of</w:t>
      </w:r>
      <w:r w:rsidRPr="00732DF8">
        <w:t xml:space="preserve"> the 'Collaborate' and 'Empower' levels given that we often operate within a </w:t>
      </w:r>
      <w:r w:rsidR="00CE2B02">
        <w:t xml:space="preserve">relatively </w:t>
      </w:r>
      <w:r w:rsidRPr="00732DF8">
        <w:t xml:space="preserve">rigid regulatory framework which does not allow us to share or delegate decision-making. </w:t>
      </w:r>
      <w:r w:rsidRPr="00732DF8" w:rsidDel="00642BE9">
        <w:t xml:space="preserve"> </w:t>
      </w:r>
    </w:p>
    <w:p w:rsidR="00F443EE" w:rsidRPr="00732DF8" w:rsidRDefault="00F443EE" w:rsidP="00F443EE">
      <w:r w:rsidRPr="00732DF8">
        <w:t>The current Framework notes that</w:t>
      </w:r>
      <w:r w:rsidR="00CE2B02">
        <w:t>,</w:t>
      </w:r>
      <w:r w:rsidRPr="00732DF8">
        <w:t xml:space="preserve"> given the nature of ou</w:t>
      </w:r>
      <w:r w:rsidR="00CE2B02">
        <w:t>r role as a regulatory decision-</w:t>
      </w:r>
      <w:r w:rsidRPr="00732DF8">
        <w:t>maker, we expect</w:t>
      </w:r>
      <w:r w:rsidR="0008264C">
        <w:t>ed</w:t>
      </w:r>
      <w:r w:rsidRPr="00732DF8">
        <w:t xml:space="preserve"> the majority of our engagement to occur at the 'Inform', 'Consult' and 'Involve'</w:t>
      </w:r>
      <w:r w:rsidR="0008264C">
        <w:t xml:space="preserve"> levels</w:t>
      </w:r>
      <w:r w:rsidRPr="00732DF8">
        <w:t xml:space="preserve">. </w:t>
      </w:r>
      <w:r w:rsidR="002003EA">
        <w:t>W</w:t>
      </w:r>
      <w:r w:rsidRPr="00732DF8">
        <w:t xml:space="preserve">e included 'Collaborate' </w:t>
      </w:r>
      <w:r w:rsidR="002003EA">
        <w:t>and</w:t>
      </w:r>
      <w:r w:rsidR="002003EA" w:rsidRPr="00732DF8">
        <w:t xml:space="preserve"> </w:t>
      </w:r>
      <w:r w:rsidRPr="00732DF8">
        <w:t xml:space="preserve">'Empower' because </w:t>
      </w:r>
      <w:r w:rsidR="00CE2B02">
        <w:t xml:space="preserve">we felt </w:t>
      </w:r>
      <w:r w:rsidRPr="00732DF8">
        <w:t xml:space="preserve">there </w:t>
      </w:r>
      <w:r w:rsidR="002003EA">
        <w:t>might conceivably</w:t>
      </w:r>
      <w:r w:rsidR="002003EA" w:rsidRPr="00732DF8">
        <w:t xml:space="preserve"> </w:t>
      </w:r>
      <w:r w:rsidRPr="00732DF8">
        <w:t xml:space="preserve">be some </w:t>
      </w:r>
      <w:r w:rsidR="00AF758E">
        <w:t>limited</w:t>
      </w:r>
      <w:r w:rsidR="00AF758E" w:rsidRPr="00732DF8">
        <w:t xml:space="preserve"> </w:t>
      </w:r>
      <w:r w:rsidRPr="00732DF8">
        <w:t xml:space="preserve">occasions when engaging at these levels </w:t>
      </w:r>
      <w:r w:rsidR="002003EA">
        <w:t>would</w:t>
      </w:r>
      <w:r w:rsidR="002003EA" w:rsidRPr="00732DF8">
        <w:t xml:space="preserve"> </w:t>
      </w:r>
      <w:r w:rsidRPr="00732DF8">
        <w:t>help us achieve our objectives</w:t>
      </w:r>
      <w:r w:rsidR="00F51FE7">
        <w:t>. But stakeholders have queried whether these levels are in fact likely to be relevant to us, while noting the potential for confusion given that the definition of these terms in the framework is quite different from their</w:t>
      </w:r>
      <w:r w:rsidR="00DB7824">
        <w:t xml:space="preserve"> </w:t>
      </w:r>
      <w:r w:rsidR="004C1362">
        <w:t>common usage in the context of regulated markets.</w:t>
      </w:r>
      <w:r w:rsidR="007C353D">
        <w:t xml:space="preserve"> For example, we aim to 'empower' consumers to make effective energy choices, but we are generally not able to hand over our regulatory decision-making role, which is the definition of 'empower' in the spectrum.</w:t>
      </w:r>
    </w:p>
    <w:p w:rsidR="00F443EE" w:rsidRPr="00732DF8" w:rsidRDefault="007C353D" w:rsidP="00F443EE">
      <w:r>
        <w:t>Like stakeholders, we value much of the current spectrum and we</w:t>
      </w:r>
      <w:r w:rsidR="00F443EE" w:rsidRPr="00732DF8">
        <w:t xml:space="preserve"> </w:t>
      </w:r>
      <w:r>
        <w:t xml:space="preserve">also </w:t>
      </w:r>
      <w:r w:rsidR="002003EA">
        <w:t>want</w:t>
      </w:r>
      <w:r w:rsidR="00F443EE" w:rsidRPr="00732DF8">
        <w:t xml:space="preserve"> </w:t>
      </w:r>
      <w:r w:rsidR="00AF758E">
        <w:t xml:space="preserve">to </w:t>
      </w:r>
      <w:r w:rsidR="00F443EE" w:rsidRPr="00732DF8">
        <w:t xml:space="preserve">be clear about </w:t>
      </w:r>
      <w:r w:rsidR="00F51FE7">
        <w:t xml:space="preserve">the potential </w:t>
      </w:r>
      <w:r w:rsidR="006E729D">
        <w:t xml:space="preserve">engagement </w:t>
      </w:r>
      <w:r w:rsidR="00F51FE7">
        <w:t>options open to us</w:t>
      </w:r>
      <w:r w:rsidR="006E729D">
        <w:t xml:space="preserve"> for most of our work. </w:t>
      </w:r>
      <w:r>
        <w:t>We have therefore reworked the spectrum</w:t>
      </w:r>
      <w:r w:rsidR="00CE2B02">
        <w:t xml:space="preserve"> used in the current Framework</w:t>
      </w:r>
      <w:r>
        <w:t xml:space="preserve">, retaining the most important and relevant content, and </w:t>
      </w:r>
      <w:r w:rsidR="00CE2B02">
        <w:t xml:space="preserve">we </w:t>
      </w:r>
      <w:r>
        <w:t>propose</w:t>
      </w:r>
      <w:r w:rsidR="00F443EE" w:rsidRPr="00732DF8">
        <w:t xml:space="preserve"> descriptions of four approaches to engagement we may use depending on our role and responsibilities, the issue or decision being considered and what we are trying to achieve. These approaches are to:</w:t>
      </w:r>
    </w:p>
    <w:p w:rsidR="00F443EE" w:rsidRPr="00732DF8" w:rsidRDefault="00F443EE" w:rsidP="00F443EE">
      <w:pPr>
        <w:pStyle w:val="Bulletpoint"/>
      </w:pPr>
      <w:r w:rsidRPr="00732DF8">
        <w:t xml:space="preserve">provide information to build understanding and keep stakeholders informed </w:t>
      </w:r>
    </w:p>
    <w:p w:rsidR="00F443EE" w:rsidRPr="00732DF8" w:rsidRDefault="00F443EE" w:rsidP="00F443EE">
      <w:pPr>
        <w:pStyle w:val="Bulletpoint"/>
      </w:pPr>
      <w:r w:rsidRPr="00732DF8">
        <w:t>seek stakeholder views and provide feedback on how stakeholder input informed our decision</w:t>
      </w:r>
    </w:p>
    <w:p w:rsidR="00F443EE" w:rsidRPr="00732DF8" w:rsidRDefault="00F443EE" w:rsidP="00F443EE">
      <w:pPr>
        <w:pStyle w:val="Bulletpoint"/>
      </w:pPr>
      <w:r w:rsidRPr="00732DF8">
        <w:t>work with stakeholders to reflect their views in the options, solutions and approaches developed and provide feedback on how this influenced our decision</w:t>
      </w:r>
    </w:p>
    <w:p w:rsidR="00F443EE" w:rsidRPr="00732DF8" w:rsidRDefault="00F443EE" w:rsidP="00F443EE">
      <w:pPr>
        <w:pStyle w:val="Bulletpoint"/>
      </w:pPr>
      <w:r w:rsidRPr="00732DF8">
        <w:t>partner with stakeholders for advice and innovation in developing solutions and recommendations and incorporate this into the decision.</w:t>
      </w:r>
    </w:p>
    <w:p w:rsidR="00F443EE" w:rsidRPr="00732DF8" w:rsidRDefault="00F443EE" w:rsidP="00F443EE">
      <w:r w:rsidRPr="00732DF8">
        <w:t xml:space="preserve">We have also retained and refined the examples </w:t>
      </w:r>
      <w:r w:rsidR="009A686C">
        <w:t>showing</w:t>
      </w:r>
      <w:r w:rsidRPr="00732DF8">
        <w:t xml:space="preserve"> different methods of engagement that may accompany each approach.</w:t>
      </w:r>
      <w:r w:rsidR="007C353D">
        <w:t xml:space="preserve"> We would welcome views on whether this new model retains the best of the </w:t>
      </w:r>
      <w:r w:rsidR="00CE2B02">
        <w:t xml:space="preserve">current </w:t>
      </w:r>
      <w:r w:rsidR="007C353D">
        <w:t xml:space="preserve">spectrum while more closely </w:t>
      </w:r>
      <w:r w:rsidR="00812F4E">
        <w:t>reflecting</w:t>
      </w:r>
      <w:r w:rsidR="007C353D">
        <w:t xml:space="preserve"> our role. </w:t>
      </w:r>
    </w:p>
    <w:p w:rsidR="009F3513" w:rsidRDefault="009F3513" w:rsidP="00033F08"/>
    <w:p w:rsidR="00F443EE" w:rsidRDefault="00F443EE" w:rsidP="008515AF"/>
    <w:p w:rsidR="004B78C9" w:rsidRDefault="004B78C9" w:rsidP="004B78C9">
      <w:pPr>
        <w:pStyle w:val="Heading1"/>
      </w:pPr>
      <w:bookmarkStart w:id="15" w:name="_Toc480553631"/>
      <w:bookmarkStart w:id="16" w:name="_Toc480553649"/>
      <w:bookmarkStart w:id="17" w:name="_Toc480553654"/>
      <w:bookmarkStart w:id="18" w:name="_Toc480553673"/>
      <w:bookmarkStart w:id="19" w:name="_Toc480553675"/>
      <w:bookmarkStart w:id="20" w:name="_Toc480553676"/>
      <w:bookmarkStart w:id="21" w:name="_Toc480553677"/>
      <w:bookmarkStart w:id="22" w:name="_Toc480553678"/>
      <w:bookmarkStart w:id="23" w:name="_Toc480553679"/>
      <w:bookmarkStart w:id="24" w:name="_Toc480553680"/>
      <w:bookmarkStart w:id="25" w:name="_Toc480553682"/>
      <w:bookmarkStart w:id="26" w:name="_Toc480553687"/>
      <w:bookmarkStart w:id="27" w:name="_Toc480553688"/>
      <w:bookmarkStart w:id="28" w:name="_Toc480553689"/>
      <w:bookmarkStart w:id="29" w:name="_Toc480553690"/>
      <w:bookmarkStart w:id="30" w:name="_Toc480553691"/>
      <w:bookmarkStart w:id="31" w:name="_Toc480553692"/>
      <w:bookmarkStart w:id="32" w:name="_Toc480553693"/>
      <w:bookmarkStart w:id="33" w:name="_Toc480553698"/>
      <w:bookmarkStart w:id="34" w:name="_Toc480553700"/>
      <w:bookmarkStart w:id="35" w:name="_Toc480553702"/>
      <w:bookmarkStart w:id="36" w:name="_Toc480553704"/>
      <w:bookmarkStart w:id="37" w:name="_Toc480553706"/>
      <w:bookmarkStart w:id="38" w:name="_Toc480553707"/>
      <w:bookmarkStart w:id="39" w:name="_Toc480553708"/>
      <w:bookmarkStart w:id="40" w:name="_Toc480553709"/>
      <w:bookmarkStart w:id="41" w:name="_Toc480553710"/>
      <w:bookmarkStart w:id="42" w:name="_Toc480553714"/>
      <w:bookmarkStart w:id="43" w:name="_Toc480553719"/>
      <w:bookmarkStart w:id="44" w:name="_Toc480553720"/>
      <w:bookmarkStart w:id="45" w:name="_Toc480553723"/>
      <w:bookmarkStart w:id="46" w:name="_Toc480553726"/>
      <w:bookmarkStart w:id="47" w:name="_Toc480553728"/>
      <w:bookmarkStart w:id="48" w:name="_Toc480553729"/>
      <w:bookmarkStart w:id="49" w:name="_Toc480553731"/>
      <w:bookmarkStart w:id="50" w:name="_Toc480553732"/>
      <w:bookmarkStart w:id="51" w:name="_Toc480553733"/>
      <w:bookmarkStart w:id="52" w:name="_Toc480553738"/>
      <w:bookmarkStart w:id="53" w:name="_Toc480553740"/>
      <w:bookmarkStart w:id="54" w:name="_Toc480553741"/>
      <w:bookmarkStart w:id="55" w:name="_Toc480553743"/>
      <w:bookmarkStart w:id="56" w:name="_Toc480553749"/>
      <w:bookmarkStart w:id="57" w:name="_Toc480553750"/>
      <w:bookmarkStart w:id="58" w:name="_Toc480553754"/>
      <w:bookmarkStart w:id="59" w:name="_Toc480364356"/>
      <w:bookmarkStart w:id="60" w:name="_Toc480553755"/>
      <w:bookmarkStart w:id="61" w:name="_Toc48623532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B78C9">
        <w:t xml:space="preserve">How </w:t>
      </w:r>
      <w:r w:rsidR="005C148B">
        <w:t xml:space="preserve">we will use </w:t>
      </w:r>
      <w:r w:rsidRPr="004B78C9">
        <w:t xml:space="preserve">feedback from stakeholders </w:t>
      </w:r>
      <w:r w:rsidR="005C148B">
        <w:t xml:space="preserve">to </w:t>
      </w:r>
      <w:r w:rsidRPr="004B78C9">
        <w:t>improve the effectiveness of our engagement</w:t>
      </w:r>
      <w:bookmarkEnd w:id="61"/>
    </w:p>
    <w:p w:rsidR="008236F5" w:rsidRPr="00BC0CF8" w:rsidRDefault="00860824" w:rsidP="001C789C">
      <w:r>
        <w:t>As well as developing a shorter and sharper Framework,</w:t>
      </w:r>
      <w:r w:rsidR="008236F5" w:rsidRPr="008236F5">
        <w:t xml:space="preserve"> we are proposing some changes to the way we apply </w:t>
      </w:r>
      <w:r>
        <w:t>it, drawing on</w:t>
      </w:r>
      <w:r w:rsidR="00AB56DA">
        <w:t xml:space="preserve"> </w:t>
      </w:r>
      <w:r w:rsidRPr="008236F5">
        <w:t>stakeholder feedback</w:t>
      </w:r>
      <w:r w:rsidR="00AB56DA">
        <w:t>.</w:t>
      </w:r>
      <w:r w:rsidR="008236F5" w:rsidRPr="008236F5">
        <w:t xml:space="preserve"> These changes</w:t>
      </w:r>
      <w:r>
        <w:t>, which should</w:t>
      </w:r>
      <w:r w:rsidR="008236F5" w:rsidRPr="008236F5">
        <w:t xml:space="preserve"> </w:t>
      </w:r>
      <w:r w:rsidRPr="008236F5">
        <w:t>help improve the effectiveness of our engagement</w:t>
      </w:r>
      <w:r>
        <w:t>,</w:t>
      </w:r>
      <w:r w:rsidRPr="008236F5">
        <w:t xml:space="preserve"> </w:t>
      </w:r>
      <w:r w:rsidR="008236F5" w:rsidRPr="008236F5">
        <w:t>are discussed below.</w:t>
      </w:r>
    </w:p>
    <w:p w:rsidR="002451ED" w:rsidRPr="00BC0CF8" w:rsidRDefault="002451ED" w:rsidP="001C789C">
      <w:pPr>
        <w:pStyle w:val="Heading2"/>
      </w:pPr>
      <w:bookmarkStart w:id="62" w:name="_Toc486235324"/>
      <w:r w:rsidRPr="00BC0CF8">
        <w:t>Principle 1 - Communicating in a clear, accurate and timely way</w:t>
      </w:r>
      <w:bookmarkEnd w:id="62"/>
    </w:p>
    <w:p w:rsidR="002451ED" w:rsidRPr="002451ED" w:rsidRDefault="002451ED" w:rsidP="002451ED">
      <w:r>
        <w:t>Stakeholders</w:t>
      </w:r>
      <w:r w:rsidR="00AF758E">
        <w:t>'</w:t>
      </w:r>
      <w:r w:rsidRPr="002451ED">
        <w:t xml:space="preserve"> suggestions for how we might communicate in a clear, accurate and timely way included more use of plain language</w:t>
      </w:r>
      <w:r w:rsidR="00AF758E">
        <w:t>,</w:t>
      </w:r>
      <w:r w:rsidRPr="002451ED">
        <w:t xml:space="preserve"> providing realistic times for input</w:t>
      </w:r>
      <w:r w:rsidR="00134E13">
        <w:t>,</w:t>
      </w:r>
      <w:r w:rsidRPr="002451ED">
        <w:t xml:space="preserve"> and engaging throughout the whole consultation lifecycle. </w:t>
      </w:r>
    </w:p>
    <w:p w:rsidR="002451ED" w:rsidRPr="002451ED" w:rsidRDefault="002451ED" w:rsidP="001C789C">
      <w:pPr>
        <w:pStyle w:val="Heading3"/>
      </w:pPr>
      <w:bookmarkStart w:id="63" w:name="_Toc486235325"/>
      <w:r>
        <w:t>Using p</w:t>
      </w:r>
      <w:r w:rsidRPr="002451ED">
        <w:t>lain language</w:t>
      </w:r>
      <w:bookmarkEnd w:id="63"/>
    </w:p>
    <w:p w:rsidR="002451ED" w:rsidRDefault="002451ED" w:rsidP="002451ED">
      <w:r>
        <w:t>S</w:t>
      </w:r>
      <w:r w:rsidRPr="00FC4255">
        <w:t xml:space="preserve">takeholders </w:t>
      </w:r>
      <w:r>
        <w:t xml:space="preserve">commented that we </w:t>
      </w:r>
      <w:r w:rsidRPr="00FC4255">
        <w:t>could be clearer about what issues or areas could be influenced through consultation and engagement processes and what could not.</w:t>
      </w:r>
      <w:r w:rsidRPr="00734CAA">
        <w:t xml:space="preserve"> </w:t>
      </w:r>
      <w:r>
        <w:t>In support of this</w:t>
      </w:r>
      <w:r w:rsidR="00357EF2">
        <w:t>,</w:t>
      </w:r>
      <w:r>
        <w:t xml:space="preserve"> it was suggested the </w:t>
      </w:r>
      <w:r w:rsidRPr="00734CAA">
        <w:t xml:space="preserve">AER </w:t>
      </w:r>
      <w:r>
        <w:t xml:space="preserve">could provide </w:t>
      </w:r>
      <w:r w:rsidRPr="00734CAA">
        <w:t>a greater sense of the importance of each issue</w:t>
      </w:r>
      <w:r w:rsidR="00357EF2">
        <w:t>,</w:t>
      </w:r>
      <w:r w:rsidRPr="00734CAA">
        <w:t xml:space="preserve"> to help stakeholders make an informed decision about whether to lodge a submission and how to best add value.</w:t>
      </w:r>
    </w:p>
    <w:p w:rsidR="002451ED" w:rsidRDefault="00134E13" w:rsidP="002451ED">
      <w:r>
        <w:t xml:space="preserve">This </w:t>
      </w:r>
      <w:r w:rsidR="002451ED" w:rsidRPr="00071983">
        <w:t xml:space="preserve">may be of most concern to stakeholders participating in network reset processes. While we are always open to hearing stakeholders’ views, there </w:t>
      </w:r>
      <w:r w:rsidR="002451ED">
        <w:t xml:space="preserve">are </w:t>
      </w:r>
      <w:r w:rsidR="00860824">
        <w:t xml:space="preserve">sometimes formal restrictions </w:t>
      </w:r>
      <w:r w:rsidR="002451ED">
        <w:t xml:space="preserve">on </w:t>
      </w:r>
      <w:r w:rsidR="002451ED" w:rsidRPr="00071983">
        <w:t xml:space="preserve">when </w:t>
      </w:r>
      <w:r w:rsidR="00AF758E">
        <w:t xml:space="preserve">we </w:t>
      </w:r>
      <w:r w:rsidR="00860824">
        <w:t xml:space="preserve">are able to </w:t>
      </w:r>
      <w:r w:rsidR="002451ED" w:rsidRPr="00071983">
        <w:t>take them into account in our</w:t>
      </w:r>
      <w:r w:rsidR="002451ED" w:rsidRPr="00734CAA">
        <w:t xml:space="preserve"> decision-making</w:t>
      </w:r>
      <w:r w:rsidR="002451ED" w:rsidRPr="00071983">
        <w:t xml:space="preserve">. For example, stakeholders </w:t>
      </w:r>
      <w:r w:rsidR="002451ED" w:rsidRPr="00734CAA">
        <w:t xml:space="preserve">have the ability to influence </w:t>
      </w:r>
      <w:r w:rsidR="002451ED" w:rsidRPr="00071983">
        <w:t xml:space="preserve">our decisions regarding control mechanisms </w:t>
      </w:r>
      <w:r w:rsidR="00AF758E">
        <w:t xml:space="preserve">(e.g. revenue cap or price cap) </w:t>
      </w:r>
      <w:r w:rsidR="002451ED" w:rsidRPr="00071983">
        <w:t>when we are developing our Framework and Approach for an electricity network revenue determination</w:t>
      </w:r>
      <w:r w:rsidR="004A68D9">
        <w:t>. Once</w:t>
      </w:r>
      <w:r w:rsidR="002451ED" w:rsidRPr="00734CAA">
        <w:t xml:space="preserve"> that Framework and Approach </w:t>
      </w:r>
      <w:r w:rsidR="00AF758E">
        <w:t>is finalised</w:t>
      </w:r>
      <w:r w:rsidR="002451ED" w:rsidRPr="00734CAA">
        <w:t xml:space="preserve">, </w:t>
      </w:r>
      <w:r w:rsidR="00AF758E">
        <w:t xml:space="preserve">our decision on the control mechanism is </w:t>
      </w:r>
      <w:r w:rsidR="002451ED" w:rsidRPr="00734CAA">
        <w:t xml:space="preserve">binding and </w:t>
      </w:r>
      <w:r w:rsidR="002451ED" w:rsidRPr="00071983">
        <w:t xml:space="preserve">we </w:t>
      </w:r>
      <w:r w:rsidR="002451ED">
        <w:t xml:space="preserve">are </w:t>
      </w:r>
      <w:r w:rsidR="002451ED" w:rsidRPr="00734CAA">
        <w:t>no</w:t>
      </w:r>
      <w:r w:rsidR="00AF758E">
        <w:t>t</w:t>
      </w:r>
      <w:r w:rsidR="002451ED" w:rsidRPr="00734CAA">
        <w:t xml:space="preserve"> </w:t>
      </w:r>
      <w:r w:rsidR="00860824">
        <w:t xml:space="preserve">permitted </w:t>
      </w:r>
      <w:r w:rsidR="00AF758E">
        <w:t xml:space="preserve">to change </w:t>
      </w:r>
      <w:r w:rsidR="00AD020D">
        <w:t xml:space="preserve">it </w:t>
      </w:r>
      <w:r w:rsidR="00AF758E">
        <w:t>through the determination process</w:t>
      </w:r>
      <w:r w:rsidR="002451ED">
        <w:t>.</w:t>
      </w:r>
      <w:r w:rsidR="002451ED" w:rsidRPr="00E94203">
        <w:t xml:space="preserve"> The </w:t>
      </w:r>
      <w:r w:rsidR="00BF1A2B">
        <w:t xml:space="preserve">rules </w:t>
      </w:r>
      <w:r w:rsidR="002451ED" w:rsidRPr="00E94203">
        <w:t>also prescribe how we must calculate certain factors or inputs in our network revenue determinations</w:t>
      </w:r>
      <w:r w:rsidR="00357EF2">
        <w:t>,</w:t>
      </w:r>
      <w:r w:rsidR="002451ED" w:rsidRPr="00E94203">
        <w:t xml:space="preserve"> such as aspects of the rate of return, and stakeholder input </w:t>
      </w:r>
      <w:r w:rsidR="00AF758E">
        <w:t xml:space="preserve">on these issues will not </w:t>
      </w:r>
      <w:r w:rsidR="00860824">
        <w:t>have any impact on individual decisions</w:t>
      </w:r>
      <w:r w:rsidR="002451ED">
        <w:t>.</w:t>
      </w:r>
    </w:p>
    <w:p w:rsidR="00AD020D" w:rsidRDefault="00CC659B" w:rsidP="002451ED">
      <w:r>
        <w:t xml:space="preserve">We agree with stakeholders that we </w:t>
      </w:r>
      <w:r w:rsidR="00973812">
        <w:t xml:space="preserve">can provide more </w:t>
      </w:r>
      <w:r w:rsidR="00AD020D">
        <w:t>clarity</w:t>
      </w:r>
      <w:r w:rsidR="00973812">
        <w:t xml:space="preserve"> </w:t>
      </w:r>
      <w:r>
        <w:t xml:space="preserve">about </w:t>
      </w:r>
      <w:r w:rsidR="00860824">
        <w:t xml:space="preserve">which </w:t>
      </w:r>
      <w:r>
        <w:t xml:space="preserve">areas of our network reset processes are able to be influenced </w:t>
      </w:r>
      <w:r w:rsidR="002C4C3E">
        <w:t xml:space="preserve">through </w:t>
      </w:r>
      <w:r>
        <w:t>consultation</w:t>
      </w:r>
      <w:r w:rsidR="00AD020D">
        <w:t>.</w:t>
      </w:r>
      <w:r>
        <w:t xml:space="preserve"> </w:t>
      </w:r>
      <w:r w:rsidR="00BF1A2B" w:rsidRPr="00BF1A2B">
        <w:t xml:space="preserve">To facilitate this, we will be including more information in the early stages of </w:t>
      </w:r>
      <w:r w:rsidR="002C4C3E">
        <w:t>each relevant</w:t>
      </w:r>
      <w:r w:rsidR="002C4C3E" w:rsidRPr="00BF1A2B">
        <w:t xml:space="preserve"> </w:t>
      </w:r>
      <w:r w:rsidR="00BF1A2B" w:rsidRPr="00BF1A2B">
        <w:t>consultation</w:t>
      </w:r>
      <w:r w:rsidR="002C4C3E">
        <w:t>. F</w:t>
      </w:r>
      <w:r w:rsidR="00BF1A2B" w:rsidRPr="00BF1A2B">
        <w:t>or example</w:t>
      </w:r>
      <w:r w:rsidR="00357EF2">
        <w:t>,</w:t>
      </w:r>
      <w:r w:rsidR="00BF1A2B" w:rsidRPr="00BF1A2B">
        <w:t xml:space="preserve"> our issues papers </w:t>
      </w:r>
      <w:r w:rsidR="002C4C3E">
        <w:t>will</w:t>
      </w:r>
      <w:r w:rsidR="002C4C3E" w:rsidRPr="00BF1A2B">
        <w:t xml:space="preserve"> </w:t>
      </w:r>
      <w:r w:rsidR="00BF1A2B" w:rsidRPr="00BF1A2B">
        <w:t>indicate where submissions would be most useful and where we are particularly looking for stakeholder views to guide our decisions.</w:t>
      </w:r>
    </w:p>
    <w:p w:rsidR="002451ED" w:rsidRDefault="002451ED" w:rsidP="002451ED">
      <w:r>
        <w:t xml:space="preserve">Stakeholders noted </w:t>
      </w:r>
      <w:r w:rsidRPr="00DB240E">
        <w:t>that it is important to invest in communications like fact sheets</w:t>
      </w:r>
      <w:r w:rsidR="004A68D9">
        <w:t xml:space="preserve"> and</w:t>
      </w:r>
      <w:r w:rsidRPr="00DB240E">
        <w:t xml:space="preserve"> plain language overview papers. </w:t>
      </w:r>
      <w:r>
        <w:t xml:space="preserve">We will continue to look for opportunities to expand our suite of plain language communications which already include fact sheets and overviews for our draft and final reset decision documents as well as information about the retail market for residential consumers. </w:t>
      </w:r>
    </w:p>
    <w:p w:rsidR="002451ED" w:rsidRDefault="004A68D9" w:rsidP="002451ED">
      <w:r>
        <w:t>Stakeholders also noted the need to ensure clarity on our website and t</w:t>
      </w:r>
      <w:r w:rsidRPr="00DB240E">
        <w:t>here was also a suggestion that we create a section on our website with links to our ‘top five’ reports</w:t>
      </w:r>
      <w:r>
        <w:t xml:space="preserve">. </w:t>
      </w:r>
      <w:r w:rsidR="002451ED">
        <w:t>We upgraded our website in late 2015 to provide more interactive functionality and a more comprehensive navigation menu and search engine. Feedback from this review, as well as our stakeholder survey</w:t>
      </w:r>
      <w:r w:rsidR="00EF5602">
        <w:t>,</w:t>
      </w:r>
      <w:r w:rsidR="002451ED">
        <w:t xml:space="preserve"> has suggested further opportunities </w:t>
      </w:r>
      <w:r w:rsidR="002C4C3E">
        <w:t xml:space="preserve">for </w:t>
      </w:r>
      <w:r w:rsidR="002451ED">
        <w:t xml:space="preserve">improvement and we will be considering </w:t>
      </w:r>
      <w:r w:rsidR="005F1D83">
        <w:t>more</w:t>
      </w:r>
      <w:r w:rsidR="002451ED">
        <w:t xml:space="preserve"> changes to our website to improve clarity and make it easier to find information.</w:t>
      </w:r>
    </w:p>
    <w:p w:rsidR="002451ED" w:rsidRPr="002451ED" w:rsidRDefault="002451ED" w:rsidP="001C789C">
      <w:pPr>
        <w:pStyle w:val="Heading3"/>
      </w:pPr>
      <w:bookmarkStart w:id="64" w:name="_Toc486235326"/>
      <w:r>
        <w:t>Having c</w:t>
      </w:r>
      <w:r w:rsidRPr="002451ED">
        <w:t>lear and realistic timeframes for input</w:t>
      </w:r>
      <w:bookmarkEnd w:id="64"/>
    </w:p>
    <w:p w:rsidR="002451ED" w:rsidRPr="002451ED" w:rsidRDefault="002C4C3E" w:rsidP="002451ED">
      <w:r>
        <w:t xml:space="preserve">Workloads </w:t>
      </w:r>
      <w:r w:rsidR="002451ED">
        <w:t xml:space="preserve">were a </w:t>
      </w:r>
      <w:r w:rsidR="002451ED" w:rsidRPr="002451ED">
        <w:t xml:space="preserve">concern for many stakeholders, </w:t>
      </w:r>
      <w:r>
        <w:t>with some suggesting</w:t>
      </w:r>
      <w:r w:rsidRPr="002451ED">
        <w:t xml:space="preserve"> that better planning could ensure that stakeholders were aware of the timing for consultations, particularly when timeframes are </w:t>
      </w:r>
      <w:r>
        <w:t xml:space="preserve">necessarily </w:t>
      </w:r>
      <w:r w:rsidRPr="002451ED">
        <w:t>tight</w:t>
      </w:r>
      <w:r>
        <w:t>. Others said that</w:t>
      </w:r>
      <w:r w:rsidRPr="002451ED">
        <w:t xml:space="preserve"> </w:t>
      </w:r>
      <w:r w:rsidR="002451ED" w:rsidRPr="002451ED">
        <w:t xml:space="preserve">longer timeframes for providing submissions would </w:t>
      </w:r>
      <w:r>
        <w:t>not tackle the underlying problem that</w:t>
      </w:r>
      <w:r w:rsidR="002451ED" w:rsidRPr="002451ED">
        <w:t xml:space="preserve"> many stakeholders have multiple and competing requests for their input.</w:t>
      </w:r>
    </w:p>
    <w:p w:rsidR="002451ED" w:rsidRDefault="002451ED" w:rsidP="002451ED">
      <w:r w:rsidRPr="00077E6D">
        <w:t>I</w:t>
      </w:r>
      <w:r>
        <w:t xml:space="preserve">n our proposed draft Framework </w:t>
      </w:r>
      <w:r w:rsidRPr="00077E6D">
        <w:t xml:space="preserve">we </w:t>
      </w:r>
      <w:r>
        <w:t xml:space="preserve">are committing </w:t>
      </w:r>
      <w:r w:rsidRPr="00077E6D">
        <w:t>to allowing at least 4 weeks for stak</w:t>
      </w:r>
      <w:r>
        <w:t>eholders to provide submissions when</w:t>
      </w:r>
      <w:r w:rsidR="002C4C3E">
        <w:t>ever</w:t>
      </w:r>
      <w:r>
        <w:t xml:space="preserve"> possible. </w:t>
      </w:r>
      <w:r w:rsidR="002C4C3E">
        <w:t>S</w:t>
      </w:r>
      <w:r w:rsidRPr="00DA64AA">
        <w:t>tatutory timeframes</w:t>
      </w:r>
      <w:r w:rsidR="002C4C3E">
        <w:t xml:space="preserve"> </w:t>
      </w:r>
      <w:r w:rsidRPr="00DA64AA">
        <w:t xml:space="preserve">may </w:t>
      </w:r>
      <w:r w:rsidR="002C4C3E">
        <w:t xml:space="preserve">mean we are </w:t>
      </w:r>
      <w:r>
        <w:t xml:space="preserve">not always </w:t>
      </w:r>
      <w:r w:rsidRPr="00DA64AA">
        <w:t xml:space="preserve">able to offer </w:t>
      </w:r>
      <w:r>
        <w:t>this much time</w:t>
      </w:r>
      <w:r w:rsidR="002C4C3E">
        <w:t>, but we will do our best, and we</w:t>
      </w:r>
      <w:r>
        <w:t xml:space="preserve"> will provide </w:t>
      </w:r>
      <w:r w:rsidR="002C4C3E">
        <w:t xml:space="preserve">even longer consultation periods </w:t>
      </w:r>
      <w:r>
        <w:t>when we can.</w:t>
      </w:r>
    </w:p>
    <w:p w:rsidR="002451ED" w:rsidRDefault="002451ED" w:rsidP="002451ED">
      <w:r w:rsidRPr="008D3C51">
        <w:t xml:space="preserve">We agree there is more we can do to help make stakeholders aware of the timing for consultations across all our processes. Currently open projects are listed on the home page of our website, with icons to indicate which ones are accepting submissions and have upcoming forums. We also publish a </w:t>
      </w:r>
      <w:hyperlink r:id="rId37" w:history="1">
        <w:r w:rsidRPr="008D3C51">
          <w:rPr>
            <w:rStyle w:val="Hyperlink"/>
          </w:rPr>
          <w:t>7 year regulatory determinations calendar</w:t>
        </w:r>
      </w:hyperlink>
      <w:r w:rsidRPr="008D3C51">
        <w:t xml:space="preserve"> which shows the key milestones and associated dates for each upcoming electricity and gas regulatory reset. We </w:t>
      </w:r>
      <w:r>
        <w:t xml:space="preserve">plan to </w:t>
      </w:r>
      <w:r w:rsidRPr="008D3C51">
        <w:t xml:space="preserve">have a timetable of the key milestones on each project summary page and to keep this updated. </w:t>
      </w:r>
      <w:r w:rsidR="00134E13">
        <w:t xml:space="preserve">We see value in </w:t>
      </w:r>
      <w:hyperlink r:id="rId38" w:history="1">
        <w:r w:rsidR="00134E13" w:rsidRPr="00134E13">
          <w:rPr>
            <w:rStyle w:val="Hyperlink"/>
          </w:rPr>
          <w:t>Energy Consumers Australia's</w:t>
        </w:r>
        <w:r w:rsidR="00DB1F7E">
          <w:rPr>
            <w:rStyle w:val="Hyperlink"/>
          </w:rPr>
          <w:t xml:space="preserve"> (</w:t>
        </w:r>
        <w:r w:rsidR="005F1D83">
          <w:rPr>
            <w:rStyle w:val="Hyperlink"/>
          </w:rPr>
          <w:t>ECA's</w:t>
        </w:r>
        <w:r w:rsidR="00DB1F7E">
          <w:rPr>
            <w:rStyle w:val="Hyperlink"/>
          </w:rPr>
          <w:t>)</w:t>
        </w:r>
        <w:r w:rsidR="00134E13" w:rsidRPr="00134E13">
          <w:rPr>
            <w:rStyle w:val="Hyperlink"/>
          </w:rPr>
          <w:t xml:space="preserve"> Advocates Calendar</w:t>
        </w:r>
      </w:hyperlink>
      <w:r w:rsidR="00134E13">
        <w:t xml:space="preserve"> as a means of </w:t>
      </w:r>
      <w:r w:rsidR="00833C5C">
        <w:t xml:space="preserve">bringing together information about </w:t>
      </w:r>
      <w:r w:rsidR="00833C5C" w:rsidRPr="00833C5C">
        <w:t>policy reviews, regulatory processes and inquiries</w:t>
      </w:r>
      <w:r w:rsidR="001E5E35">
        <w:t xml:space="preserve"> </w:t>
      </w:r>
      <w:r w:rsidR="00833C5C">
        <w:t xml:space="preserve">and our aim is to provide </w:t>
      </w:r>
      <w:r w:rsidR="002C4C3E">
        <w:t xml:space="preserve">ECA </w:t>
      </w:r>
      <w:r w:rsidR="00833C5C">
        <w:t>with information about our processes on an ongoing basis to assist with populating the calendar.</w:t>
      </w:r>
      <w:r w:rsidR="00134E13">
        <w:t xml:space="preserve"> </w:t>
      </w:r>
      <w:r w:rsidRPr="008D3C51">
        <w:t xml:space="preserve">We have also begun publishing a stakeholder newsletter with information about upcoming consultations planned by us and the </w:t>
      </w:r>
      <w:r w:rsidR="00961043">
        <w:t xml:space="preserve">other </w:t>
      </w:r>
      <w:r w:rsidRPr="008D3C51">
        <w:t>market bodies.</w:t>
      </w:r>
    </w:p>
    <w:p w:rsidR="002451ED" w:rsidRPr="002451ED" w:rsidRDefault="002451ED" w:rsidP="001C789C">
      <w:pPr>
        <w:pStyle w:val="Heading3"/>
      </w:pPr>
      <w:bookmarkStart w:id="65" w:name="_Toc486235327"/>
      <w:r>
        <w:t>Engaging through the whole lifecy</w:t>
      </w:r>
      <w:r w:rsidRPr="002451ED">
        <w:t>cle</w:t>
      </w:r>
      <w:bookmarkEnd w:id="65"/>
    </w:p>
    <w:p w:rsidR="002451ED" w:rsidRPr="002451ED" w:rsidRDefault="002451ED" w:rsidP="002451ED">
      <w:r>
        <w:t>Stakeholders</w:t>
      </w:r>
      <w:r w:rsidR="003A5CDE">
        <w:t xml:space="preserve"> commented that it i</w:t>
      </w:r>
      <w:r w:rsidRPr="002451ED">
        <w:t>s important that the AER engage</w:t>
      </w:r>
      <w:r w:rsidR="003A5CDE">
        <w:t>s</w:t>
      </w:r>
      <w:r w:rsidRPr="002451ED">
        <w:t xml:space="preserve"> through the whole lifecycle of a decision, process or activity, from planning to consultation and closure. They supported approaches, such as for this review, where preliminary stakeholder views are sought prior to the publication of any documentation by</w:t>
      </w:r>
      <w:r w:rsidR="003A5CDE">
        <w:t xml:space="preserve"> the AER. They felt that this i</w:t>
      </w:r>
      <w:r w:rsidRPr="002451ED">
        <w:t>s more likely to focus on key stakeholder concerns, and lead to a more fulsome consideration of relevant issues than might otherwise be achieved</w:t>
      </w:r>
      <w:r w:rsidR="005F1D83">
        <w:t>.</w:t>
      </w:r>
      <w:r w:rsidRPr="002451ED">
        <w:t xml:space="preserve"> </w:t>
      </w:r>
    </w:p>
    <w:p w:rsidR="002451ED" w:rsidRPr="002451ED" w:rsidRDefault="002451ED" w:rsidP="002451ED">
      <w:r w:rsidRPr="008945D5">
        <w:t xml:space="preserve">Many stakeholders also thought </w:t>
      </w:r>
      <w:r w:rsidRPr="002451ED">
        <w:t xml:space="preserve">greater engagement in the planning phase could allow for input into 'designing' the consultation process. They suggested this could avoid duplication of effort (although some raised concerns that it might actually increase timeframes and the amount of consultation), improve the coordination of different consultations to minimise burden, help stakeholders focus on the most important issues, and develop approaches that </w:t>
      </w:r>
      <w:r w:rsidR="00AA5060">
        <w:t>a</w:t>
      </w:r>
      <w:r w:rsidRPr="002451ED">
        <w:t xml:space="preserve">re appropriate and timeframes for responding that </w:t>
      </w:r>
      <w:r w:rsidR="00DB1F7E">
        <w:t>a</w:t>
      </w:r>
      <w:r w:rsidR="00DB1F7E" w:rsidRPr="002451ED">
        <w:t xml:space="preserve">re </w:t>
      </w:r>
      <w:r w:rsidRPr="002451ED">
        <w:t>more realistic.</w:t>
      </w:r>
    </w:p>
    <w:p w:rsidR="002451ED" w:rsidRDefault="002451ED" w:rsidP="002451ED">
      <w:r w:rsidRPr="00160F23">
        <w:t xml:space="preserve">The Framework and Approach stage of our electricity network determinations is an example of a process where we ask for feedback from stakeholders on issues such as our key milestones and how </w:t>
      </w:r>
      <w:r w:rsidR="00AA5060">
        <w:t>people</w:t>
      </w:r>
      <w:r w:rsidR="00AA5060" w:rsidRPr="00160F23">
        <w:t xml:space="preserve"> </w:t>
      </w:r>
      <w:r w:rsidRPr="00160F23">
        <w:t xml:space="preserve">want to hear </w:t>
      </w:r>
      <w:r w:rsidR="004A68D9">
        <w:t xml:space="preserve">from </w:t>
      </w:r>
      <w:r w:rsidRPr="00160F23">
        <w:t>us. We will continue to look for other opportunities where it may be possible to seek early input from stakeholders</w:t>
      </w:r>
      <w:r w:rsidR="00AA5060">
        <w:t>,</w:t>
      </w:r>
      <w:r w:rsidRPr="00160F23">
        <w:t xml:space="preserve"> including on </w:t>
      </w:r>
      <w:r w:rsidR="00EF5602">
        <w:t xml:space="preserve">the design of our </w:t>
      </w:r>
      <w:r w:rsidRPr="00160F23">
        <w:t xml:space="preserve">consultation processes. </w:t>
      </w:r>
      <w:r w:rsidR="00EF5602">
        <w:t>We</w:t>
      </w:r>
      <w:r w:rsidRPr="00160F23">
        <w:t xml:space="preserve"> will </w:t>
      </w:r>
      <w:r w:rsidR="00EF5602">
        <w:t xml:space="preserve">also </w:t>
      </w:r>
      <w:r w:rsidRPr="00160F23">
        <w:t xml:space="preserve">be open </w:t>
      </w:r>
      <w:r w:rsidR="00AA5060">
        <w:t>at any stage</w:t>
      </w:r>
      <w:r w:rsidR="00AA5060" w:rsidRPr="00160F23">
        <w:t xml:space="preserve"> </w:t>
      </w:r>
      <w:r w:rsidRPr="00160F23">
        <w:t xml:space="preserve">to having stakeholders </w:t>
      </w:r>
      <w:r w:rsidR="00AA5060">
        <w:t>identify instances</w:t>
      </w:r>
      <w:r w:rsidRPr="00160F23">
        <w:t xml:space="preserve"> where additional support or capacity building may be required</w:t>
      </w:r>
      <w:r w:rsidR="00EF5602">
        <w:t>, noting that the earlier this can be done, the more successful it is likely to be.</w:t>
      </w:r>
    </w:p>
    <w:p w:rsidR="002451ED" w:rsidRPr="002451ED" w:rsidRDefault="002451ED" w:rsidP="002451ED">
      <w:r w:rsidRPr="000603EC">
        <w:t xml:space="preserve">Some network businesses </w:t>
      </w:r>
      <w:r w:rsidRPr="002451ED">
        <w:t xml:space="preserve">stressed the importance of having continued engagement through the entire process, including </w:t>
      </w:r>
      <w:r w:rsidR="006A2481">
        <w:t xml:space="preserve">at </w:t>
      </w:r>
      <w:r w:rsidRPr="002451ED">
        <w:t xml:space="preserve">the end, to allow </w:t>
      </w:r>
      <w:r w:rsidR="006A2481">
        <w:t>them</w:t>
      </w:r>
      <w:r w:rsidRPr="002451ED">
        <w:t xml:space="preserve"> the opportunity to understand and properly respond to the AER's decisions. One business noted that </w:t>
      </w:r>
      <w:r w:rsidR="002946E7">
        <w:t>it found staff-</w:t>
      </w:r>
      <w:r w:rsidRPr="002451ED">
        <w:t xml:space="preserve">level engagement constructive and suggested </w:t>
      </w:r>
      <w:r w:rsidR="006A2481">
        <w:t>AER</w:t>
      </w:r>
      <w:r w:rsidRPr="002451ED">
        <w:t xml:space="preserve"> senior </w:t>
      </w:r>
      <w:r w:rsidR="006A2481">
        <w:t>managers should encourage more</w:t>
      </w:r>
      <w:r w:rsidRPr="002451ED">
        <w:t xml:space="preserve"> </w:t>
      </w:r>
      <w:r w:rsidR="002946E7">
        <w:t>such</w:t>
      </w:r>
      <w:r w:rsidRPr="002451ED">
        <w:t xml:space="preserve"> meetings. It was also suggested that we make our issues papers more focused and informative</w:t>
      </w:r>
      <w:r w:rsidR="006A2481">
        <w:t>,</w:t>
      </w:r>
      <w:r w:rsidRPr="002451ED">
        <w:t xml:space="preserve"> to set out our reflections on the robustness/comprehensiveness of network service providers’ proposals and identify areas where we are seeking more detailed analysis and evidence or that raise particular concerns. It was felt that this could avoid contentious new issues being raised late in the process when there might be little time or opportunity to provide relevant material that would usefully inform our final decision.</w:t>
      </w:r>
    </w:p>
    <w:p w:rsidR="00A0418C" w:rsidRDefault="002451ED" w:rsidP="002451ED">
      <w:r w:rsidRPr="003A08E4">
        <w:t>We recognise that decisions on businesses' revenue proposals can have a major impact on the way they operate their networks</w:t>
      </w:r>
      <w:r w:rsidR="006A2481">
        <w:t>. Inevitably</w:t>
      </w:r>
      <w:r w:rsidRPr="003A08E4">
        <w:t xml:space="preserve"> we </w:t>
      </w:r>
      <w:r w:rsidR="00564D4F">
        <w:t xml:space="preserve">tend to </w:t>
      </w:r>
      <w:r w:rsidRPr="003A08E4">
        <w:t xml:space="preserve">engage with </w:t>
      </w:r>
      <w:r w:rsidR="00A0418C">
        <w:t xml:space="preserve">individual </w:t>
      </w:r>
      <w:r w:rsidRPr="003A08E4">
        <w:t>network service providers more than any other stakeholders as part of our revenue determinations</w:t>
      </w:r>
      <w:r w:rsidR="006A2481">
        <w:t xml:space="preserve">, so </w:t>
      </w:r>
      <w:r w:rsidR="00564D4F">
        <w:t>we fully</w:t>
      </w:r>
      <w:r w:rsidRPr="003A08E4">
        <w:t xml:space="preserve"> understand their proposals. W</w:t>
      </w:r>
      <w:r w:rsidRPr="002451ED">
        <w:t xml:space="preserve">e offer opportunities for the business to meet with the AER Board to present their initial and revised proposals and draw attention to particular issues. We also use meetings and written information requests to clarify with the business issues that have been raised in submissions. </w:t>
      </w:r>
    </w:p>
    <w:p w:rsidR="00A028EB" w:rsidRDefault="002451ED" w:rsidP="002451ED">
      <w:r w:rsidRPr="002451ED">
        <w:t xml:space="preserve">Towards the end of a regulatory process, we may have fewer meetings and workshops with a network business because we are </w:t>
      </w:r>
      <w:r w:rsidR="006A2481">
        <w:t>focused on</w:t>
      </w:r>
      <w:r w:rsidR="006A2481" w:rsidRPr="002451ED">
        <w:t xml:space="preserve"> </w:t>
      </w:r>
      <w:r w:rsidRPr="002451ED">
        <w:t>drafting our decision documents</w:t>
      </w:r>
      <w:r w:rsidR="004A4E76">
        <w:t xml:space="preserve"> and so w</w:t>
      </w:r>
      <w:r w:rsidR="006A2481">
        <w:t xml:space="preserve">e </w:t>
      </w:r>
      <w:r w:rsidR="00482DFB">
        <w:t>may exercise our discretion not to consider</w:t>
      </w:r>
      <w:r w:rsidRPr="002451ED">
        <w:t xml:space="preserve"> late material after submissions on our draft decisions close. This is to ensure that we have sufficient time to give appropriate consideration to the material that is already before us. It also ensures that our processes are open and transparent and that other stakeholders have had a chance to respond. A</w:t>
      </w:r>
      <w:r w:rsidR="00F45D62">
        <w:t>t</w:t>
      </w:r>
      <w:r w:rsidRPr="002451ED">
        <w:t xml:space="preserve"> the final stage, the network business is briefed on the key points of our decision </w:t>
      </w:r>
      <w:r w:rsidR="00454EA1">
        <w:t xml:space="preserve">the day </w:t>
      </w:r>
      <w:r w:rsidRPr="002451ED">
        <w:t xml:space="preserve">before it is released. </w:t>
      </w:r>
    </w:p>
    <w:p w:rsidR="002451ED" w:rsidRPr="002451ED" w:rsidRDefault="00A028EB" w:rsidP="002451ED">
      <w:r>
        <w:t xml:space="preserve">Information about how we engage with network businesses and other key stakeholders during network resets was published in our </w:t>
      </w:r>
      <w:hyperlink r:id="rId39" w:history="1">
        <w:r w:rsidRPr="008560BE">
          <w:rPr>
            <w:rStyle w:val="Hyperlink"/>
          </w:rPr>
          <w:t>Network revenue determination protocol</w:t>
        </w:r>
      </w:hyperlink>
      <w:r>
        <w:t xml:space="preserve">. </w:t>
      </w:r>
      <w:r w:rsidR="0074100A">
        <w:t xml:space="preserve"> We </w:t>
      </w:r>
      <w:r>
        <w:t xml:space="preserve">are planning to </w:t>
      </w:r>
      <w:r w:rsidR="0074100A">
        <w:t>reconsider how this fits in with the new Framework</w:t>
      </w:r>
    </w:p>
    <w:p w:rsidR="002451ED" w:rsidRPr="002451ED" w:rsidRDefault="002451ED" w:rsidP="002451ED"/>
    <w:p w:rsidR="002451ED" w:rsidRPr="002451ED" w:rsidRDefault="002451ED" w:rsidP="001C789C">
      <w:pPr>
        <w:pStyle w:val="Heading2"/>
      </w:pPr>
      <w:bookmarkStart w:id="66" w:name="_Toc486235328"/>
      <w:r>
        <w:t xml:space="preserve">Principle 2 - </w:t>
      </w:r>
      <w:r w:rsidRPr="002451ED">
        <w:t>Being accessible and inclusive</w:t>
      </w:r>
      <w:bookmarkEnd w:id="66"/>
    </w:p>
    <w:p w:rsidR="00EF5602" w:rsidRDefault="002451ED" w:rsidP="008A28FF">
      <w:r>
        <w:t>Stakeholders</w:t>
      </w:r>
      <w:r w:rsidRPr="002451ED">
        <w:t xml:space="preserve"> also provided a number of suggestions about how we could be more flexible, tailored and inclusive in our engagement</w:t>
      </w:r>
      <w:r w:rsidR="00BF1A2B">
        <w:t>.</w:t>
      </w:r>
    </w:p>
    <w:p w:rsidR="00F51FE7" w:rsidRDefault="00F51FE7" w:rsidP="008A28FF"/>
    <w:p w:rsidR="00F51FE7" w:rsidRDefault="00F51FE7" w:rsidP="008A28FF"/>
    <w:p w:rsidR="002451ED" w:rsidRPr="002451ED" w:rsidRDefault="002451ED" w:rsidP="001C789C">
      <w:pPr>
        <w:pStyle w:val="Heading3"/>
      </w:pPr>
      <w:bookmarkStart w:id="67" w:name="_Toc481765373"/>
      <w:bookmarkStart w:id="68" w:name="_Toc486235329"/>
      <w:bookmarkEnd w:id="67"/>
      <w:r>
        <w:t>Being flexible</w:t>
      </w:r>
      <w:bookmarkEnd w:id="68"/>
      <w:r>
        <w:t xml:space="preserve"> </w:t>
      </w:r>
    </w:p>
    <w:p w:rsidR="002451ED" w:rsidRPr="002451ED" w:rsidRDefault="002451ED" w:rsidP="002451ED">
      <w:r w:rsidRPr="00A31723">
        <w:t xml:space="preserve">Some </w:t>
      </w:r>
      <w:r w:rsidRPr="002451ED">
        <w:t xml:space="preserve">stakeholders felt that it was difficult to engage with us in certain areas as the AER seemed to have a developed view, for example on rate of return issues. </w:t>
      </w:r>
    </w:p>
    <w:p w:rsidR="002451ED" w:rsidRDefault="006A2481" w:rsidP="002451ED">
      <w:r>
        <w:t>T</w:t>
      </w:r>
      <w:r w:rsidR="00577368" w:rsidRPr="003E7FDC">
        <w:t xml:space="preserve">here may be some areas where we </w:t>
      </w:r>
      <w:r w:rsidR="00577368">
        <w:t xml:space="preserve">have less flexibility, </w:t>
      </w:r>
      <w:r w:rsidR="002946E7">
        <w:t xml:space="preserve">for example </w:t>
      </w:r>
      <w:r w:rsidR="00577368" w:rsidRPr="003E7FDC">
        <w:t>when we are applying a consistent approach across a number of similar reset processes</w:t>
      </w:r>
      <w:r w:rsidR="00577368">
        <w:t>.</w:t>
      </w:r>
      <w:r w:rsidR="00577368" w:rsidRPr="003E7FDC">
        <w:t xml:space="preserve"> Where this is this case, we will give our stakeholders an indication of how much these areas can be influenced through consultation.</w:t>
      </w:r>
    </w:p>
    <w:p w:rsidR="002451ED" w:rsidRDefault="002451ED" w:rsidP="002451ED">
      <w:r w:rsidRPr="003E7FDC">
        <w:t xml:space="preserve">For </w:t>
      </w:r>
      <w:r>
        <w:t xml:space="preserve">specific issues on rate of return, we have issued a </w:t>
      </w:r>
      <w:hyperlink r:id="rId40" w:history="1">
        <w:r w:rsidRPr="00160F23">
          <w:rPr>
            <w:rStyle w:val="Hyperlink"/>
          </w:rPr>
          <w:t>guideline</w:t>
        </w:r>
      </w:hyperlink>
      <w:r w:rsidRPr="003E7FDC">
        <w:t xml:space="preserve"> which sets out how we determine the return that electricity and gas network businesses can earn on their investments. The current guideline was released in 2013 following extensive consultation with stakeholders. The rules require us to review this guideline every three years; however, the AEMC has recently made a rule change to extend the time for review. We are expecting to commence public consultation </w:t>
      </w:r>
      <w:r w:rsidR="00AF4612">
        <w:t>to review our</w:t>
      </w:r>
      <w:r w:rsidRPr="003E7FDC">
        <w:t xml:space="preserve"> rate of return guideline in the second half of 2017. In preparation for this, we are currently consulting with stakeholders on the treatment of inflation in our determination of revenue and prices for electricity and gas network services.</w:t>
      </w:r>
    </w:p>
    <w:p w:rsidR="002451ED" w:rsidRPr="009B2C0C" w:rsidRDefault="002451ED" w:rsidP="002451ED">
      <w:r w:rsidRPr="003E7FDC">
        <w:t xml:space="preserve">Some felt that our enforcement activities need to strike a balance between consistency and the sensible need for discretion and flexibility within the spirit of the rules. </w:t>
      </w:r>
      <w:r w:rsidRPr="00734CAA">
        <w:t xml:space="preserve">We apply a risk-based approach to enforcement and there will be limits on the type of consultation and how much we can disclose around matters under investigation. We publish a </w:t>
      </w:r>
      <w:hyperlink r:id="rId41" w:history="1">
        <w:r w:rsidRPr="00734CAA">
          <w:rPr>
            <w:rStyle w:val="Hyperlink"/>
          </w:rPr>
          <w:t>statement of our approach to compliance and enforcement</w:t>
        </w:r>
      </w:hyperlink>
      <w:r w:rsidRPr="00734CAA">
        <w:t xml:space="preserve"> which aims for consistency across the industry. Ideally, most compliance issues are resolved without the exercise of statutory enforcement powers or financial penalties. When targeted and timely enforcement action is necessary and appropriate</w:t>
      </w:r>
      <w:r w:rsidR="006A2481">
        <w:t>,</w:t>
      </w:r>
      <w:r w:rsidRPr="00734CAA">
        <w:t xml:space="preserve"> we will issue a media release which sets out the issues of concern, the actions we have taken and the reasons for those actions.</w:t>
      </w:r>
      <w:r w:rsidRPr="009B2C0C">
        <w:t xml:space="preserve">   </w:t>
      </w:r>
    </w:p>
    <w:p w:rsidR="002451ED" w:rsidRPr="009B2C0C" w:rsidRDefault="002451ED" w:rsidP="002451ED">
      <w:r w:rsidRPr="00160F23">
        <w:t>There was also a suggestion that we make our guidelines less prescriptive.</w:t>
      </w:r>
      <w:r>
        <w:t xml:space="preserve"> </w:t>
      </w:r>
      <w:r w:rsidRPr="009B2C0C">
        <w:t>The current law and rules require us to publish guidelines</w:t>
      </w:r>
      <w:r w:rsidR="00B46C31">
        <w:t xml:space="preserve"> provid</w:t>
      </w:r>
      <w:r w:rsidR="00D57DC8">
        <w:t>ing</w:t>
      </w:r>
      <w:r w:rsidRPr="009B2C0C">
        <w:t xml:space="preserve"> guidance </w:t>
      </w:r>
      <w:r>
        <w:t xml:space="preserve">to industry </w:t>
      </w:r>
      <w:r w:rsidRPr="009B2C0C">
        <w:t xml:space="preserve">on how to comply with the rules and how we will carry out our roles and functions. </w:t>
      </w:r>
      <w:r w:rsidR="006A2481">
        <w:t>This necessitates a degree of prescription</w:t>
      </w:r>
      <w:r>
        <w:t xml:space="preserve">, </w:t>
      </w:r>
      <w:r w:rsidR="006A2481">
        <w:t xml:space="preserve">though </w:t>
      </w:r>
      <w:r>
        <w:t>w</w:t>
      </w:r>
      <w:r w:rsidRPr="009B2C0C">
        <w:t>e regularly review</w:t>
      </w:r>
      <w:r w:rsidR="006A2481">
        <w:t xml:space="preserve"> and consult on</w:t>
      </w:r>
      <w:r w:rsidRPr="009B2C0C">
        <w:t xml:space="preserve"> </w:t>
      </w:r>
      <w:r w:rsidR="006A2481">
        <w:t xml:space="preserve">the guidelines' </w:t>
      </w:r>
      <w:r w:rsidR="006A2481" w:rsidRPr="009B2C0C">
        <w:t xml:space="preserve">clarity and consistency </w:t>
      </w:r>
      <w:r w:rsidRPr="009B2C0C">
        <w:t xml:space="preserve">and </w:t>
      </w:r>
      <w:r w:rsidR="006A2481">
        <w:t xml:space="preserve">we </w:t>
      </w:r>
      <w:r w:rsidRPr="009B2C0C">
        <w:t>will continue to explore opportunities to make them more streamlined where possible.</w:t>
      </w:r>
    </w:p>
    <w:p w:rsidR="002451ED" w:rsidRPr="002451ED" w:rsidRDefault="002451ED" w:rsidP="001C789C">
      <w:pPr>
        <w:pStyle w:val="Heading3"/>
      </w:pPr>
      <w:bookmarkStart w:id="69" w:name="_Toc486235330"/>
      <w:r>
        <w:t xml:space="preserve">Tailoring </w:t>
      </w:r>
      <w:r w:rsidRPr="002451ED">
        <w:t>our engagement</w:t>
      </w:r>
      <w:bookmarkEnd w:id="69"/>
    </w:p>
    <w:p w:rsidR="002451ED" w:rsidRDefault="002451ED" w:rsidP="002451ED">
      <w:r w:rsidRPr="00BB0070">
        <w:t>Stakeholders agreed that while sometimes there are benefits to having everyone in the same room, there may be times when a more tailored approach is appropriate.</w:t>
      </w:r>
    </w:p>
    <w:p w:rsidR="002451ED" w:rsidRDefault="002451ED" w:rsidP="002451ED">
      <w:r>
        <w:t xml:space="preserve">Many welcomed the opportunity for more informal engagement with the AER during network resets. Given that statutory timeframes can make </w:t>
      </w:r>
      <w:r w:rsidR="006319AA">
        <w:t xml:space="preserve">it harder to </w:t>
      </w:r>
      <w:r>
        <w:t>engag</w:t>
      </w:r>
      <w:r w:rsidR="006319AA">
        <w:t>e</w:t>
      </w:r>
      <w:r>
        <w:t xml:space="preserve"> in these processes, they thought that </w:t>
      </w:r>
      <w:r w:rsidR="002946E7">
        <w:t>such</w:t>
      </w:r>
      <w:r>
        <w:t xml:space="preserve"> engagement might help to flag potential issues or changes in approach, as well as to resolve issues and avoid surprises at the final decision stage.</w:t>
      </w:r>
    </w:p>
    <w:p w:rsidR="002451ED" w:rsidRPr="0035264A" w:rsidRDefault="008A28FF" w:rsidP="002451ED">
      <w:r>
        <w:t xml:space="preserve">The </w:t>
      </w:r>
      <w:r w:rsidR="002451ED" w:rsidRPr="0035264A">
        <w:t xml:space="preserve">AER has begun to </w:t>
      </w:r>
      <w:r w:rsidR="00454EA1">
        <w:t>accommodate more requests for ad-hoc meetings</w:t>
      </w:r>
      <w:r w:rsidR="002451ED" w:rsidRPr="0035264A">
        <w:t xml:space="preserve">, and this was acknowledged by our stakeholders. We are open to </w:t>
      </w:r>
      <w:r w:rsidR="00454EA1">
        <w:t xml:space="preserve">providing additional opportunities for </w:t>
      </w:r>
      <w:r w:rsidR="002451ED" w:rsidRPr="0035264A">
        <w:t xml:space="preserve">engagement, particularly at the beginning of a network revenue determination process. However, we recognise that </w:t>
      </w:r>
      <w:r w:rsidR="00454EA1">
        <w:t xml:space="preserve">this engagement </w:t>
      </w:r>
      <w:r w:rsidR="002451ED" w:rsidRPr="0035264A">
        <w:t>needs to be transparent and that</w:t>
      </w:r>
      <w:r w:rsidR="006319AA">
        <w:t>,</w:t>
      </w:r>
      <w:r w:rsidR="002451ED" w:rsidRPr="0035264A">
        <w:t xml:space="preserve"> in many cases, it will be appropriate to have all the relevant parties (including businesses and consumer representatives) together to discuss issues at the same time. </w:t>
      </w:r>
      <w:r w:rsidR="002451ED">
        <w:t xml:space="preserve">The </w:t>
      </w:r>
      <w:r w:rsidR="00454EA1">
        <w:t xml:space="preserve">number of additional opportunities </w:t>
      </w:r>
      <w:r w:rsidR="002451ED" w:rsidRPr="0035264A">
        <w:t>that we are able to offer may also vary depending on the internal resources available and the nature of different projects.</w:t>
      </w:r>
    </w:p>
    <w:p w:rsidR="002451ED" w:rsidRDefault="002451ED" w:rsidP="002451ED">
      <w:r w:rsidRPr="0035264A">
        <w:t xml:space="preserve">We also see benefit in businesses and consumer groups talking to each other to </w:t>
      </w:r>
      <w:r w:rsidR="006319AA">
        <w:t xml:space="preserve">debate and potentially </w:t>
      </w:r>
      <w:r w:rsidRPr="0035264A">
        <w:t xml:space="preserve">resolve some issues directly and </w:t>
      </w:r>
      <w:r w:rsidR="006319AA">
        <w:t xml:space="preserve">we </w:t>
      </w:r>
      <w:r w:rsidRPr="0035264A">
        <w:t>will encourage this where appropriate.</w:t>
      </w:r>
    </w:p>
    <w:p w:rsidR="002451ED" w:rsidRPr="0035264A" w:rsidRDefault="002451ED" w:rsidP="002451ED">
      <w:r w:rsidRPr="00F50130">
        <w:t>Many supported having more open discussions with us and other stakeholders on broader strategic issues such as what is meant by the ’long term interests of consumers’. There was also interest in agreeing what th</w:t>
      </w:r>
      <w:r>
        <w:t>e ‘important ‘</w:t>
      </w:r>
      <w:r w:rsidRPr="00F50130">
        <w:t>issues</w:t>
      </w:r>
      <w:r w:rsidR="00151B16">
        <w:t xml:space="preserve"> are</w:t>
      </w:r>
      <w:r w:rsidRPr="00F50130">
        <w:t xml:space="preserve"> that the AER and stakeholders should focus on.</w:t>
      </w:r>
      <w:r>
        <w:t xml:space="preserve"> </w:t>
      </w:r>
      <w:r w:rsidRPr="00496284">
        <w:t>We agree that consultation does not always need to occur in the context of particular processes or projects and will look for opportunities to facilitate and participate in these types of discussions.</w:t>
      </w:r>
    </w:p>
    <w:p w:rsidR="006C19CF" w:rsidRDefault="002451ED" w:rsidP="002451ED">
      <w:r w:rsidRPr="00F11B72">
        <w:t>So</w:t>
      </w:r>
      <w:r w:rsidR="002946E7">
        <w:t>me stakeholders had found Board-</w:t>
      </w:r>
      <w:r w:rsidRPr="00F11B72">
        <w:t>t</w:t>
      </w:r>
      <w:r w:rsidR="002946E7">
        <w:t>o-</w:t>
      </w:r>
      <w:r w:rsidRPr="00F11B72">
        <w:t xml:space="preserve">Board activity between </w:t>
      </w:r>
      <w:r w:rsidR="006C19CF">
        <w:t xml:space="preserve">organisations </w:t>
      </w:r>
      <w:r w:rsidRPr="00F11B72">
        <w:t xml:space="preserve">and the AER particularly effective and suggested they would like more of this. </w:t>
      </w:r>
      <w:r w:rsidRPr="003A08E4">
        <w:t xml:space="preserve">We </w:t>
      </w:r>
      <w:r w:rsidR="006C19CF">
        <w:t xml:space="preserve">will continue to look for appropriate </w:t>
      </w:r>
      <w:r w:rsidR="00BC0CF8" w:rsidRPr="003A08E4">
        <w:t>opportunities</w:t>
      </w:r>
      <w:r w:rsidRPr="003A08E4">
        <w:t xml:space="preserve"> </w:t>
      </w:r>
      <w:r w:rsidR="006C19CF">
        <w:t xml:space="preserve">for </w:t>
      </w:r>
      <w:r w:rsidR="006319AA">
        <w:t xml:space="preserve">such </w:t>
      </w:r>
      <w:r w:rsidR="006C19CF">
        <w:t>dialogue.</w:t>
      </w:r>
    </w:p>
    <w:p w:rsidR="002451ED" w:rsidRDefault="002451ED" w:rsidP="002451ED">
      <w:r>
        <w:t>Suggestions were made for trialling other a</w:t>
      </w:r>
      <w:r w:rsidRPr="00F11B72">
        <w:t>pproaches such as citizen juries, open days, surgeries, ‘hot tubbing’</w:t>
      </w:r>
      <w:r w:rsidR="002B658C">
        <w:t xml:space="preserve"> (</w:t>
      </w:r>
      <w:r w:rsidR="00DC24D4">
        <w:t xml:space="preserve">where experts give their evidence </w:t>
      </w:r>
      <w:r w:rsidR="002B658C">
        <w:t>concurrent</w:t>
      </w:r>
      <w:r w:rsidR="00DC24D4">
        <w:t>ly</w:t>
      </w:r>
      <w:r w:rsidR="002B658C">
        <w:t xml:space="preserve">) </w:t>
      </w:r>
      <w:r w:rsidRPr="00F11B72">
        <w:t>and convening joint industry/consumer groups</w:t>
      </w:r>
      <w:r>
        <w:t xml:space="preserve">. We continuously strive to improve our engagement and are open to experimenting with new tools and approaches that are useful and appropriate. We have recently trialled new approaches in some of our processes, for example:  </w:t>
      </w:r>
    </w:p>
    <w:p w:rsidR="002451ED" w:rsidRPr="002451ED" w:rsidRDefault="002451ED" w:rsidP="002451ED">
      <w:pPr>
        <w:pStyle w:val="ListParagraph"/>
      </w:pPr>
      <w:r>
        <w:t>we hosted an interactive workshop on demand management to discuss key issues identified by stakeholders in a survey</w:t>
      </w:r>
    </w:p>
    <w:p w:rsidR="002451ED" w:rsidRPr="002451ED" w:rsidRDefault="002451ED" w:rsidP="002451ED">
      <w:pPr>
        <w:pStyle w:val="ListParagraph"/>
      </w:pPr>
      <w:r>
        <w:t xml:space="preserve">we offered some network regulation training for consumer representatives during the recent Victorian electricity distribution reset processes. The feedback was very positive and this is something that we would consider doing again. </w:t>
      </w:r>
    </w:p>
    <w:p w:rsidR="002451ED" w:rsidRPr="002451ED" w:rsidRDefault="002451ED" w:rsidP="002451ED">
      <w:r>
        <w:t>However, there will always be trade-offs in terms of resources and time in what and how much we can do. Our aim will be to use the tool or approach which will provide the best way for our stakeholders to provide input in all the circumstances.</w:t>
      </w:r>
    </w:p>
    <w:p w:rsidR="002451ED" w:rsidRPr="002451ED" w:rsidRDefault="002451ED" w:rsidP="001C789C">
      <w:pPr>
        <w:pStyle w:val="Heading3"/>
      </w:pPr>
      <w:bookmarkStart w:id="70" w:name="_Toc486235331"/>
      <w:r>
        <w:t>Targeted</w:t>
      </w:r>
      <w:r w:rsidRPr="002451ED">
        <w:t xml:space="preserve"> communication</w:t>
      </w:r>
      <w:bookmarkEnd w:id="70"/>
    </w:p>
    <w:p w:rsidR="002451ED" w:rsidRPr="002451ED" w:rsidRDefault="00C338E8" w:rsidP="002451ED">
      <w:r>
        <w:t>One</w:t>
      </w:r>
      <w:r w:rsidRPr="00EE5AB3">
        <w:t xml:space="preserve"> </w:t>
      </w:r>
      <w:r w:rsidR="002451ED" w:rsidRPr="00EE5AB3">
        <w:t xml:space="preserve">area identified for </w:t>
      </w:r>
      <w:r w:rsidR="002451ED" w:rsidRPr="002451ED">
        <w:t>improvement in our 2016 stakeholder survey was the need for greater tailoring of communications for some audiences. Feedback suggested that when developing our decision documents, we could better take into account how stakeholders will use our information. For example, when making similar decisions, we could provide a single document which shows how they compare</w:t>
      </w:r>
      <w:r w:rsidR="00150DA9">
        <w:t>,</w:t>
      </w:r>
      <w:r w:rsidR="002451ED" w:rsidRPr="002451ED">
        <w:t xml:space="preserve"> instead of requiring stakeholders to read several documents </w:t>
      </w:r>
      <w:r w:rsidR="00150DA9">
        <w:t>and spot differences.</w:t>
      </w:r>
      <w:r w:rsidR="002451ED" w:rsidRPr="002451ED">
        <w:t xml:space="preserve"> </w:t>
      </w:r>
      <w:r w:rsidR="002946E7">
        <w:t>It was also acknowledged this i</w:t>
      </w:r>
      <w:r w:rsidR="002451ED" w:rsidRPr="002451ED">
        <w:t xml:space="preserve">s not solely the AER's responsibility and that it will at times be up to particular interest groups </w:t>
      </w:r>
      <w:r w:rsidR="00DC24D4">
        <w:t xml:space="preserve">and organisations </w:t>
      </w:r>
      <w:r w:rsidR="002451ED" w:rsidRPr="002451ED">
        <w:t xml:space="preserve">to write more tailored information </w:t>
      </w:r>
      <w:r w:rsidR="002B658C">
        <w:t>when required</w:t>
      </w:r>
      <w:r w:rsidR="002946E7">
        <w:t>.</w:t>
      </w:r>
      <w:r w:rsidR="002B658C">
        <w:t xml:space="preserve"> </w:t>
      </w:r>
    </w:p>
    <w:p w:rsidR="00BD01B5" w:rsidRDefault="00150DA9" w:rsidP="002451ED">
      <w:r>
        <w:t>W</w:t>
      </w:r>
      <w:r w:rsidR="002451ED" w:rsidRPr="002451ED">
        <w:t xml:space="preserve">e will </w:t>
      </w:r>
      <w:r w:rsidR="008560BE">
        <w:t xml:space="preserve">consider whether we </w:t>
      </w:r>
      <w:r>
        <w:t>can</w:t>
      </w:r>
      <w:r w:rsidR="008560BE">
        <w:t xml:space="preserve"> </w:t>
      </w:r>
      <w:r w:rsidR="002451ED" w:rsidRPr="002451ED">
        <w:t xml:space="preserve">tailor </w:t>
      </w:r>
      <w:r w:rsidR="00454EA1">
        <w:t xml:space="preserve">some of </w:t>
      </w:r>
      <w:r w:rsidR="002451ED" w:rsidRPr="002451ED">
        <w:t>our decision documents</w:t>
      </w:r>
      <w:r>
        <w:t xml:space="preserve"> more effectively</w:t>
      </w:r>
      <w:r w:rsidR="002451ED" w:rsidRPr="002451ED">
        <w:t xml:space="preserve">, particularly in the Networks area, to take into account how stakeholders will use them. We will also continue our focus on providing plain language fact sheets and overviews for our final and draft revenue determination decisions and to assist customers in navigating the retail market. </w:t>
      </w:r>
    </w:p>
    <w:p w:rsidR="002451ED" w:rsidRPr="002451ED" w:rsidRDefault="002451ED" w:rsidP="001C789C">
      <w:pPr>
        <w:pStyle w:val="Heading3"/>
      </w:pPr>
      <w:bookmarkStart w:id="71" w:name="_Toc486235332"/>
      <w:r>
        <w:t>B</w:t>
      </w:r>
      <w:r w:rsidRPr="002451ED">
        <w:t>uilding knowledge and capacity where needed</w:t>
      </w:r>
      <w:bookmarkEnd w:id="71"/>
    </w:p>
    <w:p w:rsidR="002451ED" w:rsidRDefault="002451ED" w:rsidP="002451ED">
      <w:r>
        <w:t xml:space="preserve">Stakeholders have </w:t>
      </w:r>
      <w:r w:rsidRPr="001112B8">
        <w:t>suggested that some capacity building and education at the beginning of a process can aid later engagement.</w:t>
      </w:r>
    </w:p>
    <w:p w:rsidR="0055478E" w:rsidRPr="0055478E" w:rsidRDefault="0055478E" w:rsidP="0055478E">
      <w:r w:rsidRPr="0055478E">
        <w:t xml:space="preserve">Stakeholders have also suggested that we consider providing links on our website to background material which could assist in understanding energy market issues and network regulation. </w:t>
      </w:r>
    </w:p>
    <w:p w:rsidR="002451ED" w:rsidRDefault="002451ED" w:rsidP="002451ED">
      <w:r>
        <w:t xml:space="preserve">We agree that </w:t>
      </w:r>
      <w:r w:rsidRPr="004F533A">
        <w:t xml:space="preserve">capacity building and education </w:t>
      </w:r>
      <w:r>
        <w:t>can help with engagement and have retained a commitment in our revised draft Framework to take steps to build knowledge and capacity where needed. While we may identify these needs ourselves, we will also welcome stakeholders bringing them to our attention</w:t>
      </w:r>
      <w:r w:rsidR="009E56F0">
        <w:t xml:space="preserve">. </w:t>
      </w:r>
      <w:r w:rsidR="008D3B32">
        <w:t xml:space="preserve">We will be giving </w:t>
      </w:r>
      <w:r w:rsidR="007E4602">
        <w:t>further</w:t>
      </w:r>
      <w:r w:rsidR="009E56F0">
        <w:t xml:space="preserve"> consideration to the best way to </w:t>
      </w:r>
      <w:r w:rsidR="00150DA9">
        <w:t xml:space="preserve">deliver </w:t>
      </w:r>
      <w:r w:rsidR="009E56F0">
        <w:t xml:space="preserve">this in each case, including </w:t>
      </w:r>
      <w:r w:rsidR="007E4602">
        <w:t>exploring</w:t>
      </w:r>
      <w:r w:rsidR="009E56F0">
        <w:t xml:space="preserve"> possibilities for offering training courses and making material </w:t>
      </w:r>
      <w:r w:rsidR="007E4602">
        <w:t>available</w:t>
      </w:r>
      <w:r w:rsidR="009E56F0">
        <w:t xml:space="preserve"> on-line. </w:t>
      </w:r>
    </w:p>
    <w:p w:rsidR="002451ED" w:rsidRDefault="002451ED" w:rsidP="002451ED">
      <w:r w:rsidRPr="005130C3">
        <w:t>Businesses are interested in our views on their consumer engagement and have suggested our regulatory determinations could include more information about this</w:t>
      </w:r>
      <w:r w:rsidR="00AD507D">
        <w:t xml:space="preserve"> to assist them in improving stakeholder engagement with their own customers.</w:t>
      </w:r>
      <w:r w:rsidRPr="005130C3">
        <w:t xml:space="preserve"> We </w:t>
      </w:r>
      <w:r w:rsidR="00A065AC">
        <w:t xml:space="preserve">endeavour to provide constructive feedback </w:t>
      </w:r>
      <w:r w:rsidRPr="005130C3">
        <w:t xml:space="preserve">on businesses’ consumer engagement </w:t>
      </w:r>
      <w:r w:rsidR="00A065AC">
        <w:t>in our decisions. This builds on our</w:t>
      </w:r>
      <w:r w:rsidRPr="005130C3">
        <w:t xml:space="preserve"> </w:t>
      </w:r>
      <w:hyperlink r:id="rId42" w:history="1">
        <w:r w:rsidRPr="005130C3">
          <w:rPr>
            <w:rStyle w:val="Hyperlink"/>
          </w:rPr>
          <w:t>Consumer engagement guideline for network service providers</w:t>
        </w:r>
      </w:hyperlink>
      <w:r>
        <w:t>. This guideline</w:t>
      </w:r>
      <w:r w:rsidR="006C19CF">
        <w:t xml:space="preserve">, which </w:t>
      </w:r>
      <w:r>
        <w:t>was published in 2013</w:t>
      </w:r>
      <w:r w:rsidR="006C19CF">
        <w:t xml:space="preserve">, </w:t>
      </w:r>
      <w:r w:rsidR="00707E4D">
        <w:t>provides a principles</w:t>
      </w:r>
      <w:r w:rsidR="00150DA9">
        <w:t>-</w:t>
      </w:r>
      <w:r w:rsidR="00707E4D">
        <w:t xml:space="preserve">based framework for the network businesses to adopt and strive for continuous improvement. </w:t>
      </w:r>
      <w:r w:rsidRPr="005130C3">
        <w:t xml:space="preserve"> </w:t>
      </w:r>
    </w:p>
    <w:p w:rsidR="002451ED" w:rsidRPr="002451ED" w:rsidRDefault="002451ED" w:rsidP="00151B16">
      <w:pPr>
        <w:pStyle w:val="Heading3"/>
      </w:pPr>
      <w:bookmarkStart w:id="72" w:name="_Toc486235333"/>
      <w:r>
        <w:t>C</w:t>
      </w:r>
      <w:r w:rsidRPr="002451ED">
        <w:t>onsidering the time and resources needed by stakeholders to engage</w:t>
      </w:r>
      <w:r w:rsidR="00150DA9" w:rsidRPr="00150DA9">
        <w:t xml:space="preserve"> </w:t>
      </w:r>
      <w:r w:rsidR="00150DA9" w:rsidRPr="002451ED">
        <w:t>effectively</w:t>
      </w:r>
      <w:bookmarkEnd w:id="72"/>
    </w:p>
    <w:p w:rsidR="002451ED" w:rsidRDefault="002451ED" w:rsidP="002451ED">
      <w:r>
        <w:t>Stakeholders made several other suggestions about how we could improve the effectiveness of our engagement including:</w:t>
      </w:r>
    </w:p>
    <w:p w:rsidR="002451ED" w:rsidRPr="002451ED" w:rsidRDefault="002451ED" w:rsidP="002451ED">
      <w:pPr>
        <w:pStyle w:val="Bulletpoint"/>
      </w:pPr>
      <w:r>
        <w:t>e</w:t>
      </w:r>
      <w:r w:rsidRPr="002451ED">
        <w:t>nsuring that we talk to a broad range of stakeholders, particularly those in agricultural and regional areas</w:t>
      </w:r>
    </w:p>
    <w:p w:rsidR="002451ED" w:rsidRPr="002451ED" w:rsidRDefault="002451ED" w:rsidP="002451ED">
      <w:pPr>
        <w:pStyle w:val="Bulletpoint"/>
      </w:pPr>
      <w:r w:rsidRPr="0093658B">
        <w:t xml:space="preserve">making time to have </w:t>
      </w:r>
      <w:r w:rsidRPr="002451ED">
        <w:t>a local presence in each jurisdiction including at the Board level</w:t>
      </w:r>
    </w:p>
    <w:p w:rsidR="002451ED" w:rsidRPr="002451ED" w:rsidRDefault="00150DA9" w:rsidP="002451ED">
      <w:pPr>
        <w:pStyle w:val="Bulletpoint"/>
      </w:pPr>
      <w:r>
        <w:t>helping</w:t>
      </w:r>
      <w:r w:rsidR="002451ED">
        <w:t xml:space="preserve"> </w:t>
      </w:r>
      <w:r w:rsidR="002451ED" w:rsidRPr="002451ED">
        <w:t xml:space="preserve">stakeholders </w:t>
      </w:r>
      <w:r>
        <w:t xml:space="preserve">understand which staff they </w:t>
      </w:r>
      <w:r w:rsidR="002451ED" w:rsidRPr="002451ED">
        <w:t xml:space="preserve">should be engaging with during network resets and having all of those involved at relevant meetings </w:t>
      </w:r>
    </w:p>
    <w:p w:rsidR="002451ED" w:rsidRPr="002451ED" w:rsidRDefault="002451ED" w:rsidP="002451ED">
      <w:pPr>
        <w:pStyle w:val="Bulletpoint"/>
      </w:pPr>
      <w:r w:rsidRPr="003573BC">
        <w:t>look</w:t>
      </w:r>
      <w:r w:rsidRPr="002451ED">
        <w:t>ing at ways to avoid overlapping engagement opportunities – for example by coordinating with the timetables of the AEMC and other stakeholders (noting the Advocates calendar recently developed by the ECA).</w:t>
      </w:r>
    </w:p>
    <w:p w:rsidR="002451ED" w:rsidRPr="002451ED" w:rsidRDefault="002451ED" w:rsidP="002451ED">
      <w:pPr>
        <w:pStyle w:val="Bulletpoint"/>
      </w:pPr>
      <w:r w:rsidRPr="00105787">
        <w:t>exploring new approaches for engaging around Regulatory Information Notices (RINs)</w:t>
      </w:r>
    </w:p>
    <w:p w:rsidR="002451ED" w:rsidRPr="002451ED" w:rsidRDefault="002451ED" w:rsidP="002451ED">
      <w:pPr>
        <w:pStyle w:val="Bulletpoint"/>
      </w:pPr>
      <w:r>
        <w:t xml:space="preserve">providing embargoed copies of reports to stakeholders who may </w:t>
      </w:r>
      <w:r w:rsidRPr="002451ED">
        <w:t>wish to provide commentary once those reports have been published</w:t>
      </w:r>
    </w:p>
    <w:p w:rsidR="002451ED" w:rsidRPr="002451ED" w:rsidRDefault="002451ED" w:rsidP="002451ED">
      <w:pPr>
        <w:pStyle w:val="Bulletpoint"/>
      </w:pPr>
      <w:r w:rsidRPr="003A08E4">
        <w:t xml:space="preserve">making </w:t>
      </w:r>
      <w:r w:rsidRPr="002451ED">
        <w:t>engagement more accessible to consumers and whether opportunities to collaborate across more stakeholders may help with this. For example, some stakeholders asked us to consider whether we and our Consumer Challenge Panel sho</w:t>
      </w:r>
      <w:r w:rsidR="00124C9D">
        <w:t>uld become involved in businesse</w:t>
      </w:r>
      <w:r w:rsidRPr="002451ED">
        <w:t>s</w:t>
      </w:r>
      <w:r w:rsidR="00124C9D">
        <w:t>'</w:t>
      </w:r>
      <w:r w:rsidRPr="002451ED">
        <w:t xml:space="preserve"> customer engagement activities</w:t>
      </w:r>
    </w:p>
    <w:p w:rsidR="002451ED" w:rsidRPr="002451ED" w:rsidRDefault="002451ED" w:rsidP="002451ED">
      <w:pPr>
        <w:pStyle w:val="Bulletpoint"/>
      </w:pPr>
      <w:r>
        <w:t>recognis</w:t>
      </w:r>
      <w:r w:rsidRPr="002451ED">
        <w:t xml:space="preserve">ing the value of all forms of consultation input including, for example, </w:t>
      </w:r>
      <w:r w:rsidR="00124C9D">
        <w:t>oral</w:t>
      </w:r>
      <w:r w:rsidRPr="002451ED">
        <w:t xml:space="preserve"> contributions at forums and not just written submissions.</w:t>
      </w:r>
    </w:p>
    <w:p w:rsidR="002451ED" w:rsidRDefault="002451ED" w:rsidP="002451ED">
      <w:r>
        <w:t>We recognise the importance of making time to meet with key stakeholders, including in their local jurisdiction where possible. We</w:t>
      </w:r>
      <w:r w:rsidRPr="00F67603">
        <w:t xml:space="preserve"> meet with a broad spectrum of stakeholders </w:t>
      </w:r>
      <w:r>
        <w:t xml:space="preserve">including energy consumers, advocates and representative bodies, governments and other regulatory agencies, energy businesses, investors in energy businesses </w:t>
      </w:r>
      <w:r w:rsidRPr="00F67603">
        <w:t xml:space="preserve">to ensure that we </w:t>
      </w:r>
      <w:r>
        <w:t xml:space="preserve">receive a wide range of perspectives. </w:t>
      </w:r>
    </w:p>
    <w:p w:rsidR="002451ED" w:rsidRDefault="002451ED" w:rsidP="002451ED">
      <w:r>
        <w:t xml:space="preserve">We endeavour to reach out to our stakeholders in a variety of ways, including through presentations, workshops, forums and individual/small group meetings with staff and/or members of our Board. </w:t>
      </w:r>
      <w:r w:rsidRPr="00F67603">
        <w:t xml:space="preserve">To </w:t>
      </w:r>
      <w:r w:rsidR="0055478E">
        <w:t>help make our</w:t>
      </w:r>
      <w:r w:rsidRPr="00F67603">
        <w:t xml:space="preserve"> stakeholders aware of formal opportunities for engagement, we publish information about all our processes on our website – this includes all of our issues and consultation papers, as well as details of our public forums and workshops. </w:t>
      </w:r>
      <w:r>
        <w:t>We also</w:t>
      </w:r>
      <w:r w:rsidR="00C40494">
        <w:t xml:space="preserve"> accommodate requests for </w:t>
      </w:r>
      <w:r w:rsidR="000327B2">
        <w:t xml:space="preserve">additional </w:t>
      </w:r>
      <w:r>
        <w:t>opportunities for engagement</w:t>
      </w:r>
      <w:r w:rsidR="00C40494">
        <w:t xml:space="preserve"> when appropriate</w:t>
      </w:r>
      <w:r>
        <w:t xml:space="preserve">. </w:t>
      </w:r>
      <w:r w:rsidRPr="00005E1A">
        <w:t>Meetings can be organised in our offices in NSW, Victoria, SA, Queensland and the ACT</w:t>
      </w:r>
      <w:r>
        <w:t xml:space="preserve">, or for stakeholders in places </w:t>
      </w:r>
      <w:r w:rsidRPr="00005E1A">
        <w:t xml:space="preserve">where we have no local presence, we </w:t>
      </w:r>
      <w:r>
        <w:t xml:space="preserve">may travel to them or </w:t>
      </w:r>
      <w:r w:rsidRPr="00005E1A">
        <w:t>offer alternate options for engagement such as by via video and teleconferences</w:t>
      </w:r>
      <w:r>
        <w:t xml:space="preserve">. </w:t>
      </w:r>
    </w:p>
    <w:p w:rsidR="002451ED" w:rsidRDefault="002451ED" w:rsidP="002451ED">
      <w:r>
        <w:t>To ensure that we receive consumer perspectives we have established specific consultative groups including:</w:t>
      </w:r>
    </w:p>
    <w:p w:rsidR="002451ED" w:rsidRPr="002451ED" w:rsidRDefault="002451ED" w:rsidP="00EE2EA0">
      <w:pPr>
        <w:pStyle w:val="Bulletpoint"/>
      </w:pPr>
      <w:r>
        <w:t>our Customer Consultative Group, which helps us understand consumer and small business concerns on retail energy issues</w:t>
      </w:r>
    </w:p>
    <w:p w:rsidR="002451ED" w:rsidRPr="002451ED" w:rsidRDefault="002451ED" w:rsidP="00EE2EA0">
      <w:pPr>
        <w:pStyle w:val="Bulletpoint"/>
      </w:pPr>
      <w:r>
        <w:t>our Consumer Challenge Panel, which advises us on issues of importance to consumers during network revenue determinations</w:t>
      </w:r>
      <w:r w:rsidR="000327B2">
        <w:t>.</w:t>
      </w:r>
    </w:p>
    <w:p w:rsidR="002451ED" w:rsidRDefault="002451ED" w:rsidP="002451ED">
      <w:r>
        <w:t>We also publish plain language fact sheets and overviews which summarise the key information in draft and final network revenue determinations. We recognise that there may be more we can do to engage consumers</w:t>
      </w:r>
      <w:r w:rsidR="00D55BE0">
        <w:t>. We</w:t>
      </w:r>
      <w:r>
        <w:t xml:space="preserve"> welcome suggestions for other ways in which can broaden our approach to engaging with consumers and gathering consumer and market insight.  </w:t>
      </w:r>
    </w:p>
    <w:p w:rsidR="002451ED" w:rsidRPr="002451ED" w:rsidRDefault="002451ED" w:rsidP="002451ED">
      <w:r>
        <w:t>Stakeholders have indi</w:t>
      </w:r>
      <w:r w:rsidRPr="002451ED">
        <w:t xml:space="preserve">cated that it is sometimes difficult to know which of our staff they should be engaging with </w:t>
      </w:r>
      <w:r w:rsidR="00150DA9">
        <w:t>in relation to</w:t>
      </w:r>
      <w:r w:rsidR="00150DA9" w:rsidRPr="002451ED">
        <w:t xml:space="preserve"> </w:t>
      </w:r>
      <w:r w:rsidRPr="002451ED">
        <w:t>particular issues arising during network revenue determ</w:t>
      </w:r>
      <w:r w:rsidR="002B1791">
        <w:t>inations. This is an area we have</w:t>
      </w:r>
      <w:r w:rsidRPr="002451ED">
        <w:t xml:space="preserve"> also identified for improvement. We have begun to ensure that </w:t>
      </w:r>
      <w:r w:rsidR="0055478E">
        <w:t xml:space="preserve">there is a General Manager </w:t>
      </w:r>
      <w:r w:rsidRPr="002451ED">
        <w:t>contact available on our webpages</w:t>
      </w:r>
      <w:r w:rsidR="0055478E">
        <w:t xml:space="preserve"> for each process.</w:t>
      </w:r>
      <w:r w:rsidR="008A28FF">
        <w:t xml:space="preserve"> </w:t>
      </w:r>
      <w:r w:rsidR="00454EA1">
        <w:t xml:space="preserve">A Coordination Director is in charge of each reset process and </w:t>
      </w:r>
      <w:r w:rsidRPr="002451ED">
        <w:t xml:space="preserve">available to respond to queries from stakeholders about who to talk to about a particular issue. </w:t>
      </w:r>
      <w:r w:rsidR="0058228F">
        <w:t xml:space="preserve">Coordination Directors will also </w:t>
      </w:r>
      <w:r w:rsidRPr="002451ED">
        <w:t>aim to ensure that the appropriate AER staff are available for relevant meetings, noting that it may not always be possible to meet all requests.</w:t>
      </w:r>
    </w:p>
    <w:p w:rsidR="002451ED" w:rsidRPr="002451ED" w:rsidRDefault="002451ED" w:rsidP="002451ED">
      <w:r>
        <w:t xml:space="preserve">We also agree with our stakeholders that </w:t>
      </w:r>
      <w:r w:rsidR="0058228F">
        <w:t xml:space="preserve">we may be able to </w:t>
      </w:r>
      <w:r>
        <w:t>coordinate engagement activities</w:t>
      </w:r>
      <w:r w:rsidR="00115FC3" w:rsidRPr="00115FC3">
        <w:t xml:space="preserve"> </w:t>
      </w:r>
      <w:r w:rsidR="00115FC3">
        <w:t>better</w:t>
      </w:r>
      <w:r>
        <w:t>. When a number of consultations are on at the same time, we understand that this creates a workflow burden, particularly for consumer group</w:t>
      </w:r>
      <w:r w:rsidR="00736C61">
        <w:t>s</w:t>
      </w:r>
      <w:r>
        <w:t>. We will look at ways we could make this easier. We have recently trialled combining with other organisations for consultations, for example in November last year we hosted a joint stakeholder forum with the ENA and AEC to develop an agreed life support registration process. We will continu</w:t>
      </w:r>
      <w:r w:rsidRPr="002451ED">
        <w:t xml:space="preserve">e to look for opportunities to coordinate with other organisations for some consultations including through joint forums, workshops, information papers and/or submission processes. We will also be aiming to stagger the due dates for our own consultations wherever possible, noting that for processes with statutory deadlines such as resets our ability to do this may be limited. </w:t>
      </w:r>
    </w:p>
    <w:p w:rsidR="002451ED" w:rsidRPr="002451ED" w:rsidRDefault="002451ED" w:rsidP="002451ED">
      <w:r w:rsidRPr="008945D5">
        <w:t xml:space="preserve">We </w:t>
      </w:r>
      <w:r w:rsidRPr="002451ED">
        <w:t xml:space="preserve">recognise that the engagement around </w:t>
      </w:r>
      <w:r w:rsidR="00C40494">
        <w:t xml:space="preserve">our </w:t>
      </w:r>
      <w:r w:rsidRPr="002451ED">
        <w:t>RINs can always be improved. We now routinely issue a pre-draft RIN (</w:t>
      </w:r>
      <w:r w:rsidR="006627C9">
        <w:t>before commencing</w:t>
      </w:r>
      <w:r w:rsidRPr="002451ED">
        <w:t xml:space="preserve"> the formal process</w:t>
      </w:r>
      <w:r w:rsidR="006627C9">
        <w:t xml:space="preserve"> required </w:t>
      </w:r>
      <w:r w:rsidRPr="002451ED">
        <w:t xml:space="preserve">under the </w:t>
      </w:r>
      <w:r w:rsidR="0058228F">
        <w:t>National Electricity or Gas Rules</w:t>
      </w:r>
      <w:r w:rsidRPr="002451ED">
        <w:t xml:space="preserve">) in order to allow for earlier comment and engagement on the proposed information requirements. Our consultation processes also provide the opportunity for businesses to highlight the difficulties and costs associated with collecting the information. We try to be pragmatic in responding to these concerns, weighing up the costs and the importance of the information to our decision making processes. We are open to reviewing our approach to developing RINS and will </w:t>
      </w:r>
      <w:r w:rsidR="002B1791">
        <w:t xml:space="preserve">act on the suggestion that we </w:t>
      </w:r>
      <w:r w:rsidRPr="002451ED">
        <w:t>look at the approach taken by US regulators such as Federal Energy Regulatory Commission (FERC) to information gathering, noting that we are required to work within the information gathering arrangements contained in the national energy legislation.</w:t>
      </w:r>
    </w:p>
    <w:p w:rsidR="002451ED" w:rsidRPr="002451ED" w:rsidRDefault="002451ED" w:rsidP="002451ED">
      <w:r>
        <w:t>A</w:t>
      </w:r>
      <w:r w:rsidRPr="002451ED">
        <w:t xml:space="preserve"> suggestion was made that we consider providing embargoed copies of reports</w:t>
      </w:r>
      <w:r w:rsidR="0058228F">
        <w:t xml:space="preserve"> such as our State of the Energy Market </w:t>
      </w:r>
      <w:r w:rsidR="000C27D3">
        <w:t>or Retail Market Performance and Affordability R</w:t>
      </w:r>
      <w:r w:rsidR="0058228F">
        <w:t>eport</w:t>
      </w:r>
      <w:r w:rsidR="000C27D3">
        <w:t>s</w:t>
      </w:r>
      <w:r w:rsidR="008A28FF">
        <w:t xml:space="preserve"> </w:t>
      </w:r>
      <w:r w:rsidRPr="002451ED">
        <w:t>to enable stakeholders to make timely comments when the report is published. While we do make some embargoed copies of our reports available, these are circulated only to the COAG Energy Council and persons who have directly contributed to the report</w:t>
      </w:r>
      <w:r w:rsidR="006C19CF">
        <w:t xml:space="preserve"> in question</w:t>
      </w:r>
      <w:r w:rsidRPr="002451ED">
        <w:t>. Other interested parties are welcome to contact us or subscribe to the relevant section of our website to ensure that they receive copies of our reports as soon as they are published.</w:t>
      </w:r>
    </w:p>
    <w:p w:rsidR="00BD01B5" w:rsidRDefault="002451ED" w:rsidP="002451ED">
      <w:r>
        <w:t xml:space="preserve">In terms of </w:t>
      </w:r>
      <w:r w:rsidR="00D55BE0">
        <w:t>accepting</w:t>
      </w:r>
      <w:r>
        <w:t xml:space="preserve"> s</w:t>
      </w:r>
      <w:r w:rsidRPr="002451ED">
        <w:t>takeholders</w:t>
      </w:r>
      <w:r w:rsidR="00736C61">
        <w:t>'</w:t>
      </w:r>
      <w:r w:rsidRPr="002451ED">
        <w:t xml:space="preserve"> </w:t>
      </w:r>
      <w:r w:rsidR="00736C61">
        <w:t>oral</w:t>
      </w:r>
      <w:r w:rsidR="00736C61" w:rsidRPr="002451ED">
        <w:t xml:space="preserve"> </w:t>
      </w:r>
      <w:r w:rsidRPr="002451ED">
        <w:t>contributions</w:t>
      </w:r>
      <w:r w:rsidR="00D55BE0">
        <w:t>,</w:t>
      </w:r>
      <w:r w:rsidRPr="002451ED">
        <w:t xml:space="preserve"> we have also recognised the importance of this by retaining a commitment in our draft revised Framework (under the principle of being accessible and inclusive) that we will where possible, accept submissions in a range of formats, including written submissions, </w:t>
      </w:r>
      <w:r w:rsidR="006C19CF">
        <w:t xml:space="preserve">oral </w:t>
      </w:r>
      <w:r w:rsidRPr="002451ED">
        <w:t xml:space="preserve">or emailed comments, etc. </w:t>
      </w:r>
    </w:p>
    <w:p w:rsidR="00DC24D4" w:rsidRDefault="00DC24D4" w:rsidP="002451ED"/>
    <w:p w:rsidR="002451ED" w:rsidRPr="002451ED" w:rsidRDefault="002451ED" w:rsidP="002F0566">
      <w:pPr>
        <w:pStyle w:val="Heading2"/>
      </w:pPr>
      <w:bookmarkStart w:id="73" w:name="_Toc486235334"/>
      <w:r>
        <w:t xml:space="preserve">Principle 3 - </w:t>
      </w:r>
      <w:r w:rsidRPr="002451ED">
        <w:t>Being transparent</w:t>
      </w:r>
      <w:bookmarkEnd w:id="73"/>
    </w:p>
    <w:p w:rsidR="002451ED" w:rsidRPr="002451ED" w:rsidRDefault="002451ED" w:rsidP="002451ED">
      <w:r>
        <w:t>Stakeholders provide</w:t>
      </w:r>
      <w:r w:rsidRPr="002451ED">
        <w:t>d feedback about how we could be more transparent in our engagement including by providing greater clarity on purpose and how stakeholder input has informed our decisions.</w:t>
      </w:r>
    </w:p>
    <w:p w:rsidR="002451ED" w:rsidRPr="002451ED" w:rsidRDefault="002451ED" w:rsidP="001C789C">
      <w:pPr>
        <w:pStyle w:val="Heading3"/>
      </w:pPr>
      <w:bookmarkStart w:id="74" w:name="_Toc486235335"/>
      <w:r>
        <w:t xml:space="preserve">Explaining the purpose </w:t>
      </w:r>
      <w:r w:rsidRPr="002451ED">
        <w:t>and approach</w:t>
      </w:r>
      <w:bookmarkEnd w:id="74"/>
      <w:r w:rsidRPr="002451ED">
        <w:t xml:space="preserve"> </w:t>
      </w:r>
    </w:p>
    <w:p w:rsidR="002451ED" w:rsidRPr="002451ED" w:rsidRDefault="002451ED" w:rsidP="002451ED">
      <w:r>
        <w:t>S</w:t>
      </w:r>
      <w:r w:rsidRPr="002451ED">
        <w:t>takeholders suggested that we could be more specific about the context and objectives for each engagement process</w:t>
      </w:r>
      <w:r w:rsidR="002A5A3E">
        <w:t>,</w:t>
      </w:r>
      <w:r w:rsidRPr="002451ED">
        <w:t xml:space="preserve"> as well as the proposed approach. Some</w:t>
      </w:r>
      <w:r w:rsidR="00D55BE0">
        <w:t xml:space="preserve"> </w:t>
      </w:r>
      <w:r w:rsidRPr="002451ED">
        <w:t xml:space="preserve">thought the ‘level’ of engagement we were using could be more clearly specified and one in particular felt that </w:t>
      </w:r>
      <w:r w:rsidR="002A5A3E">
        <w:t>we could be clearer</w:t>
      </w:r>
      <w:r w:rsidRPr="002451ED">
        <w:t xml:space="preserve"> with stakeholders other than network service providers </w:t>
      </w:r>
      <w:r w:rsidR="002A5A3E">
        <w:t>about</w:t>
      </w:r>
      <w:r w:rsidRPr="002451ED">
        <w:t xml:space="preserve"> how those stakeholders could participate in our processes.</w:t>
      </w:r>
    </w:p>
    <w:p w:rsidR="002451ED" w:rsidRPr="002451ED" w:rsidRDefault="002451ED" w:rsidP="002451ED">
      <w:r w:rsidRPr="006E785A">
        <w:t>To address</w:t>
      </w:r>
      <w:r w:rsidRPr="002451ED">
        <w:t xml:space="preserve"> these concerns, we are committing to outlining our aims </w:t>
      </w:r>
      <w:r w:rsidR="002A5A3E" w:rsidRPr="002451ED">
        <w:t xml:space="preserve">clearly </w:t>
      </w:r>
      <w:r w:rsidRPr="002451ED">
        <w:t>at the start of each process, specifying which engagement approaches we will be using and indicating how stakeholders can be involved.</w:t>
      </w:r>
    </w:p>
    <w:p w:rsidR="002451ED" w:rsidRPr="002451ED" w:rsidRDefault="002451ED" w:rsidP="002451ED">
      <w:r w:rsidRPr="008D1262">
        <w:t>As part of the review process, we will be</w:t>
      </w:r>
      <w:r w:rsidR="00DC24D4">
        <w:t xml:space="preserve"> </w:t>
      </w:r>
      <w:r w:rsidR="002A5A3E">
        <w:t>develop</w:t>
      </w:r>
      <w:r w:rsidR="00D80704">
        <w:t>ing</w:t>
      </w:r>
      <w:r w:rsidRPr="008D1262">
        <w:t xml:space="preserve"> more tools and support to </w:t>
      </w:r>
      <w:r w:rsidR="002A5A3E">
        <w:t>help</w:t>
      </w:r>
      <w:r w:rsidR="002A5A3E" w:rsidRPr="008D1262">
        <w:t xml:space="preserve"> </w:t>
      </w:r>
      <w:r w:rsidR="002A5A3E">
        <w:t>AER project teams plan</w:t>
      </w:r>
      <w:r w:rsidRPr="008D1262">
        <w:t xml:space="preserve"> consultations and engagements. These will include prompts to provide information about the context of each consultation and to explore possibilities for coordinating with other engagement activities planned by us and other organisations. It will also include publishing information </w:t>
      </w:r>
      <w:r w:rsidR="00D55BE0">
        <w:t>about</w:t>
      </w:r>
      <w:r w:rsidR="00D55BE0" w:rsidRPr="008D1262">
        <w:t xml:space="preserve"> </w:t>
      </w:r>
      <w:r w:rsidRPr="008D1262">
        <w:t xml:space="preserve">our process </w:t>
      </w:r>
      <w:r w:rsidR="00C40494">
        <w:t xml:space="preserve">and the </w:t>
      </w:r>
      <w:r w:rsidR="00AD507D">
        <w:t>relevant</w:t>
      </w:r>
      <w:r w:rsidR="00C40494">
        <w:t xml:space="preserve"> contacts </w:t>
      </w:r>
      <w:r w:rsidRPr="008D1262">
        <w:t>at the start of each consultation and</w:t>
      </w:r>
      <w:r w:rsidR="006C19CF">
        <w:t>,</w:t>
      </w:r>
      <w:r w:rsidRPr="008D1262">
        <w:t xml:space="preserve"> if possible, seeking early views on this process</w:t>
      </w:r>
      <w:r w:rsidR="00D55BE0">
        <w:t>,</w:t>
      </w:r>
      <w:r w:rsidRPr="008D1262">
        <w:t xml:space="preserve"> as well as the timing for input.</w:t>
      </w:r>
    </w:p>
    <w:p w:rsidR="002451ED" w:rsidRPr="002451ED" w:rsidRDefault="002451ED" w:rsidP="001C789C">
      <w:pPr>
        <w:pStyle w:val="Heading3"/>
      </w:pPr>
      <w:bookmarkStart w:id="75" w:name="_Toc486235336"/>
      <w:r>
        <w:t xml:space="preserve">Reporting on how stakeholder </w:t>
      </w:r>
      <w:r w:rsidRPr="002451ED">
        <w:t>input informed our decision</w:t>
      </w:r>
      <w:bookmarkEnd w:id="75"/>
    </w:p>
    <w:p w:rsidR="002451ED" w:rsidRDefault="002451ED" w:rsidP="002451ED">
      <w:r>
        <w:t xml:space="preserve">While stakeholders acknowledged that there has been improvement </w:t>
      </w:r>
      <w:r w:rsidR="00D55BE0">
        <w:t xml:space="preserve">over time </w:t>
      </w:r>
      <w:r>
        <w:t xml:space="preserve">in our reporting </w:t>
      </w:r>
      <w:r w:rsidR="00D55BE0">
        <w:t xml:space="preserve">of </w:t>
      </w:r>
      <w:r>
        <w:t xml:space="preserve">how we used stakeholder input, they suggested more could be done particularly in network resets. Most felt it was important for the AER to acknowledge the input it received, and when </w:t>
      </w:r>
      <w:r w:rsidR="002B1791">
        <w:t xml:space="preserve">we are </w:t>
      </w:r>
      <w:r>
        <w:t xml:space="preserve">not able to </w:t>
      </w:r>
      <w:r w:rsidR="002B1791">
        <w:t>apply particular input</w:t>
      </w:r>
      <w:r>
        <w:t xml:space="preserve"> to set out the reasons for this. Stakeholders also saw benefit in setting out trade-offs that may have occurred in reaching a decision as well as the consideration given to network businesses' own engagement processes and outputs</w:t>
      </w:r>
      <w:r w:rsidR="00D55BE0">
        <w:t>.</w:t>
      </w:r>
      <w:r>
        <w:t xml:space="preserve"> </w:t>
      </w:r>
      <w:r w:rsidR="00D55BE0">
        <w:t>F</w:t>
      </w:r>
      <w:r>
        <w:t xml:space="preserve">or example, </w:t>
      </w:r>
      <w:r w:rsidR="00D55BE0">
        <w:t xml:space="preserve">we could provide </w:t>
      </w:r>
      <w:r>
        <w:t>greater clarity around the ability for customer preferences to be reflected in regulatory decisions and whether the AER had in-principle concerns with specific me</w:t>
      </w:r>
      <w:r w:rsidR="002B1791">
        <w:t>thodologies such as willingness-to-</w:t>
      </w:r>
      <w:r>
        <w:t xml:space="preserve">pay studies. </w:t>
      </w:r>
    </w:p>
    <w:p w:rsidR="002451ED" w:rsidRDefault="002451ED" w:rsidP="002451ED">
      <w:r>
        <w:t xml:space="preserve">It was also suggested that we </w:t>
      </w:r>
      <w:r w:rsidR="00D55BE0">
        <w:t>consider</w:t>
      </w:r>
      <w:r>
        <w:t xml:space="preserve"> publishing a summary, alongside our regulatory decision, that sets out how the feedback we received has been incorporated into our decision. Some stakeholders also suggested that we do regular 'testing' that all contributions have been captured to ensure transparency. </w:t>
      </w:r>
    </w:p>
    <w:p w:rsidR="002451ED" w:rsidRPr="002451ED" w:rsidRDefault="002451ED" w:rsidP="002451ED">
      <w:r w:rsidRPr="003A08E4">
        <w:t xml:space="preserve">We agree that it is important that stakeholders are aware of how input has informed our decisions. </w:t>
      </w:r>
      <w:r>
        <w:t>We recognise that our stakeholders want us to do more, particularly in the area of network revenue determinations</w:t>
      </w:r>
      <w:r w:rsidR="00B23AE5">
        <w:t xml:space="preserve">. </w:t>
      </w:r>
      <w:r w:rsidR="00B23AE5" w:rsidRPr="00B23AE5">
        <w:t xml:space="preserve">We are looking at practical solutions </w:t>
      </w:r>
      <w:r w:rsidR="00B23AE5">
        <w:t xml:space="preserve">that will </w:t>
      </w:r>
      <w:r w:rsidR="00B23AE5" w:rsidRPr="00B23AE5">
        <w:t xml:space="preserve">build on our current practices </w:t>
      </w:r>
      <w:r w:rsidR="00B23AE5">
        <w:t xml:space="preserve">to and </w:t>
      </w:r>
      <w:r>
        <w:t>help close th</w:t>
      </w:r>
      <w:r w:rsidR="00B23AE5">
        <w:t>is</w:t>
      </w:r>
      <w:r>
        <w:t xml:space="preserve"> gap </w:t>
      </w:r>
      <w:r w:rsidR="00B23AE5">
        <w:t xml:space="preserve">including the use of tables to summarise the input we have received and </w:t>
      </w:r>
      <w:r w:rsidR="002B1791">
        <w:t>indicate</w:t>
      </w:r>
      <w:r w:rsidR="00B23AE5">
        <w:t xml:space="preserve"> how it was taken into consideration.</w:t>
      </w:r>
      <w:r>
        <w:t xml:space="preserve"> </w:t>
      </w:r>
    </w:p>
    <w:p w:rsidR="002451ED" w:rsidRDefault="002451ED" w:rsidP="002451ED">
      <w:r w:rsidRPr="008D1262">
        <w:t xml:space="preserve">Some of our stakeholders have also asked how we weigh up key areas and submissions when making our decisions. </w:t>
      </w:r>
      <w:r w:rsidRPr="002451ED">
        <w:t xml:space="preserve">Our aim is to ensure that our decision documents set out this process so stakeholders can follow and understand how we formed our views and how their input informed our decisions. Our decisions are made after consideration of a range of information which may include businesses' regulatory proposals, stakeholder submissions, external consultants' reports and our own technical analysis. We do not apply weightings to any particular issues or stakeholder groups but instead factor in all of the information we have, including our own analysis, to come to a conclusion about what, in our expert opinion, is the best decision in all of the circumstances. </w:t>
      </w:r>
    </w:p>
    <w:p w:rsidR="002B1791" w:rsidRDefault="002B1791" w:rsidP="002451ED"/>
    <w:p w:rsidR="002451ED" w:rsidRPr="002451ED" w:rsidRDefault="002451ED" w:rsidP="001C789C">
      <w:pPr>
        <w:pStyle w:val="Heading3"/>
      </w:pPr>
      <w:bookmarkStart w:id="76" w:name="_Toc486235337"/>
      <w:r>
        <w:t>Being t</w:t>
      </w:r>
      <w:r w:rsidRPr="002451ED">
        <w:t>ransparent in this process</w:t>
      </w:r>
      <w:bookmarkEnd w:id="76"/>
    </w:p>
    <w:p w:rsidR="002451ED" w:rsidRPr="002451ED" w:rsidRDefault="002451ED" w:rsidP="002451ED">
      <w:r>
        <w:t xml:space="preserve">To ensure transparency in </w:t>
      </w:r>
      <w:r w:rsidRPr="002451ED">
        <w:t>our own review process, this section reports on some feedback which we have already responded to directly</w:t>
      </w:r>
      <w:r w:rsidR="006C19CF">
        <w:t xml:space="preserve">. </w:t>
      </w:r>
    </w:p>
    <w:p w:rsidR="002451ED" w:rsidRPr="002451ED" w:rsidRDefault="002451ED" w:rsidP="002451ED">
      <w:r w:rsidRPr="008945D5">
        <w:t xml:space="preserve">Some stakeholders raised particular issues around the regulation of embedded networks, including the </w:t>
      </w:r>
      <w:r w:rsidRPr="002451ED">
        <w:t>overlapping and sometimes conflicting regulatory requirements</w:t>
      </w:r>
      <w:r w:rsidR="00D55BE0">
        <w:t>,</w:t>
      </w:r>
      <w:r w:rsidRPr="002451ED">
        <w:t xml:space="preserve"> </w:t>
      </w:r>
      <w:r w:rsidR="00D55BE0">
        <w:t xml:space="preserve">the </w:t>
      </w:r>
      <w:r w:rsidRPr="002451ED">
        <w:t>time and resources needed to meet the new guideline</w:t>
      </w:r>
      <w:r w:rsidR="002B1791">
        <w:t>s, and establishing an industry-</w:t>
      </w:r>
      <w:r w:rsidRPr="002451ED">
        <w:t>specific participant consultative group</w:t>
      </w:r>
      <w:r w:rsidR="00D55BE0">
        <w:t>.</w:t>
      </w:r>
      <w:r w:rsidRPr="002451ED">
        <w:t xml:space="preserve"> Due to the specific nature of their concerns, we have responded directly to these stakeholders to exp</w:t>
      </w:r>
      <w:r w:rsidR="002B1791">
        <w:t>lain the work we do with policy</w:t>
      </w:r>
      <w:r w:rsidRPr="002451ED">
        <w:t>makers and other regulatory agencies to minimise any overlap or conflict, why the new guidelines were necessary to protect consumers and that we do not propose to establish an industry participant consultative group at this time.</w:t>
      </w:r>
    </w:p>
    <w:p w:rsidR="002451ED" w:rsidRPr="002451ED" w:rsidRDefault="002451ED" w:rsidP="001C789C">
      <w:pPr>
        <w:pStyle w:val="Heading2"/>
      </w:pPr>
      <w:bookmarkStart w:id="77" w:name="_Toc481765383"/>
      <w:bookmarkStart w:id="78" w:name="_Toc481765384"/>
      <w:bookmarkStart w:id="79" w:name="_Toc481765386"/>
      <w:bookmarkStart w:id="80" w:name="_Toc486235338"/>
      <w:bookmarkEnd w:id="77"/>
      <w:bookmarkEnd w:id="78"/>
      <w:bookmarkEnd w:id="79"/>
      <w:r>
        <w:t xml:space="preserve">Principle 4 </w:t>
      </w:r>
      <w:r w:rsidRPr="002451ED">
        <w:t>– Ensuring the effectiveness of our engagement is measurable</w:t>
      </w:r>
      <w:bookmarkEnd w:id="80"/>
    </w:p>
    <w:p w:rsidR="002451ED" w:rsidRPr="002451ED" w:rsidRDefault="002451ED" w:rsidP="002451ED">
      <w:r w:rsidRPr="007034E7">
        <w:t xml:space="preserve">Some stakeholders suggested that </w:t>
      </w:r>
      <w:r w:rsidRPr="002451ED">
        <w:t>we could do more to monitor whether the Framework principles ha</w:t>
      </w:r>
      <w:r w:rsidR="00FA2826">
        <w:t>ve</w:t>
      </w:r>
      <w:r w:rsidRPr="002451ED">
        <w:t xml:space="preserve"> been met and to seek feedback on the outcomes of our engagement. They generally agreed that more could be done to measure success against clear objectives for each engagement process. Some suggested that checks, measures and changes needed to happen throughout, with a more comprehensive assessment at the end of the process. It was also considered important to ensure that the assessment method was timely and suited the project and the respondents. In addition to surveys, stakeholders thought having a ‘lessons learnt’ and feedback session at the end of each major project would be valuable. </w:t>
      </w:r>
    </w:p>
    <w:p w:rsidR="002451ED" w:rsidRPr="002451ED" w:rsidRDefault="002451ED" w:rsidP="002451ED">
      <w:r w:rsidRPr="007034E7">
        <w:t xml:space="preserve">We </w:t>
      </w:r>
      <w:r w:rsidRPr="002451ED">
        <w:t>agree that we can improve the way we monitor and evaluate the overall effectiveness of our engagement.</w:t>
      </w:r>
      <w:r w:rsidR="00F51FE7">
        <w:t xml:space="preserve"> </w:t>
      </w:r>
      <w:r w:rsidRPr="007034E7">
        <w:t xml:space="preserve">The draft revised Framework retains commitments that we will seek feedback on our engagement activities, using a range of methods (including monitoring our progress through our stakeholder survey) to evaluate their effectiveness and use this information to continuously improve. We have also committed to reporting on our engagement activities and their effectiveness on our website and in our annual report. </w:t>
      </w:r>
    </w:p>
    <w:p w:rsidR="002451ED" w:rsidRPr="002451ED" w:rsidRDefault="002451ED" w:rsidP="002451ED">
      <w:r w:rsidRPr="007034E7">
        <w:t xml:space="preserve">We are open to receiving </w:t>
      </w:r>
      <w:r w:rsidR="002B1791">
        <w:t xml:space="preserve">stakeholder </w:t>
      </w:r>
      <w:r w:rsidRPr="007034E7">
        <w:t xml:space="preserve">feedback about our processes at any time. We will be looking to improve our internal processes to ensure that the methods we use to seek feedback on our engagement are timely and suited to the particular process and respondents. We also </w:t>
      </w:r>
      <w:r w:rsidR="00FA2826">
        <w:t>want</w:t>
      </w:r>
      <w:r w:rsidRPr="007034E7">
        <w:t xml:space="preserve"> to improve our internal processes to evaluate the feedback received and share 'lessons learnt’. This will include choosing a few significant projects to undergo a peer review style assessment. </w:t>
      </w:r>
    </w:p>
    <w:p w:rsidR="002451ED" w:rsidRPr="002451ED" w:rsidRDefault="002451ED" w:rsidP="001C789C">
      <w:pPr>
        <w:pStyle w:val="Heading2"/>
      </w:pPr>
      <w:bookmarkStart w:id="81" w:name="_Toc486235339"/>
      <w:r w:rsidRPr="009B2C0C">
        <w:t>Other issues raised</w:t>
      </w:r>
      <w:bookmarkEnd w:id="81"/>
    </w:p>
    <w:p w:rsidR="002451ED" w:rsidRDefault="002451ED" w:rsidP="002451ED">
      <w:r w:rsidRPr="005D2AEE">
        <w:t>Some stakeholders noted a strong improvement in engagement with the Consumer Challenge Panel</w:t>
      </w:r>
      <w:r w:rsidR="00FC38D0">
        <w:t>.,</w:t>
      </w:r>
      <w:r w:rsidRPr="005D2AEE">
        <w:t xml:space="preserve"> including its new governance framework and improved timeframes for input</w:t>
      </w:r>
      <w:r w:rsidR="00FC38D0">
        <w:t>,</w:t>
      </w:r>
      <w:r w:rsidRPr="005D2AEE">
        <w:t xml:space="preserve"> and suggested that this may provide some learnings for the AER’s Customer Consultative Group (CCG). In response to this feedback,</w:t>
      </w:r>
      <w:r>
        <w:t xml:space="preserve"> we will look at applying </w:t>
      </w:r>
      <w:r w:rsidR="00FA2826">
        <w:t xml:space="preserve">lessons </w:t>
      </w:r>
      <w:r>
        <w:t>from this process to our other consultation groups, including our CCG</w:t>
      </w:r>
      <w:r w:rsidR="00FA2826">
        <w:t>,</w:t>
      </w:r>
      <w:r>
        <w:t xml:space="preserve"> and </w:t>
      </w:r>
      <w:r w:rsidRPr="005D2AEE">
        <w:t xml:space="preserve">identify where those may assist our processes, noting the different roles and functions of the </w:t>
      </w:r>
      <w:r w:rsidR="00202EDF">
        <w:t xml:space="preserve">various </w:t>
      </w:r>
      <w:r w:rsidR="009B2F83">
        <w:t>groups</w:t>
      </w:r>
      <w:r w:rsidRPr="005D2AEE">
        <w:t>.</w:t>
      </w:r>
    </w:p>
    <w:p w:rsidR="00CC6985" w:rsidRPr="001713F6" w:rsidRDefault="004536AD" w:rsidP="001C789C">
      <w:pPr>
        <w:pStyle w:val="Heading1"/>
      </w:pPr>
      <w:bookmarkStart w:id="82" w:name="_Toc486235340"/>
      <w:r w:rsidRPr="001713F6">
        <w:t>How to have your say</w:t>
      </w:r>
      <w:bookmarkEnd w:id="82"/>
    </w:p>
    <w:p w:rsidR="004536AD" w:rsidRDefault="004536AD" w:rsidP="00601B70">
      <w:r>
        <w:t>We encourage feedback on the new draft Framework</w:t>
      </w:r>
      <w:r w:rsidR="00ED1D9E">
        <w:t xml:space="preserve"> and the </w:t>
      </w:r>
      <w:r w:rsidR="00FA2826">
        <w:t xml:space="preserve">wider </w:t>
      </w:r>
      <w:r w:rsidR="00ED1D9E">
        <w:t>proposals in this paper</w:t>
      </w:r>
      <w:r>
        <w:t xml:space="preserve">, both from individuals and organisations who have already provided input to this project and those who might wish to make comments for the first time. </w:t>
      </w:r>
    </w:p>
    <w:p w:rsidR="00601B70" w:rsidRDefault="00601B70" w:rsidP="00601B70">
      <w:r>
        <w:t xml:space="preserve">Submissions to this </w:t>
      </w:r>
      <w:r w:rsidR="00D61DA2">
        <w:t xml:space="preserve">consultation paper </w:t>
      </w:r>
      <w:r w:rsidR="00B40B45">
        <w:t xml:space="preserve">are due by 5 pm </w:t>
      </w:r>
      <w:r w:rsidR="00D61DA2">
        <w:t xml:space="preserve">on </w:t>
      </w:r>
      <w:r w:rsidR="00D61DA2" w:rsidRPr="00CD5E59">
        <w:rPr>
          <w:rStyle w:val="Strong"/>
        </w:rPr>
        <w:t xml:space="preserve">Friday </w:t>
      </w:r>
      <w:r w:rsidR="005D287B">
        <w:rPr>
          <w:rStyle w:val="Strong"/>
        </w:rPr>
        <w:t>28</w:t>
      </w:r>
      <w:r w:rsidR="00E02133">
        <w:rPr>
          <w:rStyle w:val="Strong"/>
        </w:rPr>
        <w:t xml:space="preserve"> July </w:t>
      </w:r>
      <w:r w:rsidR="00D61DA2" w:rsidRPr="00CD5E59">
        <w:rPr>
          <w:rStyle w:val="Strong"/>
        </w:rPr>
        <w:t>2017.</w:t>
      </w:r>
      <w:r w:rsidR="00D61DA2">
        <w:t xml:space="preserve"> </w:t>
      </w:r>
    </w:p>
    <w:p w:rsidR="000D6CEB" w:rsidRDefault="00B40B45" w:rsidP="00815D4E">
      <w:r>
        <w:t xml:space="preserve">We </w:t>
      </w:r>
      <w:r w:rsidR="00815D4E" w:rsidRPr="00815D4E">
        <w:t>are flexib</w:t>
      </w:r>
      <w:r w:rsidR="009D6F6A">
        <w:t>le in how we obtain your input, i</w:t>
      </w:r>
      <w:r w:rsidR="005B0946" w:rsidRPr="000D6CEB">
        <w:t>ncluding</w:t>
      </w:r>
      <w:r w:rsidR="000D6CEB" w:rsidRPr="000D6CEB">
        <w:t xml:space="preserve"> through e-mails, face-to face meetings and telephone conversations</w:t>
      </w:r>
      <w:r w:rsidR="000D6CEB">
        <w:t>.</w:t>
      </w:r>
    </w:p>
    <w:p w:rsidR="00815D4E" w:rsidRPr="00815D4E" w:rsidRDefault="00815D4E" w:rsidP="00815D4E">
      <w:r w:rsidRPr="00815D4E">
        <w:t xml:space="preserve">Written responses can be sent electronically to </w:t>
      </w:r>
      <w:hyperlink r:id="rId43" w:history="1">
        <w:r w:rsidR="004536AD" w:rsidRPr="00952848">
          <w:rPr>
            <w:rStyle w:val="Hyperlink"/>
          </w:rPr>
          <w:t>SEFreview@aer.gov.au</w:t>
        </w:r>
      </w:hyperlink>
      <w:r w:rsidRPr="00815D4E">
        <w:t xml:space="preserve"> or mailed to:</w:t>
      </w:r>
    </w:p>
    <w:p w:rsidR="00815D4E" w:rsidRDefault="00815D4E" w:rsidP="00815D4E">
      <w:r w:rsidRPr="00815D4E">
        <w:t>Stakeholder Engagement Framework Review</w:t>
      </w:r>
      <w:r w:rsidR="00110FE6">
        <w:br/>
      </w:r>
      <w:r w:rsidRPr="00815D4E">
        <w:t>Australian Energy Regulator</w:t>
      </w:r>
      <w:r w:rsidR="00110FE6">
        <w:br/>
      </w:r>
      <w:r w:rsidRPr="00815D4E">
        <w:t>GPO Box 520</w:t>
      </w:r>
      <w:r w:rsidR="00110FE6">
        <w:br/>
      </w:r>
      <w:r w:rsidRPr="00815D4E">
        <w:t>MELBOURNE VIC 3001</w:t>
      </w:r>
    </w:p>
    <w:p w:rsidR="00815D4E" w:rsidRDefault="00815D4E" w:rsidP="00815D4E">
      <w:r>
        <w:t xml:space="preserve">Or please contact us at </w:t>
      </w:r>
      <w:hyperlink r:id="rId44" w:history="1">
        <w:r w:rsidRPr="001F7A83">
          <w:rPr>
            <w:rStyle w:val="Hyperlink"/>
          </w:rPr>
          <w:t>SEFreview@aer.gov.au</w:t>
        </w:r>
      </w:hyperlink>
      <w:r>
        <w:t xml:space="preserve"> if you would like to set up a time </w:t>
      </w:r>
      <w:r w:rsidR="00463F56">
        <w:t>to discuss your views with us instead.</w:t>
      </w:r>
    </w:p>
    <w:p w:rsidR="00CD5E59" w:rsidRDefault="00CD5E59" w:rsidP="00815D4E">
      <w:r>
        <w:t xml:space="preserve">The feedback that we receive in response to this </w:t>
      </w:r>
      <w:r w:rsidR="00B40B45">
        <w:t>c</w:t>
      </w:r>
      <w:r>
        <w:t xml:space="preserve">onsultation paper </w:t>
      </w:r>
      <w:r w:rsidRPr="00CD5E59">
        <w:t xml:space="preserve">will be used to inform our final revised Stakeholder Engagement Framework which we are expecting to publish </w:t>
      </w:r>
      <w:r w:rsidR="00364FEE">
        <w:t>by September</w:t>
      </w:r>
      <w:r w:rsidR="00364FEE" w:rsidRPr="00CD5E59">
        <w:t xml:space="preserve"> </w:t>
      </w:r>
      <w:r w:rsidRPr="00CD5E59">
        <w:t>2017.</w:t>
      </w:r>
    </w:p>
    <w:bookmarkEnd w:id="1"/>
    <w:p w:rsidR="00614B0D" w:rsidRPr="00601B70" w:rsidRDefault="00614B0D" w:rsidP="00614B0D">
      <w:pPr>
        <w:rPr>
          <w:rStyle w:val="Strong"/>
        </w:rPr>
      </w:pPr>
    </w:p>
    <w:sectPr w:rsidR="00614B0D" w:rsidRPr="00601B70" w:rsidSect="00592106">
      <w:footerReference w:type="even" r:id="rId45"/>
      <w:footerReference w:type="default" r:id="rId46"/>
      <w:footerReference w:type="first" r:id="rId47"/>
      <w:pgSz w:w="11906" w:h="16838"/>
      <w:pgMar w:top="1440" w:right="1440" w:bottom="1361" w:left="1440" w:header="709" w:footer="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24" w:rsidRDefault="00590A24" w:rsidP="004B4412">
      <w:pPr>
        <w:spacing w:before="0"/>
      </w:pPr>
      <w:r>
        <w:separator/>
      </w:r>
    </w:p>
    <w:p w:rsidR="00590A24" w:rsidRDefault="00590A24"/>
    <w:p w:rsidR="00590A24" w:rsidRDefault="00590A24"/>
  </w:endnote>
  <w:endnote w:type="continuationSeparator" w:id="0">
    <w:p w:rsidR="00590A24" w:rsidRDefault="00590A24" w:rsidP="004B4412">
      <w:pPr>
        <w:spacing w:before="0"/>
      </w:pPr>
      <w:r>
        <w:continuationSeparator/>
      </w:r>
    </w:p>
    <w:p w:rsidR="00590A24" w:rsidRDefault="00590A24"/>
    <w:p w:rsidR="00590A24" w:rsidRDefault="0059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1F" w:rsidRDefault="00C45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24" w:rsidRPr="007A4D1F" w:rsidRDefault="00590A24" w:rsidP="00180CE8">
    <w:pPr>
      <w:pStyle w:val="Footer"/>
      <w:rPr>
        <w:rFonts w:eastAsia="Arial" w:cs="Times New Roman"/>
      </w:rPr>
    </w:pPr>
    <w:r>
      <w:t>Draft Revised Stakeholder Engagement Framework</w:t>
    </w:r>
    <w:r w:rsidRPr="007A4D1F">
      <w:rPr>
        <w:rFonts w:eastAsia="Arial" w:cs="Times New Roman"/>
      </w:rPr>
      <w:tab/>
    </w:r>
    <w:r w:rsidRPr="007A4D1F">
      <w:rPr>
        <w:rFonts w:eastAsia="Arial" w:cs="Times New Roman"/>
      </w:rPr>
      <w:tab/>
    </w:r>
    <w:r w:rsidRPr="007A4D1F">
      <w:rPr>
        <w:rFonts w:eastAsia="Arial" w:cs="Times New Roman"/>
      </w:rP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1F4AB1">
      <w:rPr>
        <w:rFonts w:eastAsia="Arial" w:cs="Times New Roman"/>
        <w:noProof/>
      </w:rPr>
      <w:t>ii</w:t>
    </w:r>
    <w:r w:rsidRPr="007A4D1F">
      <w:rPr>
        <w:rFonts w:eastAsia="Arial" w:cs="Times New Roman"/>
        <w:noProof/>
      </w:rPr>
      <w:fldChar w:fldCharType="end"/>
    </w:r>
    <w:r w:rsidRPr="007A4D1F">
      <w:rPr>
        <w:rFonts w:eastAsia="Arial" w:cs="Times New Roman"/>
      </w:rPr>
      <w:tab/>
    </w:r>
  </w:p>
  <w:p w:rsidR="00590A24" w:rsidRDefault="00590A24"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1F" w:rsidRDefault="00C454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24" w:rsidRPr="00A91A9E" w:rsidRDefault="00590A24" w:rsidP="00AE14C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90A24" w:rsidRDefault="00590A24"/>
  <w:p w:rsidR="00590A24" w:rsidRDefault="00590A2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24" w:rsidRPr="0072481A" w:rsidRDefault="00C4541F" w:rsidP="0072481A">
    <w:pPr>
      <w:pStyle w:val="Footer"/>
    </w:pPr>
    <w:fldSimple w:instr=" STYLEREF  &quot;Report Title&quot;  \* MERGEFORMAT ">
      <w:r w:rsidR="001F4AB1" w:rsidRPr="001F4AB1">
        <w:rPr>
          <w:noProof/>
          <w:lang w:val="en-US"/>
        </w:rPr>
        <w:t xml:space="preserve">Draft </w:t>
      </w:r>
      <w:r w:rsidR="001F4AB1">
        <w:rPr>
          <w:noProof/>
        </w:rPr>
        <w:t>Revised Stakeholder Engagement Framework</w:t>
      </w:r>
    </w:fldSimple>
    <w:r w:rsidR="00590A24" w:rsidRPr="0072481A">
      <w:tab/>
    </w:r>
    <w:r w:rsidR="00590A24" w:rsidRPr="0072481A">
      <w:tab/>
    </w:r>
    <w:r w:rsidR="00590A24" w:rsidRPr="0072481A">
      <w:fldChar w:fldCharType="begin"/>
    </w:r>
    <w:r w:rsidR="00590A24" w:rsidRPr="0072481A">
      <w:instrText xml:space="preserve"> PAGE   \* MERGEFORMAT </w:instrText>
    </w:r>
    <w:r w:rsidR="00590A24" w:rsidRPr="0072481A">
      <w:fldChar w:fldCharType="separate"/>
    </w:r>
    <w:r w:rsidR="001F4AB1">
      <w:rPr>
        <w:noProof/>
      </w:rPr>
      <w:t>25</w:t>
    </w:r>
    <w:r w:rsidR="00590A24" w:rsidRPr="0072481A">
      <w:fldChar w:fldCharType="end"/>
    </w:r>
  </w:p>
  <w:p w:rsidR="00590A24" w:rsidRDefault="00590A24"/>
  <w:p w:rsidR="00590A24" w:rsidRDefault="00590A2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24" w:rsidRDefault="00C4541F" w:rsidP="00042FB4">
    <w:pPr>
      <w:pStyle w:val="Footer"/>
    </w:pPr>
    <w:fldSimple w:instr=" STYLEREF  &quot;Report Title&quot;  \* MERGEFORMAT ">
      <w:r w:rsidR="001F4AB1" w:rsidRPr="001F4AB1">
        <w:rPr>
          <w:noProof/>
          <w:lang w:val="en-US"/>
        </w:rPr>
        <w:t>Draft</w:t>
      </w:r>
      <w:r w:rsidR="001F4AB1">
        <w:rPr>
          <w:noProof/>
        </w:rPr>
        <w:t xml:space="preserve"> Revised Stakeholder Engagement Framework</w:t>
      </w:r>
    </w:fldSimple>
    <w:r w:rsidR="00590A24">
      <w:tab/>
    </w:r>
    <w:r w:rsidR="00590A24">
      <w:tab/>
    </w:r>
    <w:r w:rsidR="00590A24">
      <w:fldChar w:fldCharType="begin"/>
    </w:r>
    <w:r w:rsidR="00590A24">
      <w:instrText xml:space="preserve"> PAGE   \* MERGEFORMAT </w:instrText>
    </w:r>
    <w:r w:rsidR="00590A24">
      <w:fldChar w:fldCharType="separate"/>
    </w:r>
    <w:r w:rsidR="001F4AB1">
      <w:rPr>
        <w:noProof/>
      </w:rPr>
      <w:t>1</w:t>
    </w:r>
    <w:r w:rsidR="00590A24">
      <w:fldChar w:fldCharType="end"/>
    </w:r>
  </w:p>
  <w:p w:rsidR="00590A24" w:rsidRDefault="00590A24"/>
  <w:p w:rsidR="00590A24" w:rsidRDefault="00590A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24" w:rsidRDefault="00590A24" w:rsidP="00182906">
      <w:pPr>
        <w:spacing w:before="0"/>
      </w:pPr>
      <w:r>
        <w:separator/>
      </w:r>
    </w:p>
  </w:footnote>
  <w:footnote w:type="continuationSeparator" w:id="0">
    <w:p w:rsidR="00590A24" w:rsidRDefault="00590A24" w:rsidP="00182906">
      <w:pPr>
        <w:spacing w:before="0"/>
      </w:pPr>
      <w:r>
        <w:continuationSeparator/>
      </w:r>
    </w:p>
  </w:footnote>
  <w:footnote w:type="continuationNotice" w:id="1">
    <w:p w:rsidR="00590A24" w:rsidRDefault="00590A24">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1F" w:rsidRDefault="00C45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1F" w:rsidRDefault="00C45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1F" w:rsidRDefault="00C45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12605A"/>
    <w:lvl w:ilvl="0">
      <w:start w:val="1"/>
      <w:numFmt w:val="decimal"/>
      <w:pStyle w:val="ListNumber"/>
      <w:lvlText w:val="%1."/>
      <w:lvlJc w:val="left"/>
      <w:pPr>
        <w:tabs>
          <w:tab w:val="num" w:pos="360"/>
        </w:tabs>
        <w:ind w:left="360" w:hanging="360"/>
      </w:pPr>
    </w:lvl>
  </w:abstractNum>
  <w:abstractNum w:abstractNumId="9">
    <w:nsid w:val="FFFFFF89"/>
    <w:multiLevelType w:val="singleLevel"/>
    <w:tmpl w:val="C25E298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CA4120F"/>
    <w:multiLevelType w:val="hybridMultilevel"/>
    <w:tmpl w:val="E770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086138"/>
    <w:multiLevelType w:val="hybridMultilevel"/>
    <w:tmpl w:val="DE1E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3E7377C"/>
    <w:multiLevelType w:val="hybridMultilevel"/>
    <w:tmpl w:val="A2F03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8DA4E00"/>
    <w:multiLevelType w:val="hybridMultilevel"/>
    <w:tmpl w:val="3ACAB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EC68BD"/>
    <w:multiLevelType w:val="hybridMultilevel"/>
    <w:tmpl w:val="BDE45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002A63"/>
    <w:multiLevelType w:val="hybridMultilevel"/>
    <w:tmpl w:val="8BC8EC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5"/>
  </w:num>
  <w:num w:numId="15">
    <w:abstractNumId w:val="19"/>
  </w:num>
  <w:num w:numId="16">
    <w:abstractNumId w:val="26"/>
  </w:num>
  <w:num w:numId="17">
    <w:abstractNumId w:val="13"/>
  </w:num>
  <w:num w:numId="18">
    <w:abstractNumId w:val="21"/>
  </w:num>
  <w:num w:numId="19">
    <w:abstractNumId w:val="12"/>
  </w:num>
  <w:num w:numId="20">
    <w:abstractNumId w:val="27"/>
  </w:num>
  <w:num w:numId="21">
    <w:abstractNumId w:val="32"/>
  </w:num>
  <w:num w:numId="22">
    <w:abstractNumId w:val="20"/>
  </w:num>
  <w:num w:numId="23">
    <w:abstractNumId w:val="2"/>
    <w:lvlOverride w:ilvl="0">
      <w:startOverride w:val="1"/>
    </w:lvlOverride>
  </w:num>
  <w:num w:numId="24">
    <w:abstractNumId w:val="21"/>
    <w:lvlOverride w:ilvl="0">
      <w:startOverride w:val="1"/>
    </w:lvlOverride>
  </w:num>
  <w:num w:numId="25">
    <w:abstractNumId w:val="29"/>
  </w:num>
  <w:num w:numId="26">
    <w:abstractNumId w:val="25"/>
  </w:num>
  <w:num w:numId="27">
    <w:abstractNumId w:val="10"/>
  </w:num>
  <w:num w:numId="28">
    <w:abstractNumId w:val="17"/>
  </w:num>
  <w:num w:numId="29">
    <w:abstractNumId w:val="11"/>
  </w:num>
  <w:num w:numId="30">
    <w:abstractNumId w:val="2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34"/>
  </w:num>
  <w:num w:numId="38">
    <w:abstractNumId w:val="24"/>
  </w:num>
  <w:num w:numId="39">
    <w:abstractNumId w:val="33"/>
  </w:num>
  <w:num w:numId="40">
    <w:abstractNumId w:val="18"/>
  </w:num>
  <w:num w:numId="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9830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00\D17 58029  Consultation Paper - Draft Revised Stakeholder Engagement Framework - June 2017.DOCX"/>
  </w:docVars>
  <w:rsids>
    <w:rsidRoot w:val="00683933"/>
    <w:rsid w:val="000008A5"/>
    <w:rsid w:val="00005CFD"/>
    <w:rsid w:val="00011FD8"/>
    <w:rsid w:val="000122E7"/>
    <w:rsid w:val="00012370"/>
    <w:rsid w:val="00017579"/>
    <w:rsid w:val="00021202"/>
    <w:rsid w:val="000232BF"/>
    <w:rsid w:val="000236E3"/>
    <w:rsid w:val="0002517F"/>
    <w:rsid w:val="00026906"/>
    <w:rsid w:val="000327B2"/>
    <w:rsid w:val="00033447"/>
    <w:rsid w:val="00033F08"/>
    <w:rsid w:val="00034361"/>
    <w:rsid w:val="0003578C"/>
    <w:rsid w:val="00035C8C"/>
    <w:rsid w:val="000367FA"/>
    <w:rsid w:val="00042FB4"/>
    <w:rsid w:val="00045E18"/>
    <w:rsid w:val="00046D7C"/>
    <w:rsid w:val="0005347D"/>
    <w:rsid w:val="000621FE"/>
    <w:rsid w:val="00062F7F"/>
    <w:rsid w:val="00063247"/>
    <w:rsid w:val="00070F9F"/>
    <w:rsid w:val="0007137B"/>
    <w:rsid w:val="00074341"/>
    <w:rsid w:val="00076820"/>
    <w:rsid w:val="0008264C"/>
    <w:rsid w:val="00085663"/>
    <w:rsid w:val="00085EBF"/>
    <w:rsid w:val="00086B53"/>
    <w:rsid w:val="00091A4E"/>
    <w:rsid w:val="00091E4F"/>
    <w:rsid w:val="000A29A3"/>
    <w:rsid w:val="000A35A3"/>
    <w:rsid w:val="000A6C7B"/>
    <w:rsid w:val="000A7EFF"/>
    <w:rsid w:val="000B0067"/>
    <w:rsid w:val="000B110C"/>
    <w:rsid w:val="000B3241"/>
    <w:rsid w:val="000B62D4"/>
    <w:rsid w:val="000B7B68"/>
    <w:rsid w:val="000C27D3"/>
    <w:rsid w:val="000C4A1D"/>
    <w:rsid w:val="000D122C"/>
    <w:rsid w:val="000D41C8"/>
    <w:rsid w:val="000D493B"/>
    <w:rsid w:val="000D550D"/>
    <w:rsid w:val="000D6CEB"/>
    <w:rsid w:val="000E1819"/>
    <w:rsid w:val="000E4BEE"/>
    <w:rsid w:val="000E6C72"/>
    <w:rsid w:val="000E7F3B"/>
    <w:rsid w:val="000F0F42"/>
    <w:rsid w:val="000F14D8"/>
    <w:rsid w:val="00107CC7"/>
    <w:rsid w:val="00110FE6"/>
    <w:rsid w:val="00114423"/>
    <w:rsid w:val="00114A03"/>
    <w:rsid w:val="00115FC3"/>
    <w:rsid w:val="00116EB2"/>
    <w:rsid w:val="00117845"/>
    <w:rsid w:val="00120F83"/>
    <w:rsid w:val="001216C2"/>
    <w:rsid w:val="00124609"/>
    <w:rsid w:val="00124C9D"/>
    <w:rsid w:val="00125CCC"/>
    <w:rsid w:val="00130C3C"/>
    <w:rsid w:val="00134E13"/>
    <w:rsid w:val="0014227A"/>
    <w:rsid w:val="0014573B"/>
    <w:rsid w:val="0014639F"/>
    <w:rsid w:val="00150DA9"/>
    <w:rsid w:val="00150FD0"/>
    <w:rsid w:val="00151B16"/>
    <w:rsid w:val="00152646"/>
    <w:rsid w:val="00155CC0"/>
    <w:rsid w:val="001573E4"/>
    <w:rsid w:val="00160756"/>
    <w:rsid w:val="001677BD"/>
    <w:rsid w:val="00170114"/>
    <w:rsid w:val="00170562"/>
    <w:rsid w:val="001713F6"/>
    <w:rsid w:val="001715DA"/>
    <w:rsid w:val="0017232E"/>
    <w:rsid w:val="00173396"/>
    <w:rsid w:val="001733DA"/>
    <w:rsid w:val="00174102"/>
    <w:rsid w:val="00174620"/>
    <w:rsid w:val="00180157"/>
    <w:rsid w:val="00180C8F"/>
    <w:rsid w:val="00180CE8"/>
    <w:rsid w:val="00182405"/>
    <w:rsid w:val="00182906"/>
    <w:rsid w:val="0018421A"/>
    <w:rsid w:val="001842CA"/>
    <w:rsid w:val="00184C18"/>
    <w:rsid w:val="00185CB9"/>
    <w:rsid w:val="00186D28"/>
    <w:rsid w:val="00186F77"/>
    <w:rsid w:val="0018770E"/>
    <w:rsid w:val="00187CC1"/>
    <w:rsid w:val="00191E65"/>
    <w:rsid w:val="001926A4"/>
    <w:rsid w:val="00192AD5"/>
    <w:rsid w:val="001943DE"/>
    <w:rsid w:val="0019493D"/>
    <w:rsid w:val="001A0FF8"/>
    <w:rsid w:val="001A53E7"/>
    <w:rsid w:val="001A6E8B"/>
    <w:rsid w:val="001B1450"/>
    <w:rsid w:val="001B45A0"/>
    <w:rsid w:val="001B4AB2"/>
    <w:rsid w:val="001B782D"/>
    <w:rsid w:val="001C0B1E"/>
    <w:rsid w:val="001C3249"/>
    <w:rsid w:val="001C789C"/>
    <w:rsid w:val="001D055E"/>
    <w:rsid w:val="001D2765"/>
    <w:rsid w:val="001D61E0"/>
    <w:rsid w:val="001D6D8D"/>
    <w:rsid w:val="001E287E"/>
    <w:rsid w:val="001E4E54"/>
    <w:rsid w:val="001E5E35"/>
    <w:rsid w:val="001E6A59"/>
    <w:rsid w:val="001F492E"/>
    <w:rsid w:val="001F4AB1"/>
    <w:rsid w:val="001F6DA3"/>
    <w:rsid w:val="001F79D1"/>
    <w:rsid w:val="002003EA"/>
    <w:rsid w:val="002010BC"/>
    <w:rsid w:val="00202E03"/>
    <w:rsid w:val="00202EDF"/>
    <w:rsid w:val="0020492C"/>
    <w:rsid w:val="00205E3A"/>
    <w:rsid w:val="00207FDC"/>
    <w:rsid w:val="002129C9"/>
    <w:rsid w:val="002222D5"/>
    <w:rsid w:val="00224DB9"/>
    <w:rsid w:val="00230209"/>
    <w:rsid w:val="00233775"/>
    <w:rsid w:val="002451ED"/>
    <w:rsid w:val="00251745"/>
    <w:rsid w:val="002547CB"/>
    <w:rsid w:val="002552AC"/>
    <w:rsid w:val="0025599E"/>
    <w:rsid w:val="00256802"/>
    <w:rsid w:val="002618D2"/>
    <w:rsid w:val="002619CB"/>
    <w:rsid w:val="00263AC0"/>
    <w:rsid w:val="00267228"/>
    <w:rsid w:val="0026772D"/>
    <w:rsid w:val="002752B2"/>
    <w:rsid w:val="002800E5"/>
    <w:rsid w:val="00280985"/>
    <w:rsid w:val="00283CAA"/>
    <w:rsid w:val="00284232"/>
    <w:rsid w:val="0028465A"/>
    <w:rsid w:val="00284871"/>
    <w:rsid w:val="00286356"/>
    <w:rsid w:val="00286874"/>
    <w:rsid w:val="002946E7"/>
    <w:rsid w:val="00296B65"/>
    <w:rsid w:val="002A3623"/>
    <w:rsid w:val="002A5A3E"/>
    <w:rsid w:val="002A7DEF"/>
    <w:rsid w:val="002B149C"/>
    <w:rsid w:val="002B1791"/>
    <w:rsid w:val="002B2E65"/>
    <w:rsid w:val="002B658C"/>
    <w:rsid w:val="002B676C"/>
    <w:rsid w:val="002B77B8"/>
    <w:rsid w:val="002B7F2E"/>
    <w:rsid w:val="002C04E5"/>
    <w:rsid w:val="002C3ABD"/>
    <w:rsid w:val="002C4980"/>
    <w:rsid w:val="002C4C3E"/>
    <w:rsid w:val="002C5B4D"/>
    <w:rsid w:val="002C64C1"/>
    <w:rsid w:val="002C7CE7"/>
    <w:rsid w:val="002D51CF"/>
    <w:rsid w:val="002E09CA"/>
    <w:rsid w:val="002E1BE5"/>
    <w:rsid w:val="002E2BFC"/>
    <w:rsid w:val="002E3E0B"/>
    <w:rsid w:val="002E4F3A"/>
    <w:rsid w:val="002E6369"/>
    <w:rsid w:val="002E6459"/>
    <w:rsid w:val="002F0566"/>
    <w:rsid w:val="002F1DD4"/>
    <w:rsid w:val="002F220C"/>
    <w:rsid w:val="002F2D05"/>
    <w:rsid w:val="002F31E3"/>
    <w:rsid w:val="002F47DF"/>
    <w:rsid w:val="002F64A1"/>
    <w:rsid w:val="002F7986"/>
    <w:rsid w:val="00301369"/>
    <w:rsid w:val="00301B40"/>
    <w:rsid w:val="003055A2"/>
    <w:rsid w:val="00305CC8"/>
    <w:rsid w:val="00307F6D"/>
    <w:rsid w:val="00312D76"/>
    <w:rsid w:val="003145C5"/>
    <w:rsid w:val="00314965"/>
    <w:rsid w:val="003177A2"/>
    <w:rsid w:val="003253AB"/>
    <w:rsid w:val="003271B5"/>
    <w:rsid w:val="00327A1E"/>
    <w:rsid w:val="00331264"/>
    <w:rsid w:val="00334C8D"/>
    <w:rsid w:val="00337421"/>
    <w:rsid w:val="003518B3"/>
    <w:rsid w:val="003559A1"/>
    <w:rsid w:val="00357232"/>
    <w:rsid w:val="003579AE"/>
    <w:rsid w:val="00357EF2"/>
    <w:rsid w:val="00357F13"/>
    <w:rsid w:val="00357FFA"/>
    <w:rsid w:val="00364FEE"/>
    <w:rsid w:val="00372039"/>
    <w:rsid w:val="00372172"/>
    <w:rsid w:val="00375A60"/>
    <w:rsid w:val="003768DF"/>
    <w:rsid w:val="00383817"/>
    <w:rsid w:val="003846F1"/>
    <w:rsid w:val="003853DD"/>
    <w:rsid w:val="00386F15"/>
    <w:rsid w:val="00392B13"/>
    <w:rsid w:val="00395EE8"/>
    <w:rsid w:val="00395F3B"/>
    <w:rsid w:val="003972B7"/>
    <w:rsid w:val="003A3224"/>
    <w:rsid w:val="003A5CDE"/>
    <w:rsid w:val="003A739C"/>
    <w:rsid w:val="003B57CE"/>
    <w:rsid w:val="003B60AA"/>
    <w:rsid w:val="003C7FA7"/>
    <w:rsid w:val="003D2443"/>
    <w:rsid w:val="003D30A7"/>
    <w:rsid w:val="003D3E32"/>
    <w:rsid w:val="003D47CB"/>
    <w:rsid w:val="003D519F"/>
    <w:rsid w:val="003E2243"/>
    <w:rsid w:val="003E5B55"/>
    <w:rsid w:val="003E7746"/>
    <w:rsid w:val="003F4A76"/>
    <w:rsid w:val="004015E0"/>
    <w:rsid w:val="00405FB2"/>
    <w:rsid w:val="00410D6C"/>
    <w:rsid w:val="0041724E"/>
    <w:rsid w:val="0041798F"/>
    <w:rsid w:val="00432424"/>
    <w:rsid w:val="00432B99"/>
    <w:rsid w:val="0043360B"/>
    <w:rsid w:val="00433959"/>
    <w:rsid w:val="00436F5B"/>
    <w:rsid w:val="004412F1"/>
    <w:rsid w:val="004446ED"/>
    <w:rsid w:val="00445A40"/>
    <w:rsid w:val="0045008B"/>
    <w:rsid w:val="004507A8"/>
    <w:rsid w:val="004536AD"/>
    <w:rsid w:val="00454CCC"/>
    <w:rsid w:val="00454EA1"/>
    <w:rsid w:val="00463DFD"/>
    <w:rsid w:val="00463F56"/>
    <w:rsid w:val="004647E1"/>
    <w:rsid w:val="004743B6"/>
    <w:rsid w:val="0048002B"/>
    <w:rsid w:val="00480B4B"/>
    <w:rsid w:val="00482DFB"/>
    <w:rsid w:val="00485DC4"/>
    <w:rsid w:val="0049124F"/>
    <w:rsid w:val="004A4239"/>
    <w:rsid w:val="004A43D1"/>
    <w:rsid w:val="004A4E76"/>
    <w:rsid w:val="004A5663"/>
    <w:rsid w:val="004A5BCD"/>
    <w:rsid w:val="004A68D9"/>
    <w:rsid w:val="004B085B"/>
    <w:rsid w:val="004B13AE"/>
    <w:rsid w:val="004B18E8"/>
    <w:rsid w:val="004B3F8F"/>
    <w:rsid w:val="004B4412"/>
    <w:rsid w:val="004B4CE9"/>
    <w:rsid w:val="004B78C9"/>
    <w:rsid w:val="004C0410"/>
    <w:rsid w:val="004C1362"/>
    <w:rsid w:val="004C348C"/>
    <w:rsid w:val="004C473E"/>
    <w:rsid w:val="004D3AD9"/>
    <w:rsid w:val="004D55BA"/>
    <w:rsid w:val="004E13E9"/>
    <w:rsid w:val="004E22EC"/>
    <w:rsid w:val="004E2830"/>
    <w:rsid w:val="004E3458"/>
    <w:rsid w:val="004E3FE9"/>
    <w:rsid w:val="004E49C6"/>
    <w:rsid w:val="004E7A55"/>
    <w:rsid w:val="004F1047"/>
    <w:rsid w:val="004F2553"/>
    <w:rsid w:val="004F4105"/>
    <w:rsid w:val="00504B5F"/>
    <w:rsid w:val="00511A84"/>
    <w:rsid w:val="00512052"/>
    <w:rsid w:val="005228E6"/>
    <w:rsid w:val="005233C7"/>
    <w:rsid w:val="00526F95"/>
    <w:rsid w:val="00530128"/>
    <w:rsid w:val="00530CD4"/>
    <w:rsid w:val="00532467"/>
    <w:rsid w:val="00533F8F"/>
    <w:rsid w:val="00540A67"/>
    <w:rsid w:val="005445DB"/>
    <w:rsid w:val="00550217"/>
    <w:rsid w:val="0055478E"/>
    <w:rsid w:val="00557339"/>
    <w:rsid w:val="0056080A"/>
    <w:rsid w:val="00560F89"/>
    <w:rsid w:val="00562632"/>
    <w:rsid w:val="00564A4D"/>
    <w:rsid w:val="00564D4F"/>
    <w:rsid w:val="00566D9C"/>
    <w:rsid w:val="00567BA5"/>
    <w:rsid w:val="00571B35"/>
    <w:rsid w:val="00571D57"/>
    <w:rsid w:val="00577368"/>
    <w:rsid w:val="00577750"/>
    <w:rsid w:val="00577A09"/>
    <w:rsid w:val="00580AAC"/>
    <w:rsid w:val="0058228F"/>
    <w:rsid w:val="005829C2"/>
    <w:rsid w:val="00582BB2"/>
    <w:rsid w:val="00583D18"/>
    <w:rsid w:val="005843CC"/>
    <w:rsid w:val="005847DF"/>
    <w:rsid w:val="00584D8F"/>
    <w:rsid w:val="00590A24"/>
    <w:rsid w:val="005919DF"/>
    <w:rsid w:val="00592106"/>
    <w:rsid w:val="005973EE"/>
    <w:rsid w:val="005A155B"/>
    <w:rsid w:val="005A28CB"/>
    <w:rsid w:val="005A29F1"/>
    <w:rsid w:val="005A404D"/>
    <w:rsid w:val="005B0617"/>
    <w:rsid w:val="005B0946"/>
    <w:rsid w:val="005B1E3C"/>
    <w:rsid w:val="005B314A"/>
    <w:rsid w:val="005B33F6"/>
    <w:rsid w:val="005B3DFB"/>
    <w:rsid w:val="005B3F2E"/>
    <w:rsid w:val="005B6239"/>
    <w:rsid w:val="005B7731"/>
    <w:rsid w:val="005C148B"/>
    <w:rsid w:val="005C26CC"/>
    <w:rsid w:val="005C4261"/>
    <w:rsid w:val="005C50C0"/>
    <w:rsid w:val="005C78C4"/>
    <w:rsid w:val="005C7C2E"/>
    <w:rsid w:val="005D287B"/>
    <w:rsid w:val="005E0613"/>
    <w:rsid w:val="005E1CCE"/>
    <w:rsid w:val="005E1DD7"/>
    <w:rsid w:val="005E2FDB"/>
    <w:rsid w:val="005F11B7"/>
    <w:rsid w:val="005F1D83"/>
    <w:rsid w:val="005F2DFB"/>
    <w:rsid w:val="006007A8"/>
    <w:rsid w:val="0060085F"/>
    <w:rsid w:val="00601B70"/>
    <w:rsid w:val="006063DB"/>
    <w:rsid w:val="006106C1"/>
    <w:rsid w:val="00613213"/>
    <w:rsid w:val="00614B0D"/>
    <w:rsid w:val="00615C6B"/>
    <w:rsid w:val="0061693A"/>
    <w:rsid w:val="00617602"/>
    <w:rsid w:val="006224DC"/>
    <w:rsid w:val="00623A61"/>
    <w:rsid w:val="0062575A"/>
    <w:rsid w:val="006319AA"/>
    <w:rsid w:val="0063282B"/>
    <w:rsid w:val="00632D6D"/>
    <w:rsid w:val="006349B2"/>
    <w:rsid w:val="00642BE9"/>
    <w:rsid w:val="00642C3E"/>
    <w:rsid w:val="00645A7D"/>
    <w:rsid w:val="006627C9"/>
    <w:rsid w:val="00662805"/>
    <w:rsid w:val="00663DAD"/>
    <w:rsid w:val="0066572B"/>
    <w:rsid w:val="006706D5"/>
    <w:rsid w:val="00670957"/>
    <w:rsid w:val="00672BF3"/>
    <w:rsid w:val="006756F0"/>
    <w:rsid w:val="00676679"/>
    <w:rsid w:val="006775DC"/>
    <w:rsid w:val="006802A6"/>
    <w:rsid w:val="00683933"/>
    <w:rsid w:val="00685278"/>
    <w:rsid w:val="00686F45"/>
    <w:rsid w:val="00687172"/>
    <w:rsid w:val="006930EE"/>
    <w:rsid w:val="006A0955"/>
    <w:rsid w:val="006A2481"/>
    <w:rsid w:val="006B0469"/>
    <w:rsid w:val="006B0849"/>
    <w:rsid w:val="006B4CF9"/>
    <w:rsid w:val="006B7AC8"/>
    <w:rsid w:val="006C014E"/>
    <w:rsid w:val="006C1494"/>
    <w:rsid w:val="006C19CF"/>
    <w:rsid w:val="006C1FEB"/>
    <w:rsid w:val="006C2F2C"/>
    <w:rsid w:val="006C3400"/>
    <w:rsid w:val="006C467D"/>
    <w:rsid w:val="006C51A9"/>
    <w:rsid w:val="006D550F"/>
    <w:rsid w:val="006D78A1"/>
    <w:rsid w:val="006E0402"/>
    <w:rsid w:val="006E39EA"/>
    <w:rsid w:val="006E3B8D"/>
    <w:rsid w:val="006E729D"/>
    <w:rsid w:val="006F05F5"/>
    <w:rsid w:val="006F4F95"/>
    <w:rsid w:val="006F57FD"/>
    <w:rsid w:val="00701CAB"/>
    <w:rsid w:val="007020E7"/>
    <w:rsid w:val="00707563"/>
    <w:rsid w:val="00707E4D"/>
    <w:rsid w:val="007114B8"/>
    <w:rsid w:val="0072348C"/>
    <w:rsid w:val="0072481A"/>
    <w:rsid w:val="00724A37"/>
    <w:rsid w:val="007303C3"/>
    <w:rsid w:val="00730828"/>
    <w:rsid w:val="00732B7B"/>
    <w:rsid w:val="00732DF8"/>
    <w:rsid w:val="00733831"/>
    <w:rsid w:val="00736383"/>
    <w:rsid w:val="00736881"/>
    <w:rsid w:val="00736C61"/>
    <w:rsid w:val="00740CD6"/>
    <w:rsid w:val="0074100A"/>
    <w:rsid w:val="00743223"/>
    <w:rsid w:val="0074611B"/>
    <w:rsid w:val="00746D30"/>
    <w:rsid w:val="00746E01"/>
    <w:rsid w:val="00754694"/>
    <w:rsid w:val="00757146"/>
    <w:rsid w:val="00757BDF"/>
    <w:rsid w:val="0076367B"/>
    <w:rsid w:val="00763E5D"/>
    <w:rsid w:val="007641C9"/>
    <w:rsid w:val="007650A3"/>
    <w:rsid w:val="00765BEA"/>
    <w:rsid w:val="00767740"/>
    <w:rsid w:val="00777EE6"/>
    <w:rsid w:val="0078268E"/>
    <w:rsid w:val="00782B79"/>
    <w:rsid w:val="00782C38"/>
    <w:rsid w:val="00782EEA"/>
    <w:rsid w:val="00791FCB"/>
    <w:rsid w:val="0079202F"/>
    <w:rsid w:val="0079361F"/>
    <w:rsid w:val="00794783"/>
    <w:rsid w:val="007A1B16"/>
    <w:rsid w:val="007A24C5"/>
    <w:rsid w:val="007A4D1F"/>
    <w:rsid w:val="007A6933"/>
    <w:rsid w:val="007B2C72"/>
    <w:rsid w:val="007B3500"/>
    <w:rsid w:val="007B6636"/>
    <w:rsid w:val="007C1C53"/>
    <w:rsid w:val="007C353D"/>
    <w:rsid w:val="007C5B55"/>
    <w:rsid w:val="007C6F6C"/>
    <w:rsid w:val="007C74BB"/>
    <w:rsid w:val="007C7A42"/>
    <w:rsid w:val="007D7F15"/>
    <w:rsid w:val="007E4602"/>
    <w:rsid w:val="007E4904"/>
    <w:rsid w:val="007E4CB5"/>
    <w:rsid w:val="007E51C4"/>
    <w:rsid w:val="007F0548"/>
    <w:rsid w:val="007F066B"/>
    <w:rsid w:val="007F12E4"/>
    <w:rsid w:val="007F5055"/>
    <w:rsid w:val="007F5150"/>
    <w:rsid w:val="007F7E5F"/>
    <w:rsid w:val="008006B6"/>
    <w:rsid w:val="00802AFE"/>
    <w:rsid w:val="008033C4"/>
    <w:rsid w:val="00803E3C"/>
    <w:rsid w:val="008058DD"/>
    <w:rsid w:val="00805A44"/>
    <w:rsid w:val="00806C88"/>
    <w:rsid w:val="008076B5"/>
    <w:rsid w:val="00807B19"/>
    <w:rsid w:val="0081034E"/>
    <w:rsid w:val="00812F4E"/>
    <w:rsid w:val="008140AD"/>
    <w:rsid w:val="00815D4E"/>
    <w:rsid w:val="00821785"/>
    <w:rsid w:val="008236F5"/>
    <w:rsid w:val="008254C2"/>
    <w:rsid w:val="00833C5C"/>
    <w:rsid w:val="00833DAF"/>
    <w:rsid w:val="008344F6"/>
    <w:rsid w:val="00835094"/>
    <w:rsid w:val="0083510F"/>
    <w:rsid w:val="0083556C"/>
    <w:rsid w:val="00835689"/>
    <w:rsid w:val="00841513"/>
    <w:rsid w:val="00841A0D"/>
    <w:rsid w:val="00843704"/>
    <w:rsid w:val="008441E3"/>
    <w:rsid w:val="00851209"/>
    <w:rsid w:val="008513F9"/>
    <w:rsid w:val="008515AF"/>
    <w:rsid w:val="00853F56"/>
    <w:rsid w:val="008560BE"/>
    <w:rsid w:val="00860824"/>
    <w:rsid w:val="00860D40"/>
    <w:rsid w:val="0086340A"/>
    <w:rsid w:val="00864D9A"/>
    <w:rsid w:val="0086581C"/>
    <w:rsid w:val="00870D16"/>
    <w:rsid w:val="00872B78"/>
    <w:rsid w:val="00872EE2"/>
    <w:rsid w:val="0087447C"/>
    <w:rsid w:val="00874776"/>
    <w:rsid w:val="008762CD"/>
    <w:rsid w:val="008763E3"/>
    <w:rsid w:val="00876CF9"/>
    <w:rsid w:val="00880371"/>
    <w:rsid w:val="00880825"/>
    <w:rsid w:val="008837AC"/>
    <w:rsid w:val="00886C77"/>
    <w:rsid w:val="00886EC3"/>
    <w:rsid w:val="00887979"/>
    <w:rsid w:val="00890A9E"/>
    <w:rsid w:val="00891C9F"/>
    <w:rsid w:val="008A2601"/>
    <w:rsid w:val="008A28FF"/>
    <w:rsid w:val="008A2E19"/>
    <w:rsid w:val="008A3E3C"/>
    <w:rsid w:val="008A41AA"/>
    <w:rsid w:val="008A587D"/>
    <w:rsid w:val="008B23D5"/>
    <w:rsid w:val="008B3C92"/>
    <w:rsid w:val="008B607D"/>
    <w:rsid w:val="008C1011"/>
    <w:rsid w:val="008C3B6E"/>
    <w:rsid w:val="008C5486"/>
    <w:rsid w:val="008D1661"/>
    <w:rsid w:val="008D3B32"/>
    <w:rsid w:val="008E06BD"/>
    <w:rsid w:val="008E3108"/>
    <w:rsid w:val="008E35B3"/>
    <w:rsid w:val="008E6FE7"/>
    <w:rsid w:val="008E7031"/>
    <w:rsid w:val="008F2354"/>
    <w:rsid w:val="008F4EEA"/>
    <w:rsid w:val="008F57C9"/>
    <w:rsid w:val="00905F7B"/>
    <w:rsid w:val="0090625C"/>
    <w:rsid w:val="00907B68"/>
    <w:rsid w:val="009131CE"/>
    <w:rsid w:val="00916DD3"/>
    <w:rsid w:val="009233EE"/>
    <w:rsid w:val="009267DA"/>
    <w:rsid w:val="00935A4E"/>
    <w:rsid w:val="0093686C"/>
    <w:rsid w:val="009439A1"/>
    <w:rsid w:val="009460AA"/>
    <w:rsid w:val="009506CC"/>
    <w:rsid w:val="00951978"/>
    <w:rsid w:val="0095555E"/>
    <w:rsid w:val="00955E99"/>
    <w:rsid w:val="009562AC"/>
    <w:rsid w:val="00960412"/>
    <w:rsid w:val="00961043"/>
    <w:rsid w:val="00961139"/>
    <w:rsid w:val="00962183"/>
    <w:rsid w:val="009661DE"/>
    <w:rsid w:val="00972885"/>
    <w:rsid w:val="00973812"/>
    <w:rsid w:val="009744D1"/>
    <w:rsid w:val="00975B69"/>
    <w:rsid w:val="009800CF"/>
    <w:rsid w:val="00982C34"/>
    <w:rsid w:val="00984788"/>
    <w:rsid w:val="009856B7"/>
    <w:rsid w:val="00985B37"/>
    <w:rsid w:val="009A08C3"/>
    <w:rsid w:val="009A40BC"/>
    <w:rsid w:val="009A5FC3"/>
    <w:rsid w:val="009A686C"/>
    <w:rsid w:val="009B2F83"/>
    <w:rsid w:val="009B4147"/>
    <w:rsid w:val="009B74B0"/>
    <w:rsid w:val="009C089E"/>
    <w:rsid w:val="009C7A13"/>
    <w:rsid w:val="009D3136"/>
    <w:rsid w:val="009D5603"/>
    <w:rsid w:val="009D6B46"/>
    <w:rsid w:val="009D6F6A"/>
    <w:rsid w:val="009E2D94"/>
    <w:rsid w:val="009E2ED6"/>
    <w:rsid w:val="009E2F14"/>
    <w:rsid w:val="009E4239"/>
    <w:rsid w:val="009E52A9"/>
    <w:rsid w:val="009E56F0"/>
    <w:rsid w:val="009E7155"/>
    <w:rsid w:val="009E7783"/>
    <w:rsid w:val="009F1D31"/>
    <w:rsid w:val="009F3513"/>
    <w:rsid w:val="009F4940"/>
    <w:rsid w:val="009F5BA1"/>
    <w:rsid w:val="00A028EB"/>
    <w:rsid w:val="00A02A88"/>
    <w:rsid w:val="00A032D5"/>
    <w:rsid w:val="00A0368E"/>
    <w:rsid w:val="00A0418C"/>
    <w:rsid w:val="00A0562E"/>
    <w:rsid w:val="00A065AC"/>
    <w:rsid w:val="00A0726D"/>
    <w:rsid w:val="00A07D3E"/>
    <w:rsid w:val="00A1149F"/>
    <w:rsid w:val="00A11BFA"/>
    <w:rsid w:val="00A135A5"/>
    <w:rsid w:val="00A20D28"/>
    <w:rsid w:val="00A22495"/>
    <w:rsid w:val="00A23AB8"/>
    <w:rsid w:val="00A32FBB"/>
    <w:rsid w:val="00A40F5B"/>
    <w:rsid w:val="00A421F1"/>
    <w:rsid w:val="00A4478A"/>
    <w:rsid w:val="00A44852"/>
    <w:rsid w:val="00A51D45"/>
    <w:rsid w:val="00A5323F"/>
    <w:rsid w:val="00A55542"/>
    <w:rsid w:val="00A5669C"/>
    <w:rsid w:val="00A57D04"/>
    <w:rsid w:val="00A57DC8"/>
    <w:rsid w:val="00A60023"/>
    <w:rsid w:val="00A60A26"/>
    <w:rsid w:val="00A61598"/>
    <w:rsid w:val="00A64612"/>
    <w:rsid w:val="00A64BDD"/>
    <w:rsid w:val="00A6646F"/>
    <w:rsid w:val="00A73EBA"/>
    <w:rsid w:val="00A74AFD"/>
    <w:rsid w:val="00A75077"/>
    <w:rsid w:val="00A77FF0"/>
    <w:rsid w:val="00A84F46"/>
    <w:rsid w:val="00A871F4"/>
    <w:rsid w:val="00A877E9"/>
    <w:rsid w:val="00A92212"/>
    <w:rsid w:val="00A960F2"/>
    <w:rsid w:val="00AA03DB"/>
    <w:rsid w:val="00AA5060"/>
    <w:rsid w:val="00AA7EF2"/>
    <w:rsid w:val="00AB56DA"/>
    <w:rsid w:val="00AB7F55"/>
    <w:rsid w:val="00AC1B2C"/>
    <w:rsid w:val="00AC3264"/>
    <w:rsid w:val="00AD020D"/>
    <w:rsid w:val="00AD119F"/>
    <w:rsid w:val="00AD23E7"/>
    <w:rsid w:val="00AD26A8"/>
    <w:rsid w:val="00AD507D"/>
    <w:rsid w:val="00AD7663"/>
    <w:rsid w:val="00AE0810"/>
    <w:rsid w:val="00AE0B75"/>
    <w:rsid w:val="00AE14CF"/>
    <w:rsid w:val="00AE1BF1"/>
    <w:rsid w:val="00AE5F7F"/>
    <w:rsid w:val="00AF0857"/>
    <w:rsid w:val="00AF0DD2"/>
    <w:rsid w:val="00AF1ED6"/>
    <w:rsid w:val="00AF4612"/>
    <w:rsid w:val="00AF6024"/>
    <w:rsid w:val="00AF63EC"/>
    <w:rsid w:val="00AF754E"/>
    <w:rsid w:val="00AF758E"/>
    <w:rsid w:val="00B13048"/>
    <w:rsid w:val="00B1716D"/>
    <w:rsid w:val="00B1774F"/>
    <w:rsid w:val="00B17A1D"/>
    <w:rsid w:val="00B207A0"/>
    <w:rsid w:val="00B21DFE"/>
    <w:rsid w:val="00B23AE5"/>
    <w:rsid w:val="00B30D63"/>
    <w:rsid w:val="00B36549"/>
    <w:rsid w:val="00B36AAF"/>
    <w:rsid w:val="00B37E38"/>
    <w:rsid w:val="00B40B45"/>
    <w:rsid w:val="00B4329E"/>
    <w:rsid w:val="00B459D7"/>
    <w:rsid w:val="00B46C31"/>
    <w:rsid w:val="00B503ED"/>
    <w:rsid w:val="00B514DD"/>
    <w:rsid w:val="00B52AF0"/>
    <w:rsid w:val="00B5359E"/>
    <w:rsid w:val="00B537A8"/>
    <w:rsid w:val="00B553D4"/>
    <w:rsid w:val="00B5561D"/>
    <w:rsid w:val="00B56E03"/>
    <w:rsid w:val="00B64CE9"/>
    <w:rsid w:val="00B650CC"/>
    <w:rsid w:val="00B8080B"/>
    <w:rsid w:val="00B83583"/>
    <w:rsid w:val="00B868A7"/>
    <w:rsid w:val="00B87A12"/>
    <w:rsid w:val="00B87C39"/>
    <w:rsid w:val="00B927D8"/>
    <w:rsid w:val="00B92F95"/>
    <w:rsid w:val="00B97794"/>
    <w:rsid w:val="00BA3C98"/>
    <w:rsid w:val="00BA4665"/>
    <w:rsid w:val="00BA4681"/>
    <w:rsid w:val="00BB2FB2"/>
    <w:rsid w:val="00BB3304"/>
    <w:rsid w:val="00BC0CF8"/>
    <w:rsid w:val="00BD01B5"/>
    <w:rsid w:val="00BD115B"/>
    <w:rsid w:val="00BD3446"/>
    <w:rsid w:val="00BD7058"/>
    <w:rsid w:val="00BE0CAE"/>
    <w:rsid w:val="00BE1F1B"/>
    <w:rsid w:val="00BE47B5"/>
    <w:rsid w:val="00BE4935"/>
    <w:rsid w:val="00BF033A"/>
    <w:rsid w:val="00BF1A2B"/>
    <w:rsid w:val="00BF2D53"/>
    <w:rsid w:val="00BF3681"/>
    <w:rsid w:val="00C10A01"/>
    <w:rsid w:val="00C20DAB"/>
    <w:rsid w:val="00C20F2E"/>
    <w:rsid w:val="00C21C0E"/>
    <w:rsid w:val="00C25FA6"/>
    <w:rsid w:val="00C331F8"/>
    <w:rsid w:val="00C3387D"/>
    <w:rsid w:val="00C338E8"/>
    <w:rsid w:val="00C363CC"/>
    <w:rsid w:val="00C36F7E"/>
    <w:rsid w:val="00C40419"/>
    <w:rsid w:val="00C40494"/>
    <w:rsid w:val="00C43276"/>
    <w:rsid w:val="00C444F1"/>
    <w:rsid w:val="00C4541F"/>
    <w:rsid w:val="00C479CA"/>
    <w:rsid w:val="00C509B7"/>
    <w:rsid w:val="00C510DB"/>
    <w:rsid w:val="00C536D9"/>
    <w:rsid w:val="00C538A9"/>
    <w:rsid w:val="00C53B5A"/>
    <w:rsid w:val="00C54F5A"/>
    <w:rsid w:val="00C56281"/>
    <w:rsid w:val="00C569B4"/>
    <w:rsid w:val="00C6094A"/>
    <w:rsid w:val="00C667C9"/>
    <w:rsid w:val="00C67A92"/>
    <w:rsid w:val="00C71D0C"/>
    <w:rsid w:val="00C82DA6"/>
    <w:rsid w:val="00C85D3E"/>
    <w:rsid w:val="00C86679"/>
    <w:rsid w:val="00C94CB5"/>
    <w:rsid w:val="00CA0953"/>
    <w:rsid w:val="00CA489E"/>
    <w:rsid w:val="00CA5A0C"/>
    <w:rsid w:val="00CB666B"/>
    <w:rsid w:val="00CC185C"/>
    <w:rsid w:val="00CC1A4F"/>
    <w:rsid w:val="00CC1DCC"/>
    <w:rsid w:val="00CC213C"/>
    <w:rsid w:val="00CC59A9"/>
    <w:rsid w:val="00CC659B"/>
    <w:rsid w:val="00CC6985"/>
    <w:rsid w:val="00CC7F1D"/>
    <w:rsid w:val="00CD0E98"/>
    <w:rsid w:val="00CD170B"/>
    <w:rsid w:val="00CD4748"/>
    <w:rsid w:val="00CD5E59"/>
    <w:rsid w:val="00CE2B02"/>
    <w:rsid w:val="00CE78D9"/>
    <w:rsid w:val="00CF0430"/>
    <w:rsid w:val="00CF3EA8"/>
    <w:rsid w:val="00CF4F11"/>
    <w:rsid w:val="00D01CF0"/>
    <w:rsid w:val="00D02AEE"/>
    <w:rsid w:val="00D0366E"/>
    <w:rsid w:val="00D0442A"/>
    <w:rsid w:val="00D0555D"/>
    <w:rsid w:val="00D12E83"/>
    <w:rsid w:val="00D149D4"/>
    <w:rsid w:val="00D15AD8"/>
    <w:rsid w:val="00D1710C"/>
    <w:rsid w:val="00D21293"/>
    <w:rsid w:val="00D21D82"/>
    <w:rsid w:val="00D26207"/>
    <w:rsid w:val="00D32FDB"/>
    <w:rsid w:val="00D336EE"/>
    <w:rsid w:val="00D340EF"/>
    <w:rsid w:val="00D3425E"/>
    <w:rsid w:val="00D36E7F"/>
    <w:rsid w:val="00D409DD"/>
    <w:rsid w:val="00D436FF"/>
    <w:rsid w:val="00D44B8A"/>
    <w:rsid w:val="00D55BE0"/>
    <w:rsid w:val="00D57DC8"/>
    <w:rsid w:val="00D57F85"/>
    <w:rsid w:val="00D61388"/>
    <w:rsid w:val="00D61A54"/>
    <w:rsid w:val="00D61DA2"/>
    <w:rsid w:val="00D6232D"/>
    <w:rsid w:val="00D64DEA"/>
    <w:rsid w:val="00D65FB6"/>
    <w:rsid w:val="00D66E66"/>
    <w:rsid w:val="00D679DF"/>
    <w:rsid w:val="00D7168E"/>
    <w:rsid w:val="00D71E57"/>
    <w:rsid w:val="00D75E0B"/>
    <w:rsid w:val="00D766DC"/>
    <w:rsid w:val="00D77BD7"/>
    <w:rsid w:val="00D80704"/>
    <w:rsid w:val="00D80893"/>
    <w:rsid w:val="00D81EF4"/>
    <w:rsid w:val="00D90DE4"/>
    <w:rsid w:val="00D92CF1"/>
    <w:rsid w:val="00D92D38"/>
    <w:rsid w:val="00D94A4B"/>
    <w:rsid w:val="00D950F5"/>
    <w:rsid w:val="00D95923"/>
    <w:rsid w:val="00DA1B80"/>
    <w:rsid w:val="00DB0F93"/>
    <w:rsid w:val="00DB16C5"/>
    <w:rsid w:val="00DB1A67"/>
    <w:rsid w:val="00DB1C30"/>
    <w:rsid w:val="00DB1F7E"/>
    <w:rsid w:val="00DB298B"/>
    <w:rsid w:val="00DB5074"/>
    <w:rsid w:val="00DB723B"/>
    <w:rsid w:val="00DB7824"/>
    <w:rsid w:val="00DC1054"/>
    <w:rsid w:val="00DC24D4"/>
    <w:rsid w:val="00DC4726"/>
    <w:rsid w:val="00DC60E1"/>
    <w:rsid w:val="00DC7981"/>
    <w:rsid w:val="00DD1C08"/>
    <w:rsid w:val="00DD63EC"/>
    <w:rsid w:val="00DE2D45"/>
    <w:rsid w:val="00DE4EFA"/>
    <w:rsid w:val="00DE5520"/>
    <w:rsid w:val="00DF148E"/>
    <w:rsid w:val="00DF1D78"/>
    <w:rsid w:val="00E02133"/>
    <w:rsid w:val="00E04818"/>
    <w:rsid w:val="00E04FCC"/>
    <w:rsid w:val="00E06442"/>
    <w:rsid w:val="00E06E95"/>
    <w:rsid w:val="00E07046"/>
    <w:rsid w:val="00E1013C"/>
    <w:rsid w:val="00E104F2"/>
    <w:rsid w:val="00E11E41"/>
    <w:rsid w:val="00E137FB"/>
    <w:rsid w:val="00E16751"/>
    <w:rsid w:val="00E22820"/>
    <w:rsid w:val="00E23993"/>
    <w:rsid w:val="00E24010"/>
    <w:rsid w:val="00E24BA7"/>
    <w:rsid w:val="00E25B8C"/>
    <w:rsid w:val="00E261CA"/>
    <w:rsid w:val="00E26F15"/>
    <w:rsid w:val="00E3183E"/>
    <w:rsid w:val="00E41E6C"/>
    <w:rsid w:val="00E41EF0"/>
    <w:rsid w:val="00E50EA6"/>
    <w:rsid w:val="00E546CC"/>
    <w:rsid w:val="00E56067"/>
    <w:rsid w:val="00E6221A"/>
    <w:rsid w:val="00E62277"/>
    <w:rsid w:val="00E65C85"/>
    <w:rsid w:val="00E66199"/>
    <w:rsid w:val="00E73C82"/>
    <w:rsid w:val="00E74260"/>
    <w:rsid w:val="00E74B75"/>
    <w:rsid w:val="00E755EC"/>
    <w:rsid w:val="00E7624D"/>
    <w:rsid w:val="00E762E1"/>
    <w:rsid w:val="00E83AF4"/>
    <w:rsid w:val="00E86081"/>
    <w:rsid w:val="00E865A3"/>
    <w:rsid w:val="00E95B3F"/>
    <w:rsid w:val="00EA2352"/>
    <w:rsid w:val="00EA3D42"/>
    <w:rsid w:val="00EA6B1B"/>
    <w:rsid w:val="00EB39B3"/>
    <w:rsid w:val="00EB505D"/>
    <w:rsid w:val="00EC111C"/>
    <w:rsid w:val="00EC48DF"/>
    <w:rsid w:val="00EC49B6"/>
    <w:rsid w:val="00EC642F"/>
    <w:rsid w:val="00EC71C1"/>
    <w:rsid w:val="00EC795E"/>
    <w:rsid w:val="00ED1D9E"/>
    <w:rsid w:val="00ED4100"/>
    <w:rsid w:val="00ED4F6A"/>
    <w:rsid w:val="00ED54A7"/>
    <w:rsid w:val="00ED67BE"/>
    <w:rsid w:val="00ED7C40"/>
    <w:rsid w:val="00EE28F3"/>
    <w:rsid w:val="00EE2EA0"/>
    <w:rsid w:val="00EE346B"/>
    <w:rsid w:val="00EE71C8"/>
    <w:rsid w:val="00EF0E5D"/>
    <w:rsid w:val="00EF5110"/>
    <w:rsid w:val="00EF5602"/>
    <w:rsid w:val="00EF60C2"/>
    <w:rsid w:val="00F05153"/>
    <w:rsid w:val="00F0699E"/>
    <w:rsid w:val="00F06FD8"/>
    <w:rsid w:val="00F15882"/>
    <w:rsid w:val="00F16727"/>
    <w:rsid w:val="00F171E0"/>
    <w:rsid w:val="00F20BD3"/>
    <w:rsid w:val="00F25C27"/>
    <w:rsid w:val="00F27782"/>
    <w:rsid w:val="00F370A1"/>
    <w:rsid w:val="00F373A5"/>
    <w:rsid w:val="00F4153F"/>
    <w:rsid w:val="00F443EE"/>
    <w:rsid w:val="00F45D62"/>
    <w:rsid w:val="00F47559"/>
    <w:rsid w:val="00F51FE7"/>
    <w:rsid w:val="00F53072"/>
    <w:rsid w:val="00F57247"/>
    <w:rsid w:val="00F60EF3"/>
    <w:rsid w:val="00F622E4"/>
    <w:rsid w:val="00F64C7B"/>
    <w:rsid w:val="00F676DD"/>
    <w:rsid w:val="00F70CA1"/>
    <w:rsid w:val="00F71778"/>
    <w:rsid w:val="00F71FCE"/>
    <w:rsid w:val="00F75385"/>
    <w:rsid w:val="00F75A26"/>
    <w:rsid w:val="00F76C04"/>
    <w:rsid w:val="00F807DD"/>
    <w:rsid w:val="00F80FD7"/>
    <w:rsid w:val="00F818C8"/>
    <w:rsid w:val="00F835C9"/>
    <w:rsid w:val="00F83F6F"/>
    <w:rsid w:val="00F83FAD"/>
    <w:rsid w:val="00F93928"/>
    <w:rsid w:val="00F952A0"/>
    <w:rsid w:val="00FA042E"/>
    <w:rsid w:val="00FA2826"/>
    <w:rsid w:val="00FA3C7F"/>
    <w:rsid w:val="00FB0EDD"/>
    <w:rsid w:val="00FB3E97"/>
    <w:rsid w:val="00FB74E2"/>
    <w:rsid w:val="00FC3126"/>
    <w:rsid w:val="00FC38D0"/>
    <w:rsid w:val="00FD5614"/>
    <w:rsid w:val="00FE056C"/>
    <w:rsid w:val="00FE0BE1"/>
    <w:rsid w:val="00FE1DE9"/>
    <w:rsid w:val="00FE39C2"/>
    <w:rsid w:val="00FE3C32"/>
    <w:rsid w:val="00FE64AE"/>
    <w:rsid w:val="00FF2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601B70"/>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NormalWeb">
    <w:name w:val="Normal (Web)"/>
    <w:basedOn w:val="Normal"/>
    <w:uiPriority w:val="99"/>
    <w:unhideWhenUsed/>
    <w:rsid w:val="00CC1DCC"/>
    <w:rPr>
      <w:rFonts w:ascii="Times New Roman" w:hAnsi="Times New Roman" w:cs="Times New Roman"/>
      <w:sz w:val="24"/>
      <w:szCs w:val="24"/>
    </w:rPr>
  </w:style>
  <w:style w:type="paragraph" w:styleId="BodyText">
    <w:name w:val="Body Text"/>
    <w:basedOn w:val="Normal"/>
    <w:link w:val="BodyTextChar"/>
    <w:uiPriority w:val="99"/>
    <w:unhideWhenUsed/>
    <w:rsid w:val="00CC1DCC"/>
    <w:pPr>
      <w:spacing w:after="120"/>
    </w:pPr>
  </w:style>
  <w:style w:type="character" w:customStyle="1" w:styleId="BodyTextChar">
    <w:name w:val="Body Text Char"/>
    <w:basedOn w:val="DefaultParagraphFont"/>
    <w:link w:val="BodyText"/>
    <w:uiPriority w:val="99"/>
    <w:rsid w:val="00CC1DCC"/>
    <w:rPr>
      <w:rFonts w:ascii="Arial" w:hAnsi="Arial"/>
    </w:rPr>
  </w:style>
  <w:style w:type="paragraph" w:styleId="CommentText">
    <w:name w:val="annotation text"/>
    <w:basedOn w:val="Normal"/>
    <w:link w:val="CommentTextChar"/>
    <w:uiPriority w:val="99"/>
    <w:semiHidden/>
    <w:unhideWhenUsed/>
    <w:rsid w:val="00284871"/>
    <w:pPr>
      <w:spacing w:line="240" w:lineRule="auto"/>
    </w:pPr>
    <w:rPr>
      <w:sz w:val="20"/>
      <w:szCs w:val="20"/>
    </w:rPr>
  </w:style>
  <w:style w:type="character" w:customStyle="1" w:styleId="CommentTextChar">
    <w:name w:val="Comment Text Char"/>
    <w:basedOn w:val="DefaultParagraphFont"/>
    <w:link w:val="CommentText"/>
    <w:uiPriority w:val="99"/>
    <w:semiHidden/>
    <w:rsid w:val="002848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4871"/>
    <w:rPr>
      <w:b/>
      <w:bCs/>
    </w:rPr>
  </w:style>
  <w:style w:type="character" w:customStyle="1" w:styleId="CommentSubjectChar">
    <w:name w:val="Comment Subject Char"/>
    <w:basedOn w:val="CommentTextChar"/>
    <w:link w:val="CommentSubject"/>
    <w:uiPriority w:val="99"/>
    <w:semiHidden/>
    <w:rsid w:val="00284871"/>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601B70"/>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NormalWeb">
    <w:name w:val="Normal (Web)"/>
    <w:basedOn w:val="Normal"/>
    <w:uiPriority w:val="99"/>
    <w:unhideWhenUsed/>
    <w:rsid w:val="00CC1DCC"/>
    <w:rPr>
      <w:rFonts w:ascii="Times New Roman" w:hAnsi="Times New Roman" w:cs="Times New Roman"/>
      <w:sz w:val="24"/>
      <w:szCs w:val="24"/>
    </w:rPr>
  </w:style>
  <w:style w:type="paragraph" w:styleId="BodyText">
    <w:name w:val="Body Text"/>
    <w:basedOn w:val="Normal"/>
    <w:link w:val="BodyTextChar"/>
    <w:uiPriority w:val="99"/>
    <w:unhideWhenUsed/>
    <w:rsid w:val="00CC1DCC"/>
    <w:pPr>
      <w:spacing w:after="120"/>
    </w:pPr>
  </w:style>
  <w:style w:type="character" w:customStyle="1" w:styleId="BodyTextChar">
    <w:name w:val="Body Text Char"/>
    <w:basedOn w:val="DefaultParagraphFont"/>
    <w:link w:val="BodyText"/>
    <w:uiPriority w:val="99"/>
    <w:rsid w:val="00CC1DCC"/>
    <w:rPr>
      <w:rFonts w:ascii="Arial" w:hAnsi="Arial"/>
    </w:rPr>
  </w:style>
  <w:style w:type="paragraph" w:styleId="CommentText">
    <w:name w:val="annotation text"/>
    <w:basedOn w:val="Normal"/>
    <w:link w:val="CommentTextChar"/>
    <w:uiPriority w:val="99"/>
    <w:semiHidden/>
    <w:unhideWhenUsed/>
    <w:rsid w:val="00284871"/>
    <w:pPr>
      <w:spacing w:line="240" w:lineRule="auto"/>
    </w:pPr>
    <w:rPr>
      <w:sz w:val="20"/>
      <w:szCs w:val="20"/>
    </w:rPr>
  </w:style>
  <w:style w:type="character" w:customStyle="1" w:styleId="CommentTextChar">
    <w:name w:val="Comment Text Char"/>
    <w:basedOn w:val="DefaultParagraphFont"/>
    <w:link w:val="CommentText"/>
    <w:uiPriority w:val="99"/>
    <w:semiHidden/>
    <w:rsid w:val="002848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4871"/>
    <w:rPr>
      <w:b/>
      <w:bCs/>
    </w:rPr>
  </w:style>
  <w:style w:type="character" w:customStyle="1" w:styleId="CommentSubjectChar">
    <w:name w:val="Comment Subject Char"/>
    <w:basedOn w:val="CommentTextChar"/>
    <w:link w:val="CommentSubject"/>
    <w:uiPriority w:val="99"/>
    <w:semiHidden/>
    <w:rsid w:val="0028487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Layout" Target="diagrams/layout1.xml"/><Relationship Id="rId39" Type="http://schemas.openxmlformats.org/officeDocument/2006/relationships/hyperlink" Target="https://www.aer.gov.au/system/files/AER%20network%20revenue%20determination%20engagement%20protocol%20-%20version%201.0.pdf" TargetMode="External"/><Relationship Id="rId3" Type="http://schemas.openxmlformats.org/officeDocument/2006/relationships/numbering" Target="numbering.xml"/><Relationship Id="rId21" Type="http://schemas.openxmlformats.org/officeDocument/2006/relationships/hyperlink" Target="http://www.iap2.org.au" TargetMode="External"/><Relationship Id="rId34" Type="http://schemas.microsoft.com/office/2007/relationships/diagramDrawing" Target="diagrams/drawing2.xml"/><Relationship Id="rId42" Type="http://schemas.openxmlformats.org/officeDocument/2006/relationships/hyperlink" Target="https://www.aer.gov.au/networks-pipelines/guidelines-schemes-models-reviews/consumer-engagement-guideline-for-network-service-providers" TargetMode="External"/><Relationship Id="rId47"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SEFreview@aer.gov.au" TargetMode="External"/><Relationship Id="rId17" Type="http://schemas.openxmlformats.org/officeDocument/2006/relationships/header" Target="header3.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energyconsumersaustralia.com.au/connect/advocates-calendar/"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er.gov.au/system/files/AER%20Stakeholder%20Engagement%20Framework_2.pdf" TargetMode="External"/><Relationship Id="rId29" Type="http://schemas.microsoft.com/office/2007/relationships/diagramDrawing" Target="diagrams/drawing1.xml"/><Relationship Id="rId41" Type="http://schemas.openxmlformats.org/officeDocument/2006/relationships/hyperlink" Target="https://www.aer.gov.au/system/files/AER%20Compliance%20and%20Enforcement%20-%20Statement%20of%20Approach%20-%20April%20201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chnas-evs02\home$\kstev\trimdata\TRIM\TEMP\HPTRIM.8500\publishing.unit@accc.gov.au" TargetMode="External"/><Relationship Id="rId24" Type="http://schemas.openxmlformats.org/officeDocument/2006/relationships/hyperlink" Target="http://www.aer.gov.au/publications/reviews/aer-stakeholder-engagement-framework-review-2016/initiation" TargetMode="External"/><Relationship Id="rId32" Type="http://schemas.openxmlformats.org/officeDocument/2006/relationships/diagramQuickStyle" Target="diagrams/quickStyle2.xml"/><Relationship Id="rId37" Type="http://schemas.openxmlformats.org/officeDocument/2006/relationships/hyperlink" Target="https://www.aer.gov.au/networks-pipelines/determinations-access-arrangements" TargetMode="External"/><Relationship Id="rId40" Type="http://schemas.openxmlformats.org/officeDocument/2006/relationships/hyperlink" Target="https://www.aer.gov.au/networks-pipelines/guidelines-schemes-models-reviews/rate-of-return-guideline-2013" TargetMode="External"/><Relationship Id="rId45"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aer.gov.au/publications/reviews/aer-stakeholder-engagement-framework-review-2016/initiation" TargetMode="External"/><Relationship Id="rId28" Type="http://schemas.openxmlformats.org/officeDocument/2006/relationships/diagramColors" Target="diagrams/colors1.xml"/><Relationship Id="rId36" Type="http://schemas.openxmlformats.org/officeDocument/2006/relationships/hyperlink" Target="https://www.aer.gov.au/communication/aer-launches-newsletter-energy-dispatch-%E2%80%93-subscribe-now"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aer.gov.au/publications/corporate-documents/aer-stakeholder-survey-2016" TargetMode="External"/><Relationship Id="rId31" Type="http://schemas.openxmlformats.org/officeDocument/2006/relationships/diagramLayout" Target="diagrams/layout2.xml"/><Relationship Id="rId44" Type="http://schemas.openxmlformats.org/officeDocument/2006/relationships/hyperlink" Target="mailto:SEFreview@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aer.gov.au/communication/review-of-the-stakeholder-engagement-framework"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hyperlink" Target="mailto:SEFreview@aer.gov.au" TargetMode="External"/><Relationship Id="rId48" Type="http://schemas.openxmlformats.org/officeDocument/2006/relationships/fontTable" Target="fontTable.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409DA-FCB3-4DE1-8D9D-F4464D25C42A}" type="doc">
      <dgm:prSet loTypeId="urn:microsoft.com/office/officeart/2005/8/layout/cycle2" loCatId="cycle" qsTypeId="urn:microsoft.com/office/officeart/2005/8/quickstyle/simple1" qsCatId="simple" csTypeId="urn:microsoft.com/office/officeart/2005/8/colors/colorful3" csCatId="colorful" phldr="1"/>
      <dgm:spPr/>
      <dgm:t>
        <a:bodyPr/>
        <a:lstStyle/>
        <a:p>
          <a:endParaRPr lang="en-AU"/>
        </a:p>
      </dgm:t>
    </dgm:pt>
    <dgm:pt modelId="{DBC07FC2-0BB1-4087-B193-3BE931358A6F}">
      <dgm:prSet phldrT="[Text]"/>
      <dgm:spPr>
        <a:xfrm>
          <a:off x="2518729" y="915"/>
          <a:ext cx="694050" cy="694050"/>
        </a:xfrm>
        <a:prstGeom prst="ellipse">
          <a:avLst/>
        </a:prstGeom>
        <a:solidFill>
          <a:srgbClr val="0098C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Arial"/>
              <a:ea typeface="+mn-ea"/>
              <a:cs typeface="+mn-cs"/>
            </a:rPr>
            <a:t>Market monitoring</a:t>
          </a:r>
          <a:endParaRPr lang="en-AU" dirty="0">
            <a:solidFill>
              <a:sysClr val="window" lastClr="FFFFFF"/>
            </a:solidFill>
            <a:latin typeface="Arial"/>
            <a:ea typeface="+mn-ea"/>
            <a:cs typeface="+mn-cs"/>
          </a:endParaRPr>
        </a:p>
      </dgm:t>
    </dgm:pt>
    <dgm:pt modelId="{6B0338D6-B83A-49FC-88A0-0270FBCA8B3B}" type="parTrans" cxnId="{94BCEA69-8CF7-4C10-BCA7-832A27494EA4}">
      <dgm:prSet/>
      <dgm:spPr/>
      <dgm:t>
        <a:bodyPr/>
        <a:lstStyle/>
        <a:p>
          <a:endParaRPr lang="en-AU"/>
        </a:p>
      </dgm:t>
    </dgm:pt>
    <dgm:pt modelId="{4E403D41-7A8D-44FC-A463-96DC21D6EFCC}" type="sibTrans" cxnId="{94BCEA69-8CF7-4C10-BCA7-832A27494EA4}">
      <dgm:prSet/>
      <dgm:spPr>
        <a:xfrm rot="1542857">
          <a:off x="3238242" y="454598"/>
          <a:ext cx="184387" cy="234241"/>
        </a:xfrm>
        <a:prstGeom prst="rightArrow">
          <a:avLst>
            <a:gd name="adj1" fmla="val 60000"/>
            <a:gd name="adj2" fmla="val 50000"/>
          </a:avLst>
        </a:prstGeom>
        <a:solidFill>
          <a:srgbClr val="0098C3">
            <a:hueOff val="0"/>
            <a:satOff val="0"/>
            <a:lumOff val="0"/>
            <a:alphaOff val="0"/>
          </a:srgbClr>
        </a:solidFill>
        <a:ln>
          <a:noFill/>
        </a:ln>
        <a:effectLst/>
      </dgm:spPr>
      <dgm:t>
        <a:bodyPr/>
        <a:lstStyle/>
        <a:p>
          <a:endParaRPr lang="en-AU">
            <a:solidFill>
              <a:sysClr val="window" lastClr="FFFFFF"/>
            </a:solidFill>
            <a:latin typeface="Arial"/>
            <a:ea typeface="+mn-ea"/>
            <a:cs typeface="+mn-cs"/>
          </a:endParaRPr>
        </a:p>
      </dgm:t>
    </dgm:pt>
    <dgm:pt modelId="{052C0511-A296-47AE-AA21-84E40E345225}">
      <dgm:prSet phldrT="[Text]"/>
      <dgm:spPr>
        <a:xfrm>
          <a:off x="3457496" y="453001"/>
          <a:ext cx="694050" cy="694050"/>
        </a:xfrm>
        <a:prstGeom prst="ellipse">
          <a:avLst/>
        </a:prstGeom>
        <a:solidFill>
          <a:srgbClr val="0098C3">
            <a:hueOff val="91694"/>
            <a:satOff val="-5797"/>
            <a:lumOff val="6536"/>
            <a:alphaOff val="0"/>
          </a:srgbClr>
        </a:solidFill>
        <a:ln w="25400" cap="flat" cmpd="sng" algn="ctr">
          <a:solidFill>
            <a:sysClr val="window" lastClr="FFFFFF">
              <a:hueOff val="0"/>
              <a:satOff val="0"/>
              <a:lumOff val="0"/>
              <a:alphaOff val="0"/>
            </a:sysClr>
          </a:solidFill>
          <a:prstDash val="solid"/>
        </a:ln>
        <a:effectLst/>
      </dgm:spPr>
      <dgm:t>
        <a:bodyPr/>
        <a:lstStyle/>
        <a:p>
          <a:r>
            <a:rPr lang="en-AU" smtClean="0">
              <a:solidFill>
                <a:sysClr val="window" lastClr="FFFFFF"/>
              </a:solidFill>
              <a:latin typeface="Arial"/>
              <a:ea typeface="+mn-ea"/>
              <a:cs typeface="+mn-cs"/>
            </a:rPr>
            <a:t>Reporting by regulated businesses</a:t>
          </a:r>
          <a:endParaRPr lang="en-AU" dirty="0">
            <a:solidFill>
              <a:sysClr val="window" lastClr="FFFFFF"/>
            </a:solidFill>
            <a:latin typeface="Arial"/>
            <a:ea typeface="+mn-ea"/>
            <a:cs typeface="+mn-cs"/>
          </a:endParaRPr>
        </a:p>
      </dgm:t>
    </dgm:pt>
    <dgm:pt modelId="{3C0222F2-4A03-4CF9-9041-D76DFCE381FA}" type="parTrans" cxnId="{93ACE2F3-822F-4E4B-8F7D-928E4123C543}">
      <dgm:prSet/>
      <dgm:spPr/>
      <dgm:t>
        <a:bodyPr/>
        <a:lstStyle/>
        <a:p>
          <a:endParaRPr lang="en-AU"/>
        </a:p>
      </dgm:t>
    </dgm:pt>
    <dgm:pt modelId="{DB186396-1984-41C3-9B09-F1D4A9EC6300}" type="sibTrans" cxnId="{93ACE2F3-822F-4E4B-8F7D-928E4123C543}">
      <dgm:prSet/>
      <dgm:spPr>
        <a:xfrm rot="4628571">
          <a:off x="3827093" y="1185732"/>
          <a:ext cx="184387" cy="234241"/>
        </a:xfrm>
        <a:prstGeom prst="rightArrow">
          <a:avLst>
            <a:gd name="adj1" fmla="val 60000"/>
            <a:gd name="adj2" fmla="val 50000"/>
          </a:avLst>
        </a:prstGeom>
        <a:solidFill>
          <a:srgbClr val="0098C3">
            <a:hueOff val="91694"/>
            <a:satOff val="-5797"/>
            <a:lumOff val="6536"/>
            <a:alphaOff val="0"/>
          </a:srgbClr>
        </a:solidFill>
        <a:ln>
          <a:noFill/>
        </a:ln>
        <a:effectLst/>
      </dgm:spPr>
      <dgm:t>
        <a:bodyPr/>
        <a:lstStyle/>
        <a:p>
          <a:endParaRPr lang="en-AU">
            <a:solidFill>
              <a:sysClr val="window" lastClr="FFFFFF"/>
            </a:solidFill>
            <a:latin typeface="Arial"/>
            <a:ea typeface="+mn-ea"/>
            <a:cs typeface="+mn-cs"/>
          </a:endParaRPr>
        </a:p>
      </dgm:t>
    </dgm:pt>
    <dgm:pt modelId="{0FED0951-A564-46F5-94B7-27D4260DB8D6}">
      <dgm:prSet phldrT="[Text]"/>
      <dgm:spPr>
        <a:xfrm>
          <a:off x="3689352" y="1468829"/>
          <a:ext cx="694050" cy="694050"/>
        </a:xfrm>
        <a:prstGeom prst="ellipse">
          <a:avLst/>
        </a:prstGeom>
        <a:solidFill>
          <a:srgbClr val="0098C3">
            <a:hueOff val="183388"/>
            <a:satOff val="-11594"/>
            <a:lumOff val="13072"/>
            <a:alphaOff val="0"/>
          </a:srgbClr>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Arial"/>
              <a:ea typeface="+mn-ea"/>
              <a:cs typeface="+mn-cs"/>
            </a:rPr>
            <a:t>Consumer insight</a:t>
          </a:r>
          <a:endParaRPr lang="en-AU" dirty="0">
            <a:solidFill>
              <a:sysClr val="window" lastClr="FFFFFF"/>
            </a:solidFill>
            <a:latin typeface="Arial"/>
            <a:ea typeface="+mn-ea"/>
            <a:cs typeface="+mn-cs"/>
          </a:endParaRPr>
        </a:p>
      </dgm:t>
    </dgm:pt>
    <dgm:pt modelId="{3FA6F399-5BA9-454C-89F5-F3CA9B410072}" type="parTrans" cxnId="{6F818A9F-3749-4136-8729-3CD08440A98C}">
      <dgm:prSet/>
      <dgm:spPr/>
      <dgm:t>
        <a:bodyPr/>
        <a:lstStyle/>
        <a:p>
          <a:endParaRPr lang="en-AU"/>
        </a:p>
      </dgm:t>
    </dgm:pt>
    <dgm:pt modelId="{A0A2E98D-002F-4524-AC39-F2A120869D43}" type="sibTrans" cxnId="{6F818A9F-3749-4136-8729-3CD08440A98C}">
      <dgm:prSet/>
      <dgm:spPr>
        <a:xfrm rot="7714286">
          <a:off x="3622613" y="2101968"/>
          <a:ext cx="184387" cy="234241"/>
        </a:xfrm>
        <a:prstGeom prst="rightArrow">
          <a:avLst>
            <a:gd name="adj1" fmla="val 60000"/>
            <a:gd name="adj2" fmla="val 50000"/>
          </a:avLst>
        </a:prstGeom>
        <a:solidFill>
          <a:srgbClr val="0098C3">
            <a:hueOff val="183388"/>
            <a:satOff val="-11594"/>
            <a:lumOff val="13072"/>
            <a:alphaOff val="0"/>
          </a:srgbClr>
        </a:solidFill>
        <a:ln>
          <a:noFill/>
        </a:ln>
        <a:effectLst/>
      </dgm:spPr>
      <dgm:t>
        <a:bodyPr/>
        <a:lstStyle/>
        <a:p>
          <a:endParaRPr lang="en-AU">
            <a:solidFill>
              <a:sysClr val="window" lastClr="FFFFFF"/>
            </a:solidFill>
            <a:latin typeface="Arial"/>
            <a:ea typeface="+mn-ea"/>
            <a:cs typeface="+mn-cs"/>
          </a:endParaRPr>
        </a:p>
      </dgm:t>
    </dgm:pt>
    <dgm:pt modelId="{6D380BE2-C076-474D-A5BA-8F63B3820548}">
      <dgm:prSet phldrT="[Text]"/>
      <dgm:spPr>
        <a:xfrm>
          <a:off x="3039705" y="2283460"/>
          <a:ext cx="694050" cy="694050"/>
        </a:xfrm>
        <a:prstGeom prst="ellipse">
          <a:avLst/>
        </a:prstGeom>
        <a:solidFill>
          <a:srgbClr val="0098C3">
            <a:hueOff val="275082"/>
            <a:satOff val="-17391"/>
            <a:lumOff val="19608"/>
            <a:alphaOff val="0"/>
          </a:srgbClr>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Arial"/>
              <a:ea typeface="+mn-ea"/>
              <a:cs typeface="+mn-cs"/>
            </a:rPr>
            <a:t>Ongoing stakeholder dialogue</a:t>
          </a:r>
          <a:endParaRPr lang="en-AU" dirty="0">
            <a:solidFill>
              <a:sysClr val="window" lastClr="FFFFFF"/>
            </a:solidFill>
            <a:latin typeface="Arial"/>
            <a:ea typeface="+mn-ea"/>
            <a:cs typeface="+mn-cs"/>
          </a:endParaRPr>
        </a:p>
      </dgm:t>
    </dgm:pt>
    <dgm:pt modelId="{1AC4B6B7-0996-4AC2-9421-5F61050DB258}" type="parTrans" cxnId="{DD59564B-C012-40D5-8AA2-6C60ACA342B9}">
      <dgm:prSet/>
      <dgm:spPr/>
      <dgm:t>
        <a:bodyPr/>
        <a:lstStyle/>
        <a:p>
          <a:endParaRPr lang="en-AU"/>
        </a:p>
      </dgm:t>
    </dgm:pt>
    <dgm:pt modelId="{A7A355E0-521C-436F-AC82-BF1678207E28}" type="sibTrans" cxnId="{DD59564B-C012-40D5-8AA2-6C60ACA342B9}">
      <dgm:prSet/>
      <dgm:spPr>
        <a:xfrm rot="10800000">
          <a:off x="2778779" y="2513364"/>
          <a:ext cx="184387" cy="234241"/>
        </a:xfrm>
        <a:prstGeom prst="rightArrow">
          <a:avLst>
            <a:gd name="adj1" fmla="val 60000"/>
            <a:gd name="adj2" fmla="val 50000"/>
          </a:avLst>
        </a:prstGeom>
        <a:solidFill>
          <a:srgbClr val="0098C3">
            <a:hueOff val="275082"/>
            <a:satOff val="-17391"/>
            <a:lumOff val="19608"/>
            <a:alphaOff val="0"/>
          </a:srgbClr>
        </a:solidFill>
        <a:ln>
          <a:noFill/>
        </a:ln>
        <a:effectLst/>
      </dgm:spPr>
      <dgm:t>
        <a:bodyPr/>
        <a:lstStyle/>
        <a:p>
          <a:endParaRPr lang="en-AU">
            <a:solidFill>
              <a:sysClr val="window" lastClr="FFFFFF"/>
            </a:solidFill>
            <a:latin typeface="Arial"/>
            <a:ea typeface="+mn-ea"/>
            <a:cs typeface="+mn-cs"/>
          </a:endParaRPr>
        </a:p>
      </dgm:t>
    </dgm:pt>
    <dgm:pt modelId="{BF78EC67-30D4-4B43-8039-5F686F095842}">
      <dgm:prSet phldrT="[Text]"/>
      <dgm:spPr>
        <a:xfrm>
          <a:off x="1348107" y="1468829"/>
          <a:ext cx="694050" cy="694050"/>
        </a:xfrm>
        <a:prstGeom prst="ellipse">
          <a:avLst/>
        </a:prstGeom>
        <a:solidFill>
          <a:srgbClr val="0098C3">
            <a:hueOff val="458469"/>
            <a:satOff val="-28985"/>
            <a:lumOff val="32680"/>
            <a:alphaOff val="0"/>
          </a:srgbClr>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Arial"/>
              <a:ea typeface="+mn-ea"/>
              <a:cs typeface="+mn-cs"/>
            </a:rPr>
            <a:t>Formal consultation processes</a:t>
          </a:r>
          <a:endParaRPr lang="en-AU" dirty="0">
            <a:solidFill>
              <a:sysClr val="window" lastClr="FFFFFF"/>
            </a:solidFill>
            <a:latin typeface="Arial"/>
            <a:ea typeface="+mn-ea"/>
            <a:cs typeface="+mn-cs"/>
          </a:endParaRPr>
        </a:p>
      </dgm:t>
    </dgm:pt>
    <dgm:pt modelId="{D6DB6CBF-8BDB-4BDF-8BB3-C5D9019CDB32}" type="parTrans" cxnId="{16E8B687-D404-496B-937E-E141693BDF2D}">
      <dgm:prSet/>
      <dgm:spPr/>
      <dgm:t>
        <a:bodyPr/>
        <a:lstStyle/>
        <a:p>
          <a:endParaRPr lang="en-AU"/>
        </a:p>
      </dgm:t>
    </dgm:pt>
    <dgm:pt modelId="{C1C14604-D6FE-4CF3-8FC5-CE2EF6BCB74D}" type="sibTrans" cxnId="{16E8B687-D404-496B-937E-E141693BDF2D}">
      <dgm:prSet/>
      <dgm:spPr>
        <a:xfrm rot="16971429">
          <a:off x="1717705" y="1195907"/>
          <a:ext cx="184387" cy="234241"/>
        </a:xfrm>
        <a:prstGeom prst="rightArrow">
          <a:avLst>
            <a:gd name="adj1" fmla="val 60000"/>
            <a:gd name="adj2" fmla="val 50000"/>
          </a:avLst>
        </a:prstGeom>
        <a:solidFill>
          <a:srgbClr val="0098C3">
            <a:hueOff val="458469"/>
            <a:satOff val="-28985"/>
            <a:lumOff val="32680"/>
            <a:alphaOff val="0"/>
          </a:srgbClr>
        </a:solidFill>
        <a:ln>
          <a:noFill/>
        </a:ln>
        <a:effectLst/>
      </dgm:spPr>
      <dgm:t>
        <a:bodyPr/>
        <a:lstStyle/>
        <a:p>
          <a:endParaRPr lang="en-AU">
            <a:solidFill>
              <a:sysClr val="window" lastClr="FFFFFF"/>
            </a:solidFill>
            <a:latin typeface="Arial"/>
            <a:ea typeface="+mn-ea"/>
            <a:cs typeface="+mn-cs"/>
          </a:endParaRPr>
        </a:p>
      </dgm:t>
    </dgm:pt>
    <dgm:pt modelId="{CF383480-14EB-41DF-9E62-D07E79CCF37E}">
      <dgm:prSet/>
      <dgm:spPr>
        <a:xfrm>
          <a:off x="1579963" y="453001"/>
          <a:ext cx="694050" cy="694050"/>
        </a:xfrm>
        <a:prstGeom prst="ellipse">
          <a:avLst/>
        </a:prstGeom>
        <a:solidFill>
          <a:srgbClr val="0098C3">
            <a:hueOff val="550163"/>
            <a:satOff val="-34782"/>
            <a:lumOff val="39216"/>
            <a:alphaOff val="0"/>
          </a:srgbClr>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Arial"/>
              <a:ea typeface="+mn-ea"/>
              <a:cs typeface="+mn-cs"/>
            </a:rPr>
            <a:t>Support consumer engagement in the market</a:t>
          </a:r>
          <a:endParaRPr lang="en-AU" dirty="0">
            <a:solidFill>
              <a:sysClr val="window" lastClr="FFFFFF"/>
            </a:solidFill>
            <a:latin typeface="Arial"/>
            <a:ea typeface="+mn-ea"/>
            <a:cs typeface="+mn-cs"/>
          </a:endParaRPr>
        </a:p>
      </dgm:t>
    </dgm:pt>
    <dgm:pt modelId="{DB7DAB42-9EA1-4B8A-93B5-7E3E7523187E}" type="parTrans" cxnId="{E5EB2315-9433-43D2-92B9-B96D0E0FF24B}">
      <dgm:prSet/>
      <dgm:spPr/>
      <dgm:t>
        <a:bodyPr/>
        <a:lstStyle/>
        <a:p>
          <a:endParaRPr lang="en-AU"/>
        </a:p>
      </dgm:t>
    </dgm:pt>
    <dgm:pt modelId="{8D4FFF57-908B-45C1-B74E-DDAC07AFC963}" type="sibTrans" cxnId="{E5EB2315-9433-43D2-92B9-B96D0E0FF24B}">
      <dgm:prSet/>
      <dgm:spPr>
        <a:xfrm rot="20057143">
          <a:off x="2299476" y="459127"/>
          <a:ext cx="184387" cy="234241"/>
        </a:xfrm>
        <a:prstGeom prst="rightArrow">
          <a:avLst>
            <a:gd name="adj1" fmla="val 60000"/>
            <a:gd name="adj2" fmla="val 50000"/>
          </a:avLst>
        </a:prstGeom>
        <a:solidFill>
          <a:srgbClr val="0098C3">
            <a:hueOff val="550163"/>
            <a:satOff val="-34782"/>
            <a:lumOff val="39216"/>
            <a:alphaOff val="0"/>
          </a:srgbClr>
        </a:solidFill>
        <a:ln>
          <a:noFill/>
        </a:ln>
        <a:effectLst/>
      </dgm:spPr>
      <dgm:t>
        <a:bodyPr/>
        <a:lstStyle/>
        <a:p>
          <a:endParaRPr lang="en-AU">
            <a:solidFill>
              <a:sysClr val="window" lastClr="FFFFFF"/>
            </a:solidFill>
            <a:latin typeface="Arial"/>
            <a:ea typeface="+mn-ea"/>
            <a:cs typeface="+mn-cs"/>
          </a:endParaRPr>
        </a:p>
      </dgm:t>
    </dgm:pt>
    <dgm:pt modelId="{D3961397-D8C1-4F85-BD2F-64A22AD785E1}">
      <dgm:prSet phldrT="[Text]"/>
      <dgm:spPr>
        <a:xfrm>
          <a:off x="1997754" y="2283460"/>
          <a:ext cx="694050" cy="694050"/>
        </a:xfrm>
        <a:prstGeom prst="ellipse">
          <a:avLst/>
        </a:prstGeom>
        <a:solidFill>
          <a:srgbClr val="0098C3">
            <a:hueOff val="366776"/>
            <a:satOff val="-23188"/>
            <a:lumOff val="26144"/>
            <a:alphaOff val="0"/>
          </a:srgbClr>
        </a:solidFill>
        <a:ln w="25400" cap="flat" cmpd="sng" algn="ctr">
          <a:solidFill>
            <a:sysClr val="window" lastClr="FFFFFF">
              <a:hueOff val="0"/>
              <a:satOff val="0"/>
              <a:lumOff val="0"/>
              <a:alphaOff val="0"/>
            </a:sysClr>
          </a:solidFill>
          <a:prstDash val="solid"/>
        </a:ln>
        <a:effectLst/>
      </dgm:spPr>
      <dgm:t>
        <a:bodyPr/>
        <a:lstStyle/>
        <a:p>
          <a:r>
            <a:rPr lang="en-AU" dirty="0">
              <a:solidFill>
                <a:sysClr val="window" lastClr="FFFFFF"/>
              </a:solidFill>
              <a:latin typeface="Arial"/>
              <a:ea typeface="+mn-ea"/>
              <a:cs typeface="+mn-cs"/>
            </a:rPr>
            <a:t>Setting network revenues</a:t>
          </a:r>
        </a:p>
      </dgm:t>
    </dgm:pt>
    <dgm:pt modelId="{01A0E629-7392-4881-8354-37A2EBA026DB}" type="parTrans" cxnId="{17DF8E01-E55A-48D1-B6FE-1AD31A703161}">
      <dgm:prSet/>
      <dgm:spPr/>
      <dgm:t>
        <a:bodyPr/>
        <a:lstStyle/>
        <a:p>
          <a:endParaRPr lang="en-AU"/>
        </a:p>
      </dgm:t>
    </dgm:pt>
    <dgm:pt modelId="{A2E597B0-5333-49E4-906E-E356397E2D57}" type="sibTrans" cxnId="{17DF8E01-E55A-48D1-B6FE-1AD31A703161}">
      <dgm:prSet/>
      <dgm:spPr>
        <a:xfrm rot="13885714">
          <a:off x="1931015" y="2110128"/>
          <a:ext cx="184387" cy="234241"/>
        </a:xfrm>
        <a:prstGeom prst="rightArrow">
          <a:avLst>
            <a:gd name="adj1" fmla="val 60000"/>
            <a:gd name="adj2" fmla="val 50000"/>
          </a:avLst>
        </a:prstGeom>
        <a:solidFill>
          <a:srgbClr val="0098C3">
            <a:hueOff val="366776"/>
            <a:satOff val="-23188"/>
            <a:lumOff val="26144"/>
            <a:alphaOff val="0"/>
          </a:srgbClr>
        </a:solidFill>
        <a:ln>
          <a:noFill/>
        </a:ln>
        <a:effectLst/>
      </dgm:spPr>
      <dgm:t>
        <a:bodyPr/>
        <a:lstStyle/>
        <a:p>
          <a:endParaRPr lang="en-AU">
            <a:solidFill>
              <a:sysClr val="window" lastClr="FFFFFF"/>
            </a:solidFill>
            <a:latin typeface="Arial"/>
            <a:ea typeface="+mn-ea"/>
            <a:cs typeface="+mn-cs"/>
          </a:endParaRPr>
        </a:p>
      </dgm:t>
    </dgm:pt>
    <dgm:pt modelId="{CA7FA389-D06F-4E41-94E1-9E6C347A9083}" type="pres">
      <dgm:prSet presAssocID="{D89409DA-FCB3-4DE1-8D9D-F4464D25C42A}" presName="cycle" presStyleCnt="0">
        <dgm:presLayoutVars>
          <dgm:dir/>
          <dgm:resizeHandles val="exact"/>
        </dgm:presLayoutVars>
      </dgm:prSet>
      <dgm:spPr/>
      <dgm:t>
        <a:bodyPr/>
        <a:lstStyle/>
        <a:p>
          <a:endParaRPr lang="en-AU"/>
        </a:p>
      </dgm:t>
    </dgm:pt>
    <dgm:pt modelId="{C89ACAEC-17BE-4ABC-B4EA-4281AA7EA422}" type="pres">
      <dgm:prSet presAssocID="{DBC07FC2-0BB1-4087-B193-3BE931358A6F}" presName="node" presStyleLbl="node1" presStyleIdx="0" presStyleCnt="7">
        <dgm:presLayoutVars>
          <dgm:bulletEnabled val="1"/>
        </dgm:presLayoutVars>
      </dgm:prSet>
      <dgm:spPr/>
      <dgm:t>
        <a:bodyPr/>
        <a:lstStyle/>
        <a:p>
          <a:endParaRPr lang="en-AU"/>
        </a:p>
      </dgm:t>
    </dgm:pt>
    <dgm:pt modelId="{E0E9CB6B-1EA8-4FED-9448-75CA904DDFE4}" type="pres">
      <dgm:prSet presAssocID="{4E403D41-7A8D-44FC-A463-96DC21D6EFCC}" presName="sibTrans" presStyleLbl="sibTrans2D1" presStyleIdx="0" presStyleCnt="7"/>
      <dgm:spPr/>
      <dgm:t>
        <a:bodyPr/>
        <a:lstStyle/>
        <a:p>
          <a:endParaRPr lang="en-AU"/>
        </a:p>
      </dgm:t>
    </dgm:pt>
    <dgm:pt modelId="{64B2E92F-8CEA-451B-BB8D-4756B4A4D5B6}" type="pres">
      <dgm:prSet presAssocID="{4E403D41-7A8D-44FC-A463-96DC21D6EFCC}" presName="connectorText" presStyleLbl="sibTrans2D1" presStyleIdx="0" presStyleCnt="7"/>
      <dgm:spPr/>
      <dgm:t>
        <a:bodyPr/>
        <a:lstStyle/>
        <a:p>
          <a:endParaRPr lang="en-AU"/>
        </a:p>
      </dgm:t>
    </dgm:pt>
    <dgm:pt modelId="{E3167089-FE96-4C96-A60C-8DCF79E8DAF8}" type="pres">
      <dgm:prSet presAssocID="{052C0511-A296-47AE-AA21-84E40E345225}" presName="node" presStyleLbl="node1" presStyleIdx="1" presStyleCnt="7">
        <dgm:presLayoutVars>
          <dgm:bulletEnabled val="1"/>
        </dgm:presLayoutVars>
      </dgm:prSet>
      <dgm:spPr/>
      <dgm:t>
        <a:bodyPr/>
        <a:lstStyle/>
        <a:p>
          <a:endParaRPr lang="en-AU"/>
        </a:p>
      </dgm:t>
    </dgm:pt>
    <dgm:pt modelId="{B970B87E-CBA2-47EE-B142-FD14F5B8C395}" type="pres">
      <dgm:prSet presAssocID="{DB186396-1984-41C3-9B09-F1D4A9EC6300}" presName="sibTrans" presStyleLbl="sibTrans2D1" presStyleIdx="1" presStyleCnt="7"/>
      <dgm:spPr/>
      <dgm:t>
        <a:bodyPr/>
        <a:lstStyle/>
        <a:p>
          <a:endParaRPr lang="en-AU"/>
        </a:p>
      </dgm:t>
    </dgm:pt>
    <dgm:pt modelId="{209AABE0-9ECF-491A-B1BB-85DE6456FDB4}" type="pres">
      <dgm:prSet presAssocID="{DB186396-1984-41C3-9B09-F1D4A9EC6300}" presName="connectorText" presStyleLbl="sibTrans2D1" presStyleIdx="1" presStyleCnt="7"/>
      <dgm:spPr/>
      <dgm:t>
        <a:bodyPr/>
        <a:lstStyle/>
        <a:p>
          <a:endParaRPr lang="en-AU"/>
        </a:p>
      </dgm:t>
    </dgm:pt>
    <dgm:pt modelId="{2A733B49-BD3E-4ACF-8007-E77AE7283D5E}" type="pres">
      <dgm:prSet presAssocID="{0FED0951-A564-46F5-94B7-27D4260DB8D6}" presName="node" presStyleLbl="node1" presStyleIdx="2" presStyleCnt="7">
        <dgm:presLayoutVars>
          <dgm:bulletEnabled val="1"/>
        </dgm:presLayoutVars>
      </dgm:prSet>
      <dgm:spPr/>
      <dgm:t>
        <a:bodyPr/>
        <a:lstStyle/>
        <a:p>
          <a:endParaRPr lang="en-AU"/>
        </a:p>
      </dgm:t>
    </dgm:pt>
    <dgm:pt modelId="{A93641C2-E357-4922-AC8E-896BDCBAC691}" type="pres">
      <dgm:prSet presAssocID="{A0A2E98D-002F-4524-AC39-F2A120869D43}" presName="sibTrans" presStyleLbl="sibTrans2D1" presStyleIdx="2" presStyleCnt="7"/>
      <dgm:spPr/>
      <dgm:t>
        <a:bodyPr/>
        <a:lstStyle/>
        <a:p>
          <a:endParaRPr lang="en-AU"/>
        </a:p>
      </dgm:t>
    </dgm:pt>
    <dgm:pt modelId="{F2545277-9757-4918-ACC2-BF18CA79A519}" type="pres">
      <dgm:prSet presAssocID="{A0A2E98D-002F-4524-AC39-F2A120869D43}" presName="connectorText" presStyleLbl="sibTrans2D1" presStyleIdx="2" presStyleCnt="7"/>
      <dgm:spPr/>
      <dgm:t>
        <a:bodyPr/>
        <a:lstStyle/>
        <a:p>
          <a:endParaRPr lang="en-AU"/>
        </a:p>
      </dgm:t>
    </dgm:pt>
    <dgm:pt modelId="{0C53D95F-A434-4947-AF4A-CB16538832AD}" type="pres">
      <dgm:prSet presAssocID="{6D380BE2-C076-474D-A5BA-8F63B3820548}" presName="node" presStyleLbl="node1" presStyleIdx="3" presStyleCnt="7">
        <dgm:presLayoutVars>
          <dgm:bulletEnabled val="1"/>
        </dgm:presLayoutVars>
      </dgm:prSet>
      <dgm:spPr/>
      <dgm:t>
        <a:bodyPr/>
        <a:lstStyle/>
        <a:p>
          <a:endParaRPr lang="en-AU"/>
        </a:p>
      </dgm:t>
    </dgm:pt>
    <dgm:pt modelId="{F87422F2-279A-4756-B783-1224C4B19C66}" type="pres">
      <dgm:prSet presAssocID="{A7A355E0-521C-436F-AC82-BF1678207E28}" presName="sibTrans" presStyleLbl="sibTrans2D1" presStyleIdx="3" presStyleCnt="7"/>
      <dgm:spPr/>
      <dgm:t>
        <a:bodyPr/>
        <a:lstStyle/>
        <a:p>
          <a:endParaRPr lang="en-AU"/>
        </a:p>
      </dgm:t>
    </dgm:pt>
    <dgm:pt modelId="{27CF41DB-24DB-4C77-96AC-60B2D6E5C7E8}" type="pres">
      <dgm:prSet presAssocID="{A7A355E0-521C-436F-AC82-BF1678207E28}" presName="connectorText" presStyleLbl="sibTrans2D1" presStyleIdx="3" presStyleCnt="7"/>
      <dgm:spPr/>
      <dgm:t>
        <a:bodyPr/>
        <a:lstStyle/>
        <a:p>
          <a:endParaRPr lang="en-AU"/>
        </a:p>
      </dgm:t>
    </dgm:pt>
    <dgm:pt modelId="{D55EC4D0-DCFE-499E-B56D-306C029C84C8}" type="pres">
      <dgm:prSet presAssocID="{D3961397-D8C1-4F85-BD2F-64A22AD785E1}" presName="node" presStyleLbl="node1" presStyleIdx="4" presStyleCnt="7">
        <dgm:presLayoutVars>
          <dgm:bulletEnabled val="1"/>
        </dgm:presLayoutVars>
      </dgm:prSet>
      <dgm:spPr/>
      <dgm:t>
        <a:bodyPr/>
        <a:lstStyle/>
        <a:p>
          <a:endParaRPr lang="en-AU"/>
        </a:p>
      </dgm:t>
    </dgm:pt>
    <dgm:pt modelId="{7627D791-FCB5-4AE0-9D5E-0645AFDAAD6A}" type="pres">
      <dgm:prSet presAssocID="{A2E597B0-5333-49E4-906E-E356397E2D57}" presName="sibTrans" presStyleLbl="sibTrans2D1" presStyleIdx="4" presStyleCnt="7"/>
      <dgm:spPr/>
      <dgm:t>
        <a:bodyPr/>
        <a:lstStyle/>
        <a:p>
          <a:endParaRPr lang="en-AU"/>
        </a:p>
      </dgm:t>
    </dgm:pt>
    <dgm:pt modelId="{8F266437-69E5-4AB1-8CA1-38F831D130B0}" type="pres">
      <dgm:prSet presAssocID="{A2E597B0-5333-49E4-906E-E356397E2D57}" presName="connectorText" presStyleLbl="sibTrans2D1" presStyleIdx="4" presStyleCnt="7"/>
      <dgm:spPr/>
      <dgm:t>
        <a:bodyPr/>
        <a:lstStyle/>
        <a:p>
          <a:endParaRPr lang="en-AU"/>
        </a:p>
      </dgm:t>
    </dgm:pt>
    <dgm:pt modelId="{ED7FC3A5-9884-419A-A8A5-2F4269C65FC7}" type="pres">
      <dgm:prSet presAssocID="{BF78EC67-30D4-4B43-8039-5F686F095842}" presName="node" presStyleLbl="node1" presStyleIdx="5" presStyleCnt="7">
        <dgm:presLayoutVars>
          <dgm:bulletEnabled val="1"/>
        </dgm:presLayoutVars>
      </dgm:prSet>
      <dgm:spPr/>
      <dgm:t>
        <a:bodyPr/>
        <a:lstStyle/>
        <a:p>
          <a:endParaRPr lang="en-AU"/>
        </a:p>
      </dgm:t>
    </dgm:pt>
    <dgm:pt modelId="{477FE313-3CC4-4DC3-999E-BEF20BBCDD18}" type="pres">
      <dgm:prSet presAssocID="{C1C14604-D6FE-4CF3-8FC5-CE2EF6BCB74D}" presName="sibTrans" presStyleLbl="sibTrans2D1" presStyleIdx="5" presStyleCnt="7"/>
      <dgm:spPr/>
      <dgm:t>
        <a:bodyPr/>
        <a:lstStyle/>
        <a:p>
          <a:endParaRPr lang="en-AU"/>
        </a:p>
      </dgm:t>
    </dgm:pt>
    <dgm:pt modelId="{4C655A93-FE3C-4290-B391-B378F14B9B76}" type="pres">
      <dgm:prSet presAssocID="{C1C14604-D6FE-4CF3-8FC5-CE2EF6BCB74D}" presName="connectorText" presStyleLbl="sibTrans2D1" presStyleIdx="5" presStyleCnt="7"/>
      <dgm:spPr/>
      <dgm:t>
        <a:bodyPr/>
        <a:lstStyle/>
        <a:p>
          <a:endParaRPr lang="en-AU"/>
        </a:p>
      </dgm:t>
    </dgm:pt>
    <dgm:pt modelId="{A19CEA53-F1C3-4FED-8943-88E4FAE4855D}" type="pres">
      <dgm:prSet presAssocID="{CF383480-14EB-41DF-9E62-D07E79CCF37E}" presName="node" presStyleLbl="node1" presStyleIdx="6" presStyleCnt="7">
        <dgm:presLayoutVars>
          <dgm:bulletEnabled val="1"/>
        </dgm:presLayoutVars>
      </dgm:prSet>
      <dgm:spPr/>
      <dgm:t>
        <a:bodyPr/>
        <a:lstStyle/>
        <a:p>
          <a:endParaRPr lang="en-AU"/>
        </a:p>
      </dgm:t>
    </dgm:pt>
    <dgm:pt modelId="{25E60E0E-E4D7-4BFC-B991-B7E06C7C40DB}" type="pres">
      <dgm:prSet presAssocID="{8D4FFF57-908B-45C1-B74E-DDAC07AFC963}" presName="sibTrans" presStyleLbl="sibTrans2D1" presStyleIdx="6" presStyleCnt="7"/>
      <dgm:spPr/>
      <dgm:t>
        <a:bodyPr/>
        <a:lstStyle/>
        <a:p>
          <a:endParaRPr lang="en-AU"/>
        </a:p>
      </dgm:t>
    </dgm:pt>
    <dgm:pt modelId="{EB1FD8DA-2560-43B1-8FF0-7FD377FF6BF9}" type="pres">
      <dgm:prSet presAssocID="{8D4FFF57-908B-45C1-B74E-DDAC07AFC963}" presName="connectorText" presStyleLbl="sibTrans2D1" presStyleIdx="6" presStyleCnt="7"/>
      <dgm:spPr/>
      <dgm:t>
        <a:bodyPr/>
        <a:lstStyle/>
        <a:p>
          <a:endParaRPr lang="en-AU"/>
        </a:p>
      </dgm:t>
    </dgm:pt>
  </dgm:ptLst>
  <dgm:cxnLst>
    <dgm:cxn modelId="{5A84DF83-BA35-4966-A95F-458103B011E1}" type="presOf" srcId="{D3961397-D8C1-4F85-BD2F-64A22AD785E1}" destId="{D55EC4D0-DCFE-499E-B56D-306C029C84C8}" srcOrd="0" destOrd="0" presId="urn:microsoft.com/office/officeart/2005/8/layout/cycle2"/>
    <dgm:cxn modelId="{E0869624-A3E0-46F8-B129-1D352D8B09CD}" type="presOf" srcId="{A7A355E0-521C-436F-AC82-BF1678207E28}" destId="{27CF41DB-24DB-4C77-96AC-60B2D6E5C7E8}" srcOrd="1" destOrd="0" presId="urn:microsoft.com/office/officeart/2005/8/layout/cycle2"/>
    <dgm:cxn modelId="{51059638-2FFB-44F3-9F9D-2C2B385F0D38}" type="presOf" srcId="{DB186396-1984-41C3-9B09-F1D4A9EC6300}" destId="{209AABE0-9ECF-491A-B1BB-85DE6456FDB4}" srcOrd="1" destOrd="0" presId="urn:microsoft.com/office/officeart/2005/8/layout/cycle2"/>
    <dgm:cxn modelId="{94BCEA69-8CF7-4C10-BCA7-832A27494EA4}" srcId="{D89409DA-FCB3-4DE1-8D9D-F4464D25C42A}" destId="{DBC07FC2-0BB1-4087-B193-3BE931358A6F}" srcOrd="0" destOrd="0" parTransId="{6B0338D6-B83A-49FC-88A0-0270FBCA8B3B}" sibTransId="{4E403D41-7A8D-44FC-A463-96DC21D6EFCC}"/>
    <dgm:cxn modelId="{0358657D-D529-4691-BF43-7923D3527A04}" type="presOf" srcId="{A0A2E98D-002F-4524-AC39-F2A120869D43}" destId="{A93641C2-E357-4922-AC8E-896BDCBAC691}" srcOrd="0" destOrd="0" presId="urn:microsoft.com/office/officeart/2005/8/layout/cycle2"/>
    <dgm:cxn modelId="{3F48D075-0138-4531-9790-762A4A66276B}" type="presOf" srcId="{DBC07FC2-0BB1-4087-B193-3BE931358A6F}" destId="{C89ACAEC-17BE-4ABC-B4EA-4281AA7EA422}" srcOrd="0" destOrd="0" presId="urn:microsoft.com/office/officeart/2005/8/layout/cycle2"/>
    <dgm:cxn modelId="{17DF8E01-E55A-48D1-B6FE-1AD31A703161}" srcId="{D89409DA-FCB3-4DE1-8D9D-F4464D25C42A}" destId="{D3961397-D8C1-4F85-BD2F-64A22AD785E1}" srcOrd="4" destOrd="0" parTransId="{01A0E629-7392-4881-8354-37A2EBA026DB}" sibTransId="{A2E597B0-5333-49E4-906E-E356397E2D57}"/>
    <dgm:cxn modelId="{70EA5C9B-A7D4-4AF4-9A04-DBAD6F581610}" type="presOf" srcId="{8D4FFF57-908B-45C1-B74E-DDAC07AFC963}" destId="{25E60E0E-E4D7-4BFC-B991-B7E06C7C40DB}" srcOrd="0" destOrd="0" presId="urn:microsoft.com/office/officeart/2005/8/layout/cycle2"/>
    <dgm:cxn modelId="{DF374003-9970-45E6-AAD8-0E7B048AF9AE}" type="presOf" srcId="{052C0511-A296-47AE-AA21-84E40E345225}" destId="{E3167089-FE96-4C96-A60C-8DCF79E8DAF8}" srcOrd="0" destOrd="0" presId="urn:microsoft.com/office/officeart/2005/8/layout/cycle2"/>
    <dgm:cxn modelId="{17E534A8-8B12-4757-9B2D-394665376777}" type="presOf" srcId="{0FED0951-A564-46F5-94B7-27D4260DB8D6}" destId="{2A733B49-BD3E-4ACF-8007-E77AE7283D5E}" srcOrd="0" destOrd="0" presId="urn:microsoft.com/office/officeart/2005/8/layout/cycle2"/>
    <dgm:cxn modelId="{E5C2915B-F253-4F42-8078-64B9E6C241E5}" type="presOf" srcId="{6D380BE2-C076-474D-A5BA-8F63B3820548}" destId="{0C53D95F-A434-4947-AF4A-CB16538832AD}" srcOrd="0" destOrd="0" presId="urn:microsoft.com/office/officeart/2005/8/layout/cycle2"/>
    <dgm:cxn modelId="{FE8EAD4F-90AD-414C-845C-C8B0E92AEEBA}" type="presOf" srcId="{4E403D41-7A8D-44FC-A463-96DC21D6EFCC}" destId="{E0E9CB6B-1EA8-4FED-9448-75CA904DDFE4}" srcOrd="0" destOrd="0" presId="urn:microsoft.com/office/officeart/2005/8/layout/cycle2"/>
    <dgm:cxn modelId="{58F6F461-547D-4DF5-A658-9A207ABE1236}" type="presOf" srcId="{BF78EC67-30D4-4B43-8039-5F686F095842}" destId="{ED7FC3A5-9884-419A-A8A5-2F4269C65FC7}" srcOrd="0" destOrd="0" presId="urn:microsoft.com/office/officeart/2005/8/layout/cycle2"/>
    <dgm:cxn modelId="{F39BFC36-44D7-4C52-8B05-01C9E22EEB0F}" type="presOf" srcId="{D89409DA-FCB3-4DE1-8D9D-F4464D25C42A}" destId="{CA7FA389-D06F-4E41-94E1-9E6C347A9083}" srcOrd="0" destOrd="0" presId="urn:microsoft.com/office/officeart/2005/8/layout/cycle2"/>
    <dgm:cxn modelId="{DD59564B-C012-40D5-8AA2-6C60ACA342B9}" srcId="{D89409DA-FCB3-4DE1-8D9D-F4464D25C42A}" destId="{6D380BE2-C076-474D-A5BA-8F63B3820548}" srcOrd="3" destOrd="0" parTransId="{1AC4B6B7-0996-4AC2-9421-5F61050DB258}" sibTransId="{A7A355E0-521C-436F-AC82-BF1678207E28}"/>
    <dgm:cxn modelId="{E5EB2315-9433-43D2-92B9-B96D0E0FF24B}" srcId="{D89409DA-FCB3-4DE1-8D9D-F4464D25C42A}" destId="{CF383480-14EB-41DF-9E62-D07E79CCF37E}" srcOrd="6" destOrd="0" parTransId="{DB7DAB42-9EA1-4B8A-93B5-7E3E7523187E}" sibTransId="{8D4FFF57-908B-45C1-B74E-DDAC07AFC963}"/>
    <dgm:cxn modelId="{75B64E4D-DF85-40BA-B00A-B6ABE39CBE44}" type="presOf" srcId="{A7A355E0-521C-436F-AC82-BF1678207E28}" destId="{F87422F2-279A-4756-B783-1224C4B19C66}" srcOrd="0" destOrd="0" presId="urn:microsoft.com/office/officeart/2005/8/layout/cycle2"/>
    <dgm:cxn modelId="{5AF1DFCB-AAAC-4F32-A9D3-E039FA98664A}" type="presOf" srcId="{C1C14604-D6FE-4CF3-8FC5-CE2EF6BCB74D}" destId="{477FE313-3CC4-4DC3-999E-BEF20BBCDD18}" srcOrd="0" destOrd="0" presId="urn:microsoft.com/office/officeart/2005/8/layout/cycle2"/>
    <dgm:cxn modelId="{93ACE2F3-822F-4E4B-8F7D-928E4123C543}" srcId="{D89409DA-FCB3-4DE1-8D9D-F4464D25C42A}" destId="{052C0511-A296-47AE-AA21-84E40E345225}" srcOrd="1" destOrd="0" parTransId="{3C0222F2-4A03-4CF9-9041-D76DFCE381FA}" sibTransId="{DB186396-1984-41C3-9B09-F1D4A9EC6300}"/>
    <dgm:cxn modelId="{F4FEC323-7C51-4408-BFE6-7FA8B02D10E7}" type="presOf" srcId="{DB186396-1984-41C3-9B09-F1D4A9EC6300}" destId="{B970B87E-CBA2-47EE-B142-FD14F5B8C395}" srcOrd="0" destOrd="0" presId="urn:microsoft.com/office/officeart/2005/8/layout/cycle2"/>
    <dgm:cxn modelId="{92431AC9-A8E2-42EF-8C5D-F5A231597CDC}" type="presOf" srcId="{A2E597B0-5333-49E4-906E-E356397E2D57}" destId="{8F266437-69E5-4AB1-8CA1-38F831D130B0}" srcOrd="1" destOrd="0" presId="urn:microsoft.com/office/officeart/2005/8/layout/cycle2"/>
    <dgm:cxn modelId="{71B2ACBE-2383-4E65-BBA4-479E2F9F79E9}" type="presOf" srcId="{A0A2E98D-002F-4524-AC39-F2A120869D43}" destId="{F2545277-9757-4918-ACC2-BF18CA79A519}" srcOrd="1" destOrd="0" presId="urn:microsoft.com/office/officeart/2005/8/layout/cycle2"/>
    <dgm:cxn modelId="{2DB69F91-CE95-4702-97A7-914FF6BC9EC9}" type="presOf" srcId="{4E403D41-7A8D-44FC-A463-96DC21D6EFCC}" destId="{64B2E92F-8CEA-451B-BB8D-4756B4A4D5B6}" srcOrd="1" destOrd="0" presId="urn:microsoft.com/office/officeart/2005/8/layout/cycle2"/>
    <dgm:cxn modelId="{F58E6D31-DDD6-42EE-9524-15CBD3C056C4}" type="presOf" srcId="{A2E597B0-5333-49E4-906E-E356397E2D57}" destId="{7627D791-FCB5-4AE0-9D5E-0645AFDAAD6A}" srcOrd="0" destOrd="0" presId="urn:microsoft.com/office/officeart/2005/8/layout/cycle2"/>
    <dgm:cxn modelId="{16E8B687-D404-496B-937E-E141693BDF2D}" srcId="{D89409DA-FCB3-4DE1-8D9D-F4464D25C42A}" destId="{BF78EC67-30D4-4B43-8039-5F686F095842}" srcOrd="5" destOrd="0" parTransId="{D6DB6CBF-8BDB-4BDF-8BB3-C5D9019CDB32}" sibTransId="{C1C14604-D6FE-4CF3-8FC5-CE2EF6BCB74D}"/>
    <dgm:cxn modelId="{7EBC82EA-EDB5-48AD-9AA3-A50E1F5623CA}" type="presOf" srcId="{8D4FFF57-908B-45C1-B74E-DDAC07AFC963}" destId="{EB1FD8DA-2560-43B1-8FF0-7FD377FF6BF9}" srcOrd="1" destOrd="0" presId="urn:microsoft.com/office/officeart/2005/8/layout/cycle2"/>
    <dgm:cxn modelId="{167BBA4E-C37C-43EB-90AC-586CECE9DCEA}" type="presOf" srcId="{CF383480-14EB-41DF-9E62-D07E79CCF37E}" destId="{A19CEA53-F1C3-4FED-8943-88E4FAE4855D}" srcOrd="0" destOrd="0" presId="urn:microsoft.com/office/officeart/2005/8/layout/cycle2"/>
    <dgm:cxn modelId="{3A0966F1-5EB2-47FA-8B12-8F44D0A6E7A2}" type="presOf" srcId="{C1C14604-D6FE-4CF3-8FC5-CE2EF6BCB74D}" destId="{4C655A93-FE3C-4290-B391-B378F14B9B76}" srcOrd="1" destOrd="0" presId="urn:microsoft.com/office/officeart/2005/8/layout/cycle2"/>
    <dgm:cxn modelId="{6F818A9F-3749-4136-8729-3CD08440A98C}" srcId="{D89409DA-FCB3-4DE1-8D9D-F4464D25C42A}" destId="{0FED0951-A564-46F5-94B7-27D4260DB8D6}" srcOrd="2" destOrd="0" parTransId="{3FA6F399-5BA9-454C-89F5-F3CA9B410072}" sibTransId="{A0A2E98D-002F-4524-AC39-F2A120869D43}"/>
    <dgm:cxn modelId="{6568EB1D-2AC5-4BCF-A6E8-00C5CA6E16F9}" type="presParOf" srcId="{CA7FA389-D06F-4E41-94E1-9E6C347A9083}" destId="{C89ACAEC-17BE-4ABC-B4EA-4281AA7EA422}" srcOrd="0" destOrd="0" presId="urn:microsoft.com/office/officeart/2005/8/layout/cycle2"/>
    <dgm:cxn modelId="{9BAEC103-A56D-4867-BD67-F3A7A2879690}" type="presParOf" srcId="{CA7FA389-D06F-4E41-94E1-9E6C347A9083}" destId="{E0E9CB6B-1EA8-4FED-9448-75CA904DDFE4}" srcOrd="1" destOrd="0" presId="urn:microsoft.com/office/officeart/2005/8/layout/cycle2"/>
    <dgm:cxn modelId="{37667B28-9269-4E7C-A7AE-746684F5BEC4}" type="presParOf" srcId="{E0E9CB6B-1EA8-4FED-9448-75CA904DDFE4}" destId="{64B2E92F-8CEA-451B-BB8D-4756B4A4D5B6}" srcOrd="0" destOrd="0" presId="urn:microsoft.com/office/officeart/2005/8/layout/cycle2"/>
    <dgm:cxn modelId="{A7DE9513-8669-4EFE-863F-F55F9A3EBB3A}" type="presParOf" srcId="{CA7FA389-D06F-4E41-94E1-9E6C347A9083}" destId="{E3167089-FE96-4C96-A60C-8DCF79E8DAF8}" srcOrd="2" destOrd="0" presId="urn:microsoft.com/office/officeart/2005/8/layout/cycle2"/>
    <dgm:cxn modelId="{175EB1B2-4F51-481E-934A-EF39F69666FD}" type="presParOf" srcId="{CA7FA389-D06F-4E41-94E1-9E6C347A9083}" destId="{B970B87E-CBA2-47EE-B142-FD14F5B8C395}" srcOrd="3" destOrd="0" presId="urn:microsoft.com/office/officeart/2005/8/layout/cycle2"/>
    <dgm:cxn modelId="{3A1BEF1C-335C-4C01-870F-4438708B9121}" type="presParOf" srcId="{B970B87E-CBA2-47EE-B142-FD14F5B8C395}" destId="{209AABE0-9ECF-491A-B1BB-85DE6456FDB4}" srcOrd="0" destOrd="0" presId="urn:microsoft.com/office/officeart/2005/8/layout/cycle2"/>
    <dgm:cxn modelId="{3EE57BF0-4D6A-44AA-909E-5FF4D85EDE4D}" type="presParOf" srcId="{CA7FA389-D06F-4E41-94E1-9E6C347A9083}" destId="{2A733B49-BD3E-4ACF-8007-E77AE7283D5E}" srcOrd="4" destOrd="0" presId="urn:microsoft.com/office/officeart/2005/8/layout/cycle2"/>
    <dgm:cxn modelId="{11B1110C-2154-4325-B755-16D0E92D0AAD}" type="presParOf" srcId="{CA7FA389-D06F-4E41-94E1-9E6C347A9083}" destId="{A93641C2-E357-4922-AC8E-896BDCBAC691}" srcOrd="5" destOrd="0" presId="urn:microsoft.com/office/officeart/2005/8/layout/cycle2"/>
    <dgm:cxn modelId="{5F27B44D-D3B4-4FDD-94EF-8E54D335AF7D}" type="presParOf" srcId="{A93641C2-E357-4922-AC8E-896BDCBAC691}" destId="{F2545277-9757-4918-ACC2-BF18CA79A519}" srcOrd="0" destOrd="0" presId="urn:microsoft.com/office/officeart/2005/8/layout/cycle2"/>
    <dgm:cxn modelId="{9C5A433F-DAF4-42DA-8F69-A324A486F04D}" type="presParOf" srcId="{CA7FA389-D06F-4E41-94E1-9E6C347A9083}" destId="{0C53D95F-A434-4947-AF4A-CB16538832AD}" srcOrd="6" destOrd="0" presId="urn:microsoft.com/office/officeart/2005/8/layout/cycle2"/>
    <dgm:cxn modelId="{1D85B858-364E-450F-A921-384959B43EBC}" type="presParOf" srcId="{CA7FA389-D06F-4E41-94E1-9E6C347A9083}" destId="{F87422F2-279A-4756-B783-1224C4B19C66}" srcOrd="7" destOrd="0" presId="urn:microsoft.com/office/officeart/2005/8/layout/cycle2"/>
    <dgm:cxn modelId="{1BE7138D-B17F-4F07-8102-C8D6018EAA7E}" type="presParOf" srcId="{F87422F2-279A-4756-B783-1224C4B19C66}" destId="{27CF41DB-24DB-4C77-96AC-60B2D6E5C7E8}" srcOrd="0" destOrd="0" presId="urn:microsoft.com/office/officeart/2005/8/layout/cycle2"/>
    <dgm:cxn modelId="{1232D6DE-EDAE-4294-942F-DDF644F26CED}" type="presParOf" srcId="{CA7FA389-D06F-4E41-94E1-9E6C347A9083}" destId="{D55EC4D0-DCFE-499E-B56D-306C029C84C8}" srcOrd="8" destOrd="0" presId="urn:microsoft.com/office/officeart/2005/8/layout/cycle2"/>
    <dgm:cxn modelId="{7D8E7EE0-63E1-48F7-825F-8A4FFE5DBAA6}" type="presParOf" srcId="{CA7FA389-D06F-4E41-94E1-9E6C347A9083}" destId="{7627D791-FCB5-4AE0-9D5E-0645AFDAAD6A}" srcOrd="9" destOrd="0" presId="urn:microsoft.com/office/officeart/2005/8/layout/cycle2"/>
    <dgm:cxn modelId="{A9DB19AE-F028-4A93-B8F0-F7A1E2DB0A53}" type="presParOf" srcId="{7627D791-FCB5-4AE0-9D5E-0645AFDAAD6A}" destId="{8F266437-69E5-4AB1-8CA1-38F831D130B0}" srcOrd="0" destOrd="0" presId="urn:microsoft.com/office/officeart/2005/8/layout/cycle2"/>
    <dgm:cxn modelId="{39C14547-316B-476C-99E7-801EFC5C6CE6}" type="presParOf" srcId="{CA7FA389-D06F-4E41-94E1-9E6C347A9083}" destId="{ED7FC3A5-9884-419A-A8A5-2F4269C65FC7}" srcOrd="10" destOrd="0" presId="urn:microsoft.com/office/officeart/2005/8/layout/cycle2"/>
    <dgm:cxn modelId="{449BD0E3-5F1F-4A57-A3F5-3B6AFB3A0E87}" type="presParOf" srcId="{CA7FA389-D06F-4E41-94E1-9E6C347A9083}" destId="{477FE313-3CC4-4DC3-999E-BEF20BBCDD18}" srcOrd="11" destOrd="0" presId="urn:microsoft.com/office/officeart/2005/8/layout/cycle2"/>
    <dgm:cxn modelId="{D9BC4410-F48B-423F-9A56-F9189F1DDFF5}" type="presParOf" srcId="{477FE313-3CC4-4DC3-999E-BEF20BBCDD18}" destId="{4C655A93-FE3C-4290-B391-B378F14B9B76}" srcOrd="0" destOrd="0" presId="urn:microsoft.com/office/officeart/2005/8/layout/cycle2"/>
    <dgm:cxn modelId="{C4956859-A681-422C-9369-2AD0621AAD2D}" type="presParOf" srcId="{CA7FA389-D06F-4E41-94E1-9E6C347A9083}" destId="{A19CEA53-F1C3-4FED-8943-88E4FAE4855D}" srcOrd="12" destOrd="0" presId="urn:microsoft.com/office/officeart/2005/8/layout/cycle2"/>
    <dgm:cxn modelId="{0E8A857C-E0B5-40EC-97FB-A68AD14DABD2}" type="presParOf" srcId="{CA7FA389-D06F-4E41-94E1-9E6C347A9083}" destId="{25E60E0E-E4D7-4BFC-B991-B7E06C7C40DB}" srcOrd="13" destOrd="0" presId="urn:microsoft.com/office/officeart/2005/8/layout/cycle2"/>
    <dgm:cxn modelId="{CC9AD08C-F4EE-45B0-8A3E-6DDA89C94F88}" type="presParOf" srcId="{25E60E0E-E4D7-4BFC-B991-B7E06C7C40DB}" destId="{EB1FD8DA-2560-43B1-8FF0-7FD377FF6BF9}" srcOrd="0" destOrd="0" presId="urn:microsoft.com/office/officeart/2005/8/layout/cycle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F01DEA-E359-4357-A7B9-A6B155C2E2E9}" type="doc">
      <dgm:prSet loTypeId="urn:microsoft.com/office/officeart/2005/8/layout/cycle4" loCatId="matrix" qsTypeId="urn:microsoft.com/office/officeart/2005/8/quickstyle/simple1" qsCatId="simple" csTypeId="urn:microsoft.com/office/officeart/2005/8/colors/colorful2" csCatId="colorful" phldr="1"/>
      <dgm:spPr/>
      <dgm:t>
        <a:bodyPr/>
        <a:lstStyle/>
        <a:p>
          <a:endParaRPr lang="en-AU"/>
        </a:p>
      </dgm:t>
    </dgm:pt>
    <dgm:pt modelId="{244FECC7-98B1-496B-AF8E-48AA5C7E04BD}">
      <dgm:prSet phldrT="[Text]" custT="1"/>
      <dgm:spPr>
        <a:xfrm>
          <a:off x="922104" y="234316"/>
          <a:ext cx="1779986" cy="1779986"/>
        </a:xfrm>
        <a:prstGeom prst="pieWedge">
          <a:avLst/>
        </a:prstGeom>
        <a:solidFill>
          <a:srgbClr val="4F2D7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Arial"/>
              <a:ea typeface="+mn-ea"/>
              <a:cs typeface="+mn-cs"/>
            </a:rPr>
            <a:t>We will </a:t>
          </a:r>
          <a:r>
            <a:rPr lang="en-AU" sz="800" b="1">
              <a:solidFill>
                <a:sysClr val="window" lastClr="FFFFFF"/>
              </a:solidFill>
              <a:latin typeface="Arial"/>
              <a:ea typeface="+mn-ea"/>
              <a:cs typeface="+mn-cs"/>
            </a:rPr>
            <a:t>provide information</a:t>
          </a:r>
          <a:r>
            <a:rPr lang="en-AU" sz="800">
              <a:solidFill>
                <a:sysClr val="window" lastClr="FFFFFF"/>
              </a:solidFill>
              <a:latin typeface="Arial"/>
              <a:ea typeface="+mn-ea"/>
              <a:cs typeface="+mn-cs"/>
            </a:rPr>
            <a:t> to build understanding and keep you informed</a:t>
          </a:r>
        </a:p>
      </dgm:t>
    </dgm:pt>
    <dgm:pt modelId="{F5639548-0FEE-4AF3-B144-1F9B051649AC}" type="parTrans" cxnId="{7900387C-7238-48F4-837D-5AB96682B5A2}">
      <dgm:prSet/>
      <dgm:spPr/>
      <dgm:t>
        <a:bodyPr/>
        <a:lstStyle/>
        <a:p>
          <a:endParaRPr lang="en-AU"/>
        </a:p>
      </dgm:t>
    </dgm:pt>
    <dgm:pt modelId="{4A71B22F-82AC-40B6-8642-9597A7438652}" type="sibTrans" cxnId="{7900387C-7238-48F4-837D-5AB96682B5A2}">
      <dgm:prSet/>
      <dgm:spPr/>
      <dgm:t>
        <a:bodyPr/>
        <a:lstStyle/>
        <a:p>
          <a:endParaRPr lang="en-AU"/>
        </a:p>
      </dgm:t>
    </dgm:pt>
    <dgm:pt modelId="{21BD8DA3-A4B5-41B0-9A49-04C1C7B47508}">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Fact sheets</a:t>
          </a:r>
        </a:p>
      </dgm:t>
    </dgm:pt>
    <dgm:pt modelId="{A54DC64B-6FA0-4D40-92FC-A11B95A9D1B6}" type="parTrans" cxnId="{23FBAF5B-1033-4E81-890C-780349AAC23E}">
      <dgm:prSet/>
      <dgm:spPr/>
      <dgm:t>
        <a:bodyPr/>
        <a:lstStyle/>
        <a:p>
          <a:endParaRPr lang="en-AU"/>
        </a:p>
      </dgm:t>
    </dgm:pt>
    <dgm:pt modelId="{E91D48A5-0EBD-432B-A05D-F1A9ADFED43E}" type="sibTrans" cxnId="{23FBAF5B-1033-4E81-890C-780349AAC23E}">
      <dgm:prSet/>
      <dgm:spPr/>
      <dgm:t>
        <a:bodyPr/>
        <a:lstStyle/>
        <a:p>
          <a:endParaRPr lang="en-AU"/>
        </a:p>
      </dgm:t>
    </dgm:pt>
    <dgm:pt modelId="{BD5F31C7-53AD-4727-8776-FDF2A2F766CC}">
      <dgm:prSet phldrT="[Text]" custT="1"/>
      <dgm:spPr>
        <a:xfrm rot="5400000">
          <a:off x="2784308" y="234316"/>
          <a:ext cx="1779986" cy="1779986"/>
        </a:xfrm>
        <a:prstGeom prst="pieWedge">
          <a:avLst/>
        </a:prstGeom>
        <a:solidFill>
          <a:srgbClr val="4F2D7D">
            <a:hueOff val="-1445417"/>
            <a:satOff val="17647"/>
            <a:lumOff val="1634"/>
            <a:alphaOff val="0"/>
          </a:srgbClr>
        </a:solidFill>
        <a:ln w="25400" cap="flat" cmpd="sng" algn="ctr">
          <a:solidFill>
            <a:sysClr val="window" lastClr="FFFFFF">
              <a:hueOff val="0"/>
              <a:satOff val="0"/>
              <a:lumOff val="0"/>
              <a:alphaOff val="0"/>
            </a:sysClr>
          </a:solidFill>
          <a:prstDash val="solid"/>
        </a:ln>
        <a:effectLst/>
      </dgm:spPr>
      <dgm:t>
        <a:bodyPr/>
        <a:lstStyle/>
        <a:p>
          <a:r>
            <a:rPr lang="en-AU" sz="800" i="0">
              <a:solidFill>
                <a:sysClr val="window" lastClr="FFFFFF"/>
              </a:solidFill>
              <a:latin typeface="Arial"/>
              <a:ea typeface="+mn-ea"/>
              <a:cs typeface="+mn-cs"/>
            </a:rPr>
            <a:t>We will </a:t>
          </a:r>
          <a:r>
            <a:rPr lang="en-AU" sz="800" b="1" i="0">
              <a:solidFill>
                <a:sysClr val="window" lastClr="FFFFFF"/>
              </a:solidFill>
              <a:latin typeface="Arial"/>
              <a:ea typeface="+mn-ea"/>
              <a:cs typeface="+mn-cs"/>
            </a:rPr>
            <a:t>seek your views and provide feedback </a:t>
          </a:r>
          <a:r>
            <a:rPr lang="en-AU" sz="800" i="0">
              <a:solidFill>
                <a:sysClr val="window" lastClr="FFFFFF"/>
              </a:solidFill>
              <a:latin typeface="Arial"/>
              <a:ea typeface="+mn-ea"/>
              <a:cs typeface="+mn-cs"/>
            </a:rPr>
            <a:t>on how your input informed our decision</a:t>
          </a:r>
        </a:p>
      </dgm:t>
    </dgm:pt>
    <dgm:pt modelId="{C41A677C-7356-4CBE-8F90-18198AA5AD7F}" type="parTrans" cxnId="{75201D0E-E388-4631-A3B1-382AE414E53E}">
      <dgm:prSet/>
      <dgm:spPr/>
      <dgm:t>
        <a:bodyPr/>
        <a:lstStyle/>
        <a:p>
          <a:endParaRPr lang="en-AU"/>
        </a:p>
      </dgm:t>
    </dgm:pt>
    <dgm:pt modelId="{63B19CE6-C687-4719-8240-523F8F78DEF7}" type="sibTrans" cxnId="{75201D0E-E388-4631-A3B1-382AE414E53E}">
      <dgm:prSet/>
      <dgm:spPr/>
      <dgm:t>
        <a:bodyPr/>
        <a:lstStyle/>
        <a:p>
          <a:endParaRPr lang="en-AU"/>
        </a:p>
      </dgm:t>
    </dgm:pt>
    <dgm:pt modelId="{652B4D02-B623-4D71-BF6E-A3CF35DB5ED6}">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Consultation documents</a:t>
          </a:r>
        </a:p>
      </dgm:t>
    </dgm:pt>
    <dgm:pt modelId="{162B16EB-6482-4C08-BB97-AFDE22E1ACD9}" type="parTrans" cxnId="{AAE2BE10-98E2-4D1B-A774-3436ACBEDADA}">
      <dgm:prSet/>
      <dgm:spPr/>
      <dgm:t>
        <a:bodyPr/>
        <a:lstStyle/>
        <a:p>
          <a:endParaRPr lang="en-AU"/>
        </a:p>
      </dgm:t>
    </dgm:pt>
    <dgm:pt modelId="{454ABAD9-284F-43D8-8CA0-6106B4407C5D}" type="sibTrans" cxnId="{AAE2BE10-98E2-4D1B-A774-3436ACBEDADA}">
      <dgm:prSet/>
      <dgm:spPr/>
      <dgm:t>
        <a:bodyPr/>
        <a:lstStyle/>
        <a:p>
          <a:endParaRPr lang="en-AU"/>
        </a:p>
      </dgm:t>
    </dgm:pt>
    <dgm:pt modelId="{7613D0D9-9ACF-48B5-B457-297FE1D93D3F}">
      <dgm:prSet phldrT="[Text]" custT="1"/>
      <dgm:spPr>
        <a:xfrm rot="10800000">
          <a:off x="2784308" y="2096520"/>
          <a:ext cx="1779986" cy="1779986"/>
        </a:xfrm>
        <a:prstGeom prst="pieWedge">
          <a:avLst/>
        </a:prstGeom>
        <a:solidFill>
          <a:srgbClr val="4F2D7D">
            <a:hueOff val="-2890833"/>
            <a:satOff val="35293"/>
            <a:lumOff val="326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800" i="0">
              <a:solidFill>
                <a:sysClr val="window" lastClr="FFFFFF"/>
              </a:solidFill>
              <a:latin typeface="Arial"/>
              <a:ea typeface="+mn-ea"/>
              <a:cs typeface="+mn-cs"/>
            </a:rPr>
            <a:t>We will </a:t>
          </a:r>
          <a:r>
            <a:rPr lang="en-AU" sz="800" b="1" i="0">
              <a:solidFill>
                <a:sysClr val="window" lastClr="FFFFFF"/>
              </a:solidFill>
              <a:latin typeface="Arial"/>
              <a:ea typeface="+mn-ea"/>
              <a:cs typeface="+mn-cs"/>
            </a:rPr>
            <a:t>partner with you </a:t>
          </a:r>
          <a:r>
            <a:rPr lang="en-AU" sz="800" i="0">
              <a:solidFill>
                <a:sysClr val="window" lastClr="FFFFFF"/>
              </a:solidFill>
              <a:latin typeface="Arial"/>
              <a:ea typeface="+mn-ea"/>
              <a:cs typeface="+mn-cs"/>
            </a:rPr>
            <a:t>for advice and innovation in developing solutions and recommendations and incorporate this into the decision</a:t>
          </a:r>
        </a:p>
      </dgm:t>
    </dgm:pt>
    <dgm:pt modelId="{B2D12382-E7C7-4506-8152-3AB6D2476B33}" type="parTrans" cxnId="{18A0CE49-A50A-4F8F-8C28-43B275B55416}">
      <dgm:prSet/>
      <dgm:spPr/>
      <dgm:t>
        <a:bodyPr/>
        <a:lstStyle/>
        <a:p>
          <a:endParaRPr lang="en-AU"/>
        </a:p>
      </dgm:t>
    </dgm:pt>
    <dgm:pt modelId="{4EBBAAAE-52BC-4869-AC2D-B9B8B588C30E}" type="sibTrans" cxnId="{18A0CE49-A50A-4F8F-8C28-43B275B55416}">
      <dgm:prSet/>
      <dgm:spPr/>
      <dgm:t>
        <a:bodyPr/>
        <a:lstStyle/>
        <a:p>
          <a:endParaRPr lang="en-AU"/>
        </a:p>
      </dgm:t>
    </dgm:pt>
    <dgm:pt modelId="{23C93CF2-0E8A-4E3E-BE1D-86EA3AB6D2FA}">
      <dgm:prSet phldrT="[Text]" custT="1"/>
      <dgm:spPr>
        <a:xfrm>
          <a:off x="3455652" y="2768603"/>
          <a:ext cx="2030747" cy="1315463"/>
        </a:xfrm>
        <a:prstGeom prst="roundRect">
          <a:avLst>
            <a:gd name="adj" fmla="val 10000"/>
          </a:avLst>
        </a:prstGeom>
        <a:noFill/>
        <a:ln w="25400" cap="flat" cmpd="sng" algn="ctr">
          <a:solidFill>
            <a:srgbClr val="4F2D7D">
              <a:hueOff val="-2890833"/>
              <a:satOff val="35293"/>
              <a:lumOff val="3268"/>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Partnerships e.g. developing the AER’s sustainable payment plans framework</a:t>
          </a:r>
        </a:p>
      </dgm:t>
    </dgm:pt>
    <dgm:pt modelId="{16790B4F-CBE4-4121-9E55-5327921A48B7}" type="parTrans" cxnId="{67BCED00-2D6B-4A77-B7C2-9D5318DD3CEC}">
      <dgm:prSet/>
      <dgm:spPr/>
      <dgm:t>
        <a:bodyPr/>
        <a:lstStyle/>
        <a:p>
          <a:endParaRPr lang="en-AU"/>
        </a:p>
      </dgm:t>
    </dgm:pt>
    <dgm:pt modelId="{8393688E-4083-40FB-B084-6EE68192DCA2}" type="sibTrans" cxnId="{67BCED00-2D6B-4A77-B7C2-9D5318DD3CEC}">
      <dgm:prSet/>
      <dgm:spPr/>
      <dgm:t>
        <a:bodyPr/>
        <a:lstStyle/>
        <a:p>
          <a:endParaRPr lang="en-AU"/>
        </a:p>
      </dgm:t>
    </dgm:pt>
    <dgm:pt modelId="{8F8AB278-951C-440B-A725-959D618A9F4A}">
      <dgm:prSet phldrT="[Text]" custT="1"/>
      <dgm:spPr>
        <a:xfrm rot="16200000">
          <a:off x="922104" y="2096520"/>
          <a:ext cx="1779986" cy="1779986"/>
        </a:xfrm>
        <a:prstGeom prst="pieWedge">
          <a:avLst/>
        </a:prstGeom>
        <a:solidFill>
          <a:srgbClr val="4F2D7D">
            <a:hueOff val="-4336250"/>
            <a:satOff val="52940"/>
            <a:lumOff val="4902"/>
            <a:alphaOff val="0"/>
          </a:srgbClr>
        </a:solidFill>
        <a:ln w="25400" cap="flat" cmpd="sng" algn="ctr">
          <a:solidFill>
            <a:sysClr val="window" lastClr="FFFFFF">
              <a:hueOff val="0"/>
              <a:satOff val="0"/>
              <a:lumOff val="0"/>
              <a:alphaOff val="0"/>
            </a:sysClr>
          </a:solidFill>
          <a:prstDash val="solid"/>
        </a:ln>
        <a:effectLst/>
      </dgm:spPr>
      <dgm:t>
        <a:bodyPr/>
        <a:lstStyle/>
        <a:p>
          <a:endParaRPr lang="en-AU" sz="800" i="0">
            <a:solidFill>
              <a:sysClr val="window" lastClr="FFFFFF"/>
            </a:solidFill>
            <a:latin typeface="Arial"/>
            <a:ea typeface="+mn-ea"/>
            <a:cs typeface="+mn-cs"/>
          </a:endParaRPr>
        </a:p>
        <a:p>
          <a:r>
            <a:rPr lang="en-AU" sz="800" i="0">
              <a:solidFill>
                <a:sysClr val="window" lastClr="FFFFFF"/>
              </a:solidFill>
              <a:latin typeface="Arial"/>
              <a:ea typeface="+mn-ea"/>
              <a:cs typeface="+mn-cs"/>
            </a:rPr>
            <a:t>We will </a:t>
          </a:r>
          <a:r>
            <a:rPr lang="en-AU" sz="800" b="1" i="0">
              <a:solidFill>
                <a:sysClr val="window" lastClr="FFFFFF"/>
              </a:solidFill>
              <a:latin typeface="Arial"/>
              <a:ea typeface="+mn-ea"/>
              <a:cs typeface="+mn-cs"/>
            </a:rPr>
            <a:t>work with you </a:t>
          </a:r>
          <a:r>
            <a:rPr lang="en-AU" sz="800" i="0">
              <a:solidFill>
                <a:sysClr val="window" lastClr="FFFFFF"/>
              </a:solidFill>
              <a:latin typeface="Arial"/>
              <a:ea typeface="+mn-ea"/>
              <a:cs typeface="+mn-cs"/>
            </a:rPr>
            <a:t>to reflect your views in the options, solutions and approaches developed and provide feedback on how this influenced our decision</a:t>
          </a:r>
        </a:p>
      </dgm:t>
    </dgm:pt>
    <dgm:pt modelId="{7721E1ED-1EA8-4723-B3BA-BA9CD0D4D846}" type="parTrans" cxnId="{B252E41C-793B-4CE7-BAD8-DA2B3A87D033}">
      <dgm:prSet/>
      <dgm:spPr/>
      <dgm:t>
        <a:bodyPr/>
        <a:lstStyle/>
        <a:p>
          <a:endParaRPr lang="en-AU"/>
        </a:p>
      </dgm:t>
    </dgm:pt>
    <dgm:pt modelId="{2D0F9D00-7C8D-4C67-B37B-0DD0604631EA}" type="sibTrans" cxnId="{B252E41C-793B-4CE7-BAD8-DA2B3A87D033}">
      <dgm:prSet/>
      <dgm:spPr/>
      <dgm:t>
        <a:bodyPr/>
        <a:lstStyle/>
        <a:p>
          <a:endParaRPr lang="en-AU"/>
        </a:p>
      </dgm:t>
    </dgm:pt>
    <dgm:pt modelId="{AE042BB1-C34A-4A96-BED3-99DA577FD019}">
      <dgm:prSet phldrT="[Text]" custT="1"/>
      <dgm:spPr>
        <a:xfrm>
          <a:off x="0" y="279536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4336250"/>
              <a:satOff val="52940"/>
              <a:lumOff val="4902"/>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Workshops</a:t>
          </a:r>
        </a:p>
      </dgm:t>
    </dgm:pt>
    <dgm:pt modelId="{75557089-59D3-4E43-B0B4-749C94B31923}" type="parTrans" cxnId="{4C38F22C-F69E-4840-BC45-4FA3650D1BFF}">
      <dgm:prSet/>
      <dgm:spPr/>
      <dgm:t>
        <a:bodyPr/>
        <a:lstStyle/>
        <a:p>
          <a:endParaRPr lang="en-AU"/>
        </a:p>
      </dgm:t>
    </dgm:pt>
    <dgm:pt modelId="{75315B74-7025-45D0-8032-0C54DF611285}" type="sibTrans" cxnId="{4C38F22C-F69E-4840-BC45-4FA3650D1BFF}">
      <dgm:prSet/>
      <dgm:spPr/>
      <dgm:t>
        <a:bodyPr/>
        <a:lstStyle/>
        <a:p>
          <a:endParaRPr lang="en-AU"/>
        </a:p>
      </dgm:t>
    </dgm:pt>
    <dgm:pt modelId="{0C7FE718-70B6-4291-B843-7346961FB812}">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Forums, meetings</a:t>
          </a:r>
        </a:p>
      </dgm:t>
    </dgm:pt>
    <dgm:pt modelId="{00A6D5A3-D15F-4A6D-BAF4-7C42C0192538}" type="parTrans" cxnId="{0B1ACCC9-9043-418A-8C91-980BAAB02325}">
      <dgm:prSet/>
      <dgm:spPr/>
      <dgm:t>
        <a:bodyPr/>
        <a:lstStyle/>
        <a:p>
          <a:endParaRPr lang="en-AU"/>
        </a:p>
      </dgm:t>
    </dgm:pt>
    <dgm:pt modelId="{F53AD393-39DB-49E7-93A6-D33FDB906204}" type="sibTrans" cxnId="{0B1ACCC9-9043-418A-8C91-980BAAB02325}">
      <dgm:prSet/>
      <dgm:spPr/>
      <dgm:t>
        <a:bodyPr/>
        <a:lstStyle/>
        <a:p>
          <a:endParaRPr lang="en-AU"/>
        </a:p>
      </dgm:t>
    </dgm:pt>
    <dgm:pt modelId="{FA56A8CB-B93F-4B4A-BAE7-AF363513BB9E}">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Public analysis and advice</a:t>
          </a:r>
        </a:p>
      </dgm:t>
    </dgm:pt>
    <dgm:pt modelId="{A57DAF0B-B147-4E77-BB87-596A93528413}" type="parTrans" cxnId="{D707CFE4-F591-4812-97AD-D31C207165BE}">
      <dgm:prSet/>
      <dgm:spPr/>
      <dgm:t>
        <a:bodyPr/>
        <a:lstStyle/>
        <a:p>
          <a:endParaRPr lang="en-AU"/>
        </a:p>
      </dgm:t>
    </dgm:pt>
    <dgm:pt modelId="{B1B9FB92-AD7C-4139-92B2-D0AE77B55738}" type="sibTrans" cxnId="{D707CFE4-F591-4812-97AD-D31C207165BE}">
      <dgm:prSet/>
      <dgm:spPr/>
      <dgm:t>
        <a:bodyPr/>
        <a:lstStyle/>
        <a:p>
          <a:endParaRPr lang="en-AU"/>
        </a:p>
      </dgm:t>
    </dgm:pt>
    <dgm:pt modelId="{7B0FF2DF-198B-4226-B446-46934EC6E083}">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Surveys</a:t>
          </a:r>
        </a:p>
      </dgm:t>
    </dgm:pt>
    <dgm:pt modelId="{DD529CE1-76F3-4C0B-BD88-DA79B2DFC0C1}" type="parTrans" cxnId="{B68DF7FE-B1F4-417C-B2CF-4106AA8BE455}">
      <dgm:prSet/>
      <dgm:spPr/>
      <dgm:t>
        <a:bodyPr/>
        <a:lstStyle/>
        <a:p>
          <a:endParaRPr lang="en-AU"/>
        </a:p>
      </dgm:t>
    </dgm:pt>
    <dgm:pt modelId="{F6EEEC4B-616F-4BBB-82C7-9C6F4C9D0EE7}" type="sibTrans" cxnId="{B68DF7FE-B1F4-417C-B2CF-4106AA8BE455}">
      <dgm:prSet/>
      <dgm:spPr/>
      <dgm:t>
        <a:bodyPr/>
        <a:lstStyle/>
        <a:p>
          <a:endParaRPr lang="en-AU"/>
        </a:p>
      </dgm:t>
    </dgm:pt>
    <dgm:pt modelId="{BBA160A4-FAD5-48AF-B2F5-FAE5F641CDBA}">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Focus groups</a:t>
          </a:r>
        </a:p>
      </dgm:t>
    </dgm:pt>
    <dgm:pt modelId="{47232A65-1503-4F21-89C1-006B75165767}" type="parTrans" cxnId="{B1D27AF4-6ED1-4C2A-BCF2-A8BF0D79B10F}">
      <dgm:prSet/>
      <dgm:spPr/>
      <dgm:t>
        <a:bodyPr/>
        <a:lstStyle/>
        <a:p>
          <a:endParaRPr lang="en-AU"/>
        </a:p>
      </dgm:t>
    </dgm:pt>
    <dgm:pt modelId="{F87AA91F-9190-4616-A48E-2D6856C062D8}" type="sibTrans" cxnId="{B1D27AF4-6ED1-4C2A-BCF2-A8BF0D79B10F}">
      <dgm:prSet/>
      <dgm:spPr/>
      <dgm:t>
        <a:bodyPr/>
        <a:lstStyle/>
        <a:p>
          <a:endParaRPr lang="en-AU"/>
        </a:p>
      </dgm:t>
    </dgm:pt>
    <dgm:pt modelId="{B6BBC5C3-64B6-4DB3-AF27-89B65C4BFD41}">
      <dgm:prSet phldrT="[Text]" custT="1"/>
      <dgm: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Webinars, other online forums</a:t>
          </a:r>
        </a:p>
      </dgm:t>
    </dgm:pt>
    <dgm:pt modelId="{5900375A-C275-4E0F-8A18-7B34F44DC1D0}" type="parTrans" cxnId="{D501DF9B-C361-4FF6-B4AF-E2C570055039}">
      <dgm:prSet/>
      <dgm:spPr/>
      <dgm:t>
        <a:bodyPr/>
        <a:lstStyle/>
        <a:p>
          <a:endParaRPr lang="en-AU"/>
        </a:p>
      </dgm:t>
    </dgm:pt>
    <dgm:pt modelId="{9CCF278C-38BB-4D83-ACDB-9ABF0FEF9CA3}" type="sibTrans" cxnId="{D501DF9B-C361-4FF6-B4AF-E2C570055039}">
      <dgm:prSet/>
      <dgm:spPr/>
      <dgm:t>
        <a:bodyPr/>
        <a:lstStyle/>
        <a:p>
          <a:endParaRPr lang="en-AU"/>
        </a:p>
      </dgm:t>
    </dgm:pt>
    <dgm:pt modelId="{979B5334-2315-4CBE-9791-420CE5F8FFD4}">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Media releases</a:t>
          </a:r>
        </a:p>
      </dgm:t>
    </dgm:pt>
    <dgm:pt modelId="{2E69A3F4-2694-458C-9FA2-E30CEF4BFC72}" type="parTrans" cxnId="{BEA9245C-7FB6-4BAE-8FE9-8DC5A7BD647F}">
      <dgm:prSet/>
      <dgm:spPr/>
      <dgm:t>
        <a:bodyPr/>
        <a:lstStyle/>
        <a:p>
          <a:endParaRPr lang="en-AU"/>
        </a:p>
      </dgm:t>
    </dgm:pt>
    <dgm:pt modelId="{1E058E26-BD31-4079-A93D-59990064CA02}" type="sibTrans" cxnId="{BEA9245C-7FB6-4BAE-8FE9-8DC5A7BD647F}">
      <dgm:prSet/>
      <dgm:spPr/>
      <dgm:t>
        <a:bodyPr/>
        <a:lstStyle/>
        <a:p>
          <a:endParaRPr lang="en-AU"/>
        </a:p>
      </dgm:t>
    </dgm:pt>
    <dgm:pt modelId="{DFE29B4F-0FB1-4B2F-8EFC-278799BA8469}">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Project web pages</a:t>
          </a:r>
        </a:p>
      </dgm:t>
    </dgm:pt>
    <dgm:pt modelId="{D0BEE38B-811C-40D1-801A-CAE9B67AC2DA}" type="parTrans" cxnId="{CD67B4BB-ACCE-46E8-85C7-5B48D2FE9078}">
      <dgm:prSet/>
      <dgm:spPr/>
      <dgm:t>
        <a:bodyPr/>
        <a:lstStyle/>
        <a:p>
          <a:endParaRPr lang="en-AU"/>
        </a:p>
      </dgm:t>
    </dgm:pt>
    <dgm:pt modelId="{118278F2-16EC-4B7E-97F6-CD12A4F1A86B}" type="sibTrans" cxnId="{CD67B4BB-ACCE-46E8-85C7-5B48D2FE9078}">
      <dgm:prSet/>
      <dgm:spPr/>
      <dgm:t>
        <a:bodyPr/>
        <a:lstStyle/>
        <a:p>
          <a:endParaRPr lang="en-AU"/>
        </a:p>
      </dgm:t>
    </dgm:pt>
    <dgm:pt modelId="{ADBF0FA0-2F63-4DEC-A320-D891B4AA616F}">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Reports, submissions</a:t>
          </a:r>
        </a:p>
      </dgm:t>
    </dgm:pt>
    <dgm:pt modelId="{588B08F0-2E1C-4A99-8C2C-AA44F0D59707}" type="parTrans" cxnId="{C77775A9-B25B-4D39-B6C3-BC996A6D5DDE}">
      <dgm:prSet/>
      <dgm:spPr/>
      <dgm:t>
        <a:bodyPr/>
        <a:lstStyle/>
        <a:p>
          <a:endParaRPr lang="en-AU"/>
        </a:p>
      </dgm:t>
    </dgm:pt>
    <dgm:pt modelId="{93CAAB28-C532-497F-84DD-7FF838C34BEA}" type="sibTrans" cxnId="{C77775A9-B25B-4D39-B6C3-BC996A6D5DDE}">
      <dgm:prSet/>
      <dgm:spPr/>
      <dgm:t>
        <a:bodyPr/>
        <a:lstStyle/>
        <a:p>
          <a:endParaRPr lang="en-AU"/>
        </a:p>
      </dgm:t>
    </dgm:pt>
    <dgm:pt modelId="{0CA5810E-CBB4-4421-86FF-0DB3C5661083}">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Corporate documents (State of the Energy Market, annual report, Statement of Intent)</a:t>
          </a:r>
        </a:p>
      </dgm:t>
    </dgm:pt>
    <dgm:pt modelId="{EE649CB1-F199-489F-9552-6BA22456F4E7}" type="parTrans" cxnId="{87D608FC-09FB-4E91-8DA2-FF42107A8611}">
      <dgm:prSet/>
      <dgm:spPr/>
      <dgm:t>
        <a:bodyPr/>
        <a:lstStyle/>
        <a:p>
          <a:endParaRPr lang="en-AU"/>
        </a:p>
      </dgm:t>
    </dgm:pt>
    <dgm:pt modelId="{99BA1AFF-FC01-49CD-A40C-7B6B472BB1C2}" type="sibTrans" cxnId="{87D608FC-09FB-4E91-8DA2-FF42107A8611}">
      <dgm:prSet/>
      <dgm:spPr/>
      <dgm:t>
        <a:bodyPr/>
        <a:lstStyle/>
        <a:p>
          <a:endParaRPr lang="en-AU"/>
        </a:p>
      </dgm:t>
    </dgm:pt>
    <dgm:pt modelId="{5EAE4E7D-EECE-4F63-8CB8-81075F54EE48}">
      <dgm:prSet phldrT="[Text]" custT="1"/>
      <dgm:spPr>
        <a:xfrm>
          <a:off x="0" y="279536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4336250"/>
              <a:satOff val="52940"/>
              <a:lumOff val="4902"/>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Consumer Consultative Group</a:t>
          </a:r>
        </a:p>
      </dgm:t>
    </dgm:pt>
    <dgm:pt modelId="{A6019089-C7D0-4FB2-8E08-66E4067158B9}" type="parTrans" cxnId="{942F4365-16E7-4AF6-A249-E9DED390A152}">
      <dgm:prSet/>
      <dgm:spPr/>
      <dgm:t>
        <a:bodyPr/>
        <a:lstStyle/>
        <a:p>
          <a:endParaRPr lang="en-AU"/>
        </a:p>
      </dgm:t>
    </dgm:pt>
    <dgm:pt modelId="{F647103F-1358-4634-8C92-D5F35054E67F}" type="sibTrans" cxnId="{942F4365-16E7-4AF6-A249-E9DED390A152}">
      <dgm:prSet/>
      <dgm:spPr/>
      <dgm:t>
        <a:bodyPr/>
        <a:lstStyle/>
        <a:p>
          <a:endParaRPr lang="en-AU"/>
        </a:p>
      </dgm:t>
    </dgm:pt>
    <dgm:pt modelId="{8570FB8B-FAB8-4F39-942C-871B4C6EA27E}">
      <dgm:prSet phldrT="[Text]" custT="1"/>
      <dgm:spPr>
        <a:xfrm>
          <a:off x="0" y="279536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4336250"/>
              <a:satOff val="52940"/>
              <a:lumOff val="4902"/>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Consumer Challenge Panel</a:t>
          </a:r>
        </a:p>
      </dgm:t>
    </dgm:pt>
    <dgm:pt modelId="{4A255007-63C6-417F-884A-9F2B34B47BB4}" type="parTrans" cxnId="{CD932F30-B2EC-451C-A5B7-BDD2138255D3}">
      <dgm:prSet/>
      <dgm:spPr/>
      <dgm:t>
        <a:bodyPr/>
        <a:lstStyle/>
        <a:p>
          <a:endParaRPr lang="en-AU"/>
        </a:p>
      </dgm:t>
    </dgm:pt>
    <dgm:pt modelId="{C854D5EF-9A32-491D-93F9-79BBB9646985}" type="sibTrans" cxnId="{CD932F30-B2EC-451C-A5B7-BDD2138255D3}">
      <dgm:prSet/>
      <dgm:spPr/>
      <dgm:t>
        <a:bodyPr/>
        <a:lstStyle/>
        <a:p>
          <a:endParaRPr lang="en-AU"/>
        </a:p>
      </dgm:t>
    </dgm:pt>
    <dgm:pt modelId="{89D682E3-2EEA-4067-9873-D17CFDD58339}">
      <dgm:prSet phldrT="[Text]" custT="1"/>
      <dgm:spPr>
        <a:xfrm>
          <a:off x="0" y="279536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4336250"/>
              <a:satOff val="52940"/>
              <a:lumOff val="4902"/>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Other advisory committees or groups (e.g. Consumer Reference Group)</a:t>
          </a:r>
        </a:p>
      </dgm:t>
    </dgm:pt>
    <dgm:pt modelId="{95C27D1B-E3B8-484C-B4E1-2F9FD90B0CB9}" type="parTrans" cxnId="{178D7031-8BA0-4817-972E-317BD99CEDA4}">
      <dgm:prSet/>
      <dgm:spPr/>
      <dgm:t>
        <a:bodyPr/>
        <a:lstStyle/>
        <a:p>
          <a:endParaRPr lang="en-AU"/>
        </a:p>
      </dgm:t>
    </dgm:pt>
    <dgm:pt modelId="{34427E43-B8B9-464C-8E0C-B81A55ED0614}" type="sibTrans" cxnId="{178D7031-8BA0-4817-972E-317BD99CEDA4}">
      <dgm:prSet/>
      <dgm:spPr/>
      <dgm:t>
        <a:bodyPr/>
        <a:lstStyle/>
        <a:p>
          <a:endParaRPr lang="en-AU"/>
        </a:p>
      </dgm:t>
    </dgm:pt>
    <dgm:pt modelId="{681729AC-552B-4B00-ADF3-01DC54720AFD}">
      <dgm:prSet phldrT="[Text]" custT="1"/>
      <dgm: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Email alerts, newsletters</a:t>
          </a:r>
        </a:p>
      </dgm:t>
    </dgm:pt>
    <dgm:pt modelId="{4DBEC493-D16B-4C2E-9717-DB0BB78431BD}" type="parTrans" cxnId="{00705718-5466-4AD9-909D-EDF0F9FF0502}">
      <dgm:prSet/>
      <dgm:spPr/>
      <dgm:t>
        <a:bodyPr/>
        <a:lstStyle/>
        <a:p>
          <a:endParaRPr lang="en-AU"/>
        </a:p>
      </dgm:t>
    </dgm:pt>
    <dgm:pt modelId="{91CB8218-BFB1-4AC6-9051-63FA377B6A66}" type="sibTrans" cxnId="{00705718-5466-4AD9-909D-EDF0F9FF0502}">
      <dgm:prSet/>
      <dgm:spPr/>
      <dgm:t>
        <a:bodyPr/>
        <a:lstStyle/>
        <a:p>
          <a:endParaRPr lang="en-AU"/>
        </a:p>
      </dgm:t>
    </dgm:pt>
    <dgm:pt modelId="{72EAC192-7AC4-4756-8542-079984434517}">
      <dgm:prSet phldrT="[Text]" custT="1"/>
      <dgm:spPr>
        <a:xfrm>
          <a:off x="3455652" y="2768603"/>
          <a:ext cx="2030747" cy="1315463"/>
        </a:xfrm>
        <a:prstGeom prst="roundRect">
          <a:avLst>
            <a:gd name="adj" fmla="val 10000"/>
          </a:avLst>
        </a:prstGeom>
        <a:noFill/>
        <a:ln w="25400" cap="flat" cmpd="sng" algn="ctr">
          <a:solidFill>
            <a:srgbClr val="4F2D7D">
              <a:hueOff val="-2890833"/>
              <a:satOff val="35293"/>
              <a:lumOff val="3268"/>
              <a:alphaOff val="0"/>
            </a:srgbClr>
          </a:solidFill>
          <a:prstDash val="solid"/>
        </a:ln>
        <a:effectLst/>
      </dgm:spPr>
      <dgm:t>
        <a:bodyPr/>
        <a:lstStyle/>
        <a:p>
          <a:endParaRPr lang="en-AU" sz="800">
            <a:solidFill>
              <a:sysClr val="windowText" lastClr="000000">
                <a:hueOff val="0"/>
                <a:satOff val="0"/>
                <a:lumOff val="0"/>
                <a:alphaOff val="0"/>
              </a:sysClr>
            </a:solidFill>
            <a:latin typeface="Arial"/>
            <a:ea typeface="+mn-ea"/>
            <a:cs typeface="+mn-cs"/>
          </a:endParaRPr>
        </a:p>
      </dgm:t>
    </dgm:pt>
    <dgm:pt modelId="{901F5347-0BB4-4D33-BA54-21970531CE08}" type="parTrans" cxnId="{AB175C53-65DD-4C8F-A186-8A90D14452BA}">
      <dgm:prSet/>
      <dgm:spPr/>
      <dgm:t>
        <a:bodyPr/>
        <a:lstStyle/>
        <a:p>
          <a:endParaRPr lang="en-AU"/>
        </a:p>
      </dgm:t>
    </dgm:pt>
    <dgm:pt modelId="{2F56F5CD-15D1-4CAB-A325-51AA4A357D7B}" type="sibTrans" cxnId="{AB175C53-65DD-4C8F-A186-8A90D14452BA}">
      <dgm:prSet/>
      <dgm:spPr/>
      <dgm:t>
        <a:bodyPr/>
        <a:lstStyle/>
        <a:p>
          <a:endParaRPr lang="en-AU"/>
        </a:p>
      </dgm:t>
    </dgm:pt>
    <dgm:pt modelId="{65C10712-A80F-4ECA-8119-C7CFFEE773BA}">
      <dgm:prSet phldrT="[Text]" custT="1"/>
      <dgm:spPr>
        <a:xfrm>
          <a:off x="3455652" y="2768603"/>
          <a:ext cx="2030747" cy="1315463"/>
        </a:xfrm>
        <a:noFill/>
        <a:ln w="25400" cap="flat" cmpd="sng" algn="ctr">
          <a:solidFill>
            <a:srgbClr val="4F2D7D">
              <a:hueOff val="-2890833"/>
              <a:satOff val="35293"/>
              <a:lumOff val="3268"/>
              <a:alphaOff val="0"/>
            </a:srgbClr>
          </a:solidFill>
          <a:prstDash val="solid"/>
        </a:ln>
        <a:effectLst/>
      </dgm:spPr>
      <dgm:t>
        <a:bodyPr/>
        <a:lstStyle/>
        <a:p>
          <a:r>
            <a:rPr lang="en-AU" sz="800">
              <a:solidFill>
                <a:sysClr val="windowText" lastClr="000000">
                  <a:hueOff val="0"/>
                  <a:satOff val="0"/>
                  <a:lumOff val="0"/>
                  <a:alphaOff val="0"/>
                </a:sysClr>
              </a:solidFill>
              <a:latin typeface="Arial"/>
              <a:ea typeface="+mn-ea"/>
              <a:cs typeface="+mn-cs"/>
            </a:rPr>
            <a:t>Build capacity to facilitate enhanced participation</a:t>
          </a:r>
        </a:p>
      </dgm:t>
    </dgm:pt>
    <dgm:pt modelId="{575D5100-EE01-4DFA-A07F-4DA02A6E9882}" type="parTrans" cxnId="{C99E028E-6B99-445F-B2AB-31629C1875EC}">
      <dgm:prSet/>
      <dgm:spPr/>
      <dgm:t>
        <a:bodyPr/>
        <a:lstStyle/>
        <a:p>
          <a:endParaRPr lang="en-AU"/>
        </a:p>
      </dgm:t>
    </dgm:pt>
    <dgm:pt modelId="{C9CB7621-29A2-4B44-8DEE-6847187E8D9D}" type="sibTrans" cxnId="{C99E028E-6B99-445F-B2AB-31629C1875EC}">
      <dgm:prSet/>
      <dgm:spPr/>
      <dgm:t>
        <a:bodyPr/>
        <a:lstStyle/>
        <a:p>
          <a:endParaRPr lang="en-AU"/>
        </a:p>
      </dgm:t>
    </dgm:pt>
    <dgm:pt modelId="{EC4B5CA2-8936-45DB-8F36-3C4CD92B00FF}" type="pres">
      <dgm:prSet presAssocID="{25F01DEA-E359-4357-A7B9-A6B155C2E2E9}" presName="cycleMatrixDiagram" presStyleCnt="0">
        <dgm:presLayoutVars>
          <dgm:chMax val="1"/>
          <dgm:dir/>
          <dgm:animLvl val="lvl"/>
          <dgm:resizeHandles val="exact"/>
        </dgm:presLayoutVars>
      </dgm:prSet>
      <dgm:spPr/>
      <dgm:t>
        <a:bodyPr/>
        <a:lstStyle/>
        <a:p>
          <a:endParaRPr lang="en-AU"/>
        </a:p>
      </dgm:t>
    </dgm:pt>
    <dgm:pt modelId="{B32FF017-2D46-4FAF-AD0D-548A6569B9B9}" type="pres">
      <dgm:prSet presAssocID="{25F01DEA-E359-4357-A7B9-A6B155C2E2E9}" presName="children" presStyleCnt="0"/>
      <dgm:spPr/>
    </dgm:pt>
    <dgm:pt modelId="{66CB4D6D-52A3-4A93-97DF-E716D5321EB7}" type="pres">
      <dgm:prSet presAssocID="{25F01DEA-E359-4357-A7B9-A6B155C2E2E9}" presName="child1group" presStyleCnt="0"/>
      <dgm:spPr/>
    </dgm:pt>
    <dgm:pt modelId="{FC957A06-4BE8-4914-883E-A3CDDBF53E01}" type="pres">
      <dgm:prSet presAssocID="{25F01DEA-E359-4357-A7B9-A6B155C2E2E9}" presName="child1" presStyleLbl="bgAcc1" presStyleIdx="0" presStyleCnt="4" custLinFactNeighborX="-19914" custLinFactNeighborY="-1356"/>
      <dgm:spPr/>
      <dgm:t>
        <a:bodyPr/>
        <a:lstStyle/>
        <a:p>
          <a:endParaRPr lang="en-AU"/>
        </a:p>
      </dgm:t>
    </dgm:pt>
    <dgm:pt modelId="{DD368293-7531-4B04-A77A-44B5CBD1EB95}" type="pres">
      <dgm:prSet presAssocID="{25F01DEA-E359-4357-A7B9-A6B155C2E2E9}" presName="child1Text" presStyleLbl="bgAcc1" presStyleIdx="0" presStyleCnt="4">
        <dgm:presLayoutVars>
          <dgm:bulletEnabled val="1"/>
        </dgm:presLayoutVars>
      </dgm:prSet>
      <dgm:spPr/>
      <dgm:t>
        <a:bodyPr/>
        <a:lstStyle/>
        <a:p>
          <a:endParaRPr lang="en-AU"/>
        </a:p>
      </dgm:t>
    </dgm:pt>
    <dgm:pt modelId="{F44A938A-DE95-4E3A-B768-B024DC429CAE}" type="pres">
      <dgm:prSet presAssocID="{25F01DEA-E359-4357-A7B9-A6B155C2E2E9}" presName="child2group" presStyleCnt="0"/>
      <dgm:spPr/>
    </dgm:pt>
    <dgm:pt modelId="{96F3D30B-852E-420F-A136-8940355D4545}" type="pres">
      <dgm:prSet presAssocID="{25F01DEA-E359-4357-A7B9-A6B155C2E2E9}" presName="child2" presStyleLbl="bgAcc1" presStyleIdx="1" presStyleCnt="4" custLinFactNeighborX="19914"/>
      <dgm:spPr/>
      <dgm:t>
        <a:bodyPr/>
        <a:lstStyle/>
        <a:p>
          <a:endParaRPr lang="en-AU"/>
        </a:p>
      </dgm:t>
    </dgm:pt>
    <dgm:pt modelId="{E45298EC-A45A-490A-8277-BB7CBC05CA0B}" type="pres">
      <dgm:prSet presAssocID="{25F01DEA-E359-4357-A7B9-A6B155C2E2E9}" presName="child2Text" presStyleLbl="bgAcc1" presStyleIdx="1" presStyleCnt="4">
        <dgm:presLayoutVars>
          <dgm:bulletEnabled val="1"/>
        </dgm:presLayoutVars>
      </dgm:prSet>
      <dgm:spPr/>
      <dgm:t>
        <a:bodyPr/>
        <a:lstStyle/>
        <a:p>
          <a:endParaRPr lang="en-AU"/>
        </a:p>
      </dgm:t>
    </dgm:pt>
    <dgm:pt modelId="{7F687A29-1194-4CDA-B54E-8887B2F9AC99}" type="pres">
      <dgm:prSet presAssocID="{25F01DEA-E359-4357-A7B9-A6B155C2E2E9}" presName="child3group" presStyleCnt="0"/>
      <dgm:spPr/>
    </dgm:pt>
    <dgm:pt modelId="{0D7F9DDC-876B-4E9F-908A-8968D7FC6A90}" type="pres">
      <dgm:prSet presAssocID="{25F01DEA-E359-4357-A7B9-A6B155C2E2E9}" presName="child3" presStyleLbl="bgAcc1" presStyleIdx="2" presStyleCnt="4" custLinFactNeighborX="19914" custLinFactNeighborY="-2034"/>
      <dgm:spPr>
        <a:prstGeom prst="roundRect">
          <a:avLst>
            <a:gd name="adj" fmla="val 10000"/>
          </a:avLst>
        </a:prstGeom>
      </dgm:spPr>
      <dgm:t>
        <a:bodyPr/>
        <a:lstStyle/>
        <a:p>
          <a:endParaRPr lang="en-AU"/>
        </a:p>
      </dgm:t>
    </dgm:pt>
    <dgm:pt modelId="{56730166-D568-4D57-97DF-218F618DA02F}" type="pres">
      <dgm:prSet presAssocID="{25F01DEA-E359-4357-A7B9-A6B155C2E2E9}" presName="child3Text" presStyleLbl="bgAcc1" presStyleIdx="2" presStyleCnt="4">
        <dgm:presLayoutVars>
          <dgm:bulletEnabled val="1"/>
        </dgm:presLayoutVars>
      </dgm:prSet>
      <dgm:spPr/>
      <dgm:t>
        <a:bodyPr/>
        <a:lstStyle/>
        <a:p>
          <a:endParaRPr lang="en-AU"/>
        </a:p>
      </dgm:t>
    </dgm:pt>
    <dgm:pt modelId="{0DE52DF0-97EB-4F5E-A067-5DAD244A5ECC}" type="pres">
      <dgm:prSet presAssocID="{25F01DEA-E359-4357-A7B9-A6B155C2E2E9}" presName="child4group" presStyleCnt="0"/>
      <dgm:spPr/>
    </dgm:pt>
    <dgm:pt modelId="{71C0855B-7621-4C52-8F67-9107087A4431}" type="pres">
      <dgm:prSet presAssocID="{25F01DEA-E359-4357-A7B9-A6B155C2E2E9}" presName="child4" presStyleLbl="bgAcc1" presStyleIdx="3" presStyleCnt="4" custLinFactNeighborX="-19914" custLinFactNeighborY="2712"/>
      <dgm:spPr/>
      <dgm:t>
        <a:bodyPr/>
        <a:lstStyle/>
        <a:p>
          <a:endParaRPr lang="en-AU"/>
        </a:p>
      </dgm:t>
    </dgm:pt>
    <dgm:pt modelId="{16B7D35E-409C-4B3E-8695-E98A9B75DAE2}" type="pres">
      <dgm:prSet presAssocID="{25F01DEA-E359-4357-A7B9-A6B155C2E2E9}" presName="child4Text" presStyleLbl="bgAcc1" presStyleIdx="3" presStyleCnt="4">
        <dgm:presLayoutVars>
          <dgm:bulletEnabled val="1"/>
        </dgm:presLayoutVars>
      </dgm:prSet>
      <dgm:spPr/>
      <dgm:t>
        <a:bodyPr/>
        <a:lstStyle/>
        <a:p>
          <a:endParaRPr lang="en-AU"/>
        </a:p>
      </dgm:t>
    </dgm:pt>
    <dgm:pt modelId="{17296A2D-1248-452F-B113-95B08FBF37DA}" type="pres">
      <dgm:prSet presAssocID="{25F01DEA-E359-4357-A7B9-A6B155C2E2E9}" presName="childPlaceholder" presStyleCnt="0"/>
      <dgm:spPr/>
    </dgm:pt>
    <dgm:pt modelId="{FC841567-EFA1-4193-BEE5-A385DCC61CB2}" type="pres">
      <dgm:prSet presAssocID="{25F01DEA-E359-4357-A7B9-A6B155C2E2E9}" presName="circle" presStyleCnt="0"/>
      <dgm:spPr/>
    </dgm:pt>
    <dgm:pt modelId="{CA7F4CC5-E3AE-4AA1-9083-080C406EB2C6}" type="pres">
      <dgm:prSet presAssocID="{25F01DEA-E359-4357-A7B9-A6B155C2E2E9}" presName="quadrant1" presStyleLbl="node1" presStyleIdx="0" presStyleCnt="4">
        <dgm:presLayoutVars>
          <dgm:chMax val="1"/>
          <dgm:bulletEnabled val="1"/>
        </dgm:presLayoutVars>
      </dgm:prSet>
      <dgm:spPr/>
      <dgm:t>
        <a:bodyPr/>
        <a:lstStyle/>
        <a:p>
          <a:endParaRPr lang="en-AU"/>
        </a:p>
      </dgm:t>
    </dgm:pt>
    <dgm:pt modelId="{374D779C-9347-4551-950E-FD38B00C28AF}" type="pres">
      <dgm:prSet presAssocID="{25F01DEA-E359-4357-A7B9-A6B155C2E2E9}" presName="quadrant2" presStyleLbl="node1" presStyleIdx="1" presStyleCnt="4">
        <dgm:presLayoutVars>
          <dgm:chMax val="1"/>
          <dgm:bulletEnabled val="1"/>
        </dgm:presLayoutVars>
      </dgm:prSet>
      <dgm:spPr/>
      <dgm:t>
        <a:bodyPr/>
        <a:lstStyle/>
        <a:p>
          <a:endParaRPr lang="en-AU"/>
        </a:p>
      </dgm:t>
    </dgm:pt>
    <dgm:pt modelId="{54CB393E-C28B-4246-AFC3-59813609E673}" type="pres">
      <dgm:prSet presAssocID="{25F01DEA-E359-4357-A7B9-A6B155C2E2E9}" presName="quadrant3" presStyleLbl="node1" presStyleIdx="2" presStyleCnt="4">
        <dgm:presLayoutVars>
          <dgm:chMax val="1"/>
          <dgm:bulletEnabled val="1"/>
        </dgm:presLayoutVars>
      </dgm:prSet>
      <dgm:spPr/>
      <dgm:t>
        <a:bodyPr/>
        <a:lstStyle/>
        <a:p>
          <a:endParaRPr lang="en-AU"/>
        </a:p>
      </dgm:t>
    </dgm:pt>
    <dgm:pt modelId="{4D277672-FFE2-463C-8873-6192FF0A16E3}" type="pres">
      <dgm:prSet presAssocID="{25F01DEA-E359-4357-A7B9-A6B155C2E2E9}" presName="quadrant4" presStyleLbl="node1" presStyleIdx="3" presStyleCnt="4">
        <dgm:presLayoutVars>
          <dgm:chMax val="1"/>
          <dgm:bulletEnabled val="1"/>
        </dgm:presLayoutVars>
      </dgm:prSet>
      <dgm:spPr/>
      <dgm:t>
        <a:bodyPr/>
        <a:lstStyle/>
        <a:p>
          <a:endParaRPr lang="en-AU"/>
        </a:p>
      </dgm:t>
    </dgm:pt>
    <dgm:pt modelId="{03FA9837-FDAB-4646-BE79-90B7F7AE9D9C}" type="pres">
      <dgm:prSet presAssocID="{25F01DEA-E359-4357-A7B9-A6B155C2E2E9}" presName="quadrantPlaceholder" presStyleCnt="0"/>
      <dgm:spPr/>
    </dgm:pt>
    <dgm:pt modelId="{5F4A0067-8814-4FF5-92D0-36DD7A2CCC2F}" type="pres">
      <dgm:prSet presAssocID="{25F01DEA-E359-4357-A7B9-A6B155C2E2E9}" presName="center1" presStyleLbl="fgShp" presStyleIdx="0" presStyleCnt="2" custScaleY="37420" custLinFactNeighborY="14879"/>
      <dgm:spPr>
        <a:xfrm>
          <a:off x="2435915" y="1932168"/>
          <a:ext cx="614568" cy="199975"/>
        </a:xfrm>
        <a:prstGeom prst="ellipse">
          <a:avLst/>
        </a:prstGeom>
        <a:solidFill>
          <a:srgbClr val="4F2D7D">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02074CCA-84E4-4390-80FB-6CBEF54E9AF6}" type="pres">
      <dgm:prSet presAssocID="{25F01DEA-E359-4357-A7B9-A6B155C2E2E9}" presName="center2" presStyleLbl="fgShp" presStyleIdx="1" presStyleCnt="2" custScaleX="207008" custLinFactNeighborY="-19342"/>
      <dgm:spPr>
        <a:xfrm rot="10800000">
          <a:off x="2107097" y="1787614"/>
          <a:ext cx="1272205" cy="534407"/>
        </a:xfrm>
        <a:prstGeom prst="rect">
          <a:avLst/>
        </a:prstGeom>
        <a:solidFill>
          <a:srgbClr val="4F2D7D">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Lst>
  <dgm:cxnLst>
    <dgm:cxn modelId="{CD932F30-B2EC-451C-A5B7-BDD2138255D3}" srcId="{8F8AB278-951C-440B-A725-959D618A9F4A}" destId="{8570FB8B-FAB8-4F39-942C-871B4C6EA27E}" srcOrd="2" destOrd="0" parTransId="{4A255007-63C6-417F-884A-9F2B34B47BB4}" sibTransId="{C854D5EF-9A32-491D-93F9-79BBB9646985}"/>
    <dgm:cxn modelId="{61009B63-B209-4FC1-8162-15F5A6F15A53}" type="presOf" srcId="{23C93CF2-0E8A-4E3E-BE1D-86EA3AB6D2FA}" destId="{0D7F9DDC-876B-4E9F-908A-8968D7FC6A90}" srcOrd="0" destOrd="1" presId="urn:microsoft.com/office/officeart/2005/8/layout/cycle4"/>
    <dgm:cxn modelId="{C77775A9-B25B-4D39-B6C3-BC996A6D5DDE}" srcId="{244FECC7-98B1-496B-AF8E-48AA5C7E04BD}" destId="{ADBF0FA0-2F63-4DEC-A320-D891B4AA616F}" srcOrd="4" destOrd="0" parTransId="{588B08F0-2E1C-4A99-8C2C-AA44F0D59707}" sibTransId="{93CAAB28-C532-497F-84DD-7FF838C34BEA}"/>
    <dgm:cxn modelId="{576C0331-B2C5-4AE1-BB8B-F8FD784BCBBA}" type="presOf" srcId="{8F8AB278-951C-440B-A725-959D618A9F4A}" destId="{4D277672-FFE2-463C-8873-6192FF0A16E3}" srcOrd="0" destOrd="0" presId="urn:microsoft.com/office/officeart/2005/8/layout/cycle4"/>
    <dgm:cxn modelId="{F00EA9AD-0F2C-48E6-A727-0430DEE2F221}" type="presOf" srcId="{89D682E3-2EEA-4067-9873-D17CFDD58339}" destId="{16B7D35E-409C-4B3E-8695-E98A9B75DAE2}" srcOrd="1" destOrd="3" presId="urn:microsoft.com/office/officeart/2005/8/layout/cycle4"/>
    <dgm:cxn modelId="{AAE2BE10-98E2-4D1B-A774-3436ACBEDADA}" srcId="{BD5F31C7-53AD-4727-8776-FDF2A2F766CC}" destId="{652B4D02-B623-4D71-BF6E-A3CF35DB5ED6}" srcOrd="0" destOrd="0" parTransId="{162B16EB-6482-4C08-BB97-AFDE22E1ACD9}" sibTransId="{454ABAD9-284F-43D8-8CA0-6106B4407C5D}"/>
    <dgm:cxn modelId="{26DA0DC0-592A-4094-80C3-07CE2815A144}" type="presOf" srcId="{23C93CF2-0E8A-4E3E-BE1D-86EA3AB6D2FA}" destId="{56730166-D568-4D57-97DF-218F618DA02F}" srcOrd="1" destOrd="1" presId="urn:microsoft.com/office/officeart/2005/8/layout/cycle4"/>
    <dgm:cxn modelId="{36434618-CEE1-4F23-B78E-5CE3D63B567E}" type="presOf" srcId="{7B0FF2DF-198B-4226-B446-46934EC6E083}" destId="{96F3D30B-852E-420F-A136-8940355D4545}" srcOrd="0" destOrd="3" presId="urn:microsoft.com/office/officeart/2005/8/layout/cycle4"/>
    <dgm:cxn modelId="{82E61157-749E-459E-8AAB-361EA5B6514D}" type="presOf" srcId="{65C10712-A80F-4ECA-8119-C7CFFEE773BA}" destId="{56730166-D568-4D57-97DF-218F618DA02F}" srcOrd="1" destOrd="2" presId="urn:microsoft.com/office/officeart/2005/8/layout/cycle4"/>
    <dgm:cxn modelId="{D857C9F7-041B-48AB-8220-D9E47F444367}" type="presOf" srcId="{681729AC-552B-4B00-ADF3-01DC54720AFD}" destId="{FC957A06-4BE8-4914-883E-A3CDDBF53E01}" srcOrd="0" destOrd="1" presId="urn:microsoft.com/office/officeart/2005/8/layout/cycle4"/>
    <dgm:cxn modelId="{CD67B4BB-ACCE-46E8-85C7-5B48D2FE9078}" srcId="{244FECC7-98B1-496B-AF8E-48AA5C7E04BD}" destId="{DFE29B4F-0FB1-4B2F-8EFC-278799BA8469}" srcOrd="3" destOrd="0" parTransId="{D0BEE38B-811C-40D1-801A-CAE9B67AC2DA}" sibTransId="{118278F2-16EC-4B7E-97F6-CD12A4F1A86B}"/>
    <dgm:cxn modelId="{16F45AFA-E7FF-42AB-BDD6-D271D8C757A5}" type="presOf" srcId="{5EAE4E7D-EECE-4F63-8CB8-81075F54EE48}" destId="{16B7D35E-409C-4B3E-8695-E98A9B75DAE2}" srcOrd="1" destOrd="1" presId="urn:microsoft.com/office/officeart/2005/8/layout/cycle4"/>
    <dgm:cxn modelId="{3C8BB8D8-AF5C-4AD3-BF0A-77C764AD6504}" type="presOf" srcId="{652B4D02-B623-4D71-BF6E-A3CF35DB5ED6}" destId="{96F3D30B-852E-420F-A136-8940355D4545}" srcOrd="0" destOrd="0" presId="urn:microsoft.com/office/officeart/2005/8/layout/cycle4"/>
    <dgm:cxn modelId="{D3EDFEF5-96A2-485F-A864-2C90427F0E5F}" type="presOf" srcId="{8570FB8B-FAB8-4F39-942C-871B4C6EA27E}" destId="{71C0855B-7621-4C52-8F67-9107087A4431}" srcOrd="0" destOrd="2" presId="urn:microsoft.com/office/officeart/2005/8/layout/cycle4"/>
    <dgm:cxn modelId="{B1D27AF4-6ED1-4C2A-BCF2-A8BF0D79B10F}" srcId="{BD5F31C7-53AD-4727-8776-FDF2A2F766CC}" destId="{BBA160A4-FAD5-48AF-B2F5-FAE5F641CDBA}" srcOrd="4" destOrd="0" parTransId="{47232A65-1503-4F21-89C1-006B75165767}" sibTransId="{F87AA91F-9190-4616-A48E-2D6856C062D8}"/>
    <dgm:cxn modelId="{18A0CE49-A50A-4F8F-8C28-43B275B55416}" srcId="{25F01DEA-E359-4357-A7B9-A6B155C2E2E9}" destId="{7613D0D9-9ACF-48B5-B457-297FE1D93D3F}" srcOrd="2" destOrd="0" parTransId="{B2D12382-E7C7-4506-8152-3AB6D2476B33}" sibTransId="{4EBBAAAE-52BC-4869-AC2D-B9B8B588C30E}"/>
    <dgm:cxn modelId="{2B5C5C4D-FDC3-4741-B933-0B9B0A8505B6}" type="presOf" srcId="{652B4D02-B623-4D71-BF6E-A3CF35DB5ED6}" destId="{E45298EC-A45A-490A-8277-BB7CBC05CA0B}" srcOrd="1" destOrd="0" presId="urn:microsoft.com/office/officeart/2005/8/layout/cycle4"/>
    <dgm:cxn modelId="{23FBAF5B-1033-4E81-890C-780349AAC23E}" srcId="{244FECC7-98B1-496B-AF8E-48AA5C7E04BD}" destId="{21BD8DA3-A4B5-41B0-9A49-04C1C7B47508}" srcOrd="0" destOrd="0" parTransId="{A54DC64B-6FA0-4D40-92FC-A11B95A9D1B6}" sibTransId="{E91D48A5-0EBD-432B-A05D-F1A9ADFED43E}"/>
    <dgm:cxn modelId="{262157BC-696E-48FD-8AD7-67A167A59BBD}" type="presOf" srcId="{BD5F31C7-53AD-4727-8776-FDF2A2F766CC}" destId="{374D779C-9347-4551-950E-FD38B00C28AF}" srcOrd="0" destOrd="0" presId="urn:microsoft.com/office/officeart/2005/8/layout/cycle4"/>
    <dgm:cxn modelId="{A1E89DC8-9252-4270-9F17-A64B299A261D}" type="presOf" srcId="{FA56A8CB-B93F-4B4A-BAE7-AF363513BB9E}" destId="{E45298EC-A45A-490A-8277-BB7CBC05CA0B}" srcOrd="1" destOrd="2" presId="urn:microsoft.com/office/officeart/2005/8/layout/cycle4"/>
    <dgm:cxn modelId="{93D9D293-2640-4B9F-B7BE-F414D80061BF}" type="presOf" srcId="{979B5334-2315-4CBE-9791-420CE5F8FFD4}" destId="{DD368293-7531-4B04-A77A-44B5CBD1EB95}" srcOrd="1" destOrd="2" presId="urn:microsoft.com/office/officeart/2005/8/layout/cycle4"/>
    <dgm:cxn modelId="{BF6104A7-50FF-4713-83FD-F8630DE480D7}" type="presOf" srcId="{244FECC7-98B1-496B-AF8E-48AA5C7E04BD}" destId="{CA7F4CC5-E3AE-4AA1-9083-080C406EB2C6}" srcOrd="0" destOrd="0" presId="urn:microsoft.com/office/officeart/2005/8/layout/cycle4"/>
    <dgm:cxn modelId="{7184D135-1ED6-49EB-B3B0-B03C0022A126}" type="presOf" srcId="{AE042BB1-C34A-4A96-BED3-99DA577FD019}" destId="{71C0855B-7621-4C52-8F67-9107087A4431}" srcOrd="0" destOrd="0" presId="urn:microsoft.com/office/officeart/2005/8/layout/cycle4"/>
    <dgm:cxn modelId="{199A57FC-4D92-4DA3-978B-AEED24AF7B3F}" type="presOf" srcId="{7613D0D9-9ACF-48B5-B457-297FE1D93D3F}" destId="{54CB393E-C28B-4246-AFC3-59813609E673}" srcOrd="0" destOrd="0" presId="urn:microsoft.com/office/officeart/2005/8/layout/cycle4"/>
    <dgm:cxn modelId="{AFC8872E-A597-440C-992F-61EB94698C53}" type="presOf" srcId="{B6BBC5C3-64B6-4DB3-AF27-89B65C4BFD41}" destId="{96F3D30B-852E-420F-A136-8940355D4545}" srcOrd="0" destOrd="5" presId="urn:microsoft.com/office/officeart/2005/8/layout/cycle4"/>
    <dgm:cxn modelId="{0B1ACCC9-9043-418A-8C91-980BAAB02325}" srcId="{BD5F31C7-53AD-4727-8776-FDF2A2F766CC}" destId="{0C7FE718-70B6-4291-B843-7346961FB812}" srcOrd="1" destOrd="0" parTransId="{00A6D5A3-D15F-4A6D-BAF4-7C42C0192538}" sibTransId="{F53AD393-39DB-49E7-93A6-D33FDB906204}"/>
    <dgm:cxn modelId="{1A7AA99E-8249-4E3C-A74C-C0198BCAC444}" type="presOf" srcId="{681729AC-552B-4B00-ADF3-01DC54720AFD}" destId="{DD368293-7531-4B04-A77A-44B5CBD1EB95}" srcOrd="1" destOrd="1" presId="urn:microsoft.com/office/officeart/2005/8/layout/cycle4"/>
    <dgm:cxn modelId="{00705718-5466-4AD9-909D-EDF0F9FF0502}" srcId="{244FECC7-98B1-496B-AF8E-48AA5C7E04BD}" destId="{681729AC-552B-4B00-ADF3-01DC54720AFD}" srcOrd="1" destOrd="0" parTransId="{4DBEC493-D16B-4C2E-9717-DB0BB78431BD}" sibTransId="{91CB8218-BFB1-4AC6-9051-63FA377B6A66}"/>
    <dgm:cxn modelId="{D501DF9B-C361-4FF6-B4AF-E2C570055039}" srcId="{BD5F31C7-53AD-4727-8776-FDF2A2F766CC}" destId="{B6BBC5C3-64B6-4DB3-AF27-89B65C4BFD41}" srcOrd="5" destOrd="0" parTransId="{5900375A-C275-4E0F-8A18-7B34F44DC1D0}" sibTransId="{9CCF278C-38BB-4D83-ACDB-9ABF0FEF9CA3}"/>
    <dgm:cxn modelId="{D707CFE4-F591-4812-97AD-D31C207165BE}" srcId="{BD5F31C7-53AD-4727-8776-FDF2A2F766CC}" destId="{FA56A8CB-B93F-4B4A-BAE7-AF363513BB9E}" srcOrd="2" destOrd="0" parTransId="{A57DAF0B-B147-4E77-BB87-596A93528413}" sibTransId="{B1B9FB92-AD7C-4139-92B2-D0AE77B55738}"/>
    <dgm:cxn modelId="{3514DB1E-1F1F-4149-B136-BF0CDAB5FDAB}" type="presOf" srcId="{0CA5810E-CBB4-4421-86FF-0DB3C5661083}" destId="{FC957A06-4BE8-4914-883E-A3CDDBF53E01}" srcOrd="0" destOrd="5" presId="urn:microsoft.com/office/officeart/2005/8/layout/cycle4"/>
    <dgm:cxn modelId="{87D608FC-09FB-4E91-8DA2-FF42107A8611}" srcId="{244FECC7-98B1-496B-AF8E-48AA5C7E04BD}" destId="{0CA5810E-CBB4-4421-86FF-0DB3C5661083}" srcOrd="5" destOrd="0" parTransId="{EE649CB1-F199-489F-9552-6BA22456F4E7}" sibTransId="{99BA1AFF-FC01-49CD-A40C-7B6B472BB1C2}"/>
    <dgm:cxn modelId="{75201D0E-E388-4631-A3B1-382AE414E53E}" srcId="{25F01DEA-E359-4357-A7B9-A6B155C2E2E9}" destId="{BD5F31C7-53AD-4727-8776-FDF2A2F766CC}" srcOrd="1" destOrd="0" parTransId="{C41A677C-7356-4CBE-8F90-18198AA5AD7F}" sibTransId="{63B19CE6-C687-4719-8240-523F8F78DEF7}"/>
    <dgm:cxn modelId="{7900387C-7238-48F4-837D-5AB96682B5A2}" srcId="{25F01DEA-E359-4357-A7B9-A6B155C2E2E9}" destId="{244FECC7-98B1-496B-AF8E-48AA5C7E04BD}" srcOrd="0" destOrd="0" parTransId="{F5639548-0FEE-4AF3-B144-1F9B051649AC}" sibTransId="{4A71B22F-82AC-40B6-8642-9597A7438652}"/>
    <dgm:cxn modelId="{116D473F-5151-45EC-A95E-D0F876F9AA76}" type="presOf" srcId="{DFE29B4F-0FB1-4B2F-8EFC-278799BA8469}" destId="{FC957A06-4BE8-4914-883E-A3CDDBF53E01}" srcOrd="0" destOrd="3" presId="urn:microsoft.com/office/officeart/2005/8/layout/cycle4"/>
    <dgm:cxn modelId="{77016C8C-E92D-4019-B0A2-BEF59C7B724D}" type="presOf" srcId="{65C10712-A80F-4ECA-8119-C7CFFEE773BA}" destId="{0D7F9DDC-876B-4E9F-908A-8968D7FC6A90}" srcOrd="0" destOrd="2" presId="urn:microsoft.com/office/officeart/2005/8/layout/cycle4"/>
    <dgm:cxn modelId="{BB2E6DCE-EDC0-4F49-9F76-A4A18DA24D84}" type="presOf" srcId="{5EAE4E7D-EECE-4F63-8CB8-81075F54EE48}" destId="{71C0855B-7621-4C52-8F67-9107087A4431}" srcOrd="0" destOrd="1" presId="urn:microsoft.com/office/officeart/2005/8/layout/cycle4"/>
    <dgm:cxn modelId="{B68DF7FE-B1F4-417C-B2CF-4106AA8BE455}" srcId="{BD5F31C7-53AD-4727-8776-FDF2A2F766CC}" destId="{7B0FF2DF-198B-4226-B446-46934EC6E083}" srcOrd="3" destOrd="0" parTransId="{DD529CE1-76F3-4C0B-BD88-DA79B2DFC0C1}" sibTransId="{F6EEEC4B-616F-4BBB-82C7-9C6F4C9D0EE7}"/>
    <dgm:cxn modelId="{14F1A378-5EDF-42C0-9B01-62E0346BFB1B}" type="presOf" srcId="{ADBF0FA0-2F63-4DEC-A320-D891B4AA616F}" destId="{FC957A06-4BE8-4914-883E-A3CDDBF53E01}" srcOrd="0" destOrd="4" presId="urn:microsoft.com/office/officeart/2005/8/layout/cycle4"/>
    <dgm:cxn modelId="{F8F982FE-A807-4933-A956-F02008B17615}" type="presOf" srcId="{ADBF0FA0-2F63-4DEC-A320-D891B4AA616F}" destId="{DD368293-7531-4B04-A77A-44B5CBD1EB95}" srcOrd="1" destOrd="4" presId="urn:microsoft.com/office/officeart/2005/8/layout/cycle4"/>
    <dgm:cxn modelId="{B37C038F-E3B9-4B7D-937C-3026B9FC520E}" type="presOf" srcId="{BBA160A4-FAD5-48AF-B2F5-FAE5F641CDBA}" destId="{E45298EC-A45A-490A-8277-BB7CBC05CA0B}" srcOrd="1" destOrd="4" presId="urn:microsoft.com/office/officeart/2005/8/layout/cycle4"/>
    <dgm:cxn modelId="{759455AC-DEBE-4B83-ADAD-62721F90ACF7}" type="presOf" srcId="{0CA5810E-CBB4-4421-86FF-0DB3C5661083}" destId="{DD368293-7531-4B04-A77A-44B5CBD1EB95}" srcOrd="1" destOrd="5" presId="urn:microsoft.com/office/officeart/2005/8/layout/cycle4"/>
    <dgm:cxn modelId="{BEA9245C-7FB6-4BAE-8FE9-8DC5A7BD647F}" srcId="{244FECC7-98B1-496B-AF8E-48AA5C7E04BD}" destId="{979B5334-2315-4CBE-9791-420CE5F8FFD4}" srcOrd="2" destOrd="0" parTransId="{2E69A3F4-2694-458C-9FA2-E30CEF4BFC72}" sibTransId="{1E058E26-BD31-4079-A93D-59990064CA02}"/>
    <dgm:cxn modelId="{E02D57E1-EB2D-4A5D-8F30-5A9CE500E8FF}" type="presOf" srcId="{0C7FE718-70B6-4291-B843-7346961FB812}" destId="{96F3D30B-852E-420F-A136-8940355D4545}" srcOrd="0" destOrd="1" presId="urn:microsoft.com/office/officeart/2005/8/layout/cycle4"/>
    <dgm:cxn modelId="{0B242393-ECF0-45DC-954C-A830332CBAD5}" type="presOf" srcId="{8570FB8B-FAB8-4F39-942C-871B4C6EA27E}" destId="{16B7D35E-409C-4B3E-8695-E98A9B75DAE2}" srcOrd="1" destOrd="2" presId="urn:microsoft.com/office/officeart/2005/8/layout/cycle4"/>
    <dgm:cxn modelId="{F82E8CAD-0C22-4C97-A8AE-9AE9AB73DD58}" type="presOf" srcId="{89D682E3-2EEA-4067-9873-D17CFDD58339}" destId="{71C0855B-7621-4C52-8F67-9107087A4431}" srcOrd="0" destOrd="3" presId="urn:microsoft.com/office/officeart/2005/8/layout/cycle4"/>
    <dgm:cxn modelId="{876B602A-4D07-4574-AD1F-03717232055F}" type="presOf" srcId="{0C7FE718-70B6-4291-B843-7346961FB812}" destId="{E45298EC-A45A-490A-8277-BB7CBC05CA0B}" srcOrd="1" destOrd="1" presId="urn:microsoft.com/office/officeart/2005/8/layout/cycle4"/>
    <dgm:cxn modelId="{9DC0CEAE-5E2D-4218-B8AC-1BC55F5266F7}" type="presOf" srcId="{BBA160A4-FAD5-48AF-B2F5-FAE5F641CDBA}" destId="{96F3D30B-852E-420F-A136-8940355D4545}" srcOrd="0" destOrd="4" presId="urn:microsoft.com/office/officeart/2005/8/layout/cycle4"/>
    <dgm:cxn modelId="{F2976E61-21B3-4DDA-961E-E91486C92295}" type="presOf" srcId="{DFE29B4F-0FB1-4B2F-8EFC-278799BA8469}" destId="{DD368293-7531-4B04-A77A-44B5CBD1EB95}" srcOrd="1" destOrd="3" presId="urn:microsoft.com/office/officeart/2005/8/layout/cycle4"/>
    <dgm:cxn modelId="{C99E028E-6B99-445F-B2AB-31629C1875EC}" srcId="{7613D0D9-9ACF-48B5-B457-297FE1D93D3F}" destId="{65C10712-A80F-4ECA-8119-C7CFFEE773BA}" srcOrd="2" destOrd="0" parTransId="{575D5100-EE01-4DFA-A07F-4DA02A6E9882}" sibTransId="{C9CB7621-29A2-4B44-8DEE-6847187E8D9D}"/>
    <dgm:cxn modelId="{178D7031-8BA0-4817-972E-317BD99CEDA4}" srcId="{8F8AB278-951C-440B-A725-959D618A9F4A}" destId="{89D682E3-2EEA-4067-9873-D17CFDD58339}" srcOrd="3" destOrd="0" parTransId="{95C27D1B-E3B8-484C-B4E1-2F9FD90B0CB9}" sibTransId="{34427E43-B8B9-464C-8E0C-B81A55ED0614}"/>
    <dgm:cxn modelId="{AB175C53-65DD-4C8F-A186-8A90D14452BA}" srcId="{7613D0D9-9ACF-48B5-B457-297FE1D93D3F}" destId="{72EAC192-7AC4-4756-8542-079984434517}" srcOrd="0" destOrd="0" parTransId="{901F5347-0BB4-4D33-BA54-21970531CE08}" sibTransId="{2F56F5CD-15D1-4CAB-A325-51AA4A357D7B}"/>
    <dgm:cxn modelId="{795F420F-527F-4702-94A8-CA114E87175A}" type="presOf" srcId="{FA56A8CB-B93F-4B4A-BAE7-AF363513BB9E}" destId="{96F3D30B-852E-420F-A136-8940355D4545}" srcOrd="0" destOrd="2" presId="urn:microsoft.com/office/officeart/2005/8/layout/cycle4"/>
    <dgm:cxn modelId="{D01D40C3-F023-4877-98DA-1601003E4E82}" type="presOf" srcId="{72EAC192-7AC4-4756-8542-079984434517}" destId="{0D7F9DDC-876B-4E9F-908A-8968D7FC6A90}" srcOrd="0" destOrd="0" presId="urn:microsoft.com/office/officeart/2005/8/layout/cycle4"/>
    <dgm:cxn modelId="{E7E2FF30-432E-49EC-8B7C-CC132C0E477E}" type="presOf" srcId="{B6BBC5C3-64B6-4DB3-AF27-89B65C4BFD41}" destId="{E45298EC-A45A-490A-8277-BB7CBC05CA0B}" srcOrd="1" destOrd="5" presId="urn:microsoft.com/office/officeart/2005/8/layout/cycle4"/>
    <dgm:cxn modelId="{4AE39FFE-AF89-4D7A-82A4-C75C92BA6C2E}" type="presOf" srcId="{AE042BB1-C34A-4A96-BED3-99DA577FD019}" destId="{16B7D35E-409C-4B3E-8695-E98A9B75DAE2}" srcOrd="1" destOrd="0" presId="urn:microsoft.com/office/officeart/2005/8/layout/cycle4"/>
    <dgm:cxn modelId="{C2438487-86C9-4092-A832-34CF7B1D1045}" type="presOf" srcId="{25F01DEA-E359-4357-A7B9-A6B155C2E2E9}" destId="{EC4B5CA2-8936-45DB-8F36-3C4CD92B00FF}" srcOrd="0" destOrd="0" presId="urn:microsoft.com/office/officeart/2005/8/layout/cycle4"/>
    <dgm:cxn modelId="{942F4365-16E7-4AF6-A249-E9DED390A152}" srcId="{8F8AB278-951C-440B-A725-959D618A9F4A}" destId="{5EAE4E7D-EECE-4F63-8CB8-81075F54EE48}" srcOrd="1" destOrd="0" parTransId="{A6019089-C7D0-4FB2-8E08-66E4067158B9}" sibTransId="{F647103F-1358-4634-8C92-D5F35054E67F}"/>
    <dgm:cxn modelId="{B252E41C-793B-4CE7-BAD8-DA2B3A87D033}" srcId="{25F01DEA-E359-4357-A7B9-A6B155C2E2E9}" destId="{8F8AB278-951C-440B-A725-959D618A9F4A}" srcOrd="3" destOrd="0" parTransId="{7721E1ED-1EA8-4723-B3BA-BA9CD0D4D846}" sibTransId="{2D0F9D00-7C8D-4C67-B37B-0DD0604631EA}"/>
    <dgm:cxn modelId="{57622019-7CEA-4959-8DFB-C14AF1952CEA}" type="presOf" srcId="{72EAC192-7AC4-4756-8542-079984434517}" destId="{56730166-D568-4D57-97DF-218F618DA02F}" srcOrd="1" destOrd="0" presId="urn:microsoft.com/office/officeart/2005/8/layout/cycle4"/>
    <dgm:cxn modelId="{67BCED00-2D6B-4A77-B7C2-9D5318DD3CEC}" srcId="{7613D0D9-9ACF-48B5-B457-297FE1D93D3F}" destId="{23C93CF2-0E8A-4E3E-BE1D-86EA3AB6D2FA}" srcOrd="1" destOrd="0" parTransId="{16790B4F-CBE4-4121-9E55-5327921A48B7}" sibTransId="{8393688E-4083-40FB-B084-6EE68192DCA2}"/>
    <dgm:cxn modelId="{5594DCE0-996C-4847-B962-AB6CB87E5931}" type="presOf" srcId="{21BD8DA3-A4B5-41B0-9A49-04C1C7B47508}" destId="{FC957A06-4BE8-4914-883E-A3CDDBF53E01}" srcOrd="0" destOrd="0" presId="urn:microsoft.com/office/officeart/2005/8/layout/cycle4"/>
    <dgm:cxn modelId="{171F704D-C50D-4BFF-ACD7-C50D67C7A816}" type="presOf" srcId="{21BD8DA3-A4B5-41B0-9A49-04C1C7B47508}" destId="{DD368293-7531-4B04-A77A-44B5CBD1EB95}" srcOrd="1" destOrd="0" presId="urn:microsoft.com/office/officeart/2005/8/layout/cycle4"/>
    <dgm:cxn modelId="{6D0C2751-919D-47DE-983B-0ED3BF8770B7}" type="presOf" srcId="{979B5334-2315-4CBE-9791-420CE5F8FFD4}" destId="{FC957A06-4BE8-4914-883E-A3CDDBF53E01}" srcOrd="0" destOrd="2" presId="urn:microsoft.com/office/officeart/2005/8/layout/cycle4"/>
    <dgm:cxn modelId="{4C38F22C-F69E-4840-BC45-4FA3650D1BFF}" srcId="{8F8AB278-951C-440B-A725-959D618A9F4A}" destId="{AE042BB1-C34A-4A96-BED3-99DA577FD019}" srcOrd="0" destOrd="0" parTransId="{75557089-59D3-4E43-B0B4-749C94B31923}" sibTransId="{75315B74-7025-45D0-8032-0C54DF611285}"/>
    <dgm:cxn modelId="{5442C0B0-8876-4059-BB76-A4298F0DAAAD}" type="presOf" srcId="{7B0FF2DF-198B-4226-B446-46934EC6E083}" destId="{E45298EC-A45A-490A-8277-BB7CBC05CA0B}" srcOrd="1" destOrd="3" presId="urn:microsoft.com/office/officeart/2005/8/layout/cycle4"/>
    <dgm:cxn modelId="{8FC93B02-AAF9-4609-9CFD-B76338149349}" type="presParOf" srcId="{EC4B5CA2-8936-45DB-8F36-3C4CD92B00FF}" destId="{B32FF017-2D46-4FAF-AD0D-548A6569B9B9}" srcOrd="0" destOrd="0" presId="urn:microsoft.com/office/officeart/2005/8/layout/cycle4"/>
    <dgm:cxn modelId="{2F5A65BB-A87D-4FDA-843C-4BBF130C8463}" type="presParOf" srcId="{B32FF017-2D46-4FAF-AD0D-548A6569B9B9}" destId="{66CB4D6D-52A3-4A93-97DF-E716D5321EB7}" srcOrd="0" destOrd="0" presId="urn:microsoft.com/office/officeart/2005/8/layout/cycle4"/>
    <dgm:cxn modelId="{F47B310B-15B7-4017-9C1B-AE31F3055A59}" type="presParOf" srcId="{66CB4D6D-52A3-4A93-97DF-E716D5321EB7}" destId="{FC957A06-4BE8-4914-883E-A3CDDBF53E01}" srcOrd="0" destOrd="0" presId="urn:microsoft.com/office/officeart/2005/8/layout/cycle4"/>
    <dgm:cxn modelId="{BF50734B-141C-40A0-BD96-F8883F5B2388}" type="presParOf" srcId="{66CB4D6D-52A3-4A93-97DF-E716D5321EB7}" destId="{DD368293-7531-4B04-A77A-44B5CBD1EB95}" srcOrd="1" destOrd="0" presId="urn:microsoft.com/office/officeart/2005/8/layout/cycle4"/>
    <dgm:cxn modelId="{276B56F4-E45D-46C8-A1FD-DAF2109D4A40}" type="presParOf" srcId="{B32FF017-2D46-4FAF-AD0D-548A6569B9B9}" destId="{F44A938A-DE95-4E3A-B768-B024DC429CAE}" srcOrd="1" destOrd="0" presId="urn:microsoft.com/office/officeart/2005/8/layout/cycle4"/>
    <dgm:cxn modelId="{640B50EE-C441-48A0-8B73-3EABB0C251F8}" type="presParOf" srcId="{F44A938A-DE95-4E3A-B768-B024DC429CAE}" destId="{96F3D30B-852E-420F-A136-8940355D4545}" srcOrd="0" destOrd="0" presId="urn:microsoft.com/office/officeart/2005/8/layout/cycle4"/>
    <dgm:cxn modelId="{0548DCB2-B44D-4582-8911-69438642A1ED}" type="presParOf" srcId="{F44A938A-DE95-4E3A-B768-B024DC429CAE}" destId="{E45298EC-A45A-490A-8277-BB7CBC05CA0B}" srcOrd="1" destOrd="0" presId="urn:microsoft.com/office/officeart/2005/8/layout/cycle4"/>
    <dgm:cxn modelId="{24A66EF1-C2C4-4035-ACBB-EC0C18E52DDA}" type="presParOf" srcId="{B32FF017-2D46-4FAF-AD0D-548A6569B9B9}" destId="{7F687A29-1194-4CDA-B54E-8887B2F9AC99}" srcOrd="2" destOrd="0" presId="urn:microsoft.com/office/officeart/2005/8/layout/cycle4"/>
    <dgm:cxn modelId="{B7759250-6D13-4597-B84C-7E39186FF0C0}" type="presParOf" srcId="{7F687A29-1194-4CDA-B54E-8887B2F9AC99}" destId="{0D7F9DDC-876B-4E9F-908A-8968D7FC6A90}" srcOrd="0" destOrd="0" presId="urn:microsoft.com/office/officeart/2005/8/layout/cycle4"/>
    <dgm:cxn modelId="{2A6838C6-DE36-4DA0-BEFA-5C6AA0EA7996}" type="presParOf" srcId="{7F687A29-1194-4CDA-B54E-8887B2F9AC99}" destId="{56730166-D568-4D57-97DF-218F618DA02F}" srcOrd="1" destOrd="0" presId="urn:microsoft.com/office/officeart/2005/8/layout/cycle4"/>
    <dgm:cxn modelId="{9A6E4D33-1A91-4E09-A531-223C145AC622}" type="presParOf" srcId="{B32FF017-2D46-4FAF-AD0D-548A6569B9B9}" destId="{0DE52DF0-97EB-4F5E-A067-5DAD244A5ECC}" srcOrd="3" destOrd="0" presId="urn:microsoft.com/office/officeart/2005/8/layout/cycle4"/>
    <dgm:cxn modelId="{C7DFDF28-66AE-48F6-8D78-C6DED33B5A72}" type="presParOf" srcId="{0DE52DF0-97EB-4F5E-A067-5DAD244A5ECC}" destId="{71C0855B-7621-4C52-8F67-9107087A4431}" srcOrd="0" destOrd="0" presId="urn:microsoft.com/office/officeart/2005/8/layout/cycle4"/>
    <dgm:cxn modelId="{A4637536-5449-4B8E-A2BE-A2E122C9630F}" type="presParOf" srcId="{0DE52DF0-97EB-4F5E-A067-5DAD244A5ECC}" destId="{16B7D35E-409C-4B3E-8695-E98A9B75DAE2}" srcOrd="1" destOrd="0" presId="urn:microsoft.com/office/officeart/2005/8/layout/cycle4"/>
    <dgm:cxn modelId="{DB351D02-A59E-4725-8557-A19AAA1F5B80}" type="presParOf" srcId="{B32FF017-2D46-4FAF-AD0D-548A6569B9B9}" destId="{17296A2D-1248-452F-B113-95B08FBF37DA}" srcOrd="4" destOrd="0" presId="urn:microsoft.com/office/officeart/2005/8/layout/cycle4"/>
    <dgm:cxn modelId="{A01D861D-04BE-4C3C-AE2E-972074AB52E5}" type="presParOf" srcId="{EC4B5CA2-8936-45DB-8F36-3C4CD92B00FF}" destId="{FC841567-EFA1-4193-BEE5-A385DCC61CB2}" srcOrd="1" destOrd="0" presId="urn:microsoft.com/office/officeart/2005/8/layout/cycle4"/>
    <dgm:cxn modelId="{3A7B2833-8E3A-491C-8C7E-FFF2C1EC73FA}" type="presParOf" srcId="{FC841567-EFA1-4193-BEE5-A385DCC61CB2}" destId="{CA7F4CC5-E3AE-4AA1-9083-080C406EB2C6}" srcOrd="0" destOrd="0" presId="urn:microsoft.com/office/officeart/2005/8/layout/cycle4"/>
    <dgm:cxn modelId="{D5FD5C30-59F7-444D-87F5-BD9963F74DBA}" type="presParOf" srcId="{FC841567-EFA1-4193-BEE5-A385DCC61CB2}" destId="{374D779C-9347-4551-950E-FD38B00C28AF}" srcOrd="1" destOrd="0" presId="urn:microsoft.com/office/officeart/2005/8/layout/cycle4"/>
    <dgm:cxn modelId="{C1A8BBF6-C339-4D6B-A00D-7040D4F2A507}" type="presParOf" srcId="{FC841567-EFA1-4193-BEE5-A385DCC61CB2}" destId="{54CB393E-C28B-4246-AFC3-59813609E673}" srcOrd="2" destOrd="0" presId="urn:microsoft.com/office/officeart/2005/8/layout/cycle4"/>
    <dgm:cxn modelId="{02B28C1E-1D5D-48F8-B96D-1EA93D3E3565}" type="presParOf" srcId="{FC841567-EFA1-4193-BEE5-A385DCC61CB2}" destId="{4D277672-FFE2-463C-8873-6192FF0A16E3}" srcOrd="3" destOrd="0" presId="urn:microsoft.com/office/officeart/2005/8/layout/cycle4"/>
    <dgm:cxn modelId="{9CC94395-E53C-4555-8893-498C476BD365}" type="presParOf" srcId="{FC841567-EFA1-4193-BEE5-A385DCC61CB2}" destId="{03FA9837-FDAB-4646-BE79-90B7F7AE9D9C}" srcOrd="4" destOrd="0" presId="urn:microsoft.com/office/officeart/2005/8/layout/cycle4"/>
    <dgm:cxn modelId="{60820CE3-36CC-4ACB-8CFC-5D7A31E09E7A}" type="presParOf" srcId="{EC4B5CA2-8936-45DB-8F36-3C4CD92B00FF}" destId="{5F4A0067-8814-4FF5-92D0-36DD7A2CCC2F}" srcOrd="2" destOrd="0" presId="urn:microsoft.com/office/officeart/2005/8/layout/cycle4"/>
    <dgm:cxn modelId="{8D732D81-902E-4E61-AD17-1A6F0F87EEA6}" type="presParOf" srcId="{EC4B5CA2-8936-45DB-8F36-3C4CD92B00FF}" destId="{02074CCA-84E4-4390-80FB-6CBEF54E9AF6}" srcOrd="3" destOrd="0" presId="urn:microsoft.com/office/officeart/2005/8/layout/cycle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ACAEC-17BE-4ABC-B4EA-4281AA7EA422}">
      <dsp:nvSpPr>
        <dsp:cNvPr id="0" name=""/>
        <dsp:cNvSpPr/>
      </dsp:nvSpPr>
      <dsp:spPr>
        <a:xfrm>
          <a:off x="2310693" y="1951"/>
          <a:ext cx="1160287" cy="1160287"/>
        </a:xfrm>
        <a:prstGeom prst="ellipse">
          <a:avLst/>
        </a:prstGeom>
        <a:solidFill>
          <a:srgbClr val="0098C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Arial"/>
              <a:ea typeface="+mn-ea"/>
              <a:cs typeface="+mn-cs"/>
            </a:rPr>
            <a:t>Market monitoring</a:t>
          </a:r>
          <a:endParaRPr lang="en-AU" sz="1100" kern="1200" dirty="0">
            <a:solidFill>
              <a:sysClr val="window" lastClr="FFFFFF"/>
            </a:solidFill>
            <a:latin typeface="Arial"/>
            <a:ea typeface="+mn-ea"/>
            <a:cs typeface="+mn-cs"/>
          </a:endParaRPr>
        </a:p>
      </dsp:txBody>
      <dsp:txXfrm>
        <a:off x="2480613" y="171871"/>
        <a:ext cx="820447" cy="820447"/>
      </dsp:txXfrm>
    </dsp:sp>
    <dsp:sp modelId="{E0E9CB6B-1EA8-4FED-9448-75CA904DDFE4}">
      <dsp:nvSpPr>
        <dsp:cNvPr id="0" name=""/>
        <dsp:cNvSpPr/>
      </dsp:nvSpPr>
      <dsp:spPr>
        <a:xfrm rot="1542857">
          <a:off x="3513666" y="760546"/>
          <a:ext cx="308618" cy="391596"/>
        </a:xfrm>
        <a:prstGeom prst="rightArrow">
          <a:avLst>
            <a:gd name="adj1" fmla="val 60000"/>
            <a:gd name="adj2" fmla="val 50000"/>
          </a:avLst>
        </a:prstGeom>
        <a:solidFill>
          <a:srgbClr val="0098C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a:off x="3518250" y="818779"/>
        <a:ext cx="216033" cy="234958"/>
      </dsp:txXfrm>
    </dsp:sp>
    <dsp:sp modelId="{E3167089-FE96-4C96-A60C-8DCF79E8DAF8}">
      <dsp:nvSpPr>
        <dsp:cNvPr id="0" name=""/>
        <dsp:cNvSpPr/>
      </dsp:nvSpPr>
      <dsp:spPr>
        <a:xfrm>
          <a:off x="3880710" y="758031"/>
          <a:ext cx="1160287" cy="1160287"/>
        </a:xfrm>
        <a:prstGeom prst="ellipse">
          <a:avLst/>
        </a:prstGeom>
        <a:solidFill>
          <a:srgbClr val="0098C3">
            <a:hueOff val="91694"/>
            <a:satOff val="-5797"/>
            <a:lumOff val="653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smtClean="0">
              <a:solidFill>
                <a:sysClr val="window" lastClr="FFFFFF"/>
              </a:solidFill>
              <a:latin typeface="Arial"/>
              <a:ea typeface="+mn-ea"/>
              <a:cs typeface="+mn-cs"/>
            </a:rPr>
            <a:t>Reporting by regulated businesses</a:t>
          </a:r>
          <a:endParaRPr lang="en-AU" sz="1100" kern="1200" dirty="0">
            <a:solidFill>
              <a:sysClr val="window" lastClr="FFFFFF"/>
            </a:solidFill>
            <a:latin typeface="Arial"/>
            <a:ea typeface="+mn-ea"/>
            <a:cs typeface="+mn-cs"/>
          </a:endParaRPr>
        </a:p>
      </dsp:txBody>
      <dsp:txXfrm>
        <a:off x="4050630" y="927951"/>
        <a:ext cx="820447" cy="820447"/>
      </dsp:txXfrm>
    </dsp:sp>
    <dsp:sp modelId="{B970B87E-CBA2-47EE-B142-FD14F5B8C395}">
      <dsp:nvSpPr>
        <dsp:cNvPr id="0" name=""/>
        <dsp:cNvSpPr/>
      </dsp:nvSpPr>
      <dsp:spPr>
        <a:xfrm rot="4628571">
          <a:off x="4498481" y="1983308"/>
          <a:ext cx="308618" cy="391596"/>
        </a:xfrm>
        <a:prstGeom prst="rightArrow">
          <a:avLst>
            <a:gd name="adj1" fmla="val 60000"/>
            <a:gd name="adj2" fmla="val 50000"/>
          </a:avLst>
        </a:prstGeom>
        <a:solidFill>
          <a:srgbClr val="0098C3">
            <a:hueOff val="91694"/>
            <a:satOff val="-5797"/>
            <a:lumOff val="653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a:off x="4534472" y="2016495"/>
        <a:ext cx="216033" cy="234958"/>
      </dsp:txXfrm>
    </dsp:sp>
    <dsp:sp modelId="{2A733B49-BD3E-4ACF-8007-E77AE7283D5E}">
      <dsp:nvSpPr>
        <dsp:cNvPr id="0" name=""/>
        <dsp:cNvSpPr/>
      </dsp:nvSpPr>
      <dsp:spPr>
        <a:xfrm>
          <a:off x="4268472" y="2456927"/>
          <a:ext cx="1160287" cy="1160287"/>
        </a:xfrm>
        <a:prstGeom prst="ellipse">
          <a:avLst/>
        </a:prstGeom>
        <a:solidFill>
          <a:srgbClr val="0098C3">
            <a:hueOff val="183388"/>
            <a:satOff val="-11594"/>
            <a:lumOff val="1307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Arial"/>
              <a:ea typeface="+mn-ea"/>
              <a:cs typeface="+mn-cs"/>
            </a:rPr>
            <a:t>Consumer insight</a:t>
          </a:r>
          <a:endParaRPr lang="en-AU" sz="1100" kern="1200" dirty="0">
            <a:solidFill>
              <a:sysClr val="window" lastClr="FFFFFF"/>
            </a:solidFill>
            <a:latin typeface="Arial"/>
            <a:ea typeface="+mn-ea"/>
            <a:cs typeface="+mn-cs"/>
          </a:endParaRPr>
        </a:p>
      </dsp:txBody>
      <dsp:txXfrm>
        <a:off x="4438392" y="2626847"/>
        <a:ext cx="820447" cy="820447"/>
      </dsp:txXfrm>
    </dsp:sp>
    <dsp:sp modelId="{A93641C2-E357-4922-AC8E-896BDCBAC691}">
      <dsp:nvSpPr>
        <dsp:cNvPr id="0" name=""/>
        <dsp:cNvSpPr/>
      </dsp:nvSpPr>
      <dsp:spPr>
        <a:xfrm rot="7714286">
          <a:off x="4156509" y="3515648"/>
          <a:ext cx="308618" cy="391596"/>
        </a:xfrm>
        <a:prstGeom prst="rightArrow">
          <a:avLst>
            <a:gd name="adj1" fmla="val 60000"/>
            <a:gd name="adj2" fmla="val 50000"/>
          </a:avLst>
        </a:prstGeom>
        <a:solidFill>
          <a:srgbClr val="0098C3">
            <a:hueOff val="183388"/>
            <a:satOff val="-11594"/>
            <a:lumOff val="1307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rot="10800000">
        <a:off x="4231664" y="3557774"/>
        <a:ext cx="216033" cy="234958"/>
      </dsp:txXfrm>
    </dsp:sp>
    <dsp:sp modelId="{0C53D95F-A434-4947-AF4A-CB16538832AD}">
      <dsp:nvSpPr>
        <dsp:cNvPr id="0" name=""/>
        <dsp:cNvSpPr/>
      </dsp:nvSpPr>
      <dsp:spPr>
        <a:xfrm>
          <a:off x="3181987" y="3819336"/>
          <a:ext cx="1160287" cy="1160287"/>
        </a:xfrm>
        <a:prstGeom prst="ellipse">
          <a:avLst/>
        </a:prstGeom>
        <a:solidFill>
          <a:srgbClr val="0098C3">
            <a:hueOff val="275082"/>
            <a:satOff val="-17391"/>
            <a:lumOff val="1960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Arial"/>
              <a:ea typeface="+mn-ea"/>
              <a:cs typeface="+mn-cs"/>
            </a:rPr>
            <a:t>Ongoing stakeholder dialogue</a:t>
          </a:r>
          <a:endParaRPr lang="en-AU" sz="1100" kern="1200" dirty="0">
            <a:solidFill>
              <a:sysClr val="window" lastClr="FFFFFF"/>
            </a:solidFill>
            <a:latin typeface="Arial"/>
            <a:ea typeface="+mn-ea"/>
            <a:cs typeface="+mn-cs"/>
          </a:endParaRPr>
        </a:p>
      </dsp:txBody>
      <dsp:txXfrm>
        <a:off x="3351907" y="3989256"/>
        <a:ext cx="820447" cy="820447"/>
      </dsp:txXfrm>
    </dsp:sp>
    <dsp:sp modelId="{F87422F2-279A-4756-B783-1224C4B19C66}">
      <dsp:nvSpPr>
        <dsp:cNvPr id="0" name=""/>
        <dsp:cNvSpPr/>
      </dsp:nvSpPr>
      <dsp:spPr>
        <a:xfrm rot="10800000">
          <a:off x="2745262" y="4203681"/>
          <a:ext cx="308618" cy="391596"/>
        </a:xfrm>
        <a:prstGeom prst="rightArrow">
          <a:avLst>
            <a:gd name="adj1" fmla="val 60000"/>
            <a:gd name="adj2" fmla="val 50000"/>
          </a:avLst>
        </a:prstGeom>
        <a:solidFill>
          <a:srgbClr val="0098C3">
            <a:hueOff val="275082"/>
            <a:satOff val="-17391"/>
            <a:lumOff val="1960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rot="10800000">
        <a:off x="2837847" y="4282000"/>
        <a:ext cx="216033" cy="234958"/>
      </dsp:txXfrm>
    </dsp:sp>
    <dsp:sp modelId="{D55EC4D0-DCFE-499E-B56D-306C029C84C8}">
      <dsp:nvSpPr>
        <dsp:cNvPr id="0" name=""/>
        <dsp:cNvSpPr/>
      </dsp:nvSpPr>
      <dsp:spPr>
        <a:xfrm>
          <a:off x="1439400" y="3819336"/>
          <a:ext cx="1160287" cy="1160287"/>
        </a:xfrm>
        <a:prstGeom prst="ellipse">
          <a:avLst/>
        </a:prstGeom>
        <a:solidFill>
          <a:srgbClr val="0098C3">
            <a:hueOff val="366776"/>
            <a:satOff val="-23188"/>
            <a:lumOff val="2614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Arial"/>
              <a:ea typeface="+mn-ea"/>
              <a:cs typeface="+mn-cs"/>
            </a:rPr>
            <a:t>Setting network revenues</a:t>
          </a:r>
        </a:p>
      </dsp:txBody>
      <dsp:txXfrm>
        <a:off x="1609320" y="3989256"/>
        <a:ext cx="820447" cy="820447"/>
      </dsp:txXfrm>
    </dsp:sp>
    <dsp:sp modelId="{7627D791-FCB5-4AE0-9D5E-0645AFDAAD6A}">
      <dsp:nvSpPr>
        <dsp:cNvPr id="0" name=""/>
        <dsp:cNvSpPr/>
      </dsp:nvSpPr>
      <dsp:spPr>
        <a:xfrm rot="13885714">
          <a:off x="1327438" y="3529306"/>
          <a:ext cx="308618" cy="391596"/>
        </a:xfrm>
        <a:prstGeom prst="rightArrow">
          <a:avLst>
            <a:gd name="adj1" fmla="val 60000"/>
            <a:gd name="adj2" fmla="val 50000"/>
          </a:avLst>
        </a:prstGeom>
        <a:solidFill>
          <a:srgbClr val="0098C3">
            <a:hueOff val="366776"/>
            <a:satOff val="-23188"/>
            <a:lumOff val="2614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rot="10800000">
        <a:off x="1402593" y="3643818"/>
        <a:ext cx="216033" cy="234958"/>
      </dsp:txXfrm>
    </dsp:sp>
    <dsp:sp modelId="{ED7FC3A5-9884-419A-A8A5-2F4269C65FC7}">
      <dsp:nvSpPr>
        <dsp:cNvPr id="0" name=""/>
        <dsp:cNvSpPr/>
      </dsp:nvSpPr>
      <dsp:spPr>
        <a:xfrm>
          <a:off x="352915" y="2456927"/>
          <a:ext cx="1160287" cy="1160287"/>
        </a:xfrm>
        <a:prstGeom prst="ellipse">
          <a:avLst/>
        </a:prstGeom>
        <a:solidFill>
          <a:srgbClr val="0098C3">
            <a:hueOff val="458469"/>
            <a:satOff val="-28985"/>
            <a:lumOff val="3268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Arial"/>
              <a:ea typeface="+mn-ea"/>
              <a:cs typeface="+mn-cs"/>
            </a:rPr>
            <a:t>Formal consultation processes</a:t>
          </a:r>
          <a:endParaRPr lang="en-AU" sz="1100" kern="1200" dirty="0">
            <a:solidFill>
              <a:sysClr val="window" lastClr="FFFFFF"/>
            </a:solidFill>
            <a:latin typeface="Arial"/>
            <a:ea typeface="+mn-ea"/>
            <a:cs typeface="+mn-cs"/>
          </a:endParaRPr>
        </a:p>
      </dsp:txBody>
      <dsp:txXfrm>
        <a:off x="522835" y="2626847"/>
        <a:ext cx="820447" cy="820447"/>
      </dsp:txXfrm>
    </dsp:sp>
    <dsp:sp modelId="{477FE313-3CC4-4DC3-999E-BEF20BBCDD18}">
      <dsp:nvSpPr>
        <dsp:cNvPr id="0" name=""/>
        <dsp:cNvSpPr/>
      </dsp:nvSpPr>
      <dsp:spPr>
        <a:xfrm rot="16971429">
          <a:off x="970687" y="2000339"/>
          <a:ext cx="308618" cy="391596"/>
        </a:xfrm>
        <a:prstGeom prst="rightArrow">
          <a:avLst>
            <a:gd name="adj1" fmla="val 60000"/>
            <a:gd name="adj2" fmla="val 50000"/>
          </a:avLst>
        </a:prstGeom>
        <a:solidFill>
          <a:srgbClr val="0098C3">
            <a:hueOff val="458469"/>
            <a:satOff val="-28985"/>
            <a:lumOff val="3268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a:off x="1006678" y="2123790"/>
        <a:ext cx="216033" cy="234958"/>
      </dsp:txXfrm>
    </dsp:sp>
    <dsp:sp modelId="{A19CEA53-F1C3-4FED-8943-88E4FAE4855D}">
      <dsp:nvSpPr>
        <dsp:cNvPr id="0" name=""/>
        <dsp:cNvSpPr/>
      </dsp:nvSpPr>
      <dsp:spPr>
        <a:xfrm>
          <a:off x="740677" y="758031"/>
          <a:ext cx="1160287" cy="1160287"/>
        </a:xfrm>
        <a:prstGeom prst="ellipse">
          <a:avLst/>
        </a:prstGeom>
        <a:solidFill>
          <a:srgbClr val="0098C3">
            <a:hueOff val="550163"/>
            <a:satOff val="-34782"/>
            <a:lumOff val="3921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Arial"/>
              <a:ea typeface="+mn-ea"/>
              <a:cs typeface="+mn-cs"/>
            </a:rPr>
            <a:t>Support consumer engagement in the market</a:t>
          </a:r>
          <a:endParaRPr lang="en-AU" sz="1100" kern="1200" dirty="0">
            <a:solidFill>
              <a:sysClr val="window" lastClr="FFFFFF"/>
            </a:solidFill>
            <a:latin typeface="Arial"/>
            <a:ea typeface="+mn-ea"/>
            <a:cs typeface="+mn-cs"/>
          </a:endParaRPr>
        </a:p>
      </dsp:txBody>
      <dsp:txXfrm>
        <a:off x="910597" y="927951"/>
        <a:ext cx="820447" cy="820447"/>
      </dsp:txXfrm>
    </dsp:sp>
    <dsp:sp modelId="{25E60E0E-E4D7-4BFC-B991-B7E06C7C40DB}">
      <dsp:nvSpPr>
        <dsp:cNvPr id="0" name=""/>
        <dsp:cNvSpPr/>
      </dsp:nvSpPr>
      <dsp:spPr>
        <a:xfrm rot="20057143">
          <a:off x="1943650" y="768126"/>
          <a:ext cx="308618" cy="391596"/>
        </a:xfrm>
        <a:prstGeom prst="rightArrow">
          <a:avLst>
            <a:gd name="adj1" fmla="val 60000"/>
            <a:gd name="adj2" fmla="val 50000"/>
          </a:avLst>
        </a:prstGeom>
        <a:solidFill>
          <a:srgbClr val="0098C3">
            <a:hueOff val="550163"/>
            <a:satOff val="-34782"/>
            <a:lumOff val="3921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solidFill>
              <a:sysClr val="window" lastClr="FFFFFF"/>
            </a:solidFill>
            <a:latin typeface="Arial"/>
            <a:ea typeface="+mn-ea"/>
            <a:cs typeface="+mn-cs"/>
          </a:endParaRPr>
        </a:p>
      </dsp:txBody>
      <dsp:txXfrm>
        <a:off x="1948234" y="866531"/>
        <a:ext cx="216033" cy="2349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F9DDC-876B-4E9F-908A-8968D7FC6A90}">
      <dsp:nvSpPr>
        <dsp:cNvPr id="0" name=""/>
        <dsp:cNvSpPr/>
      </dsp:nvSpPr>
      <dsp:spPr>
        <a:xfrm>
          <a:off x="3455652" y="2768603"/>
          <a:ext cx="2030747" cy="1315463"/>
        </a:xfrm>
        <a:prstGeom prst="roundRect">
          <a:avLst>
            <a:gd name="adj" fmla="val 10000"/>
          </a:avLst>
        </a:prstGeom>
        <a:noFill/>
        <a:ln w="25400" cap="flat" cmpd="sng" algn="ctr">
          <a:solidFill>
            <a:srgbClr val="4F2D7D">
              <a:hueOff val="-2890833"/>
              <a:satOff val="35293"/>
              <a:lumOff val="326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endParaRPr lang="en-AU" sz="800" kern="1200">
            <a:solidFill>
              <a:sysClr val="windowText" lastClr="000000">
                <a:hueOff val="0"/>
                <a:satOff val="0"/>
                <a:lumOff val="0"/>
                <a:alphaOff val="0"/>
              </a:sysClr>
            </a:solidFill>
            <a:latin typeface="Arial"/>
            <a:ea typeface="+mn-ea"/>
            <a:cs typeface="+mn-cs"/>
          </a:endParaRP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Partnerships e.g. developing the AER’s sustainable payment plans framework</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Build capacity to facilitate enhanced participation</a:t>
          </a:r>
        </a:p>
      </dsp:txBody>
      <dsp:txXfrm>
        <a:off x="4093773" y="3126365"/>
        <a:ext cx="1363730" cy="928805"/>
      </dsp:txXfrm>
    </dsp:sp>
    <dsp:sp modelId="{71C0855B-7621-4C52-8F67-9107087A4431}">
      <dsp:nvSpPr>
        <dsp:cNvPr id="0" name=""/>
        <dsp:cNvSpPr/>
      </dsp:nvSpPr>
      <dsp:spPr>
        <a:xfrm>
          <a:off x="0" y="279536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4336250"/>
              <a:satOff val="52940"/>
              <a:lumOff val="490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Workshops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Consumer Consultative Group</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Consumer Challenge Panel</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Other advisory committees or groups (e.g. Consumer Reference Group)</a:t>
          </a:r>
        </a:p>
      </dsp:txBody>
      <dsp:txXfrm>
        <a:off x="28896" y="3153122"/>
        <a:ext cx="1363730" cy="928805"/>
      </dsp:txXfrm>
    </dsp:sp>
    <dsp:sp modelId="{96F3D30B-852E-420F-A136-8940355D4545}">
      <dsp:nvSpPr>
        <dsp:cNvPr id="0" name=""/>
        <dsp:cNvSpPr/>
      </dsp:nvSpPr>
      <dsp:spPr>
        <a:xfrm>
          <a:off x="3455652"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1445417"/>
              <a:satOff val="17647"/>
              <a:lumOff val="163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Consultation documents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Forums, meetings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Public analysis and advice</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Surveys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Focus groups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Webinars, other online forums</a:t>
          </a:r>
        </a:p>
      </dsp:txBody>
      <dsp:txXfrm>
        <a:off x="4093773" y="28896"/>
        <a:ext cx="1363730" cy="928805"/>
      </dsp:txXfrm>
    </dsp:sp>
    <dsp:sp modelId="{FC957A06-4BE8-4914-883E-A3CDDBF53E01}">
      <dsp:nvSpPr>
        <dsp:cNvPr id="0" name=""/>
        <dsp:cNvSpPr/>
      </dsp:nvSpPr>
      <dsp:spPr>
        <a:xfrm>
          <a:off x="0" y="0"/>
          <a:ext cx="2030747" cy="1315463"/>
        </a:xfrm>
        <a:prstGeom prst="roundRect">
          <a:avLst>
            <a:gd name="adj" fmla="val 10000"/>
          </a:avLst>
        </a:prstGeom>
        <a:solidFill>
          <a:sysClr val="window" lastClr="FFFFFF">
            <a:alpha val="90000"/>
            <a:hueOff val="0"/>
            <a:satOff val="0"/>
            <a:lumOff val="0"/>
            <a:alphaOff val="0"/>
          </a:sysClr>
        </a:solidFill>
        <a:ln w="25400" cap="flat" cmpd="sng" algn="ctr">
          <a:solidFill>
            <a:srgbClr val="4F2D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Fact sheets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Email alerts, newsletters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Media releases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Project web pages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Reports, submissions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a:ea typeface="+mn-ea"/>
              <a:cs typeface="+mn-cs"/>
            </a:rPr>
            <a:t>Corporate documents (State of the Energy Market, annual report, Statement of Intent)</a:t>
          </a:r>
        </a:p>
      </dsp:txBody>
      <dsp:txXfrm>
        <a:off x="28896" y="28896"/>
        <a:ext cx="1363730" cy="928805"/>
      </dsp:txXfrm>
    </dsp:sp>
    <dsp:sp modelId="{CA7F4CC5-E3AE-4AA1-9083-080C406EB2C6}">
      <dsp:nvSpPr>
        <dsp:cNvPr id="0" name=""/>
        <dsp:cNvSpPr/>
      </dsp:nvSpPr>
      <dsp:spPr>
        <a:xfrm>
          <a:off x="922104" y="234316"/>
          <a:ext cx="1779986" cy="1779986"/>
        </a:xfrm>
        <a:prstGeom prst="pieWedge">
          <a:avLst/>
        </a:prstGeom>
        <a:solidFill>
          <a:srgbClr val="4F2D7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will </a:t>
          </a:r>
          <a:r>
            <a:rPr lang="en-AU" sz="800" b="1" kern="1200">
              <a:solidFill>
                <a:sysClr val="window" lastClr="FFFFFF"/>
              </a:solidFill>
              <a:latin typeface="Arial"/>
              <a:ea typeface="+mn-ea"/>
              <a:cs typeface="+mn-cs"/>
            </a:rPr>
            <a:t>provide information</a:t>
          </a:r>
          <a:r>
            <a:rPr lang="en-AU" sz="800" kern="1200">
              <a:solidFill>
                <a:sysClr val="window" lastClr="FFFFFF"/>
              </a:solidFill>
              <a:latin typeface="Arial"/>
              <a:ea typeface="+mn-ea"/>
              <a:cs typeface="+mn-cs"/>
            </a:rPr>
            <a:t> to build understanding and keep you informed</a:t>
          </a:r>
        </a:p>
      </dsp:txBody>
      <dsp:txXfrm>
        <a:off x="1443450" y="755662"/>
        <a:ext cx="1258640" cy="1258640"/>
      </dsp:txXfrm>
    </dsp:sp>
    <dsp:sp modelId="{374D779C-9347-4551-950E-FD38B00C28AF}">
      <dsp:nvSpPr>
        <dsp:cNvPr id="0" name=""/>
        <dsp:cNvSpPr/>
      </dsp:nvSpPr>
      <dsp:spPr>
        <a:xfrm rot="5400000">
          <a:off x="2784308" y="234316"/>
          <a:ext cx="1779986" cy="1779986"/>
        </a:xfrm>
        <a:prstGeom prst="pieWedge">
          <a:avLst/>
        </a:prstGeom>
        <a:solidFill>
          <a:srgbClr val="4F2D7D">
            <a:hueOff val="-1445417"/>
            <a:satOff val="17647"/>
            <a:lumOff val="163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i="0" kern="1200">
              <a:solidFill>
                <a:sysClr val="window" lastClr="FFFFFF"/>
              </a:solidFill>
              <a:latin typeface="Arial"/>
              <a:ea typeface="+mn-ea"/>
              <a:cs typeface="+mn-cs"/>
            </a:rPr>
            <a:t>We will </a:t>
          </a:r>
          <a:r>
            <a:rPr lang="en-AU" sz="800" b="1" i="0" kern="1200">
              <a:solidFill>
                <a:sysClr val="window" lastClr="FFFFFF"/>
              </a:solidFill>
              <a:latin typeface="Arial"/>
              <a:ea typeface="+mn-ea"/>
              <a:cs typeface="+mn-cs"/>
            </a:rPr>
            <a:t>seek your views and provide feedback </a:t>
          </a:r>
          <a:r>
            <a:rPr lang="en-AU" sz="800" i="0" kern="1200">
              <a:solidFill>
                <a:sysClr val="window" lastClr="FFFFFF"/>
              </a:solidFill>
              <a:latin typeface="Arial"/>
              <a:ea typeface="+mn-ea"/>
              <a:cs typeface="+mn-cs"/>
            </a:rPr>
            <a:t>on how your input informed our decision</a:t>
          </a:r>
        </a:p>
      </dsp:txBody>
      <dsp:txXfrm rot="-5400000">
        <a:off x="2784308" y="755662"/>
        <a:ext cx="1258640" cy="1258640"/>
      </dsp:txXfrm>
    </dsp:sp>
    <dsp:sp modelId="{54CB393E-C28B-4246-AFC3-59813609E673}">
      <dsp:nvSpPr>
        <dsp:cNvPr id="0" name=""/>
        <dsp:cNvSpPr/>
      </dsp:nvSpPr>
      <dsp:spPr>
        <a:xfrm rot="10800000">
          <a:off x="2784308" y="2096520"/>
          <a:ext cx="1779986" cy="1779986"/>
        </a:xfrm>
        <a:prstGeom prst="pieWedge">
          <a:avLst/>
        </a:prstGeom>
        <a:solidFill>
          <a:srgbClr val="4F2D7D">
            <a:hueOff val="-2890833"/>
            <a:satOff val="35293"/>
            <a:lumOff val="326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i="0" kern="1200">
              <a:solidFill>
                <a:sysClr val="window" lastClr="FFFFFF"/>
              </a:solidFill>
              <a:latin typeface="Arial"/>
              <a:ea typeface="+mn-ea"/>
              <a:cs typeface="+mn-cs"/>
            </a:rPr>
            <a:t>We will </a:t>
          </a:r>
          <a:r>
            <a:rPr lang="en-AU" sz="800" b="1" i="0" kern="1200">
              <a:solidFill>
                <a:sysClr val="window" lastClr="FFFFFF"/>
              </a:solidFill>
              <a:latin typeface="Arial"/>
              <a:ea typeface="+mn-ea"/>
              <a:cs typeface="+mn-cs"/>
            </a:rPr>
            <a:t>partner with you </a:t>
          </a:r>
          <a:r>
            <a:rPr lang="en-AU" sz="800" i="0" kern="1200">
              <a:solidFill>
                <a:sysClr val="window" lastClr="FFFFFF"/>
              </a:solidFill>
              <a:latin typeface="Arial"/>
              <a:ea typeface="+mn-ea"/>
              <a:cs typeface="+mn-cs"/>
            </a:rPr>
            <a:t>for advice and innovation in developing solutions and recommendations and incorporate this into the decision</a:t>
          </a:r>
        </a:p>
      </dsp:txBody>
      <dsp:txXfrm rot="10800000">
        <a:off x="2784308" y="2096520"/>
        <a:ext cx="1258640" cy="1258640"/>
      </dsp:txXfrm>
    </dsp:sp>
    <dsp:sp modelId="{4D277672-FFE2-463C-8873-6192FF0A16E3}">
      <dsp:nvSpPr>
        <dsp:cNvPr id="0" name=""/>
        <dsp:cNvSpPr/>
      </dsp:nvSpPr>
      <dsp:spPr>
        <a:xfrm rot="16200000">
          <a:off x="922104" y="2096520"/>
          <a:ext cx="1779986" cy="1779986"/>
        </a:xfrm>
        <a:prstGeom prst="pieWedge">
          <a:avLst/>
        </a:prstGeom>
        <a:solidFill>
          <a:srgbClr val="4F2D7D">
            <a:hueOff val="-4336250"/>
            <a:satOff val="52940"/>
            <a:lumOff val="4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en-AU" sz="800" i="0" kern="1200">
            <a:solidFill>
              <a:sysClr val="window" lastClr="FFFFFF"/>
            </a:solidFill>
            <a:latin typeface="Arial"/>
            <a:ea typeface="+mn-ea"/>
            <a:cs typeface="+mn-cs"/>
          </a:endParaRPr>
        </a:p>
        <a:p>
          <a:pPr lvl="0" algn="ctr" defTabSz="355600">
            <a:lnSpc>
              <a:spcPct val="90000"/>
            </a:lnSpc>
            <a:spcBef>
              <a:spcPct val="0"/>
            </a:spcBef>
            <a:spcAft>
              <a:spcPct val="35000"/>
            </a:spcAft>
          </a:pPr>
          <a:r>
            <a:rPr lang="en-AU" sz="800" i="0" kern="1200">
              <a:solidFill>
                <a:sysClr val="window" lastClr="FFFFFF"/>
              </a:solidFill>
              <a:latin typeface="Arial"/>
              <a:ea typeface="+mn-ea"/>
              <a:cs typeface="+mn-cs"/>
            </a:rPr>
            <a:t>We will </a:t>
          </a:r>
          <a:r>
            <a:rPr lang="en-AU" sz="800" b="1" i="0" kern="1200">
              <a:solidFill>
                <a:sysClr val="window" lastClr="FFFFFF"/>
              </a:solidFill>
              <a:latin typeface="Arial"/>
              <a:ea typeface="+mn-ea"/>
              <a:cs typeface="+mn-cs"/>
            </a:rPr>
            <a:t>work with you </a:t>
          </a:r>
          <a:r>
            <a:rPr lang="en-AU" sz="800" i="0" kern="1200">
              <a:solidFill>
                <a:sysClr val="window" lastClr="FFFFFF"/>
              </a:solidFill>
              <a:latin typeface="Arial"/>
              <a:ea typeface="+mn-ea"/>
              <a:cs typeface="+mn-cs"/>
            </a:rPr>
            <a:t>to reflect your views in the options, solutions and approaches developed and provide feedback on how this influenced our decision</a:t>
          </a:r>
        </a:p>
      </dsp:txBody>
      <dsp:txXfrm rot="5400000">
        <a:off x="1443450" y="2096520"/>
        <a:ext cx="1258640" cy="1258640"/>
      </dsp:txXfrm>
    </dsp:sp>
    <dsp:sp modelId="{5F4A0067-8814-4FF5-92D0-36DD7A2CCC2F}">
      <dsp:nvSpPr>
        <dsp:cNvPr id="0" name=""/>
        <dsp:cNvSpPr/>
      </dsp:nvSpPr>
      <dsp:spPr>
        <a:xfrm>
          <a:off x="2435915" y="1932168"/>
          <a:ext cx="614568" cy="199975"/>
        </a:xfrm>
        <a:prstGeom prst="ellipse">
          <a:avLst/>
        </a:prstGeom>
        <a:solidFill>
          <a:srgbClr val="4F2D7D">
            <a:tint val="4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2074CCA-84E4-4390-80FB-6CBEF54E9AF6}">
      <dsp:nvSpPr>
        <dsp:cNvPr id="0" name=""/>
        <dsp:cNvSpPr/>
      </dsp:nvSpPr>
      <dsp:spPr>
        <a:xfrm rot="10800000">
          <a:off x="2107097" y="1787614"/>
          <a:ext cx="1272205" cy="534407"/>
        </a:xfrm>
        <a:prstGeom prst="rect">
          <a:avLst/>
        </a:prstGeom>
        <a:solidFill>
          <a:srgbClr val="4F2D7D">
            <a:tint val="4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E1B53-6CAD-4745-8D7E-0AC0974F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824B2027</Template>
  <TotalTime>0</TotalTime>
  <Pages>29</Pages>
  <Words>9445</Words>
  <Characters>53842</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2017-06-26T00:15:00Z</dcterms:created>
  <dcterms:modified xsi:type="dcterms:W3CDTF">2017-06-26T00:15:00Z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