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E3" w:rsidRPr="008836E3" w:rsidRDefault="009177E3" w:rsidP="009177E3">
      <w:pPr>
        <w:pStyle w:val="AERbodytextleftalign"/>
        <w:rPr>
          <w:rStyle w:val="AERbody"/>
        </w:rPr>
      </w:pPr>
      <w:r>
        <w:rPr>
          <w:rFonts w:ascii="Arial" w:hAnsi="Arial"/>
          <w:noProof/>
          <w:sz w:val="22"/>
          <w:lang w:eastAsia="en-AU"/>
        </w:rPr>
        <w:drawing>
          <wp:anchor distT="0" distB="0" distL="114300" distR="114300" simplePos="0" relativeHeight="251658240" behindDoc="1" locked="0" layoutInCell="1" allowOverlap="1">
            <wp:simplePos x="0" y="0"/>
            <wp:positionH relativeFrom="column">
              <wp:posOffset>-1110616</wp:posOffset>
            </wp:positionH>
            <wp:positionV relativeFrom="paragraph">
              <wp:posOffset>-933450</wp:posOffset>
            </wp:positionV>
            <wp:extent cx="7589265" cy="10725150"/>
            <wp:effectExtent l="0" t="0" r="0" b="0"/>
            <wp:wrapNone/>
            <wp:docPr id="1" name="Picture 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Report 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194" cy="10727877"/>
                    </a:xfrm>
                    <a:prstGeom prst="rect">
                      <a:avLst/>
                    </a:prstGeom>
                    <a:noFill/>
                  </pic:spPr>
                </pic:pic>
              </a:graphicData>
            </a:graphic>
            <wp14:sizeRelH relativeFrom="page">
              <wp14:pctWidth>0</wp14:pctWidth>
            </wp14:sizeRelH>
            <wp14:sizeRelV relativeFrom="page">
              <wp14:pctHeight>0</wp14:pctHeight>
            </wp14:sizeRelV>
          </wp:anchor>
        </w:drawing>
      </w:r>
    </w:p>
    <w:p w:rsidR="009177E3" w:rsidRPr="00290C63" w:rsidRDefault="009177E3" w:rsidP="009177E3">
      <w:pPr>
        <w:pStyle w:val="AERbodytextcentre"/>
      </w:pPr>
    </w:p>
    <w:p w:rsidR="009177E3" w:rsidRDefault="009177E3" w:rsidP="009177E3">
      <w:pPr>
        <w:pStyle w:val="AERbodytextcentre"/>
      </w:pPr>
    </w:p>
    <w:p w:rsidR="009177E3" w:rsidRDefault="009177E3" w:rsidP="009177E3">
      <w:pPr>
        <w:pStyle w:val="AERbodytextcentre"/>
      </w:pPr>
    </w:p>
    <w:p w:rsidR="009177E3" w:rsidRDefault="009177E3" w:rsidP="009177E3"/>
    <w:p w:rsidR="009177E3" w:rsidRDefault="009177E3" w:rsidP="009177E3"/>
    <w:p w:rsidR="009177E3" w:rsidRDefault="009177E3" w:rsidP="009177E3"/>
    <w:p w:rsidR="009177E3" w:rsidRDefault="009177E3" w:rsidP="009177E3">
      <w:pPr>
        <w:pStyle w:val="ReportDate"/>
      </w:pPr>
      <w:r>
        <w:tab/>
      </w:r>
    </w:p>
    <w:p w:rsidR="009177E3" w:rsidRDefault="009177E3" w:rsidP="009177E3">
      <w:pPr>
        <w:pStyle w:val="ReportSubtitle"/>
      </w:pPr>
      <w:r>
        <w:t>Consultation paper</w:t>
      </w:r>
    </w:p>
    <w:p w:rsidR="009177E3" w:rsidRDefault="009177E3" w:rsidP="009177E3">
      <w:pPr>
        <w:pStyle w:val="ReportSubtitle"/>
      </w:pPr>
      <w:r>
        <w:t>Process for reviewing the rate of return guide</w:t>
      </w:r>
      <w:r w:rsidR="00A51112">
        <w:t>lines</w:t>
      </w:r>
    </w:p>
    <w:p w:rsidR="009177E3" w:rsidRDefault="009177E3" w:rsidP="009177E3">
      <w:pPr>
        <w:pStyle w:val="ReportDate"/>
      </w:pPr>
    </w:p>
    <w:p w:rsidR="009177E3" w:rsidRDefault="009177E3" w:rsidP="009177E3">
      <w:pPr>
        <w:pStyle w:val="ReportDate"/>
      </w:pPr>
    </w:p>
    <w:p w:rsidR="009177E3" w:rsidRDefault="009177E3" w:rsidP="009177E3">
      <w:pPr>
        <w:pStyle w:val="ReportDate"/>
      </w:pPr>
    </w:p>
    <w:p w:rsidR="009177E3" w:rsidRPr="00327A1E" w:rsidRDefault="009177E3" w:rsidP="009177E3">
      <w:pPr>
        <w:pStyle w:val="ReportDate"/>
      </w:pPr>
      <w:r>
        <w:t>July 2017</w:t>
      </w:r>
    </w:p>
    <w:p w:rsidR="009177E3" w:rsidRPr="00290C63" w:rsidRDefault="009177E3" w:rsidP="009177E3">
      <w:r>
        <w:br w:type="page"/>
      </w:r>
    </w:p>
    <w:p w:rsidR="009177E3" w:rsidRPr="009177E3" w:rsidRDefault="009177E3" w:rsidP="009177E3">
      <w:r w:rsidRPr="009177E3">
        <w:lastRenderedPageBreak/>
        <w:t>© Commonwealth of Australia 2017</w:t>
      </w:r>
    </w:p>
    <w:p w:rsidR="009177E3" w:rsidRPr="009177E3" w:rsidRDefault="009177E3" w:rsidP="009177E3">
      <w:r w:rsidRPr="009177E3">
        <w:t>This work is copyright. In addition to any use permitted under the Copyright Act 1968, all material contained within this work is provided under a Creative Commons Attributions 3.0 Australia licence, with the exception of:</w:t>
      </w:r>
    </w:p>
    <w:p w:rsidR="009177E3" w:rsidRPr="009177E3" w:rsidRDefault="009177E3" w:rsidP="009177E3">
      <w:pPr>
        <w:pStyle w:val="AERbulletlistfirststyle"/>
      </w:pPr>
      <w:r w:rsidRPr="009177E3">
        <w:t>the Commonwealth Coat of Arms</w:t>
      </w:r>
    </w:p>
    <w:p w:rsidR="009177E3" w:rsidRPr="009177E3" w:rsidRDefault="009177E3" w:rsidP="009177E3">
      <w:pPr>
        <w:pStyle w:val="AERbulletlistfirststyle"/>
      </w:pPr>
      <w:r w:rsidRPr="009177E3">
        <w:t>the ACCC and AER logos</w:t>
      </w:r>
    </w:p>
    <w:p w:rsidR="009177E3" w:rsidRPr="009177E3" w:rsidRDefault="009177E3" w:rsidP="009177E3">
      <w:pPr>
        <w:pStyle w:val="AERbulletlistfirststyle"/>
      </w:pPr>
      <w:r w:rsidRPr="009177E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177E3" w:rsidRPr="009177E3" w:rsidRDefault="009177E3" w:rsidP="009177E3">
      <w:r w:rsidRPr="009177E3">
        <w:t>Requests and inquiries concerning reproduction and rights should be addressed to the:</w:t>
      </w:r>
    </w:p>
    <w:p w:rsidR="009177E3" w:rsidRPr="009177E3" w:rsidRDefault="009177E3" w:rsidP="009177E3">
      <w:r w:rsidRPr="009177E3">
        <w:t>Director, Corporate Communications</w:t>
      </w:r>
      <w:r w:rsidRPr="009177E3">
        <w:br/>
        <w:t xml:space="preserve">Australian Competition and Consumer Commission </w:t>
      </w:r>
      <w:r w:rsidRPr="009177E3">
        <w:br/>
        <w:t>GPO Box 4141, Canberra ACT 2601</w:t>
      </w:r>
    </w:p>
    <w:p w:rsidR="009177E3" w:rsidRPr="009177E3" w:rsidRDefault="009177E3" w:rsidP="009177E3">
      <w:proofErr w:type="gramStart"/>
      <w:r w:rsidRPr="009177E3">
        <w:t>or</w:t>
      </w:r>
      <w:proofErr w:type="gramEnd"/>
      <w:r w:rsidRPr="009177E3">
        <w:t xml:space="preserve"> </w:t>
      </w:r>
      <w:hyperlink r:id="rId11" w:history="1">
        <w:r w:rsidRPr="009177E3">
          <w:rPr>
            <w:rStyle w:val="Hyperlink"/>
          </w:rPr>
          <w:t>publishing.unit@accc.gov.au</w:t>
        </w:r>
      </w:hyperlink>
      <w:r w:rsidRPr="009177E3">
        <w:t>.</w:t>
      </w:r>
    </w:p>
    <w:p w:rsidR="009177E3" w:rsidRPr="009177E3" w:rsidRDefault="009177E3" w:rsidP="009177E3">
      <w:r w:rsidRPr="009177E3">
        <w:t>Inquiries about this publication should be addressed to:</w:t>
      </w:r>
    </w:p>
    <w:p w:rsidR="009177E3" w:rsidRPr="009177E3" w:rsidRDefault="009177E3" w:rsidP="009177E3">
      <w:r w:rsidRPr="009177E3">
        <w:t>Australian Energy Regulator</w:t>
      </w:r>
      <w:r w:rsidRPr="009177E3">
        <w:br/>
        <w:t>GPO Box 520</w:t>
      </w:r>
      <w:r w:rsidRPr="009177E3">
        <w:br/>
        <w:t>Melbourne Vic 3001</w:t>
      </w:r>
    </w:p>
    <w:p w:rsidR="009177E3" w:rsidRPr="009177E3" w:rsidRDefault="009177E3" w:rsidP="009177E3">
      <w:r w:rsidRPr="009177E3">
        <w:t>Tel: (03) 9290 1444</w:t>
      </w:r>
      <w:r w:rsidRPr="009177E3">
        <w:br/>
        <w:t>Fax: (03) 9290 1457</w:t>
      </w:r>
    </w:p>
    <w:p w:rsidR="009177E3" w:rsidRPr="009177E3" w:rsidRDefault="009177E3" w:rsidP="009177E3">
      <w:r w:rsidRPr="009177E3">
        <w:t xml:space="preserve">Email: </w:t>
      </w:r>
      <w:hyperlink r:id="rId12" w:history="1">
        <w:r w:rsidR="00AE4355" w:rsidRPr="007E4578">
          <w:rPr>
            <w:rStyle w:val="Hyperlink"/>
          </w:rPr>
          <w:t>rateofreturn@aer.gov.au</w:t>
        </w:r>
      </w:hyperlink>
      <w:r w:rsidRPr="009177E3">
        <w:rPr>
          <w:rStyle w:val="Hyperlink"/>
        </w:rPr>
        <w:br/>
      </w:r>
    </w:p>
    <w:p w:rsidR="009177E3" w:rsidRDefault="009177E3" w:rsidP="009177E3"/>
    <w:p w:rsidR="009177E3" w:rsidRDefault="009177E3" w:rsidP="009177E3">
      <w:r>
        <w:br w:type="page"/>
      </w:r>
    </w:p>
    <w:p w:rsidR="009177E3" w:rsidRPr="00A72B34" w:rsidRDefault="009177E3" w:rsidP="009177E3">
      <w:pPr>
        <w:pStyle w:val="TOCHeading"/>
      </w:pPr>
      <w:bookmarkStart w:id="0" w:name="_Toc403144133"/>
      <w:bookmarkStart w:id="1" w:name="_Toc432083534"/>
      <w:bookmarkStart w:id="2" w:name="_Toc433787709"/>
      <w:r>
        <w:lastRenderedPageBreak/>
        <w:t>Contents</w:t>
      </w:r>
      <w:bookmarkEnd w:id="0"/>
    </w:p>
    <w:p w:rsidR="00025737" w:rsidRDefault="009177E3">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9275594" w:history="1"/>
    </w:p>
    <w:p w:rsidR="00025737" w:rsidRDefault="00025737">
      <w:pPr>
        <w:pStyle w:val="TOC1"/>
        <w:rPr>
          <w:rFonts w:asciiTheme="minorHAnsi" w:eastAsiaTheme="minorEastAsia" w:hAnsiTheme="minorHAnsi"/>
          <w:b w:val="0"/>
          <w:color w:val="auto"/>
          <w:sz w:val="22"/>
          <w:lang w:val="en-AU" w:eastAsia="en-AU"/>
        </w:rPr>
      </w:pPr>
      <w:hyperlink w:anchor="_Toc489275595" w:history="1">
        <w:r w:rsidRPr="00F62B8E">
          <w:rPr>
            <w:rStyle w:val="Hyperlink"/>
          </w:rPr>
          <w:t>1</w:t>
        </w:r>
        <w:r>
          <w:rPr>
            <w:rFonts w:asciiTheme="minorHAnsi" w:eastAsiaTheme="minorEastAsia" w:hAnsiTheme="minorHAnsi"/>
            <w:b w:val="0"/>
            <w:color w:val="auto"/>
            <w:sz w:val="22"/>
            <w:lang w:val="en-AU" w:eastAsia="en-AU"/>
          </w:rPr>
          <w:tab/>
        </w:r>
        <w:r w:rsidRPr="00F62B8E">
          <w:rPr>
            <w:rStyle w:val="Hyperlink"/>
          </w:rPr>
          <w:t>About this consultation</w:t>
        </w:r>
        <w:r>
          <w:rPr>
            <w:webHidden/>
          </w:rPr>
          <w:tab/>
        </w:r>
        <w:r>
          <w:rPr>
            <w:webHidden/>
          </w:rPr>
          <w:fldChar w:fldCharType="begin"/>
        </w:r>
        <w:r>
          <w:rPr>
            <w:webHidden/>
          </w:rPr>
          <w:instrText xml:space="preserve"> PAGEREF _Toc489275595 \h </w:instrText>
        </w:r>
        <w:r>
          <w:rPr>
            <w:webHidden/>
          </w:rPr>
        </w:r>
        <w:r>
          <w:rPr>
            <w:webHidden/>
          </w:rPr>
          <w:fldChar w:fldCharType="separate"/>
        </w:r>
        <w:r>
          <w:rPr>
            <w:webHidden/>
          </w:rPr>
          <w:t>5</w:t>
        </w:r>
        <w:r>
          <w:rPr>
            <w:webHidden/>
          </w:rPr>
          <w:fldChar w:fldCharType="end"/>
        </w:r>
      </w:hyperlink>
    </w:p>
    <w:p w:rsidR="00025737" w:rsidRDefault="00025737">
      <w:pPr>
        <w:pStyle w:val="TOC2"/>
        <w:rPr>
          <w:rFonts w:asciiTheme="minorHAnsi" w:eastAsiaTheme="minorEastAsia" w:hAnsiTheme="minorHAnsi"/>
          <w:b w:val="0"/>
          <w:color w:val="auto"/>
          <w:sz w:val="22"/>
          <w:lang w:eastAsia="en-AU"/>
        </w:rPr>
      </w:pPr>
      <w:hyperlink w:anchor="_Toc489275596" w:history="1">
        <w:r w:rsidRPr="00F62B8E">
          <w:rPr>
            <w:rStyle w:val="Hyperlink"/>
          </w:rPr>
          <w:t>1.1</w:t>
        </w:r>
        <w:r>
          <w:rPr>
            <w:rFonts w:asciiTheme="minorHAnsi" w:eastAsiaTheme="minorEastAsia" w:hAnsiTheme="minorHAnsi"/>
            <w:b w:val="0"/>
            <w:color w:val="auto"/>
            <w:sz w:val="22"/>
            <w:lang w:eastAsia="en-AU"/>
          </w:rPr>
          <w:tab/>
        </w:r>
        <w:r w:rsidRPr="00F62B8E">
          <w:rPr>
            <w:rStyle w:val="Hyperlink"/>
          </w:rPr>
          <w:t>How to make a submission</w:t>
        </w:r>
        <w:r>
          <w:rPr>
            <w:webHidden/>
          </w:rPr>
          <w:tab/>
        </w:r>
        <w:r>
          <w:rPr>
            <w:webHidden/>
          </w:rPr>
          <w:fldChar w:fldCharType="begin"/>
        </w:r>
        <w:r>
          <w:rPr>
            <w:webHidden/>
          </w:rPr>
          <w:instrText xml:space="preserve"> PAGEREF _Toc489275596 \h </w:instrText>
        </w:r>
        <w:r>
          <w:rPr>
            <w:webHidden/>
          </w:rPr>
        </w:r>
        <w:r>
          <w:rPr>
            <w:webHidden/>
          </w:rPr>
          <w:fldChar w:fldCharType="separate"/>
        </w:r>
        <w:r>
          <w:rPr>
            <w:webHidden/>
          </w:rPr>
          <w:t>5</w:t>
        </w:r>
        <w:r>
          <w:rPr>
            <w:webHidden/>
          </w:rPr>
          <w:fldChar w:fldCharType="end"/>
        </w:r>
      </w:hyperlink>
    </w:p>
    <w:p w:rsidR="00025737" w:rsidRDefault="00025737">
      <w:pPr>
        <w:pStyle w:val="TOC1"/>
        <w:rPr>
          <w:rFonts w:asciiTheme="minorHAnsi" w:eastAsiaTheme="minorEastAsia" w:hAnsiTheme="minorHAnsi"/>
          <w:b w:val="0"/>
          <w:color w:val="auto"/>
          <w:sz w:val="22"/>
          <w:lang w:val="en-AU" w:eastAsia="en-AU"/>
        </w:rPr>
      </w:pPr>
      <w:hyperlink w:anchor="_Toc489275597" w:history="1">
        <w:r w:rsidRPr="00F62B8E">
          <w:rPr>
            <w:rStyle w:val="Hyperlink"/>
          </w:rPr>
          <w:t>2</w:t>
        </w:r>
        <w:r>
          <w:rPr>
            <w:rFonts w:asciiTheme="minorHAnsi" w:eastAsiaTheme="minorEastAsia" w:hAnsiTheme="minorHAnsi"/>
            <w:b w:val="0"/>
            <w:color w:val="auto"/>
            <w:sz w:val="22"/>
            <w:lang w:val="en-AU" w:eastAsia="en-AU"/>
          </w:rPr>
          <w:tab/>
        </w:r>
        <w:r w:rsidRPr="00F62B8E">
          <w:rPr>
            <w:rStyle w:val="Hyperlink"/>
          </w:rPr>
          <w:t>Overview</w:t>
        </w:r>
        <w:r>
          <w:rPr>
            <w:webHidden/>
          </w:rPr>
          <w:tab/>
        </w:r>
        <w:r>
          <w:rPr>
            <w:webHidden/>
          </w:rPr>
          <w:fldChar w:fldCharType="begin"/>
        </w:r>
        <w:r>
          <w:rPr>
            <w:webHidden/>
          </w:rPr>
          <w:instrText xml:space="preserve"> PAGEREF _Toc489275597 \h </w:instrText>
        </w:r>
        <w:r>
          <w:rPr>
            <w:webHidden/>
          </w:rPr>
        </w:r>
        <w:r>
          <w:rPr>
            <w:webHidden/>
          </w:rPr>
          <w:fldChar w:fldCharType="separate"/>
        </w:r>
        <w:r>
          <w:rPr>
            <w:webHidden/>
          </w:rPr>
          <w:t>6</w:t>
        </w:r>
        <w:r>
          <w:rPr>
            <w:webHidden/>
          </w:rPr>
          <w:fldChar w:fldCharType="end"/>
        </w:r>
      </w:hyperlink>
    </w:p>
    <w:p w:rsidR="00025737" w:rsidRDefault="00025737">
      <w:pPr>
        <w:pStyle w:val="TOC2"/>
        <w:rPr>
          <w:rFonts w:asciiTheme="minorHAnsi" w:eastAsiaTheme="minorEastAsia" w:hAnsiTheme="minorHAnsi"/>
          <w:b w:val="0"/>
          <w:color w:val="auto"/>
          <w:sz w:val="22"/>
          <w:lang w:eastAsia="en-AU"/>
        </w:rPr>
      </w:pPr>
      <w:hyperlink w:anchor="_Toc489275598" w:history="1">
        <w:r w:rsidRPr="00F62B8E">
          <w:rPr>
            <w:rStyle w:val="Hyperlink"/>
          </w:rPr>
          <w:t>2.1</w:t>
        </w:r>
        <w:r>
          <w:rPr>
            <w:rFonts w:asciiTheme="minorHAnsi" w:eastAsiaTheme="minorEastAsia" w:hAnsiTheme="minorHAnsi"/>
            <w:b w:val="0"/>
            <w:color w:val="auto"/>
            <w:sz w:val="22"/>
            <w:lang w:eastAsia="en-AU"/>
          </w:rPr>
          <w:tab/>
        </w:r>
        <w:r w:rsidRPr="00F62B8E">
          <w:rPr>
            <w:rStyle w:val="Hyperlink"/>
          </w:rPr>
          <w:t>About the rate of return guidelines review</w:t>
        </w:r>
        <w:r>
          <w:rPr>
            <w:webHidden/>
          </w:rPr>
          <w:tab/>
        </w:r>
        <w:r>
          <w:rPr>
            <w:webHidden/>
          </w:rPr>
          <w:fldChar w:fldCharType="begin"/>
        </w:r>
        <w:r>
          <w:rPr>
            <w:webHidden/>
          </w:rPr>
          <w:instrText xml:space="preserve"> PAGEREF _Toc489275598 \h </w:instrText>
        </w:r>
        <w:r>
          <w:rPr>
            <w:webHidden/>
          </w:rPr>
        </w:r>
        <w:r>
          <w:rPr>
            <w:webHidden/>
          </w:rPr>
          <w:fldChar w:fldCharType="separate"/>
        </w:r>
        <w:r>
          <w:rPr>
            <w:webHidden/>
          </w:rPr>
          <w:t>6</w:t>
        </w:r>
        <w:r>
          <w:rPr>
            <w:webHidden/>
          </w:rPr>
          <w:fldChar w:fldCharType="end"/>
        </w:r>
      </w:hyperlink>
    </w:p>
    <w:p w:rsidR="00025737" w:rsidRDefault="00025737">
      <w:pPr>
        <w:pStyle w:val="TOC2"/>
        <w:rPr>
          <w:rFonts w:asciiTheme="minorHAnsi" w:eastAsiaTheme="minorEastAsia" w:hAnsiTheme="minorHAnsi"/>
          <w:b w:val="0"/>
          <w:color w:val="auto"/>
          <w:sz w:val="22"/>
          <w:lang w:eastAsia="en-AU"/>
        </w:rPr>
      </w:pPr>
      <w:hyperlink w:anchor="_Toc489275599" w:history="1">
        <w:r w:rsidRPr="00F62B8E">
          <w:rPr>
            <w:rStyle w:val="Hyperlink"/>
          </w:rPr>
          <w:t>2.2</w:t>
        </w:r>
        <w:r>
          <w:rPr>
            <w:rFonts w:asciiTheme="minorHAnsi" w:eastAsiaTheme="minorEastAsia" w:hAnsiTheme="minorHAnsi"/>
            <w:b w:val="0"/>
            <w:color w:val="auto"/>
            <w:sz w:val="22"/>
            <w:lang w:eastAsia="en-AU"/>
          </w:rPr>
          <w:tab/>
        </w:r>
        <w:r w:rsidRPr="00F62B8E">
          <w:rPr>
            <w:rStyle w:val="Hyperlink"/>
          </w:rPr>
          <w:t>Review timeline</w:t>
        </w:r>
        <w:r>
          <w:rPr>
            <w:webHidden/>
          </w:rPr>
          <w:tab/>
        </w:r>
        <w:r>
          <w:rPr>
            <w:webHidden/>
          </w:rPr>
          <w:fldChar w:fldCharType="begin"/>
        </w:r>
        <w:r>
          <w:rPr>
            <w:webHidden/>
          </w:rPr>
          <w:instrText xml:space="preserve"> PAGEREF _Toc489275599 \h </w:instrText>
        </w:r>
        <w:r>
          <w:rPr>
            <w:webHidden/>
          </w:rPr>
        </w:r>
        <w:r>
          <w:rPr>
            <w:webHidden/>
          </w:rPr>
          <w:fldChar w:fldCharType="separate"/>
        </w:r>
        <w:r>
          <w:rPr>
            <w:webHidden/>
          </w:rPr>
          <w:t>7</w:t>
        </w:r>
        <w:r>
          <w:rPr>
            <w:webHidden/>
          </w:rPr>
          <w:fldChar w:fldCharType="end"/>
        </w:r>
      </w:hyperlink>
    </w:p>
    <w:p w:rsidR="00025737" w:rsidRDefault="00025737">
      <w:pPr>
        <w:pStyle w:val="TOC1"/>
        <w:rPr>
          <w:rFonts w:asciiTheme="minorHAnsi" w:eastAsiaTheme="minorEastAsia" w:hAnsiTheme="minorHAnsi"/>
          <w:b w:val="0"/>
          <w:color w:val="auto"/>
          <w:sz w:val="22"/>
          <w:lang w:val="en-AU" w:eastAsia="en-AU"/>
        </w:rPr>
      </w:pPr>
      <w:hyperlink w:anchor="_Toc489275600" w:history="1">
        <w:r w:rsidRPr="00F62B8E">
          <w:rPr>
            <w:rStyle w:val="Hyperlink"/>
          </w:rPr>
          <w:t>3</w:t>
        </w:r>
        <w:r>
          <w:rPr>
            <w:rFonts w:asciiTheme="minorHAnsi" w:eastAsiaTheme="minorEastAsia" w:hAnsiTheme="minorHAnsi"/>
            <w:b w:val="0"/>
            <w:color w:val="auto"/>
            <w:sz w:val="22"/>
            <w:lang w:val="en-AU" w:eastAsia="en-AU"/>
          </w:rPr>
          <w:tab/>
        </w:r>
        <w:r w:rsidRPr="00F62B8E">
          <w:rPr>
            <w:rStyle w:val="Hyperlink"/>
          </w:rPr>
          <w:t>Proposed steps in the review process</w:t>
        </w:r>
        <w:r>
          <w:rPr>
            <w:webHidden/>
          </w:rPr>
          <w:tab/>
        </w:r>
        <w:r>
          <w:rPr>
            <w:webHidden/>
          </w:rPr>
          <w:fldChar w:fldCharType="begin"/>
        </w:r>
        <w:r>
          <w:rPr>
            <w:webHidden/>
          </w:rPr>
          <w:instrText xml:space="preserve"> PAGEREF _Toc489275600 \h </w:instrText>
        </w:r>
        <w:r>
          <w:rPr>
            <w:webHidden/>
          </w:rPr>
        </w:r>
        <w:r>
          <w:rPr>
            <w:webHidden/>
          </w:rPr>
          <w:fldChar w:fldCharType="separate"/>
        </w:r>
        <w:r>
          <w:rPr>
            <w:webHidden/>
          </w:rPr>
          <w:t>10</w:t>
        </w:r>
        <w:r>
          <w:rPr>
            <w:webHidden/>
          </w:rPr>
          <w:fldChar w:fldCharType="end"/>
        </w:r>
      </w:hyperlink>
    </w:p>
    <w:p w:rsidR="00025737" w:rsidRDefault="00025737">
      <w:pPr>
        <w:pStyle w:val="TOC2"/>
        <w:rPr>
          <w:rFonts w:asciiTheme="minorHAnsi" w:eastAsiaTheme="minorEastAsia" w:hAnsiTheme="minorHAnsi"/>
          <w:b w:val="0"/>
          <w:color w:val="auto"/>
          <w:sz w:val="22"/>
          <w:lang w:eastAsia="en-AU"/>
        </w:rPr>
      </w:pPr>
      <w:hyperlink w:anchor="_Toc489275601" w:history="1">
        <w:r w:rsidRPr="00F62B8E">
          <w:rPr>
            <w:rStyle w:val="Hyperlink"/>
          </w:rPr>
          <w:t>3.1</w:t>
        </w:r>
        <w:r>
          <w:rPr>
            <w:rFonts w:asciiTheme="minorHAnsi" w:eastAsiaTheme="minorEastAsia" w:hAnsiTheme="minorHAnsi"/>
            <w:b w:val="0"/>
            <w:color w:val="auto"/>
            <w:sz w:val="22"/>
            <w:lang w:eastAsia="en-AU"/>
          </w:rPr>
          <w:tab/>
        </w:r>
        <w:r w:rsidRPr="00F62B8E">
          <w:rPr>
            <w:rStyle w:val="Hyperlink"/>
          </w:rPr>
          <w:t>Consumer reference group</w:t>
        </w:r>
        <w:r>
          <w:rPr>
            <w:webHidden/>
          </w:rPr>
          <w:tab/>
        </w:r>
        <w:r>
          <w:rPr>
            <w:webHidden/>
          </w:rPr>
          <w:fldChar w:fldCharType="begin"/>
        </w:r>
        <w:r>
          <w:rPr>
            <w:webHidden/>
          </w:rPr>
          <w:instrText xml:space="preserve"> PAGEREF _Toc489275601 \h </w:instrText>
        </w:r>
        <w:r>
          <w:rPr>
            <w:webHidden/>
          </w:rPr>
        </w:r>
        <w:r>
          <w:rPr>
            <w:webHidden/>
          </w:rPr>
          <w:fldChar w:fldCharType="separate"/>
        </w:r>
        <w:r>
          <w:rPr>
            <w:webHidden/>
          </w:rPr>
          <w:t>10</w:t>
        </w:r>
        <w:r>
          <w:rPr>
            <w:webHidden/>
          </w:rPr>
          <w:fldChar w:fldCharType="end"/>
        </w:r>
      </w:hyperlink>
    </w:p>
    <w:p w:rsidR="00025737" w:rsidRDefault="00025737">
      <w:pPr>
        <w:pStyle w:val="TOC2"/>
        <w:rPr>
          <w:rFonts w:asciiTheme="minorHAnsi" w:eastAsiaTheme="minorEastAsia" w:hAnsiTheme="minorHAnsi"/>
          <w:b w:val="0"/>
          <w:color w:val="auto"/>
          <w:sz w:val="22"/>
          <w:lang w:eastAsia="en-AU"/>
        </w:rPr>
      </w:pPr>
      <w:hyperlink w:anchor="_Toc489275602" w:history="1">
        <w:r w:rsidRPr="00F62B8E">
          <w:rPr>
            <w:rStyle w:val="Hyperlink"/>
          </w:rPr>
          <w:t>3.2</w:t>
        </w:r>
        <w:r>
          <w:rPr>
            <w:rFonts w:asciiTheme="minorHAnsi" w:eastAsiaTheme="minorEastAsia" w:hAnsiTheme="minorHAnsi"/>
            <w:b w:val="0"/>
            <w:color w:val="auto"/>
            <w:sz w:val="22"/>
            <w:lang w:eastAsia="en-AU"/>
          </w:rPr>
          <w:tab/>
        </w:r>
        <w:r w:rsidRPr="00F62B8E">
          <w:rPr>
            <w:rStyle w:val="Hyperlink"/>
          </w:rPr>
          <w:t>Consumer challenge subpanel</w:t>
        </w:r>
        <w:r>
          <w:rPr>
            <w:webHidden/>
          </w:rPr>
          <w:tab/>
        </w:r>
        <w:r>
          <w:rPr>
            <w:webHidden/>
          </w:rPr>
          <w:fldChar w:fldCharType="begin"/>
        </w:r>
        <w:r>
          <w:rPr>
            <w:webHidden/>
          </w:rPr>
          <w:instrText xml:space="preserve"> PAGEREF _Toc489275602 \h </w:instrText>
        </w:r>
        <w:r>
          <w:rPr>
            <w:webHidden/>
          </w:rPr>
        </w:r>
        <w:r>
          <w:rPr>
            <w:webHidden/>
          </w:rPr>
          <w:fldChar w:fldCharType="separate"/>
        </w:r>
        <w:r>
          <w:rPr>
            <w:webHidden/>
          </w:rPr>
          <w:t>11</w:t>
        </w:r>
        <w:r>
          <w:rPr>
            <w:webHidden/>
          </w:rPr>
          <w:fldChar w:fldCharType="end"/>
        </w:r>
      </w:hyperlink>
    </w:p>
    <w:p w:rsidR="00025737" w:rsidRDefault="00025737">
      <w:pPr>
        <w:pStyle w:val="TOC2"/>
        <w:rPr>
          <w:rFonts w:asciiTheme="minorHAnsi" w:eastAsiaTheme="minorEastAsia" w:hAnsiTheme="minorHAnsi"/>
          <w:b w:val="0"/>
          <w:color w:val="auto"/>
          <w:sz w:val="22"/>
          <w:lang w:eastAsia="en-AU"/>
        </w:rPr>
      </w:pPr>
      <w:hyperlink w:anchor="_Toc489275603" w:history="1">
        <w:r w:rsidRPr="00F62B8E">
          <w:rPr>
            <w:rStyle w:val="Hyperlink"/>
          </w:rPr>
          <w:t>3.3</w:t>
        </w:r>
        <w:r>
          <w:rPr>
            <w:rFonts w:asciiTheme="minorHAnsi" w:eastAsiaTheme="minorEastAsia" w:hAnsiTheme="minorHAnsi"/>
            <w:b w:val="0"/>
            <w:color w:val="auto"/>
            <w:sz w:val="22"/>
            <w:lang w:eastAsia="en-AU"/>
          </w:rPr>
          <w:tab/>
        </w:r>
        <w:r w:rsidRPr="00F62B8E">
          <w:rPr>
            <w:rStyle w:val="Hyperlink"/>
          </w:rPr>
          <w:t>Targeted workshops and information sessions</w:t>
        </w:r>
        <w:r>
          <w:rPr>
            <w:webHidden/>
          </w:rPr>
          <w:tab/>
        </w:r>
        <w:r>
          <w:rPr>
            <w:webHidden/>
          </w:rPr>
          <w:fldChar w:fldCharType="begin"/>
        </w:r>
        <w:r>
          <w:rPr>
            <w:webHidden/>
          </w:rPr>
          <w:instrText xml:space="preserve"> PAGEREF _Toc489275603 \h </w:instrText>
        </w:r>
        <w:r>
          <w:rPr>
            <w:webHidden/>
          </w:rPr>
        </w:r>
        <w:r>
          <w:rPr>
            <w:webHidden/>
          </w:rPr>
          <w:fldChar w:fldCharType="separate"/>
        </w:r>
        <w:r>
          <w:rPr>
            <w:webHidden/>
          </w:rPr>
          <w:t>11</w:t>
        </w:r>
        <w:r>
          <w:rPr>
            <w:webHidden/>
          </w:rPr>
          <w:fldChar w:fldCharType="end"/>
        </w:r>
      </w:hyperlink>
    </w:p>
    <w:p w:rsidR="00025737" w:rsidRDefault="00025737">
      <w:pPr>
        <w:pStyle w:val="TOC2"/>
        <w:rPr>
          <w:rFonts w:asciiTheme="minorHAnsi" w:eastAsiaTheme="minorEastAsia" w:hAnsiTheme="minorHAnsi"/>
          <w:b w:val="0"/>
          <w:color w:val="auto"/>
          <w:sz w:val="22"/>
          <w:lang w:eastAsia="en-AU"/>
        </w:rPr>
      </w:pPr>
      <w:hyperlink w:anchor="_Toc489275604" w:history="1">
        <w:r w:rsidRPr="00F62B8E">
          <w:rPr>
            <w:rStyle w:val="Hyperlink"/>
          </w:rPr>
          <w:t>3.4</w:t>
        </w:r>
        <w:r>
          <w:rPr>
            <w:rFonts w:asciiTheme="minorHAnsi" w:eastAsiaTheme="minorEastAsia" w:hAnsiTheme="minorHAnsi"/>
            <w:b w:val="0"/>
            <w:color w:val="auto"/>
            <w:sz w:val="22"/>
            <w:lang w:eastAsia="en-AU"/>
          </w:rPr>
          <w:tab/>
        </w:r>
        <w:r w:rsidRPr="00F62B8E">
          <w:rPr>
            <w:rStyle w:val="Hyperlink"/>
          </w:rPr>
          <w:t>Issues paper</w:t>
        </w:r>
        <w:r>
          <w:rPr>
            <w:webHidden/>
          </w:rPr>
          <w:tab/>
        </w:r>
        <w:r>
          <w:rPr>
            <w:webHidden/>
          </w:rPr>
          <w:fldChar w:fldCharType="begin"/>
        </w:r>
        <w:r>
          <w:rPr>
            <w:webHidden/>
          </w:rPr>
          <w:instrText xml:space="preserve"> PAGEREF _Toc489275604 \h </w:instrText>
        </w:r>
        <w:r>
          <w:rPr>
            <w:webHidden/>
          </w:rPr>
        </w:r>
        <w:r>
          <w:rPr>
            <w:webHidden/>
          </w:rPr>
          <w:fldChar w:fldCharType="separate"/>
        </w:r>
        <w:r>
          <w:rPr>
            <w:webHidden/>
          </w:rPr>
          <w:t>12</w:t>
        </w:r>
        <w:r>
          <w:rPr>
            <w:webHidden/>
          </w:rPr>
          <w:fldChar w:fldCharType="end"/>
        </w:r>
      </w:hyperlink>
    </w:p>
    <w:p w:rsidR="00025737" w:rsidRDefault="00025737">
      <w:pPr>
        <w:pStyle w:val="TOC2"/>
        <w:rPr>
          <w:rFonts w:asciiTheme="minorHAnsi" w:eastAsiaTheme="minorEastAsia" w:hAnsiTheme="minorHAnsi"/>
          <w:b w:val="0"/>
          <w:color w:val="auto"/>
          <w:sz w:val="22"/>
          <w:lang w:eastAsia="en-AU"/>
        </w:rPr>
      </w:pPr>
      <w:hyperlink w:anchor="_Toc489275605" w:history="1">
        <w:r w:rsidRPr="00F62B8E">
          <w:rPr>
            <w:rStyle w:val="Hyperlink"/>
          </w:rPr>
          <w:t>3.5</w:t>
        </w:r>
        <w:r>
          <w:rPr>
            <w:rFonts w:asciiTheme="minorHAnsi" w:eastAsiaTheme="minorEastAsia" w:hAnsiTheme="minorHAnsi"/>
            <w:b w:val="0"/>
            <w:color w:val="auto"/>
            <w:sz w:val="22"/>
            <w:lang w:eastAsia="en-AU"/>
          </w:rPr>
          <w:tab/>
        </w:r>
        <w:r w:rsidRPr="00F62B8E">
          <w:rPr>
            <w:rStyle w:val="Hyperlink"/>
          </w:rPr>
          <w:t>'Hot-tubbing' of expert advisers</w:t>
        </w:r>
        <w:r>
          <w:rPr>
            <w:webHidden/>
          </w:rPr>
          <w:tab/>
        </w:r>
        <w:r>
          <w:rPr>
            <w:webHidden/>
          </w:rPr>
          <w:fldChar w:fldCharType="begin"/>
        </w:r>
        <w:r>
          <w:rPr>
            <w:webHidden/>
          </w:rPr>
          <w:instrText xml:space="preserve"> PAGEREF _Toc489275605 \h </w:instrText>
        </w:r>
        <w:r>
          <w:rPr>
            <w:webHidden/>
          </w:rPr>
        </w:r>
        <w:r>
          <w:rPr>
            <w:webHidden/>
          </w:rPr>
          <w:fldChar w:fldCharType="separate"/>
        </w:r>
        <w:r>
          <w:rPr>
            <w:webHidden/>
          </w:rPr>
          <w:t>12</w:t>
        </w:r>
        <w:r>
          <w:rPr>
            <w:webHidden/>
          </w:rPr>
          <w:fldChar w:fldCharType="end"/>
        </w:r>
      </w:hyperlink>
    </w:p>
    <w:p w:rsidR="00025737" w:rsidRDefault="00025737">
      <w:pPr>
        <w:pStyle w:val="TOC2"/>
        <w:rPr>
          <w:rFonts w:asciiTheme="minorHAnsi" w:eastAsiaTheme="minorEastAsia" w:hAnsiTheme="minorHAnsi"/>
          <w:b w:val="0"/>
          <w:color w:val="auto"/>
          <w:sz w:val="22"/>
          <w:lang w:eastAsia="en-AU"/>
        </w:rPr>
      </w:pPr>
      <w:hyperlink w:anchor="_Toc489275606" w:history="1">
        <w:r w:rsidRPr="00F62B8E">
          <w:rPr>
            <w:rStyle w:val="Hyperlink"/>
          </w:rPr>
          <w:t>3.6</w:t>
        </w:r>
        <w:r>
          <w:rPr>
            <w:rFonts w:asciiTheme="minorHAnsi" w:eastAsiaTheme="minorEastAsia" w:hAnsiTheme="minorHAnsi"/>
            <w:b w:val="0"/>
            <w:color w:val="auto"/>
            <w:sz w:val="22"/>
            <w:lang w:eastAsia="en-AU"/>
          </w:rPr>
          <w:tab/>
        </w:r>
        <w:r w:rsidRPr="00F62B8E">
          <w:rPr>
            <w:rStyle w:val="Hyperlink"/>
          </w:rPr>
          <w:t>Independent panel review of the draft guideline</w:t>
        </w:r>
        <w:r>
          <w:rPr>
            <w:webHidden/>
          </w:rPr>
          <w:tab/>
        </w:r>
        <w:r>
          <w:rPr>
            <w:webHidden/>
          </w:rPr>
          <w:fldChar w:fldCharType="begin"/>
        </w:r>
        <w:r>
          <w:rPr>
            <w:webHidden/>
          </w:rPr>
          <w:instrText xml:space="preserve"> PAGEREF _Toc489275606 \h </w:instrText>
        </w:r>
        <w:r>
          <w:rPr>
            <w:webHidden/>
          </w:rPr>
        </w:r>
        <w:r>
          <w:rPr>
            <w:webHidden/>
          </w:rPr>
          <w:fldChar w:fldCharType="separate"/>
        </w:r>
        <w:r>
          <w:rPr>
            <w:webHidden/>
          </w:rPr>
          <w:t>14</w:t>
        </w:r>
        <w:r>
          <w:rPr>
            <w:webHidden/>
          </w:rPr>
          <w:fldChar w:fldCharType="end"/>
        </w:r>
      </w:hyperlink>
    </w:p>
    <w:p w:rsidR="009177E3" w:rsidRDefault="009177E3" w:rsidP="009177E3">
      <w:pPr>
        <w:pStyle w:val="TOC1"/>
      </w:pPr>
      <w:r>
        <w:fldChar w:fldCharType="end"/>
      </w:r>
    </w:p>
    <w:p w:rsidR="009177E3" w:rsidRPr="00CE2A23" w:rsidRDefault="009177E3" w:rsidP="009177E3">
      <w:r>
        <w:t xml:space="preserve"> </w:t>
      </w:r>
    </w:p>
    <w:p w:rsidR="009177E3" w:rsidRPr="009177E3" w:rsidRDefault="009177E3" w:rsidP="009177E3">
      <w:pPr>
        <w:rPr>
          <w:rStyle w:val="Strong"/>
        </w:rPr>
      </w:pPr>
    </w:p>
    <w:p w:rsidR="009177E3" w:rsidRPr="00756BF5" w:rsidRDefault="009177E3" w:rsidP="00C61C73">
      <w:pPr>
        <w:pStyle w:val="Heading1"/>
        <w:numPr>
          <w:ilvl w:val="0"/>
          <w:numId w:val="0"/>
        </w:numPr>
        <w:ind w:left="432" w:hanging="432"/>
      </w:pPr>
      <w:bookmarkStart w:id="3" w:name="_Toc488913351"/>
      <w:bookmarkStart w:id="4" w:name="_Toc489275594"/>
      <w:r w:rsidRPr="002E134A">
        <w:lastRenderedPageBreak/>
        <w:t>Shortened</w:t>
      </w:r>
      <w:r w:rsidRPr="00756BF5">
        <w:t xml:space="preserve"> forms</w:t>
      </w:r>
      <w:bookmarkEnd w:id="3"/>
      <w:bookmarkEnd w:id="4"/>
    </w:p>
    <w:tbl>
      <w:tblPr>
        <w:tblStyle w:val="AERtable-numbers"/>
        <w:tblW w:w="0" w:type="auto"/>
        <w:tblLook w:val="04A0" w:firstRow="1" w:lastRow="0" w:firstColumn="1" w:lastColumn="0" w:noHBand="0" w:noVBand="1"/>
      </w:tblPr>
      <w:tblGrid>
        <w:gridCol w:w="4340"/>
        <w:gridCol w:w="4353"/>
      </w:tblGrid>
      <w:tr w:rsidR="009177E3" w:rsidRPr="00A549B0" w:rsidTr="00A96C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9177E3" w:rsidRPr="00A549B0" w:rsidRDefault="009177E3" w:rsidP="009177E3">
            <w:pPr>
              <w:numPr>
                <w:ilvl w:val="0"/>
                <w:numId w:val="24"/>
              </w:numPr>
            </w:pPr>
            <w:r w:rsidRPr="00A549B0">
              <w:t>Shortened form</w:t>
            </w:r>
          </w:p>
        </w:tc>
        <w:tc>
          <w:tcPr>
            <w:tcW w:w="4353" w:type="dxa"/>
          </w:tcPr>
          <w:p w:rsidR="009177E3" w:rsidRPr="00A549B0" w:rsidRDefault="009177E3" w:rsidP="009177E3">
            <w:pPr>
              <w:numPr>
                <w:ilvl w:val="0"/>
                <w:numId w:val="24"/>
              </w:numPr>
              <w:cnfStyle w:val="100000000000" w:firstRow="1" w:lastRow="0" w:firstColumn="0" w:lastColumn="0" w:oddVBand="0" w:evenVBand="0" w:oddHBand="0" w:evenHBand="0" w:firstRowFirstColumn="0" w:firstRowLastColumn="0" w:lastRowFirstColumn="0" w:lastRowLastColumn="0"/>
            </w:pPr>
            <w:r w:rsidRPr="00A549B0">
              <w:t>Extended form</w:t>
            </w:r>
          </w:p>
        </w:tc>
      </w:tr>
      <w:tr w:rsidR="009177E3" w:rsidRPr="00A549B0" w:rsidTr="00A96C5B">
        <w:tc>
          <w:tcPr>
            <w:cnfStyle w:val="001000000000" w:firstRow="0" w:lastRow="0" w:firstColumn="1" w:lastColumn="0" w:oddVBand="0" w:evenVBand="0" w:oddHBand="0" w:evenHBand="0" w:firstRowFirstColumn="0" w:firstRowLastColumn="0" w:lastRowFirstColumn="0" w:lastRowLastColumn="0"/>
            <w:tcW w:w="4340" w:type="dxa"/>
          </w:tcPr>
          <w:p w:rsidR="009177E3" w:rsidRPr="00A549B0" w:rsidRDefault="009177E3" w:rsidP="009177E3">
            <w:pPr>
              <w:numPr>
                <w:ilvl w:val="0"/>
                <w:numId w:val="24"/>
              </w:numPr>
            </w:pPr>
            <w:r w:rsidRPr="00A549B0">
              <w:t>AER</w:t>
            </w:r>
          </w:p>
        </w:tc>
        <w:tc>
          <w:tcPr>
            <w:tcW w:w="4353" w:type="dxa"/>
          </w:tcPr>
          <w:p w:rsidR="009177E3" w:rsidRPr="00A549B0" w:rsidRDefault="009177E3" w:rsidP="009177E3">
            <w:pPr>
              <w:numPr>
                <w:ilvl w:val="0"/>
                <w:numId w:val="24"/>
              </w:numPr>
              <w:cnfStyle w:val="000000000000" w:firstRow="0" w:lastRow="0" w:firstColumn="0" w:lastColumn="0" w:oddVBand="0" w:evenVBand="0" w:oddHBand="0" w:evenHBand="0" w:firstRowFirstColumn="0" w:firstRowLastColumn="0" w:lastRowFirstColumn="0" w:lastRowLastColumn="0"/>
            </w:pPr>
            <w:r w:rsidRPr="00A549B0">
              <w:t>Australian Energy Regulator</w:t>
            </w:r>
          </w:p>
        </w:tc>
      </w:tr>
      <w:tr w:rsidR="009177E3" w:rsidRPr="00A549B0" w:rsidTr="00A9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177E3" w:rsidRPr="00A549B0" w:rsidRDefault="009177E3" w:rsidP="009177E3">
            <w:pPr>
              <w:numPr>
                <w:ilvl w:val="0"/>
                <w:numId w:val="24"/>
              </w:numPr>
            </w:pPr>
            <w:r w:rsidRPr="00A549B0">
              <w:t>CCP</w:t>
            </w:r>
          </w:p>
        </w:tc>
        <w:tc>
          <w:tcPr>
            <w:tcW w:w="4353" w:type="dxa"/>
          </w:tcPr>
          <w:p w:rsidR="009177E3" w:rsidRPr="00A549B0" w:rsidRDefault="009177E3" w:rsidP="009177E3">
            <w:pPr>
              <w:numPr>
                <w:ilvl w:val="0"/>
                <w:numId w:val="24"/>
              </w:numPr>
              <w:cnfStyle w:val="000000010000" w:firstRow="0" w:lastRow="0" w:firstColumn="0" w:lastColumn="0" w:oddVBand="0" w:evenVBand="0" w:oddHBand="0" w:evenHBand="1" w:firstRowFirstColumn="0" w:firstRowLastColumn="0" w:lastRowFirstColumn="0" w:lastRowLastColumn="0"/>
            </w:pPr>
            <w:r w:rsidRPr="00A549B0">
              <w:t>Consumer Challenge Panel</w:t>
            </w:r>
          </w:p>
        </w:tc>
      </w:tr>
      <w:tr w:rsidR="009177E3" w:rsidRPr="00A549B0" w:rsidTr="00A96C5B">
        <w:tc>
          <w:tcPr>
            <w:cnfStyle w:val="001000000000" w:firstRow="0" w:lastRow="0" w:firstColumn="1" w:lastColumn="0" w:oddVBand="0" w:evenVBand="0" w:oddHBand="0" w:evenHBand="0" w:firstRowFirstColumn="0" w:firstRowLastColumn="0" w:lastRowFirstColumn="0" w:lastRowLastColumn="0"/>
            <w:tcW w:w="4340" w:type="dxa"/>
          </w:tcPr>
          <w:p w:rsidR="009177E3" w:rsidRPr="00A549B0" w:rsidRDefault="009177E3" w:rsidP="009177E3">
            <w:pPr>
              <w:numPr>
                <w:ilvl w:val="0"/>
                <w:numId w:val="24"/>
              </w:numPr>
            </w:pPr>
            <w:r w:rsidRPr="00A549B0">
              <w:t>NEL</w:t>
            </w:r>
          </w:p>
        </w:tc>
        <w:tc>
          <w:tcPr>
            <w:tcW w:w="4353" w:type="dxa"/>
          </w:tcPr>
          <w:p w:rsidR="009177E3" w:rsidRPr="00A549B0" w:rsidRDefault="009177E3" w:rsidP="009177E3">
            <w:pPr>
              <w:numPr>
                <w:ilvl w:val="0"/>
                <w:numId w:val="24"/>
              </w:numPr>
              <w:cnfStyle w:val="000000000000" w:firstRow="0" w:lastRow="0" w:firstColumn="0" w:lastColumn="0" w:oddVBand="0" w:evenVBand="0" w:oddHBand="0" w:evenHBand="0" w:firstRowFirstColumn="0" w:firstRowLastColumn="0" w:lastRowFirstColumn="0" w:lastRowLastColumn="0"/>
            </w:pPr>
            <w:r w:rsidRPr="00A549B0">
              <w:t>national electricity law</w:t>
            </w:r>
          </w:p>
        </w:tc>
      </w:tr>
      <w:tr w:rsidR="009177E3" w:rsidRPr="00A549B0" w:rsidTr="00A9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9177E3" w:rsidRPr="00A549B0" w:rsidRDefault="009177E3" w:rsidP="009177E3">
            <w:pPr>
              <w:numPr>
                <w:ilvl w:val="0"/>
                <w:numId w:val="24"/>
              </w:numPr>
            </w:pPr>
            <w:r w:rsidRPr="00A549B0">
              <w:t>NEO</w:t>
            </w:r>
          </w:p>
        </w:tc>
        <w:tc>
          <w:tcPr>
            <w:tcW w:w="4353" w:type="dxa"/>
          </w:tcPr>
          <w:p w:rsidR="009177E3" w:rsidRPr="00A549B0" w:rsidRDefault="009177E3" w:rsidP="009177E3">
            <w:pPr>
              <w:numPr>
                <w:ilvl w:val="0"/>
                <w:numId w:val="24"/>
              </w:numPr>
              <w:cnfStyle w:val="000000010000" w:firstRow="0" w:lastRow="0" w:firstColumn="0" w:lastColumn="0" w:oddVBand="0" w:evenVBand="0" w:oddHBand="0" w:evenHBand="1" w:firstRowFirstColumn="0" w:firstRowLastColumn="0" w:lastRowFirstColumn="0" w:lastRowLastColumn="0"/>
            </w:pPr>
            <w:r w:rsidRPr="00A549B0">
              <w:t>national electricity objective</w:t>
            </w:r>
          </w:p>
        </w:tc>
      </w:tr>
      <w:tr w:rsidR="009177E3" w:rsidRPr="00A549B0" w:rsidTr="00A96C5B">
        <w:tc>
          <w:tcPr>
            <w:cnfStyle w:val="001000000000" w:firstRow="0" w:lastRow="0" w:firstColumn="1" w:lastColumn="0" w:oddVBand="0" w:evenVBand="0" w:oddHBand="0" w:evenHBand="0" w:firstRowFirstColumn="0" w:firstRowLastColumn="0" w:lastRowFirstColumn="0" w:lastRowLastColumn="0"/>
            <w:tcW w:w="4340" w:type="dxa"/>
          </w:tcPr>
          <w:p w:rsidR="009177E3" w:rsidRPr="00A549B0" w:rsidRDefault="009177E3" w:rsidP="009177E3">
            <w:pPr>
              <w:numPr>
                <w:ilvl w:val="0"/>
                <w:numId w:val="24"/>
              </w:numPr>
            </w:pPr>
            <w:r w:rsidRPr="00A549B0">
              <w:t>NER</w:t>
            </w:r>
          </w:p>
        </w:tc>
        <w:tc>
          <w:tcPr>
            <w:tcW w:w="4353" w:type="dxa"/>
          </w:tcPr>
          <w:p w:rsidR="009177E3" w:rsidRPr="00A549B0" w:rsidRDefault="009177E3" w:rsidP="009177E3">
            <w:pPr>
              <w:numPr>
                <w:ilvl w:val="0"/>
                <w:numId w:val="24"/>
              </w:numPr>
              <w:cnfStyle w:val="000000000000" w:firstRow="0" w:lastRow="0" w:firstColumn="0" w:lastColumn="0" w:oddVBand="0" w:evenVBand="0" w:oddHBand="0" w:evenHBand="0" w:firstRowFirstColumn="0" w:firstRowLastColumn="0" w:lastRowFirstColumn="0" w:lastRowLastColumn="0"/>
            </w:pPr>
            <w:r w:rsidRPr="00A549B0">
              <w:t>national electricity rules</w:t>
            </w:r>
          </w:p>
        </w:tc>
      </w:tr>
      <w:tr w:rsidR="009177E3" w:rsidRPr="00A549B0" w:rsidTr="00A9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vAlign w:val="top"/>
          </w:tcPr>
          <w:p w:rsidR="009177E3" w:rsidRPr="009177E3" w:rsidRDefault="009177E3" w:rsidP="009177E3">
            <w:r>
              <w:t>NG</w:t>
            </w:r>
            <w:r w:rsidRPr="009177E3">
              <w:t>L</w:t>
            </w:r>
          </w:p>
        </w:tc>
        <w:tc>
          <w:tcPr>
            <w:tcW w:w="4353" w:type="dxa"/>
            <w:vAlign w:val="top"/>
          </w:tcPr>
          <w:p w:rsidR="009177E3" w:rsidRPr="009177E3" w:rsidRDefault="009177E3" w:rsidP="009177E3">
            <w:pPr>
              <w:cnfStyle w:val="000000010000" w:firstRow="0" w:lastRow="0" w:firstColumn="0" w:lastColumn="0" w:oddVBand="0" w:evenVBand="0" w:oddHBand="0" w:evenHBand="1" w:firstRowFirstColumn="0" w:firstRowLastColumn="0" w:lastRowFirstColumn="0" w:lastRowLastColumn="0"/>
            </w:pPr>
            <w:r w:rsidRPr="00DE1882">
              <w:t xml:space="preserve">national </w:t>
            </w:r>
            <w:r w:rsidRPr="009177E3">
              <w:t>gas law</w:t>
            </w:r>
          </w:p>
        </w:tc>
      </w:tr>
      <w:tr w:rsidR="009177E3" w:rsidRPr="00A549B0" w:rsidTr="00A96C5B">
        <w:tc>
          <w:tcPr>
            <w:cnfStyle w:val="001000000000" w:firstRow="0" w:lastRow="0" w:firstColumn="1" w:lastColumn="0" w:oddVBand="0" w:evenVBand="0" w:oddHBand="0" w:evenHBand="0" w:firstRowFirstColumn="0" w:firstRowLastColumn="0" w:lastRowFirstColumn="0" w:lastRowLastColumn="0"/>
            <w:tcW w:w="4340" w:type="dxa"/>
            <w:vAlign w:val="top"/>
          </w:tcPr>
          <w:p w:rsidR="009177E3" w:rsidRPr="009177E3" w:rsidRDefault="009177E3" w:rsidP="009177E3">
            <w:r>
              <w:t>NG</w:t>
            </w:r>
            <w:r w:rsidRPr="009177E3">
              <w:t>O</w:t>
            </w:r>
          </w:p>
        </w:tc>
        <w:tc>
          <w:tcPr>
            <w:tcW w:w="4353" w:type="dxa"/>
            <w:vAlign w:val="top"/>
          </w:tcPr>
          <w:p w:rsidR="009177E3" w:rsidRPr="009177E3" w:rsidRDefault="009177E3" w:rsidP="009177E3">
            <w:pPr>
              <w:cnfStyle w:val="000000000000" w:firstRow="0" w:lastRow="0" w:firstColumn="0" w:lastColumn="0" w:oddVBand="0" w:evenVBand="0" w:oddHBand="0" w:evenHBand="0" w:firstRowFirstColumn="0" w:firstRowLastColumn="0" w:lastRowFirstColumn="0" w:lastRowLastColumn="0"/>
            </w:pPr>
            <w:r w:rsidRPr="00DE1882">
              <w:t xml:space="preserve">national </w:t>
            </w:r>
            <w:r w:rsidRPr="009177E3">
              <w:t>gas objective</w:t>
            </w:r>
          </w:p>
        </w:tc>
      </w:tr>
      <w:tr w:rsidR="009177E3" w:rsidRPr="00A549B0" w:rsidTr="00A9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vAlign w:val="top"/>
          </w:tcPr>
          <w:p w:rsidR="009177E3" w:rsidRPr="009177E3" w:rsidRDefault="009177E3" w:rsidP="009177E3">
            <w:r>
              <w:t>NG</w:t>
            </w:r>
            <w:r w:rsidRPr="009177E3">
              <w:t>R</w:t>
            </w:r>
          </w:p>
        </w:tc>
        <w:tc>
          <w:tcPr>
            <w:tcW w:w="4353" w:type="dxa"/>
            <w:vAlign w:val="top"/>
          </w:tcPr>
          <w:p w:rsidR="009177E3" w:rsidRPr="009177E3" w:rsidRDefault="009177E3" w:rsidP="009177E3">
            <w:pPr>
              <w:cnfStyle w:val="000000010000" w:firstRow="0" w:lastRow="0" w:firstColumn="0" w:lastColumn="0" w:oddVBand="0" w:evenVBand="0" w:oddHBand="0" w:evenHBand="1" w:firstRowFirstColumn="0" w:firstRowLastColumn="0" w:lastRowFirstColumn="0" w:lastRowLastColumn="0"/>
            </w:pPr>
            <w:r w:rsidRPr="00DE1882">
              <w:t xml:space="preserve">national </w:t>
            </w:r>
            <w:r w:rsidRPr="009177E3">
              <w:t>gas rules</w:t>
            </w:r>
          </w:p>
        </w:tc>
      </w:tr>
    </w:tbl>
    <w:p w:rsidR="00CA61EF" w:rsidRPr="009177E3" w:rsidRDefault="00CA61EF" w:rsidP="00CA61EF">
      <w:pPr>
        <w:pStyle w:val="Heading1"/>
      </w:pPr>
      <w:bookmarkStart w:id="5" w:name="_Toc489275595"/>
      <w:r>
        <w:lastRenderedPageBreak/>
        <w:t>About this consultation</w:t>
      </w:r>
      <w:bookmarkEnd w:id="5"/>
    </w:p>
    <w:p w:rsidR="009177E3" w:rsidRPr="009177E3" w:rsidRDefault="009177E3" w:rsidP="009177E3">
      <w:r w:rsidRPr="009177E3">
        <w:t xml:space="preserve">This </w:t>
      </w:r>
      <w:r w:rsidR="00D35F79">
        <w:t xml:space="preserve">consultation </w:t>
      </w:r>
      <w:r w:rsidRPr="009177E3">
        <w:t>paper is the first step towards reviewing the current rate of return guideline</w:t>
      </w:r>
      <w:r w:rsidR="009F5183">
        <w:t>s</w:t>
      </w:r>
      <w:r w:rsidRPr="009177E3">
        <w:t xml:space="preserve">. It is our preliminary consultation with stakeholders on the process </w:t>
      </w:r>
      <w:r w:rsidR="00256EFC">
        <w:t xml:space="preserve">we propose to undertake </w:t>
      </w:r>
      <w:proofErr w:type="gramStart"/>
      <w:r w:rsidR="00256EFC">
        <w:t xml:space="preserve">to </w:t>
      </w:r>
      <w:r w:rsidRPr="009177E3">
        <w:t xml:space="preserve"> review</w:t>
      </w:r>
      <w:proofErr w:type="gramEnd"/>
      <w:r w:rsidRPr="009177E3">
        <w:t xml:space="preserve">  the guideline</w:t>
      </w:r>
      <w:r w:rsidR="009F5183">
        <w:t>s</w:t>
      </w:r>
      <w:r w:rsidRPr="009177E3">
        <w:t>, rather than the substantive rate of return issues.</w:t>
      </w:r>
    </w:p>
    <w:p w:rsidR="009177E3" w:rsidRPr="009177E3" w:rsidRDefault="009177E3" w:rsidP="009177E3">
      <w:r w:rsidRPr="009177E3">
        <w:t xml:space="preserve">Our proposed timelines are set out Section </w:t>
      </w:r>
      <w:r w:rsidRPr="009177E3">
        <w:fldChar w:fldCharType="begin"/>
      </w:r>
      <w:r w:rsidRPr="009177E3">
        <w:instrText xml:space="preserve"> REF _Ref485713171 \n \h  \* MERGEFORMAT </w:instrText>
      </w:r>
      <w:r w:rsidRPr="009177E3">
        <w:fldChar w:fldCharType="separate"/>
      </w:r>
      <w:r w:rsidR="00C61C73">
        <w:t>2.2</w:t>
      </w:r>
      <w:r w:rsidRPr="009177E3">
        <w:fldChar w:fldCharType="end"/>
      </w:r>
      <w:r w:rsidRPr="009177E3">
        <w:t xml:space="preserve"> below. </w:t>
      </w:r>
    </w:p>
    <w:p w:rsidR="00CA61EF" w:rsidRPr="009177E3" w:rsidRDefault="00CA61EF" w:rsidP="00CA61EF">
      <w:pPr>
        <w:pStyle w:val="Heading2"/>
      </w:pPr>
      <w:bookmarkStart w:id="6" w:name="_Toc489275596"/>
      <w:bookmarkEnd w:id="1"/>
      <w:bookmarkEnd w:id="2"/>
      <w:r>
        <w:t>How to make a submission</w:t>
      </w:r>
      <w:bookmarkEnd w:id="6"/>
    </w:p>
    <w:p w:rsidR="009177E3" w:rsidRPr="009177E3" w:rsidRDefault="009177E3" w:rsidP="009177E3">
      <w:pPr>
        <w:rPr>
          <w:rStyle w:val="AERtexthighlight"/>
        </w:rPr>
      </w:pPr>
      <w:r w:rsidRPr="009177E3">
        <w:rPr>
          <w:rStyle w:val="AERbody"/>
        </w:rPr>
        <w:t xml:space="preserve">Interested parties are invited to make submissions on this consultation paper by </w:t>
      </w:r>
      <w:r w:rsidR="00D35F79">
        <w:rPr>
          <w:rStyle w:val="Strong"/>
        </w:rPr>
        <w:t>2</w:t>
      </w:r>
      <w:r w:rsidR="00075825">
        <w:rPr>
          <w:rStyle w:val="Strong"/>
        </w:rPr>
        <w:t>8</w:t>
      </w:r>
      <w:r w:rsidR="00D35F79">
        <w:rPr>
          <w:rStyle w:val="Strong"/>
        </w:rPr>
        <w:t> </w:t>
      </w:r>
      <w:r w:rsidRPr="009177E3">
        <w:rPr>
          <w:rStyle w:val="Strong"/>
        </w:rPr>
        <w:t>August 2017</w:t>
      </w:r>
      <w:r w:rsidRPr="009177E3">
        <w:rPr>
          <w:rStyle w:val="AERbody"/>
        </w:rPr>
        <w:t>.</w:t>
      </w:r>
      <w:r w:rsidRPr="009177E3">
        <w:rPr>
          <w:rStyle w:val="AERtexthighlight"/>
        </w:rPr>
        <w:t xml:space="preserve"> </w:t>
      </w:r>
    </w:p>
    <w:p w:rsidR="009177E3" w:rsidRPr="009177E3" w:rsidRDefault="009177E3" w:rsidP="009177E3">
      <w:pPr>
        <w:rPr>
          <w:rStyle w:val="AERbody"/>
        </w:rPr>
      </w:pPr>
      <w:r w:rsidRPr="009177E3">
        <w:rPr>
          <w:rStyle w:val="AERbody"/>
        </w:rPr>
        <w:t xml:space="preserve">In each section, we have set out some preliminary views on potential process steps for consideration. This may guide your </w:t>
      </w:r>
      <w:proofErr w:type="gramStart"/>
      <w:r w:rsidRPr="009177E3">
        <w:rPr>
          <w:rStyle w:val="AERbody"/>
        </w:rPr>
        <w:t>submission</w:t>
      </w:r>
      <w:r w:rsidR="00FD0A02">
        <w:rPr>
          <w:rStyle w:val="AERbody"/>
        </w:rPr>
        <w:t>,</w:t>
      </w:r>
      <w:proofErr w:type="gramEnd"/>
      <w:r w:rsidRPr="009177E3">
        <w:rPr>
          <w:rStyle w:val="AERbody"/>
        </w:rPr>
        <w:t xml:space="preserve"> however we encourage you to address any other matters of relevance. </w:t>
      </w:r>
    </w:p>
    <w:p w:rsidR="009177E3" w:rsidRPr="009177E3" w:rsidRDefault="009177E3" w:rsidP="009177E3">
      <w:r w:rsidRPr="009177E3">
        <w:t xml:space="preserve">We prefer that all submissions are in Microsoft Word or another text readable document format. Submissions on our issues paper should be sent to:  </w:t>
      </w:r>
      <w:hyperlink r:id="rId13" w:history="1">
        <w:r w:rsidR="00AE4355" w:rsidRPr="007E4578">
          <w:rPr>
            <w:rStyle w:val="Hyperlink"/>
          </w:rPr>
          <w:t>rateofreturn@aer.gov.au</w:t>
        </w:r>
      </w:hyperlink>
      <w:r w:rsidRPr="009177E3">
        <w:rPr>
          <w:rStyle w:val="Hyperlink"/>
        </w:rPr>
        <w:t>.</w:t>
      </w:r>
    </w:p>
    <w:p w:rsidR="009177E3" w:rsidRPr="009177E3" w:rsidRDefault="009177E3" w:rsidP="009177E3">
      <w:r w:rsidRPr="009177E3">
        <w:t>Alternatively, submissions can be sent to:</w:t>
      </w:r>
    </w:p>
    <w:p w:rsidR="009177E3" w:rsidRPr="009177E3" w:rsidRDefault="009177E3" w:rsidP="009177E3">
      <w:r w:rsidRPr="009177E3">
        <w:t>Mr Warwick Anderson</w:t>
      </w:r>
      <w:r w:rsidRPr="009177E3">
        <w:br/>
        <w:t>General Manager</w:t>
      </w:r>
      <w:r w:rsidRPr="009177E3">
        <w:br/>
        <w:t>Australian Energy Regulator</w:t>
      </w:r>
      <w:r w:rsidRPr="009177E3">
        <w:br/>
        <w:t>GPO Box 520</w:t>
      </w:r>
      <w:r w:rsidRPr="009177E3">
        <w:br/>
        <w:t>Melbourne Vic 3001</w:t>
      </w:r>
    </w:p>
    <w:p w:rsidR="009177E3" w:rsidRPr="009177E3" w:rsidRDefault="009177E3" w:rsidP="009177E3">
      <w:r w:rsidRPr="009177E3">
        <w:t>We prefer that all submissions be publicly available to facilitate an informed and transparent consultative process. Submissions will be treated as public documents unless otherwise requested. Parties wishing to submit confidential information should:</w:t>
      </w:r>
      <w:r w:rsidRPr="009177E3">
        <w:br/>
      </w:r>
    </w:p>
    <w:p w:rsidR="009177E3" w:rsidRPr="009177E3" w:rsidRDefault="009177E3" w:rsidP="009177E3">
      <w:pPr>
        <w:pStyle w:val="ListBullet"/>
      </w:pPr>
      <w:r w:rsidRPr="009177E3">
        <w:t>clearly identify the information that is the subject of the confidentiality claim</w:t>
      </w:r>
    </w:p>
    <w:p w:rsidR="009177E3" w:rsidRPr="009177E3" w:rsidRDefault="009177E3" w:rsidP="009177E3">
      <w:pPr>
        <w:pStyle w:val="ListBullet"/>
      </w:pPr>
      <w:proofErr w:type="gramStart"/>
      <w:r w:rsidRPr="009177E3">
        <w:t>provide</w:t>
      </w:r>
      <w:proofErr w:type="gramEnd"/>
      <w:r w:rsidRPr="009177E3">
        <w:t xml:space="preserve"> a non-confidential version of the submission in a form suitable for publication.</w:t>
      </w:r>
    </w:p>
    <w:p w:rsidR="009177E3" w:rsidRPr="009177E3" w:rsidRDefault="009177E3" w:rsidP="009177E3">
      <w:r w:rsidRPr="009177E3">
        <w:t>All non-confidential submissions will be placed on our website. For further information regarding our use and disclosure of information provided to us, see the ACCC/AER Information Policy (October 2008), which is available on our website.</w:t>
      </w:r>
    </w:p>
    <w:p w:rsidR="009177E3" w:rsidRPr="009177E3" w:rsidRDefault="009177E3" w:rsidP="009177E3">
      <w:bookmarkStart w:id="7" w:name="_GoBack"/>
      <w:bookmarkEnd w:id="7"/>
    </w:p>
    <w:p w:rsidR="009177E3" w:rsidRPr="009177E3" w:rsidRDefault="009177E3" w:rsidP="009177E3">
      <w:pPr>
        <w:pStyle w:val="Heading1"/>
      </w:pPr>
      <w:bookmarkStart w:id="8" w:name="_Toc489275597"/>
      <w:r w:rsidRPr="009177E3">
        <w:lastRenderedPageBreak/>
        <w:t>Overview</w:t>
      </w:r>
      <w:bookmarkEnd w:id="8"/>
      <w:r w:rsidRPr="009177E3">
        <w:t xml:space="preserve"> </w:t>
      </w:r>
    </w:p>
    <w:p w:rsidR="009177E3" w:rsidRPr="009177E3" w:rsidRDefault="009177E3" w:rsidP="009177E3">
      <w:r w:rsidRPr="009177E3">
        <w:t>The AER is the independent regulator for the Australia’s national energy markets. We are guided in our role by the national electricity, gas, and energy retail objectives</w:t>
      </w:r>
      <w:r w:rsidR="00256EFC">
        <w:t xml:space="preserve"> set out in in the N</w:t>
      </w:r>
      <w:r w:rsidR="00256EFC" w:rsidRPr="009177E3">
        <w:t xml:space="preserve">ational </w:t>
      </w:r>
      <w:r w:rsidR="00256EFC">
        <w:t>E</w:t>
      </w:r>
      <w:r w:rsidR="00256EFC" w:rsidRPr="009177E3">
        <w:t xml:space="preserve">lectricity </w:t>
      </w:r>
      <w:r w:rsidR="00256EFC">
        <w:t>R</w:t>
      </w:r>
      <w:r w:rsidR="00256EFC" w:rsidRPr="009177E3">
        <w:t xml:space="preserve">ules (NER) and the </w:t>
      </w:r>
      <w:r w:rsidR="00256EFC">
        <w:t>N</w:t>
      </w:r>
      <w:r w:rsidR="00256EFC" w:rsidRPr="009177E3">
        <w:t xml:space="preserve">ational </w:t>
      </w:r>
      <w:r w:rsidR="00256EFC">
        <w:t>G</w:t>
      </w:r>
      <w:r w:rsidR="00256EFC" w:rsidRPr="009177E3">
        <w:t xml:space="preserve">as </w:t>
      </w:r>
      <w:r w:rsidR="00256EFC">
        <w:t>R</w:t>
      </w:r>
      <w:r w:rsidR="00256EFC" w:rsidRPr="009177E3">
        <w:t>ules (NGR</w:t>
      </w:r>
      <w:r w:rsidR="00066E4F">
        <w:t>)</w:t>
      </w:r>
      <w:r w:rsidRPr="009177E3">
        <w:t>. These objectives focus on promoting the long term interests of consumers.</w:t>
      </w:r>
    </w:p>
    <w:p w:rsidR="009177E3" w:rsidRPr="009177E3" w:rsidRDefault="009177E3" w:rsidP="009177E3">
      <w:r w:rsidRPr="009177E3">
        <w:t xml:space="preserve">In 2012, the Australian Energy Market Commission amended the </w:t>
      </w:r>
      <w:r w:rsidR="00256EFC">
        <w:t xml:space="preserve">NER and the </w:t>
      </w:r>
      <w:proofErr w:type="gramStart"/>
      <w:r w:rsidR="00256EFC">
        <w:t xml:space="preserve">NGR </w:t>
      </w:r>
      <w:r w:rsidRPr="009177E3">
        <w:t>.</w:t>
      </w:r>
      <w:proofErr w:type="gramEnd"/>
      <w:r w:rsidRPr="009177E3">
        <w:t xml:space="preserve"> These changes included, amongst other things, a requirement for us to develop guideline</w:t>
      </w:r>
      <w:r w:rsidR="009F5183">
        <w:t>s</w:t>
      </w:r>
      <w:r w:rsidRPr="009177E3">
        <w:t xml:space="preserve"> which outline our approach to setting the rate of return for regulated electricity and gas network businesses. We completed the first guideline</w:t>
      </w:r>
      <w:r w:rsidR="009F5183">
        <w:t>s</w:t>
      </w:r>
      <w:r w:rsidRPr="009177E3">
        <w:t xml:space="preserve"> in December 2013. Following more recent rule change</w:t>
      </w:r>
      <w:r w:rsidR="00FD0A02">
        <w:t>s</w:t>
      </w:r>
      <w:r w:rsidRPr="009177E3">
        <w:t>,</w:t>
      </w:r>
      <w:r w:rsidRPr="009177E3">
        <w:rPr>
          <w:rStyle w:val="FootnoteReference"/>
        </w:rPr>
        <w:footnoteReference w:id="1"/>
      </w:r>
      <w:r w:rsidRPr="009177E3">
        <w:t xml:space="preserve"> we are required to complete a review of the current guideline</w:t>
      </w:r>
      <w:r w:rsidR="009F5183">
        <w:t>s</w:t>
      </w:r>
      <w:r w:rsidRPr="009177E3">
        <w:t xml:space="preserve"> within five years (December 2018) of publishing the current guideline</w:t>
      </w:r>
      <w:r w:rsidR="009F5183">
        <w:t>s</w:t>
      </w:r>
      <w:r w:rsidRPr="009177E3">
        <w:t>.</w:t>
      </w:r>
    </w:p>
    <w:p w:rsidR="009177E3" w:rsidRPr="009177E3" w:rsidRDefault="009177E3" w:rsidP="009177E3">
      <w:r w:rsidRPr="009177E3">
        <w:t xml:space="preserve">This consultation paper is the first step in that review. </w:t>
      </w:r>
    </w:p>
    <w:p w:rsidR="009177E3" w:rsidRPr="009177E3" w:rsidRDefault="009177E3" w:rsidP="009177E3">
      <w:pPr>
        <w:pStyle w:val="Heading2"/>
      </w:pPr>
      <w:bookmarkStart w:id="9" w:name="_Toc489275598"/>
      <w:r w:rsidRPr="009177E3">
        <w:t>About the rate of return guideline</w:t>
      </w:r>
      <w:r w:rsidR="009F5183">
        <w:t>s</w:t>
      </w:r>
      <w:r w:rsidRPr="009177E3">
        <w:t xml:space="preserve"> review</w:t>
      </w:r>
      <w:bookmarkEnd w:id="9"/>
    </w:p>
    <w:p w:rsidR="009177E3" w:rsidRPr="009177E3" w:rsidRDefault="009177E3" w:rsidP="009177E3">
      <w:r w:rsidRPr="009177E3">
        <w:t>We develop, maintain and apply the rate of return guideline</w:t>
      </w:r>
      <w:r w:rsidR="009F5183">
        <w:t>s</w:t>
      </w:r>
      <w:r w:rsidRPr="009177E3">
        <w:t xml:space="preserve"> in accordance with the requirements of the NER and NGR. It sets out the approach by which we will estimate the return on debt, return on equity and the value of imputation credits (gamma) for the duration over which the guideline</w:t>
      </w:r>
      <w:r w:rsidR="009F5183">
        <w:t>s</w:t>
      </w:r>
      <w:r w:rsidRPr="009177E3">
        <w:t xml:space="preserve"> appl</w:t>
      </w:r>
      <w:r w:rsidR="009F5183">
        <w:t>y</w:t>
      </w:r>
      <w:r w:rsidRPr="009177E3">
        <w:t>. Estimation of the rate of return is complex and contentious, and the rate of return is a significant driver of regulated revenue.  While the guideline</w:t>
      </w:r>
      <w:r w:rsidR="009F5183">
        <w:t>s are</w:t>
      </w:r>
      <w:r w:rsidRPr="009177E3">
        <w:t xml:space="preserve"> currently not binding on how we make rate of return decisions, it should provide a high degree of certainty and transparency for stakeholders.</w:t>
      </w:r>
      <w:r w:rsidR="001301F7">
        <w:t xml:space="preserve"> </w:t>
      </w:r>
      <w:proofErr w:type="gramStart"/>
      <w:r w:rsidR="00D85B9E">
        <w:t>As set out below t</w:t>
      </w:r>
      <w:r w:rsidR="001301F7">
        <w:t xml:space="preserve">he Commonwealth Government has signalled </w:t>
      </w:r>
      <w:r w:rsidR="00D85B9E">
        <w:t>its intention to introduce new legislation such that the guidelines will be binding on both the AER and the regulated businesses.</w:t>
      </w:r>
      <w:proofErr w:type="gramEnd"/>
    </w:p>
    <w:p w:rsidR="009177E3" w:rsidRPr="009177E3" w:rsidRDefault="009177E3" w:rsidP="009177E3">
      <w:r w:rsidRPr="009177E3">
        <w:t>For those reasons, we are exploring options for making our rate of return guideline</w:t>
      </w:r>
      <w:r w:rsidR="009F5183">
        <w:t>s</w:t>
      </w:r>
      <w:r w:rsidRPr="009177E3">
        <w:t xml:space="preserve"> review process more accessible, transparent and collaborative. We consider this will promote confidence in our guideline</w:t>
      </w:r>
      <w:r w:rsidR="009F5183">
        <w:t>s</w:t>
      </w:r>
      <w:r w:rsidRPr="009177E3">
        <w:t xml:space="preserve">. As such, we have </w:t>
      </w:r>
      <w:r w:rsidR="00D35F79">
        <w:t xml:space="preserve">identified </w:t>
      </w:r>
      <w:r w:rsidRPr="009177E3">
        <w:t xml:space="preserve">a number of mechanisms we propose to include in the process, including our preliminary views on how they might work. </w:t>
      </w:r>
    </w:p>
    <w:p w:rsidR="009177E3" w:rsidRDefault="009177E3" w:rsidP="009177E3">
      <w:r w:rsidRPr="009177E3">
        <w:t>The mechanisms set out in this paper reflect our initial thinking. We are interested in hearing stakeholders' views about these mechanisms and other potential approaches. We will publish our intended process for developing the rate of return guideline</w:t>
      </w:r>
      <w:r w:rsidR="009F5183">
        <w:t>s</w:t>
      </w:r>
      <w:r w:rsidRPr="009177E3">
        <w:t>, having regard to your feedback, in October 2017.</w:t>
      </w:r>
    </w:p>
    <w:p w:rsidR="00AE4355" w:rsidRDefault="00AE4355" w:rsidP="009177E3"/>
    <w:p w:rsidR="00AE4355" w:rsidRPr="009177E3" w:rsidRDefault="00AE4355" w:rsidP="009177E3"/>
    <w:p w:rsidR="009177E3" w:rsidRPr="009177E3" w:rsidRDefault="009177E3" w:rsidP="009177E3">
      <w:pPr>
        <w:pStyle w:val="Heading2"/>
      </w:pPr>
      <w:bookmarkStart w:id="10" w:name="_Toc470005394"/>
      <w:bookmarkStart w:id="11" w:name="_Toc470005478"/>
      <w:bookmarkStart w:id="12" w:name="_Toc470005395"/>
      <w:bookmarkStart w:id="13" w:name="_Toc470005479"/>
      <w:bookmarkStart w:id="14" w:name="_Toc470005396"/>
      <w:bookmarkStart w:id="15" w:name="_Toc470005480"/>
      <w:bookmarkStart w:id="16" w:name="_Toc470005397"/>
      <w:bookmarkStart w:id="17" w:name="_Toc470005481"/>
      <w:bookmarkStart w:id="18" w:name="_Toc470005398"/>
      <w:bookmarkStart w:id="19" w:name="_Toc470005482"/>
      <w:bookmarkStart w:id="20" w:name="_Toc470005399"/>
      <w:bookmarkStart w:id="21" w:name="_Toc470005483"/>
      <w:bookmarkStart w:id="22" w:name="_Toc470005400"/>
      <w:bookmarkStart w:id="23" w:name="_Toc470005484"/>
      <w:bookmarkStart w:id="24" w:name="_Toc470005401"/>
      <w:bookmarkStart w:id="25" w:name="_Toc470005485"/>
      <w:bookmarkStart w:id="26" w:name="_Toc470005402"/>
      <w:bookmarkStart w:id="27" w:name="_Toc470005486"/>
      <w:bookmarkStart w:id="28" w:name="_Toc470005403"/>
      <w:bookmarkStart w:id="29" w:name="_Toc470005487"/>
      <w:bookmarkStart w:id="30" w:name="_Toc470005404"/>
      <w:bookmarkStart w:id="31" w:name="_Toc470005488"/>
      <w:bookmarkStart w:id="32" w:name="_Toc470005405"/>
      <w:bookmarkStart w:id="33" w:name="_Toc470005489"/>
      <w:bookmarkStart w:id="34" w:name="_Toc470005406"/>
      <w:bookmarkStart w:id="35" w:name="_Toc470005490"/>
      <w:bookmarkStart w:id="36" w:name="_Toc470005407"/>
      <w:bookmarkStart w:id="37" w:name="_Toc470005491"/>
      <w:bookmarkStart w:id="38" w:name="_Toc470005408"/>
      <w:bookmarkStart w:id="39" w:name="_Toc470005492"/>
      <w:bookmarkStart w:id="40" w:name="_Ref485713171"/>
      <w:bookmarkStart w:id="41" w:name="_Toc48927559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9177E3">
        <w:lastRenderedPageBreak/>
        <w:t>Review timeline</w:t>
      </w:r>
      <w:bookmarkEnd w:id="40"/>
      <w:bookmarkEnd w:id="41"/>
    </w:p>
    <w:p w:rsidR="009177E3" w:rsidRPr="009177E3" w:rsidRDefault="009177E3" w:rsidP="009177E3">
      <w:r w:rsidRPr="009177E3">
        <w:t>Our proposed timeline for the guideline</w:t>
      </w:r>
      <w:r w:rsidR="009F5183">
        <w:t>s</w:t>
      </w:r>
      <w:r w:rsidRPr="009177E3">
        <w:t xml:space="preserve"> review is set out below in </w:t>
      </w:r>
      <w:r w:rsidRPr="009177E3">
        <w:fldChar w:fldCharType="begin"/>
      </w:r>
      <w:r w:rsidRPr="009177E3">
        <w:instrText xml:space="preserve"> REF  _Ref485035357 \* Lower \h  \* MERGEFORMAT </w:instrText>
      </w:r>
      <w:r w:rsidRPr="009177E3">
        <w:fldChar w:fldCharType="separate"/>
      </w:r>
      <w:r w:rsidRPr="009177E3">
        <w:t>table 1</w:t>
      </w:r>
      <w:r w:rsidRPr="009177E3">
        <w:fldChar w:fldCharType="end"/>
      </w:r>
      <w:r w:rsidRPr="009177E3">
        <w:t xml:space="preserve">. At this stage the timeline is indicative only and has been developed to accommodate our preliminary views on new process steps and the </w:t>
      </w:r>
      <w:r w:rsidR="00D85B9E">
        <w:t xml:space="preserve">estimated </w:t>
      </w:r>
      <w:r w:rsidRPr="009177E3">
        <w:t xml:space="preserve">time requirements of including those steps. </w:t>
      </w:r>
    </w:p>
    <w:p w:rsidR="009177E3" w:rsidRPr="009177E3" w:rsidRDefault="009177E3" w:rsidP="009177E3">
      <w:pPr>
        <w:pStyle w:val="Caption"/>
      </w:pPr>
      <w:bookmarkStart w:id="42" w:name="_Ref485035357"/>
      <w:r w:rsidRPr="009177E3">
        <w:t xml:space="preserve">Table </w:t>
      </w:r>
      <w:fldSimple w:instr=" SEQ Table \* ARABIC ">
        <w:r w:rsidRPr="009177E3">
          <w:t>1</w:t>
        </w:r>
      </w:fldSimple>
      <w:bookmarkEnd w:id="42"/>
      <w:r w:rsidRPr="009177E3">
        <w:tab/>
        <w:t>Indicative timeline for the guideline</w:t>
      </w:r>
      <w:r w:rsidR="009F5183">
        <w:t>s</w:t>
      </w:r>
      <w:r w:rsidRPr="009177E3">
        <w:t xml:space="preserve"> review process</w:t>
      </w:r>
    </w:p>
    <w:tbl>
      <w:tblPr>
        <w:tblStyle w:val="AERtable-text0"/>
        <w:tblW w:w="0" w:type="auto"/>
        <w:tblLook w:val="04A0" w:firstRow="1" w:lastRow="0" w:firstColumn="1" w:lastColumn="0" w:noHBand="0" w:noVBand="1"/>
      </w:tblPr>
      <w:tblGrid>
        <w:gridCol w:w="4346"/>
        <w:gridCol w:w="4347"/>
      </w:tblGrid>
      <w:tr w:rsidR="009177E3" w:rsidRPr="009623C5" w:rsidTr="00A96C5B">
        <w:trPr>
          <w:cnfStyle w:val="100000000000" w:firstRow="1" w:lastRow="0" w:firstColumn="0" w:lastColumn="0" w:oddVBand="0" w:evenVBand="0" w:oddHBand="0" w:evenHBand="0" w:firstRowFirstColumn="0" w:firstRowLastColumn="0" w:lastRowFirstColumn="0" w:lastRowLastColumn="0"/>
        </w:trPr>
        <w:tc>
          <w:tcPr>
            <w:tcW w:w="4346" w:type="dxa"/>
          </w:tcPr>
          <w:p w:rsidR="009177E3" w:rsidRPr="009177E3" w:rsidRDefault="009177E3" w:rsidP="009177E3">
            <w:r w:rsidRPr="009177E3">
              <w:t>Date</w:t>
            </w:r>
          </w:p>
        </w:tc>
        <w:tc>
          <w:tcPr>
            <w:tcW w:w="4347" w:type="dxa"/>
          </w:tcPr>
          <w:p w:rsidR="009177E3" w:rsidRPr="009177E3" w:rsidRDefault="009177E3" w:rsidP="009177E3">
            <w:r w:rsidRPr="009177E3">
              <w:t>Milestone</w:t>
            </w:r>
          </w:p>
        </w:tc>
      </w:tr>
      <w:tr w:rsidR="009177E3" w:rsidRPr="009623C5" w:rsidTr="00A96C5B">
        <w:tc>
          <w:tcPr>
            <w:tcW w:w="4346" w:type="dxa"/>
          </w:tcPr>
          <w:p w:rsidR="009177E3" w:rsidRPr="009177E3" w:rsidRDefault="009177E3" w:rsidP="009177E3">
            <w:r w:rsidRPr="009177E3">
              <w:t>July 2017</w:t>
            </w:r>
          </w:p>
        </w:tc>
        <w:tc>
          <w:tcPr>
            <w:tcW w:w="4347" w:type="dxa"/>
          </w:tcPr>
          <w:p w:rsidR="009177E3" w:rsidRPr="009177E3" w:rsidRDefault="009177E3" w:rsidP="009177E3">
            <w:r w:rsidRPr="009177E3">
              <w:t>Review process consultation paper</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4346" w:type="dxa"/>
          </w:tcPr>
          <w:p w:rsidR="009177E3" w:rsidRPr="009177E3" w:rsidRDefault="009177E3" w:rsidP="009177E3">
            <w:r w:rsidRPr="009177E3">
              <w:t>October 2017</w:t>
            </w:r>
          </w:p>
        </w:tc>
        <w:tc>
          <w:tcPr>
            <w:tcW w:w="4347" w:type="dxa"/>
          </w:tcPr>
          <w:p w:rsidR="009177E3" w:rsidRPr="009177E3" w:rsidRDefault="009177E3" w:rsidP="009177E3">
            <w:r w:rsidRPr="009177E3">
              <w:t>Issues paper</w:t>
            </w:r>
          </w:p>
        </w:tc>
      </w:tr>
      <w:tr w:rsidR="009177E3" w:rsidRPr="009623C5" w:rsidTr="00A96C5B">
        <w:tc>
          <w:tcPr>
            <w:tcW w:w="4346" w:type="dxa"/>
          </w:tcPr>
          <w:p w:rsidR="009177E3" w:rsidRPr="009177E3" w:rsidRDefault="009177E3" w:rsidP="009177E3">
            <w:r w:rsidRPr="009177E3">
              <w:t>November 2017 – December 2017</w:t>
            </w:r>
          </w:p>
        </w:tc>
        <w:tc>
          <w:tcPr>
            <w:tcW w:w="4347" w:type="dxa"/>
          </w:tcPr>
          <w:p w:rsidR="009177E3" w:rsidRPr="009177E3" w:rsidRDefault="009177E3" w:rsidP="009177E3">
            <w:r w:rsidRPr="009177E3">
              <w:t>Submissions on issues paper</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4346" w:type="dxa"/>
          </w:tcPr>
          <w:p w:rsidR="009177E3" w:rsidRPr="009177E3" w:rsidRDefault="009177E3" w:rsidP="009177E3">
            <w:r w:rsidRPr="009177E3">
              <w:t>February 2018</w:t>
            </w:r>
            <w:r w:rsidR="00A0208D">
              <w:t xml:space="preserve"> – March 2017</w:t>
            </w:r>
          </w:p>
        </w:tc>
        <w:tc>
          <w:tcPr>
            <w:tcW w:w="4347" w:type="dxa"/>
          </w:tcPr>
          <w:p w:rsidR="009177E3" w:rsidRPr="009177E3" w:rsidRDefault="009177E3" w:rsidP="009177E3">
            <w:r w:rsidRPr="009177E3">
              <w:t>Hot-tubbing sessions</w:t>
            </w:r>
          </w:p>
        </w:tc>
      </w:tr>
      <w:tr w:rsidR="009177E3" w:rsidRPr="009623C5" w:rsidTr="00A96C5B">
        <w:tc>
          <w:tcPr>
            <w:tcW w:w="4346" w:type="dxa"/>
          </w:tcPr>
          <w:p w:rsidR="009177E3" w:rsidRPr="009177E3" w:rsidRDefault="009177E3" w:rsidP="009177E3">
            <w:r w:rsidRPr="009177E3">
              <w:t>May 2018</w:t>
            </w:r>
          </w:p>
        </w:tc>
        <w:tc>
          <w:tcPr>
            <w:tcW w:w="4347" w:type="dxa"/>
          </w:tcPr>
          <w:p w:rsidR="009177E3" w:rsidRPr="009177E3" w:rsidRDefault="009177E3" w:rsidP="009177E3">
            <w:r w:rsidRPr="009177E3">
              <w:t>Publication of draft guideline</w:t>
            </w:r>
            <w:r w:rsidR="009F5183">
              <w:t>s</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4346" w:type="dxa"/>
          </w:tcPr>
          <w:p w:rsidR="009177E3" w:rsidRPr="009177E3" w:rsidRDefault="009177E3" w:rsidP="009177E3">
            <w:r w:rsidRPr="009177E3">
              <w:t>June–August 2018 (approximately 10 weeks)</w:t>
            </w:r>
          </w:p>
        </w:tc>
        <w:tc>
          <w:tcPr>
            <w:tcW w:w="4347" w:type="dxa"/>
          </w:tcPr>
          <w:p w:rsidR="009177E3" w:rsidRPr="009177E3" w:rsidRDefault="00D35F79" w:rsidP="009177E3">
            <w:r>
              <w:t>Independent</w:t>
            </w:r>
            <w:r w:rsidRPr="009177E3">
              <w:t xml:space="preserve"> </w:t>
            </w:r>
            <w:r w:rsidR="009177E3" w:rsidRPr="009177E3">
              <w:t>panel process</w:t>
            </w:r>
          </w:p>
        </w:tc>
      </w:tr>
      <w:tr w:rsidR="009177E3" w:rsidRPr="009623C5" w:rsidTr="00A96C5B">
        <w:tc>
          <w:tcPr>
            <w:tcW w:w="4346" w:type="dxa"/>
          </w:tcPr>
          <w:p w:rsidR="009177E3" w:rsidRPr="009177E3" w:rsidRDefault="009177E3" w:rsidP="009177E3">
            <w:r w:rsidRPr="009177E3">
              <w:t>August 2018</w:t>
            </w:r>
          </w:p>
        </w:tc>
        <w:tc>
          <w:tcPr>
            <w:tcW w:w="4347" w:type="dxa"/>
          </w:tcPr>
          <w:p w:rsidR="009177E3" w:rsidRPr="009177E3" w:rsidRDefault="009177E3" w:rsidP="009177E3">
            <w:r w:rsidRPr="009177E3">
              <w:t>Submissions on draft guideline</w:t>
            </w:r>
            <w:r w:rsidR="009F5183">
              <w:t>s</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4346" w:type="dxa"/>
          </w:tcPr>
          <w:p w:rsidR="009177E3" w:rsidRPr="009177E3" w:rsidRDefault="009177E3" w:rsidP="009177E3">
            <w:r w:rsidRPr="009177E3">
              <w:t>17 December 2018</w:t>
            </w:r>
          </w:p>
        </w:tc>
        <w:tc>
          <w:tcPr>
            <w:tcW w:w="4347" w:type="dxa"/>
          </w:tcPr>
          <w:p w:rsidR="009177E3" w:rsidRPr="009177E3" w:rsidRDefault="009177E3" w:rsidP="009177E3">
            <w:r w:rsidRPr="009177E3">
              <w:t>Publication of final guideline</w:t>
            </w:r>
            <w:r w:rsidR="009F5183">
              <w:t>s</w:t>
            </w:r>
          </w:p>
        </w:tc>
      </w:tr>
    </w:tbl>
    <w:p w:rsidR="009177E3" w:rsidRPr="009177E3" w:rsidRDefault="009177E3" w:rsidP="009177E3">
      <w:r w:rsidRPr="009177E3">
        <w:t>We will publish the final rate of return guideline</w:t>
      </w:r>
      <w:r w:rsidR="009F5183">
        <w:t>s</w:t>
      </w:r>
      <w:r w:rsidRPr="009177E3">
        <w:t xml:space="preserve"> by no later than 17 December 2018.</w:t>
      </w:r>
      <w:r w:rsidRPr="009177E3">
        <w:rPr>
          <w:rStyle w:val="FootnoteReference"/>
        </w:rPr>
        <w:footnoteReference w:id="2"/>
      </w:r>
      <w:r w:rsidRPr="009177E3">
        <w:t xml:space="preserve"> Under the consultation procedures in the NER and NGR,</w:t>
      </w:r>
      <w:r w:rsidRPr="009177E3">
        <w:rPr>
          <w:rStyle w:val="FootnoteReference"/>
        </w:rPr>
        <w:footnoteReference w:id="3"/>
      </w:r>
      <w:r w:rsidRPr="009177E3">
        <w:t xml:space="preserve"> this would mean draft guideline</w:t>
      </w:r>
      <w:r w:rsidR="009F5183">
        <w:t>s</w:t>
      </w:r>
      <w:r w:rsidRPr="009177E3">
        <w:t xml:space="preserve"> </w:t>
      </w:r>
      <w:r w:rsidR="00D85B9E">
        <w:t xml:space="preserve">would need </w:t>
      </w:r>
      <w:r w:rsidRPr="009177E3">
        <w:t>to be published by 24 August 2018.</w:t>
      </w:r>
      <w:r w:rsidRPr="009177E3">
        <w:rPr>
          <w:rStyle w:val="FootnoteReference"/>
        </w:rPr>
        <w:footnoteReference w:id="4"/>
      </w:r>
      <w:r w:rsidRPr="009177E3">
        <w:t xml:space="preserve"> However, the consultation procedures allow for flexibility where the consultation involves issues of unusual complexity or difficulty. In our view, development of the rate of return guideline</w:t>
      </w:r>
      <w:r w:rsidR="009F5183">
        <w:t>s</w:t>
      </w:r>
      <w:r w:rsidRPr="009177E3">
        <w:t xml:space="preserve"> is sufficiently complex to justify an extension of time between the draft and final guidelines.</w:t>
      </w:r>
      <w:r w:rsidRPr="009177E3">
        <w:rPr>
          <w:rStyle w:val="FootnoteReference"/>
        </w:rPr>
        <w:footnoteReference w:id="5"/>
      </w:r>
      <w:r w:rsidRPr="009177E3">
        <w:t xml:space="preserve"> We therefore propose to expand the time period between the draft and final guidelines by publishing draft guideline</w:t>
      </w:r>
      <w:r w:rsidR="009F5183">
        <w:t>s</w:t>
      </w:r>
      <w:r w:rsidRPr="009177E3">
        <w:t xml:space="preserve"> in May 2018</w:t>
      </w:r>
      <w:r w:rsidR="00D35F79">
        <w:t>,</w:t>
      </w:r>
      <w:r w:rsidRPr="009177E3">
        <w:t xml:space="preserve"> while retaining the December 2018 timing for the publication of the final guideline</w:t>
      </w:r>
      <w:r w:rsidR="009F5183">
        <w:t>s</w:t>
      </w:r>
      <w:r w:rsidRPr="009177E3">
        <w:t xml:space="preserve">. We consider that a longer window between the draft and final guidelines will assist </w:t>
      </w:r>
      <w:r w:rsidR="00D85B9E">
        <w:t>the AER and stakeholders</w:t>
      </w:r>
      <w:r w:rsidR="00D85B9E" w:rsidRPr="009177E3">
        <w:t xml:space="preserve"> </w:t>
      </w:r>
      <w:r w:rsidRPr="009177E3">
        <w:t xml:space="preserve">in undertaking the processes discussed in section </w:t>
      </w:r>
      <w:r w:rsidR="00C61C73">
        <w:fldChar w:fldCharType="begin"/>
      </w:r>
      <w:r w:rsidR="00C61C73">
        <w:instrText xml:space="preserve"> REF _Ref488248228 \r \h </w:instrText>
      </w:r>
      <w:r w:rsidR="00C61C73">
        <w:fldChar w:fldCharType="separate"/>
      </w:r>
      <w:r w:rsidR="00C61C73">
        <w:t>3</w:t>
      </w:r>
      <w:r w:rsidR="00C61C73">
        <w:fldChar w:fldCharType="end"/>
      </w:r>
      <w:r w:rsidRPr="009177E3">
        <w:t>.</w:t>
      </w:r>
    </w:p>
    <w:p w:rsidR="009177E3" w:rsidRPr="009177E3" w:rsidRDefault="009177E3" w:rsidP="009177E3">
      <w:r w:rsidRPr="009177E3">
        <w:t xml:space="preserve">While we </w:t>
      </w:r>
      <w:r w:rsidR="00A66F01">
        <w:t>must</w:t>
      </w:r>
      <w:r w:rsidRPr="009177E3">
        <w:t xml:space="preserve"> publish our guideline</w:t>
      </w:r>
      <w:r w:rsidR="009F5183">
        <w:t>s</w:t>
      </w:r>
      <w:r w:rsidRPr="009177E3">
        <w:t xml:space="preserve"> in line with our 17 December 2018 deadline, the application of the guideline</w:t>
      </w:r>
      <w:r w:rsidR="009F5183">
        <w:t>s</w:t>
      </w:r>
      <w:r w:rsidRPr="009177E3">
        <w:t xml:space="preserve"> to particular revenue resets is less certain. The Commonwealth government has stated that it intends to remove limited merits review of our regulatory determinations, and the COAG Energy Council has </w:t>
      </w:r>
      <w:r w:rsidR="00AA2CC6">
        <w:t>committed</w:t>
      </w:r>
      <w:r w:rsidRPr="009177E3">
        <w:t xml:space="preserve"> to developing a framework for binding rate of return guideline</w:t>
      </w:r>
      <w:r w:rsidR="009F5183">
        <w:t>s</w:t>
      </w:r>
      <w:r w:rsidRPr="009177E3">
        <w:t xml:space="preserve">. These reforms may involve changes to relevant legislation and rules, and these changes may have </w:t>
      </w:r>
      <w:r w:rsidRPr="009177E3">
        <w:lastRenderedPageBreak/>
        <w:t xml:space="preserve">implications for the </w:t>
      </w:r>
      <w:r w:rsidR="00D85B9E">
        <w:t xml:space="preserve">timing and </w:t>
      </w:r>
      <w:r w:rsidRPr="009177E3">
        <w:t>application of the rate of return guideline</w:t>
      </w:r>
      <w:r w:rsidR="009F5183">
        <w:t>s</w:t>
      </w:r>
      <w:r w:rsidRPr="009177E3">
        <w:t xml:space="preserve"> to particular upcoming determinations. </w:t>
      </w:r>
    </w:p>
    <w:p w:rsidR="009177E3" w:rsidRDefault="001602BC" w:rsidP="009177E3">
      <w:r>
        <w:fldChar w:fldCharType="begin"/>
      </w:r>
      <w:r>
        <w:instrText xml:space="preserve"> REF _Ref488826697 \h </w:instrText>
      </w:r>
      <w:r>
        <w:fldChar w:fldCharType="separate"/>
      </w:r>
      <w:r w:rsidRPr="009177E3">
        <w:t xml:space="preserve">Table </w:t>
      </w:r>
      <w:r>
        <w:rPr>
          <w:noProof/>
        </w:rPr>
        <w:t>2</w:t>
      </w:r>
      <w:r>
        <w:fldChar w:fldCharType="end"/>
      </w:r>
      <w:r>
        <w:t xml:space="preserve"> outlines the application of the final guideline</w:t>
      </w:r>
      <w:r w:rsidR="009F5183">
        <w:t>s</w:t>
      </w:r>
      <w:r>
        <w:t xml:space="preserve"> to our ongoing and upcoming regulatory determinations based on</w:t>
      </w:r>
      <w:r w:rsidR="009177E3" w:rsidRPr="009177E3">
        <w:t xml:space="preserve"> the current legislative framework.</w:t>
      </w:r>
      <w:r w:rsidR="00F2792D">
        <w:t xml:space="preserve"> We submitted a rule change request to the AEMC in June 2016 requesting the review of the rate of return guideline</w:t>
      </w:r>
      <w:r w:rsidR="009F5183">
        <w:t>s</w:t>
      </w:r>
      <w:r w:rsidR="00F2792D">
        <w:t xml:space="preserve"> be deferred to December 2018.</w:t>
      </w:r>
      <w:r w:rsidR="004E4975">
        <w:t xml:space="preserve"> In October 2016 the AEMC approved this rule change request, and also made transitional provisions addressing the application of the </w:t>
      </w:r>
      <w:r w:rsidR="00D85B9E">
        <w:t xml:space="preserve">current and new </w:t>
      </w:r>
      <w:r w:rsidR="004E4975">
        <w:t>guideline</w:t>
      </w:r>
      <w:r w:rsidR="009F5183">
        <w:t>s</w:t>
      </w:r>
      <w:r w:rsidR="004E4975">
        <w:t xml:space="preserve"> to particular determinations. </w:t>
      </w:r>
      <w:r w:rsidR="004E4975">
        <w:fldChar w:fldCharType="begin"/>
      </w:r>
      <w:r w:rsidR="004E4975">
        <w:instrText xml:space="preserve"> REF _Ref488826697 \h </w:instrText>
      </w:r>
      <w:r w:rsidR="004E4975">
        <w:fldChar w:fldCharType="separate"/>
      </w:r>
      <w:r w:rsidR="004E4975" w:rsidRPr="009177E3">
        <w:t xml:space="preserve">Table </w:t>
      </w:r>
      <w:r w:rsidR="004E4975">
        <w:rPr>
          <w:noProof/>
        </w:rPr>
        <w:t>2</w:t>
      </w:r>
      <w:r w:rsidR="004E4975">
        <w:fldChar w:fldCharType="end"/>
      </w:r>
      <w:r w:rsidR="004E4975">
        <w:t xml:space="preserve"> reflects the arrangements put in place by the </w:t>
      </w:r>
      <w:proofErr w:type="gramStart"/>
      <w:r w:rsidR="004E4975">
        <w:t>AEMC</w:t>
      </w:r>
      <w:r w:rsidR="00D85B9E">
        <w:t xml:space="preserve"> </w:t>
      </w:r>
      <w:r w:rsidR="004E4975">
        <w:t xml:space="preserve"> and</w:t>
      </w:r>
      <w:proofErr w:type="gramEnd"/>
      <w:r w:rsidR="004E4975">
        <w:t xml:space="preserve"> the transitional provisions </w:t>
      </w:r>
      <w:r w:rsidR="00E86B62">
        <w:t xml:space="preserve">included in </w:t>
      </w:r>
      <w:r w:rsidR="00D85B9E">
        <w:t>its</w:t>
      </w:r>
      <w:r w:rsidR="00E86B62">
        <w:t xml:space="preserve"> rule determination.</w:t>
      </w:r>
    </w:p>
    <w:p w:rsidR="005F4968" w:rsidRPr="009177E3" w:rsidRDefault="005F4968" w:rsidP="005F4968">
      <w:pPr>
        <w:pStyle w:val="Caption"/>
      </w:pPr>
      <w:bookmarkStart w:id="43" w:name="_Ref488826697"/>
      <w:r w:rsidRPr="009177E3">
        <w:t xml:space="preserve">Table </w:t>
      </w:r>
      <w:fldSimple w:instr=" SEQ Table \* ARABIC ">
        <w:r w:rsidR="009F0DA6">
          <w:rPr>
            <w:noProof/>
          </w:rPr>
          <w:t>2</w:t>
        </w:r>
      </w:fldSimple>
      <w:bookmarkEnd w:id="43"/>
      <w:r w:rsidRPr="009177E3">
        <w:tab/>
      </w:r>
      <w:r>
        <w:t>Application of reviewed</w:t>
      </w:r>
      <w:r w:rsidRPr="009177E3">
        <w:t xml:space="preserve"> guideline</w:t>
      </w:r>
      <w:r w:rsidR="009F5183">
        <w:t>s</w:t>
      </w:r>
      <w:r w:rsidRPr="009177E3">
        <w:t xml:space="preserve"> </w:t>
      </w:r>
      <w:r w:rsidR="009F0DA6">
        <w:t>to ongoing and upcoming regulatory determinations</w:t>
      </w:r>
      <w:r w:rsidR="00372829">
        <w:t xml:space="preserve"> (under current legislation)</w:t>
      </w:r>
    </w:p>
    <w:tbl>
      <w:tblPr>
        <w:tblStyle w:val="AERtable-text0"/>
        <w:tblW w:w="0" w:type="auto"/>
        <w:tblLook w:val="04A0" w:firstRow="1" w:lastRow="0" w:firstColumn="1" w:lastColumn="0" w:noHBand="0" w:noVBand="1"/>
      </w:tblPr>
      <w:tblGrid>
        <w:gridCol w:w="4346"/>
        <w:gridCol w:w="4347"/>
      </w:tblGrid>
      <w:tr w:rsidR="005F4968" w:rsidTr="001602BC">
        <w:trPr>
          <w:cnfStyle w:val="100000000000" w:firstRow="1" w:lastRow="0" w:firstColumn="0" w:lastColumn="0" w:oddVBand="0" w:evenVBand="0" w:oddHBand="0" w:evenHBand="0" w:firstRowFirstColumn="0" w:firstRowLastColumn="0" w:lastRowFirstColumn="0" w:lastRowLastColumn="0"/>
        </w:trPr>
        <w:tc>
          <w:tcPr>
            <w:tcW w:w="4346" w:type="dxa"/>
          </w:tcPr>
          <w:p w:rsidR="005F4968" w:rsidRDefault="005F4968" w:rsidP="009177E3">
            <w:r>
              <w:t>Regulatory determinations</w:t>
            </w:r>
          </w:p>
        </w:tc>
        <w:tc>
          <w:tcPr>
            <w:tcW w:w="4347" w:type="dxa"/>
          </w:tcPr>
          <w:p w:rsidR="005F4968" w:rsidRDefault="005F4968" w:rsidP="009177E3">
            <w:r>
              <w:t>Applicable rate of return guideline</w:t>
            </w:r>
            <w:r w:rsidR="009F5183">
              <w:t>s</w:t>
            </w:r>
          </w:p>
        </w:tc>
      </w:tr>
      <w:tr w:rsidR="00E86B62" w:rsidTr="001602BC">
        <w:tc>
          <w:tcPr>
            <w:tcW w:w="4346" w:type="dxa"/>
          </w:tcPr>
          <w:p w:rsidR="00E86B62" w:rsidRDefault="00E86B62" w:rsidP="009177E3">
            <w:r>
              <w:t xml:space="preserve">2018-22 access arrangements for AusNet Services, AGN, </w:t>
            </w:r>
            <w:proofErr w:type="spellStart"/>
            <w:r>
              <w:t>MultiNet</w:t>
            </w:r>
            <w:proofErr w:type="spellEnd"/>
            <w:r>
              <w:t>, and APAVTS</w:t>
            </w:r>
          </w:p>
        </w:tc>
        <w:tc>
          <w:tcPr>
            <w:tcW w:w="4347" w:type="dxa"/>
          </w:tcPr>
          <w:p w:rsidR="00E86B62" w:rsidRDefault="00E86B62" w:rsidP="009177E3">
            <w:r>
              <w:t>2013 Guideline</w:t>
            </w:r>
            <w:r w:rsidR="009F5183">
              <w:t>s</w:t>
            </w:r>
            <w:r>
              <w:t xml:space="preserve"> appl</w:t>
            </w:r>
            <w:r w:rsidR="009F5183">
              <w:t>y</w:t>
            </w:r>
            <w:r>
              <w:t xml:space="preserve"> to entire process</w:t>
            </w:r>
          </w:p>
        </w:tc>
      </w:tr>
      <w:tr w:rsidR="005F4968" w:rsidTr="001602BC">
        <w:trPr>
          <w:cnfStyle w:val="000000010000" w:firstRow="0" w:lastRow="0" w:firstColumn="0" w:lastColumn="0" w:oddVBand="0" w:evenVBand="0" w:oddHBand="0" w:evenHBand="1" w:firstRowFirstColumn="0" w:firstRowLastColumn="0" w:lastRowFirstColumn="0" w:lastRowLastColumn="0"/>
        </w:trPr>
        <w:tc>
          <w:tcPr>
            <w:tcW w:w="4346" w:type="dxa"/>
          </w:tcPr>
          <w:p w:rsidR="005F4968" w:rsidRDefault="00E86B62" w:rsidP="00E86B62">
            <w:r>
              <w:t xml:space="preserve">2018-23 transmission determinations for </w:t>
            </w:r>
            <w:r w:rsidR="005F4968">
              <w:t xml:space="preserve">ElectraNet, Murraylink, and TransGrid </w:t>
            </w:r>
          </w:p>
        </w:tc>
        <w:tc>
          <w:tcPr>
            <w:tcW w:w="4347" w:type="dxa"/>
          </w:tcPr>
          <w:p w:rsidR="005F4968" w:rsidRDefault="005F4968" w:rsidP="009177E3">
            <w:r>
              <w:t>2013 Guideline</w:t>
            </w:r>
            <w:r w:rsidR="009F5183">
              <w:t>s</w:t>
            </w:r>
            <w:r>
              <w:t xml:space="preserve"> appl</w:t>
            </w:r>
            <w:r w:rsidR="009F5183">
              <w:t>y</w:t>
            </w:r>
            <w:r>
              <w:t xml:space="preserve"> to entire process</w:t>
            </w:r>
          </w:p>
        </w:tc>
      </w:tr>
      <w:tr w:rsidR="005F4968" w:rsidTr="001602BC">
        <w:tc>
          <w:tcPr>
            <w:tcW w:w="4346" w:type="dxa"/>
          </w:tcPr>
          <w:p w:rsidR="005F4968" w:rsidRDefault="005F4968" w:rsidP="00E851B8">
            <w:r>
              <w:t>2019-24 distribution determinations for Ausgrid, Endeavour Energy, Essential Energy, ActewAGL, and NT Power and Water</w:t>
            </w:r>
          </w:p>
        </w:tc>
        <w:tc>
          <w:tcPr>
            <w:tcW w:w="4347" w:type="dxa"/>
          </w:tcPr>
          <w:p w:rsidR="005F4968" w:rsidRDefault="005F4968" w:rsidP="009177E3">
            <w:r>
              <w:t xml:space="preserve">2013 </w:t>
            </w:r>
            <w:r w:rsidRPr="005F4968">
              <w:t>Guideline</w:t>
            </w:r>
            <w:r w:rsidR="009F5183">
              <w:t>s</w:t>
            </w:r>
            <w:r w:rsidRPr="005F4968">
              <w:t xml:space="preserve"> appl</w:t>
            </w:r>
            <w:r w:rsidR="009F5183">
              <w:t>y</w:t>
            </w:r>
            <w:r w:rsidRPr="005F4968">
              <w:t xml:space="preserve"> to entire process</w:t>
            </w:r>
          </w:p>
        </w:tc>
      </w:tr>
      <w:tr w:rsidR="002C567F" w:rsidTr="004E76F0">
        <w:trPr>
          <w:cnfStyle w:val="000000010000" w:firstRow="0" w:lastRow="0" w:firstColumn="0" w:lastColumn="0" w:oddVBand="0" w:evenVBand="0" w:oddHBand="0" w:evenHBand="1" w:firstRowFirstColumn="0" w:firstRowLastColumn="0" w:lastRowFirstColumn="0" w:lastRowLastColumn="0"/>
        </w:trPr>
        <w:tc>
          <w:tcPr>
            <w:tcW w:w="4346" w:type="dxa"/>
          </w:tcPr>
          <w:p w:rsidR="002C567F" w:rsidRPr="002C567F" w:rsidRDefault="002C567F" w:rsidP="002C567F">
            <w:r>
              <w:t>20</w:t>
            </w:r>
            <w:r w:rsidRPr="002C567F">
              <w:t>19-24 transmission determination for TasNetworks</w:t>
            </w:r>
          </w:p>
        </w:tc>
        <w:tc>
          <w:tcPr>
            <w:tcW w:w="4347" w:type="dxa"/>
          </w:tcPr>
          <w:p w:rsidR="002C567F" w:rsidRPr="002C567F" w:rsidRDefault="002C567F" w:rsidP="002C567F">
            <w:r>
              <w:t xml:space="preserve">2013 </w:t>
            </w:r>
            <w:r w:rsidRPr="002C567F">
              <w:t>Guideline</w:t>
            </w:r>
            <w:r w:rsidR="009F5183">
              <w:t>s</w:t>
            </w:r>
            <w:r w:rsidRPr="002C567F">
              <w:t xml:space="preserve"> appl</w:t>
            </w:r>
            <w:r w:rsidR="009F5183">
              <w:t>y</w:t>
            </w:r>
            <w:r w:rsidRPr="002C567F">
              <w:t xml:space="preserve"> to entire process</w:t>
            </w:r>
          </w:p>
        </w:tc>
      </w:tr>
      <w:tr w:rsidR="002C567F" w:rsidTr="001602BC">
        <w:tc>
          <w:tcPr>
            <w:tcW w:w="4346" w:type="dxa"/>
          </w:tcPr>
          <w:p w:rsidR="002C567F" w:rsidRPr="002C567F" w:rsidRDefault="002C567F" w:rsidP="002C567F">
            <w:r>
              <w:t xml:space="preserve">2019-24 distribution determinations for </w:t>
            </w:r>
            <w:r w:rsidRPr="002C567F">
              <w:t>TasNetworks</w:t>
            </w:r>
          </w:p>
        </w:tc>
        <w:tc>
          <w:tcPr>
            <w:tcW w:w="4347" w:type="dxa"/>
          </w:tcPr>
          <w:p w:rsidR="002C567F" w:rsidRPr="002C567F" w:rsidRDefault="002C567F" w:rsidP="002C567F">
            <w:r>
              <w:t>2013 Guideline</w:t>
            </w:r>
            <w:r w:rsidR="009F5183">
              <w:t>s</w:t>
            </w:r>
            <w:r>
              <w:t xml:space="preserve"> appl</w:t>
            </w:r>
            <w:r w:rsidR="009F5183">
              <w:t>y</w:t>
            </w:r>
            <w:r>
              <w:t xml:space="preserve"> to initial regulatory proposal</w:t>
            </w:r>
            <w:r w:rsidRPr="002C567F">
              <w:t xml:space="preserve"> (January 2018), draft decision (September 2018) and revised regulatory proposal (December 2018).</w:t>
            </w:r>
          </w:p>
          <w:p w:rsidR="002C567F" w:rsidRPr="002C567F" w:rsidRDefault="002C567F" w:rsidP="002C567F">
            <w:r>
              <w:t>2018 Guideline</w:t>
            </w:r>
            <w:r w:rsidR="009F5183">
              <w:t>s</w:t>
            </w:r>
            <w:r>
              <w:t xml:space="preserve"> appl</w:t>
            </w:r>
            <w:r w:rsidR="007B012F">
              <w:t>y</w:t>
            </w:r>
            <w:r>
              <w:t xml:space="preserve"> to </w:t>
            </w:r>
            <w:r w:rsidRPr="002C567F">
              <w:t>final decision (April 2019).</w:t>
            </w:r>
          </w:p>
          <w:p w:rsidR="002C567F" w:rsidRPr="002C567F" w:rsidRDefault="002C567F" w:rsidP="00E86B62">
            <w:r>
              <w:t xml:space="preserve">However, </w:t>
            </w:r>
            <w:r w:rsidR="004E4975">
              <w:t xml:space="preserve">in June 2017 </w:t>
            </w:r>
            <w:r>
              <w:t xml:space="preserve">TasNetworks submitted a rule change request to the AEMC requesting that </w:t>
            </w:r>
            <w:r w:rsidR="001602BC">
              <w:t>the 2013 Guideline</w:t>
            </w:r>
            <w:r w:rsidR="009F5183">
              <w:t>s</w:t>
            </w:r>
            <w:r w:rsidR="001602BC">
              <w:t xml:space="preserve"> apply to the entirety of its distribution process. This will align the treatment of </w:t>
            </w:r>
            <w:r>
              <w:t xml:space="preserve">its </w:t>
            </w:r>
            <w:r w:rsidR="001602BC">
              <w:t xml:space="preserve">distribution and </w:t>
            </w:r>
            <w:r>
              <w:t>transmission determination</w:t>
            </w:r>
            <w:r w:rsidR="001602BC">
              <w:t>s</w:t>
            </w:r>
            <w:r>
              <w:t>.</w:t>
            </w:r>
          </w:p>
        </w:tc>
      </w:tr>
      <w:tr w:rsidR="002C567F" w:rsidTr="004E76F0">
        <w:trPr>
          <w:cnfStyle w:val="000000010000" w:firstRow="0" w:lastRow="0" w:firstColumn="0" w:lastColumn="0" w:oddVBand="0" w:evenVBand="0" w:oddHBand="0" w:evenHBand="1" w:firstRowFirstColumn="0" w:firstRowLastColumn="0" w:lastRowFirstColumn="0" w:lastRowLastColumn="0"/>
        </w:trPr>
        <w:tc>
          <w:tcPr>
            <w:tcW w:w="4346" w:type="dxa"/>
          </w:tcPr>
          <w:p w:rsidR="002C567F" w:rsidRPr="002C567F" w:rsidRDefault="002C567F" w:rsidP="002C567F">
            <w:r>
              <w:t>2019-24 access arrangement for Central Ranges Pipeline</w:t>
            </w:r>
          </w:p>
        </w:tc>
        <w:tc>
          <w:tcPr>
            <w:tcW w:w="4347" w:type="dxa"/>
          </w:tcPr>
          <w:p w:rsidR="002C567F" w:rsidRPr="002C567F" w:rsidRDefault="002C567F" w:rsidP="002C567F">
            <w:r>
              <w:t>2013 Guideline</w:t>
            </w:r>
            <w:r w:rsidR="009F5183">
              <w:t>s</w:t>
            </w:r>
            <w:r>
              <w:t xml:space="preserve"> appl</w:t>
            </w:r>
            <w:r w:rsidR="009F5183">
              <w:t>y</w:t>
            </w:r>
            <w:r>
              <w:t xml:space="preserve"> to initial access arrangement proposal </w:t>
            </w:r>
            <w:r w:rsidRPr="002C567F">
              <w:t>(July/September 2018).</w:t>
            </w:r>
          </w:p>
          <w:p w:rsidR="002C567F" w:rsidRPr="002C567F" w:rsidRDefault="002C567F" w:rsidP="002C567F">
            <w:r>
              <w:t xml:space="preserve">2018 </w:t>
            </w:r>
            <w:r w:rsidRPr="002C567F">
              <w:t>Guideline</w:t>
            </w:r>
            <w:r w:rsidR="009F5183">
              <w:t>s</w:t>
            </w:r>
            <w:r w:rsidRPr="002C567F">
              <w:t xml:space="preserve"> appl</w:t>
            </w:r>
            <w:r w:rsidR="009F5183">
              <w:t>y</w:t>
            </w:r>
            <w:r w:rsidRPr="002C567F">
              <w:t xml:space="preserve"> to draft decision (indicative January 2019) revised access arrangement proposal (indicative February 2019) and final decision (May 2019).</w:t>
            </w:r>
          </w:p>
        </w:tc>
      </w:tr>
      <w:tr w:rsidR="002C567F" w:rsidTr="001602BC">
        <w:tc>
          <w:tcPr>
            <w:tcW w:w="4346" w:type="dxa"/>
          </w:tcPr>
          <w:p w:rsidR="002C567F" w:rsidRPr="002C567F" w:rsidRDefault="002C567F" w:rsidP="002C567F">
            <w:r>
              <w:t>20</w:t>
            </w:r>
            <w:r w:rsidRPr="002C567F">
              <w:t>20-25 transmission determination for Directlink</w:t>
            </w:r>
          </w:p>
        </w:tc>
        <w:tc>
          <w:tcPr>
            <w:tcW w:w="4347" w:type="dxa"/>
          </w:tcPr>
          <w:p w:rsidR="002C567F" w:rsidRPr="002C567F" w:rsidRDefault="002C567F" w:rsidP="002C567F">
            <w:r>
              <w:t>2018 Guideline</w:t>
            </w:r>
            <w:r w:rsidR="009F5183">
              <w:t>s</w:t>
            </w:r>
            <w:r>
              <w:t xml:space="preserve"> appl</w:t>
            </w:r>
            <w:r w:rsidR="009F5183">
              <w:t>y</w:t>
            </w:r>
            <w:r>
              <w:t xml:space="preserve"> to entire process</w:t>
            </w:r>
          </w:p>
        </w:tc>
      </w:tr>
      <w:tr w:rsidR="002C567F" w:rsidTr="001602BC">
        <w:trPr>
          <w:cnfStyle w:val="000000010000" w:firstRow="0" w:lastRow="0" w:firstColumn="0" w:lastColumn="0" w:oddVBand="0" w:evenVBand="0" w:oddHBand="0" w:evenHBand="1" w:firstRowFirstColumn="0" w:firstRowLastColumn="0" w:lastRowFirstColumn="0" w:lastRowLastColumn="0"/>
        </w:trPr>
        <w:tc>
          <w:tcPr>
            <w:tcW w:w="4346" w:type="dxa"/>
          </w:tcPr>
          <w:p w:rsidR="002C567F" w:rsidRPr="002C567F" w:rsidRDefault="002C567F" w:rsidP="002C567F">
            <w:r>
              <w:t xml:space="preserve">2020-25 </w:t>
            </w:r>
            <w:r w:rsidRPr="002C567F">
              <w:t>distribution determinations for SA Power Networks, Energex, and Ergon Energy</w:t>
            </w:r>
          </w:p>
        </w:tc>
        <w:tc>
          <w:tcPr>
            <w:tcW w:w="4347" w:type="dxa"/>
          </w:tcPr>
          <w:p w:rsidR="002C567F" w:rsidRPr="002C567F" w:rsidRDefault="002C567F" w:rsidP="002C567F">
            <w:r>
              <w:t>2018 Guideline</w:t>
            </w:r>
            <w:r w:rsidR="009F5183">
              <w:t>s</w:t>
            </w:r>
            <w:r>
              <w:t xml:space="preserve"> appl</w:t>
            </w:r>
            <w:r w:rsidR="009F5183">
              <w:t>y</w:t>
            </w:r>
            <w:r>
              <w:t xml:space="preserve"> to entire process</w:t>
            </w:r>
          </w:p>
        </w:tc>
      </w:tr>
      <w:tr w:rsidR="002C567F" w:rsidTr="001602BC">
        <w:tc>
          <w:tcPr>
            <w:tcW w:w="4346" w:type="dxa"/>
          </w:tcPr>
          <w:p w:rsidR="002C567F" w:rsidRPr="002C567F" w:rsidRDefault="002C567F" w:rsidP="002C567F">
            <w:r>
              <w:t>2020-</w:t>
            </w:r>
            <w:r w:rsidRPr="002C567F">
              <w:t>25 access arrangement for Jemena Gas Networks</w:t>
            </w:r>
          </w:p>
        </w:tc>
        <w:tc>
          <w:tcPr>
            <w:tcW w:w="4347" w:type="dxa"/>
          </w:tcPr>
          <w:p w:rsidR="002C567F" w:rsidRPr="002C567F" w:rsidRDefault="002C567F" w:rsidP="002C567F">
            <w:r>
              <w:t>2018 Guideline</w:t>
            </w:r>
            <w:r w:rsidR="009F5183">
              <w:t>s</w:t>
            </w:r>
            <w:r>
              <w:t xml:space="preserve"> appl</w:t>
            </w:r>
            <w:r w:rsidR="009F5183">
              <w:t>y</w:t>
            </w:r>
            <w:r>
              <w:t xml:space="preserve"> to entire process</w:t>
            </w:r>
          </w:p>
        </w:tc>
      </w:tr>
      <w:tr w:rsidR="002C567F" w:rsidTr="001602BC">
        <w:trPr>
          <w:cnfStyle w:val="000000010000" w:firstRow="0" w:lastRow="0" w:firstColumn="0" w:lastColumn="0" w:oddVBand="0" w:evenVBand="0" w:oddHBand="0" w:evenHBand="1" w:firstRowFirstColumn="0" w:firstRowLastColumn="0" w:lastRowFirstColumn="0" w:lastRowLastColumn="0"/>
        </w:trPr>
        <w:tc>
          <w:tcPr>
            <w:tcW w:w="4346" w:type="dxa"/>
          </w:tcPr>
          <w:p w:rsidR="002C567F" w:rsidRPr="002C567F" w:rsidRDefault="002C567F" w:rsidP="002C567F">
            <w:r>
              <w:t>2021-25</w:t>
            </w:r>
            <w:r w:rsidRPr="002C567F">
              <w:t xml:space="preserve"> distribution determinations for AusNet Services, CitiPower, Jemena Electricity Networks, </w:t>
            </w:r>
            <w:proofErr w:type="spellStart"/>
            <w:r w:rsidRPr="002C567F">
              <w:t>Powercor</w:t>
            </w:r>
            <w:proofErr w:type="spellEnd"/>
            <w:r w:rsidRPr="002C567F">
              <w:t>, and United Energy</w:t>
            </w:r>
          </w:p>
        </w:tc>
        <w:tc>
          <w:tcPr>
            <w:tcW w:w="4347" w:type="dxa"/>
          </w:tcPr>
          <w:p w:rsidR="002C567F" w:rsidRPr="002C567F" w:rsidRDefault="002C567F" w:rsidP="002C567F">
            <w:r>
              <w:t>2018 Guideline</w:t>
            </w:r>
            <w:r w:rsidR="009F5183">
              <w:t>s</w:t>
            </w:r>
            <w:r>
              <w:t xml:space="preserve"> appl</w:t>
            </w:r>
            <w:r w:rsidR="009F5183">
              <w:t>y</w:t>
            </w:r>
            <w:r>
              <w:t xml:space="preserve"> to entire process</w:t>
            </w:r>
          </w:p>
        </w:tc>
      </w:tr>
    </w:tbl>
    <w:p w:rsidR="005F4968" w:rsidRDefault="007857CA" w:rsidP="001602BC">
      <w:pPr>
        <w:pStyle w:val="AERtablesource"/>
      </w:pPr>
      <w:r>
        <w:t xml:space="preserve">Source: </w:t>
      </w:r>
      <w:r>
        <w:tab/>
        <w:t>National Electricity Rules, clauses 6.5.2(p</w:t>
      </w:r>
      <w:proofErr w:type="gramStart"/>
      <w:r>
        <w:t>)(</w:t>
      </w:r>
      <w:proofErr w:type="gramEnd"/>
      <w:r>
        <w:t>1), 6A.6.2(p)(1), and Part ZZU.</w:t>
      </w:r>
    </w:p>
    <w:p w:rsidR="007857CA" w:rsidRDefault="007857CA" w:rsidP="001602BC">
      <w:pPr>
        <w:pStyle w:val="AERtablesource"/>
      </w:pPr>
      <w:r>
        <w:tab/>
        <w:t xml:space="preserve">National Gas Rules, </w:t>
      </w:r>
      <w:proofErr w:type="spellStart"/>
      <w:r>
        <w:t>subrule</w:t>
      </w:r>
      <w:proofErr w:type="spellEnd"/>
      <w:r>
        <w:t xml:space="preserve"> 87(16</w:t>
      </w:r>
      <w:proofErr w:type="gramStart"/>
      <w:r>
        <w:t>)(</w:t>
      </w:r>
      <w:proofErr w:type="gramEnd"/>
      <w:r>
        <w:t>a).</w:t>
      </w:r>
    </w:p>
    <w:p w:rsidR="007857CA" w:rsidRDefault="007857CA" w:rsidP="001602BC">
      <w:pPr>
        <w:pStyle w:val="AERtablesource"/>
      </w:pPr>
      <w:r>
        <w:lastRenderedPageBreak/>
        <w:tab/>
        <w:t xml:space="preserve">See also </w:t>
      </w:r>
      <w:r w:rsidR="007D3089" w:rsidRPr="001602BC">
        <w:rPr>
          <w:rStyle w:val="AERtextitalic"/>
        </w:rPr>
        <w:t>AEMC National Electricity Amendment (Rate of Return Guidelines Review) Rule 2016 No. 9</w:t>
      </w:r>
      <w:r w:rsidR="007D3089">
        <w:t xml:space="preserve">, and </w:t>
      </w:r>
      <w:r w:rsidRPr="001602BC">
        <w:rPr>
          <w:rStyle w:val="AERtextitalic"/>
        </w:rPr>
        <w:t>AEMC National Gas Amendment (Rate of Return Guidelines Review) Rule 2016 No. 2</w:t>
      </w:r>
      <w:r w:rsidR="007D3089">
        <w:t xml:space="preserve"> (Commenced 20 October 2016).</w:t>
      </w:r>
    </w:p>
    <w:p w:rsidR="007D3089" w:rsidRPr="001602BC" w:rsidRDefault="007D3089" w:rsidP="001602BC">
      <w:pPr>
        <w:pStyle w:val="AERtablesource"/>
      </w:pPr>
      <w:r>
        <w:tab/>
        <w:t xml:space="preserve">For TasNetworks' proposed rule change, see: TasNetworks, </w:t>
      </w:r>
      <w:r w:rsidRPr="001602BC">
        <w:rPr>
          <w:rStyle w:val="AERtextitalic"/>
        </w:rPr>
        <w:t>Request for rule change submission</w:t>
      </w:r>
      <w:r>
        <w:t>, 9 June 2017.</w:t>
      </w:r>
    </w:p>
    <w:p w:rsidR="009177E3" w:rsidRPr="009177E3" w:rsidRDefault="009177E3" w:rsidP="009177E3"/>
    <w:p w:rsidR="009177E3" w:rsidRPr="009177E3" w:rsidRDefault="00D85B9E" w:rsidP="009177E3">
      <w:pPr>
        <w:pStyle w:val="Heading1"/>
      </w:pPr>
      <w:bookmarkStart w:id="44" w:name="_Ref488248228"/>
      <w:bookmarkStart w:id="45" w:name="_Toc489275600"/>
      <w:r>
        <w:lastRenderedPageBreak/>
        <w:t>Proposed s</w:t>
      </w:r>
      <w:r w:rsidR="009177E3" w:rsidRPr="009177E3">
        <w:t>teps in the review process</w:t>
      </w:r>
      <w:bookmarkEnd w:id="44"/>
      <w:bookmarkEnd w:id="45"/>
    </w:p>
    <w:p w:rsidR="009177E3" w:rsidRPr="009177E3" w:rsidRDefault="009177E3" w:rsidP="009177E3">
      <w:r w:rsidRPr="009177E3">
        <w:t>In line with the relevant consultation procedures in the NER and NGR,</w:t>
      </w:r>
      <w:r w:rsidRPr="009177E3">
        <w:rPr>
          <w:rStyle w:val="FootnoteReference"/>
        </w:rPr>
        <w:footnoteReference w:id="6"/>
      </w:r>
      <w:r w:rsidRPr="009177E3">
        <w:t xml:space="preserve"> we will publish draft and final rate of return guideline</w:t>
      </w:r>
      <w:r w:rsidR="009F5183">
        <w:t>s</w:t>
      </w:r>
      <w:r w:rsidRPr="009177E3">
        <w:t>. However, due to the significance of the guideline</w:t>
      </w:r>
      <w:r w:rsidR="009F5183">
        <w:t>s</w:t>
      </w:r>
      <w:r w:rsidRPr="009177E3">
        <w:t xml:space="preserve"> for the sector, we propose to include more consultation than </w:t>
      </w:r>
      <w:r w:rsidR="00D85B9E">
        <w:t xml:space="preserve">what </w:t>
      </w:r>
      <w:r w:rsidRPr="009177E3">
        <w:t>is required under the rules. In the section below we set out a series of steps we propose to include in the process, including:</w:t>
      </w:r>
    </w:p>
    <w:p w:rsidR="009177E3" w:rsidRPr="009177E3" w:rsidRDefault="009177E3" w:rsidP="009177E3">
      <w:pPr>
        <w:pStyle w:val="AERbulletlistfirststyle"/>
        <w:rPr>
          <w:rStyle w:val="AERbody"/>
        </w:rPr>
      </w:pPr>
      <w:r w:rsidRPr="009177E3">
        <w:rPr>
          <w:rStyle w:val="AERbody"/>
        </w:rPr>
        <w:t>A consumer reference group</w:t>
      </w:r>
    </w:p>
    <w:p w:rsidR="009177E3" w:rsidRPr="009177E3" w:rsidRDefault="009177E3" w:rsidP="009177E3">
      <w:pPr>
        <w:pStyle w:val="AERbulletlistfirststyle"/>
        <w:rPr>
          <w:rStyle w:val="AERbody"/>
        </w:rPr>
      </w:pPr>
      <w:r w:rsidRPr="009177E3">
        <w:rPr>
          <w:rStyle w:val="AERbody"/>
        </w:rPr>
        <w:t>A dedicated consumer challenge sub-panel</w:t>
      </w:r>
    </w:p>
    <w:p w:rsidR="009177E3" w:rsidRPr="009177E3" w:rsidRDefault="009177E3" w:rsidP="009177E3">
      <w:pPr>
        <w:pStyle w:val="AERbulletlistfirststyle"/>
        <w:rPr>
          <w:rStyle w:val="AERbody"/>
        </w:rPr>
      </w:pPr>
      <w:r w:rsidRPr="009177E3">
        <w:rPr>
          <w:rStyle w:val="AERbody"/>
        </w:rPr>
        <w:t>Targeted workshops and information sessions</w:t>
      </w:r>
    </w:p>
    <w:p w:rsidR="009177E3" w:rsidRPr="009177E3" w:rsidRDefault="009177E3" w:rsidP="009177E3">
      <w:pPr>
        <w:pStyle w:val="AERbulletlistfirststyle"/>
        <w:rPr>
          <w:rStyle w:val="AERbody"/>
        </w:rPr>
      </w:pPr>
      <w:r w:rsidRPr="009177E3">
        <w:rPr>
          <w:rStyle w:val="AERbody"/>
        </w:rPr>
        <w:t>An October 2017 issues paper</w:t>
      </w:r>
    </w:p>
    <w:p w:rsidR="009177E3" w:rsidRPr="009177E3" w:rsidRDefault="009177E3" w:rsidP="009177E3">
      <w:pPr>
        <w:pStyle w:val="AERbulletlistfirststyle"/>
        <w:rPr>
          <w:rStyle w:val="AERbody"/>
        </w:rPr>
      </w:pPr>
      <w:r w:rsidRPr="009177E3">
        <w:rPr>
          <w:rStyle w:val="AERbody"/>
        </w:rPr>
        <w:t>'Hot-tubbing' of expert advisers</w:t>
      </w:r>
    </w:p>
    <w:p w:rsidR="009177E3" w:rsidRPr="009177E3" w:rsidRDefault="009177E3" w:rsidP="009177E3">
      <w:pPr>
        <w:pStyle w:val="AERbulletlistfirststyle"/>
        <w:rPr>
          <w:rStyle w:val="AERbody"/>
        </w:rPr>
      </w:pPr>
      <w:r w:rsidRPr="009177E3">
        <w:rPr>
          <w:rStyle w:val="AERbody"/>
        </w:rPr>
        <w:t>An independent review of our draft guideline</w:t>
      </w:r>
      <w:r w:rsidR="009F5183">
        <w:rPr>
          <w:rStyle w:val="AERbody"/>
        </w:rPr>
        <w:t>s</w:t>
      </w:r>
      <w:r w:rsidRPr="009177E3">
        <w:rPr>
          <w:rStyle w:val="AERbody"/>
        </w:rPr>
        <w:t>.</w:t>
      </w:r>
    </w:p>
    <w:p w:rsidR="009177E3" w:rsidRPr="009177E3" w:rsidRDefault="009177E3" w:rsidP="009177E3">
      <w:r w:rsidRPr="009177E3">
        <w:t xml:space="preserve">Below we set out some preliminary views on how we think these steps </w:t>
      </w:r>
      <w:r w:rsidR="00D85B9E">
        <w:t>should</w:t>
      </w:r>
      <w:r w:rsidR="00D85B9E" w:rsidRPr="009177E3">
        <w:t xml:space="preserve"> </w:t>
      </w:r>
      <w:r w:rsidRPr="009177E3">
        <w:t>work and what they will add to the guideline</w:t>
      </w:r>
      <w:r w:rsidR="009F5183">
        <w:t>s</w:t>
      </w:r>
      <w:r w:rsidRPr="009177E3">
        <w:t xml:space="preserve"> review process. This is not an exhaustive list and we are open to views from stakeholders on other potential options.</w:t>
      </w:r>
    </w:p>
    <w:p w:rsidR="009177E3" w:rsidRPr="009177E3" w:rsidRDefault="009177E3" w:rsidP="009177E3">
      <w:pPr>
        <w:pStyle w:val="Heading2"/>
      </w:pPr>
      <w:bookmarkStart w:id="46" w:name="_Toc489275601"/>
      <w:r w:rsidRPr="009177E3">
        <w:t>Consumer reference group</w:t>
      </w:r>
      <w:bookmarkEnd w:id="46"/>
    </w:p>
    <w:p w:rsidR="009177E3" w:rsidRPr="009177E3" w:rsidRDefault="009177E3" w:rsidP="009177E3">
      <w:r w:rsidRPr="009177E3">
        <w:t xml:space="preserve">The rate of return has a substantial impact on </w:t>
      </w:r>
      <w:r w:rsidR="00D85B9E">
        <w:t>consumers'</w:t>
      </w:r>
      <w:r w:rsidR="00D85B9E" w:rsidRPr="009177E3">
        <w:t xml:space="preserve"> </w:t>
      </w:r>
      <w:r w:rsidR="00D85B9E">
        <w:t xml:space="preserve">electricity and gas </w:t>
      </w:r>
      <w:r w:rsidRPr="009177E3">
        <w:t>bills. For that reason, it is important that we maximise the opportunities for consumer participation. A consumer reference group could serve as a central point of contact for individual consumers or small consumer groups to coordinate participation in various steps of the process and to provide ongoing feedback to their members. We anticipate this feedback would go beyond the technical feedback provided by the consumer challenge panel (</w:t>
      </w:r>
      <w:r w:rsidR="00C61C73">
        <w:t xml:space="preserve">section </w:t>
      </w:r>
      <w:r w:rsidR="00C61C73">
        <w:fldChar w:fldCharType="begin"/>
      </w:r>
      <w:r w:rsidR="00C61C73">
        <w:instrText xml:space="preserve"> REF _Ref488248334 \r \h </w:instrText>
      </w:r>
      <w:r w:rsidR="00C61C73">
        <w:fldChar w:fldCharType="separate"/>
      </w:r>
      <w:r w:rsidR="00C61C73">
        <w:t>3.2</w:t>
      </w:r>
      <w:r w:rsidR="00C61C73">
        <w:fldChar w:fldCharType="end"/>
      </w:r>
      <w:r w:rsidRPr="009177E3">
        <w:t>).</w:t>
      </w:r>
    </w:p>
    <w:p w:rsidR="009177E3" w:rsidRDefault="009177E3" w:rsidP="009177E3">
      <w:r w:rsidRPr="009177E3">
        <w:t>The benefit of establishing a consumer reference group is to facilitate the participation and engagement of consumer</w:t>
      </w:r>
      <w:r w:rsidR="00150A5F">
        <w:t>s</w:t>
      </w:r>
      <w:r w:rsidRPr="009177E3">
        <w:t xml:space="preserve"> throughout the process. It would also allow us to provide more targeted consultation, such as through workshops and information sessions (</w:t>
      </w:r>
      <w:r w:rsidR="00C61C73">
        <w:t xml:space="preserve">section </w:t>
      </w:r>
      <w:r w:rsidR="00C61C73">
        <w:fldChar w:fldCharType="begin"/>
      </w:r>
      <w:r w:rsidR="00C61C73">
        <w:instrText xml:space="preserve"> REF _Ref488248350 \r \h </w:instrText>
      </w:r>
      <w:r w:rsidR="00C61C73">
        <w:fldChar w:fldCharType="separate"/>
      </w:r>
      <w:r w:rsidR="00C61C73">
        <w:t>3.3</w:t>
      </w:r>
      <w:r w:rsidR="00C61C73">
        <w:fldChar w:fldCharType="end"/>
      </w:r>
      <w:r w:rsidRPr="009177E3">
        <w:t>).</w:t>
      </w:r>
    </w:p>
    <w:p w:rsidR="00AA2CC6" w:rsidRDefault="00AA2CC6" w:rsidP="009177E3"/>
    <w:p w:rsidR="00AA2CC6" w:rsidRDefault="00AA2CC6" w:rsidP="009177E3"/>
    <w:p w:rsidR="00AA2CC6" w:rsidRPr="009177E3" w:rsidRDefault="00AA2CC6" w:rsidP="009177E3"/>
    <w:p w:rsidR="009177E3" w:rsidRPr="009177E3" w:rsidRDefault="009177E3" w:rsidP="009177E3">
      <w:pPr>
        <w:pStyle w:val="Caption"/>
      </w:pPr>
      <w:r w:rsidRPr="009177E3">
        <w:lastRenderedPageBreak/>
        <w:t xml:space="preserve">Table </w:t>
      </w:r>
      <w:fldSimple w:instr=" SEQ Table \* ARABIC ">
        <w:r w:rsidRPr="009177E3">
          <w:t>2</w:t>
        </w:r>
      </w:fldSimple>
      <w:r w:rsidRPr="009177E3">
        <w:tab/>
        <w:t>Preliminary thoughts on the consumer reference group</w:t>
      </w:r>
    </w:p>
    <w:tbl>
      <w:tblPr>
        <w:tblStyle w:val="AERtable-text0"/>
        <w:tblW w:w="0" w:type="auto"/>
        <w:tblLook w:val="04A0" w:firstRow="1" w:lastRow="0" w:firstColumn="1" w:lastColumn="0" w:noHBand="0" w:noVBand="1"/>
      </w:tblPr>
      <w:tblGrid>
        <w:gridCol w:w="1384"/>
        <w:gridCol w:w="7309"/>
      </w:tblGrid>
      <w:tr w:rsidR="009177E3" w:rsidRPr="009623C5" w:rsidTr="00A96C5B">
        <w:trPr>
          <w:cnfStyle w:val="100000000000" w:firstRow="1" w:lastRow="0" w:firstColumn="0" w:lastColumn="0" w:oddVBand="0" w:evenVBand="0" w:oddHBand="0" w:evenHBand="0" w:firstRowFirstColumn="0" w:firstRowLastColumn="0" w:lastRowFirstColumn="0" w:lastRowLastColumn="0"/>
        </w:trPr>
        <w:tc>
          <w:tcPr>
            <w:tcW w:w="1384" w:type="dxa"/>
          </w:tcPr>
          <w:p w:rsidR="009177E3" w:rsidRPr="009177E3" w:rsidRDefault="009177E3" w:rsidP="009177E3">
            <w:r w:rsidRPr="009177E3">
              <w:t>Issue</w:t>
            </w:r>
          </w:p>
        </w:tc>
        <w:tc>
          <w:tcPr>
            <w:tcW w:w="7309" w:type="dxa"/>
          </w:tcPr>
          <w:p w:rsidR="009177E3" w:rsidRPr="009177E3" w:rsidRDefault="009177E3" w:rsidP="009177E3">
            <w:r w:rsidRPr="009177E3">
              <w:t>AER's preliminary thoughts</w:t>
            </w:r>
          </w:p>
        </w:tc>
      </w:tr>
      <w:tr w:rsidR="009177E3" w:rsidRPr="009623C5" w:rsidTr="00A96C5B">
        <w:tc>
          <w:tcPr>
            <w:tcW w:w="1384" w:type="dxa"/>
          </w:tcPr>
          <w:p w:rsidR="009177E3" w:rsidRPr="009177E3" w:rsidRDefault="009177E3" w:rsidP="009177E3">
            <w:r w:rsidRPr="009177E3">
              <w:t>Purpose</w:t>
            </w:r>
          </w:p>
        </w:tc>
        <w:tc>
          <w:tcPr>
            <w:tcW w:w="7309" w:type="dxa"/>
          </w:tcPr>
          <w:p w:rsidR="009177E3" w:rsidRPr="009177E3" w:rsidRDefault="009177E3" w:rsidP="00D35F79">
            <w:r w:rsidRPr="009177E3">
              <w:t>The consumer reference group will facilitate consumer participation and engagement throughout the rate of return guideline</w:t>
            </w:r>
            <w:r w:rsidR="009F5183">
              <w:t>s</w:t>
            </w:r>
            <w:r w:rsidRPr="009177E3">
              <w:t xml:space="preserve"> development process.</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1384" w:type="dxa"/>
          </w:tcPr>
          <w:p w:rsidR="009177E3" w:rsidRPr="009177E3" w:rsidRDefault="009177E3" w:rsidP="009177E3">
            <w:r w:rsidRPr="009177E3">
              <w:t>When</w:t>
            </w:r>
          </w:p>
        </w:tc>
        <w:tc>
          <w:tcPr>
            <w:tcW w:w="7309" w:type="dxa"/>
          </w:tcPr>
          <w:p w:rsidR="009177E3" w:rsidRPr="009177E3" w:rsidRDefault="009177E3" w:rsidP="009177E3">
            <w:r w:rsidRPr="009177E3">
              <w:t>We propose to constitute the consumer reference group prior to publishing the issues paper in October 2017.</w:t>
            </w:r>
          </w:p>
        </w:tc>
      </w:tr>
      <w:tr w:rsidR="009177E3" w:rsidRPr="009623C5" w:rsidTr="00A96C5B">
        <w:tc>
          <w:tcPr>
            <w:tcW w:w="1384" w:type="dxa"/>
          </w:tcPr>
          <w:p w:rsidR="009177E3" w:rsidRPr="009177E3" w:rsidRDefault="009177E3" w:rsidP="009177E3">
            <w:r w:rsidRPr="009177E3">
              <w:t>Opportunity for stakeholder input</w:t>
            </w:r>
          </w:p>
        </w:tc>
        <w:tc>
          <w:tcPr>
            <w:tcW w:w="7309" w:type="dxa"/>
          </w:tcPr>
          <w:p w:rsidR="009177E3" w:rsidRPr="009177E3" w:rsidRDefault="009177E3" w:rsidP="009177E3">
            <w:r w:rsidRPr="009177E3">
              <w:t>Following release of the issues paper we would expect the commencement of substantive consultation on rate of return issues.</w:t>
            </w:r>
          </w:p>
        </w:tc>
      </w:tr>
    </w:tbl>
    <w:p w:rsidR="009177E3" w:rsidRPr="009177E3" w:rsidRDefault="009177E3" w:rsidP="009177E3">
      <w:pPr>
        <w:pStyle w:val="Heading2"/>
      </w:pPr>
      <w:bookmarkStart w:id="47" w:name="_Ref488248334"/>
      <w:bookmarkStart w:id="48" w:name="_Toc489275602"/>
      <w:r w:rsidRPr="009177E3">
        <w:t>Consumer challenge subpanel</w:t>
      </w:r>
      <w:bookmarkEnd w:id="47"/>
      <w:bookmarkEnd w:id="48"/>
    </w:p>
    <w:p w:rsidR="009177E3" w:rsidRPr="009177E3" w:rsidRDefault="009177E3" w:rsidP="009177E3">
      <w:r w:rsidRPr="009177E3">
        <w:t xml:space="preserve">The </w:t>
      </w:r>
      <w:r w:rsidR="00F554C6" w:rsidRPr="009177E3">
        <w:t xml:space="preserve">consumer challenge panel </w:t>
      </w:r>
      <w:r w:rsidR="00F554C6">
        <w:t>(</w:t>
      </w:r>
      <w:r w:rsidRPr="009177E3">
        <w:t>CCP</w:t>
      </w:r>
      <w:r w:rsidR="00F554C6">
        <w:t>)</w:t>
      </w:r>
      <w:r w:rsidRPr="009177E3">
        <w:t xml:space="preserve"> is a panel of experts—each appointed in their individual capacity—to a non</w:t>
      </w:r>
      <w:r w:rsidR="00D35F79">
        <w:noBreakHyphen/>
      </w:r>
      <w:r w:rsidRPr="009177E3">
        <w:t xml:space="preserve">statutory advisory board to assist us </w:t>
      </w:r>
      <w:r w:rsidR="00F554C6">
        <w:t>in</w:t>
      </w:r>
      <w:r w:rsidR="00F554C6" w:rsidRPr="009177E3">
        <w:t xml:space="preserve"> </w:t>
      </w:r>
      <w:r w:rsidRPr="009177E3">
        <w:t>mak</w:t>
      </w:r>
      <w:r w:rsidR="00F554C6">
        <w:t>ing</w:t>
      </w:r>
      <w:r w:rsidRPr="009177E3">
        <w:t xml:space="preserve"> better regulatory determinations by providing input on issues of importance to consumers. This ongoing consumer perspective helps us to achieve a balanced consideration of all views. We established the </w:t>
      </w:r>
      <w:r w:rsidR="00D35F79">
        <w:t>CCP</w:t>
      </w:r>
      <w:r w:rsidRPr="009177E3">
        <w:t xml:space="preserve"> in 2014, and have established a separate sub-panel with a specific focus on the rate of return guideline</w:t>
      </w:r>
      <w:r w:rsidR="009F5183">
        <w:t>s</w:t>
      </w:r>
      <w:r w:rsidRPr="009177E3">
        <w:t xml:space="preserve"> review.</w:t>
      </w:r>
    </w:p>
    <w:p w:rsidR="009177E3" w:rsidRPr="009177E3" w:rsidRDefault="009177E3" w:rsidP="009177E3">
      <w:pPr>
        <w:pStyle w:val="Caption"/>
      </w:pPr>
      <w:r w:rsidRPr="009177E3">
        <w:t xml:space="preserve">Table </w:t>
      </w:r>
      <w:fldSimple w:instr=" SEQ Table \* ARABIC ">
        <w:r w:rsidRPr="009177E3">
          <w:t>3</w:t>
        </w:r>
      </w:fldSimple>
      <w:r w:rsidRPr="009177E3">
        <w:tab/>
        <w:t>Preliminary thoughts on the CCP sub-panel</w:t>
      </w:r>
    </w:p>
    <w:tbl>
      <w:tblPr>
        <w:tblStyle w:val="AERtable-text0"/>
        <w:tblW w:w="0" w:type="auto"/>
        <w:tblLook w:val="04A0" w:firstRow="1" w:lastRow="0" w:firstColumn="1" w:lastColumn="0" w:noHBand="0" w:noVBand="1"/>
      </w:tblPr>
      <w:tblGrid>
        <w:gridCol w:w="1384"/>
        <w:gridCol w:w="7309"/>
      </w:tblGrid>
      <w:tr w:rsidR="009177E3" w:rsidRPr="009623C5" w:rsidTr="00A96C5B">
        <w:trPr>
          <w:cnfStyle w:val="100000000000" w:firstRow="1" w:lastRow="0" w:firstColumn="0" w:lastColumn="0" w:oddVBand="0" w:evenVBand="0" w:oddHBand="0" w:evenHBand="0" w:firstRowFirstColumn="0" w:firstRowLastColumn="0" w:lastRowFirstColumn="0" w:lastRowLastColumn="0"/>
        </w:trPr>
        <w:tc>
          <w:tcPr>
            <w:tcW w:w="1384" w:type="dxa"/>
          </w:tcPr>
          <w:p w:rsidR="009177E3" w:rsidRPr="009177E3" w:rsidRDefault="009177E3" w:rsidP="009177E3">
            <w:r w:rsidRPr="009177E3">
              <w:t>Issue</w:t>
            </w:r>
          </w:p>
        </w:tc>
        <w:tc>
          <w:tcPr>
            <w:tcW w:w="7309" w:type="dxa"/>
          </w:tcPr>
          <w:p w:rsidR="009177E3" w:rsidRPr="009177E3" w:rsidRDefault="009177E3" w:rsidP="009177E3">
            <w:r w:rsidRPr="009177E3">
              <w:t>AER's preliminary thoughts</w:t>
            </w:r>
          </w:p>
        </w:tc>
      </w:tr>
      <w:tr w:rsidR="009177E3" w:rsidRPr="009623C5" w:rsidTr="00A96C5B">
        <w:tc>
          <w:tcPr>
            <w:tcW w:w="1384" w:type="dxa"/>
          </w:tcPr>
          <w:p w:rsidR="009177E3" w:rsidRPr="009177E3" w:rsidRDefault="009177E3" w:rsidP="009177E3">
            <w:r w:rsidRPr="009177E3">
              <w:t>Purpose</w:t>
            </w:r>
          </w:p>
        </w:tc>
        <w:tc>
          <w:tcPr>
            <w:tcW w:w="7309" w:type="dxa"/>
          </w:tcPr>
          <w:p w:rsidR="009177E3" w:rsidRPr="009177E3" w:rsidRDefault="009177E3" w:rsidP="00D35F79">
            <w:r w:rsidRPr="004F5BBE">
              <w:t>The CCP role is to challenge the AER’s analysis from a consumer’s perspective</w:t>
            </w:r>
            <w:r w:rsidRPr="009177E3">
              <w:t xml:space="preserve">, to provide consumer focussed advice on technical matters, and </w:t>
            </w:r>
            <w:r w:rsidR="00D35F79">
              <w:t>suggest</w:t>
            </w:r>
            <w:r w:rsidR="00D35F79" w:rsidRPr="009177E3">
              <w:t xml:space="preserve"> </w:t>
            </w:r>
            <w:r w:rsidRPr="009177E3">
              <w:t>any approaches we may explore through our process.</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1384" w:type="dxa"/>
          </w:tcPr>
          <w:p w:rsidR="009177E3" w:rsidRPr="009177E3" w:rsidRDefault="009177E3" w:rsidP="009177E3">
            <w:r w:rsidRPr="009177E3">
              <w:t>When</w:t>
            </w:r>
          </w:p>
        </w:tc>
        <w:tc>
          <w:tcPr>
            <w:tcW w:w="7309" w:type="dxa"/>
          </w:tcPr>
          <w:p w:rsidR="009177E3" w:rsidRPr="009177E3" w:rsidRDefault="009177E3" w:rsidP="009177E3">
            <w:r w:rsidRPr="009177E3">
              <w:t>We have formed a guideline</w:t>
            </w:r>
            <w:r w:rsidR="009F5183">
              <w:t>s</w:t>
            </w:r>
            <w:r w:rsidRPr="009177E3">
              <w:t xml:space="preserve"> review sub-panel from the existing CCP.</w:t>
            </w:r>
          </w:p>
        </w:tc>
      </w:tr>
      <w:tr w:rsidR="009177E3" w:rsidRPr="009623C5" w:rsidTr="00A96C5B">
        <w:tc>
          <w:tcPr>
            <w:tcW w:w="1384" w:type="dxa"/>
          </w:tcPr>
          <w:p w:rsidR="009177E3" w:rsidRPr="009177E3" w:rsidRDefault="009177E3" w:rsidP="009177E3">
            <w:r w:rsidRPr="009177E3">
              <w:t>Opportunity for stakeholder input</w:t>
            </w:r>
          </w:p>
        </w:tc>
        <w:tc>
          <w:tcPr>
            <w:tcW w:w="7309" w:type="dxa"/>
          </w:tcPr>
          <w:p w:rsidR="009177E3" w:rsidRPr="009177E3" w:rsidRDefault="009177E3" w:rsidP="009177E3">
            <w:r w:rsidRPr="009177E3">
              <w:t>Following release of the issues paper we would expect substantive consultation on rate of return issues to commence.</w:t>
            </w:r>
          </w:p>
        </w:tc>
      </w:tr>
    </w:tbl>
    <w:p w:rsidR="009177E3" w:rsidRPr="009177E3" w:rsidRDefault="009177E3" w:rsidP="009177E3">
      <w:pPr>
        <w:pStyle w:val="Heading2"/>
      </w:pPr>
      <w:bookmarkStart w:id="49" w:name="_Ref488248350"/>
      <w:bookmarkStart w:id="50" w:name="_Toc489275603"/>
      <w:r w:rsidRPr="009177E3">
        <w:t>Targeted workshops and information sessions</w:t>
      </w:r>
      <w:bookmarkEnd w:id="49"/>
      <w:bookmarkEnd w:id="50"/>
    </w:p>
    <w:p w:rsidR="009177E3" w:rsidRPr="009177E3" w:rsidRDefault="009177E3" w:rsidP="009177E3">
      <w:r w:rsidRPr="009177E3">
        <w:t xml:space="preserve">Rate of return decisions are detailed and complex. As a result, many consumers have found rate of return discussions inaccessible, even where there are opportunities for consultation. However, the ultimate objective of the national electricity and gas frameworks is to promote the long-term interests of consumers. In our view, it is critical to have informed consumer perspectives on their own long-term interests. To address this, we </w:t>
      </w:r>
      <w:proofErr w:type="gramStart"/>
      <w:r w:rsidR="00F554C6">
        <w:t xml:space="preserve">intend </w:t>
      </w:r>
      <w:r w:rsidRPr="009177E3">
        <w:t xml:space="preserve"> to</w:t>
      </w:r>
      <w:proofErr w:type="gramEnd"/>
      <w:r w:rsidRPr="009177E3">
        <w:t xml:space="preserve"> facilitat</w:t>
      </w:r>
      <w:r w:rsidR="00F554C6">
        <w:t>e</w:t>
      </w:r>
      <w:r w:rsidRPr="009177E3">
        <w:t xml:space="preserve"> a series of </w:t>
      </w:r>
      <w:r w:rsidR="00D635F8">
        <w:t xml:space="preserve">introductory workshops, </w:t>
      </w:r>
      <w:r w:rsidRPr="009177E3">
        <w:t>targeted workshops and skills sessions. These could include topics such as:</w:t>
      </w:r>
    </w:p>
    <w:p w:rsidR="00D635F8" w:rsidRDefault="00D635F8" w:rsidP="009177E3">
      <w:pPr>
        <w:pStyle w:val="AERbulletlistfirststyle"/>
      </w:pPr>
      <w:r>
        <w:t xml:space="preserve">Introductory workshops </w:t>
      </w:r>
      <w:r w:rsidR="00FD0A02">
        <w:t xml:space="preserve">on </w:t>
      </w:r>
      <w:r>
        <w:t xml:space="preserve">the role of the rate of return in the broader regulatory </w:t>
      </w:r>
      <w:r w:rsidR="00FD0A02">
        <w:t>framework</w:t>
      </w:r>
      <w:r>
        <w:t>, the rate of return objective, and interrelationships between the rate of return and other aspects of our determinations</w:t>
      </w:r>
    </w:p>
    <w:p w:rsidR="009177E3" w:rsidRPr="009177E3" w:rsidRDefault="00FD0A02" w:rsidP="009177E3">
      <w:pPr>
        <w:pStyle w:val="AERbulletlistfirststyle"/>
      </w:pPr>
      <w:r>
        <w:t>Targeted</w:t>
      </w:r>
      <w:r w:rsidRPr="009177E3">
        <w:t xml:space="preserve"> </w:t>
      </w:r>
      <w:r w:rsidR="009177E3" w:rsidRPr="009177E3">
        <w:t>workshops on specific rate of return issues</w:t>
      </w:r>
    </w:p>
    <w:p w:rsidR="009177E3" w:rsidRPr="009177E3" w:rsidRDefault="009177E3" w:rsidP="009177E3">
      <w:pPr>
        <w:pStyle w:val="AERbulletlistfirststyle"/>
      </w:pPr>
      <w:r w:rsidRPr="009177E3">
        <w:t>Finance theory</w:t>
      </w:r>
    </w:p>
    <w:p w:rsidR="009177E3" w:rsidRPr="009177E3" w:rsidRDefault="009177E3" w:rsidP="009177E3">
      <w:pPr>
        <w:pStyle w:val="AERbulletlistfirststyle"/>
      </w:pPr>
      <w:r w:rsidRPr="009177E3">
        <w:lastRenderedPageBreak/>
        <w:t xml:space="preserve">The impact of court </w:t>
      </w:r>
      <w:r w:rsidR="00F554C6">
        <w:t xml:space="preserve">precedents </w:t>
      </w:r>
      <w:r w:rsidRPr="009177E3">
        <w:t xml:space="preserve">and tribunal </w:t>
      </w:r>
      <w:r w:rsidR="00F554C6">
        <w:t>decisions</w:t>
      </w:r>
      <w:r w:rsidR="00F554C6" w:rsidRPr="009177E3">
        <w:t xml:space="preserve"> </w:t>
      </w:r>
      <w:r w:rsidRPr="009177E3">
        <w:t>on how we interpret the rate of return framework</w:t>
      </w:r>
    </w:p>
    <w:p w:rsidR="009177E3" w:rsidRPr="009177E3" w:rsidRDefault="009177E3" w:rsidP="009177E3">
      <w:pPr>
        <w:pStyle w:val="AERbulletlistfirststyle"/>
      </w:pPr>
      <w:r w:rsidRPr="009177E3">
        <w:t xml:space="preserve">Summaries of submissions and distillation of issues </w:t>
      </w:r>
      <w:proofErr w:type="gramStart"/>
      <w:r w:rsidRPr="009177E3">
        <w:t>raised</w:t>
      </w:r>
      <w:proofErr w:type="gramEnd"/>
      <w:r w:rsidRPr="009177E3">
        <w:t xml:space="preserve"> at various stages into key areas of contention</w:t>
      </w:r>
      <w:r w:rsidR="00D35F79">
        <w:t>.</w:t>
      </w:r>
    </w:p>
    <w:p w:rsidR="009177E3" w:rsidRPr="009177E3" w:rsidRDefault="009177E3" w:rsidP="009177E3">
      <w:pPr>
        <w:pStyle w:val="Caption"/>
      </w:pPr>
      <w:proofErr w:type="gramStart"/>
      <w:r w:rsidRPr="009177E3">
        <w:t xml:space="preserve">Table  </w:t>
      </w:r>
      <w:proofErr w:type="gramEnd"/>
      <w:r w:rsidR="00047C9C">
        <w:fldChar w:fldCharType="begin"/>
      </w:r>
      <w:r w:rsidR="00047C9C">
        <w:instrText xml:space="preserve"> SEQ Table \* ARABIC </w:instrText>
      </w:r>
      <w:r w:rsidR="00047C9C">
        <w:fldChar w:fldCharType="separate"/>
      </w:r>
      <w:r w:rsidRPr="009177E3">
        <w:t>4</w:t>
      </w:r>
      <w:r w:rsidR="00047C9C">
        <w:fldChar w:fldCharType="end"/>
      </w:r>
      <w:r w:rsidRPr="009177E3">
        <w:tab/>
        <w:t>Preliminary thoughts on workshops and information sessions</w:t>
      </w:r>
    </w:p>
    <w:tbl>
      <w:tblPr>
        <w:tblStyle w:val="AERtable-text0"/>
        <w:tblW w:w="0" w:type="auto"/>
        <w:tblLook w:val="04A0" w:firstRow="1" w:lastRow="0" w:firstColumn="1" w:lastColumn="0" w:noHBand="0" w:noVBand="1"/>
      </w:tblPr>
      <w:tblGrid>
        <w:gridCol w:w="1384"/>
        <w:gridCol w:w="7309"/>
      </w:tblGrid>
      <w:tr w:rsidR="009177E3" w:rsidRPr="009623C5" w:rsidTr="00A96C5B">
        <w:trPr>
          <w:cnfStyle w:val="100000000000" w:firstRow="1" w:lastRow="0" w:firstColumn="0" w:lastColumn="0" w:oddVBand="0" w:evenVBand="0" w:oddHBand="0" w:evenHBand="0" w:firstRowFirstColumn="0" w:firstRowLastColumn="0" w:lastRowFirstColumn="0" w:lastRowLastColumn="0"/>
        </w:trPr>
        <w:tc>
          <w:tcPr>
            <w:tcW w:w="1384" w:type="dxa"/>
          </w:tcPr>
          <w:p w:rsidR="009177E3" w:rsidRPr="009177E3" w:rsidRDefault="009177E3" w:rsidP="009177E3">
            <w:r w:rsidRPr="009177E3">
              <w:t>Issue</w:t>
            </w:r>
          </w:p>
        </w:tc>
        <w:tc>
          <w:tcPr>
            <w:tcW w:w="7309" w:type="dxa"/>
          </w:tcPr>
          <w:p w:rsidR="009177E3" w:rsidRPr="009177E3" w:rsidRDefault="009177E3" w:rsidP="009177E3">
            <w:r w:rsidRPr="009177E3">
              <w:t>AER's preliminary thoughts</w:t>
            </w:r>
          </w:p>
        </w:tc>
      </w:tr>
      <w:tr w:rsidR="009177E3" w:rsidRPr="009623C5" w:rsidTr="00A96C5B">
        <w:tc>
          <w:tcPr>
            <w:tcW w:w="1384" w:type="dxa"/>
          </w:tcPr>
          <w:p w:rsidR="009177E3" w:rsidRPr="009177E3" w:rsidRDefault="009177E3" w:rsidP="009177E3">
            <w:r w:rsidRPr="009177E3">
              <w:t>Purpose</w:t>
            </w:r>
          </w:p>
        </w:tc>
        <w:tc>
          <w:tcPr>
            <w:tcW w:w="7309" w:type="dxa"/>
          </w:tcPr>
          <w:p w:rsidR="009177E3" w:rsidRPr="009177E3" w:rsidRDefault="009177E3" w:rsidP="009177E3">
            <w:r w:rsidRPr="009177E3">
              <w:t>To provide ongoing</w:t>
            </w:r>
            <w:r w:rsidR="00FD0A02">
              <w:t xml:space="preserve"> general and </w:t>
            </w:r>
            <w:r w:rsidRPr="009177E3">
              <w:t xml:space="preserve">targeted assistance to stakeholders </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1384" w:type="dxa"/>
          </w:tcPr>
          <w:p w:rsidR="009177E3" w:rsidRPr="009177E3" w:rsidRDefault="009177E3" w:rsidP="009177E3">
            <w:r w:rsidRPr="009177E3">
              <w:t>When</w:t>
            </w:r>
          </w:p>
        </w:tc>
        <w:tc>
          <w:tcPr>
            <w:tcW w:w="7309" w:type="dxa"/>
          </w:tcPr>
          <w:p w:rsidR="009177E3" w:rsidRPr="009177E3" w:rsidRDefault="009177E3" w:rsidP="009177E3">
            <w:r w:rsidRPr="009177E3">
              <w:t>We are open to holding these sessions at any stage during the guideline</w:t>
            </w:r>
            <w:r w:rsidR="00A55AED">
              <w:t>s</w:t>
            </w:r>
            <w:r w:rsidRPr="009177E3">
              <w:t xml:space="preserve"> development process subject to feedback from stakeholders. However, it may be most useful to conduct workshops in the lead-up to the October issues paper so stakeholders are in a position to contribute to any early 'filtering' of less contentious issues.</w:t>
            </w:r>
          </w:p>
        </w:tc>
      </w:tr>
      <w:tr w:rsidR="009177E3" w:rsidRPr="009623C5" w:rsidTr="00A96C5B">
        <w:tc>
          <w:tcPr>
            <w:tcW w:w="1384" w:type="dxa"/>
          </w:tcPr>
          <w:p w:rsidR="009177E3" w:rsidRPr="009177E3" w:rsidRDefault="009177E3" w:rsidP="009177E3">
            <w:r w:rsidRPr="009177E3">
              <w:t>How will we coordinate the sessions</w:t>
            </w:r>
          </w:p>
        </w:tc>
        <w:tc>
          <w:tcPr>
            <w:tcW w:w="7309" w:type="dxa"/>
          </w:tcPr>
          <w:p w:rsidR="009177E3" w:rsidRPr="009177E3" w:rsidRDefault="009177E3" w:rsidP="009177E3">
            <w:r w:rsidRPr="009177E3">
              <w:t>We propose that the consumer reference group could serve as a point of contact between consumers more broadly and the AER in requesting and coordinating workshops.</w:t>
            </w:r>
          </w:p>
        </w:tc>
      </w:tr>
    </w:tbl>
    <w:p w:rsidR="009177E3" w:rsidRPr="009177E3" w:rsidRDefault="009177E3" w:rsidP="009177E3">
      <w:pPr>
        <w:pStyle w:val="Heading2"/>
      </w:pPr>
      <w:bookmarkStart w:id="51" w:name="_Toc489275604"/>
      <w:r w:rsidRPr="009177E3">
        <w:t>Issues paper</w:t>
      </w:r>
      <w:bookmarkEnd w:id="51"/>
    </w:p>
    <w:p w:rsidR="009177E3" w:rsidRDefault="009177E3" w:rsidP="009177E3">
      <w:r w:rsidRPr="009177E3">
        <w:t>The relevant consultation procedures for making rate of return guideline</w:t>
      </w:r>
      <w:r w:rsidR="00A55AED">
        <w:t>s</w:t>
      </w:r>
      <w:r w:rsidRPr="009177E3">
        <w:t xml:space="preserve"> require a draft and final decision. We propose to publish the draft decision in May 2018 and the final decision in December 2018. However, in order to promote earlier consultation on substantive issues, we propose to publish an issues paper in October 2017. While we may undertake specific targeted consultation with key stakeholders prior to this time, the issues paper would mark the commencement of broad consultation on substantive issues.</w:t>
      </w:r>
    </w:p>
    <w:p w:rsidR="000C1A13" w:rsidRPr="009177E3" w:rsidRDefault="000C1A13" w:rsidP="000C1A13">
      <w:pPr>
        <w:pStyle w:val="Caption"/>
      </w:pPr>
      <w:proofErr w:type="gramStart"/>
      <w:r w:rsidRPr="009177E3">
        <w:t xml:space="preserve">Table  </w:t>
      </w:r>
      <w:proofErr w:type="gramEnd"/>
      <w:r>
        <w:fldChar w:fldCharType="begin"/>
      </w:r>
      <w:r>
        <w:instrText xml:space="preserve"> SEQ Table \* ARABIC </w:instrText>
      </w:r>
      <w:r>
        <w:fldChar w:fldCharType="separate"/>
      </w:r>
      <w:r w:rsidRPr="009177E3">
        <w:t>5</w:t>
      </w:r>
      <w:r>
        <w:fldChar w:fldCharType="end"/>
      </w:r>
      <w:r w:rsidRPr="009177E3">
        <w:tab/>
        <w:t>Preliminary thoughts on the issues paper</w:t>
      </w:r>
    </w:p>
    <w:tbl>
      <w:tblPr>
        <w:tblStyle w:val="AERtable-text0"/>
        <w:tblW w:w="0" w:type="auto"/>
        <w:tblLook w:val="04A0" w:firstRow="1" w:lastRow="0" w:firstColumn="1" w:lastColumn="0" w:noHBand="0" w:noVBand="1"/>
      </w:tblPr>
      <w:tblGrid>
        <w:gridCol w:w="1384"/>
        <w:gridCol w:w="7309"/>
      </w:tblGrid>
      <w:tr w:rsidR="000C1A13" w:rsidRPr="009623C5" w:rsidTr="00CB2AFF">
        <w:trPr>
          <w:cnfStyle w:val="100000000000" w:firstRow="1" w:lastRow="0" w:firstColumn="0" w:lastColumn="0" w:oddVBand="0" w:evenVBand="0" w:oddHBand="0" w:evenHBand="0" w:firstRowFirstColumn="0" w:firstRowLastColumn="0" w:lastRowFirstColumn="0" w:lastRowLastColumn="0"/>
        </w:trPr>
        <w:tc>
          <w:tcPr>
            <w:tcW w:w="1384" w:type="dxa"/>
          </w:tcPr>
          <w:p w:rsidR="000C1A13" w:rsidRPr="000C1A13" w:rsidRDefault="000C1A13" w:rsidP="000C1A13">
            <w:r w:rsidRPr="009177E3">
              <w:t>Issue</w:t>
            </w:r>
          </w:p>
        </w:tc>
        <w:tc>
          <w:tcPr>
            <w:tcW w:w="7309" w:type="dxa"/>
          </w:tcPr>
          <w:p w:rsidR="000C1A13" w:rsidRPr="000C1A13" w:rsidRDefault="000C1A13" w:rsidP="000C1A13">
            <w:r w:rsidRPr="009177E3">
              <w:t>AER's preliminary thoughts</w:t>
            </w:r>
          </w:p>
        </w:tc>
      </w:tr>
      <w:tr w:rsidR="000C1A13" w:rsidRPr="009623C5" w:rsidTr="00CB2AFF">
        <w:tc>
          <w:tcPr>
            <w:tcW w:w="1384" w:type="dxa"/>
          </w:tcPr>
          <w:p w:rsidR="000C1A13" w:rsidRPr="000C1A13" w:rsidRDefault="000C1A13" w:rsidP="000C1A13">
            <w:r w:rsidRPr="009177E3">
              <w:t>Purpose</w:t>
            </w:r>
          </w:p>
        </w:tc>
        <w:tc>
          <w:tcPr>
            <w:tcW w:w="7309" w:type="dxa"/>
          </w:tcPr>
          <w:p w:rsidR="000C1A13" w:rsidRPr="000C1A13" w:rsidRDefault="000C1A13" w:rsidP="000C1A13">
            <w:r w:rsidRPr="009177E3">
              <w:t>The issues paper will serve several purposes, including:</w:t>
            </w:r>
          </w:p>
          <w:p w:rsidR="000C1A13" w:rsidRPr="000C1A13" w:rsidRDefault="000C1A13" w:rsidP="000C1A13">
            <w:pPr>
              <w:pStyle w:val="AERbulletlistfirststyle"/>
            </w:pPr>
            <w:r w:rsidRPr="009177E3">
              <w:t>A summary of significant developments since the previous guideline</w:t>
            </w:r>
            <w:r w:rsidRPr="000C1A13">
              <w:t>s review, including discussion of any relevant changes to the framework under which the rate of return guidelines are made</w:t>
            </w:r>
          </w:p>
          <w:p w:rsidR="000C1A13" w:rsidRPr="000C1A13" w:rsidRDefault="000C1A13" w:rsidP="000C1A13">
            <w:pPr>
              <w:pStyle w:val="AERbulletlistfirststyle"/>
            </w:pPr>
            <w:r w:rsidRPr="009177E3">
              <w:t>An opportunity for stakeholders to express their preliminary views on whether there are any non-contentious aspects of the current guideline</w:t>
            </w:r>
            <w:r w:rsidRPr="000C1A13">
              <w:t>s that do not require substantive re-evaluation</w:t>
            </w:r>
          </w:p>
        </w:tc>
      </w:tr>
      <w:tr w:rsidR="000C1A13" w:rsidRPr="009623C5" w:rsidTr="00CB2AFF">
        <w:trPr>
          <w:cnfStyle w:val="000000010000" w:firstRow="0" w:lastRow="0" w:firstColumn="0" w:lastColumn="0" w:oddVBand="0" w:evenVBand="0" w:oddHBand="0" w:evenHBand="1" w:firstRowFirstColumn="0" w:firstRowLastColumn="0" w:lastRowFirstColumn="0" w:lastRowLastColumn="0"/>
        </w:trPr>
        <w:tc>
          <w:tcPr>
            <w:tcW w:w="1384" w:type="dxa"/>
          </w:tcPr>
          <w:p w:rsidR="000C1A13" w:rsidRPr="000C1A13" w:rsidRDefault="000C1A13" w:rsidP="000C1A13">
            <w:r w:rsidRPr="009177E3">
              <w:t>When</w:t>
            </w:r>
          </w:p>
        </w:tc>
        <w:tc>
          <w:tcPr>
            <w:tcW w:w="7309" w:type="dxa"/>
          </w:tcPr>
          <w:p w:rsidR="000C1A13" w:rsidRPr="000C1A13" w:rsidRDefault="000C1A13" w:rsidP="000C1A13">
            <w:r w:rsidRPr="009177E3">
              <w:t>October 2017. This allows around six months of consultation, including the hot-tubbing process, before publication of the draft guideline</w:t>
            </w:r>
            <w:r w:rsidRPr="000C1A13">
              <w:t>s.</w:t>
            </w:r>
          </w:p>
        </w:tc>
      </w:tr>
      <w:tr w:rsidR="000C1A13" w:rsidRPr="009623C5" w:rsidTr="00CB2AFF">
        <w:tc>
          <w:tcPr>
            <w:tcW w:w="1384" w:type="dxa"/>
          </w:tcPr>
          <w:p w:rsidR="000C1A13" w:rsidRPr="000C1A13" w:rsidRDefault="000C1A13" w:rsidP="000C1A13">
            <w:r w:rsidRPr="009177E3">
              <w:t>Opportunity for stakeholder input</w:t>
            </w:r>
          </w:p>
        </w:tc>
        <w:tc>
          <w:tcPr>
            <w:tcW w:w="7309" w:type="dxa"/>
          </w:tcPr>
          <w:p w:rsidR="000C1A13" w:rsidRPr="000C1A13" w:rsidRDefault="000C1A13" w:rsidP="000C1A13">
            <w:r w:rsidRPr="009177E3">
              <w:t xml:space="preserve">Following release of the issues paper we would expect substantive </w:t>
            </w:r>
            <w:r w:rsidRPr="000C1A13">
              <w:t>consultation on rate of return issues to commence.</w:t>
            </w:r>
          </w:p>
        </w:tc>
      </w:tr>
    </w:tbl>
    <w:p w:rsidR="009177E3" w:rsidRPr="009177E3" w:rsidRDefault="009177E3" w:rsidP="009177E3">
      <w:pPr>
        <w:pStyle w:val="Heading2"/>
      </w:pPr>
      <w:bookmarkStart w:id="52" w:name="_Toc489275605"/>
      <w:r w:rsidRPr="009177E3">
        <w:t>'Hot-tubbing' of expert advisers</w:t>
      </w:r>
      <w:bookmarkEnd w:id="52"/>
    </w:p>
    <w:p w:rsidR="00EE533E" w:rsidRPr="00EE533E" w:rsidRDefault="009177E3" w:rsidP="00EE533E">
      <w:r w:rsidRPr="009177E3">
        <w:t>Expert advisers such as economic and finance consultants play a critical role in the development of the rate of return guideline</w:t>
      </w:r>
      <w:r w:rsidR="00A55AED">
        <w:t>s</w:t>
      </w:r>
      <w:r w:rsidRPr="009177E3">
        <w:t xml:space="preserve">. Rate of return issues are complex and often rely on the exercise of expert judgement to resolve. 'Hot-tubbing' of expert advisers is a mechanism through which we can have concurrent discussions with </w:t>
      </w:r>
      <w:r w:rsidRPr="009177E3">
        <w:lastRenderedPageBreak/>
        <w:t>various experts that are participating in the guideline</w:t>
      </w:r>
      <w:r w:rsidR="00A55AED">
        <w:t>s</w:t>
      </w:r>
      <w:r w:rsidRPr="009177E3">
        <w:t xml:space="preserve"> review process. The mechanism has precedent in both court and administrative settings. </w:t>
      </w:r>
    </w:p>
    <w:p w:rsidR="00EE533E" w:rsidRDefault="00EE533E" w:rsidP="00EE533E">
      <w:r w:rsidRPr="00EE533E">
        <w:t>The purpose of ‘hot-tubbing’ is to identify, scope, and narrow the relevant issues, identify the points on which the views of the experts differ and the reasons for any disagreement. The process may also require experts to appear together as a concurrent expert panel for the purposes of answering questions from the AER board and other parties, and providing comments on the views of the other experts on the same panel.</w:t>
      </w:r>
      <w:r>
        <w:t xml:space="preserve"> </w:t>
      </w:r>
      <w:r w:rsidRPr="00EE533E">
        <w:t>This enables all parties to focus subsequent analysis on the areas of legitimate and material disagreement.</w:t>
      </w:r>
    </w:p>
    <w:p w:rsidR="005211A9" w:rsidRPr="009177E3" w:rsidRDefault="005211A9" w:rsidP="005211A9">
      <w:pPr>
        <w:pStyle w:val="Caption"/>
      </w:pPr>
      <w:proofErr w:type="gramStart"/>
      <w:r w:rsidRPr="009177E3">
        <w:t xml:space="preserve">Table  </w:t>
      </w:r>
      <w:proofErr w:type="gramEnd"/>
      <w:r>
        <w:fldChar w:fldCharType="begin"/>
      </w:r>
      <w:r>
        <w:instrText xml:space="preserve"> SEQ Table \* ARABIC </w:instrText>
      </w:r>
      <w:r>
        <w:fldChar w:fldCharType="separate"/>
      </w:r>
      <w:r w:rsidRPr="009177E3">
        <w:t>5</w:t>
      </w:r>
      <w:r>
        <w:fldChar w:fldCharType="end"/>
      </w:r>
      <w:r w:rsidRPr="009177E3">
        <w:tab/>
        <w:t xml:space="preserve">Preliminary thoughts on </w:t>
      </w:r>
      <w:r>
        <w:t>an expert adviser hot-tub</w:t>
      </w:r>
    </w:p>
    <w:tbl>
      <w:tblPr>
        <w:tblStyle w:val="AERtable-text0"/>
        <w:tblW w:w="0" w:type="auto"/>
        <w:tblLook w:val="04A0" w:firstRow="1" w:lastRow="0" w:firstColumn="1" w:lastColumn="0" w:noHBand="0" w:noVBand="1"/>
      </w:tblPr>
      <w:tblGrid>
        <w:gridCol w:w="1384"/>
        <w:gridCol w:w="7309"/>
      </w:tblGrid>
      <w:tr w:rsidR="009177E3" w:rsidRPr="009623C5" w:rsidTr="00A96C5B">
        <w:trPr>
          <w:cnfStyle w:val="100000000000" w:firstRow="1" w:lastRow="0" w:firstColumn="0" w:lastColumn="0" w:oddVBand="0" w:evenVBand="0" w:oddHBand="0" w:evenHBand="0" w:firstRowFirstColumn="0" w:firstRowLastColumn="0" w:lastRowFirstColumn="0" w:lastRowLastColumn="0"/>
        </w:trPr>
        <w:tc>
          <w:tcPr>
            <w:tcW w:w="1384" w:type="dxa"/>
          </w:tcPr>
          <w:p w:rsidR="009177E3" w:rsidRPr="009177E3" w:rsidRDefault="009177E3" w:rsidP="009177E3">
            <w:r w:rsidRPr="009177E3">
              <w:t>Issue</w:t>
            </w:r>
          </w:p>
        </w:tc>
        <w:tc>
          <w:tcPr>
            <w:tcW w:w="7309" w:type="dxa"/>
          </w:tcPr>
          <w:p w:rsidR="009177E3" w:rsidRPr="009177E3" w:rsidRDefault="009177E3" w:rsidP="009177E3">
            <w:r w:rsidRPr="009177E3">
              <w:t>AER's preliminary thoughts</w:t>
            </w:r>
          </w:p>
        </w:tc>
      </w:tr>
      <w:tr w:rsidR="009177E3" w:rsidRPr="009623C5" w:rsidTr="00A96C5B">
        <w:tc>
          <w:tcPr>
            <w:tcW w:w="1384" w:type="dxa"/>
          </w:tcPr>
          <w:p w:rsidR="009177E3" w:rsidRPr="009177E3" w:rsidRDefault="009177E3" w:rsidP="009177E3">
            <w:r w:rsidRPr="009177E3">
              <w:t>Purpose?</w:t>
            </w:r>
          </w:p>
        </w:tc>
        <w:tc>
          <w:tcPr>
            <w:tcW w:w="7309" w:type="dxa"/>
          </w:tcPr>
          <w:p w:rsidR="009177E3" w:rsidRPr="009177E3" w:rsidRDefault="009177E3" w:rsidP="009177E3">
            <w:r w:rsidRPr="009177E3">
              <w:t xml:space="preserve">The main purpose of the hot-tubbing session is to highlight material issues of agreement and disagreement between experts to aid us in consideration of submission material.  </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1384" w:type="dxa"/>
          </w:tcPr>
          <w:p w:rsidR="009177E3" w:rsidRPr="009177E3" w:rsidRDefault="009177E3" w:rsidP="009177E3">
            <w:r w:rsidRPr="009177E3">
              <w:t>When?</w:t>
            </w:r>
          </w:p>
        </w:tc>
        <w:tc>
          <w:tcPr>
            <w:tcW w:w="7309" w:type="dxa"/>
          </w:tcPr>
          <w:p w:rsidR="009177E3" w:rsidRPr="009177E3" w:rsidRDefault="009177E3" w:rsidP="00D35F79">
            <w:r w:rsidRPr="009177E3">
              <w:t xml:space="preserve">Beginning in February 2018. This allows time for stakeholders to make submissions on the issues paper and for these </w:t>
            </w:r>
            <w:r w:rsidR="00D35F79">
              <w:t>to shape the</w:t>
            </w:r>
            <w:r w:rsidRPr="009177E3">
              <w:t xml:space="preserve"> areas of expertise and issues to be discussed in the hot-tubbing sessions. We expect that we would be in a position to make invitations to experts to participate during March 2018.</w:t>
            </w:r>
            <w:r w:rsidRPr="009177E3">
              <w:br/>
            </w:r>
            <w:r w:rsidRPr="009177E3">
              <w:br/>
              <w:t xml:space="preserve">Following the hot-tubbing sessions we will have approximately two months to take account of the 'hot-tubbing' discussions in making our draft decision. </w:t>
            </w:r>
          </w:p>
        </w:tc>
      </w:tr>
      <w:tr w:rsidR="009177E3" w:rsidRPr="009623C5" w:rsidTr="00A96C5B">
        <w:tc>
          <w:tcPr>
            <w:tcW w:w="1384" w:type="dxa"/>
          </w:tcPr>
          <w:p w:rsidR="009177E3" w:rsidRPr="009177E3" w:rsidRDefault="009177E3" w:rsidP="009177E3">
            <w:r w:rsidRPr="009177E3">
              <w:t>Who would participate?</w:t>
            </w:r>
          </w:p>
        </w:tc>
        <w:tc>
          <w:tcPr>
            <w:tcW w:w="7309" w:type="dxa"/>
          </w:tcPr>
          <w:p w:rsidR="009177E3" w:rsidRPr="009177E3" w:rsidRDefault="009177E3" w:rsidP="009177E3">
            <w:r w:rsidRPr="009177E3">
              <w:t xml:space="preserve">We will </w:t>
            </w:r>
            <w:r w:rsidR="00D635F8">
              <w:t xml:space="preserve">be responsible for </w:t>
            </w:r>
            <w:r w:rsidR="00E26325">
              <w:t xml:space="preserve">establishing </w:t>
            </w:r>
            <w:r w:rsidRPr="009177E3">
              <w:t xml:space="preserve">the meetings. </w:t>
            </w:r>
          </w:p>
          <w:p w:rsidR="009177E3" w:rsidRPr="009177E3" w:rsidRDefault="009177E3" w:rsidP="009177E3">
            <w:r w:rsidRPr="009177E3">
              <w:t>In our view it is important to retain some flexibility about how many and which experts would be involved in a hot-tubbing session. In making invitations to participate, we would aim to balance:</w:t>
            </w:r>
          </w:p>
          <w:p w:rsidR="009177E3" w:rsidRPr="009177E3" w:rsidRDefault="009177E3" w:rsidP="009177E3">
            <w:pPr>
              <w:pStyle w:val="AERbulletlistfirststyle"/>
            </w:pPr>
            <w:r w:rsidRPr="009177E3">
              <w:t>making sure that the spectrum of views is well-represented</w:t>
            </w:r>
          </w:p>
          <w:p w:rsidR="009177E3" w:rsidRPr="009177E3" w:rsidRDefault="009177E3" w:rsidP="009177E3">
            <w:pPr>
              <w:pStyle w:val="AERbulletlistfirststyle"/>
            </w:pPr>
            <w:r w:rsidRPr="009177E3">
              <w:t>keeping the number of participants at a manageable level to allow for effective discussion of the issues</w:t>
            </w:r>
          </w:p>
          <w:p w:rsidR="009177E3" w:rsidRPr="009177E3" w:rsidRDefault="009177E3" w:rsidP="009177E3">
            <w:r w:rsidRPr="009177E3">
              <w:t>We expect that we would go through this selection process for each scheduled hot-tubbing session, meaning the participating experts might vary across issues.</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1384" w:type="dxa"/>
          </w:tcPr>
          <w:p w:rsidR="009177E3" w:rsidRPr="009177E3" w:rsidRDefault="009177E3" w:rsidP="009177E3">
            <w:r w:rsidRPr="009177E3">
              <w:t xml:space="preserve">How would the issues be divided? </w:t>
            </w:r>
          </w:p>
        </w:tc>
        <w:tc>
          <w:tcPr>
            <w:tcW w:w="7309" w:type="dxa"/>
          </w:tcPr>
          <w:p w:rsidR="009177E3" w:rsidRPr="009177E3" w:rsidRDefault="009177E3" w:rsidP="009177E3">
            <w:r w:rsidRPr="009177E3">
              <w:t>We propose to maintain some flexibility in the specific composition and timing of issues, but we expect it may be practical to divide hot-tubbing sessions based on specific content areas. For example, we might hold individual sessions on:</w:t>
            </w:r>
          </w:p>
          <w:p w:rsidR="009177E3" w:rsidRPr="009177E3" w:rsidRDefault="009177E3" w:rsidP="009177E3">
            <w:pPr>
              <w:pStyle w:val="AERbulletlistfirststyle"/>
            </w:pPr>
            <w:r w:rsidRPr="009177E3">
              <w:t>Return on equity</w:t>
            </w:r>
          </w:p>
          <w:p w:rsidR="009177E3" w:rsidRPr="009177E3" w:rsidRDefault="009177E3" w:rsidP="009177E3">
            <w:pPr>
              <w:pStyle w:val="AERbulletlistfirststyle"/>
            </w:pPr>
            <w:r w:rsidRPr="009177E3">
              <w:t>Return on debt</w:t>
            </w:r>
          </w:p>
          <w:p w:rsidR="009177E3" w:rsidRPr="009177E3" w:rsidRDefault="009177E3" w:rsidP="009177E3">
            <w:pPr>
              <w:pStyle w:val="AERbulletlistfirststyle"/>
            </w:pPr>
            <w:r w:rsidRPr="009177E3">
              <w:t>Value of imputation credits</w:t>
            </w:r>
          </w:p>
          <w:p w:rsidR="009177E3" w:rsidRDefault="009177E3" w:rsidP="009177E3">
            <w:pPr>
              <w:pStyle w:val="AERbulletlistfirststyle"/>
            </w:pPr>
            <w:r w:rsidRPr="009177E3">
              <w:t>Interrelationships and the overall rate of return.</w:t>
            </w:r>
          </w:p>
          <w:p w:rsidR="000C1A13" w:rsidRPr="009177E3" w:rsidRDefault="00D635F8" w:rsidP="00707E89">
            <w:r>
              <w:t>We may wish to settle areas of agreement before exploring areas of potential disagreement between the experts.</w:t>
            </w:r>
          </w:p>
        </w:tc>
      </w:tr>
      <w:tr w:rsidR="009177E3" w:rsidRPr="009623C5" w:rsidTr="00090338">
        <w:trPr>
          <w:cantSplit/>
        </w:trPr>
        <w:tc>
          <w:tcPr>
            <w:tcW w:w="1384" w:type="dxa"/>
          </w:tcPr>
          <w:p w:rsidR="009177E3" w:rsidRPr="009177E3" w:rsidRDefault="009177E3" w:rsidP="009177E3">
            <w:r w:rsidRPr="009177E3">
              <w:lastRenderedPageBreak/>
              <w:t>What would be the outcome of the hot-tubbing process?</w:t>
            </w:r>
          </w:p>
        </w:tc>
        <w:tc>
          <w:tcPr>
            <w:tcW w:w="7309" w:type="dxa"/>
          </w:tcPr>
          <w:p w:rsidR="009177E3" w:rsidRPr="009177E3" w:rsidRDefault="009177E3" w:rsidP="009177E3">
            <w:r w:rsidRPr="009177E3">
              <w:t xml:space="preserve">Prior to the meeting, we would circulate a draft set of agreed positions and request participants to discuss, make any necessary changes, and sign off on the statement. </w:t>
            </w:r>
            <w:r w:rsidRPr="009177E3">
              <w:br/>
            </w:r>
            <w:r w:rsidRPr="009177E3">
              <w:br/>
              <w:t>We also expect we would document outcomes of the meeting through either or both of:</w:t>
            </w:r>
          </w:p>
          <w:p w:rsidR="009177E3" w:rsidRPr="009177E3" w:rsidRDefault="009177E3" w:rsidP="009177E3">
            <w:pPr>
              <w:pStyle w:val="AERbulletlistfirststyle"/>
            </w:pPr>
            <w:r w:rsidRPr="009177E3">
              <w:t>publishing a minute of the hot-tubbing session</w:t>
            </w:r>
          </w:p>
          <w:p w:rsidR="009177E3" w:rsidRPr="009177E3" w:rsidRDefault="009177E3" w:rsidP="009177E3">
            <w:pPr>
              <w:pStyle w:val="AERbulletlistfirststyle"/>
            </w:pPr>
            <w:r w:rsidRPr="009177E3">
              <w:t>a final statement of key issues  in which we summarise the important issues or assumptions on which the experts’ views differ</w:t>
            </w:r>
          </w:p>
          <w:p w:rsidR="009177E3" w:rsidRDefault="009177E3" w:rsidP="009177E3">
            <w:r w:rsidRPr="009177E3">
              <w:t>In either case we consider there may be value in having the relevant experts 'sign-off' on the minute and final statement of key issues.</w:t>
            </w:r>
          </w:p>
          <w:p w:rsidR="00E26325" w:rsidRPr="009177E3" w:rsidRDefault="00E26325" w:rsidP="00E26325">
            <w:r>
              <w:t xml:space="preserve">We will take the outcomes of the hot-tubbing sessions into account in making our draft and final decisions. </w:t>
            </w:r>
          </w:p>
        </w:tc>
      </w:tr>
    </w:tbl>
    <w:p w:rsidR="009177E3" w:rsidRPr="009177E3" w:rsidRDefault="009177E3" w:rsidP="009177E3">
      <w:pPr>
        <w:pStyle w:val="Heading2"/>
      </w:pPr>
      <w:bookmarkStart w:id="53" w:name="_Toc489275606"/>
      <w:r w:rsidRPr="009177E3">
        <w:t>Independent panel review of the draft guideline</w:t>
      </w:r>
      <w:bookmarkEnd w:id="53"/>
    </w:p>
    <w:p w:rsidR="009177E3" w:rsidRPr="009177E3" w:rsidRDefault="009177E3" w:rsidP="009177E3">
      <w:r w:rsidRPr="009177E3">
        <w:t>Given the importance of the guideline</w:t>
      </w:r>
      <w:r w:rsidR="00A55AED">
        <w:t>s</w:t>
      </w:r>
      <w:r w:rsidRPr="009177E3">
        <w:t xml:space="preserve"> to the sector and the need transparency and confidence in its development we consider that a review of our draft guideline</w:t>
      </w:r>
      <w:r w:rsidR="00A55AED">
        <w:t>s</w:t>
      </w:r>
      <w:r w:rsidRPr="009177E3">
        <w:t xml:space="preserve"> by an independent panel may be a useful step in promoting stakeholder confidence in both the process and the ultimate decision.</w:t>
      </w:r>
      <w:r w:rsidR="0072742B">
        <w:t xml:space="preserve"> </w:t>
      </w:r>
    </w:p>
    <w:p w:rsidR="009177E3" w:rsidRPr="009177E3" w:rsidRDefault="009177E3" w:rsidP="009177E3">
      <w:r w:rsidRPr="009177E3">
        <w:t xml:space="preserve">To get the most out of any independent panel review, it is important to consider what we expect the independent review panel to deliver. </w:t>
      </w:r>
    </w:p>
    <w:p w:rsidR="009177E3" w:rsidRPr="009177E3" w:rsidRDefault="009177E3" w:rsidP="009177E3">
      <w:r w:rsidRPr="009177E3">
        <w:t>Ultimately, our objective when making the rate of return guideline</w:t>
      </w:r>
      <w:r w:rsidR="00A55AED">
        <w:t>s</w:t>
      </w:r>
      <w:r w:rsidRPr="009177E3">
        <w:t xml:space="preserve"> is to achieve the National Gas and Electricity Objectives. One option is to ask an independent panel to provide their views on whether the draft guideline</w:t>
      </w:r>
      <w:r w:rsidR="00A55AED">
        <w:t>s</w:t>
      </w:r>
      <w:r w:rsidRPr="009177E3">
        <w:t xml:space="preserve"> achieve these objectives.</w:t>
      </w:r>
      <w:r w:rsidR="00A55AED">
        <w:t xml:space="preserve"> </w:t>
      </w:r>
      <w:r w:rsidRPr="009177E3">
        <w:t>However, this may result in the independent panel duplicating the work of the regulator. Where our decision is the result of the application of our regulatory judgment, duplicating this aspect of the process may create uncertainty rather than resolve substantive issues.</w:t>
      </w:r>
    </w:p>
    <w:p w:rsidR="003163E4" w:rsidRPr="009177E3" w:rsidRDefault="003163E4" w:rsidP="003163E4">
      <w:r>
        <w:t>We note that while t</w:t>
      </w:r>
      <w:r w:rsidRPr="009177E3">
        <w:t>he Commonwealth government has stated that it intends to remove limited merits review</w:t>
      </w:r>
      <w:r>
        <w:t xml:space="preserve">, </w:t>
      </w:r>
      <w:r w:rsidR="00BA46FE">
        <w:t xml:space="preserve">the ability for parties to seek </w:t>
      </w:r>
      <w:r>
        <w:t xml:space="preserve">judicial review of our </w:t>
      </w:r>
      <w:r w:rsidR="00EA2FDD" w:rsidRPr="009177E3">
        <w:t xml:space="preserve">regulatory </w:t>
      </w:r>
      <w:r>
        <w:t xml:space="preserve">determinations </w:t>
      </w:r>
      <w:r w:rsidR="00BA46FE">
        <w:t>remains</w:t>
      </w:r>
      <w:r>
        <w:t>.</w:t>
      </w:r>
    </w:p>
    <w:p w:rsidR="009177E3" w:rsidRDefault="009177E3" w:rsidP="009177E3">
      <w:r w:rsidRPr="009177E3">
        <w:t xml:space="preserve">Further, </w:t>
      </w:r>
      <w:r w:rsidR="00C61C73">
        <w:t>a</w:t>
      </w:r>
      <w:r w:rsidR="00BA46FE">
        <w:t xml:space="preserve">n independent </w:t>
      </w:r>
      <w:r w:rsidRPr="009177E3">
        <w:t xml:space="preserve">panel may engage with expert material, </w:t>
      </w:r>
      <w:r w:rsidR="00BA46FE">
        <w:t>either</w:t>
      </w:r>
      <w:r w:rsidR="00BA46FE" w:rsidRPr="009177E3">
        <w:t xml:space="preserve"> </w:t>
      </w:r>
      <w:r w:rsidRPr="009177E3">
        <w:t>from the expert hot-tub or from submissions or other sources. Due to the complex nature of many of the issues discussed in expert material, the identification of errors or deficiencies in the material may require interaction with the relevant experts, to clarify understanding of key concepts and test counter-arguments.</w:t>
      </w:r>
      <w:r w:rsidR="00E407AC">
        <w:t xml:space="preserve"> However, that would be duplicative and time consuming.</w:t>
      </w:r>
    </w:p>
    <w:p w:rsidR="00AA77BB" w:rsidRDefault="004F40FB" w:rsidP="009177E3">
      <w:r>
        <w:t>For these reasons our preliminary view is that the role of the independent panel should not include duplication of our regulatory judgment or provision of additional expert opinions on matters already addressed in the expert hot tubbing process.</w:t>
      </w:r>
      <w:r w:rsidR="00AA77BB">
        <w:t xml:space="preserve"> Our view is that the independent review panel is best suited to a role of </w:t>
      </w:r>
      <w:r w:rsidR="00E407AC">
        <w:t xml:space="preserve">reviewing that we have undertaken an effective review process; engaged with the material before us with an open mind; and have reached a decision that is supported by </w:t>
      </w:r>
      <w:r w:rsidR="00A96C5B">
        <w:t>our stated reasons and the information available to us</w:t>
      </w:r>
      <w:r w:rsidR="00071FFD">
        <w:t>.</w:t>
      </w:r>
    </w:p>
    <w:p w:rsidR="009177E3" w:rsidRPr="009177E3" w:rsidRDefault="00AA77BB" w:rsidP="00AA77BB">
      <w:r w:rsidRPr="009177E3">
        <w:lastRenderedPageBreak/>
        <w:t xml:space="preserve">We are open to exploring other approaches to obtaining meaningful </w:t>
      </w:r>
      <w:r>
        <w:t>contributions from</w:t>
      </w:r>
      <w:r w:rsidRPr="009177E3">
        <w:t xml:space="preserve"> the </w:t>
      </w:r>
      <w:r>
        <w:t>independent</w:t>
      </w:r>
      <w:r w:rsidRPr="009177E3">
        <w:t xml:space="preserve"> </w:t>
      </w:r>
      <w:r>
        <w:t xml:space="preserve">panel </w:t>
      </w:r>
      <w:r w:rsidRPr="009177E3">
        <w:t>review process</w:t>
      </w:r>
      <w:r w:rsidR="00BA46FE">
        <w:t xml:space="preserve"> and</w:t>
      </w:r>
      <w:r w:rsidR="00A96C5B">
        <w:t xml:space="preserve"> therefore seek</w:t>
      </w:r>
      <w:r w:rsidR="00437E6C">
        <w:t xml:space="preserve"> </w:t>
      </w:r>
      <w:r w:rsidR="009177E3" w:rsidRPr="009177E3">
        <w:t>stakeholders’ views on the appropriate role for the independent panel</w:t>
      </w:r>
      <w:r w:rsidR="00A96C5B">
        <w:t>.</w:t>
      </w:r>
      <w:r w:rsidR="009177E3" w:rsidRPr="009177E3">
        <w:t xml:space="preserve"> </w:t>
      </w:r>
    </w:p>
    <w:p w:rsidR="009177E3" w:rsidRPr="009177E3" w:rsidRDefault="009177E3" w:rsidP="009177E3">
      <w:pPr>
        <w:pStyle w:val="Caption"/>
      </w:pPr>
      <w:r w:rsidRPr="009177E3">
        <w:t xml:space="preserve">Table </w:t>
      </w:r>
      <w:fldSimple w:instr=" SEQ Table \* ARABIC ">
        <w:r w:rsidRPr="009177E3">
          <w:t>7</w:t>
        </w:r>
      </w:fldSimple>
      <w:r w:rsidRPr="009177E3">
        <w:tab/>
      </w:r>
      <w:r w:rsidR="006C7E68">
        <w:t>P</w:t>
      </w:r>
      <w:r w:rsidRPr="009177E3">
        <w:t>reliminary thoughts on an independent panel review of the draft guideline</w:t>
      </w:r>
      <w:r w:rsidR="00DB72C4">
        <w:t>s</w:t>
      </w:r>
    </w:p>
    <w:tbl>
      <w:tblPr>
        <w:tblStyle w:val="AERtable-text0"/>
        <w:tblW w:w="0" w:type="auto"/>
        <w:tblLook w:val="04A0" w:firstRow="1" w:lastRow="0" w:firstColumn="1" w:lastColumn="0" w:noHBand="0" w:noVBand="1"/>
      </w:tblPr>
      <w:tblGrid>
        <w:gridCol w:w="1384"/>
        <w:gridCol w:w="7309"/>
      </w:tblGrid>
      <w:tr w:rsidR="009177E3" w:rsidRPr="009623C5" w:rsidTr="00A96C5B">
        <w:trPr>
          <w:cnfStyle w:val="100000000000" w:firstRow="1" w:lastRow="0" w:firstColumn="0" w:lastColumn="0" w:oddVBand="0" w:evenVBand="0" w:oddHBand="0" w:evenHBand="0" w:firstRowFirstColumn="0" w:firstRowLastColumn="0" w:lastRowFirstColumn="0" w:lastRowLastColumn="0"/>
        </w:trPr>
        <w:tc>
          <w:tcPr>
            <w:tcW w:w="1384" w:type="dxa"/>
          </w:tcPr>
          <w:p w:rsidR="009177E3" w:rsidRPr="009177E3" w:rsidRDefault="009177E3" w:rsidP="009177E3">
            <w:r w:rsidRPr="009177E3">
              <w:t>Issue</w:t>
            </w:r>
          </w:p>
        </w:tc>
        <w:tc>
          <w:tcPr>
            <w:tcW w:w="7309" w:type="dxa"/>
          </w:tcPr>
          <w:p w:rsidR="009177E3" w:rsidRPr="009177E3" w:rsidRDefault="009177E3" w:rsidP="009177E3">
            <w:r w:rsidRPr="009177E3">
              <w:t>AER's preliminary thoughts</w:t>
            </w:r>
          </w:p>
        </w:tc>
      </w:tr>
      <w:tr w:rsidR="009177E3" w:rsidRPr="009623C5" w:rsidTr="00A96C5B">
        <w:tc>
          <w:tcPr>
            <w:tcW w:w="1384" w:type="dxa"/>
          </w:tcPr>
          <w:p w:rsidR="009177E3" w:rsidRPr="009177E3" w:rsidRDefault="009177E3" w:rsidP="009177E3">
            <w:r w:rsidRPr="009177E3">
              <w:t>Purpose?</w:t>
            </w:r>
          </w:p>
        </w:tc>
        <w:tc>
          <w:tcPr>
            <w:tcW w:w="7309" w:type="dxa"/>
          </w:tcPr>
          <w:p w:rsidR="009177E3" w:rsidRPr="009177E3" w:rsidRDefault="009177E3" w:rsidP="00BA46FE">
            <w:r w:rsidRPr="009177E3">
              <w:t xml:space="preserve">The main purposes of the independent panel process is to give us the benefit of an independent review, and to promote confidence amongst stakeholders that our findings on rate of return issues are robust and </w:t>
            </w:r>
            <w:r w:rsidR="00BA46FE">
              <w:t xml:space="preserve">have been tested by a </w:t>
            </w:r>
            <w:r w:rsidRPr="009177E3">
              <w:t>group of independent experts.</w:t>
            </w:r>
          </w:p>
        </w:tc>
      </w:tr>
      <w:tr w:rsidR="009177E3" w:rsidRPr="009623C5" w:rsidTr="00A96C5B">
        <w:trPr>
          <w:cnfStyle w:val="000000010000" w:firstRow="0" w:lastRow="0" w:firstColumn="0" w:lastColumn="0" w:oddVBand="0" w:evenVBand="0" w:oddHBand="0" w:evenHBand="1" w:firstRowFirstColumn="0" w:firstRowLastColumn="0" w:lastRowFirstColumn="0" w:lastRowLastColumn="0"/>
        </w:trPr>
        <w:tc>
          <w:tcPr>
            <w:tcW w:w="1384" w:type="dxa"/>
          </w:tcPr>
          <w:p w:rsidR="009177E3" w:rsidRPr="009177E3" w:rsidRDefault="009177E3" w:rsidP="009177E3">
            <w:r w:rsidRPr="009177E3">
              <w:t>When?</w:t>
            </w:r>
          </w:p>
        </w:tc>
        <w:tc>
          <w:tcPr>
            <w:tcW w:w="7309" w:type="dxa"/>
          </w:tcPr>
          <w:p w:rsidR="009177E3" w:rsidRPr="009177E3" w:rsidRDefault="009177E3" w:rsidP="00BA46FE">
            <w:r w:rsidRPr="009177E3">
              <w:t>June-August 2018.</w:t>
            </w:r>
            <w:r w:rsidRPr="009177E3">
              <w:br/>
            </w:r>
            <w:r w:rsidRPr="009177E3">
              <w:br/>
              <w:t>In our view, the most productive opportunity for an independent panel to participate in the process is immediately following publication of the draft guideline</w:t>
            </w:r>
            <w:r w:rsidR="00DB72C4">
              <w:t>s</w:t>
            </w:r>
            <w:r w:rsidRPr="009177E3">
              <w:t>.  That would allow the panel to review</w:t>
            </w:r>
            <w:r w:rsidR="00BA46FE">
              <w:t xml:space="preserve"> our complete draft decision and </w:t>
            </w:r>
            <w:proofErr w:type="gramStart"/>
            <w:r w:rsidR="00BA46FE">
              <w:t xml:space="preserve">reasoning </w:t>
            </w:r>
            <w:r w:rsidRPr="009177E3">
              <w:t>,</w:t>
            </w:r>
            <w:proofErr w:type="gramEnd"/>
            <w:r w:rsidRPr="009177E3">
              <w:t xml:space="preserve"> and would give sufficient opportunity for us to take the panel's views into account in making a final decision.</w:t>
            </w:r>
          </w:p>
        </w:tc>
      </w:tr>
      <w:tr w:rsidR="009177E3" w:rsidRPr="009623C5" w:rsidTr="00A96C5B">
        <w:tc>
          <w:tcPr>
            <w:tcW w:w="1384" w:type="dxa"/>
          </w:tcPr>
          <w:p w:rsidR="009177E3" w:rsidRPr="009177E3" w:rsidRDefault="009177E3" w:rsidP="009177E3">
            <w:r w:rsidRPr="009177E3">
              <w:t>Who would participate?</w:t>
            </w:r>
          </w:p>
        </w:tc>
        <w:tc>
          <w:tcPr>
            <w:tcW w:w="7309" w:type="dxa"/>
          </w:tcPr>
          <w:p w:rsidR="009177E3" w:rsidRPr="009177E3" w:rsidRDefault="009177E3" w:rsidP="009177E3">
            <w:r w:rsidRPr="009177E3">
              <w:t>Selection of members for the panel will be a key aspect of the process. It is critical that panel members are both independent of the regulatory processes and have the relevant expertise.</w:t>
            </w:r>
          </w:p>
          <w:p w:rsidR="009177E3" w:rsidRPr="009177E3" w:rsidRDefault="009177E3" w:rsidP="009177E3">
            <w:r w:rsidRPr="009177E3">
              <w:t>Our preliminary proposal is that we would specify a series of selection criteria that might include factors such as:</w:t>
            </w:r>
          </w:p>
          <w:p w:rsidR="009177E3" w:rsidRPr="009177E3" w:rsidRDefault="009177E3" w:rsidP="009177E3">
            <w:pPr>
              <w:pStyle w:val="AERbulletlistfirststyle"/>
            </w:pPr>
            <w:r w:rsidRPr="009177E3">
              <w:t>Panel members should have relevant finance, economic and/or regulatory expertise.</w:t>
            </w:r>
          </w:p>
          <w:p w:rsidR="009177E3" w:rsidRPr="009177E3" w:rsidRDefault="009177E3" w:rsidP="009177E3">
            <w:pPr>
              <w:pStyle w:val="AERbulletlistfirststyle"/>
            </w:pPr>
            <w:r w:rsidRPr="009177E3">
              <w:t>Panel members must not have been engaged to provide advice to a network business or the AER on any AER regulatory determination processes within the preceding 2 years.</w:t>
            </w:r>
          </w:p>
          <w:p w:rsidR="009177E3" w:rsidRPr="009177E3" w:rsidRDefault="009177E3" w:rsidP="009177E3">
            <w:pPr>
              <w:pStyle w:val="AERbulletlistfirststyle"/>
            </w:pPr>
            <w:r w:rsidRPr="009177E3">
              <w:t>Panel members must be available for the two months following publication of the draft rate of return guideline</w:t>
            </w:r>
            <w:r w:rsidR="00DB72C4">
              <w:t>s</w:t>
            </w:r>
            <w:r w:rsidRPr="009177E3">
              <w:t>.</w:t>
            </w:r>
          </w:p>
          <w:p w:rsidR="00AA2CC6" w:rsidRPr="009177E3" w:rsidRDefault="009177E3" w:rsidP="00D35F79">
            <w:pPr>
              <w:pStyle w:val="AERbulletlistfirststyle"/>
              <w:numPr>
                <w:ilvl w:val="0"/>
                <w:numId w:val="0"/>
              </w:numPr>
            </w:pPr>
            <w:r w:rsidRPr="009177E3">
              <w:t>The AER will engage and fund the independent panel.</w:t>
            </w:r>
          </w:p>
        </w:tc>
      </w:tr>
      <w:tr w:rsidR="00437E6C" w:rsidRPr="009623C5" w:rsidTr="00207E7A">
        <w:trPr>
          <w:cnfStyle w:val="000000010000" w:firstRow="0" w:lastRow="0" w:firstColumn="0" w:lastColumn="0" w:oddVBand="0" w:evenVBand="0" w:oddHBand="0" w:evenHBand="1" w:firstRowFirstColumn="0" w:firstRowLastColumn="0" w:lastRowFirstColumn="0" w:lastRowLastColumn="0"/>
        </w:trPr>
        <w:tc>
          <w:tcPr>
            <w:tcW w:w="1384" w:type="dxa"/>
          </w:tcPr>
          <w:p w:rsidR="00437E6C" w:rsidRPr="00437E6C" w:rsidRDefault="00437E6C" w:rsidP="00437E6C">
            <w:r w:rsidRPr="009177E3">
              <w:t>What would the panel be required to do?</w:t>
            </w:r>
          </w:p>
        </w:tc>
        <w:tc>
          <w:tcPr>
            <w:tcW w:w="7309" w:type="dxa"/>
          </w:tcPr>
          <w:p w:rsidR="00437E6C" w:rsidRPr="00437E6C" w:rsidRDefault="00437E6C" w:rsidP="00437E6C">
            <w:r w:rsidRPr="009177E3">
              <w:t xml:space="preserve">To promote stakeholder confidence in the independent panel process, we propose to publish the terms of reference for panel members. </w:t>
            </w:r>
            <w:r w:rsidRPr="00437E6C">
              <w:t>Our preliminary view is that the terms of reference would ask the panel to assess whether we have undertaken an effective review process; engaged with the material before us with an open mind; and have reached a decision that is supported by our stated reasons and the information available to us.</w:t>
            </w:r>
          </w:p>
        </w:tc>
      </w:tr>
      <w:tr w:rsidR="009177E3" w:rsidRPr="009623C5" w:rsidTr="00A96C5B">
        <w:tc>
          <w:tcPr>
            <w:tcW w:w="1384" w:type="dxa"/>
          </w:tcPr>
          <w:p w:rsidR="009177E3" w:rsidRPr="009177E3" w:rsidRDefault="009177E3" w:rsidP="009177E3">
            <w:r w:rsidRPr="009177E3">
              <w:t>What would be the outcome of the independent panel process?</w:t>
            </w:r>
          </w:p>
        </w:tc>
        <w:tc>
          <w:tcPr>
            <w:tcW w:w="7309" w:type="dxa"/>
          </w:tcPr>
          <w:p w:rsidR="009177E3" w:rsidRPr="009177E3" w:rsidRDefault="009177E3" w:rsidP="009177E3">
            <w:r w:rsidRPr="009177E3">
              <w:t>We expect that the independent panel would provide us with a report on the outcomes of its review. We would then have regard to this report in finalising the guideline</w:t>
            </w:r>
            <w:r w:rsidR="00DB72C4">
              <w:t>s</w:t>
            </w:r>
            <w:r w:rsidRPr="009177E3">
              <w:t>.</w:t>
            </w:r>
          </w:p>
        </w:tc>
      </w:tr>
    </w:tbl>
    <w:p w:rsidR="009177E3" w:rsidRPr="009177E3" w:rsidRDefault="009177E3" w:rsidP="009177E3">
      <w:pPr>
        <w:pStyle w:val="AERbulletlistfirststyle"/>
        <w:numPr>
          <w:ilvl w:val="0"/>
          <w:numId w:val="0"/>
        </w:numPr>
        <w:ind w:left="357" w:hanging="357"/>
      </w:pPr>
    </w:p>
    <w:p w:rsidR="00831110" w:rsidRPr="009177E3" w:rsidRDefault="00831110" w:rsidP="009177E3"/>
    <w:sectPr w:rsidR="00831110" w:rsidRPr="009177E3" w:rsidSect="00B35352">
      <w:footerReference w:type="even" r:id="rId14"/>
      <w:footerReference w:type="default" r:id="rId15"/>
      <w:footerReference w:type="first" r:id="rId16"/>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7A" w:rsidRPr="00290C63" w:rsidRDefault="00207E7A" w:rsidP="00290C63">
      <w:r>
        <w:separator/>
      </w:r>
    </w:p>
    <w:p w:rsidR="00207E7A" w:rsidRDefault="00207E7A"/>
  </w:endnote>
  <w:endnote w:type="continuationSeparator" w:id="0">
    <w:p w:rsidR="00207E7A" w:rsidRPr="00290C63" w:rsidRDefault="00207E7A" w:rsidP="00290C63">
      <w:r>
        <w:continuationSeparator/>
      </w:r>
    </w:p>
    <w:p w:rsidR="00207E7A" w:rsidRDefault="00207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7A" w:rsidRPr="00290C63" w:rsidRDefault="00207E7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07E7A" w:rsidRDefault="00207E7A"/>
  <w:p w:rsidR="00207E7A" w:rsidRDefault="00207E7A"/>
  <w:p w:rsidR="00207E7A" w:rsidRDefault="00207E7A"/>
  <w:p w:rsidR="00207E7A" w:rsidRDefault="00207E7A"/>
  <w:p w:rsidR="00207E7A" w:rsidRDefault="00207E7A"/>
  <w:p w:rsidR="00207E7A" w:rsidRDefault="00207E7A"/>
  <w:p w:rsidR="00207E7A" w:rsidRDefault="00207E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7A" w:rsidRPr="009B6F84" w:rsidRDefault="00207E7A">
    <w:pPr>
      <w:pStyle w:val="Footer"/>
      <w:rPr>
        <w:sz w:val="20"/>
      </w:rPr>
    </w:pPr>
    <w:r>
      <w:tab/>
    </w:r>
    <w:sdt>
      <w:sdtPr>
        <w:id w:val="340901426"/>
        <w:docPartObj>
          <w:docPartGallery w:val="Page Numbers (Bottom of Page)"/>
          <w:docPartUnique/>
        </w:docPartObj>
      </w:sdtPr>
      <w:sdtEndPr>
        <w:rPr>
          <w:noProof/>
          <w:szCs w:val="16"/>
        </w:rPr>
      </w:sdtEndPr>
      <w:sdtContent>
        <w:r>
          <w:fldChar w:fldCharType="begin"/>
        </w:r>
        <w:r>
          <w:instrText xml:space="preserve"> PAGE   \* MERGEFORMAT </w:instrText>
        </w:r>
        <w:r>
          <w:fldChar w:fldCharType="separate"/>
        </w:r>
        <w:r w:rsidR="00025737">
          <w:rPr>
            <w:noProof/>
          </w:rPr>
          <w:t>5</w:t>
        </w:r>
        <w:r>
          <w:rPr>
            <w:noProof/>
          </w:rPr>
          <w:fldChar w:fldCharType="end"/>
        </w:r>
      </w:sdtContent>
    </w:sdt>
  </w:p>
  <w:p w:rsidR="00207E7A" w:rsidRDefault="00207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7A" w:rsidRPr="00290C63" w:rsidRDefault="00207E7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07E7A" w:rsidRDefault="00207E7A">
    <w:pPr>
      <w:pStyle w:val="Footer"/>
    </w:pPr>
  </w:p>
  <w:p w:rsidR="00207E7A" w:rsidRDefault="00207E7A"/>
  <w:p w:rsidR="00207E7A" w:rsidRDefault="00207E7A"/>
  <w:p w:rsidR="00207E7A" w:rsidRDefault="00207E7A"/>
  <w:p w:rsidR="00207E7A" w:rsidRDefault="00207E7A"/>
  <w:p w:rsidR="00207E7A" w:rsidRDefault="00207E7A"/>
  <w:p w:rsidR="00207E7A" w:rsidRDefault="00207E7A"/>
  <w:p w:rsidR="00207E7A" w:rsidRDefault="00207E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7A" w:rsidRPr="00290C63" w:rsidRDefault="00207E7A" w:rsidP="00290C63">
      <w:r>
        <w:separator/>
      </w:r>
    </w:p>
    <w:p w:rsidR="00207E7A" w:rsidRDefault="00207E7A"/>
  </w:footnote>
  <w:footnote w:type="continuationSeparator" w:id="0">
    <w:p w:rsidR="00207E7A" w:rsidRPr="00290C63" w:rsidRDefault="00207E7A" w:rsidP="00290C63">
      <w:r>
        <w:continuationSeparator/>
      </w:r>
    </w:p>
    <w:p w:rsidR="00207E7A" w:rsidRDefault="00207E7A"/>
  </w:footnote>
  <w:footnote w:id="1">
    <w:p w:rsidR="00207E7A" w:rsidRDefault="00207E7A" w:rsidP="009177E3">
      <w:pPr>
        <w:pStyle w:val="FootnoteText"/>
      </w:pPr>
      <w:r>
        <w:rPr>
          <w:rStyle w:val="FootnoteReference"/>
        </w:rPr>
        <w:footnoteRef/>
      </w:r>
      <w:r>
        <w:t xml:space="preserve"> </w:t>
      </w:r>
      <w:r>
        <w:tab/>
        <w:t>NER clauses 6.5.2(p</w:t>
      </w:r>
      <w:proofErr w:type="gramStart"/>
      <w:r>
        <w:t>)(</w:t>
      </w:r>
      <w:proofErr w:type="gramEnd"/>
      <w:r>
        <w:t>1) and 6A.6.2(p)(1); NGR clause 87(16)(a).</w:t>
      </w:r>
    </w:p>
  </w:footnote>
  <w:footnote w:id="2">
    <w:p w:rsidR="00207E7A" w:rsidRDefault="00207E7A" w:rsidP="009177E3">
      <w:pPr>
        <w:pStyle w:val="FootnoteText"/>
      </w:pPr>
      <w:r>
        <w:rPr>
          <w:rStyle w:val="FootnoteReference"/>
        </w:rPr>
        <w:footnoteRef/>
      </w:r>
      <w:r>
        <w:t xml:space="preserve"> </w:t>
      </w:r>
      <w:r>
        <w:tab/>
        <w:t>This is five years from publication of the current guidelines (17 December 2013).</w:t>
      </w:r>
    </w:p>
  </w:footnote>
  <w:footnote w:id="3">
    <w:p w:rsidR="00207E7A" w:rsidRDefault="00207E7A" w:rsidP="009177E3">
      <w:pPr>
        <w:pStyle w:val="FootnoteText"/>
      </w:pPr>
      <w:r>
        <w:rPr>
          <w:rStyle w:val="FootnoteReference"/>
        </w:rPr>
        <w:footnoteRef/>
      </w:r>
      <w:r>
        <w:t xml:space="preserve"> </w:t>
      </w:r>
      <w:r>
        <w:tab/>
      </w:r>
      <w:proofErr w:type="gramStart"/>
      <w:r>
        <w:t>NER clauses 6.16 and 6A.20; NGR clause 9B.</w:t>
      </w:r>
      <w:proofErr w:type="gramEnd"/>
    </w:p>
  </w:footnote>
  <w:footnote w:id="4">
    <w:p w:rsidR="00207E7A" w:rsidRDefault="00207E7A" w:rsidP="009177E3">
      <w:pPr>
        <w:pStyle w:val="FootnoteText"/>
      </w:pPr>
      <w:r>
        <w:rPr>
          <w:rStyle w:val="FootnoteReference"/>
        </w:rPr>
        <w:footnoteRef/>
      </w:r>
      <w:r>
        <w:t xml:space="preserve"> </w:t>
      </w:r>
      <w:r>
        <w:tab/>
        <w:t xml:space="preserve"> This is 80 business days (using ACT public holiday calendar) prior to 17 December 2018.</w:t>
      </w:r>
    </w:p>
  </w:footnote>
  <w:footnote w:id="5">
    <w:p w:rsidR="00207E7A" w:rsidRDefault="00207E7A" w:rsidP="009177E3">
      <w:pPr>
        <w:pStyle w:val="FootnoteText"/>
      </w:pPr>
      <w:r>
        <w:rPr>
          <w:rStyle w:val="FootnoteReference"/>
        </w:rPr>
        <w:footnoteRef/>
      </w:r>
      <w:r>
        <w:t xml:space="preserve"> </w:t>
      </w:r>
      <w:r>
        <w:tab/>
        <w:t>NER clauses 6.16(g</w:t>
      </w:r>
      <w:proofErr w:type="gramStart"/>
      <w:r>
        <w:t>)(</w:t>
      </w:r>
      <w:proofErr w:type="gramEnd"/>
      <w:r>
        <w:t>1) and 6A.20(g)(1); NGR clause 9B(4)(a).</w:t>
      </w:r>
    </w:p>
  </w:footnote>
  <w:footnote w:id="6">
    <w:p w:rsidR="00207E7A" w:rsidRDefault="00207E7A" w:rsidP="009177E3">
      <w:pPr>
        <w:pStyle w:val="FootnoteText"/>
      </w:pPr>
      <w:r>
        <w:rPr>
          <w:rStyle w:val="FootnoteReference"/>
        </w:rPr>
        <w:footnoteRef/>
      </w:r>
      <w:r>
        <w:t xml:space="preserve"> </w:t>
      </w:r>
      <w:r>
        <w:tab/>
      </w:r>
      <w:proofErr w:type="gramStart"/>
      <w:r w:rsidRPr="009671FB">
        <w:t>NER clauses 6.16 and 6A.20; NGR clause 9B.</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FE140B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17"/>
    <w:lvlOverride w:ilvl="0">
      <w:startOverride w:val="1"/>
    </w:lvlOverride>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509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pick\AppData\Local\Microsoft\Windows\Temporary Internet Files\Content.Outlook\LE53I7IK\Consultation paper- rate of return guideline review process (2).docx"/>
  </w:docVars>
  <w:rsids>
    <w:rsidRoot w:val="00961A4A"/>
    <w:rsid w:val="00000D4A"/>
    <w:rsid w:val="0000169E"/>
    <w:rsid w:val="00003AE8"/>
    <w:rsid w:val="000051DC"/>
    <w:rsid w:val="0000658F"/>
    <w:rsid w:val="000118A9"/>
    <w:rsid w:val="00012700"/>
    <w:rsid w:val="0001507B"/>
    <w:rsid w:val="00016320"/>
    <w:rsid w:val="00017AA2"/>
    <w:rsid w:val="00020016"/>
    <w:rsid w:val="00020048"/>
    <w:rsid w:val="00021202"/>
    <w:rsid w:val="00021C2B"/>
    <w:rsid w:val="0002219B"/>
    <w:rsid w:val="000224A2"/>
    <w:rsid w:val="00022549"/>
    <w:rsid w:val="0002498B"/>
    <w:rsid w:val="0002517F"/>
    <w:rsid w:val="00025737"/>
    <w:rsid w:val="00026187"/>
    <w:rsid w:val="000266FC"/>
    <w:rsid w:val="000273B3"/>
    <w:rsid w:val="00027E2D"/>
    <w:rsid w:val="00031747"/>
    <w:rsid w:val="00033C5E"/>
    <w:rsid w:val="00034E28"/>
    <w:rsid w:val="0003578C"/>
    <w:rsid w:val="00036C2A"/>
    <w:rsid w:val="000416AF"/>
    <w:rsid w:val="00042F31"/>
    <w:rsid w:val="00044D1A"/>
    <w:rsid w:val="00044DA3"/>
    <w:rsid w:val="000462C0"/>
    <w:rsid w:val="000466E7"/>
    <w:rsid w:val="000474DF"/>
    <w:rsid w:val="00047C9C"/>
    <w:rsid w:val="00051958"/>
    <w:rsid w:val="00053B8B"/>
    <w:rsid w:val="00055993"/>
    <w:rsid w:val="00055A67"/>
    <w:rsid w:val="00061D96"/>
    <w:rsid w:val="000624BC"/>
    <w:rsid w:val="00063247"/>
    <w:rsid w:val="00064C08"/>
    <w:rsid w:val="0006624E"/>
    <w:rsid w:val="00066E4F"/>
    <w:rsid w:val="00070F9F"/>
    <w:rsid w:val="0007137B"/>
    <w:rsid w:val="00071D7D"/>
    <w:rsid w:val="00071FFD"/>
    <w:rsid w:val="00072D19"/>
    <w:rsid w:val="0007379A"/>
    <w:rsid w:val="00073B74"/>
    <w:rsid w:val="0007436C"/>
    <w:rsid w:val="00074B8D"/>
    <w:rsid w:val="00075825"/>
    <w:rsid w:val="00075B81"/>
    <w:rsid w:val="00076410"/>
    <w:rsid w:val="00076416"/>
    <w:rsid w:val="000805A8"/>
    <w:rsid w:val="00080711"/>
    <w:rsid w:val="0008190B"/>
    <w:rsid w:val="0008290B"/>
    <w:rsid w:val="000836D9"/>
    <w:rsid w:val="00085663"/>
    <w:rsid w:val="00085EBF"/>
    <w:rsid w:val="00090338"/>
    <w:rsid w:val="00091B15"/>
    <w:rsid w:val="00091B2E"/>
    <w:rsid w:val="00095186"/>
    <w:rsid w:val="000A0E71"/>
    <w:rsid w:val="000A1C0C"/>
    <w:rsid w:val="000A1D95"/>
    <w:rsid w:val="000A3020"/>
    <w:rsid w:val="000A4059"/>
    <w:rsid w:val="000A4840"/>
    <w:rsid w:val="000A4993"/>
    <w:rsid w:val="000A62C1"/>
    <w:rsid w:val="000A6A79"/>
    <w:rsid w:val="000A6C7B"/>
    <w:rsid w:val="000B0A7B"/>
    <w:rsid w:val="000B0E59"/>
    <w:rsid w:val="000B1173"/>
    <w:rsid w:val="000B510D"/>
    <w:rsid w:val="000B54BD"/>
    <w:rsid w:val="000B5827"/>
    <w:rsid w:val="000B6BDA"/>
    <w:rsid w:val="000B7037"/>
    <w:rsid w:val="000C02D1"/>
    <w:rsid w:val="000C0C63"/>
    <w:rsid w:val="000C1A13"/>
    <w:rsid w:val="000C2B40"/>
    <w:rsid w:val="000C32D5"/>
    <w:rsid w:val="000C5255"/>
    <w:rsid w:val="000C68E9"/>
    <w:rsid w:val="000D07A7"/>
    <w:rsid w:val="000D0969"/>
    <w:rsid w:val="000D122C"/>
    <w:rsid w:val="000D555E"/>
    <w:rsid w:val="000D5900"/>
    <w:rsid w:val="000D6F11"/>
    <w:rsid w:val="000D724A"/>
    <w:rsid w:val="000D75B0"/>
    <w:rsid w:val="000E1819"/>
    <w:rsid w:val="000E4821"/>
    <w:rsid w:val="000E4AA9"/>
    <w:rsid w:val="000E6AEA"/>
    <w:rsid w:val="000E6C72"/>
    <w:rsid w:val="000E7F39"/>
    <w:rsid w:val="000F2400"/>
    <w:rsid w:val="000F2ADA"/>
    <w:rsid w:val="000F54AA"/>
    <w:rsid w:val="00100EA2"/>
    <w:rsid w:val="00101270"/>
    <w:rsid w:val="00101AA1"/>
    <w:rsid w:val="00102338"/>
    <w:rsid w:val="00104566"/>
    <w:rsid w:val="00104FF6"/>
    <w:rsid w:val="001114AA"/>
    <w:rsid w:val="00112AF7"/>
    <w:rsid w:val="00115743"/>
    <w:rsid w:val="00116EB2"/>
    <w:rsid w:val="001202D3"/>
    <w:rsid w:val="0012132C"/>
    <w:rsid w:val="00121BA7"/>
    <w:rsid w:val="00124609"/>
    <w:rsid w:val="00124F4B"/>
    <w:rsid w:val="00126A4C"/>
    <w:rsid w:val="001270E3"/>
    <w:rsid w:val="001301F7"/>
    <w:rsid w:val="00132D43"/>
    <w:rsid w:val="00133366"/>
    <w:rsid w:val="00133F47"/>
    <w:rsid w:val="00134029"/>
    <w:rsid w:val="00140472"/>
    <w:rsid w:val="00140636"/>
    <w:rsid w:val="00142C2D"/>
    <w:rsid w:val="00144AE9"/>
    <w:rsid w:val="00144C96"/>
    <w:rsid w:val="0014573B"/>
    <w:rsid w:val="001463A3"/>
    <w:rsid w:val="0015073A"/>
    <w:rsid w:val="00150A5F"/>
    <w:rsid w:val="00152F8C"/>
    <w:rsid w:val="00153EE8"/>
    <w:rsid w:val="001566B2"/>
    <w:rsid w:val="001573E4"/>
    <w:rsid w:val="001602BC"/>
    <w:rsid w:val="00160672"/>
    <w:rsid w:val="00160756"/>
    <w:rsid w:val="001617BE"/>
    <w:rsid w:val="00161DC8"/>
    <w:rsid w:val="00163121"/>
    <w:rsid w:val="00163384"/>
    <w:rsid w:val="00163F19"/>
    <w:rsid w:val="001647BC"/>
    <w:rsid w:val="00166760"/>
    <w:rsid w:val="00166C39"/>
    <w:rsid w:val="001721A4"/>
    <w:rsid w:val="0017232E"/>
    <w:rsid w:val="00172E44"/>
    <w:rsid w:val="001732D7"/>
    <w:rsid w:val="00173476"/>
    <w:rsid w:val="00174102"/>
    <w:rsid w:val="001754EE"/>
    <w:rsid w:val="00176B18"/>
    <w:rsid w:val="00177217"/>
    <w:rsid w:val="00180157"/>
    <w:rsid w:val="001802BF"/>
    <w:rsid w:val="001809BC"/>
    <w:rsid w:val="00180E97"/>
    <w:rsid w:val="00180EFE"/>
    <w:rsid w:val="00181A19"/>
    <w:rsid w:val="001820B4"/>
    <w:rsid w:val="00184351"/>
    <w:rsid w:val="00184AC8"/>
    <w:rsid w:val="00185BA5"/>
    <w:rsid w:val="00185CB9"/>
    <w:rsid w:val="00185DBE"/>
    <w:rsid w:val="00186ADC"/>
    <w:rsid w:val="00186F77"/>
    <w:rsid w:val="001877A4"/>
    <w:rsid w:val="00190CFA"/>
    <w:rsid w:val="001926A4"/>
    <w:rsid w:val="00192AD5"/>
    <w:rsid w:val="00192B13"/>
    <w:rsid w:val="00194597"/>
    <w:rsid w:val="00194E00"/>
    <w:rsid w:val="00196BD7"/>
    <w:rsid w:val="0019745E"/>
    <w:rsid w:val="00197B16"/>
    <w:rsid w:val="001A4821"/>
    <w:rsid w:val="001A530D"/>
    <w:rsid w:val="001A5FB3"/>
    <w:rsid w:val="001A6C59"/>
    <w:rsid w:val="001A7155"/>
    <w:rsid w:val="001A7BC5"/>
    <w:rsid w:val="001B126C"/>
    <w:rsid w:val="001B2AF2"/>
    <w:rsid w:val="001B3755"/>
    <w:rsid w:val="001B45A0"/>
    <w:rsid w:val="001B4DF4"/>
    <w:rsid w:val="001B5DD9"/>
    <w:rsid w:val="001B5FFA"/>
    <w:rsid w:val="001B680E"/>
    <w:rsid w:val="001C230E"/>
    <w:rsid w:val="001C2661"/>
    <w:rsid w:val="001C3FAF"/>
    <w:rsid w:val="001C5A7E"/>
    <w:rsid w:val="001D055E"/>
    <w:rsid w:val="001D5B65"/>
    <w:rsid w:val="001E1B3F"/>
    <w:rsid w:val="001E202E"/>
    <w:rsid w:val="001E417C"/>
    <w:rsid w:val="001E6CDE"/>
    <w:rsid w:val="001E6F0B"/>
    <w:rsid w:val="001E7161"/>
    <w:rsid w:val="001F05A4"/>
    <w:rsid w:val="001F18B8"/>
    <w:rsid w:val="001F262B"/>
    <w:rsid w:val="001F3209"/>
    <w:rsid w:val="001F3D4A"/>
    <w:rsid w:val="001F492E"/>
    <w:rsid w:val="001F5EA9"/>
    <w:rsid w:val="001F64EF"/>
    <w:rsid w:val="001F6DA3"/>
    <w:rsid w:val="002010BC"/>
    <w:rsid w:val="002016E7"/>
    <w:rsid w:val="00202C80"/>
    <w:rsid w:val="00202E03"/>
    <w:rsid w:val="002033B9"/>
    <w:rsid w:val="00203C71"/>
    <w:rsid w:val="002043D0"/>
    <w:rsid w:val="0020492C"/>
    <w:rsid w:val="00204EC9"/>
    <w:rsid w:val="00204F97"/>
    <w:rsid w:val="002050D7"/>
    <w:rsid w:val="00206505"/>
    <w:rsid w:val="00206523"/>
    <w:rsid w:val="0020743F"/>
    <w:rsid w:val="00207E7A"/>
    <w:rsid w:val="0021004A"/>
    <w:rsid w:val="002102DE"/>
    <w:rsid w:val="00210466"/>
    <w:rsid w:val="00210648"/>
    <w:rsid w:val="00211C01"/>
    <w:rsid w:val="00214295"/>
    <w:rsid w:val="00215555"/>
    <w:rsid w:val="0021612D"/>
    <w:rsid w:val="00216287"/>
    <w:rsid w:val="00216C93"/>
    <w:rsid w:val="00221F82"/>
    <w:rsid w:val="00223051"/>
    <w:rsid w:val="00224DB9"/>
    <w:rsid w:val="0022569A"/>
    <w:rsid w:val="0023005C"/>
    <w:rsid w:val="00231012"/>
    <w:rsid w:val="00233775"/>
    <w:rsid w:val="0023414B"/>
    <w:rsid w:val="00243573"/>
    <w:rsid w:val="00243635"/>
    <w:rsid w:val="00243DE0"/>
    <w:rsid w:val="0024409C"/>
    <w:rsid w:val="002449E4"/>
    <w:rsid w:val="00247079"/>
    <w:rsid w:val="00247F12"/>
    <w:rsid w:val="00250BBD"/>
    <w:rsid w:val="00251310"/>
    <w:rsid w:val="00251745"/>
    <w:rsid w:val="002519F5"/>
    <w:rsid w:val="00251A39"/>
    <w:rsid w:val="00252AFC"/>
    <w:rsid w:val="00254720"/>
    <w:rsid w:val="002552BA"/>
    <w:rsid w:val="00256EFC"/>
    <w:rsid w:val="00260016"/>
    <w:rsid w:val="00262339"/>
    <w:rsid w:val="00262ACA"/>
    <w:rsid w:val="00263AC0"/>
    <w:rsid w:val="00264264"/>
    <w:rsid w:val="0026689B"/>
    <w:rsid w:val="0026772D"/>
    <w:rsid w:val="002730B2"/>
    <w:rsid w:val="0027487B"/>
    <w:rsid w:val="00274C7E"/>
    <w:rsid w:val="002777CF"/>
    <w:rsid w:val="002810F2"/>
    <w:rsid w:val="00283726"/>
    <w:rsid w:val="00286874"/>
    <w:rsid w:val="00290C63"/>
    <w:rsid w:val="00290F66"/>
    <w:rsid w:val="002911ED"/>
    <w:rsid w:val="00291A99"/>
    <w:rsid w:val="00293B6D"/>
    <w:rsid w:val="00294B08"/>
    <w:rsid w:val="0029518C"/>
    <w:rsid w:val="00295FDE"/>
    <w:rsid w:val="002963DD"/>
    <w:rsid w:val="00296B65"/>
    <w:rsid w:val="002A5157"/>
    <w:rsid w:val="002A6BC3"/>
    <w:rsid w:val="002A7DEF"/>
    <w:rsid w:val="002B0696"/>
    <w:rsid w:val="002B18A8"/>
    <w:rsid w:val="002B35EC"/>
    <w:rsid w:val="002B5546"/>
    <w:rsid w:val="002B56B3"/>
    <w:rsid w:val="002B67FB"/>
    <w:rsid w:val="002C0222"/>
    <w:rsid w:val="002C0927"/>
    <w:rsid w:val="002C1499"/>
    <w:rsid w:val="002C18F3"/>
    <w:rsid w:val="002C233C"/>
    <w:rsid w:val="002C3D7E"/>
    <w:rsid w:val="002C517B"/>
    <w:rsid w:val="002C567F"/>
    <w:rsid w:val="002C6ECA"/>
    <w:rsid w:val="002D10B0"/>
    <w:rsid w:val="002D120A"/>
    <w:rsid w:val="002D3509"/>
    <w:rsid w:val="002D359D"/>
    <w:rsid w:val="002D3C76"/>
    <w:rsid w:val="002D47D1"/>
    <w:rsid w:val="002D487B"/>
    <w:rsid w:val="002D4FE1"/>
    <w:rsid w:val="002D5457"/>
    <w:rsid w:val="002D6D1B"/>
    <w:rsid w:val="002D714D"/>
    <w:rsid w:val="002D72E8"/>
    <w:rsid w:val="002D79AD"/>
    <w:rsid w:val="002D7F9E"/>
    <w:rsid w:val="002E134A"/>
    <w:rsid w:val="002E268F"/>
    <w:rsid w:val="002E2693"/>
    <w:rsid w:val="002E4171"/>
    <w:rsid w:val="002E631E"/>
    <w:rsid w:val="002E68CE"/>
    <w:rsid w:val="002E78DD"/>
    <w:rsid w:val="002E7B22"/>
    <w:rsid w:val="002E7EA0"/>
    <w:rsid w:val="002F12EC"/>
    <w:rsid w:val="002F50D1"/>
    <w:rsid w:val="002F5184"/>
    <w:rsid w:val="002F7986"/>
    <w:rsid w:val="00300CC8"/>
    <w:rsid w:val="00300DDF"/>
    <w:rsid w:val="00301B40"/>
    <w:rsid w:val="00301C82"/>
    <w:rsid w:val="00302133"/>
    <w:rsid w:val="003029EE"/>
    <w:rsid w:val="00303CF4"/>
    <w:rsid w:val="00304D38"/>
    <w:rsid w:val="00305CC8"/>
    <w:rsid w:val="0030713D"/>
    <w:rsid w:val="00307F6D"/>
    <w:rsid w:val="00313076"/>
    <w:rsid w:val="00313D3E"/>
    <w:rsid w:val="00314D83"/>
    <w:rsid w:val="00315018"/>
    <w:rsid w:val="0031571F"/>
    <w:rsid w:val="003163E4"/>
    <w:rsid w:val="0031692D"/>
    <w:rsid w:val="003177A2"/>
    <w:rsid w:val="00317E02"/>
    <w:rsid w:val="0032463C"/>
    <w:rsid w:val="003271B5"/>
    <w:rsid w:val="00327560"/>
    <w:rsid w:val="00327A1E"/>
    <w:rsid w:val="00327E28"/>
    <w:rsid w:val="00331264"/>
    <w:rsid w:val="00334C8D"/>
    <w:rsid w:val="00335B91"/>
    <w:rsid w:val="00335DCD"/>
    <w:rsid w:val="003378BD"/>
    <w:rsid w:val="003379B3"/>
    <w:rsid w:val="00340AC0"/>
    <w:rsid w:val="003424EA"/>
    <w:rsid w:val="00342C2F"/>
    <w:rsid w:val="003436EB"/>
    <w:rsid w:val="00343A18"/>
    <w:rsid w:val="00345744"/>
    <w:rsid w:val="00346736"/>
    <w:rsid w:val="003518B3"/>
    <w:rsid w:val="00351F82"/>
    <w:rsid w:val="00353E79"/>
    <w:rsid w:val="003556C9"/>
    <w:rsid w:val="003615EE"/>
    <w:rsid w:val="00363B6D"/>
    <w:rsid w:val="00363F01"/>
    <w:rsid w:val="00364EA0"/>
    <w:rsid w:val="00366981"/>
    <w:rsid w:val="0036724E"/>
    <w:rsid w:val="003672E7"/>
    <w:rsid w:val="00370678"/>
    <w:rsid w:val="0037070A"/>
    <w:rsid w:val="0037214E"/>
    <w:rsid w:val="00372829"/>
    <w:rsid w:val="00372C85"/>
    <w:rsid w:val="00373845"/>
    <w:rsid w:val="003744E3"/>
    <w:rsid w:val="00375F71"/>
    <w:rsid w:val="00376219"/>
    <w:rsid w:val="0037663E"/>
    <w:rsid w:val="0037699E"/>
    <w:rsid w:val="0037773E"/>
    <w:rsid w:val="00377A29"/>
    <w:rsid w:val="00377C69"/>
    <w:rsid w:val="00377DAC"/>
    <w:rsid w:val="00382E7C"/>
    <w:rsid w:val="0038415D"/>
    <w:rsid w:val="0038461C"/>
    <w:rsid w:val="003846F1"/>
    <w:rsid w:val="00386073"/>
    <w:rsid w:val="00390E6A"/>
    <w:rsid w:val="00391855"/>
    <w:rsid w:val="00393ABE"/>
    <w:rsid w:val="00395DB6"/>
    <w:rsid w:val="00397398"/>
    <w:rsid w:val="003979F3"/>
    <w:rsid w:val="003A04D9"/>
    <w:rsid w:val="003A083C"/>
    <w:rsid w:val="003A371A"/>
    <w:rsid w:val="003A3B92"/>
    <w:rsid w:val="003A4E76"/>
    <w:rsid w:val="003A59CD"/>
    <w:rsid w:val="003A66B4"/>
    <w:rsid w:val="003A6B00"/>
    <w:rsid w:val="003B1139"/>
    <w:rsid w:val="003B30B2"/>
    <w:rsid w:val="003B3C12"/>
    <w:rsid w:val="003B4767"/>
    <w:rsid w:val="003B484F"/>
    <w:rsid w:val="003B504B"/>
    <w:rsid w:val="003B50FB"/>
    <w:rsid w:val="003B5179"/>
    <w:rsid w:val="003B5A26"/>
    <w:rsid w:val="003B60F1"/>
    <w:rsid w:val="003B685C"/>
    <w:rsid w:val="003B7FBA"/>
    <w:rsid w:val="003C163A"/>
    <w:rsid w:val="003C17DA"/>
    <w:rsid w:val="003C5A87"/>
    <w:rsid w:val="003C6537"/>
    <w:rsid w:val="003C6A13"/>
    <w:rsid w:val="003C764A"/>
    <w:rsid w:val="003C78BA"/>
    <w:rsid w:val="003D1574"/>
    <w:rsid w:val="003D41F1"/>
    <w:rsid w:val="003D42AB"/>
    <w:rsid w:val="003D5B94"/>
    <w:rsid w:val="003D6E12"/>
    <w:rsid w:val="003E072A"/>
    <w:rsid w:val="003E0D3A"/>
    <w:rsid w:val="003E1E0B"/>
    <w:rsid w:val="003E2242"/>
    <w:rsid w:val="003E3A4F"/>
    <w:rsid w:val="003E3AAB"/>
    <w:rsid w:val="003E6AEB"/>
    <w:rsid w:val="003E7FE9"/>
    <w:rsid w:val="003F0191"/>
    <w:rsid w:val="003F07D4"/>
    <w:rsid w:val="003F0886"/>
    <w:rsid w:val="003F174D"/>
    <w:rsid w:val="003F2329"/>
    <w:rsid w:val="003F4700"/>
    <w:rsid w:val="003F502D"/>
    <w:rsid w:val="003F7469"/>
    <w:rsid w:val="004001F7"/>
    <w:rsid w:val="00400426"/>
    <w:rsid w:val="00400BC1"/>
    <w:rsid w:val="00400FD2"/>
    <w:rsid w:val="00401E60"/>
    <w:rsid w:val="00403711"/>
    <w:rsid w:val="0040441E"/>
    <w:rsid w:val="00404C52"/>
    <w:rsid w:val="00405E46"/>
    <w:rsid w:val="00407EAE"/>
    <w:rsid w:val="00411B64"/>
    <w:rsid w:val="0041252A"/>
    <w:rsid w:val="004156D5"/>
    <w:rsid w:val="00415BA9"/>
    <w:rsid w:val="00415F31"/>
    <w:rsid w:val="0041691D"/>
    <w:rsid w:val="0042000C"/>
    <w:rsid w:val="0042090E"/>
    <w:rsid w:val="00420ED1"/>
    <w:rsid w:val="0042112F"/>
    <w:rsid w:val="00421F27"/>
    <w:rsid w:val="00422AFB"/>
    <w:rsid w:val="004238D8"/>
    <w:rsid w:val="00423A77"/>
    <w:rsid w:val="004253F5"/>
    <w:rsid w:val="00425ED7"/>
    <w:rsid w:val="004263B5"/>
    <w:rsid w:val="004324F4"/>
    <w:rsid w:val="0043405F"/>
    <w:rsid w:val="00434207"/>
    <w:rsid w:val="00434544"/>
    <w:rsid w:val="00436082"/>
    <w:rsid w:val="0043616F"/>
    <w:rsid w:val="00437E6C"/>
    <w:rsid w:val="00441F4E"/>
    <w:rsid w:val="0044460C"/>
    <w:rsid w:val="0044585C"/>
    <w:rsid w:val="00445D43"/>
    <w:rsid w:val="00445F1A"/>
    <w:rsid w:val="00446CD2"/>
    <w:rsid w:val="0044713F"/>
    <w:rsid w:val="0045131F"/>
    <w:rsid w:val="004523B2"/>
    <w:rsid w:val="00454A17"/>
    <w:rsid w:val="0045708C"/>
    <w:rsid w:val="0045777E"/>
    <w:rsid w:val="00460D97"/>
    <w:rsid w:val="00461423"/>
    <w:rsid w:val="00462117"/>
    <w:rsid w:val="0046212C"/>
    <w:rsid w:val="00465258"/>
    <w:rsid w:val="004712F5"/>
    <w:rsid w:val="00471BC6"/>
    <w:rsid w:val="00473362"/>
    <w:rsid w:val="0047496A"/>
    <w:rsid w:val="00476221"/>
    <w:rsid w:val="004766F5"/>
    <w:rsid w:val="00480B4B"/>
    <w:rsid w:val="004838D8"/>
    <w:rsid w:val="00485A23"/>
    <w:rsid w:val="00485DC4"/>
    <w:rsid w:val="004869F2"/>
    <w:rsid w:val="0049279C"/>
    <w:rsid w:val="00494D04"/>
    <w:rsid w:val="00495427"/>
    <w:rsid w:val="00496893"/>
    <w:rsid w:val="00497095"/>
    <w:rsid w:val="004A03A9"/>
    <w:rsid w:val="004A0ED0"/>
    <w:rsid w:val="004A1754"/>
    <w:rsid w:val="004A1C67"/>
    <w:rsid w:val="004A23C1"/>
    <w:rsid w:val="004A40BA"/>
    <w:rsid w:val="004A43D1"/>
    <w:rsid w:val="004A4514"/>
    <w:rsid w:val="004A492B"/>
    <w:rsid w:val="004A76B3"/>
    <w:rsid w:val="004B30A2"/>
    <w:rsid w:val="004B4412"/>
    <w:rsid w:val="004B4A53"/>
    <w:rsid w:val="004B4BD8"/>
    <w:rsid w:val="004B4BE8"/>
    <w:rsid w:val="004B6269"/>
    <w:rsid w:val="004B7262"/>
    <w:rsid w:val="004C0650"/>
    <w:rsid w:val="004C10F3"/>
    <w:rsid w:val="004C19C6"/>
    <w:rsid w:val="004C227C"/>
    <w:rsid w:val="004C248B"/>
    <w:rsid w:val="004C2942"/>
    <w:rsid w:val="004C33B8"/>
    <w:rsid w:val="004C348C"/>
    <w:rsid w:val="004C438C"/>
    <w:rsid w:val="004C462E"/>
    <w:rsid w:val="004C6CA3"/>
    <w:rsid w:val="004C73EB"/>
    <w:rsid w:val="004C7F5E"/>
    <w:rsid w:val="004D343C"/>
    <w:rsid w:val="004D372A"/>
    <w:rsid w:val="004D55BA"/>
    <w:rsid w:val="004D6612"/>
    <w:rsid w:val="004D720C"/>
    <w:rsid w:val="004E0FA7"/>
    <w:rsid w:val="004E22EC"/>
    <w:rsid w:val="004E4975"/>
    <w:rsid w:val="004E76F0"/>
    <w:rsid w:val="004F0BFA"/>
    <w:rsid w:val="004F13DA"/>
    <w:rsid w:val="004F2309"/>
    <w:rsid w:val="004F31FA"/>
    <w:rsid w:val="004F40FB"/>
    <w:rsid w:val="004F4D69"/>
    <w:rsid w:val="004F4DBB"/>
    <w:rsid w:val="004F5587"/>
    <w:rsid w:val="004F6883"/>
    <w:rsid w:val="004F6A0E"/>
    <w:rsid w:val="004F6BB3"/>
    <w:rsid w:val="005009CD"/>
    <w:rsid w:val="00502B42"/>
    <w:rsid w:val="00502EF4"/>
    <w:rsid w:val="00504E5F"/>
    <w:rsid w:val="00510A11"/>
    <w:rsid w:val="005111A6"/>
    <w:rsid w:val="0051337E"/>
    <w:rsid w:val="00513FA7"/>
    <w:rsid w:val="0051768F"/>
    <w:rsid w:val="005211A9"/>
    <w:rsid w:val="00521512"/>
    <w:rsid w:val="00522DC2"/>
    <w:rsid w:val="00530128"/>
    <w:rsid w:val="00531E82"/>
    <w:rsid w:val="005323A8"/>
    <w:rsid w:val="00532413"/>
    <w:rsid w:val="00532467"/>
    <w:rsid w:val="00532C2A"/>
    <w:rsid w:val="00533161"/>
    <w:rsid w:val="005332A9"/>
    <w:rsid w:val="0053587F"/>
    <w:rsid w:val="00535E1D"/>
    <w:rsid w:val="0053603C"/>
    <w:rsid w:val="00537871"/>
    <w:rsid w:val="005402BE"/>
    <w:rsid w:val="0054127C"/>
    <w:rsid w:val="00542E97"/>
    <w:rsid w:val="00542FE9"/>
    <w:rsid w:val="0054330B"/>
    <w:rsid w:val="00544598"/>
    <w:rsid w:val="00544C8D"/>
    <w:rsid w:val="00544DFD"/>
    <w:rsid w:val="005474A6"/>
    <w:rsid w:val="00550202"/>
    <w:rsid w:val="00550B51"/>
    <w:rsid w:val="00551C88"/>
    <w:rsid w:val="00552880"/>
    <w:rsid w:val="005559C4"/>
    <w:rsid w:val="00556B1E"/>
    <w:rsid w:val="00564A4D"/>
    <w:rsid w:val="005653D1"/>
    <w:rsid w:val="0056598C"/>
    <w:rsid w:val="00566E0B"/>
    <w:rsid w:val="00567BA5"/>
    <w:rsid w:val="00571B35"/>
    <w:rsid w:val="00571B43"/>
    <w:rsid w:val="00571D57"/>
    <w:rsid w:val="005731C6"/>
    <w:rsid w:val="0057338D"/>
    <w:rsid w:val="00573A3B"/>
    <w:rsid w:val="00573F48"/>
    <w:rsid w:val="005767E2"/>
    <w:rsid w:val="0057720B"/>
    <w:rsid w:val="00577716"/>
    <w:rsid w:val="00577A09"/>
    <w:rsid w:val="00577D3B"/>
    <w:rsid w:val="005829C2"/>
    <w:rsid w:val="00583D10"/>
    <w:rsid w:val="00584D8F"/>
    <w:rsid w:val="00587A18"/>
    <w:rsid w:val="00587ADE"/>
    <w:rsid w:val="00590E6E"/>
    <w:rsid w:val="00591E38"/>
    <w:rsid w:val="00593800"/>
    <w:rsid w:val="00593CC2"/>
    <w:rsid w:val="0059630B"/>
    <w:rsid w:val="005A0BEC"/>
    <w:rsid w:val="005A3A51"/>
    <w:rsid w:val="005A3A5F"/>
    <w:rsid w:val="005A404D"/>
    <w:rsid w:val="005A5EE4"/>
    <w:rsid w:val="005B10F9"/>
    <w:rsid w:val="005B1E3C"/>
    <w:rsid w:val="005B6518"/>
    <w:rsid w:val="005B704A"/>
    <w:rsid w:val="005B72D7"/>
    <w:rsid w:val="005C045F"/>
    <w:rsid w:val="005C0CB3"/>
    <w:rsid w:val="005C16FE"/>
    <w:rsid w:val="005C1FAB"/>
    <w:rsid w:val="005C21A4"/>
    <w:rsid w:val="005C25B4"/>
    <w:rsid w:val="005C26CC"/>
    <w:rsid w:val="005C3EA6"/>
    <w:rsid w:val="005C418D"/>
    <w:rsid w:val="005C4463"/>
    <w:rsid w:val="005C5BBE"/>
    <w:rsid w:val="005D2062"/>
    <w:rsid w:val="005D3D88"/>
    <w:rsid w:val="005D420C"/>
    <w:rsid w:val="005D4692"/>
    <w:rsid w:val="005D48C4"/>
    <w:rsid w:val="005D515C"/>
    <w:rsid w:val="005D5B9A"/>
    <w:rsid w:val="005D6208"/>
    <w:rsid w:val="005D6366"/>
    <w:rsid w:val="005D7BA2"/>
    <w:rsid w:val="005E36C2"/>
    <w:rsid w:val="005E4926"/>
    <w:rsid w:val="005E4AF4"/>
    <w:rsid w:val="005F3044"/>
    <w:rsid w:val="005F3608"/>
    <w:rsid w:val="005F387E"/>
    <w:rsid w:val="005F4968"/>
    <w:rsid w:val="005F519F"/>
    <w:rsid w:val="006018C8"/>
    <w:rsid w:val="00601E0B"/>
    <w:rsid w:val="0060249C"/>
    <w:rsid w:val="0060258B"/>
    <w:rsid w:val="00610C32"/>
    <w:rsid w:val="00610EF9"/>
    <w:rsid w:val="00612998"/>
    <w:rsid w:val="00612F4F"/>
    <w:rsid w:val="006142D1"/>
    <w:rsid w:val="00614EA0"/>
    <w:rsid w:val="00615C6B"/>
    <w:rsid w:val="00617977"/>
    <w:rsid w:val="00617D4C"/>
    <w:rsid w:val="00621DCE"/>
    <w:rsid w:val="00621FC5"/>
    <w:rsid w:val="0062424C"/>
    <w:rsid w:val="00624F2C"/>
    <w:rsid w:val="006263EC"/>
    <w:rsid w:val="00627A0C"/>
    <w:rsid w:val="00627CED"/>
    <w:rsid w:val="00630DAC"/>
    <w:rsid w:val="00632D6D"/>
    <w:rsid w:val="00632EBA"/>
    <w:rsid w:val="006342E4"/>
    <w:rsid w:val="006349D6"/>
    <w:rsid w:val="00636569"/>
    <w:rsid w:val="00636EF9"/>
    <w:rsid w:val="0064256F"/>
    <w:rsid w:val="00642C3E"/>
    <w:rsid w:val="00643203"/>
    <w:rsid w:val="00644A01"/>
    <w:rsid w:val="0064544D"/>
    <w:rsid w:val="00650E42"/>
    <w:rsid w:val="00651014"/>
    <w:rsid w:val="00651E2D"/>
    <w:rsid w:val="00652324"/>
    <w:rsid w:val="00654763"/>
    <w:rsid w:val="00655C19"/>
    <w:rsid w:val="00656A81"/>
    <w:rsid w:val="006577FB"/>
    <w:rsid w:val="0066104A"/>
    <w:rsid w:val="006619BD"/>
    <w:rsid w:val="00663066"/>
    <w:rsid w:val="00663DAD"/>
    <w:rsid w:val="00664206"/>
    <w:rsid w:val="006649E7"/>
    <w:rsid w:val="00664E90"/>
    <w:rsid w:val="00666634"/>
    <w:rsid w:val="00671692"/>
    <w:rsid w:val="00675E20"/>
    <w:rsid w:val="00676679"/>
    <w:rsid w:val="0068099B"/>
    <w:rsid w:val="00681894"/>
    <w:rsid w:val="00683C89"/>
    <w:rsid w:val="0068649D"/>
    <w:rsid w:val="00691B53"/>
    <w:rsid w:val="006924C9"/>
    <w:rsid w:val="006924FA"/>
    <w:rsid w:val="00694092"/>
    <w:rsid w:val="00695FDE"/>
    <w:rsid w:val="00697CEA"/>
    <w:rsid w:val="00697D0B"/>
    <w:rsid w:val="006A0CC4"/>
    <w:rsid w:val="006A12BA"/>
    <w:rsid w:val="006A4209"/>
    <w:rsid w:val="006A4739"/>
    <w:rsid w:val="006A66A1"/>
    <w:rsid w:val="006B032D"/>
    <w:rsid w:val="006B0439"/>
    <w:rsid w:val="006B19B8"/>
    <w:rsid w:val="006B2395"/>
    <w:rsid w:val="006B40AC"/>
    <w:rsid w:val="006B4CF9"/>
    <w:rsid w:val="006B62A4"/>
    <w:rsid w:val="006B712A"/>
    <w:rsid w:val="006B797C"/>
    <w:rsid w:val="006B7AC8"/>
    <w:rsid w:val="006C0580"/>
    <w:rsid w:val="006C1736"/>
    <w:rsid w:val="006C2D76"/>
    <w:rsid w:val="006C2F54"/>
    <w:rsid w:val="006C329B"/>
    <w:rsid w:val="006C5032"/>
    <w:rsid w:val="006C6303"/>
    <w:rsid w:val="006C7E68"/>
    <w:rsid w:val="006C7F40"/>
    <w:rsid w:val="006D37FC"/>
    <w:rsid w:val="006D3D5C"/>
    <w:rsid w:val="006D468B"/>
    <w:rsid w:val="006D550F"/>
    <w:rsid w:val="006D5DB6"/>
    <w:rsid w:val="006D5F36"/>
    <w:rsid w:val="006D6146"/>
    <w:rsid w:val="006D6FE2"/>
    <w:rsid w:val="006D72D2"/>
    <w:rsid w:val="006D7F7E"/>
    <w:rsid w:val="006E0CFF"/>
    <w:rsid w:val="006F0D92"/>
    <w:rsid w:val="006F267D"/>
    <w:rsid w:val="006F3E74"/>
    <w:rsid w:val="006F48D7"/>
    <w:rsid w:val="006F5C59"/>
    <w:rsid w:val="006F66F0"/>
    <w:rsid w:val="0070011E"/>
    <w:rsid w:val="007001D3"/>
    <w:rsid w:val="00701009"/>
    <w:rsid w:val="00701CAB"/>
    <w:rsid w:val="007023BB"/>
    <w:rsid w:val="00702B30"/>
    <w:rsid w:val="00702BF5"/>
    <w:rsid w:val="00704B63"/>
    <w:rsid w:val="00704DD7"/>
    <w:rsid w:val="007057F3"/>
    <w:rsid w:val="00705837"/>
    <w:rsid w:val="00706D39"/>
    <w:rsid w:val="00707563"/>
    <w:rsid w:val="00707E89"/>
    <w:rsid w:val="00712B23"/>
    <w:rsid w:val="00713987"/>
    <w:rsid w:val="0071399F"/>
    <w:rsid w:val="0071556E"/>
    <w:rsid w:val="00715F61"/>
    <w:rsid w:val="00722132"/>
    <w:rsid w:val="007228F7"/>
    <w:rsid w:val="0072348C"/>
    <w:rsid w:val="00723A2C"/>
    <w:rsid w:val="00723CDC"/>
    <w:rsid w:val="00724A37"/>
    <w:rsid w:val="0072705A"/>
    <w:rsid w:val="0072742B"/>
    <w:rsid w:val="007277EC"/>
    <w:rsid w:val="007303C3"/>
    <w:rsid w:val="00731188"/>
    <w:rsid w:val="007325D7"/>
    <w:rsid w:val="00733E28"/>
    <w:rsid w:val="007356CC"/>
    <w:rsid w:val="007362E6"/>
    <w:rsid w:val="007368E6"/>
    <w:rsid w:val="007375DF"/>
    <w:rsid w:val="00741AE7"/>
    <w:rsid w:val="00741CA9"/>
    <w:rsid w:val="007429BE"/>
    <w:rsid w:val="00743223"/>
    <w:rsid w:val="00743349"/>
    <w:rsid w:val="0074403A"/>
    <w:rsid w:val="00746E01"/>
    <w:rsid w:val="00746FE3"/>
    <w:rsid w:val="007477B7"/>
    <w:rsid w:val="00751DCD"/>
    <w:rsid w:val="00755084"/>
    <w:rsid w:val="007554DB"/>
    <w:rsid w:val="00756BF5"/>
    <w:rsid w:val="00757364"/>
    <w:rsid w:val="00757A77"/>
    <w:rsid w:val="00757BDF"/>
    <w:rsid w:val="00757D1F"/>
    <w:rsid w:val="007609D0"/>
    <w:rsid w:val="00761454"/>
    <w:rsid w:val="0076193D"/>
    <w:rsid w:val="00763E5D"/>
    <w:rsid w:val="00767740"/>
    <w:rsid w:val="00767B5E"/>
    <w:rsid w:val="00767DCA"/>
    <w:rsid w:val="00770064"/>
    <w:rsid w:val="00772CCB"/>
    <w:rsid w:val="00775460"/>
    <w:rsid w:val="00777EE6"/>
    <w:rsid w:val="00780D19"/>
    <w:rsid w:val="00782EEA"/>
    <w:rsid w:val="00784BA1"/>
    <w:rsid w:val="007857CA"/>
    <w:rsid w:val="00786CA4"/>
    <w:rsid w:val="00790305"/>
    <w:rsid w:val="007909B4"/>
    <w:rsid w:val="00790E86"/>
    <w:rsid w:val="00790EAC"/>
    <w:rsid w:val="00791A99"/>
    <w:rsid w:val="0079335B"/>
    <w:rsid w:val="00793CED"/>
    <w:rsid w:val="007949D7"/>
    <w:rsid w:val="00794EAF"/>
    <w:rsid w:val="0079769A"/>
    <w:rsid w:val="007A0143"/>
    <w:rsid w:val="007A34C2"/>
    <w:rsid w:val="007A396C"/>
    <w:rsid w:val="007A4B02"/>
    <w:rsid w:val="007A7BEB"/>
    <w:rsid w:val="007A7DB1"/>
    <w:rsid w:val="007B012F"/>
    <w:rsid w:val="007B0BE3"/>
    <w:rsid w:val="007B1816"/>
    <w:rsid w:val="007B186E"/>
    <w:rsid w:val="007B25DC"/>
    <w:rsid w:val="007B2A46"/>
    <w:rsid w:val="007B2C72"/>
    <w:rsid w:val="007B376B"/>
    <w:rsid w:val="007B3789"/>
    <w:rsid w:val="007B5AA9"/>
    <w:rsid w:val="007B651F"/>
    <w:rsid w:val="007B7BB5"/>
    <w:rsid w:val="007C1C1C"/>
    <w:rsid w:val="007C1C53"/>
    <w:rsid w:val="007C284C"/>
    <w:rsid w:val="007C4033"/>
    <w:rsid w:val="007C4B82"/>
    <w:rsid w:val="007C74BB"/>
    <w:rsid w:val="007C7B59"/>
    <w:rsid w:val="007C7F64"/>
    <w:rsid w:val="007D0A95"/>
    <w:rsid w:val="007D0EB5"/>
    <w:rsid w:val="007D2478"/>
    <w:rsid w:val="007D2807"/>
    <w:rsid w:val="007D2BB1"/>
    <w:rsid w:val="007D2DEE"/>
    <w:rsid w:val="007D3089"/>
    <w:rsid w:val="007D3938"/>
    <w:rsid w:val="007D456E"/>
    <w:rsid w:val="007D504D"/>
    <w:rsid w:val="007D5837"/>
    <w:rsid w:val="007D5B8E"/>
    <w:rsid w:val="007E1C6D"/>
    <w:rsid w:val="007E24FC"/>
    <w:rsid w:val="007E4904"/>
    <w:rsid w:val="007E4CB5"/>
    <w:rsid w:val="007E4DAE"/>
    <w:rsid w:val="007F066B"/>
    <w:rsid w:val="007F3196"/>
    <w:rsid w:val="007F3A6C"/>
    <w:rsid w:val="007F438A"/>
    <w:rsid w:val="007F4EAB"/>
    <w:rsid w:val="007F541E"/>
    <w:rsid w:val="007F5B16"/>
    <w:rsid w:val="007F7244"/>
    <w:rsid w:val="007F7C9D"/>
    <w:rsid w:val="007F7D12"/>
    <w:rsid w:val="008033C4"/>
    <w:rsid w:val="00804D7B"/>
    <w:rsid w:val="00806731"/>
    <w:rsid w:val="00806C88"/>
    <w:rsid w:val="0081034E"/>
    <w:rsid w:val="00810806"/>
    <w:rsid w:val="00811E6C"/>
    <w:rsid w:val="00814A31"/>
    <w:rsid w:val="00815882"/>
    <w:rsid w:val="008176FB"/>
    <w:rsid w:val="00820454"/>
    <w:rsid w:val="008213FA"/>
    <w:rsid w:val="00822AC7"/>
    <w:rsid w:val="00822E86"/>
    <w:rsid w:val="008261D7"/>
    <w:rsid w:val="00831110"/>
    <w:rsid w:val="008344F6"/>
    <w:rsid w:val="0083510F"/>
    <w:rsid w:val="00837BF3"/>
    <w:rsid w:val="008415DE"/>
    <w:rsid w:val="008420DE"/>
    <w:rsid w:val="00845340"/>
    <w:rsid w:val="0084540D"/>
    <w:rsid w:val="00845865"/>
    <w:rsid w:val="00847709"/>
    <w:rsid w:val="0084799B"/>
    <w:rsid w:val="00850C90"/>
    <w:rsid w:val="00851209"/>
    <w:rsid w:val="0085171F"/>
    <w:rsid w:val="008518CD"/>
    <w:rsid w:val="00851DF7"/>
    <w:rsid w:val="00853A5A"/>
    <w:rsid w:val="00856A93"/>
    <w:rsid w:val="00862E8A"/>
    <w:rsid w:val="008658A1"/>
    <w:rsid w:val="0086716A"/>
    <w:rsid w:val="008677BB"/>
    <w:rsid w:val="00870058"/>
    <w:rsid w:val="00870613"/>
    <w:rsid w:val="00871A8A"/>
    <w:rsid w:val="0087380F"/>
    <w:rsid w:val="008745F0"/>
    <w:rsid w:val="00875221"/>
    <w:rsid w:val="00875767"/>
    <w:rsid w:val="008759B1"/>
    <w:rsid w:val="0087648F"/>
    <w:rsid w:val="00876612"/>
    <w:rsid w:val="0087718C"/>
    <w:rsid w:val="008808D0"/>
    <w:rsid w:val="00880C29"/>
    <w:rsid w:val="00882BB1"/>
    <w:rsid w:val="008837AC"/>
    <w:rsid w:val="00883ACE"/>
    <w:rsid w:val="00885700"/>
    <w:rsid w:val="00886A0C"/>
    <w:rsid w:val="00887CCF"/>
    <w:rsid w:val="008909DC"/>
    <w:rsid w:val="008916AE"/>
    <w:rsid w:val="00892179"/>
    <w:rsid w:val="00894255"/>
    <w:rsid w:val="008945AD"/>
    <w:rsid w:val="008A0645"/>
    <w:rsid w:val="008A1935"/>
    <w:rsid w:val="008A1C02"/>
    <w:rsid w:val="008A1D0E"/>
    <w:rsid w:val="008A370D"/>
    <w:rsid w:val="008A3AB7"/>
    <w:rsid w:val="008A4DE4"/>
    <w:rsid w:val="008A587D"/>
    <w:rsid w:val="008B16B0"/>
    <w:rsid w:val="008B1BD5"/>
    <w:rsid w:val="008B28F1"/>
    <w:rsid w:val="008B35CD"/>
    <w:rsid w:val="008B4093"/>
    <w:rsid w:val="008B5EAB"/>
    <w:rsid w:val="008B5FCC"/>
    <w:rsid w:val="008B62F6"/>
    <w:rsid w:val="008B685E"/>
    <w:rsid w:val="008B6D48"/>
    <w:rsid w:val="008B7CDE"/>
    <w:rsid w:val="008B7F36"/>
    <w:rsid w:val="008C05DC"/>
    <w:rsid w:val="008C0DE8"/>
    <w:rsid w:val="008C1864"/>
    <w:rsid w:val="008C1866"/>
    <w:rsid w:val="008C1A70"/>
    <w:rsid w:val="008C357F"/>
    <w:rsid w:val="008C5486"/>
    <w:rsid w:val="008C7D6F"/>
    <w:rsid w:val="008C7F37"/>
    <w:rsid w:val="008D1661"/>
    <w:rsid w:val="008D1E30"/>
    <w:rsid w:val="008D27E0"/>
    <w:rsid w:val="008D2A72"/>
    <w:rsid w:val="008D5F90"/>
    <w:rsid w:val="008D6800"/>
    <w:rsid w:val="008D72F1"/>
    <w:rsid w:val="008E097E"/>
    <w:rsid w:val="008E1691"/>
    <w:rsid w:val="008E21A8"/>
    <w:rsid w:val="008E267F"/>
    <w:rsid w:val="008E2F38"/>
    <w:rsid w:val="008E4089"/>
    <w:rsid w:val="008E5AFF"/>
    <w:rsid w:val="008E7031"/>
    <w:rsid w:val="008E77DE"/>
    <w:rsid w:val="008E7B0A"/>
    <w:rsid w:val="008F040C"/>
    <w:rsid w:val="008F07A3"/>
    <w:rsid w:val="008F3322"/>
    <w:rsid w:val="008F3519"/>
    <w:rsid w:val="008F3A0D"/>
    <w:rsid w:val="008F5A6E"/>
    <w:rsid w:val="009001B6"/>
    <w:rsid w:val="00900E1B"/>
    <w:rsid w:val="0090131F"/>
    <w:rsid w:val="00904C4B"/>
    <w:rsid w:val="00907683"/>
    <w:rsid w:val="009132B7"/>
    <w:rsid w:val="0091415B"/>
    <w:rsid w:val="00916A2C"/>
    <w:rsid w:val="009177E3"/>
    <w:rsid w:val="00921E66"/>
    <w:rsid w:val="009233EE"/>
    <w:rsid w:val="00926D14"/>
    <w:rsid w:val="00930B1A"/>
    <w:rsid w:val="00932612"/>
    <w:rsid w:val="009327DC"/>
    <w:rsid w:val="009338D9"/>
    <w:rsid w:val="009339BD"/>
    <w:rsid w:val="009356CF"/>
    <w:rsid w:val="0093603E"/>
    <w:rsid w:val="00940374"/>
    <w:rsid w:val="00940D6A"/>
    <w:rsid w:val="00940EA4"/>
    <w:rsid w:val="009410CD"/>
    <w:rsid w:val="00943E60"/>
    <w:rsid w:val="00945E53"/>
    <w:rsid w:val="009460AA"/>
    <w:rsid w:val="00946CB5"/>
    <w:rsid w:val="00951978"/>
    <w:rsid w:val="00951C84"/>
    <w:rsid w:val="00952C8B"/>
    <w:rsid w:val="009554DB"/>
    <w:rsid w:val="00956689"/>
    <w:rsid w:val="009601BF"/>
    <w:rsid w:val="00961A4A"/>
    <w:rsid w:val="009661DE"/>
    <w:rsid w:val="009668F2"/>
    <w:rsid w:val="00966C53"/>
    <w:rsid w:val="009671FB"/>
    <w:rsid w:val="00971706"/>
    <w:rsid w:val="00972C7C"/>
    <w:rsid w:val="009765EF"/>
    <w:rsid w:val="009776F4"/>
    <w:rsid w:val="00982DA2"/>
    <w:rsid w:val="00983C25"/>
    <w:rsid w:val="00983D06"/>
    <w:rsid w:val="0098466D"/>
    <w:rsid w:val="009856B7"/>
    <w:rsid w:val="009859D6"/>
    <w:rsid w:val="00985C86"/>
    <w:rsid w:val="00986189"/>
    <w:rsid w:val="0098697B"/>
    <w:rsid w:val="00990939"/>
    <w:rsid w:val="00994E09"/>
    <w:rsid w:val="00995A4E"/>
    <w:rsid w:val="009968B7"/>
    <w:rsid w:val="009A4A25"/>
    <w:rsid w:val="009A5FC3"/>
    <w:rsid w:val="009B6F84"/>
    <w:rsid w:val="009B74B0"/>
    <w:rsid w:val="009C0152"/>
    <w:rsid w:val="009C1A74"/>
    <w:rsid w:val="009C2407"/>
    <w:rsid w:val="009C27B1"/>
    <w:rsid w:val="009C2E9D"/>
    <w:rsid w:val="009C3D42"/>
    <w:rsid w:val="009C44CE"/>
    <w:rsid w:val="009C491E"/>
    <w:rsid w:val="009C523F"/>
    <w:rsid w:val="009C7307"/>
    <w:rsid w:val="009D0DF1"/>
    <w:rsid w:val="009D22D6"/>
    <w:rsid w:val="009D2C84"/>
    <w:rsid w:val="009D3906"/>
    <w:rsid w:val="009D3AB4"/>
    <w:rsid w:val="009D53BE"/>
    <w:rsid w:val="009D5E35"/>
    <w:rsid w:val="009D6B46"/>
    <w:rsid w:val="009E35B6"/>
    <w:rsid w:val="009E5988"/>
    <w:rsid w:val="009E5ABC"/>
    <w:rsid w:val="009E6CA1"/>
    <w:rsid w:val="009F0DA6"/>
    <w:rsid w:val="009F2715"/>
    <w:rsid w:val="009F3BBA"/>
    <w:rsid w:val="009F43B4"/>
    <w:rsid w:val="009F490E"/>
    <w:rsid w:val="009F4940"/>
    <w:rsid w:val="009F5183"/>
    <w:rsid w:val="009F5BA1"/>
    <w:rsid w:val="009F631B"/>
    <w:rsid w:val="00A003D4"/>
    <w:rsid w:val="00A0208D"/>
    <w:rsid w:val="00A02A88"/>
    <w:rsid w:val="00A04012"/>
    <w:rsid w:val="00A046FA"/>
    <w:rsid w:val="00A0562E"/>
    <w:rsid w:val="00A06CCA"/>
    <w:rsid w:val="00A0726D"/>
    <w:rsid w:val="00A073AE"/>
    <w:rsid w:val="00A1064A"/>
    <w:rsid w:val="00A12204"/>
    <w:rsid w:val="00A12750"/>
    <w:rsid w:val="00A13CB0"/>
    <w:rsid w:val="00A14CE9"/>
    <w:rsid w:val="00A1561F"/>
    <w:rsid w:val="00A16544"/>
    <w:rsid w:val="00A20E74"/>
    <w:rsid w:val="00A21A30"/>
    <w:rsid w:val="00A244EE"/>
    <w:rsid w:val="00A25CFD"/>
    <w:rsid w:val="00A26306"/>
    <w:rsid w:val="00A30BF5"/>
    <w:rsid w:val="00A31A9C"/>
    <w:rsid w:val="00A31BE6"/>
    <w:rsid w:val="00A32FBB"/>
    <w:rsid w:val="00A33138"/>
    <w:rsid w:val="00A33A3A"/>
    <w:rsid w:val="00A35982"/>
    <w:rsid w:val="00A40068"/>
    <w:rsid w:val="00A4090F"/>
    <w:rsid w:val="00A40BE9"/>
    <w:rsid w:val="00A41D10"/>
    <w:rsid w:val="00A428EE"/>
    <w:rsid w:val="00A443C2"/>
    <w:rsid w:val="00A4478A"/>
    <w:rsid w:val="00A44852"/>
    <w:rsid w:val="00A44BBF"/>
    <w:rsid w:val="00A47008"/>
    <w:rsid w:val="00A47919"/>
    <w:rsid w:val="00A47B16"/>
    <w:rsid w:val="00A50502"/>
    <w:rsid w:val="00A5087B"/>
    <w:rsid w:val="00A51112"/>
    <w:rsid w:val="00A52080"/>
    <w:rsid w:val="00A53409"/>
    <w:rsid w:val="00A53796"/>
    <w:rsid w:val="00A53848"/>
    <w:rsid w:val="00A549B0"/>
    <w:rsid w:val="00A55AED"/>
    <w:rsid w:val="00A56945"/>
    <w:rsid w:val="00A56A6E"/>
    <w:rsid w:val="00A57D04"/>
    <w:rsid w:val="00A60A26"/>
    <w:rsid w:val="00A60D01"/>
    <w:rsid w:val="00A61598"/>
    <w:rsid w:val="00A61777"/>
    <w:rsid w:val="00A61E7E"/>
    <w:rsid w:val="00A62D30"/>
    <w:rsid w:val="00A630D6"/>
    <w:rsid w:val="00A63646"/>
    <w:rsid w:val="00A63914"/>
    <w:rsid w:val="00A63B21"/>
    <w:rsid w:val="00A65184"/>
    <w:rsid w:val="00A662AF"/>
    <w:rsid w:val="00A66F01"/>
    <w:rsid w:val="00A7346B"/>
    <w:rsid w:val="00A739F7"/>
    <w:rsid w:val="00A73B59"/>
    <w:rsid w:val="00A84A99"/>
    <w:rsid w:val="00A84F46"/>
    <w:rsid w:val="00A8521C"/>
    <w:rsid w:val="00A85E87"/>
    <w:rsid w:val="00A86AEA"/>
    <w:rsid w:val="00A871F4"/>
    <w:rsid w:val="00A94085"/>
    <w:rsid w:val="00A9431A"/>
    <w:rsid w:val="00A95988"/>
    <w:rsid w:val="00A959DF"/>
    <w:rsid w:val="00A96773"/>
    <w:rsid w:val="00A96C5B"/>
    <w:rsid w:val="00A97A1B"/>
    <w:rsid w:val="00AA0CF7"/>
    <w:rsid w:val="00AA15BF"/>
    <w:rsid w:val="00AA2927"/>
    <w:rsid w:val="00AA2CC6"/>
    <w:rsid w:val="00AA4EE9"/>
    <w:rsid w:val="00AA5AB2"/>
    <w:rsid w:val="00AA60B9"/>
    <w:rsid w:val="00AA7240"/>
    <w:rsid w:val="00AA77BB"/>
    <w:rsid w:val="00AB0C0F"/>
    <w:rsid w:val="00AB1C04"/>
    <w:rsid w:val="00AB251A"/>
    <w:rsid w:val="00AB2CB8"/>
    <w:rsid w:val="00AB2F66"/>
    <w:rsid w:val="00AB2F81"/>
    <w:rsid w:val="00AB4160"/>
    <w:rsid w:val="00AB4617"/>
    <w:rsid w:val="00AC0DFE"/>
    <w:rsid w:val="00AC1B2C"/>
    <w:rsid w:val="00AC3264"/>
    <w:rsid w:val="00AC46AD"/>
    <w:rsid w:val="00AC4D2D"/>
    <w:rsid w:val="00AC58EC"/>
    <w:rsid w:val="00AC7282"/>
    <w:rsid w:val="00AC7961"/>
    <w:rsid w:val="00AC7E81"/>
    <w:rsid w:val="00AD0F84"/>
    <w:rsid w:val="00AD1BEB"/>
    <w:rsid w:val="00AD222E"/>
    <w:rsid w:val="00AD314E"/>
    <w:rsid w:val="00AD416B"/>
    <w:rsid w:val="00AD5FCD"/>
    <w:rsid w:val="00AD6B48"/>
    <w:rsid w:val="00AD79A5"/>
    <w:rsid w:val="00AD7A3A"/>
    <w:rsid w:val="00AD7D63"/>
    <w:rsid w:val="00AE1BF1"/>
    <w:rsid w:val="00AE23AB"/>
    <w:rsid w:val="00AE4355"/>
    <w:rsid w:val="00AE48CF"/>
    <w:rsid w:val="00AE58FB"/>
    <w:rsid w:val="00AE5AF0"/>
    <w:rsid w:val="00AE663D"/>
    <w:rsid w:val="00AE73B3"/>
    <w:rsid w:val="00AF07E7"/>
    <w:rsid w:val="00AF0DD2"/>
    <w:rsid w:val="00AF2A7E"/>
    <w:rsid w:val="00AF31E1"/>
    <w:rsid w:val="00AF3689"/>
    <w:rsid w:val="00AF3BBA"/>
    <w:rsid w:val="00AF4231"/>
    <w:rsid w:val="00AF4DEA"/>
    <w:rsid w:val="00AF71E5"/>
    <w:rsid w:val="00AF741F"/>
    <w:rsid w:val="00B0033F"/>
    <w:rsid w:val="00B00B0E"/>
    <w:rsid w:val="00B00B26"/>
    <w:rsid w:val="00B01589"/>
    <w:rsid w:val="00B01F77"/>
    <w:rsid w:val="00B02385"/>
    <w:rsid w:val="00B02F9D"/>
    <w:rsid w:val="00B04C8E"/>
    <w:rsid w:val="00B05766"/>
    <w:rsid w:val="00B07EB4"/>
    <w:rsid w:val="00B13048"/>
    <w:rsid w:val="00B13883"/>
    <w:rsid w:val="00B138C5"/>
    <w:rsid w:val="00B14116"/>
    <w:rsid w:val="00B144C4"/>
    <w:rsid w:val="00B1716D"/>
    <w:rsid w:val="00B17A1D"/>
    <w:rsid w:val="00B207A0"/>
    <w:rsid w:val="00B21C21"/>
    <w:rsid w:val="00B22F54"/>
    <w:rsid w:val="00B24A7E"/>
    <w:rsid w:val="00B24B02"/>
    <w:rsid w:val="00B25C0C"/>
    <w:rsid w:val="00B27F61"/>
    <w:rsid w:val="00B304B5"/>
    <w:rsid w:val="00B308A9"/>
    <w:rsid w:val="00B31047"/>
    <w:rsid w:val="00B328F2"/>
    <w:rsid w:val="00B33148"/>
    <w:rsid w:val="00B33BA8"/>
    <w:rsid w:val="00B35352"/>
    <w:rsid w:val="00B35CDF"/>
    <w:rsid w:val="00B36768"/>
    <w:rsid w:val="00B36A00"/>
    <w:rsid w:val="00B36B2C"/>
    <w:rsid w:val="00B403C2"/>
    <w:rsid w:val="00B405A1"/>
    <w:rsid w:val="00B4184C"/>
    <w:rsid w:val="00B41A19"/>
    <w:rsid w:val="00B439A2"/>
    <w:rsid w:val="00B4438A"/>
    <w:rsid w:val="00B45AA2"/>
    <w:rsid w:val="00B45E00"/>
    <w:rsid w:val="00B46601"/>
    <w:rsid w:val="00B479CA"/>
    <w:rsid w:val="00B5084F"/>
    <w:rsid w:val="00B50B10"/>
    <w:rsid w:val="00B514DD"/>
    <w:rsid w:val="00B52AF0"/>
    <w:rsid w:val="00B53D5F"/>
    <w:rsid w:val="00B54051"/>
    <w:rsid w:val="00B561BD"/>
    <w:rsid w:val="00B56E03"/>
    <w:rsid w:val="00B6154B"/>
    <w:rsid w:val="00B62765"/>
    <w:rsid w:val="00B634C6"/>
    <w:rsid w:val="00B6544B"/>
    <w:rsid w:val="00B65772"/>
    <w:rsid w:val="00B65DF5"/>
    <w:rsid w:val="00B67CD2"/>
    <w:rsid w:val="00B7472C"/>
    <w:rsid w:val="00B75176"/>
    <w:rsid w:val="00B7679F"/>
    <w:rsid w:val="00B77159"/>
    <w:rsid w:val="00B80020"/>
    <w:rsid w:val="00B8080B"/>
    <w:rsid w:val="00B81B8D"/>
    <w:rsid w:val="00B82223"/>
    <w:rsid w:val="00B83063"/>
    <w:rsid w:val="00B85421"/>
    <w:rsid w:val="00B861D2"/>
    <w:rsid w:val="00B87BA5"/>
    <w:rsid w:val="00B87C39"/>
    <w:rsid w:val="00B91A85"/>
    <w:rsid w:val="00B93891"/>
    <w:rsid w:val="00B9562D"/>
    <w:rsid w:val="00BA0216"/>
    <w:rsid w:val="00BA21DA"/>
    <w:rsid w:val="00BA2B60"/>
    <w:rsid w:val="00BA3C93"/>
    <w:rsid w:val="00BA40E1"/>
    <w:rsid w:val="00BA42B8"/>
    <w:rsid w:val="00BA4665"/>
    <w:rsid w:val="00BA46FE"/>
    <w:rsid w:val="00BA56F9"/>
    <w:rsid w:val="00BA6601"/>
    <w:rsid w:val="00BA7FD7"/>
    <w:rsid w:val="00BB0814"/>
    <w:rsid w:val="00BB1681"/>
    <w:rsid w:val="00BB2A63"/>
    <w:rsid w:val="00BB2FB2"/>
    <w:rsid w:val="00BB3304"/>
    <w:rsid w:val="00BB3667"/>
    <w:rsid w:val="00BB421B"/>
    <w:rsid w:val="00BB6551"/>
    <w:rsid w:val="00BB6682"/>
    <w:rsid w:val="00BC26C5"/>
    <w:rsid w:val="00BC4A10"/>
    <w:rsid w:val="00BC5127"/>
    <w:rsid w:val="00BC6B92"/>
    <w:rsid w:val="00BD06BD"/>
    <w:rsid w:val="00BD17F5"/>
    <w:rsid w:val="00BD27D5"/>
    <w:rsid w:val="00BD30F4"/>
    <w:rsid w:val="00BD3156"/>
    <w:rsid w:val="00BD3446"/>
    <w:rsid w:val="00BD59CF"/>
    <w:rsid w:val="00BD59DC"/>
    <w:rsid w:val="00BE1312"/>
    <w:rsid w:val="00BE1F1B"/>
    <w:rsid w:val="00BE3F89"/>
    <w:rsid w:val="00BE47B5"/>
    <w:rsid w:val="00BE5FCE"/>
    <w:rsid w:val="00BE7BF4"/>
    <w:rsid w:val="00BF2098"/>
    <w:rsid w:val="00BF23CE"/>
    <w:rsid w:val="00BF2417"/>
    <w:rsid w:val="00BF2FEB"/>
    <w:rsid w:val="00BF392A"/>
    <w:rsid w:val="00BF5528"/>
    <w:rsid w:val="00BF79F9"/>
    <w:rsid w:val="00C0079E"/>
    <w:rsid w:val="00C01595"/>
    <w:rsid w:val="00C0216F"/>
    <w:rsid w:val="00C0363E"/>
    <w:rsid w:val="00C0572A"/>
    <w:rsid w:val="00C06CD6"/>
    <w:rsid w:val="00C1039F"/>
    <w:rsid w:val="00C10B14"/>
    <w:rsid w:val="00C11BCA"/>
    <w:rsid w:val="00C13EBD"/>
    <w:rsid w:val="00C157BA"/>
    <w:rsid w:val="00C1631B"/>
    <w:rsid w:val="00C163AB"/>
    <w:rsid w:val="00C16641"/>
    <w:rsid w:val="00C170F0"/>
    <w:rsid w:val="00C239EF"/>
    <w:rsid w:val="00C23B0C"/>
    <w:rsid w:val="00C256A8"/>
    <w:rsid w:val="00C25962"/>
    <w:rsid w:val="00C25FA6"/>
    <w:rsid w:val="00C2754A"/>
    <w:rsid w:val="00C27F2E"/>
    <w:rsid w:val="00C30013"/>
    <w:rsid w:val="00C3099D"/>
    <w:rsid w:val="00C31898"/>
    <w:rsid w:val="00C32A95"/>
    <w:rsid w:val="00C33011"/>
    <w:rsid w:val="00C362C1"/>
    <w:rsid w:val="00C36F65"/>
    <w:rsid w:val="00C40F99"/>
    <w:rsid w:val="00C41950"/>
    <w:rsid w:val="00C41E21"/>
    <w:rsid w:val="00C42C3B"/>
    <w:rsid w:val="00C50C36"/>
    <w:rsid w:val="00C51672"/>
    <w:rsid w:val="00C538A9"/>
    <w:rsid w:val="00C53B5A"/>
    <w:rsid w:val="00C53CB4"/>
    <w:rsid w:val="00C53E41"/>
    <w:rsid w:val="00C54909"/>
    <w:rsid w:val="00C54AF3"/>
    <w:rsid w:val="00C54F5A"/>
    <w:rsid w:val="00C569B4"/>
    <w:rsid w:val="00C57DDE"/>
    <w:rsid w:val="00C61468"/>
    <w:rsid w:val="00C61A97"/>
    <w:rsid w:val="00C61C73"/>
    <w:rsid w:val="00C61E44"/>
    <w:rsid w:val="00C62AD4"/>
    <w:rsid w:val="00C63403"/>
    <w:rsid w:val="00C64FF3"/>
    <w:rsid w:val="00C662AD"/>
    <w:rsid w:val="00C66798"/>
    <w:rsid w:val="00C66A32"/>
    <w:rsid w:val="00C67A92"/>
    <w:rsid w:val="00C67EB1"/>
    <w:rsid w:val="00C71280"/>
    <w:rsid w:val="00C717BF"/>
    <w:rsid w:val="00C71D03"/>
    <w:rsid w:val="00C76178"/>
    <w:rsid w:val="00C8080F"/>
    <w:rsid w:val="00C84560"/>
    <w:rsid w:val="00C84E24"/>
    <w:rsid w:val="00C86679"/>
    <w:rsid w:val="00C86AD7"/>
    <w:rsid w:val="00C8792F"/>
    <w:rsid w:val="00C90472"/>
    <w:rsid w:val="00C91D6E"/>
    <w:rsid w:val="00C93D29"/>
    <w:rsid w:val="00C94AB0"/>
    <w:rsid w:val="00C97769"/>
    <w:rsid w:val="00CA05BA"/>
    <w:rsid w:val="00CA0E7F"/>
    <w:rsid w:val="00CA10EF"/>
    <w:rsid w:val="00CA489E"/>
    <w:rsid w:val="00CA61EF"/>
    <w:rsid w:val="00CA74C5"/>
    <w:rsid w:val="00CB0279"/>
    <w:rsid w:val="00CB0BBE"/>
    <w:rsid w:val="00CB1CB6"/>
    <w:rsid w:val="00CB233B"/>
    <w:rsid w:val="00CB666B"/>
    <w:rsid w:val="00CB710E"/>
    <w:rsid w:val="00CB734B"/>
    <w:rsid w:val="00CC058C"/>
    <w:rsid w:val="00CC1FCE"/>
    <w:rsid w:val="00CC41B6"/>
    <w:rsid w:val="00CC606E"/>
    <w:rsid w:val="00CC7102"/>
    <w:rsid w:val="00CC7585"/>
    <w:rsid w:val="00CC7638"/>
    <w:rsid w:val="00CC7ADA"/>
    <w:rsid w:val="00CC7F1D"/>
    <w:rsid w:val="00CC7FB1"/>
    <w:rsid w:val="00CD0A88"/>
    <w:rsid w:val="00CD125D"/>
    <w:rsid w:val="00CD283C"/>
    <w:rsid w:val="00CD2E86"/>
    <w:rsid w:val="00CD3641"/>
    <w:rsid w:val="00CD50D1"/>
    <w:rsid w:val="00CD5552"/>
    <w:rsid w:val="00CD66EA"/>
    <w:rsid w:val="00CD6FAE"/>
    <w:rsid w:val="00CD7432"/>
    <w:rsid w:val="00CE09F4"/>
    <w:rsid w:val="00CE0FA5"/>
    <w:rsid w:val="00CE2A23"/>
    <w:rsid w:val="00CE2AC4"/>
    <w:rsid w:val="00CE31C8"/>
    <w:rsid w:val="00CE484B"/>
    <w:rsid w:val="00CE7CBA"/>
    <w:rsid w:val="00CF000C"/>
    <w:rsid w:val="00CF0DEE"/>
    <w:rsid w:val="00CF42AA"/>
    <w:rsid w:val="00CF5EAA"/>
    <w:rsid w:val="00CF6468"/>
    <w:rsid w:val="00CF6AE3"/>
    <w:rsid w:val="00CF74FA"/>
    <w:rsid w:val="00CF77BB"/>
    <w:rsid w:val="00D006AE"/>
    <w:rsid w:val="00D00905"/>
    <w:rsid w:val="00D010C1"/>
    <w:rsid w:val="00D01CF0"/>
    <w:rsid w:val="00D01D61"/>
    <w:rsid w:val="00D0442A"/>
    <w:rsid w:val="00D04592"/>
    <w:rsid w:val="00D0734D"/>
    <w:rsid w:val="00D0771B"/>
    <w:rsid w:val="00D11F62"/>
    <w:rsid w:val="00D1242D"/>
    <w:rsid w:val="00D12A7B"/>
    <w:rsid w:val="00D12ADB"/>
    <w:rsid w:val="00D13069"/>
    <w:rsid w:val="00D134D8"/>
    <w:rsid w:val="00D13A5B"/>
    <w:rsid w:val="00D15E63"/>
    <w:rsid w:val="00D162A2"/>
    <w:rsid w:val="00D21FDC"/>
    <w:rsid w:val="00D23D85"/>
    <w:rsid w:val="00D25A39"/>
    <w:rsid w:val="00D26106"/>
    <w:rsid w:val="00D26821"/>
    <w:rsid w:val="00D27CFA"/>
    <w:rsid w:val="00D310FA"/>
    <w:rsid w:val="00D325C6"/>
    <w:rsid w:val="00D32644"/>
    <w:rsid w:val="00D33124"/>
    <w:rsid w:val="00D334A4"/>
    <w:rsid w:val="00D35F79"/>
    <w:rsid w:val="00D36638"/>
    <w:rsid w:val="00D37213"/>
    <w:rsid w:val="00D374B6"/>
    <w:rsid w:val="00D41B02"/>
    <w:rsid w:val="00D42E74"/>
    <w:rsid w:val="00D4360D"/>
    <w:rsid w:val="00D45FC0"/>
    <w:rsid w:val="00D525C3"/>
    <w:rsid w:val="00D53336"/>
    <w:rsid w:val="00D53528"/>
    <w:rsid w:val="00D5607F"/>
    <w:rsid w:val="00D56450"/>
    <w:rsid w:val="00D576DD"/>
    <w:rsid w:val="00D61388"/>
    <w:rsid w:val="00D61A54"/>
    <w:rsid w:val="00D62108"/>
    <w:rsid w:val="00D62759"/>
    <w:rsid w:val="00D635F8"/>
    <w:rsid w:val="00D6426C"/>
    <w:rsid w:val="00D64AA4"/>
    <w:rsid w:val="00D64DEA"/>
    <w:rsid w:val="00D64F84"/>
    <w:rsid w:val="00D65EB9"/>
    <w:rsid w:val="00D65F92"/>
    <w:rsid w:val="00D660A2"/>
    <w:rsid w:val="00D663CD"/>
    <w:rsid w:val="00D6726A"/>
    <w:rsid w:val="00D7001B"/>
    <w:rsid w:val="00D7086B"/>
    <w:rsid w:val="00D7160D"/>
    <w:rsid w:val="00D7168E"/>
    <w:rsid w:val="00D71E57"/>
    <w:rsid w:val="00D72D27"/>
    <w:rsid w:val="00D73323"/>
    <w:rsid w:val="00D734B2"/>
    <w:rsid w:val="00D73787"/>
    <w:rsid w:val="00D74922"/>
    <w:rsid w:val="00D7553C"/>
    <w:rsid w:val="00D76C4B"/>
    <w:rsid w:val="00D77219"/>
    <w:rsid w:val="00D77484"/>
    <w:rsid w:val="00D7786B"/>
    <w:rsid w:val="00D80893"/>
    <w:rsid w:val="00D82519"/>
    <w:rsid w:val="00D827FF"/>
    <w:rsid w:val="00D834C7"/>
    <w:rsid w:val="00D84123"/>
    <w:rsid w:val="00D84854"/>
    <w:rsid w:val="00D852C0"/>
    <w:rsid w:val="00D85B9E"/>
    <w:rsid w:val="00D876A2"/>
    <w:rsid w:val="00D90860"/>
    <w:rsid w:val="00D91BE6"/>
    <w:rsid w:val="00D924AE"/>
    <w:rsid w:val="00D92CF1"/>
    <w:rsid w:val="00D92D38"/>
    <w:rsid w:val="00D933D9"/>
    <w:rsid w:val="00D950F5"/>
    <w:rsid w:val="00D95C06"/>
    <w:rsid w:val="00D97379"/>
    <w:rsid w:val="00DA4502"/>
    <w:rsid w:val="00DA4752"/>
    <w:rsid w:val="00DA4C09"/>
    <w:rsid w:val="00DA61F3"/>
    <w:rsid w:val="00DA6EA4"/>
    <w:rsid w:val="00DA7305"/>
    <w:rsid w:val="00DA7CB3"/>
    <w:rsid w:val="00DB0902"/>
    <w:rsid w:val="00DB0D00"/>
    <w:rsid w:val="00DB0F93"/>
    <w:rsid w:val="00DB1A67"/>
    <w:rsid w:val="00DB3721"/>
    <w:rsid w:val="00DB3C92"/>
    <w:rsid w:val="00DB4147"/>
    <w:rsid w:val="00DB44AE"/>
    <w:rsid w:val="00DB5074"/>
    <w:rsid w:val="00DB72C4"/>
    <w:rsid w:val="00DC0281"/>
    <w:rsid w:val="00DC1930"/>
    <w:rsid w:val="00DC1C76"/>
    <w:rsid w:val="00DC33DC"/>
    <w:rsid w:val="00DC3411"/>
    <w:rsid w:val="00DC4DBF"/>
    <w:rsid w:val="00DC4E19"/>
    <w:rsid w:val="00DC65FE"/>
    <w:rsid w:val="00DC7981"/>
    <w:rsid w:val="00DD3A2F"/>
    <w:rsid w:val="00DD4C07"/>
    <w:rsid w:val="00DD4F4A"/>
    <w:rsid w:val="00DD56A5"/>
    <w:rsid w:val="00DD577D"/>
    <w:rsid w:val="00DD5ADC"/>
    <w:rsid w:val="00DD61AB"/>
    <w:rsid w:val="00DE1093"/>
    <w:rsid w:val="00DE1882"/>
    <w:rsid w:val="00DE3604"/>
    <w:rsid w:val="00DE4EFA"/>
    <w:rsid w:val="00DE53A8"/>
    <w:rsid w:val="00DE5520"/>
    <w:rsid w:val="00DE563D"/>
    <w:rsid w:val="00DE5F48"/>
    <w:rsid w:val="00DE7AB5"/>
    <w:rsid w:val="00DF0152"/>
    <w:rsid w:val="00DF1958"/>
    <w:rsid w:val="00DF1D6D"/>
    <w:rsid w:val="00DF3498"/>
    <w:rsid w:val="00DF3667"/>
    <w:rsid w:val="00DF51C8"/>
    <w:rsid w:val="00DF5EE7"/>
    <w:rsid w:val="00E046E3"/>
    <w:rsid w:val="00E04818"/>
    <w:rsid w:val="00E04B61"/>
    <w:rsid w:val="00E04E6D"/>
    <w:rsid w:val="00E04EDB"/>
    <w:rsid w:val="00E06211"/>
    <w:rsid w:val="00E06442"/>
    <w:rsid w:val="00E06952"/>
    <w:rsid w:val="00E11E61"/>
    <w:rsid w:val="00E12ACA"/>
    <w:rsid w:val="00E14B35"/>
    <w:rsid w:val="00E157B2"/>
    <w:rsid w:val="00E16055"/>
    <w:rsid w:val="00E2332D"/>
    <w:rsid w:val="00E23993"/>
    <w:rsid w:val="00E2574F"/>
    <w:rsid w:val="00E25951"/>
    <w:rsid w:val="00E25B8C"/>
    <w:rsid w:val="00E26325"/>
    <w:rsid w:val="00E27440"/>
    <w:rsid w:val="00E2793D"/>
    <w:rsid w:val="00E27A28"/>
    <w:rsid w:val="00E30BB4"/>
    <w:rsid w:val="00E3139F"/>
    <w:rsid w:val="00E31CF6"/>
    <w:rsid w:val="00E34A4A"/>
    <w:rsid w:val="00E35AFC"/>
    <w:rsid w:val="00E36A38"/>
    <w:rsid w:val="00E407AC"/>
    <w:rsid w:val="00E41D39"/>
    <w:rsid w:val="00E42AD2"/>
    <w:rsid w:val="00E431CA"/>
    <w:rsid w:val="00E438D9"/>
    <w:rsid w:val="00E441E9"/>
    <w:rsid w:val="00E442CD"/>
    <w:rsid w:val="00E44852"/>
    <w:rsid w:val="00E45B4B"/>
    <w:rsid w:val="00E46B83"/>
    <w:rsid w:val="00E50A02"/>
    <w:rsid w:val="00E54106"/>
    <w:rsid w:val="00E54697"/>
    <w:rsid w:val="00E57A08"/>
    <w:rsid w:val="00E61F7C"/>
    <w:rsid w:val="00E62DBF"/>
    <w:rsid w:val="00E63248"/>
    <w:rsid w:val="00E63631"/>
    <w:rsid w:val="00E64B83"/>
    <w:rsid w:val="00E64C2A"/>
    <w:rsid w:val="00E65C85"/>
    <w:rsid w:val="00E66199"/>
    <w:rsid w:val="00E70526"/>
    <w:rsid w:val="00E71B27"/>
    <w:rsid w:val="00E754B4"/>
    <w:rsid w:val="00E755EC"/>
    <w:rsid w:val="00E7624D"/>
    <w:rsid w:val="00E765AA"/>
    <w:rsid w:val="00E81724"/>
    <w:rsid w:val="00E819A4"/>
    <w:rsid w:val="00E81AD9"/>
    <w:rsid w:val="00E833FA"/>
    <w:rsid w:val="00E83725"/>
    <w:rsid w:val="00E84B74"/>
    <w:rsid w:val="00E851B8"/>
    <w:rsid w:val="00E85C92"/>
    <w:rsid w:val="00E86A11"/>
    <w:rsid w:val="00E86B62"/>
    <w:rsid w:val="00E87066"/>
    <w:rsid w:val="00E90210"/>
    <w:rsid w:val="00E90969"/>
    <w:rsid w:val="00E966BF"/>
    <w:rsid w:val="00EA0C04"/>
    <w:rsid w:val="00EA2275"/>
    <w:rsid w:val="00EA2FDD"/>
    <w:rsid w:val="00EA3371"/>
    <w:rsid w:val="00EA3D42"/>
    <w:rsid w:val="00EA4033"/>
    <w:rsid w:val="00EA6463"/>
    <w:rsid w:val="00EA6B1B"/>
    <w:rsid w:val="00EA7E80"/>
    <w:rsid w:val="00EB1264"/>
    <w:rsid w:val="00EB1999"/>
    <w:rsid w:val="00EB1CBD"/>
    <w:rsid w:val="00EB201A"/>
    <w:rsid w:val="00EB2883"/>
    <w:rsid w:val="00EB3A34"/>
    <w:rsid w:val="00EB3C3F"/>
    <w:rsid w:val="00EB3C51"/>
    <w:rsid w:val="00EC04F1"/>
    <w:rsid w:val="00EC06CA"/>
    <w:rsid w:val="00EC237F"/>
    <w:rsid w:val="00EC29C7"/>
    <w:rsid w:val="00EC2DD5"/>
    <w:rsid w:val="00EC573A"/>
    <w:rsid w:val="00EC59C1"/>
    <w:rsid w:val="00ED35C8"/>
    <w:rsid w:val="00ED3968"/>
    <w:rsid w:val="00ED7323"/>
    <w:rsid w:val="00ED7C70"/>
    <w:rsid w:val="00EE03D2"/>
    <w:rsid w:val="00EE18F1"/>
    <w:rsid w:val="00EE28BF"/>
    <w:rsid w:val="00EE28F3"/>
    <w:rsid w:val="00EE424F"/>
    <w:rsid w:val="00EE50D1"/>
    <w:rsid w:val="00EE533E"/>
    <w:rsid w:val="00EE7614"/>
    <w:rsid w:val="00EF023F"/>
    <w:rsid w:val="00EF1D53"/>
    <w:rsid w:val="00EF2B5B"/>
    <w:rsid w:val="00EF2EF9"/>
    <w:rsid w:val="00EF5110"/>
    <w:rsid w:val="00EF5890"/>
    <w:rsid w:val="00EF5ECF"/>
    <w:rsid w:val="00EF76BA"/>
    <w:rsid w:val="00F003BA"/>
    <w:rsid w:val="00F0149E"/>
    <w:rsid w:val="00F0231A"/>
    <w:rsid w:val="00F02F13"/>
    <w:rsid w:val="00F03463"/>
    <w:rsid w:val="00F036B7"/>
    <w:rsid w:val="00F0700F"/>
    <w:rsid w:val="00F07F1F"/>
    <w:rsid w:val="00F10411"/>
    <w:rsid w:val="00F10A9A"/>
    <w:rsid w:val="00F11B2D"/>
    <w:rsid w:val="00F11B39"/>
    <w:rsid w:val="00F121C2"/>
    <w:rsid w:val="00F1485B"/>
    <w:rsid w:val="00F15882"/>
    <w:rsid w:val="00F170C7"/>
    <w:rsid w:val="00F171E0"/>
    <w:rsid w:val="00F20BD3"/>
    <w:rsid w:val="00F2382D"/>
    <w:rsid w:val="00F26F66"/>
    <w:rsid w:val="00F2722C"/>
    <w:rsid w:val="00F275F0"/>
    <w:rsid w:val="00F2792D"/>
    <w:rsid w:val="00F301D3"/>
    <w:rsid w:val="00F316CE"/>
    <w:rsid w:val="00F318FE"/>
    <w:rsid w:val="00F322E9"/>
    <w:rsid w:val="00F3231B"/>
    <w:rsid w:val="00F33321"/>
    <w:rsid w:val="00F33808"/>
    <w:rsid w:val="00F364A7"/>
    <w:rsid w:val="00F36676"/>
    <w:rsid w:val="00F373A5"/>
    <w:rsid w:val="00F37864"/>
    <w:rsid w:val="00F404F9"/>
    <w:rsid w:val="00F435A2"/>
    <w:rsid w:val="00F44B0A"/>
    <w:rsid w:val="00F44EA1"/>
    <w:rsid w:val="00F45724"/>
    <w:rsid w:val="00F46B5A"/>
    <w:rsid w:val="00F47559"/>
    <w:rsid w:val="00F50B30"/>
    <w:rsid w:val="00F51F5F"/>
    <w:rsid w:val="00F52C6D"/>
    <w:rsid w:val="00F52D75"/>
    <w:rsid w:val="00F554C6"/>
    <w:rsid w:val="00F55582"/>
    <w:rsid w:val="00F5592A"/>
    <w:rsid w:val="00F57647"/>
    <w:rsid w:val="00F61D40"/>
    <w:rsid w:val="00F61ED5"/>
    <w:rsid w:val="00F62A14"/>
    <w:rsid w:val="00F644AB"/>
    <w:rsid w:val="00F64C7B"/>
    <w:rsid w:val="00F66B69"/>
    <w:rsid w:val="00F670A9"/>
    <w:rsid w:val="00F673AE"/>
    <w:rsid w:val="00F676DD"/>
    <w:rsid w:val="00F67AB6"/>
    <w:rsid w:val="00F70028"/>
    <w:rsid w:val="00F70434"/>
    <w:rsid w:val="00F7435C"/>
    <w:rsid w:val="00F749D6"/>
    <w:rsid w:val="00F75A26"/>
    <w:rsid w:val="00F76224"/>
    <w:rsid w:val="00F76706"/>
    <w:rsid w:val="00F77641"/>
    <w:rsid w:val="00F77B4A"/>
    <w:rsid w:val="00F77D6D"/>
    <w:rsid w:val="00F80206"/>
    <w:rsid w:val="00F83034"/>
    <w:rsid w:val="00F83FAD"/>
    <w:rsid w:val="00F844C6"/>
    <w:rsid w:val="00F84C0D"/>
    <w:rsid w:val="00F85E40"/>
    <w:rsid w:val="00F86221"/>
    <w:rsid w:val="00F8720B"/>
    <w:rsid w:val="00F90405"/>
    <w:rsid w:val="00F909CB"/>
    <w:rsid w:val="00F92FA6"/>
    <w:rsid w:val="00F9353B"/>
    <w:rsid w:val="00F937F1"/>
    <w:rsid w:val="00F948C5"/>
    <w:rsid w:val="00F952A0"/>
    <w:rsid w:val="00FA06EA"/>
    <w:rsid w:val="00FA1779"/>
    <w:rsid w:val="00FA28B2"/>
    <w:rsid w:val="00FA31B1"/>
    <w:rsid w:val="00FA3320"/>
    <w:rsid w:val="00FA3C7F"/>
    <w:rsid w:val="00FA6246"/>
    <w:rsid w:val="00FB24ED"/>
    <w:rsid w:val="00FB3304"/>
    <w:rsid w:val="00FB5005"/>
    <w:rsid w:val="00FB53DA"/>
    <w:rsid w:val="00FB60FE"/>
    <w:rsid w:val="00FB74E2"/>
    <w:rsid w:val="00FB76DB"/>
    <w:rsid w:val="00FB778B"/>
    <w:rsid w:val="00FC1012"/>
    <w:rsid w:val="00FC1A3E"/>
    <w:rsid w:val="00FC3B2F"/>
    <w:rsid w:val="00FC4F1F"/>
    <w:rsid w:val="00FD0A02"/>
    <w:rsid w:val="00FD4633"/>
    <w:rsid w:val="00FD5614"/>
    <w:rsid w:val="00FD5E78"/>
    <w:rsid w:val="00FD7D29"/>
    <w:rsid w:val="00FD7DB2"/>
    <w:rsid w:val="00FE0359"/>
    <w:rsid w:val="00FE0BE1"/>
    <w:rsid w:val="00FE11BB"/>
    <w:rsid w:val="00FE1DE9"/>
    <w:rsid w:val="00FE36AF"/>
    <w:rsid w:val="00FE39C2"/>
    <w:rsid w:val="00FE3C32"/>
    <w:rsid w:val="00FE64AE"/>
    <w:rsid w:val="00FF05E7"/>
    <w:rsid w:val="00FF0B2D"/>
    <w:rsid w:val="00FF2063"/>
    <w:rsid w:val="00FF3F8E"/>
    <w:rsid w:val="00FF4627"/>
    <w:rsid w:val="00FF5B87"/>
    <w:rsid w:val="00FF5F06"/>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09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annotation text" w:uiPriority="0"/>
    <w:lsdException w:name="header" w:qFormat="1"/>
    <w:lsdException w:name="footer" w:qFormat="1"/>
    <w:lsdException w:name="caption" w:uiPriority="0" w:qFormat="1"/>
    <w:lsdException w:name="footnote reference" w:qFormat="1"/>
    <w:lsdException w:name="annotation reference" w:uiPriority="0"/>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annotation text" w:uiPriority="0"/>
    <w:lsdException w:name="header" w:qFormat="1"/>
    <w:lsdException w:name="footer" w:qFormat="1"/>
    <w:lsdException w:name="caption" w:uiPriority="0" w:qFormat="1"/>
    <w:lsdException w:name="footnote reference" w:qFormat="1"/>
    <w:lsdException w:name="annotation reference" w:uiPriority="0"/>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310946">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teofreturn@aer.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rateofreturn@ae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shing.unit@accc.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BB533B-C97F-4BE0-B913-6BEE741F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6F1E292</Template>
  <TotalTime>0</TotalTime>
  <Pages>15</Pages>
  <Words>4072</Words>
  <Characters>23214</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2017-07-31T04:44:00Z</dcterms:created>
  <dcterms:modified xsi:type="dcterms:W3CDTF">2017-07-31T04:44:00Z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C:\Users\jpick\AppData\Local\Microsoft\Windows\Temporary Internet Files\Content.Outlook\LE53I7IK\Consultation paper- rate of return guideline review process (2).docx</vt:lpwstr>
  </property>
</Properties>
</file>