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3CCF186" w14:textId="77777777" w:rsidR="001655CA" w:rsidRDefault="001655CA" w:rsidP="001B6823">
      <w:pPr>
        <w:rPr>
          <w:rFonts w:ascii="Arial" w:hAnsi="Arial" w:cs="Arial"/>
          <w:sz w:val="24"/>
          <w:szCs w:val="24"/>
        </w:rPr>
      </w:pPr>
      <w:r w:rsidRPr="001B6823">
        <w:rPr>
          <w:rFonts w:ascii="Arial" w:hAnsi="Arial" w:cs="Arial"/>
          <w:noProof/>
          <w:lang w:eastAsia="en-AU"/>
        </w:rPr>
        <mc:AlternateContent>
          <mc:Choice Requires="wpg">
            <w:drawing>
              <wp:anchor distT="0" distB="0" distL="114300" distR="114300" simplePos="0" relativeHeight="251680768" behindDoc="0" locked="0" layoutInCell="1" allowOverlap="1" wp14:anchorId="3C126C52" wp14:editId="29D2531E">
                <wp:simplePos x="0" y="0"/>
                <wp:positionH relativeFrom="column">
                  <wp:posOffset>4466700</wp:posOffset>
                </wp:positionH>
                <wp:positionV relativeFrom="paragraph">
                  <wp:posOffset>-534670</wp:posOffset>
                </wp:positionV>
                <wp:extent cx="1287145" cy="1170305"/>
                <wp:effectExtent l="0" t="0" r="8255" b="0"/>
                <wp:wrapNone/>
                <wp:docPr id="30" name="Group 30"/>
                <wp:cNvGraphicFramePr/>
                <a:graphic xmlns:a="http://schemas.openxmlformats.org/drawingml/2006/main">
                  <a:graphicData uri="http://schemas.microsoft.com/office/word/2010/wordprocessingGroup">
                    <wpg:wgp>
                      <wpg:cNvGrpSpPr/>
                      <wpg:grpSpPr>
                        <a:xfrm>
                          <a:off x="0" y="0"/>
                          <a:ext cx="1287145" cy="1170305"/>
                          <a:chOff x="0" y="-7316"/>
                          <a:chExt cx="1287475" cy="1170432"/>
                        </a:xfrm>
                      </wpg:grpSpPr>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316"/>
                            <a:ext cx="1287475" cy="1170432"/>
                          </a:xfrm>
                          <a:prstGeom prst="rect">
                            <a:avLst/>
                          </a:prstGeom>
                          <a:noFill/>
                        </pic:spPr>
                      </pic:pic>
                      <wps:wsp>
                        <wps:cNvPr id="307" name="Text Box 2"/>
                        <wps:cNvSpPr txBox="1">
                          <a:spLocks noChangeArrowheads="1"/>
                        </wps:cNvSpPr>
                        <wps:spPr bwMode="auto">
                          <a:xfrm>
                            <a:off x="95097" y="90970"/>
                            <a:ext cx="1068343" cy="937996"/>
                          </a:xfrm>
                          <a:prstGeom prst="rect">
                            <a:avLst/>
                          </a:prstGeom>
                          <a:noFill/>
                          <a:ln w="9525">
                            <a:noFill/>
                            <a:miter lim="800000"/>
                            <a:headEnd/>
                            <a:tailEnd/>
                          </a:ln>
                        </wps:spPr>
                        <wps:txbx>
                          <w:txbxContent>
                            <w:p w14:paraId="308E9E12" w14:textId="77777777" w:rsidR="00F34C8E" w:rsidRPr="00F760A0" w:rsidRDefault="00F34C8E" w:rsidP="00F64C14">
                              <w:pPr>
                                <w:spacing w:after="0" w:line="240" w:lineRule="auto"/>
                                <w:rPr>
                                  <w:sz w:val="32"/>
                                </w:rPr>
                              </w:pPr>
                              <w:r w:rsidRPr="00F760A0">
                                <w:rPr>
                                  <w:b/>
                                  <w:color w:val="F79646" w:themeColor="accent6"/>
                                  <w:sz w:val="36"/>
                                </w:rPr>
                                <w:t>C</w:t>
                              </w:r>
                              <w:r w:rsidRPr="00F760A0">
                                <w:rPr>
                                  <w:color w:val="FFFFFF" w:themeColor="background1"/>
                                  <w:sz w:val="32"/>
                                </w:rPr>
                                <w:t xml:space="preserve">onsumer </w:t>
                              </w:r>
                            </w:p>
                            <w:p w14:paraId="6A52E856" w14:textId="77777777" w:rsidR="00F34C8E" w:rsidRPr="00F760A0" w:rsidRDefault="00F34C8E" w:rsidP="00F64C14">
                              <w:pPr>
                                <w:spacing w:after="0" w:line="240" w:lineRule="auto"/>
                                <w:rPr>
                                  <w:sz w:val="32"/>
                                </w:rPr>
                              </w:pPr>
                              <w:r w:rsidRPr="00F760A0">
                                <w:rPr>
                                  <w:b/>
                                  <w:color w:val="F79646" w:themeColor="accent6"/>
                                  <w:sz w:val="36"/>
                                </w:rPr>
                                <w:t>C</w:t>
                              </w:r>
                              <w:r w:rsidRPr="00F760A0">
                                <w:rPr>
                                  <w:color w:val="FFFFFF" w:themeColor="background1"/>
                                  <w:sz w:val="32"/>
                                </w:rPr>
                                <w:t>hallenge</w:t>
                              </w:r>
                            </w:p>
                            <w:p w14:paraId="09A8163E" w14:textId="77777777" w:rsidR="00F34C8E" w:rsidRPr="00F760A0" w:rsidRDefault="00F34C8E" w:rsidP="00F64C14">
                              <w:pPr>
                                <w:spacing w:after="0" w:line="240" w:lineRule="auto"/>
                                <w:rPr>
                                  <w:sz w:val="32"/>
                                </w:rPr>
                              </w:pPr>
                              <w:r w:rsidRPr="00F760A0">
                                <w:rPr>
                                  <w:b/>
                                  <w:color w:val="F79646" w:themeColor="accent6"/>
                                  <w:sz w:val="36"/>
                                </w:rPr>
                                <w:t>P</w:t>
                              </w:r>
                              <w:r w:rsidRPr="00F760A0">
                                <w:rPr>
                                  <w:color w:val="FFFFFF" w:themeColor="background1"/>
                                  <w:sz w:val="32"/>
                                </w:rPr>
                                <w:t>anel</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C126C52" id="Group 30" o:spid="_x0000_s1026" style="position:absolute;margin-left:351.7pt;margin-top:-42.1pt;width:101.35pt;height:92.15pt;z-index:251680768" coordorigin=",-73" coordsize="12874,1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73;width:12874;height:1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FZkrGAAAA2wAAAA8AAABkcnMvZG93bnJldi54bWxEj0FrwkAUhO+F/oflFXoR3TSGItFNKKJU&#10;8FRbQW+P7DNJzb4N2a2J/94VhB6HmfmGWeSDacSFOldbVvA2iUAQF1bXXCr4+V6PZyCcR9bYWCYF&#10;V3KQZ89PC0y17fmLLjtfigBhl6KCyvs2ldIVFRl0E9sSB+9kO4M+yK6UusM+wE0j4yh6lwZrDgsV&#10;trSsqDjv/oyC8ne/nJ6T0Wi9+twcVockPvbbWKnXl+FjDsLT4P/Dj/ZGK4gTuH8JP0B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sVmSsYAAADbAAAADwAAAAAAAAAAAAAA&#10;AACfAgAAZHJzL2Rvd25yZXYueG1sUEsFBgAAAAAEAAQA9wAAAJID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950;top:909;width:10684;height:9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308E9E12" w14:textId="77777777" w:rsidR="00F34C8E" w:rsidRPr="00F760A0" w:rsidRDefault="00F34C8E" w:rsidP="00F64C14">
                        <w:pPr>
                          <w:spacing w:after="0" w:line="240" w:lineRule="auto"/>
                          <w:rPr>
                            <w:sz w:val="32"/>
                          </w:rPr>
                        </w:pPr>
                        <w:r w:rsidRPr="00F760A0">
                          <w:rPr>
                            <w:b/>
                            <w:color w:val="F79646" w:themeColor="accent6"/>
                            <w:sz w:val="36"/>
                          </w:rPr>
                          <w:t>C</w:t>
                        </w:r>
                        <w:r w:rsidRPr="00F760A0">
                          <w:rPr>
                            <w:color w:val="FFFFFF" w:themeColor="background1"/>
                            <w:sz w:val="32"/>
                          </w:rPr>
                          <w:t xml:space="preserve">onsumer </w:t>
                        </w:r>
                      </w:p>
                      <w:p w14:paraId="6A52E856" w14:textId="77777777" w:rsidR="00F34C8E" w:rsidRPr="00F760A0" w:rsidRDefault="00F34C8E" w:rsidP="00F64C14">
                        <w:pPr>
                          <w:spacing w:after="0" w:line="240" w:lineRule="auto"/>
                          <w:rPr>
                            <w:sz w:val="32"/>
                          </w:rPr>
                        </w:pPr>
                        <w:r w:rsidRPr="00F760A0">
                          <w:rPr>
                            <w:b/>
                            <w:color w:val="F79646" w:themeColor="accent6"/>
                            <w:sz w:val="36"/>
                          </w:rPr>
                          <w:t>C</w:t>
                        </w:r>
                        <w:r w:rsidRPr="00F760A0">
                          <w:rPr>
                            <w:color w:val="FFFFFF" w:themeColor="background1"/>
                            <w:sz w:val="32"/>
                          </w:rPr>
                          <w:t>hallenge</w:t>
                        </w:r>
                      </w:p>
                      <w:p w14:paraId="09A8163E" w14:textId="77777777" w:rsidR="00F34C8E" w:rsidRPr="00F760A0" w:rsidRDefault="00F34C8E" w:rsidP="00F64C14">
                        <w:pPr>
                          <w:spacing w:after="0" w:line="240" w:lineRule="auto"/>
                          <w:rPr>
                            <w:sz w:val="32"/>
                          </w:rPr>
                        </w:pPr>
                        <w:r w:rsidRPr="00F760A0">
                          <w:rPr>
                            <w:b/>
                            <w:color w:val="F79646" w:themeColor="accent6"/>
                            <w:sz w:val="36"/>
                          </w:rPr>
                          <w:t>P</w:t>
                        </w:r>
                        <w:r w:rsidRPr="00F760A0">
                          <w:rPr>
                            <w:color w:val="FFFFFF" w:themeColor="background1"/>
                            <w:sz w:val="32"/>
                          </w:rPr>
                          <w:t>anel</w:t>
                        </w:r>
                      </w:p>
                    </w:txbxContent>
                  </v:textbox>
                </v:shape>
              </v:group>
            </w:pict>
          </mc:Fallback>
        </mc:AlternateContent>
      </w:r>
    </w:p>
    <w:p w14:paraId="685A5BF9" w14:textId="088DF58F" w:rsidR="001B6823" w:rsidRPr="00F64C14" w:rsidRDefault="0081417B" w:rsidP="001B6823">
      <w:pPr>
        <w:rPr>
          <w:rFonts w:cs="Arial"/>
        </w:rPr>
      </w:pPr>
      <w:sdt>
        <w:sdtPr>
          <w:rPr>
            <w:rFonts w:cs="Arial"/>
          </w:rPr>
          <w:id w:val="-771709043"/>
          <w:placeholder>
            <w:docPart w:val="DefaultPlaceholder_1082065160"/>
          </w:placeholder>
          <w:date w:fullDate="2017-04-21T00:00:00Z">
            <w:dateFormat w:val="d/MM/yyyy"/>
            <w:lid w:val="en-AU"/>
            <w:storeMappedDataAs w:val="dateTime"/>
            <w:calendar w:val="gregorian"/>
          </w:date>
        </w:sdtPr>
        <w:sdtEndPr/>
        <w:sdtContent>
          <w:r w:rsidR="00BC209A">
            <w:rPr>
              <w:rFonts w:cs="Arial"/>
            </w:rPr>
            <w:t>21/04/2017</w:t>
          </w:r>
        </w:sdtContent>
      </w:sdt>
    </w:p>
    <w:p w14:paraId="6D87456F" w14:textId="77777777" w:rsidR="001B6823" w:rsidRPr="00F64C14" w:rsidRDefault="001B6823" w:rsidP="001B6823">
      <w:pPr>
        <w:rPr>
          <w:rFonts w:cs="Arial"/>
        </w:rPr>
      </w:pPr>
    </w:p>
    <w:p w14:paraId="797F9554" w14:textId="55DC96FF" w:rsidR="00CA415B" w:rsidRPr="00F64C14" w:rsidRDefault="00E36AE2" w:rsidP="00CA415B">
      <w:pPr>
        <w:spacing w:after="0"/>
        <w:jc w:val="right"/>
        <w:rPr>
          <w:rFonts w:cs="Arial"/>
        </w:rPr>
      </w:pPr>
      <w:r>
        <w:rPr>
          <w:rFonts w:cs="Arial"/>
        </w:rPr>
        <w:t>CCP Sub-Panel No.</w:t>
      </w:r>
      <w:r w:rsidR="00CA415B" w:rsidRPr="00F64C14">
        <w:rPr>
          <w:rFonts w:cs="Arial"/>
        </w:rPr>
        <w:t xml:space="preserve"> </w:t>
      </w:r>
      <w:sdt>
        <w:sdtPr>
          <w:rPr>
            <w:rFonts w:cs="Arial"/>
          </w:rPr>
          <w:id w:val="1324092939"/>
          <w:placeholder>
            <w:docPart w:val="DefaultPlaceholder_1082065158"/>
          </w:placeholder>
        </w:sdtPr>
        <w:sdtEndPr/>
        <w:sdtContent>
          <w:r w:rsidR="00BC209A">
            <w:rPr>
              <w:rFonts w:cs="Arial"/>
            </w:rPr>
            <w:t>10</w:t>
          </w:r>
        </w:sdtContent>
      </w:sdt>
    </w:p>
    <w:p w14:paraId="2E90A7D6" w14:textId="77777777" w:rsidR="00CA415B" w:rsidRPr="00F64C14" w:rsidRDefault="00E36AE2" w:rsidP="00CA415B">
      <w:pPr>
        <w:spacing w:after="0"/>
        <w:jc w:val="right"/>
        <w:rPr>
          <w:rFonts w:cs="Arial"/>
        </w:rPr>
      </w:pPr>
      <w:r>
        <w:rPr>
          <w:rFonts w:cs="Arial"/>
        </w:rPr>
        <w:t>c/-</w:t>
      </w:r>
      <w:r w:rsidR="00CA415B" w:rsidRPr="00F64C14">
        <w:rPr>
          <w:rFonts w:cs="Arial"/>
        </w:rPr>
        <w:t xml:space="preserve"> CCP </w:t>
      </w:r>
      <w:r>
        <w:rPr>
          <w:rFonts w:cs="Arial"/>
        </w:rPr>
        <w:t>Work Program</w:t>
      </w:r>
      <w:r w:rsidR="00CA415B" w:rsidRPr="00F64C14">
        <w:rPr>
          <w:rFonts w:cs="Arial"/>
        </w:rPr>
        <w:t>, AER</w:t>
      </w:r>
    </w:p>
    <w:p w14:paraId="7E837B01" w14:textId="77777777" w:rsidR="00CA415B" w:rsidRPr="00F64C14" w:rsidRDefault="00CA415B" w:rsidP="001B6823">
      <w:pPr>
        <w:spacing w:after="0"/>
        <w:rPr>
          <w:rFonts w:cs="Arial"/>
        </w:rPr>
      </w:pPr>
    </w:p>
    <w:p w14:paraId="1512D365" w14:textId="77777777" w:rsidR="00CA415B" w:rsidRPr="00F64C14" w:rsidRDefault="00CA415B" w:rsidP="001B6823">
      <w:pPr>
        <w:spacing w:after="0"/>
        <w:rPr>
          <w:rFonts w:cs="Arial"/>
        </w:rPr>
      </w:pPr>
    </w:p>
    <w:p w14:paraId="0E449140" w14:textId="77777777" w:rsidR="001B6823" w:rsidRPr="00F64C14" w:rsidRDefault="008E4C3D" w:rsidP="001B6823">
      <w:pPr>
        <w:spacing w:after="0"/>
        <w:rPr>
          <w:rFonts w:cs="Arial"/>
        </w:rPr>
      </w:pPr>
      <w:r w:rsidRPr="00F64C14">
        <w:rPr>
          <w:rFonts w:cs="Arial"/>
        </w:rPr>
        <w:t>AER Board</w:t>
      </w:r>
    </w:p>
    <w:p w14:paraId="778509A1" w14:textId="25150118" w:rsidR="001B6823" w:rsidRPr="00F64C14" w:rsidRDefault="0081417B" w:rsidP="001B6823">
      <w:pPr>
        <w:spacing w:after="0"/>
        <w:rPr>
          <w:rFonts w:cs="Arial"/>
        </w:rPr>
      </w:pPr>
      <w:sdt>
        <w:sdtPr>
          <w:rPr>
            <w:rFonts w:cs="Arial"/>
          </w:rPr>
          <w:id w:val="-1086452161"/>
          <w:placeholder>
            <w:docPart w:val="8A859897F755466D8BBCB0205894E86D"/>
          </w:placeholder>
        </w:sdtPr>
        <w:sdtEndPr/>
        <w:sdtContent>
          <w:r w:rsidR="00A619FA">
            <w:rPr>
              <w:rFonts w:cs="Arial"/>
            </w:rPr>
            <w:t>Kurt Stevens</w:t>
          </w:r>
        </w:sdtContent>
      </w:sdt>
      <w:r w:rsidR="008E4C3D" w:rsidRPr="00F64C14">
        <w:rPr>
          <w:rFonts w:cs="Arial"/>
        </w:rPr>
        <w:t xml:space="preserve"> Co-ord Director </w:t>
      </w:r>
      <w:r w:rsidR="001B6823" w:rsidRPr="00F64C14">
        <w:rPr>
          <w:rFonts w:cs="Arial"/>
        </w:rPr>
        <w:t xml:space="preserve">– </w:t>
      </w:r>
      <w:sdt>
        <w:sdtPr>
          <w:rPr>
            <w:rFonts w:cs="Arial"/>
          </w:rPr>
          <w:id w:val="-1789111041"/>
          <w:placeholder>
            <w:docPart w:val="DefaultPlaceholder_1082065158"/>
          </w:placeholder>
        </w:sdtPr>
        <w:sdtEndPr/>
        <w:sdtContent>
          <w:r w:rsidR="00465565">
            <w:rPr>
              <w:rFonts w:cs="Arial"/>
            </w:rPr>
            <w:t>Sub-Panel 10</w:t>
          </w:r>
          <w:r w:rsidR="00A619FA">
            <w:rPr>
              <w:rFonts w:cs="Arial"/>
            </w:rPr>
            <w:t xml:space="preserve"> / ACT</w:t>
          </w:r>
        </w:sdtContent>
      </w:sdt>
    </w:p>
    <w:p w14:paraId="45CF6D55" w14:textId="77777777" w:rsidR="001B6823" w:rsidRPr="00F64C14" w:rsidRDefault="001B6823" w:rsidP="001B6823">
      <w:pPr>
        <w:spacing w:after="0"/>
        <w:rPr>
          <w:rFonts w:cs="Arial"/>
        </w:rPr>
      </w:pPr>
      <w:r w:rsidRPr="00F64C14">
        <w:rPr>
          <w:rFonts w:cs="Arial"/>
        </w:rPr>
        <w:t xml:space="preserve">Australian Energy Regulator </w:t>
      </w:r>
    </w:p>
    <w:p w14:paraId="41A23BDB" w14:textId="2620AEAE" w:rsidR="001B6823" w:rsidRPr="00F64C14" w:rsidRDefault="001B6823" w:rsidP="001B6823">
      <w:pPr>
        <w:spacing w:after="0"/>
        <w:rPr>
          <w:rFonts w:cs="Arial"/>
        </w:rPr>
      </w:pPr>
      <w:r w:rsidRPr="00F64C14">
        <w:rPr>
          <w:rFonts w:cs="Arial"/>
        </w:rPr>
        <w:t xml:space="preserve">By email: </w:t>
      </w:r>
      <w:sdt>
        <w:sdtPr>
          <w:rPr>
            <w:rFonts w:cs="Arial"/>
          </w:rPr>
          <w:id w:val="-245492342"/>
          <w:placeholder>
            <w:docPart w:val="DefaultPlaceholder_1082065158"/>
          </w:placeholder>
        </w:sdtPr>
        <w:sdtEndPr/>
        <w:sdtContent>
          <w:r w:rsidR="00465565" w:rsidRPr="00465565">
            <w:rPr>
              <w:rFonts w:cs="Arial"/>
            </w:rPr>
            <w:t>MarkH@unitingcommunities.org</w:t>
          </w:r>
        </w:sdtContent>
      </w:sdt>
      <w:r w:rsidR="00F64C14">
        <w:rPr>
          <w:rFonts w:cs="Arial"/>
        </w:rPr>
        <w:t xml:space="preserve"> Cc: ccp@aer.gov.au</w:t>
      </w:r>
    </w:p>
    <w:p w14:paraId="07DF2292" w14:textId="77777777" w:rsidR="001B6823" w:rsidRPr="00F64C14" w:rsidRDefault="001B6823" w:rsidP="001B6823">
      <w:pPr>
        <w:spacing w:after="0"/>
        <w:rPr>
          <w:rFonts w:cs="Arial"/>
        </w:rPr>
      </w:pPr>
    </w:p>
    <w:p w14:paraId="163DDEA2" w14:textId="78F14FE9" w:rsidR="001B6823" w:rsidRPr="00F64C14" w:rsidRDefault="001B6823" w:rsidP="001B6823">
      <w:pPr>
        <w:spacing w:after="0"/>
        <w:rPr>
          <w:rFonts w:cs="Arial"/>
        </w:rPr>
      </w:pPr>
      <w:r w:rsidRPr="00F64C14">
        <w:rPr>
          <w:rFonts w:cs="Arial"/>
        </w:rPr>
        <w:t>Dear</w:t>
      </w:r>
      <w:r w:rsidR="00F64C14" w:rsidRPr="00F64C14">
        <w:rPr>
          <w:rFonts w:cs="Arial"/>
        </w:rPr>
        <w:t xml:space="preserve"> </w:t>
      </w:r>
      <w:sdt>
        <w:sdtPr>
          <w:rPr>
            <w:rFonts w:cs="Arial"/>
          </w:rPr>
          <w:id w:val="-1193381653"/>
          <w:placeholder>
            <w:docPart w:val="DefaultPlaceholder_1082065158"/>
          </w:placeholder>
        </w:sdtPr>
        <w:sdtEndPr/>
        <w:sdtContent>
          <w:r w:rsidR="00A619FA">
            <w:rPr>
              <w:rFonts w:cs="Arial"/>
            </w:rPr>
            <w:t>Kurt</w:t>
          </w:r>
        </w:sdtContent>
      </w:sdt>
      <w:r w:rsidRPr="00F64C14">
        <w:rPr>
          <w:rFonts w:cs="Arial"/>
        </w:rPr>
        <w:t xml:space="preserve">, </w:t>
      </w:r>
    </w:p>
    <w:p w14:paraId="5E92AB0A" w14:textId="77777777" w:rsidR="001B6823" w:rsidRPr="00F64C14" w:rsidRDefault="001B6823" w:rsidP="001B6823">
      <w:pPr>
        <w:spacing w:after="0"/>
        <w:rPr>
          <w:rFonts w:cs="Arial"/>
        </w:rPr>
      </w:pPr>
    </w:p>
    <w:p w14:paraId="3BB895B2" w14:textId="6BAE6229" w:rsidR="001B6823" w:rsidRPr="00F64C14" w:rsidRDefault="001B6823" w:rsidP="001B6823">
      <w:pPr>
        <w:spacing w:after="0"/>
        <w:rPr>
          <w:rFonts w:cs="Arial"/>
          <w:b/>
        </w:rPr>
      </w:pPr>
      <w:r w:rsidRPr="00F64C14">
        <w:rPr>
          <w:rFonts w:cs="Arial"/>
          <w:b/>
        </w:rPr>
        <w:t xml:space="preserve">Re: </w:t>
      </w:r>
      <w:sdt>
        <w:sdtPr>
          <w:rPr>
            <w:rFonts w:cs="Arial"/>
            <w:b/>
          </w:rPr>
          <w:id w:val="-1318639527"/>
          <w:placeholder>
            <w:docPart w:val="DefaultPlaceholder_1082065158"/>
          </w:placeholder>
        </w:sdtPr>
        <w:sdtEndPr/>
        <w:sdtContent>
          <w:r w:rsidR="00465565">
            <w:rPr>
              <w:rFonts w:cs="Arial"/>
              <w:b/>
            </w:rPr>
            <w:t>Preliminary framework and approach (F&amp;A) A</w:t>
          </w:r>
          <w:r w:rsidR="00A619FA">
            <w:rPr>
              <w:rFonts w:cs="Arial"/>
              <w:b/>
            </w:rPr>
            <w:t>ctewAGL</w:t>
          </w:r>
        </w:sdtContent>
      </w:sdt>
    </w:p>
    <w:p w14:paraId="2928CA3D" w14:textId="77777777" w:rsidR="001B6823" w:rsidRPr="00F64C14" w:rsidRDefault="001B6823" w:rsidP="001B6823">
      <w:pPr>
        <w:spacing w:after="0"/>
        <w:rPr>
          <w:rFonts w:cs="Arial"/>
        </w:rPr>
      </w:pPr>
    </w:p>
    <w:p w14:paraId="570F7264" w14:textId="7157CD63" w:rsidR="001B6823" w:rsidRDefault="001F5E7F" w:rsidP="001B6823">
      <w:pPr>
        <w:spacing w:after="0"/>
        <w:rPr>
          <w:rFonts w:cs="Arial"/>
        </w:rPr>
      </w:pPr>
      <w:r w:rsidRPr="00F64C14">
        <w:rPr>
          <w:rFonts w:cs="Arial"/>
        </w:rPr>
        <w:t>Please find attached our submission i</w:t>
      </w:r>
      <w:r w:rsidR="00465565">
        <w:rPr>
          <w:rFonts w:cs="Arial"/>
        </w:rPr>
        <w:t>n relation to the above F&amp;A</w:t>
      </w:r>
      <w:r w:rsidR="00F64C14" w:rsidRPr="00F64C14">
        <w:rPr>
          <w:rFonts w:cs="Arial"/>
        </w:rPr>
        <w:t xml:space="preserve"> as per the Schedule of Work (Attachment A</w:t>
      </w:r>
      <w:r w:rsidR="005732F2">
        <w:rPr>
          <w:rFonts w:cs="Arial"/>
        </w:rPr>
        <w:t xml:space="preserve"> of the Submission</w:t>
      </w:r>
      <w:r w:rsidR="00F64C14" w:rsidRPr="00F64C14">
        <w:rPr>
          <w:rFonts w:cs="Arial"/>
        </w:rPr>
        <w:t>)</w:t>
      </w:r>
      <w:r w:rsidRPr="00F64C14">
        <w:rPr>
          <w:rFonts w:cs="Arial"/>
        </w:rPr>
        <w:t xml:space="preserve">. </w:t>
      </w:r>
    </w:p>
    <w:p w14:paraId="06A4468A" w14:textId="77777777" w:rsidR="00E36AE2" w:rsidRPr="00E36AE2" w:rsidRDefault="001D243A" w:rsidP="00E36AE2">
      <w:pPr>
        <w:pStyle w:val="Heading3"/>
        <w:rPr>
          <w:rFonts w:asciiTheme="minorHAnsi" w:hAnsiTheme="minorHAnsi"/>
        </w:rPr>
      </w:pPr>
      <w:r>
        <w:t>Summary of Issues</w:t>
      </w:r>
    </w:p>
    <w:p w14:paraId="6EC319FC" w14:textId="77777777" w:rsidR="00FA6992" w:rsidRDefault="00FA6992" w:rsidP="00FA6992">
      <w:pPr>
        <w:spacing w:after="0"/>
        <w:rPr>
          <w:rFonts w:cs="Arial"/>
        </w:rPr>
      </w:pPr>
    </w:p>
    <w:p w14:paraId="321DA592" w14:textId="4FF2FD62" w:rsidR="003328BF" w:rsidRPr="003D34DA" w:rsidRDefault="003328BF" w:rsidP="003328BF">
      <w:pPr>
        <w:spacing w:after="0"/>
        <w:rPr>
          <w:rFonts w:cs="Arial"/>
        </w:rPr>
      </w:pPr>
      <w:r w:rsidRPr="003D34DA">
        <w:rPr>
          <w:rFonts w:cs="Arial"/>
        </w:rPr>
        <w:t>This submission responds to the main elements of the Preliminary Framework and Approach for</w:t>
      </w:r>
      <w:r w:rsidR="00A619FA">
        <w:rPr>
          <w:rFonts w:cs="Arial"/>
        </w:rPr>
        <w:t xml:space="preserve"> ActewAGL’s</w:t>
      </w:r>
      <w:r w:rsidRPr="003D34DA">
        <w:rPr>
          <w:rFonts w:cs="Arial"/>
        </w:rPr>
        <w:t xml:space="preserve"> electricity distribution business, 2019-24 regulatory proposals. </w:t>
      </w:r>
    </w:p>
    <w:p w14:paraId="746E94B1" w14:textId="2578EBC9" w:rsidR="003328BF" w:rsidRPr="00FA6992" w:rsidRDefault="003328BF" w:rsidP="003328BF">
      <w:pPr>
        <w:spacing w:after="0"/>
        <w:rPr>
          <w:rFonts w:cs="Arial"/>
        </w:rPr>
      </w:pPr>
      <w:r w:rsidRPr="003D34DA">
        <w:rPr>
          <w:rFonts w:cs="Arial"/>
        </w:rPr>
        <w:t>The table “Summary of Issues” on pages 3 and 4 provides a summary response to each element of the Preliminary F&amp;A proposed by the AER.</w:t>
      </w:r>
    </w:p>
    <w:p w14:paraId="44A34759" w14:textId="77777777" w:rsidR="00F53AE2" w:rsidRPr="00A619FA" w:rsidRDefault="00F53AE2" w:rsidP="00F53AE2">
      <w:pPr>
        <w:pStyle w:val="Heading3"/>
        <w:spacing w:line="253" w:lineRule="atLeast"/>
        <w:rPr>
          <w:rFonts w:eastAsia="Times New Roman" w:cs="Arial"/>
          <w:color w:val="365F91" w:themeColor="accent1" w:themeShade="BF"/>
          <w:lang w:val="en-GB" w:eastAsia="en-GB"/>
        </w:rPr>
      </w:pPr>
      <w:r w:rsidRPr="00A619FA">
        <w:rPr>
          <w:rFonts w:eastAsia="Times New Roman" w:cs="Arial"/>
          <w:color w:val="365F91" w:themeColor="accent1" w:themeShade="BF"/>
        </w:rPr>
        <w:t>Other Matters</w:t>
      </w:r>
    </w:p>
    <w:p w14:paraId="46F50BF4" w14:textId="211603A8" w:rsidR="00F53AE2" w:rsidRPr="00A619FA" w:rsidRDefault="00F53AE2" w:rsidP="00A619FA">
      <w:pPr>
        <w:spacing w:after="0"/>
        <w:rPr>
          <w:rFonts w:ascii="Arial" w:hAnsi="Arial" w:cs="Arial"/>
          <w:color w:val="000000"/>
          <w:sz w:val="24"/>
          <w:szCs w:val="24"/>
        </w:rPr>
      </w:pPr>
    </w:p>
    <w:p w14:paraId="290DE5EE" w14:textId="37EF77B0" w:rsidR="00F53AE2" w:rsidRPr="00F53AE2" w:rsidRDefault="00F53AE2" w:rsidP="00A619FA">
      <w:pPr>
        <w:spacing w:after="0"/>
        <w:rPr>
          <w:rFonts w:cs="Arial"/>
          <w:color w:val="000000"/>
        </w:rPr>
      </w:pPr>
      <w:r w:rsidRPr="00F53AE2">
        <w:rPr>
          <w:rFonts w:cs="Arial"/>
          <w:color w:val="000000"/>
        </w:rPr>
        <w:t>In preparing this submission</w:t>
      </w:r>
      <w:r w:rsidR="00A619FA">
        <w:rPr>
          <w:rFonts w:cs="Arial"/>
          <w:color w:val="000000"/>
        </w:rPr>
        <w:t xml:space="preserve"> and the submission for NSW electricity distribution businesses</w:t>
      </w:r>
      <w:r w:rsidRPr="00F53AE2">
        <w:rPr>
          <w:rFonts w:cs="Arial"/>
          <w:color w:val="000000"/>
        </w:rPr>
        <w:t>, the subpanel has identified four important issues that will impinge on distribution business regulatory processes, but that are broader in scope than a single group of regulatory resets, these matters being:</w:t>
      </w:r>
    </w:p>
    <w:p w14:paraId="07A08447" w14:textId="54AC8189" w:rsidR="00F53AE2" w:rsidRPr="00854EAC" w:rsidRDefault="00F34C8E" w:rsidP="00F53AE2">
      <w:pPr>
        <w:pStyle w:val="ListParagraph"/>
        <w:spacing w:after="0"/>
        <w:ind w:hanging="360"/>
        <w:rPr>
          <w:rFonts w:cs="Arial"/>
          <w:color w:val="000000"/>
        </w:rPr>
      </w:pPr>
      <w:r>
        <w:rPr>
          <w:rFonts w:cs="Arial"/>
          <w:color w:val="000000"/>
        </w:rPr>
        <w:t>1</w:t>
      </w:r>
      <w:r w:rsidR="00F53AE2" w:rsidRPr="00854EAC">
        <w:rPr>
          <w:rFonts w:cs="Arial"/>
          <w:color w:val="000000"/>
        </w:rPr>
        <w:t>.</w:t>
      </w:r>
      <w:r w:rsidR="00F53AE2" w:rsidRPr="00A619FA">
        <w:rPr>
          <w:rFonts w:cs="Arial"/>
          <w:color w:val="000000"/>
        </w:rPr>
        <w:t>     </w:t>
      </w:r>
      <w:r w:rsidR="00F53AE2" w:rsidRPr="00F53AE2">
        <w:rPr>
          <w:rFonts w:cs="Arial"/>
          <w:color w:val="000000"/>
        </w:rPr>
        <w:t>F</w:t>
      </w:r>
      <w:r w:rsidR="00F53AE2" w:rsidRPr="00A619FA">
        <w:rPr>
          <w:rFonts w:cs="Arial"/>
          <w:color w:val="000000"/>
          <w:u w:val="single"/>
        </w:rPr>
        <w:t>orm of Control</w:t>
      </w:r>
      <w:r w:rsidR="00F53AE2" w:rsidRPr="00F53AE2">
        <w:rPr>
          <w:rFonts w:cs="Arial"/>
          <w:color w:val="000000"/>
        </w:rPr>
        <w:t>. The use of revenue caps is supported, for the current processes, but we suggest that a more detailed review of forms of control and effectiveness of a Revenue Cap regime should be on the AER’s future work program, so that there is more consideration of approaches prior to the 2024-29 and subsequent regulatory periods</w:t>
      </w:r>
      <w:r w:rsidR="00F53AE2" w:rsidRPr="00854EAC">
        <w:rPr>
          <w:rFonts w:cs="Arial"/>
          <w:color w:val="000000"/>
        </w:rPr>
        <w:t>.</w:t>
      </w:r>
    </w:p>
    <w:p w14:paraId="33FF57C8" w14:textId="78F252B0" w:rsidR="00F53AE2" w:rsidRPr="00F53AE2" w:rsidRDefault="00F34C8E" w:rsidP="00F53AE2">
      <w:pPr>
        <w:pStyle w:val="ListParagraph"/>
        <w:spacing w:after="0"/>
        <w:ind w:hanging="360"/>
        <w:rPr>
          <w:rFonts w:cs="Arial"/>
          <w:color w:val="000000"/>
        </w:rPr>
      </w:pPr>
      <w:r>
        <w:rPr>
          <w:rFonts w:cs="Arial"/>
          <w:color w:val="000000"/>
        </w:rPr>
        <w:t>2</w:t>
      </w:r>
      <w:r w:rsidR="00F53AE2" w:rsidRPr="00854EAC">
        <w:rPr>
          <w:rFonts w:cs="Arial"/>
          <w:color w:val="000000"/>
        </w:rPr>
        <w:t>.</w:t>
      </w:r>
      <w:r w:rsidR="00F53AE2" w:rsidRPr="00A619FA">
        <w:rPr>
          <w:rFonts w:cs="Arial"/>
          <w:color w:val="000000"/>
        </w:rPr>
        <w:t>     </w:t>
      </w:r>
      <w:r w:rsidR="00F53AE2" w:rsidRPr="00A619FA">
        <w:rPr>
          <w:rFonts w:cs="Arial"/>
          <w:color w:val="000000"/>
          <w:u w:val="single"/>
        </w:rPr>
        <w:t>Incentives for improved consumer engagement</w:t>
      </w:r>
      <w:r w:rsidR="00F53AE2" w:rsidRPr="00F53AE2">
        <w:rPr>
          <w:rFonts w:cs="Arial"/>
          <w:color w:val="000000"/>
        </w:rPr>
        <w:t>. There should be some benefit to network businesses that engage meaningfully with consumer interests resulting in consumer benefit.</w:t>
      </w:r>
    </w:p>
    <w:p w14:paraId="1542AACB" w14:textId="035B15B0" w:rsidR="00F53AE2" w:rsidRDefault="00F34C8E" w:rsidP="00A619FA">
      <w:pPr>
        <w:pStyle w:val="ListParagraph"/>
        <w:spacing w:after="0"/>
        <w:ind w:hanging="360"/>
        <w:rPr>
          <w:rFonts w:cs="Arial"/>
          <w:color w:val="000000"/>
        </w:rPr>
      </w:pPr>
      <w:r>
        <w:rPr>
          <w:rFonts w:cs="Arial"/>
          <w:color w:val="000000"/>
        </w:rPr>
        <w:t>3</w:t>
      </w:r>
      <w:r w:rsidR="00F53AE2" w:rsidRPr="00F53AE2">
        <w:rPr>
          <w:rFonts w:cs="Arial"/>
          <w:color w:val="000000"/>
        </w:rPr>
        <w:t>.</w:t>
      </w:r>
      <w:r w:rsidR="00F53AE2" w:rsidRPr="00A619FA">
        <w:rPr>
          <w:rFonts w:cs="Arial"/>
          <w:color w:val="000000"/>
        </w:rPr>
        <w:t>     </w:t>
      </w:r>
      <w:r w:rsidR="00F53AE2" w:rsidRPr="00A619FA">
        <w:rPr>
          <w:rFonts w:cs="Arial"/>
          <w:color w:val="000000"/>
          <w:u w:val="single"/>
        </w:rPr>
        <w:t>Tariff development</w:t>
      </w:r>
      <w:r w:rsidR="00F53AE2" w:rsidRPr="00F53AE2">
        <w:rPr>
          <w:rFonts w:cs="Arial"/>
          <w:color w:val="000000"/>
        </w:rPr>
        <w:t>. All network businesses have now developed Tariff Structures Statements and tariff setting is a more overt process in regulatory proposals. The extent to which the tariff setting process is reflected in regulatory proposals is an emerging question.</w:t>
      </w:r>
    </w:p>
    <w:p w14:paraId="3CBEC1BD" w14:textId="6E1E4B31" w:rsidR="00F34C8E" w:rsidRDefault="00F34C8E" w:rsidP="00A619FA">
      <w:pPr>
        <w:pStyle w:val="ListParagraph"/>
        <w:spacing w:after="0"/>
        <w:ind w:hanging="360"/>
        <w:rPr>
          <w:rFonts w:cs="Arial"/>
          <w:color w:val="000000"/>
        </w:rPr>
      </w:pPr>
      <w:r>
        <w:rPr>
          <w:rFonts w:cs="Arial"/>
          <w:color w:val="000000"/>
        </w:rPr>
        <w:t xml:space="preserve">4. </w:t>
      </w:r>
      <w:r>
        <w:rPr>
          <w:rFonts w:cs="Arial"/>
          <w:color w:val="000000"/>
        </w:rPr>
        <w:tab/>
      </w:r>
      <w:r w:rsidRPr="00016AE7">
        <w:rPr>
          <w:rFonts w:cs="Arial"/>
          <w:color w:val="000000"/>
          <w:u w:val="single"/>
        </w:rPr>
        <w:t>Street lighting</w:t>
      </w:r>
      <w:r w:rsidRPr="00F53AE2">
        <w:rPr>
          <w:rFonts w:cs="Arial"/>
          <w:color w:val="000000"/>
        </w:rPr>
        <w:t xml:space="preserve">. </w:t>
      </w:r>
      <w:r>
        <w:rPr>
          <w:rFonts w:cs="Arial"/>
          <w:color w:val="000000"/>
        </w:rPr>
        <w:t xml:space="preserve">This issue comes from our thinking about the NSW F&amp;A and is not an issue for the ACT. However, it remains a ‘broader scope’ issue even though it does not currently apply to ACT.  </w:t>
      </w:r>
      <w:r w:rsidRPr="00F53AE2">
        <w:rPr>
          <w:rFonts w:cs="Arial"/>
          <w:color w:val="000000"/>
        </w:rPr>
        <w:t>W</w:t>
      </w:r>
      <w:r>
        <w:rPr>
          <w:rFonts w:cs="Arial"/>
          <w:color w:val="000000"/>
        </w:rPr>
        <w:t>e suggest that a binding code is</w:t>
      </w:r>
      <w:r w:rsidRPr="00F53AE2">
        <w:rPr>
          <w:rFonts w:cs="Arial"/>
          <w:color w:val="000000"/>
        </w:rPr>
        <w:t xml:space="preserve"> needed for street lighting that the AER can play a </w:t>
      </w:r>
      <w:r w:rsidRPr="00F53AE2">
        <w:rPr>
          <w:rFonts w:cs="Arial"/>
          <w:color w:val="000000"/>
        </w:rPr>
        <w:lastRenderedPageBreak/>
        <w:t>role in requiring. There are also broader policy matters needing Local, State/Territory and Commonwealth government cooperation, which could more likely occur under a COAG umbrella</w:t>
      </w:r>
      <w:r w:rsidRPr="00854EAC">
        <w:rPr>
          <w:rFonts w:cs="Arial"/>
          <w:color w:val="000000"/>
        </w:rPr>
        <w:t>.</w:t>
      </w:r>
    </w:p>
    <w:p w14:paraId="69C92F2D" w14:textId="77777777" w:rsidR="00F53AE2" w:rsidRPr="00F53AE2" w:rsidRDefault="00F53AE2" w:rsidP="00A619FA">
      <w:pPr>
        <w:pStyle w:val="ListParagraph"/>
        <w:spacing w:after="0"/>
        <w:ind w:hanging="360"/>
        <w:rPr>
          <w:rFonts w:cs="Arial"/>
          <w:color w:val="000000"/>
        </w:rPr>
      </w:pPr>
    </w:p>
    <w:p w14:paraId="399EEDCF" w14:textId="06F12702" w:rsidR="00F53AE2" w:rsidRDefault="00F53AE2" w:rsidP="00F53AE2">
      <w:pPr>
        <w:rPr>
          <w:rFonts w:cs="Arial"/>
          <w:color w:val="000000"/>
        </w:rPr>
      </w:pPr>
      <w:r w:rsidRPr="00F53AE2">
        <w:rPr>
          <w:rFonts w:cs="Arial"/>
          <w:color w:val="000000"/>
        </w:rPr>
        <w:t>We also note that there are some parallel processes that the AER is undertaking that may impact on the distribution businesses</w:t>
      </w:r>
      <w:r>
        <w:rPr>
          <w:rFonts w:cs="Arial"/>
          <w:color w:val="000000"/>
        </w:rPr>
        <w:t>’</w:t>
      </w:r>
      <w:r w:rsidRPr="00F53AE2">
        <w:rPr>
          <w:rFonts w:cs="Arial"/>
          <w:color w:val="000000"/>
        </w:rPr>
        <w:t xml:space="preserve"> approach to aspects of their regulation proposals, specifically ring</w:t>
      </w:r>
      <w:r>
        <w:rPr>
          <w:rFonts w:cs="Arial"/>
          <w:color w:val="000000"/>
        </w:rPr>
        <w:t>-</w:t>
      </w:r>
      <w:r w:rsidRPr="00F53AE2">
        <w:rPr>
          <w:rFonts w:cs="Arial"/>
          <w:color w:val="000000"/>
        </w:rPr>
        <w:t>fencing and revise</w:t>
      </w:r>
      <w:r>
        <w:rPr>
          <w:rFonts w:cs="Arial"/>
          <w:color w:val="000000"/>
        </w:rPr>
        <w:t>d</w:t>
      </w:r>
      <w:r w:rsidRPr="00F53AE2">
        <w:rPr>
          <w:rFonts w:cs="Arial"/>
          <w:color w:val="000000"/>
        </w:rPr>
        <w:t xml:space="preserve"> guidelines of incentive sch</w:t>
      </w:r>
      <w:r>
        <w:rPr>
          <w:rFonts w:cs="Arial"/>
          <w:color w:val="000000"/>
        </w:rPr>
        <w:t>emes, DMIS and ST</w:t>
      </w:r>
      <w:r w:rsidRPr="00F53AE2">
        <w:rPr>
          <w:rFonts w:cs="Arial"/>
          <w:color w:val="000000"/>
        </w:rPr>
        <w:t>PIS in particular. The CCP will maintain an active interest in these processes.</w:t>
      </w:r>
    </w:p>
    <w:p w14:paraId="0453577D" w14:textId="0C500685" w:rsidR="008E54C6" w:rsidRPr="00F53AE2" w:rsidRDefault="008E54C6" w:rsidP="00F53AE2">
      <w:pPr>
        <w:rPr>
          <w:rFonts w:cs="Arial"/>
          <w:color w:val="000000"/>
        </w:rPr>
      </w:pPr>
      <w:r>
        <w:rPr>
          <w:rFonts w:cs="Arial"/>
          <w:color w:val="000000"/>
        </w:rPr>
        <w:t>Yours Sincerely.</w:t>
      </w:r>
    </w:p>
    <w:p w14:paraId="0362A9D2" w14:textId="76A65A1C" w:rsidR="001655CA" w:rsidRDefault="008E54C6" w:rsidP="001B6823">
      <w:pPr>
        <w:spacing w:after="0"/>
        <w:rPr>
          <w:rFonts w:cs="Arial"/>
        </w:rPr>
      </w:pPr>
      <w:r>
        <w:rPr>
          <w:noProof/>
          <w:lang w:eastAsia="en-AU"/>
        </w:rPr>
        <w:drawing>
          <wp:inline distT="0" distB="0" distL="0" distR="0" wp14:anchorId="66DBD011" wp14:editId="571D0448">
            <wp:extent cx="2276475" cy="102786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4460" cy="1035983"/>
                    </a:xfrm>
                    <a:prstGeom prst="rect">
                      <a:avLst/>
                    </a:prstGeom>
                  </pic:spPr>
                </pic:pic>
              </a:graphicData>
            </a:graphic>
          </wp:inline>
        </w:drawing>
      </w:r>
    </w:p>
    <w:p w14:paraId="11B5DCFA" w14:textId="77777777" w:rsidR="00F91B85" w:rsidRDefault="00F91B85" w:rsidP="001B6823">
      <w:pPr>
        <w:spacing w:after="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tblGrid>
      <w:tr w:rsidR="00465565" w14:paraId="6F660DAA" w14:textId="77777777" w:rsidTr="00F417FB">
        <w:trPr>
          <w:trHeight w:val="1069"/>
        </w:trPr>
        <w:tc>
          <w:tcPr>
            <w:tcW w:w="4686" w:type="dxa"/>
          </w:tcPr>
          <w:sdt>
            <w:sdtPr>
              <w:rPr>
                <w:rFonts w:cs="Arial"/>
              </w:rPr>
              <w:id w:val="1788315972"/>
              <w:placeholder>
                <w:docPart w:val="88476097E00E5F418440205483D52F71"/>
              </w:placeholder>
            </w:sdtPr>
            <w:sdtEndPr/>
            <w:sdtContent>
              <w:p w14:paraId="302F1A9A" w14:textId="6E16592A" w:rsidR="00465565" w:rsidRPr="00F64C14" w:rsidRDefault="00465565" w:rsidP="00634004">
                <w:pPr>
                  <w:rPr>
                    <w:rFonts w:cs="Arial"/>
                  </w:rPr>
                </w:pPr>
                <w:r>
                  <w:rPr>
                    <w:rFonts w:cs="Arial"/>
                  </w:rPr>
                  <w:t>Mark Henley</w:t>
                </w:r>
              </w:p>
            </w:sdtContent>
          </w:sdt>
          <w:p w14:paraId="1A1C427D" w14:textId="77777777" w:rsidR="00465565" w:rsidRDefault="00465565" w:rsidP="00634004">
            <w:pPr>
              <w:rPr>
                <w:rFonts w:cs="Arial"/>
                <w:b/>
              </w:rPr>
            </w:pPr>
            <w:r w:rsidRPr="00F91B85">
              <w:rPr>
                <w:rFonts w:cs="Arial"/>
                <w:b/>
              </w:rPr>
              <w:t>Sub-panel Chairperson</w:t>
            </w:r>
          </w:p>
          <w:p w14:paraId="557A3CB3" w14:textId="77777777" w:rsidR="008E54C6" w:rsidRDefault="008E54C6" w:rsidP="00634004">
            <w:pPr>
              <w:rPr>
                <w:rFonts w:cs="Arial"/>
                <w:b/>
              </w:rPr>
            </w:pPr>
          </w:p>
          <w:p w14:paraId="4D778AC6" w14:textId="51E0F498" w:rsidR="008E54C6" w:rsidRPr="00F417FB" w:rsidRDefault="008E54C6" w:rsidP="00634004">
            <w:pPr>
              <w:rPr>
                <w:rFonts w:cs="Arial"/>
              </w:rPr>
            </w:pPr>
            <w:r w:rsidRPr="00F417FB">
              <w:rPr>
                <w:rFonts w:cs="Arial"/>
              </w:rPr>
              <w:t xml:space="preserve">Email: </w:t>
            </w:r>
            <w:hyperlink r:id="rId13" w:history="1">
              <w:r w:rsidRPr="00F417FB">
                <w:rPr>
                  <w:rStyle w:val="Hyperlink"/>
                  <w:rFonts w:cs="Arial"/>
                </w:rPr>
                <w:t>markh@unitingcommunities.org</w:t>
              </w:r>
            </w:hyperlink>
          </w:p>
          <w:p w14:paraId="7B685F20" w14:textId="2ECF3FEB" w:rsidR="008E54C6" w:rsidRPr="00F417FB" w:rsidRDefault="008E54C6" w:rsidP="00634004">
            <w:pPr>
              <w:rPr>
                <w:rFonts w:cs="Arial"/>
              </w:rPr>
            </w:pPr>
            <w:r w:rsidRPr="00F417FB">
              <w:rPr>
                <w:rFonts w:cs="Arial"/>
              </w:rPr>
              <w:t>Mobile: 0404 067 011</w:t>
            </w:r>
          </w:p>
          <w:p w14:paraId="492F8642" w14:textId="77777777" w:rsidR="00465565" w:rsidRDefault="00465565" w:rsidP="00634004">
            <w:pPr>
              <w:rPr>
                <w:rFonts w:cs="Arial"/>
              </w:rPr>
            </w:pPr>
          </w:p>
        </w:tc>
      </w:tr>
    </w:tbl>
    <w:p w14:paraId="3927368F" w14:textId="77777777" w:rsidR="00F91B85" w:rsidRPr="00F64C14" w:rsidRDefault="00F91B85" w:rsidP="001B6823">
      <w:pPr>
        <w:spacing w:after="0"/>
        <w:rPr>
          <w:rFonts w:cs="Arial"/>
        </w:rPr>
      </w:pPr>
    </w:p>
    <w:p w14:paraId="259CF643" w14:textId="77777777" w:rsidR="00AD3C90" w:rsidRDefault="00AD3C90" w:rsidP="00944674">
      <w:pPr>
        <w:spacing w:after="0"/>
        <w:rPr>
          <w:rFonts w:cs="Arial"/>
          <w:b/>
        </w:rPr>
      </w:pPr>
    </w:p>
    <w:p w14:paraId="11A02F86" w14:textId="77777777" w:rsidR="00AD3C90" w:rsidRPr="00AD3C90" w:rsidRDefault="00AD3C90" w:rsidP="00944674">
      <w:pPr>
        <w:spacing w:after="0"/>
        <w:rPr>
          <w:rFonts w:cs="Arial"/>
          <w:b/>
        </w:rPr>
        <w:sectPr w:rsidR="00AD3C90" w:rsidRPr="00AD3C90" w:rsidSect="00944674">
          <w:footerReference w:type="default" r:id="rId14"/>
          <w:headerReference w:type="first" r:id="rId15"/>
          <w:footerReference w:type="first" r:id="rId16"/>
          <w:pgSz w:w="11906" w:h="16838"/>
          <w:pgMar w:top="1418" w:right="1418" w:bottom="851" w:left="1418" w:header="708" w:footer="708" w:gutter="0"/>
          <w:cols w:space="708"/>
          <w:titlePg/>
          <w:docGrid w:linePitch="360"/>
        </w:sectPr>
      </w:pPr>
    </w:p>
    <w:p w14:paraId="494BF096" w14:textId="77777777" w:rsidR="005329D2" w:rsidRDefault="005329D2">
      <w:pPr>
        <w:rPr>
          <w:rFonts w:ascii="Arial" w:hAnsi="Arial" w:cs="Arial"/>
          <w:b/>
          <w:sz w:val="24"/>
          <w:szCs w:val="24"/>
        </w:rPr>
      </w:pPr>
      <w:r w:rsidRPr="001B6823">
        <w:rPr>
          <w:rFonts w:ascii="Arial" w:hAnsi="Arial" w:cs="Arial"/>
          <w:noProof/>
          <w:lang w:eastAsia="en-AU"/>
        </w:rPr>
        <w:lastRenderedPageBreak/>
        <mc:AlternateContent>
          <mc:Choice Requires="wpg">
            <w:drawing>
              <wp:anchor distT="0" distB="0" distL="114300" distR="114300" simplePos="0" relativeHeight="251682816" behindDoc="0" locked="0" layoutInCell="1" allowOverlap="1" wp14:anchorId="04CB6AC3" wp14:editId="0ACB6B8C">
                <wp:simplePos x="0" y="0"/>
                <wp:positionH relativeFrom="column">
                  <wp:posOffset>4620895</wp:posOffset>
                </wp:positionH>
                <wp:positionV relativeFrom="paragraph">
                  <wp:posOffset>-381635</wp:posOffset>
                </wp:positionV>
                <wp:extent cx="1287145" cy="1170305"/>
                <wp:effectExtent l="0" t="0" r="8255" b="0"/>
                <wp:wrapNone/>
                <wp:docPr id="22" name="Group 22"/>
                <wp:cNvGraphicFramePr/>
                <a:graphic xmlns:a="http://schemas.openxmlformats.org/drawingml/2006/main">
                  <a:graphicData uri="http://schemas.microsoft.com/office/word/2010/wordprocessingGroup">
                    <wpg:wgp>
                      <wpg:cNvGrpSpPr/>
                      <wpg:grpSpPr>
                        <a:xfrm>
                          <a:off x="0" y="0"/>
                          <a:ext cx="1287145" cy="1170305"/>
                          <a:chOff x="0" y="-7316"/>
                          <a:chExt cx="1287475" cy="1170432"/>
                        </a:xfrm>
                      </wpg:grpSpPr>
                      <pic:pic xmlns:pic="http://schemas.openxmlformats.org/drawingml/2006/picture">
                        <pic:nvPicPr>
                          <pic:cNvPr id="23" name="Picture 2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316"/>
                            <a:ext cx="1287475" cy="1170432"/>
                          </a:xfrm>
                          <a:prstGeom prst="rect">
                            <a:avLst/>
                          </a:prstGeom>
                          <a:noFill/>
                        </pic:spPr>
                      </pic:pic>
                      <wps:wsp>
                        <wps:cNvPr id="25" name="Text Box 2"/>
                        <wps:cNvSpPr txBox="1">
                          <a:spLocks noChangeArrowheads="1"/>
                        </wps:cNvSpPr>
                        <wps:spPr bwMode="auto">
                          <a:xfrm>
                            <a:off x="95097" y="51207"/>
                            <a:ext cx="1068019" cy="1060704"/>
                          </a:xfrm>
                          <a:prstGeom prst="rect">
                            <a:avLst/>
                          </a:prstGeom>
                          <a:noFill/>
                          <a:ln w="9525">
                            <a:noFill/>
                            <a:miter lim="800000"/>
                            <a:headEnd/>
                            <a:tailEnd/>
                          </a:ln>
                        </wps:spPr>
                        <wps:txbx>
                          <w:txbxContent>
                            <w:p w14:paraId="4F28C453" w14:textId="77777777" w:rsidR="00F34C8E" w:rsidRPr="00F760A0" w:rsidRDefault="00F34C8E" w:rsidP="005329D2">
                              <w:pPr>
                                <w:spacing w:after="0"/>
                                <w:rPr>
                                  <w:sz w:val="32"/>
                                </w:rPr>
                              </w:pPr>
                              <w:r w:rsidRPr="00F760A0">
                                <w:rPr>
                                  <w:b/>
                                  <w:color w:val="F79646" w:themeColor="accent6"/>
                                  <w:sz w:val="36"/>
                                </w:rPr>
                                <w:t>C</w:t>
                              </w:r>
                              <w:r w:rsidRPr="00F760A0">
                                <w:rPr>
                                  <w:color w:val="FFFFFF" w:themeColor="background1"/>
                                  <w:sz w:val="32"/>
                                </w:rPr>
                                <w:t xml:space="preserve">onsumer </w:t>
                              </w:r>
                            </w:p>
                            <w:p w14:paraId="6A007B71" w14:textId="77777777" w:rsidR="00F34C8E" w:rsidRPr="00F760A0" w:rsidRDefault="00F34C8E" w:rsidP="005329D2">
                              <w:pPr>
                                <w:spacing w:after="0"/>
                                <w:rPr>
                                  <w:sz w:val="32"/>
                                </w:rPr>
                              </w:pPr>
                              <w:r w:rsidRPr="00F760A0">
                                <w:rPr>
                                  <w:b/>
                                  <w:color w:val="F79646" w:themeColor="accent6"/>
                                  <w:sz w:val="36"/>
                                </w:rPr>
                                <w:t>C</w:t>
                              </w:r>
                              <w:r w:rsidRPr="00F760A0">
                                <w:rPr>
                                  <w:color w:val="FFFFFF" w:themeColor="background1"/>
                                  <w:sz w:val="32"/>
                                </w:rPr>
                                <w:t>hallenge</w:t>
                              </w:r>
                            </w:p>
                            <w:p w14:paraId="2F8C8F58" w14:textId="77777777" w:rsidR="00F34C8E" w:rsidRPr="00F760A0" w:rsidRDefault="00F34C8E" w:rsidP="005329D2">
                              <w:pPr>
                                <w:spacing w:after="0"/>
                                <w:rPr>
                                  <w:sz w:val="32"/>
                                </w:rPr>
                              </w:pPr>
                              <w:r w:rsidRPr="00F760A0">
                                <w:rPr>
                                  <w:b/>
                                  <w:color w:val="F79646" w:themeColor="accent6"/>
                                  <w:sz w:val="36"/>
                                </w:rPr>
                                <w:t>P</w:t>
                              </w:r>
                              <w:r w:rsidRPr="00F760A0">
                                <w:rPr>
                                  <w:color w:val="FFFFFF" w:themeColor="background1"/>
                                  <w:sz w:val="32"/>
                                </w:rPr>
                                <w:t>anel</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4CB6AC3" id="Group 22" o:spid="_x0000_s1029" style="position:absolute;margin-left:363.85pt;margin-top:-30.05pt;width:101.35pt;height:92.15pt;z-index:251682816" coordorigin=",-73" coordsize="12874,1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">
                <v:shape id="Picture 23" o:spid="_x0000_s1030" type="#_x0000_t75" style="position:absolute;top:-73;width:12874;height:1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s/j7GAAAA2wAAAA8AAABkcnMvZG93bnJldi54bWxEj0FrwkAUhO+F/oflFbxI3TSKlOgmlKAo&#10;9FRtQW+P7GuSJvs2ZFcT/323UPA4zMw3zDobTSuu1LvasoKXWQSCuLC65lLB53H7/ArCeWSNrWVS&#10;cCMHWfr4sMZE24E/6HrwpQgQdgkqqLzvEildUZFBN7MdcfC+bW/QB9mXUvc4BLhpZRxFS2mw5rBQ&#10;YUd5RUVzuBgF5c9XPm8W0+l2s9ufNqdFfB7eY6UmT+PbCoSn0d/D/+29VhDP4e9L+AEy/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Sz+PsYAAADbAAAADwAAAAAAAAAAAAAA&#10;AACfAgAAZHJzL2Rvd25yZXYueG1sUEsFBgAAAAAEAAQA9wAAAJIDAAAAAA==&#10;">
                  <v:imagedata r:id="rId11" o:title=""/>
                  <v:path arrowok="t"/>
                </v:shape>
                <v:shape id="Text Box 2" o:spid="_x0000_s1031" type="#_x0000_t202" style="position:absolute;left:950;top:512;width:10681;height:10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4F28C453" w14:textId="77777777" w:rsidR="00F34C8E" w:rsidRPr="00F760A0" w:rsidRDefault="00F34C8E" w:rsidP="005329D2">
                        <w:pPr>
                          <w:spacing w:after="0"/>
                          <w:rPr>
                            <w:sz w:val="32"/>
                          </w:rPr>
                        </w:pPr>
                        <w:r w:rsidRPr="00F760A0">
                          <w:rPr>
                            <w:b/>
                            <w:color w:val="F79646" w:themeColor="accent6"/>
                            <w:sz w:val="36"/>
                          </w:rPr>
                          <w:t>C</w:t>
                        </w:r>
                        <w:r w:rsidRPr="00F760A0">
                          <w:rPr>
                            <w:color w:val="FFFFFF" w:themeColor="background1"/>
                            <w:sz w:val="32"/>
                          </w:rPr>
                          <w:t xml:space="preserve">onsumer </w:t>
                        </w:r>
                      </w:p>
                      <w:p w14:paraId="6A007B71" w14:textId="77777777" w:rsidR="00F34C8E" w:rsidRPr="00F760A0" w:rsidRDefault="00F34C8E" w:rsidP="005329D2">
                        <w:pPr>
                          <w:spacing w:after="0"/>
                          <w:rPr>
                            <w:sz w:val="32"/>
                          </w:rPr>
                        </w:pPr>
                        <w:r w:rsidRPr="00F760A0">
                          <w:rPr>
                            <w:b/>
                            <w:color w:val="F79646" w:themeColor="accent6"/>
                            <w:sz w:val="36"/>
                          </w:rPr>
                          <w:t>C</w:t>
                        </w:r>
                        <w:r w:rsidRPr="00F760A0">
                          <w:rPr>
                            <w:color w:val="FFFFFF" w:themeColor="background1"/>
                            <w:sz w:val="32"/>
                          </w:rPr>
                          <w:t>hallenge</w:t>
                        </w:r>
                      </w:p>
                      <w:p w14:paraId="2F8C8F58" w14:textId="77777777" w:rsidR="00F34C8E" w:rsidRPr="00F760A0" w:rsidRDefault="00F34C8E" w:rsidP="005329D2">
                        <w:pPr>
                          <w:spacing w:after="0"/>
                          <w:rPr>
                            <w:sz w:val="32"/>
                          </w:rPr>
                        </w:pPr>
                        <w:r w:rsidRPr="00F760A0">
                          <w:rPr>
                            <w:b/>
                            <w:color w:val="F79646" w:themeColor="accent6"/>
                            <w:sz w:val="36"/>
                          </w:rPr>
                          <w:t>P</w:t>
                        </w:r>
                        <w:r w:rsidRPr="00F760A0">
                          <w:rPr>
                            <w:color w:val="FFFFFF" w:themeColor="background1"/>
                            <w:sz w:val="32"/>
                          </w:rPr>
                          <w:t>anel</w:t>
                        </w:r>
                      </w:p>
                    </w:txbxContent>
                  </v:textbox>
                </v:shape>
              </v:group>
            </w:pict>
          </mc:Fallback>
        </mc:AlternateContent>
      </w:r>
    </w:p>
    <w:p w14:paraId="01597A38" w14:textId="77777777" w:rsidR="005329D2" w:rsidRDefault="005329D2" w:rsidP="003C6AEA">
      <w:pPr>
        <w:pStyle w:val="Heading1"/>
        <w:pBdr>
          <w:bottom w:val="single" w:sz="6" w:space="1" w:color="auto"/>
        </w:pBdr>
        <w:jc w:val="center"/>
        <w:rPr>
          <w:rFonts w:cs="Arial"/>
          <w:sz w:val="36"/>
        </w:rPr>
      </w:pPr>
    </w:p>
    <w:p w14:paraId="60B27402" w14:textId="77777777" w:rsidR="005329D2" w:rsidRDefault="005329D2" w:rsidP="003C6AEA">
      <w:pPr>
        <w:pStyle w:val="Heading1"/>
        <w:pBdr>
          <w:bottom w:val="single" w:sz="6" w:space="1" w:color="auto"/>
        </w:pBdr>
        <w:jc w:val="center"/>
        <w:rPr>
          <w:rFonts w:cs="Arial"/>
          <w:sz w:val="36"/>
        </w:rPr>
      </w:pPr>
    </w:p>
    <w:p w14:paraId="39195D60" w14:textId="77777777" w:rsidR="003C6AEA" w:rsidRPr="003C6AEA" w:rsidRDefault="003C6AEA" w:rsidP="003C6AEA">
      <w:pPr>
        <w:pStyle w:val="Heading1"/>
        <w:pBdr>
          <w:bottom w:val="single" w:sz="6" w:space="1" w:color="auto"/>
        </w:pBdr>
        <w:jc w:val="center"/>
        <w:rPr>
          <w:rFonts w:cs="Arial"/>
          <w:sz w:val="36"/>
        </w:rPr>
      </w:pPr>
      <w:r w:rsidRPr="003C6AEA">
        <w:rPr>
          <w:rFonts w:cs="Arial"/>
          <w:sz w:val="36"/>
        </w:rPr>
        <w:t>Submission to the Australian Energy Regulator (AER)</w:t>
      </w:r>
    </w:p>
    <w:p w14:paraId="1D1FF95A" w14:textId="77777777" w:rsidR="00A93408" w:rsidRDefault="00A93408" w:rsidP="003C6AEA">
      <w:pPr>
        <w:pStyle w:val="Heading1"/>
        <w:jc w:val="center"/>
        <w:rPr>
          <w:rFonts w:cs="Arial"/>
          <w:sz w:val="32"/>
        </w:rPr>
      </w:pPr>
    </w:p>
    <w:p w14:paraId="6EADC47D" w14:textId="3ED6FACA" w:rsidR="003C6AEA" w:rsidRDefault="003C6AEA" w:rsidP="00A93408">
      <w:pPr>
        <w:pStyle w:val="Heading1"/>
        <w:spacing w:before="200"/>
        <w:jc w:val="center"/>
        <w:rPr>
          <w:rFonts w:cs="Arial"/>
          <w:sz w:val="32"/>
        </w:rPr>
      </w:pPr>
      <w:r w:rsidRPr="00A93408">
        <w:rPr>
          <w:rFonts w:cs="Arial"/>
          <w:sz w:val="32"/>
        </w:rPr>
        <w:t>Cons</w:t>
      </w:r>
      <w:r w:rsidR="000E55D9">
        <w:rPr>
          <w:rFonts w:cs="Arial"/>
          <w:sz w:val="32"/>
        </w:rPr>
        <w:t>umer Challenge Panel Sub-Panel 10</w:t>
      </w:r>
    </w:p>
    <w:p w14:paraId="2B366276" w14:textId="77777777" w:rsidR="000E55D9" w:rsidRPr="00202BAF" w:rsidRDefault="00A93408" w:rsidP="00A93408">
      <w:pPr>
        <w:pStyle w:val="Heading1"/>
        <w:spacing w:before="200"/>
        <w:jc w:val="center"/>
        <w:rPr>
          <w:rFonts w:cs="Arial"/>
          <w:color w:val="365F91" w:themeColor="accent1" w:themeShade="BF"/>
          <w:sz w:val="36"/>
          <w:szCs w:val="36"/>
        </w:rPr>
      </w:pPr>
      <w:r w:rsidRPr="00202BAF">
        <w:rPr>
          <w:rFonts w:cs="Arial"/>
          <w:color w:val="365F91" w:themeColor="accent1" w:themeShade="BF"/>
          <w:sz w:val="36"/>
          <w:szCs w:val="36"/>
        </w:rPr>
        <w:t xml:space="preserve">Response to </w:t>
      </w:r>
      <w:r w:rsidR="000E55D9" w:rsidRPr="00202BAF">
        <w:rPr>
          <w:rFonts w:cs="Arial"/>
          <w:color w:val="365F91" w:themeColor="accent1" w:themeShade="BF"/>
          <w:sz w:val="36"/>
          <w:szCs w:val="36"/>
        </w:rPr>
        <w:t xml:space="preserve">Preliminary framework and approach </w:t>
      </w:r>
    </w:p>
    <w:p w14:paraId="3BA10342" w14:textId="77777777" w:rsidR="00A619FA" w:rsidRDefault="00A619FA" w:rsidP="00A93408">
      <w:pPr>
        <w:pStyle w:val="Heading1"/>
        <w:spacing w:before="200"/>
        <w:jc w:val="center"/>
        <w:rPr>
          <w:rFonts w:cs="Arial"/>
        </w:rPr>
      </w:pPr>
      <w:r>
        <w:rPr>
          <w:rFonts w:cs="Arial"/>
        </w:rPr>
        <w:t>ActewAGL</w:t>
      </w:r>
    </w:p>
    <w:p w14:paraId="1B57E49A" w14:textId="2B06BEF0" w:rsidR="00A93408" w:rsidRPr="00A93408" w:rsidRDefault="000E55D9" w:rsidP="00A93408">
      <w:pPr>
        <w:pStyle w:val="Heading1"/>
        <w:spacing w:before="200"/>
        <w:jc w:val="center"/>
        <w:rPr>
          <w:rFonts w:cs="Arial"/>
        </w:rPr>
      </w:pPr>
      <w:r>
        <w:rPr>
          <w:rFonts w:cs="Arial"/>
        </w:rPr>
        <w:t xml:space="preserve">Regulatory control period commencing 1 July </w:t>
      </w:r>
      <w:r w:rsidR="00BA02FF">
        <w:rPr>
          <w:rFonts w:cs="Arial"/>
        </w:rPr>
        <w:t>2019</w:t>
      </w:r>
    </w:p>
    <w:p w14:paraId="15E99EB9" w14:textId="77777777" w:rsidR="003C6AEA" w:rsidRDefault="003C6AEA" w:rsidP="003C6AEA">
      <w:pPr>
        <w:rPr>
          <w:rFonts w:ascii="Arial" w:hAnsi="Arial" w:cs="Arial"/>
          <w:b/>
          <w:sz w:val="40"/>
          <w:szCs w:val="24"/>
        </w:rPr>
      </w:pPr>
    </w:p>
    <w:p w14:paraId="3E7ACA37" w14:textId="77777777" w:rsidR="00A93408" w:rsidRDefault="00A93408" w:rsidP="003C6AEA">
      <w:pPr>
        <w:rPr>
          <w:rFonts w:ascii="Arial" w:hAnsi="Arial" w:cs="Arial"/>
          <w:b/>
          <w:sz w:val="40"/>
          <w:szCs w:val="24"/>
        </w:rPr>
      </w:pPr>
    </w:p>
    <w:p w14:paraId="07AC83DD" w14:textId="2D457601" w:rsidR="00A93408" w:rsidRPr="00A93408" w:rsidRDefault="0041703F" w:rsidP="00A93408">
      <w:pPr>
        <w:jc w:val="center"/>
        <w:rPr>
          <w:rFonts w:ascii="Arial" w:hAnsi="Arial" w:cs="Arial"/>
          <w:b/>
          <w:sz w:val="28"/>
          <w:szCs w:val="24"/>
        </w:rPr>
      </w:pPr>
      <w:r>
        <w:rPr>
          <w:rFonts w:ascii="Arial" w:hAnsi="Arial" w:cs="Arial"/>
          <w:b/>
          <w:sz w:val="28"/>
          <w:szCs w:val="24"/>
        </w:rPr>
        <w:t>Sub-Panel 10</w:t>
      </w:r>
    </w:p>
    <w:p w14:paraId="4F0C67CC" w14:textId="70382AE1" w:rsidR="008E54C6" w:rsidRDefault="008E54C6" w:rsidP="00F417FB">
      <w:pPr>
        <w:jc w:val="center"/>
        <w:rPr>
          <w:rFonts w:ascii="Arial" w:hAnsi="Arial" w:cs="Arial"/>
          <w:b/>
          <w:sz w:val="28"/>
          <w:szCs w:val="24"/>
        </w:rPr>
      </w:pPr>
      <w:r>
        <w:rPr>
          <w:rFonts w:ascii="Arial" w:hAnsi="Arial" w:cs="Arial"/>
          <w:b/>
          <w:sz w:val="28"/>
          <w:szCs w:val="24"/>
        </w:rPr>
        <w:t>Louise Benjamin</w:t>
      </w:r>
    </w:p>
    <w:p w14:paraId="68B9AA1A" w14:textId="464C8BA6" w:rsidR="00A93408" w:rsidRDefault="0041703F" w:rsidP="00F417FB">
      <w:pPr>
        <w:jc w:val="center"/>
        <w:rPr>
          <w:rFonts w:ascii="Arial" w:hAnsi="Arial" w:cs="Arial"/>
          <w:b/>
          <w:sz w:val="28"/>
          <w:szCs w:val="24"/>
        </w:rPr>
      </w:pPr>
      <w:r>
        <w:rPr>
          <w:rFonts w:ascii="Arial" w:hAnsi="Arial" w:cs="Arial"/>
          <w:b/>
          <w:sz w:val="28"/>
          <w:szCs w:val="24"/>
        </w:rPr>
        <w:t>Eric Groom</w:t>
      </w:r>
    </w:p>
    <w:p w14:paraId="564925D1" w14:textId="317353F7" w:rsidR="008E54C6" w:rsidRPr="00A93408" w:rsidRDefault="008E54C6" w:rsidP="00F417FB">
      <w:pPr>
        <w:jc w:val="center"/>
        <w:rPr>
          <w:rFonts w:ascii="Arial" w:hAnsi="Arial" w:cs="Arial"/>
          <w:b/>
          <w:sz w:val="28"/>
          <w:szCs w:val="24"/>
        </w:rPr>
      </w:pPr>
      <w:r>
        <w:rPr>
          <w:rFonts w:ascii="Arial" w:hAnsi="Arial" w:cs="Arial"/>
          <w:b/>
          <w:sz w:val="28"/>
          <w:szCs w:val="24"/>
        </w:rPr>
        <w:t>Louise Benjamin</w:t>
      </w:r>
    </w:p>
    <w:p w14:paraId="35BFA7E0" w14:textId="726F7094" w:rsidR="00A93408" w:rsidRDefault="0041703F" w:rsidP="00A93408">
      <w:pPr>
        <w:jc w:val="center"/>
        <w:rPr>
          <w:rFonts w:ascii="Arial" w:hAnsi="Arial" w:cs="Arial"/>
          <w:b/>
          <w:sz w:val="28"/>
          <w:szCs w:val="24"/>
        </w:rPr>
      </w:pPr>
      <w:r>
        <w:rPr>
          <w:rFonts w:ascii="Arial" w:hAnsi="Arial" w:cs="Arial"/>
          <w:b/>
          <w:sz w:val="28"/>
          <w:szCs w:val="24"/>
        </w:rPr>
        <w:t>Mike Swanston</w:t>
      </w:r>
    </w:p>
    <w:p w14:paraId="14980AFA" w14:textId="77777777" w:rsidR="003C6AEA" w:rsidRDefault="003C6AEA">
      <w:pPr>
        <w:rPr>
          <w:rFonts w:ascii="Arial" w:hAnsi="Arial" w:cs="Arial"/>
          <w:b/>
          <w:sz w:val="24"/>
          <w:szCs w:val="24"/>
        </w:rPr>
      </w:pPr>
    </w:p>
    <w:p w14:paraId="27E9E10E" w14:textId="77777777" w:rsidR="00A93408" w:rsidRDefault="00A93408">
      <w:pPr>
        <w:rPr>
          <w:rFonts w:ascii="Arial" w:hAnsi="Arial" w:cs="Arial"/>
          <w:b/>
          <w:sz w:val="24"/>
          <w:szCs w:val="24"/>
        </w:rPr>
      </w:pPr>
    </w:p>
    <w:p w14:paraId="526B8D75" w14:textId="77777777" w:rsidR="003C6AEA" w:rsidRDefault="003C6AEA">
      <w:pPr>
        <w:rPr>
          <w:rFonts w:ascii="Arial" w:hAnsi="Arial" w:cs="Arial"/>
          <w:b/>
          <w:sz w:val="24"/>
          <w:szCs w:val="24"/>
        </w:rPr>
      </w:pPr>
    </w:p>
    <w:p w14:paraId="031EA443" w14:textId="2A717FBC" w:rsidR="003C6AEA" w:rsidRDefault="0041703F" w:rsidP="00A93408">
      <w:pPr>
        <w:jc w:val="center"/>
        <w:rPr>
          <w:rFonts w:ascii="Arial" w:hAnsi="Arial" w:cs="Arial"/>
          <w:b/>
          <w:sz w:val="24"/>
          <w:szCs w:val="24"/>
        </w:rPr>
      </w:pPr>
      <w:r>
        <w:rPr>
          <w:rFonts w:ascii="Arial" w:hAnsi="Arial" w:cs="Arial"/>
          <w:b/>
          <w:sz w:val="24"/>
          <w:szCs w:val="24"/>
        </w:rPr>
        <w:t>21 APRIL 2017</w:t>
      </w:r>
    </w:p>
    <w:p w14:paraId="49906140" w14:textId="77777777" w:rsidR="005329D2" w:rsidRDefault="005329D2">
      <w:pPr>
        <w:rPr>
          <w:rFonts w:ascii="Arial" w:hAnsi="Arial" w:cs="Arial"/>
          <w:b/>
          <w:sz w:val="24"/>
          <w:szCs w:val="24"/>
        </w:rPr>
      </w:pPr>
    </w:p>
    <w:p w14:paraId="42EFB5F5" w14:textId="77777777" w:rsidR="005329D2" w:rsidRDefault="005329D2">
      <w:pPr>
        <w:rPr>
          <w:rFonts w:ascii="Arial" w:hAnsi="Arial" w:cs="Arial"/>
          <w:b/>
          <w:sz w:val="24"/>
          <w:szCs w:val="24"/>
        </w:rPr>
        <w:sectPr w:rsidR="005329D2" w:rsidSect="00944674">
          <w:pgSz w:w="11906" w:h="16838"/>
          <w:pgMar w:top="1418" w:right="1418" w:bottom="851" w:left="1418" w:header="708" w:footer="708" w:gutter="0"/>
          <w:cols w:space="708"/>
          <w:titlePg/>
          <w:docGrid w:linePitch="360"/>
        </w:sectPr>
      </w:pPr>
    </w:p>
    <w:p w14:paraId="5C438277" w14:textId="57366BD2" w:rsidR="003328BF" w:rsidRPr="003328BF" w:rsidRDefault="00324D26" w:rsidP="003328BF">
      <w:pPr>
        <w:pStyle w:val="Heading1"/>
        <w:numPr>
          <w:ilvl w:val="0"/>
          <w:numId w:val="5"/>
        </w:numPr>
        <w:ind w:hanging="720"/>
      </w:pPr>
      <w:r>
        <w:lastRenderedPageBreak/>
        <w:t>Summary of Issues Addressed</w:t>
      </w:r>
    </w:p>
    <w:p w14:paraId="542E1DE1" w14:textId="5DD34941" w:rsidR="00E16F41" w:rsidRDefault="003328BF" w:rsidP="00E16F41">
      <w:r>
        <w:t>The following table sets out our understanding of the AER’s proposed approach, as specified in the Preliminary Framework and Approach, with our response summary. Sections 2 – 9 of this submission provide discussion and argument relating to our summary responses.</w:t>
      </w:r>
    </w:p>
    <w:tbl>
      <w:tblPr>
        <w:tblStyle w:val="TableGrid"/>
        <w:tblW w:w="0" w:type="auto"/>
        <w:tblLook w:val="04A0" w:firstRow="1" w:lastRow="0" w:firstColumn="1" w:lastColumn="0" w:noHBand="0" w:noVBand="1"/>
      </w:tblPr>
      <w:tblGrid>
        <w:gridCol w:w="4508"/>
        <w:gridCol w:w="4508"/>
      </w:tblGrid>
      <w:tr w:rsidR="00E16F41" w14:paraId="2E8141AD" w14:textId="77777777" w:rsidTr="00A87933">
        <w:trPr>
          <w:trHeight w:val="348"/>
        </w:trPr>
        <w:tc>
          <w:tcPr>
            <w:tcW w:w="4508" w:type="dxa"/>
          </w:tcPr>
          <w:p w14:paraId="083D2106" w14:textId="0F6881BD" w:rsidR="00E16F41" w:rsidRPr="00E16F41" w:rsidRDefault="00E16F41" w:rsidP="00634004">
            <w:pPr>
              <w:jc w:val="center"/>
              <w:rPr>
                <w:rFonts w:ascii="Arial" w:hAnsi="Arial" w:cs="Arial"/>
                <w:b/>
                <w:sz w:val="28"/>
                <w:szCs w:val="28"/>
              </w:rPr>
            </w:pPr>
            <w:r w:rsidRPr="00E16F41">
              <w:rPr>
                <w:rFonts w:ascii="Arial" w:hAnsi="Arial" w:cs="Arial"/>
                <w:b/>
                <w:sz w:val="28"/>
                <w:szCs w:val="28"/>
              </w:rPr>
              <w:t xml:space="preserve">Preliminary F&amp;A Element - </w:t>
            </w:r>
            <w:r w:rsidR="00FC6E79">
              <w:rPr>
                <w:rFonts w:ascii="Arial" w:hAnsi="Arial" w:cs="Arial"/>
                <w:b/>
                <w:sz w:val="28"/>
                <w:szCs w:val="28"/>
              </w:rPr>
              <w:t>ACT</w:t>
            </w:r>
          </w:p>
        </w:tc>
        <w:tc>
          <w:tcPr>
            <w:tcW w:w="4508" w:type="dxa"/>
          </w:tcPr>
          <w:p w14:paraId="2C28A651" w14:textId="77777777" w:rsidR="00E16F41" w:rsidRPr="00E16F41" w:rsidRDefault="00E16F41" w:rsidP="00634004">
            <w:pPr>
              <w:jc w:val="center"/>
              <w:rPr>
                <w:rFonts w:ascii="Arial" w:hAnsi="Arial" w:cs="Arial"/>
                <w:b/>
                <w:sz w:val="28"/>
                <w:szCs w:val="28"/>
              </w:rPr>
            </w:pPr>
            <w:r w:rsidRPr="00E16F41">
              <w:rPr>
                <w:rFonts w:ascii="Arial" w:hAnsi="Arial" w:cs="Arial"/>
                <w:b/>
                <w:sz w:val="28"/>
                <w:szCs w:val="28"/>
              </w:rPr>
              <w:t>CCP10 Response Summary</w:t>
            </w:r>
          </w:p>
        </w:tc>
      </w:tr>
      <w:tr w:rsidR="00E16F41" w14:paraId="5464B9F9" w14:textId="77777777" w:rsidTr="00634004">
        <w:tc>
          <w:tcPr>
            <w:tcW w:w="4508" w:type="dxa"/>
          </w:tcPr>
          <w:p w14:paraId="2FC151EE" w14:textId="22295B9A" w:rsidR="00E16F41" w:rsidRPr="00E16F41" w:rsidRDefault="00A87933" w:rsidP="00634004">
            <w:pPr>
              <w:rPr>
                <w:rFonts w:ascii="Arial" w:hAnsi="Arial" w:cs="Arial"/>
                <w:b/>
                <w:sz w:val="24"/>
                <w:szCs w:val="24"/>
              </w:rPr>
            </w:pPr>
            <w:r>
              <w:rPr>
                <w:rFonts w:ascii="Arial" w:hAnsi="Arial" w:cs="Arial"/>
                <w:b/>
                <w:sz w:val="24"/>
                <w:szCs w:val="24"/>
              </w:rPr>
              <w:t xml:space="preserve">Issue 1: </w:t>
            </w:r>
            <w:r w:rsidR="000A4455">
              <w:rPr>
                <w:rFonts w:ascii="Arial" w:hAnsi="Arial" w:cs="Arial"/>
                <w:b/>
                <w:sz w:val="24"/>
                <w:szCs w:val="24"/>
              </w:rPr>
              <w:t>Classification of distribution s</w:t>
            </w:r>
            <w:r w:rsidR="00E16F41" w:rsidRPr="00E16F41">
              <w:rPr>
                <w:rFonts w:ascii="Arial" w:hAnsi="Arial" w:cs="Arial"/>
                <w:b/>
                <w:sz w:val="24"/>
                <w:szCs w:val="24"/>
              </w:rPr>
              <w:t>ervices</w:t>
            </w:r>
          </w:p>
        </w:tc>
        <w:tc>
          <w:tcPr>
            <w:tcW w:w="4508" w:type="dxa"/>
          </w:tcPr>
          <w:p w14:paraId="2670E743" w14:textId="0AC2F64F" w:rsidR="00E16F41" w:rsidRPr="00DB6655" w:rsidRDefault="00C048AF" w:rsidP="00634004">
            <w:pPr>
              <w:rPr>
                <w:rFonts w:ascii="Arial" w:hAnsi="Arial" w:cs="Arial"/>
                <w:b/>
                <w:sz w:val="24"/>
                <w:szCs w:val="24"/>
              </w:rPr>
            </w:pPr>
            <w:r>
              <w:rPr>
                <w:rFonts w:ascii="Arial" w:hAnsi="Arial" w:cs="Arial"/>
                <w:b/>
                <w:sz w:val="24"/>
                <w:szCs w:val="24"/>
              </w:rPr>
              <w:t xml:space="preserve">Pages </w:t>
            </w:r>
            <w:r w:rsidR="008E54C6">
              <w:rPr>
                <w:rFonts w:ascii="Arial" w:hAnsi="Arial" w:cs="Arial"/>
                <w:b/>
                <w:sz w:val="24"/>
                <w:szCs w:val="24"/>
              </w:rPr>
              <w:t>6 - 10</w:t>
            </w:r>
          </w:p>
        </w:tc>
      </w:tr>
      <w:tr w:rsidR="00E16F41" w14:paraId="7E669760" w14:textId="77777777" w:rsidTr="00634004">
        <w:tc>
          <w:tcPr>
            <w:tcW w:w="4508" w:type="dxa"/>
          </w:tcPr>
          <w:p w14:paraId="373F6DFC" w14:textId="77777777" w:rsidR="00E16F41" w:rsidRPr="00E16F41" w:rsidRDefault="00E16F41" w:rsidP="00634004">
            <w:pPr>
              <w:rPr>
                <w:rFonts w:ascii="Arial" w:hAnsi="Arial" w:cs="Arial"/>
                <w:sz w:val="24"/>
                <w:szCs w:val="24"/>
              </w:rPr>
            </w:pPr>
            <w:r w:rsidRPr="00E16F41">
              <w:rPr>
                <w:rFonts w:ascii="Arial" w:hAnsi="Arial" w:cs="Arial"/>
                <w:sz w:val="24"/>
                <w:szCs w:val="24"/>
              </w:rPr>
              <w:t xml:space="preserve">Classification of services into groups as: </w:t>
            </w:r>
          </w:p>
          <w:p w14:paraId="176B1EF0"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Direct Control (common distribution services, </w:t>
            </w:r>
          </w:p>
          <w:p w14:paraId="038E8E1F"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Ancillary services); </w:t>
            </w:r>
          </w:p>
          <w:p w14:paraId="0EEEDFD4" w14:textId="09655AAB" w:rsidR="00E16F41" w:rsidRPr="00E16F41" w:rsidRDefault="00E16F41" w:rsidP="00E16F41">
            <w:pPr>
              <w:pStyle w:val="ListParagraph"/>
              <w:numPr>
                <w:ilvl w:val="0"/>
                <w:numId w:val="27"/>
              </w:numPr>
              <w:rPr>
                <w:rFonts w:ascii="Arial" w:hAnsi="Arial" w:cs="Arial"/>
                <w:sz w:val="24"/>
                <w:szCs w:val="24"/>
              </w:rPr>
            </w:pPr>
            <w:r>
              <w:rPr>
                <w:rFonts w:ascii="Arial" w:hAnsi="Arial" w:cs="Arial"/>
                <w:sz w:val="24"/>
                <w:szCs w:val="24"/>
              </w:rPr>
              <w:t xml:space="preserve">Negotiated; </w:t>
            </w:r>
            <w:r w:rsidRPr="00E16F41">
              <w:rPr>
                <w:rFonts w:ascii="Arial" w:hAnsi="Arial" w:cs="Arial"/>
                <w:sz w:val="24"/>
                <w:szCs w:val="24"/>
              </w:rPr>
              <w:t xml:space="preserve">and Unclassified (Metering services, </w:t>
            </w:r>
          </w:p>
          <w:p w14:paraId="7D0D9410" w14:textId="600483D3"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Connection services, </w:t>
            </w:r>
            <w:r w:rsidR="00D425BF">
              <w:rPr>
                <w:rFonts w:ascii="Arial" w:hAnsi="Arial" w:cs="Arial"/>
                <w:sz w:val="24"/>
                <w:szCs w:val="24"/>
              </w:rPr>
              <w:t>and</w:t>
            </w:r>
          </w:p>
          <w:p w14:paraId="5CD03517"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unregulated distribution services)</w:t>
            </w:r>
          </w:p>
        </w:tc>
        <w:tc>
          <w:tcPr>
            <w:tcW w:w="4508" w:type="dxa"/>
          </w:tcPr>
          <w:p w14:paraId="29985D8E" w14:textId="77777777" w:rsidR="00891E63" w:rsidRDefault="00891E63" w:rsidP="00634004">
            <w:pPr>
              <w:rPr>
                <w:rFonts w:ascii="Arial" w:hAnsi="Arial" w:cs="Arial"/>
                <w:sz w:val="24"/>
                <w:szCs w:val="24"/>
              </w:rPr>
            </w:pPr>
          </w:p>
          <w:p w14:paraId="5EC2E666" w14:textId="77777777" w:rsidR="00E16F41" w:rsidRDefault="008A4E0A" w:rsidP="00634004">
            <w:pPr>
              <w:rPr>
                <w:rFonts w:ascii="Arial" w:hAnsi="Arial" w:cs="Arial"/>
                <w:sz w:val="24"/>
                <w:szCs w:val="24"/>
              </w:rPr>
            </w:pPr>
            <w:r>
              <w:rPr>
                <w:rFonts w:ascii="Arial" w:hAnsi="Arial" w:cs="Arial"/>
                <w:sz w:val="24"/>
                <w:szCs w:val="24"/>
              </w:rPr>
              <w:t>The CCP supports these classification groups.</w:t>
            </w:r>
          </w:p>
          <w:p w14:paraId="09029371" w14:textId="77777777" w:rsidR="008A4E0A" w:rsidRDefault="008A4E0A" w:rsidP="00634004">
            <w:pPr>
              <w:rPr>
                <w:rFonts w:ascii="Arial" w:hAnsi="Arial" w:cs="Arial"/>
                <w:sz w:val="24"/>
                <w:szCs w:val="24"/>
              </w:rPr>
            </w:pPr>
          </w:p>
          <w:p w14:paraId="3A91974F" w14:textId="42DF052E" w:rsidR="008A4E0A" w:rsidRPr="00E16F41" w:rsidRDefault="008A4E0A" w:rsidP="00634004">
            <w:pPr>
              <w:rPr>
                <w:rFonts w:ascii="Arial" w:hAnsi="Arial" w:cs="Arial"/>
                <w:sz w:val="24"/>
                <w:szCs w:val="24"/>
              </w:rPr>
            </w:pPr>
            <w:r>
              <w:rPr>
                <w:rFonts w:ascii="Arial" w:hAnsi="Arial" w:cs="Arial"/>
                <w:sz w:val="24"/>
                <w:szCs w:val="24"/>
              </w:rPr>
              <w:t>The CCP supports consistency across jurisdictions where possible</w:t>
            </w:r>
          </w:p>
        </w:tc>
      </w:tr>
      <w:tr w:rsidR="00E16F41" w14:paraId="6F094554" w14:textId="77777777" w:rsidTr="008A4E0A">
        <w:trPr>
          <w:trHeight w:val="585"/>
        </w:trPr>
        <w:tc>
          <w:tcPr>
            <w:tcW w:w="4508" w:type="dxa"/>
          </w:tcPr>
          <w:p w14:paraId="40CA2A5F" w14:textId="760DC319" w:rsidR="00E16F41" w:rsidRPr="00E16F41" w:rsidRDefault="00E16F41" w:rsidP="00634004">
            <w:pPr>
              <w:rPr>
                <w:rFonts w:ascii="Arial" w:hAnsi="Arial" w:cs="Arial"/>
                <w:sz w:val="24"/>
                <w:szCs w:val="24"/>
              </w:rPr>
            </w:pPr>
            <w:r w:rsidRPr="00E16F41">
              <w:rPr>
                <w:rFonts w:ascii="Arial" w:hAnsi="Arial" w:cs="Arial"/>
                <w:sz w:val="24"/>
                <w:szCs w:val="24"/>
              </w:rPr>
              <w:t>Common Distribution services to be classified as “Direct Control Services”</w:t>
            </w:r>
          </w:p>
        </w:tc>
        <w:tc>
          <w:tcPr>
            <w:tcW w:w="4508" w:type="dxa"/>
          </w:tcPr>
          <w:p w14:paraId="26C858F4" w14:textId="00D69938" w:rsidR="00E16F41" w:rsidRPr="00E16F41" w:rsidRDefault="008A4E0A" w:rsidP="00634004">
            <w:pPr>
              <w:rPr>
                <w:rFonts w:ascii="Arial" w:hAnsi="Arial" w:cs="Arial"/>
                <w:sz w:val="24"/>
                <w:szCs w:val="24"/>
              </w:rPr>
            </w:pPr>
            <w:r>
              <w:rPr>
                <w:rFonts w:ascii="Arial" w:hAnsi="Arial" w:cs="Arial"/>
                <w:sz w:val="24"/>
                <w:szCs w:val="24"/>
              </w:rPr>
              <w:t>Agreed</w:t>
            </w:r>
          </w:p>
        </w:tc>
      </w:tr>
      <w:tr w:rsidR="008A4E0A" w14:paraId="77DD66BD" w14:textId="77777777" w:rsidTr="00634004">
        <w:tc>
          <w:tcPr>
            <w:tcW w:w="4508" w:type="dxa"/>
          </w:tcPr>
          <w:p w14:paraId="112FA6FA" w14:textId="062985E7" w:rsidR="008A4E0A" w:rsidRPr="00E16F41" w:rsidRDefault="008A4E0A" w:rsidP="00634004">
            <w:pPr>
              <w:rPr>
                <w:rFonts w:ascii="Arial" w:hAnsi="Arial" w:cs="Arial"/>
                <w:sz w:val="24"/>
                <w:szCs w:val="24"/>
              </w:rPr>
            </w:pPr>
            <w:r>
              <w:rPr>
                <w:rFonts w:ascii="Arial" w:hAnsi="Arial" w:cs="Arial"/>
                <w:sz w:val="24"/>
                <w:szCs w:val="24"/>
              </w:rPr>
              <w:t xml:space="preserve">Emergency Recoverable works as Common Distribution services and therefore direct control services </w:t>
            </w:r>
          </w:p>
        </w:tc>
        <w:tc>
          <w:tcPr>
            <w:tcW w:w="4508" w:type="dxa"/>
          </w:tcPr>
          <w:p w14:paraId="6C258E9F" w14:textId="746FFBA7" w:rsidR="008A4E0A" w:rsidRDefault="008A4E0A" w:rsidP="00634004">
            <w:pPr>
              <w:rPr>
                <w:rFonts w:ascii="Arial" w:hAnsi="Arial" w:cs="Arial"/>
                <w:sz w:val="24"/>
                <w:szCs w:val="24"/>
              </w:rPr>
            </w:pPr>
            <w:r>
              <w:rPr>
                <w:rFonts w:ascii="Arial" w:hAnsi="Arial" w:cs="Arial"/>
                <w:sz w:val="24"/>
                <w:szCs w:val="24"/>
              </w:rPr>
              <w:t xml:space="preserve">Agreed on the basis the EBSS applies to </w:t>
            </w:r>
            <w:r w:rsidR="00ED6F0C">
              <w:rPr>
                <w:rFonts w:ascii="Arial" w:hAnsi="Arial" w:cs="Arial"/>
                <w:sz w:val="24"/>
                <w:szCs w:val="24"/>
              </w:rPr>
              <w:t>ActewAGL</w:t>
            </w:r>
          </w:p>
        </w:tc>
      </w:tr>
      <w:tr w:rsidR="00E16F41" w14:paraId="51C171B1" w14:textId="77777777" w:rsidTr="00634004">
        <w:tc>
          <w:tcPr>
            <w:tcW w:w="4508" w:type="dxa"/>
          </w:tcPr>
          <w:p w14:paraId="51B5ACAA" w14:textId="77777777" w:rsidR="00E16F41" w:rsidRPr="00E16F41" w:rsidRDefault="00E16F41" w:rsidP="00634004">
            <w:pPr>
              <w:rPr>
                <w:rFonts w:ascii="Arial" w:hAnsi="Arial" w:cs="Arial"/>
                <w:sz w:val="24"/>
                <w:szCs w:val="24"/>
              </w:rPr>
            </w:pPr>
            <w:r w:rsidRPr="00E16F41">
              <w:rPr>
                <w:rFonts w:ascii="Arial" w:hAnsi="Arial" w:cs="Arial"/>
                <w:sz w:val="24"/>
                <w:szCs w:val="24"/>
              </w:rPr>
              <w:t>Metering Services to be classified differently than in the past due to introduction of meter coordinator functions with new metering arrangements from 1/12/17.</w:t>
            </w:r>
          </w:p>
          <w:p w14:paraId="41ADC70E" w14:textId="77777777" w:rsidR="00E16F41" w:rsidRPr="00E16F41" w:rsidRDefault="00E16F41" w:rsidP="00E16F41">
            <w:pPr>
              <w:pStyle w:val="ListParagraph"/>
              <w:numPr>
                <w:ilvl w:val="0"/>
                <w:numId w:val="25"/>
              </w:numPr>
              <w:rPr>
                <w:rFonts w:ascii="Arial" w:hAnsi="Arial" w:cs="Arial"/>
                <w:sz w:val="24"/>
                <w:szCs w:val="24"/>
              </w:rPr>
            </w:pPr>
            <w:r w:rsidRPr="00E16F41">
              <w:rPr>
                <w:rFonts w:ascii="Arial" w:hAnsi="Arial" w:cs="Arial"/>
                <w:sz w:val="24"/>
                <w:szCs w:val="24"/>
              </w:rPr>
              <w:t>Type 1-4: unclassified</w:t>
            </w:r>
          </w:p>
          <w:p w14:paraId="42BA40FF" w14:textId="77777777" w:rsidR="00E16F41" w:rsidRPr="00E16F41" w:rsidRDefault="00E16F41" w:rsidP="00E16F41">
            <w:pPr>
              <w:pStyle w:val="ListParagraph"/>
              <w:numPr>
                <w:ilvl w:val="0"/>
                <w:numId w:val="25"/>
              </w:numPr>
              <w:rPr>
                <w:rFonts w:ascii="Arial" w:hAnsi="Arial" w:cs="Arial"/>
                <w:sz w:val="24"/>
                <w:szCs w:val="24"/>
              </w:rPr>
            </w:pPr>
            <w:r w:rsidRPr="00E16F41">
              <w:rPr>
                <w:rFonts w:ascii="Arial" w:hAnsi="Arial" w:cs="Arial"/>
                <w:sz w:val="24"/>
                <w:szCs w:val="24"/>
              </w:rPr>
              <w:t>Type 5,6 meters: not classified</w:t>
            </w:r>
          </w:p>
          <w:p w14:paraId="7E5C5977" w14:textId="77777777" w:rsidR="00E16F41" w:rsidRPr="00E16F41" w:rsidRDefault="00E16F41" w:rsidP="00E16F41">
            <w:pPr>
              <w:pStyle w:val="ListParagraph"/>
              <w:numPr>
                <w:ilvl w:val="0"/>
                <w:numId w:val="25"/>
              </w:numPr>
              <w:rPr>
                <w:rFonts w:ascii="Arial" w:hAnsi="Arial" w:cs="Arial"/>
                <w:sz w:val="24"/>
                <w:szCs w:val="24"/>
              </w:rPr>
            </w:pPr>
            <w:r w:rsidRPr="00E16F41">
              <w:rPr>
                <w:rFonts w:ascii="Arial" w:hAnsi="Arial" w:cs="Arial"/>
                <w:sz w:val="24"/>
                <w:szCs w:val="24"/>
              </w:rPr>
              <w:t>Type 7: direct control</w:t>
            </w:r>
          </w:p>
        </w:tc>
        <w:tc>
          <w:tcPr>
            <w:tcW w:w="4508" w:type="dxa"/>
          </w:tcPr>
          <w:p w14:paraId="7D49A6DF" w14:textId="77777777" w:rsidR="00E16F41" w:rsidRDefault="00E16F41" w:rsidP="00634004">
            <w:pPr>
              <w:rPr>
                <w:rFonts w:ascii="Arial" w:hAnsi="Arial" w:cs="Arial"/>
                <w:sz w:val="24"/>
                <w:szCs w:val="24"/>
              </w:rPr>
            </w:pPr>
          </w:p>
          <w:p w14:paraId="0D93A968" w14:textId="77777777" w:rsidR="00891E63" w:rsidRDefault="00891E63" w:rsidP="00634004">
            <w:pPr>
              <w:rPr>
                <w:rFonts w:ascii="Arial" w:hAnsi="Arial" w:cs="Arial"/>
                <w:sz w:val="24"/>
                <w:szCs w:val="24"/>
              </w:rPr>
            </w:pPr>
          </w:p>
          <w:p w14:paraId="74D6BFF0" w14:textId="77777777" w:rsidR="00891E63" w:rsidRDefault="00891E63" w:rsidP="00634004">
            <w:pPr>
              <w:rPr>
                <w:rFonts w:ascii="Arial" w:hAnsi="Arial" w:cs="Arial"/>
                <w:sz w:val="24"/>
                <w:szCs w:val="24"/>
              </w:rPr>
            </w:pPr>
          </w:p>
          <w:p w14:paraId="6D8E4D20" w14:textId="77777777" w:rsidR="00891E63" w:rsidRDefault="00891E63" w:rsidP="00634004">
            <w:pPr>
              <w:rPr>
                <w:rFonts w:ascii="Arial" w:hAnsi="Arial" w:cs="Arial"/>
                <w:sz w:val="24"/>
                <w:szCs w:val="24"/>
              </w:rPr>
            </w:pPr>
          </w:p>
          <w:p w14:paraId="0731B70B" w14:textId="77777777" w:rsidR="00891E63" w:rsidRDefault="00891E63" w:rsidP="00634004">
            <w:pPr>
              <w:rPr>
                <w:rFonts w:ascii="Arial" w:hAnsi="Arial" w:cs="Arial"/>
                <w:sz w:val="24"/>
                <w:szCs w:val="24"/>
              </w:rPr>
            </w:pPr>
          </w:p>
          <w:p w14:paraId="75CB5F50" w14:textId="77777777" w:rsidR="00891E63" w:rsidRDefault="00891E63" w:rsidP="00634004">
            <w:pPr>
              <w:rPr>
                <w:rFonts w:ascii="Arial" w:hAnsi="Arial" w:cs="Arial"/>
                <w:sz w:val="24"/>
                <w:szCs w:val="24"/>
              </w:rPr>
            </w:pPr>
            <w:r>
              <w:rPr>
                <w:rFonts w:ascii="Arial" w:hAnsi="Arial" w:cs="Arial"/>
                <w:sz w:val="24"/>
                <w:szCs w:val="24"/>
              </w:rPr>
              <w:t>Type 1-4: agreed</w:t>
            </w:r>
          </w:p>
          <w:p w14:paraId="2C367DBA" w14:textId="5B09C73E" w:rsidR="00891E63" w:rsidRDefault="00891E63" w:rsidP="00634004">
            <w:pPr>
              <w:rPr>
                <w:rFonts w:ascii="Arial" w:hAnsi="Arial" w:cs="Arial"/>
                <w:sz w:val="24"/>
                <w:szCs w:val="24"/>
              </w:rPr>
            </w:pPr>
            <w:r>
              <w:rPr>
                <w:rFonts w:ascii="Arial" w:hAnsi="Arial" w:cs="Arial"/>
                <w:sz w:val="24"/>
                <w:szCs w:val="24"/>
              </w:rPr>
              <w:t>Type 5-6: agreed as legacy services</w:t>
            </w:r>
          </w:p>
          <w:p w14:paraId="37E11A79" w14:textId="41821153" w:rsidR="00891E63" w:rsidRPr="00E16F41" w:rsidRDefault="00891E63" w:rsidP="00634004">
            <w:pPr>
              <w:rPr>
                <w:rFonts w:ascii="Arial" w:hAnsi="Arial" w:cs="Arial"/>
                <w:sz w:val="24"/>
                <w:szCs w:val="24"/>
              </w:rPr>
            </w:pPr>
            <w:r>
              <w:rPr>
                <w:rFonts w:ascii="Arial" w:hAnsi="Arial" w:cs="Arial"/>
                <w:sz w:val="24"/>
                <w:szCs w:val="24"/>
              </w:rPr>
              <w:t>Type 7: agreed</w:t>
            </w:r>
          </w:p>
        </w:tc>
      </w:tr>
      <w:tr w:rsidR="00E16F41" w14:paraId="47600B21" w14:textId="77777777" w:rsidTr="00634004">
        <w:tc>
          <w:tcPr>
            <w:tcW w:w="4508" w:type="dxa"/>
          </w:tcPr>
          <w:p w14:paraId="0533760F" w14:textId="77777777" w:rsidR="00E16F41" w:rsidRPr="00E16F41" w:rsidRDefault="00E16F41" w:rsidP="00634004">
            <w:pPr>
              <w:rPr>
                <w:rFonts w:ascii="Arial" w:hAnsi="Arial" w:cs="Arial"/>
                <w:sz w:val="24"/>
                <w:szCs w:val="24"/>
              </w:rPr>
            </w:pPr>
            <w:r w:rsidRPr="00E16F41">
              <w:rPr>
                <w:rFonts w:ascii="Arial" w:hAnsi="Arial" w:cs="Arial"/>
                <w:sz w:val="24"/>
                <w:szCs w:val="24"/>
              </w:rPr>
              <w:t>Metering coordinator, metering provider and metering data provider: Unregulated services.</w:t>
            </w:r>
          </w:p>
        </w:tc>
        <w:tc>
          <w:tcPr>
            <w:tcW w:w="4508" w:type="dxa"/>
          </w:tcPr>
          <w:p w14:paraId="2244E05D" w14:textId="3C99D041" w:rsidR="00E16F41" w:rsidRPr="00E16F41" w:rsidRDefault="00891E63" w:rsidP="00634004">
            <w:pPr>
              <w:rPr>
                <w:rFonts w:ascii="Arial" w:hAnsi="Arial" w:cs="Arial"/>
                <w:sz w:val="24"/>
                <w:szCs w:val="24"/>
              </w:rPr>
            </w:pPr>
            <w:r>
              <w:rPr>
                <w:rFonts w:ascii="Arial" w:hAnsi="Arial" w:cs="Arial"/>
                <w:sz w:val="24"/>
                <w:szCs w:val="24"/>
              </w:rPr>
              <w:t>Agreed as this is necessary to facilitate competition under the AEMC contestability framework and the ring-fencing guideline</w:t>
            </w:r>
          </w:p>
        </w:tc>
      </w:tr>
      <w:tr w:rsidR="00E16F41" w14:paraId="7BC00BD3" w14:textId="77777777" w:rsidTr="00634004">
        <w:tc>
          <w:tcPr>
            <w:tcW w:w="4508" w:type="dxa"/>
          </w:tcPr>
          <w:p w14:paraId="4A97C56F" w14:textId="77777777" w:rsidR="00E16F41" w:rsidRPr="00E16F41" w:rsidRDefault="00E16F41" w:rsidP="00634004">
            <w:pPr>
              <w:rPr>
                <w:rFonts w:ascii="Arial" w:hAnsi="Arial" w:cs="Arial"/>
                <w:sz w:val="24"/>
                <w:szCs w:val="24"/>
              </w:rPr>
            </w:pPr>
            <w:r w:rsidRPr="00E16F41">
              <w:rPr>
                <w:rFonts w:ascii="Arial" w:hAnsi="Arial" w:cs="Arial"/>
                <w:sz w:val="24"/>
                <w:szCs w:val="24"/>
              </w:rPr>
              <w:t>Connection Services</w:t>
            </w:r>
          </w:p>
          <w:p w14:paraId="601F9F35" w14:textId="2187467D" w:rsidR="00E16F41" w:rsidRPr="00E16F41" w:rsidRDefault="00E91489" w:rsidP="00F417FB">
            <w:r>
              <w:rPr>
                <w:rFonts w:ascii="Arial" w:hAnsi="Arial" w:cs="Arial"/>
                <w:sz w:val="24"/>
                <w:szCs w:val="24"/>
              </w:rPr>
              <w:t xml:space="preserve">To be classified as </w:t>
            </w:r>
            <w:r w:rsidRPr="00F417FB">
              <w:rPr>
                <w:rFonts w:ascii="Arial" w:hAnsi="Arial" w:cs="Arial"/>
                <w:sz w:val="24"/>
                <w:szCs w:val="24"/>
              </w:rPr>
              <w:t>direct control services</w:t>
            </w:r>
            <w:r>
              <w:rPr>
                <w:rFonts w:ascii="Arial" w:hAnsi="Arial" w:cs="Arial"/>
                <w:sz w:val="24"/>
                <w:szCs w:val="24"/>
              </w:rPr>
              <w:t>.</w:t>
            </w:r>
          </w:p>
        </w:tc>
        <w:tc>
          <w:tcPr>
            <w:tcW w:w="4508" w:type="dxa"/>
          </w:tcPr>
          <w:p w14:paraId="0DC5648E" w14:textId="77777777" w:rsidR="00891E63" w:rsidRDefault="00891E63" w:rsidP="00634004">
            <w:pPr>
              <w:rPr>
                <w:rFonts w:ascii="Arial" w:hAnsi="Arial" w:cs="Arial"/>
                <w:sz w:val="24"/>
                <w:szCs w:val="24"/>
              </w:rPr>
            </w:pPr>
          </w:p>
          <w:p w14:paraId="68AF568D" w14:textId="77777777" w:rsidR="00891E63" w:rsidRDefault="00891E63" w:rsidP="00634004">
            <w:pPr>
              <w:rPr>
                <w:rFonts w:ascii="Arial" w:hAnsi="Arial" w:cs="Arial"/>
                <w:sz w:val="24"/>
                <w:szCs w:val="24"/>
              </w:rPr>
            </w:pPr>
          </w:p>
          <w:p w14:paraId="382B9A02" w14:textId="3B8F9149" w:rsidR="00E16F41" w:rsidRPr="00E16F41" w:rsidRDefault="00891E63" w:rsidP="00634004">
            <w:pPr>
              <w:rPr>
                <w:rFonts w:ascii="Arial" w:hAnsi="Arial" w:cs="Arial"/>
                <w:sz w:val="24"/>
                <w:szCs w:val="24"/>
              </w:rPr>
            </w:pPr>
            <w:r>
              <w:rPr>
                <w:rFonts w:ascii="Arial" w:hAnsi="Arial" w:cs="Arial"/>
                <w:sz w:val="24"/>
                <w:szCs w:val="24"/>
              </w:rPr>
              <w:t>Agreed</w:t>
            </w:r>
          </w:p>
        </w:tc>
      </w:tr>
      <w:tr w:rsidR="00E16F41" w14:paraId="2EF4BBF7" w14:textId="77777777" w:rsidTr="00634004">
        <w:tc>
          <w:tcPr>
            <w:tcW w:w="4508" w:type="dxa"/>
          </w:tcPr>
          <w:p w14:paraId="11929A56" w14:textId="77777777" w:rsidR="00E16F41" w:rsidRPr="00E16F41" w:rsidRDefault="00E16F41" w:rsidP="00634004">
            <w:pPr>
              <w:rPr>
                <w:rFonts w:ascii="Arial" w:hAnsi="Arial" w:cs="Arial"/>
                <w:sz w:val="24"/>
                <w:szCs w:val="24"/>
              </w:rPr>
            </w:pPr>
            <w:r w:rsidRPr="00E16F41">
              <w:rPr>
                <w:rFonts w:ascii="Arial" w:hAnsi="Arial" w:cs="Arial"/>
                <w:sz w:val="24"/>
                <w:szCs w:val="24"/>
              </w:rPr>
              <w:t>Ancillary Services: Direct Control</w:t>
            </w:r>
          </w:p>
        </w:tc>
        <w:tc>
          <w:tcPr>
            <w:tcW w:w="4508" w:type="dxa"/>
          </w:tcPr>
          <w:p w14:paraId="4037924F" w14:textId="018E3174" w:rsidR="00E16F41" w:rsidRPr="00E16F41" w:rsidRDefault="00E24998" w:rsidP="00634004">
            <w:pPr>
              <w:rPr>
                <w:rFonts w:ascii="Arial" w:hAnsi="Arial" w:cs="Arial"/>
                <w:sz w:val="24"/>
                <w:szCs w:val="24"/>
              </w:rPr>
            </w:pPr>
            <w:r>
              <w:rPr>
                <w:rFonts w:ascii="Arial" w:hAnsi="Arial" w:cs="Arial"/>
                <w:sz w:val="24"/>
                <w:szCs w:val="24"/>
              </w:rPr>
              <w:t>Agreed</w:t>
            </w:r>
          </w:p>
        </w:tc>
      </w:tr>
      <w:tr w:rsidR="00E16F41" w14:paraId="0BCC0CB3" w14:textId="77777777" w:rsidTr="00634004">
        <w:tc>
          <w:tcPr>
            <w:tcW w:w="4508" w:type="dxa"/>
          </w:tcPr>
          <w:p w14:paraId="715E1B72" w14:textId="0719D5BA" w:rsidR="00E16F41" w:rsidRPr="00E16F41" w:rsidRDefault="00A87933" w:rsidP="00634004">
            <w:pPr>
              <w:rPr>
                <w:rFonts w:ascii="Arial" w:hAnsi="Arial" w:cs="Arial"/>
                <w:b/>
                <w:sz w:val="24"/>
                <w:szCs w:val="24"/>
              </w:rPr>
            </w:pPr>
            <w:r>
              <w:rPr>
                <w:rFonts w:ascii="Arial" w:hAnsi="Arial" w:cs="Arial"/>
                <w:b/>
                <w:sz w:val="24"/>
                <w:szCs w:val="24"/>
              </w:rPr>
              <w:t xml:space="preserve">Issue 2: </w:t>
            </w:r>
            <w:r w:rsidR="000A4455">
              <w:rPr>
                <w:rFonts w:ascii="Arial" w:hAnsi="Arial" w:cs="Arial"/>
                <w:b/>
                <w:sz w:val="24"/>
                <w:szCs w:val="24"/>
              </w:rPr>
              <w:t>Control m</w:t>
            </w:r>
            <w:r w:rsidR="00E16F41" w:rsidRPr="00E16F41">
              <w:rPr>
                <w:rFonts w:ascii="Arial" w:hAnsi="Arial" w:cs="Arial"/>
                <w:b/>
                <w:sz w:val="24"/>
                <w:szCs w:val="24"/>
              </w:rPr>
              <w:t>echanisms</w:t>
            </w:r>
          </w:p>
        </w:tc>
        <w:tc>
          <w:tcPr>
            <w:tcW w:w="4508" w:type="dxa"/>
          </w:tcPr>
          <w:p w14:paraId="424FD5DB" w14:textId="54ADEDCC" w:rsidR="00E16F41" w:rsidRPr="00DB6655" w:rsidRDefault="00DB6655">
            <w:pPr>
              <w:rPr>
                <w:rFonts w:ascii="Arial" w:hAnsi="Arial" w:cs="Arial"/>
                <w:b/>
                <w:sz w:val="24"/>
                <w:szCs w:val="24"/>
              </w:rPr>
            </w:pPr>
            <w:r w:rsidRPr="00DB6655">
              <w:rPr>
                <w:rFonts w:ascii="Arial" w:hAnsi="Arial" w:cs="Arial"/>
                <w:b/>
                <w:sz w:val="24"/>
                <w:szCs w:val="24"/>
              </w:rPr>
              <w:t xml:space="preserve">Pages </w:t>
            </w:r>
            <w:r w:rsidR="008E54C6">
              <w:rPr>
                <w:rFonts w:ascii="Arial" w:hAnsi="Arial" w:cs="Arial"/>
                <w:b/>
                <w:sz w:val="24"/>
                <w:szCs w:val="24"/>
              </w:rPr>
              <w:t>10 - 12</w:t>
            </w:r>
          </w:p>
        </w:tc>
      </w:tr>
      <w:tr w:rsidR="00E16F41" w14:paraId="081C6A68" w14:textId="77777777" w:rsidTr="00634004">
        <w:tc>
          <w:tcPr>
            <w:tcW w:w="4508" w:type="dxa"/>
          </w:tcPr>
          <w:p w14:paraId="2E0FF636" w14:textId="498211CC" w:rsidR="00E16F41" w:rsidRPr="00E16F41" w:rsidRDefault="00E16F41" w:rsidP="00634004">
            <w:pPr>
              <w:rPr>
                <w:rFonts w:ascii="Arial" w:hAnsi="Arial" w:cs="Arial"/>
                <w:sz w:val="24"/>
                <w:szCs w:val="24"/>
              </w:rPr>
            </w:pPr>
            <w:r w:rsidRPr="00E16F41">
              <w:rPr>
                <w:rFonts w:ascii="Arial" w:hAnsi="Arial" w:cs="Arial"/>
                <w:sz w:val="24"/>
                <w:szCs w:val="24"/>
              </w:rPr>
              <w:t>Revenue cap for standard control services</w:t>
            </w:r>
            <w:r w:rsidR="00FC6E79">
              <w:rPr>
                <w:rFonts w:ascii="Arial" w:hAnsi="Arial" w:cs="Arial"/>
                <w:sz w:val="24"/>
                <w:szCs w:val="24"/>
              </w:rPr>
              <w:t>, transitioned from an ‘average revenue cap’</w:t>
            </w:r>
          </w:p>
        </w:tc>
        <w:tc>
          <w:tcPr>
            <w:tcW w:w="4508" w:type="dxa"/>
          </w:tcPr>
          <w:p w14:paraId="35653E86" w14:textId="670D2564" w:rsidR="00E16F41" w:rsidRPr="00E16F41" w:rsidRDefault="00B32C39" w:rsidP="00634004">
            <w:pPr>
              <w:rPr>
                <w:rFonts w:ascii="Arial" w:hAnsi="Arial" w:cs="Arial"/>
                <w:sz w:val="24"/>
                <w:szCs w:val="24"/>
              </w:rPr>
            </w:pPr>
            <w:r>
              <w:rPr>
                <w:rFonts w:ascii="Arial" w:hAnsi="Arial" w:cs="Arial"/>
                <w:sz w:val="24"/>
                <w:szCs w:val="24"/>
              </w:rPr>
              <w:t>Agreed</w:t>
            </w:r>
            <w:r w:rsidR="00E16F41" w:rsidRPr="00E16F41">
              <w:rPr>
                <w:rFonts w:ascii="Arial" w:hAnsi="Arial" w:cs="Arial"/>
                <w:sz w:val="24"/>
                <w:szCs w:val="24"/>
              </w:rPr>
              <w:t xml:space="preserve">  The transfer of demand risk to customers should be reflected in pricing </w:t>
            </w:r>
          </w:p>
        </w:tc>
      </w:tr>
      <w:tr w:rsidR="00E16F41" w14:paraId="42241ED3" w14:textId="77777777" w:rsidTr="00634004">
        <w:tc>
          <w:tcPr>
            <w:tcW w:w="4508" w:type="dxa"/>
          </w:tcPr>
          <w:p w14:paraId="452AD572" w14:textId="77777777" w:rsidR="00E16F41" w:rsidRPr="00E16F41" w:rsidRDefault="00E16F41" w:rsidP="00634004">
            <w:pPr>
              <w:rPr>
                <w:rFonts w:ascii="Arial" w:hAnsi="Arial" w:cs="Arial"/>
                <w:sz w:val="24"/>
                <w:szCs w:val="24"/>
              </w:rPr>
            </w:pPr>
            <w:r w:rsidRPr="00E16F41">
              <w:rPr>
                <w:rFonts w:ascii="Arial" w:hAnsi="Arial" w:cs="Arial"/>
                <w:sz w:val="24"/>
                <w:szCs w:val="24"/>
              </w:rPr>
              <w:t>Price caps in individual services for alternative control services.</w:t>
            </w:r>
          </w:p>
        </w:tc>
        <w:tc>
          <w:tcPr>
            <w:tcW w:w="4508" w:type="dxa"/>
          </w:tcPr>
          <w:p w14:paraId="174B6310" w14:textId="7E604990" w:rsidR="00E16F41" w:rsidRPr="00E16F41" w:rsidRDefault="00B32C39" w:rsidP="00634004">
            <w:pPr>
              <w:rPr>
                <w:rFonts w:ascii="Arial" w:hAnsi="Arial" w:cs="Arial"/>
                <w:sz w:val="24"/>
                <w:szCs w:val="24"/>
              </w:rPr>
            </w:pPr>
            <w:r>
              <w:rPr>
                <w:rFonts w:ascii="Arial" w:hAnsi="Arial" w:cs="Arial"/>
                <w:sz w:val="24"/>
                <w:szCs w:val="24"/>
              </w:rPr>
              <w:t>Agreed</w:t>
            </w:r>
          </w:p>
        </w:tc>
      </w:tr>
      <w:tr w:rsidR="00E16F41" w14:paraId="326E2475" w14:textId="77777777" w:rsidTr="00634004">
        <w:tc>
          <w:tcPr>
            <w:tcW w:w="4508" w:type="dxa"/>
          </w:tcPr>
          <w:p w14:paraId="7EBF5F76" w14:textId="77777777" w:rsidR="00E16F41" w:rsidRPr="00E16F41" w:rsidRDefault="00E16F41" w:rsidP="00634004">
            <w:pPr>
              <w:rPr>
                <w:rFonts w:ascii="Arial" w:hAnsi="Arial" w:cs="Arial"/>
                <w:sz w:val="24"/>
                <w:szCs w:val="24"/>
              </w:rPr>
            </w:pPr>
            <w:r w:rsidRPr="00E16F41">
              <w:rPr>
                <w:rFonts w:ascii="Arial" w:hAnsi="Arial" w:cs="Arial"/>
                <w:sz w:val="24"/>
                <w:szCs w:val="24"/>
              </w:rPr>
              <w:t>Efficient Tariff Structures can operate under all forms of control mechanism, including a revenue cap</w:t>
            </w:r>
          </w:p>
        </w:tc>
        <w:tc>
          <w:tcPr>
            <w:tcW w:w="4508" w:type="dxa"/>
          </w:tcPr>
          <w:p w14:paraId="0EBE37C4" w14:textId="4D7320BF" w:rsidR="00E16F41" w:rsidRPr="00E16F41" w:rsidRDefault="00E16F41" w:rsidP="00634004">
            <w:pPr>
              <w:rPr>
                <w:rFonts w:ascii="Arial" w:hAnsi="Arial" w:cs="Arial"/>
                <w:sz w:val="24"/>
                <w:szCs w:val="24"/>
              </w:rPr>
            </w:pPr>
            <w:r w:rsidRPr="00E16F41">
              <w:rPr>
                <w:rFonts w:ascii="Arial" w:hAnsi="Arial" w:cs="Arial"/>
                <w:sz w:val="24"/>
                <w:szCs w:val="24"/>
              </w:rPr>
              <w:t>Agreed</w:t>
            </w:r>
          </w:p>
        </w:tc>
      </w:tr>
      <w:tr w:rsidR="00E16F41" w14:paraId="260CADA4" w14:textId="77777777" w:rsidTr="00A87933">
        <w:trPr>
          <w:trHeight w:val="305"/>
        </w:trPr>
        <w:tc>
          <w:tcPr>
            <w:tcW w:w="4508" w:type="dxa"/>
          </w:tcPr>
          <w:p w14:paraId="46797691" w14:textId="113B0A1C" w:rsidR="00E16F41" w:rsidRPr="00E16F41" w:rsidRDefault="00A87933" w:rsidP="00634004">
            <w:pPr>
              <w:rPr>
                <w:rFonts w:ascii="Arial" w:hAnsi="Arial" w:cs="Arial"/>
                <w:b/>
                <w:sz w:val="24"/>
                <w:szCs w:val="24"/>
              </w:rPr>
            </w:pPr>
            <w:r>
              <w:rPr>
                <w:rFonts w:ascii="Arial" w:hAnsi="Arial" w:cs="Arial"/>
                <w:b/>
                <w:sz w:val="24"/>
                <w:szCs w:val="24"/>
              </w:rPr>
              <w:t xml:space="preserve">Issue 3: </w:t>
            </w:r>
            <w:r w:rsidR="000A4455">
              <w:rPr>
                <w:rFonts w:ascii="Arial" w:hAnsi="Arial" w:cs="Arial"/>
                <w:b/>
                <w:sz w:val="24"/>
                <w:szCs w:val="24"/>
              </w:rPr>
              <w:t>Incentive s</w:t>
            </w:r>
            <w:r w:rsidR="00E16F41" w:rsidRPr="00E16F41">
              <w:rPr>
                <w:rFonts w:ascii="Arial" w:hAnsi="Arial" w:cs="Arial"/>
                <w:b/>
                <w:sz w:val="24"/>
                <w:szCs w:val="24"/>
              </w:rPr>
              <w:t>chemes</w:t>
            </w:r>
          </w:p>
        </w:tc>
        <w:tc>
          <w:tcPr>
            <w:tcW w:w="4508" w:type="dxa"/>
          </w:tcPr>
          <w:p w14:paraId="3CC67F41" w14:textId="2B4AEBA2" w:rsidR="00E16F41" w:rsidRPr="00DB6655" w:rsidRDefault="00C048AF">
            <w:pPr>
              <w:rPr>
                <w:rFonts w:ascii="Arial" w:hAnsi="Arial" w:cs="Arial"/>
                <w:b/>
                <w:sz w:val="24"/>
                <w:szCs w:val="24"/>
              </w:rPr>
            </w:pPr>
            <w:r>
              <w:rPr>
                <w:rFonts w:ascii="Arial" w:hAnsi="Arial" w:cs="Arial"/>
                <w:b/>
                <w:sz w:val="24"/>
                <w:szCs w:val="24"/>
              </w:rPr>
              <w:t xml:space="preserve">Pages </w:t>
            </w:r>
            <w:r w:rsidR="008E54C6">
              <w:rPr>
                <w:rFonts w:ascii="Arial" w:hAnsi="Arial" w:cs="Arial"/>
                <w:b/>
                <w:sz w:val="24"/>
                <w:szCs w:val="24"/>
              </w:rPr>
              <w:t>12-15</w:t>
            </w:r>
          </w:p>
        </w:tc>
      </w:tr>
      <w:tr w:rsidR="00E16F41" w14:paraId="51F72329" w14:textId="77777777" w:rsidTr="00634004">
        <w:tc>
          <w:tcPr>
            <w:tcW w:w="4508" w:type="dxa"/>
          </w:tcPr>
          <w:p w14:paraId="4ACD574D" w14:textId="743E6F81" w:rsidR="00E16F41" w:rsidRPr="00E16F41" w:rsidRDefault="00E16F41" w:rsidP="00634004">
            <w:pPr>
              <w:rPr>
                <w:rFonts w:ascii="Arial" w:hAnsi="Arial" w:cs="Arial"/>
                <w:sz w:val="24"/>
                <w:szCs w:val="24"/>
              </w:rPr>
            </w:pPr>
            <w:r w:rsidRPr="00E16F41">
              <w:rPr>
                <w:rFonts w:ascii="Arial" w:hAnsi="Arial" w:cs="Arial"/>
                <w:sz w:val="24"/>
                <w:szCs w:val="24"/>
              </w:rPr>
              <w:lastRenderedPageBreak/>
              <w:t>EBSS: Apply</w:t>
            </w:r>
            <w:r w:rsidR="00FD7F99">
              <w:rPr>
                <w:rFonts w:ascii="Arial" w:hAnsi="Arial" w:cs="Arial"/>
                <w:sz w:val="24"/>
                <w:szCs w:val="24"/>
              </w:rPr>
              <w:t>, pending ActewAGL’s views about applying the “revealed costs” methodology.</w:t>
            </w:r>
          </w:p>
        </w:tc>
        <w:tc>
          <w:tcPr>
            <w:tcW w:w="4508" w:type="dxa"/>
          </w:tcPr>
          <w:p w14:paraId="429B1165" w14:textId="1A4896E9" w:rsidR="00E16F41" w:rsidRPr="00E16F41" w:rsidRDefault="00A87933" w:rsidP="00634004">
            <w:pPr>
              <w:rPr>
                <w:rFonts w:ascii="Arial" w:hAnsi="Arial" w:cs="Arial"/>
                <w:sz w:val="24"/>
                <w:szCs w:val="24"/>
              </w:rPr>
            </w:pPr>
            <w:r>
              <w:rPr>
                <w:rFonts w:ascii="Arial" w:hAnsi="Arial" w:cs="Arial"/>
                <w:sz w:val="24"/>
                <w:szCs w:val="24"/>
              </w:rPr>
              <w:t xml:space="preserve">Agreed. </w:t>
            </w:r>
            <w:r w:rsidR="00FD7F99">
              <w:rPr>
                <w:rFonts w:ascii="Arial" w:hAnsi="Arial" w:cs="Arial"/>
                <w:sz w:val="24"/>
                <w:szCs w:val="24"/>
              </w:rPr>
              <w:t>It is important that incentive schemes are applied as uniformly as possible across network businesses.</w:t>
            </w:r>
          </w:p>
        </w:tc>
      </w:tr>
      <w:tr w:rsidR="00E16F41" w14:paraId="0B34AA06" w14:textId="77777777" w:rsidTr="00634004">
        <w:tc>
          <w:tcPr>
            <w:tcW w:w="4508" w:type="dxa"/>
          </w:tcPr>
          <w:p w14:paraId="110CC313" w14:textId="31AD1601" w:rsidR="00E16F41" w:rsidRPr="00E16F41" w:rsidRDefault="00E16F41">
            <w:pPr>
              <w:rPr>
                <w:rFonts w:ascii="Arial" w:hAnsi="Arial" w:cs="Arial"/>
                <w:sz w:val="24"/>
                <w:szCs w:val="24"/>
              </w:rPr>
            </w:pPr>
            <w:r w:rsidRPr="00E16F41">
              <w:rPr>
                <w:rFonts w:ascii="Arial" w:hAnsi="Arial" w:cs="Arial"/>
                <w:sz w:val="24"/>
                <w:szCs w:val="24"/>
              </w:rPr>
              <w:t xml:space="preserve">CESS: Apply to </w:t>
            </w:r>
            <w:r w:rsidR="00ED6F0C">
              <w:rPr>
                <w:rFonts w:ascii="Arial" w:hAnsi="Arial" w:cs="Arial"/>
                <w:sz w:val="24"/>
                <w:szCs w:val="24"/>
              </w:rPr>
              <w:t>ActewAGL</w:t>
            </w:r>
          </w:p>
        </w:tc>
        <w:tc>
          <w:tcPr>
            <w:tcW w:w="4508" w:type="dxa"/>
          </w:tcPr>
          <w:p w14:paraId="31A467F3" w14:textId="5CD96949" w:rsidR="00E16F41" w:rsidRPr="00E16F41" w:rsidRDefault="00A87933" w:rsidP="00634004">
            <w:pPr>
              <w:rPr>
                <w:rFonts w:ascii="Arial" w:hAnsi="Arial" w:cs="Arial"/>
                <w:sz w:val="24"/>
                <w:szCs w:val="24"/>
              </w:rPr>
            </w:pPr>
            <w:r>
              <w:rPr>
                <w:rFonts w:ascii="Arial" w:hAnsi="Arial" w:cs="Arial"/>
                <w:sz w:val="24"/>
                <w:szCs w:val="24"/>
              </w:rPr>
              <w:t xml:space="preserve">Agreed ( </w:t>
            </w:r>
            <w:r w:rsidR="003328BF">
              <w:rPr>
                <w:rFonts w:ascii="Arial" w:hAnsi="Arial" w:cs="Arial"/>
                <w:sz w:val="24"/>
                <w:szCs w:val="24"/>
              </w:rPr>
              <w:t xml:space="preserve">(Note  CSIRO / ENA “Network Transformation </w:t>
            </w:r>
            <w:r>
              <w:rPr>
                <w:rFonts w:ascii="Arial" w:hAnsi="Arial" w:cs="Arial"/>
                <w:sz w:val="24"/>
                <w:szCs w:val="24"/>
              </w:rPr>
              <w:t xml:space="preserve"> Roadmap develo</w:t>
            </w:r>
            <w:r w:rsidR="00DB6655">
              <w:rPr>
                <w:rFonts w:ascii="Arial" w:hAnsi="Arial" w:cs="Arial"/>
                <w:sz w:val="24"/>
                <w:szCs w:val="24"/>
              </w:rPr>
              <w:t>p</w:t>
            </w:r>
            <w:r>
              <w:rPr>
                <w:rFonts w:ascii="Arial" w:hAnsi="Arial" w:cs="Arial"/>
                <w:sz w:val="24"/>
                <w:szCs w:val="24"/>
              </w:rPr>
              <w:t>ments)</w:t>
            </w:r>
            <w:r w:rsidR="003328BF" w:rsidRPr="003328BF">
              <w:rPr>
                <w:rFonts w:ascii="Arial" w:hAnsi="Arial" w:cs="Arial"/>
                <w:sz w:val="24"/>
                <w:szCs w:val="24"/>
              </w:rPr>
              <w:t xml:space="preserve"> ”</w:t>
            </w:r>
            <w:r w:rsidR="003328BF" w:rsidRPr="003328BF">
              <w:rPr>
                <w:rFonts w:ascii="Arial" w:hAnsi="Arial" w:cs="Arial"/>
                <w:sz w:val="24"/>
                <w:szCs w:val="24"/>
                <w:vertAlign w:val="superscript"/>
              </w:rPr>
              <w:footnoteReference w:id="1"/>
            </w:r>
          </w:p>
        </w:tc>
      </w:tr>
      <w:tr w:rsidR="00A87933" w14:paraId="103E83DB" w14:textId="77777777" w:rsidTr="00634004">
        <w:tc>
          <w:tcPr>
            <w:tcW w:w="4508" w:type="dxa"/>
          </w:tcPr>
          <w:p w14:paraId="6CC415AD" w14:textId="747F2D76" w:rsidR="00A87933" w:rsidRPr="00E16F41" w:rsidRDefault="00A87933">
            <w:pPr>
              <w:rPr>
                <w:rFonts w:ascii="Arial" w:hAnsi="Arial" w:cs="Arial"/>
                <w:sz w:val="24"/>
                <w:szCs w:val="24"/>
              </w:rPr>
            </w:pPr>
            <w:r>
              <w:rPr>
                <w:rFonts w:ascii="Arial" w:hAnsi="Arial" w:cs="Arial"/>
                <w:sz w:val="24"/>
                <w:szCs w:val="24"/>
              </w:rPr>
              <w:t xml:space="preserve">STPIS: Applies to </w:t>
            </w:r>
            <w:r w:rsidR="00ED6F0C">
              <w:rPr>
                <w:rFonts w:ascii="Arial" w:hAnsi="Arial" w:cs="Arial"/>
                <w:sz w:val="24"/>
                <w:szCs w:val="24"/>
              </w:rPr>
              <w:t>ActewAGL</w:t>
            </w:r>
            <w:r>
              <w:rPr>
                <w:rFonts w:ascii="Arial" w:hAnsi="Arial" w:cs="Arial"/>
                <w:sz w:val="24"/>
                <w:szCs w:val="24"/>
              </w:rPr>
              <w:t>(appropriate VCR value sought)</w:t>
            </w:r>
          </w:p>
        </w:tc>
        <w:tc>
          <w:tcPr>
            <w:tcW w:w="4508" w:type="dxa"/>
          </w:tcPr>
          <w:p w14:paraId="39807613" w14:textId="3F8FE0C6" w:rsidR="00A87933" w:rsidRPr="00E16F41" w:rsidRDefault="00A87933" w:rsidP="00634004">
            <w:pPr>
              <w:rPr>
                <w:rFonts w:ascii="Arial" w:hAnsi="Arial" w:cs="Arial"/>
                <w:sz w:val="24"/>
                <w:szCs w:val="24"/>
              </w:rPr>
            </w:pPr>
            <w:r>
              <w:rPr>
                <w:rFonts w:ascii="Arial" w:hAnsi="Arial" w:cs="Arial"/>
                <w:sz w:val="24"/>
                <w:szCs w:val="24"/>
              </w:rPr>
              <w:t>Agreed subject to further comment after finalisation of AER review</w:t>
            </w:r>
          </w:p>
        </w:tc>
      </w:tr>
      <w:tr w:rsidR="00E16F41" w14:paraId="1478C97A" w14:textId="77777777" w:rsidTr="00A87933">
        <w:trPr>
          <w:trHeight w:val="599"/>
        </w:trPr>
        <w:tc>
          <w:tcPr>
            <w:tcW w:w="4508" w:type="dxa"/>
          </w:tcPr>
          <w:p w14:paraId="7E6B6C5C" w14:textId="4E000D3D" w:rsidR="00E16F41" w:rsidRPr="00E16F41" w:rsidRDefault="00E16F41">
            <w:pPr>
              <w:rPr>
                <w:rFonts w:ascii="Arial" w:hAnsi="Arial" w:cs="Arial"/>
                <w:sz w:val="24"/>
                <w:szCs w:val="24"/>
              </w:rPr>
            </w:pPr>
            <w:r w:rsidRPr="00E16F41">
              <w:rPr>
                <w:rFonts w:ascii="Arial" w:hAnsi="Arial" w:cs="Arial"/>
                <w:sz w:val="24"/>
                <w:szCs w:val="24"/>
              </w:rPr>
              <w:t xml:space="preserve">DMIS and DMIA: Apply to </w:t>
            </w:r>
            <w:r w:rsidR="00ED6F0C">
              <w:rPr>
                <w:rFonts w:ascii="Arial" w:hAnsi="Arial" w:cs="Arial"/>
                <w:sz w:val="24"/>
                <w:szCs w:val="24"/>
              </w:rPr>
              <w:t>ActewAGL</w:t>
            </w:r>
          </w:p>
        </w:tc>
        <w:tc>
          <w:tcPr>
            <w:tcW w:w="4508" w:type="dxa"/>
          </w:tcPr>
          <w:p w14:paraId="7A2910DC" w14:textId="3C12AB64" w:rsidR="00E16F41" w:rsidRPr="00E16F41" w:rsidRDefault="00A87933" w:rsidP="00634004">
            <w:pPr>
              <w:rPr>
                <w:rFonts w:ascii="Arial" w:hAnsi="Arial" w:cs="Arial"/>
                <w:sz w:val="24"/>
                <w:szCs w:val="24"/>
              </w:rPr>
            </w:pPr>
            <w:r>
              <w:rPr>
                <w:rFonts w:ascii="Arial" w:hAnsi="Arial" w:cs="Arial"/>
                <w:sz w:val="24"/>
                <w:szCs w:val="24"/>
              </w:rPr>
              <w:t>Agreed subject to further comment after finalisation of AER review</w:t>
            </w:r>
          </w:p>
        </w:tc>
      </w:tr>
      <w:tr w:rsidR="00E16F41" w14:paraId="34E631C4" w14:textId="77777777" w:rsidTr="00634004">
        <w:tc>
          <w:tcPr>
            <w:tcW w:w="4508" w:type="dxa"/>
          </w:tcPr>
          <w:p w14:paraId="78D6030A" w14:textId="029CB2B2" w:rsidR="00E16F41" w:rsidRPr="00E16F41" w:rsidRDefault="00A87933" w:rsidP="00634004">
            <w:pPr>
              <w:rPr>
                <w:rFonts w:ascii="Arial" w:hAnsi="Arial" w:cs="Arial"/>
                <w:b/>
                <w:sz w:val="24"/>
                <w:szCs w:val="24"/>
              </w:rPr>
            </w:pPr>
            <w:r>
              <w:rPr>
                <w:rFonts w:ascii="Arial" w:hAnsi="Arial" w:cs="Arial"/>
                <w:b/>
                <w:sz w:val="24"/>
                <w:szCs w:val="24"/>
              </w:rPr>
              <w:t>Issue 4: Expenditure f</w:t>
            </w:r>
            <w:r w:rsidR="00E16F41" w:rsidRPr="00E16F41">
              <w:rPr>
                <w:rFonts w:ascii="Arial" w:hAnsi="Arial" w:cs="Arial"/>
                <w:b/>
                <w:sz w:val="24"/>
                <w:szCs w:val="24"/>
              </w:rPr>
              <w:t xml:space="preserve">orecast </w:t>
            </w:r>
            <w:r>
              <w:rPr>
                <w:rFonts w:ascii="Arial" w:hAnsi="Arial" w:cs="Arial"/>
                <w:b/>
                <w:sz w:val="24"/>
                <w:szCs w:val="24"/>
              </w:rPr>
              <w:t>assessment g</w:t>
            </w:r>
            <w:r w:rsidR="00E16F41" w:rsidRPr="00E16F41">
              <w:rPr>
                <w:rFonts w:ascii="Arial" w:hAnsi="Arial" w:cs="Arial"/>
                <w:b/>
                <w:sz w:val="24"/>
                <w:szCs w:val="24"/>
              </w:rPr>
              <w:t>uideline</w:t>
            </w:r>
          </w:p>
        </w:tc>
        <w:tc>
          <w:tcPr>
            <w:tcW w:w="4508" w:type="dxa"/>
          </w:tcPr>
          <w:p w14:paraId="453F9FE7" w14:textId="5639EF98" w:rsidR="00E16F41" w:rsidRPr="00DB6655" w:rsidRDefault="00DB6655">
            <w:pPr>
              <w:rPr>
                <w:rFonts w:ascii="Arial" w:hAnsi="Arial" w:cs="Arial"/>
                <w:b/>
                <w:sz w:val="24"/>
                <w:szCs w:val="24"/>
              </w:rPr>
            </w:pPr>
            <w:r w:rsidRPr="00DB6655">
              <w:rPr>
                <w:rFonts w:ascii="Arial" w:hAnsi="Arial" w:cs="Arial"/>
                <w:b/>
                <w:sz w:val="24"/>
                <w:szCs w:val="24"/>
              </w:rPr>
              <w:t xml:space="preserve">Pages </w:t>
            </w:r>
            <w:r w:rsidR="008E54C6">
              <w:rPr>
                <w:rFonts w:ascii="Arial" w:hAnsi="Arial" w:cs="Arial"/>
                <w:b/>
                <w:sz w:val="24"/>
                <w:szCs w:val="24"/>
              </w:rPr>
              <w:t>16 - 18</w:t>
            </w:r>
          </w:p>
        </w:tc>
      </w:tr>
      <w:tr w:rsidR="00E16F41" w14:paraId="36B45922" w14:textId="77777777" w:rsidTr="00634004">
        <w:tc>
          <w:tcPr>
            <w:tcW w:w="4508" w:type="dxa"/>
          </w:tcPr>
          <w:p w14:paraId="7E1005AA" w14:textId="1BA8FDAC" w:rsidR="00E16F41" w:rsidRPr="00E16F41" w:rsidRDefault="00E16F41" w:rsidP="00634004">
            <w:pPr>
              <w:rPr>
                <w:rFonts w:ascii="Arial" w:hAnsi="Arial" w:cs="Arial"/>
                <w:sz w:val="24"/>
                <w:szCs w:val="24"/>
              </w:rPr>
            </w:pPr>
            <w:r w:rsidRPr="00E16F41">
              <w:rPr>
                <w:rFonts w:ascii="Arial" w:hAnsi="Arial" w:cs="Arial"/>
                <w:sz w:val="24"/>
                <w:szCs w:val="24"/>
              </w:rPr>
              <w:t>Expenditure Forecast Assessment Guideline: Have regard to the assessment tools in the guideline</w:t>
            </w:r>
          </w:p>
        </w:tc>
        <w:tc>
          <w:tcPr>
            <w:tcW w:w="4508" w:type="dxa"/>
          </w:tcPr>
          <w:p w14:paraId="47B64650" w14:textId="6E5C6939" w:rsidR="00E16F41" w:rsidRPr="00E16F41" w:rsidRDefault="00B32C39" w:rsidP="00634004">
            <w:pPr>
              <w:rPr>
                <w:rFonts w:ascii="Arial" w:hAnsi="Arial" w:cs="Arial"/>
                <w:sz w:val="24"/>
                <w:szCs w:val="24"/>
              </w:rPr>
            </w:pPr>
            <w:r>
              <w:rPr>
                <w:rFonts w:ascii="Arial" w:hAnsi="Arial" w:cs="Arial"/>
                <w:sz w:val="24"/>
                <w:szCs w:val="24"/>
              </w:rPr>
              <w:t>S</w:t>
            </w:r>
            <w:r w:rsidR="00E16F41" w:rsidRPr="00E16F41">
              <w:rPr>
                <w:rFonts w:ascii="Arial" w:hAnsi="Arial" w:cs="Arial"/>
                <w:sz w:val="24"/>
                <w:szCs w:val="24"/>
              </w:rPr>
              <w:t>upported.</w:t>
            </w:r>
          </w:p>
        </w:tc>
      </w:tr>
      <w:tr w:rsidR="00E16F41" w14:paraId="5668A2DC" w14:textId="77777777" w:rsidTr="00634004">
        <w:tc>
          <w:tcPr>
            <w:tcW w:w="4508" w:type="dxa"/>
          </w:tcPr>
          <w:p w14:paraId="3FCC40AC" w14:textId="5080166D" w:rsidR="00E16F41" w:rsidRPr="00E16F41" w:rsidRDefault="00A87933" w:rsidP="00634004">
            <w:pPr>
              <w:rPr>
                <w:rFonts w:ascii="Arial" w:hAnsi="Arial" w:cs="Arial"/>
                <w:b/>
                <w:sz w:val="24"/>
                <w:szCs w:val="24"/>
              </w:rPr>
            </w:pPr>
            <w:r>
              <w:rPr>
                <w:rFonts w:ascii="Arial" w:hAnsi="Arial" w:cs="Arial"/>
                <w:b/>
                <w:sz w:val="24"/>
                <w:szCs w:val="24"/>
              </w:rPr>
              <w:t xml:space="preserve">Issue 5: </w:t>
            </w:r>
            <w:r w:rsidR="00E16F41" w:rsidRPr="00E16F41">
              <w:rPr>
                <w:rFonts w:ascii="Arial" w:hAnsi="Arial" w:cs="Arial"/>
                <w:b/>
                <w:sz w:val="24"/>
                <w:szCs w:val="24"/>
              </w:rPr>
              <w:t>Depreciation</w:t>
            </w:r>
          </w:p>
        </w:tc>
        <w:tc>
          <w:tcPr>
            <w:tcW w:w="4508" w:type="dxa"/>
          </w:tcPr>
          <w:p w14:paraId="19D9DFBA" w14:textId="20F77D9C" w:rsidR="00E16F41" w:rsidRPr="00DB6655" w:rsidRDefault="00C048AF" w:rsidP="00634004">
            <w:pPr>
              <w:rPr>
                <w:rFonts w:ascii="Arial" w:hAnsi="Arial" w:cs="Arial"/>
                <w:b/>
                <w:sz w:val="24"/>
                <w:szCs w:val="24"/>
              </w:rPr>
            </w:pPr>
            <w:r>
              <w:rPr>
                <w:rFonts w:ascii="Arial" w:hAnsi="Arial" w:cs="Arial"/>
                <w:b/>
                <w:sz w:val="24"/>
                <w:szCs w:val="24"/>
              </w:rPr>
              <w:t xml:space="preserve">Pages </w:t>
            </w:r>
            <w:r w:rsidR="008E54C6">
              <w:rPr>
                <w:rFonts w:ascii="Arial" w:hAnsi="Arial" w:cs="Arial"/>
                <w:b/>
                <w:sz w:val="24"/>
                <w:szCs w:val="24"/>
              </w:rPr>
              <w:t>18-19</w:t>
            </w:r>
          </w:p>
        </w:tc>
      </w:tr>
      <w:tr w:rsidR="00E16F41" w14:paraId="2B4F1C82" w14:textId="77777777" w:rsidTr="00634004">
        <w:tc>
          <w:tcPr>
            <w:tcW w:w="4508" w:type="dxa"/>
          </w:tcPr>
          <w:p w14:paraId="073CA5EC" w14:textId="77777777" w:rsidR="00E16F41" w:rsidRPr="00E16F41" w:rsidRDefault="00E16F41" w:rsidP="00634004">
            <w:pPr>
              <w:rPr>
                <w:rFonts w:ascii="Arial" w:hAnsi="Arial" w:cs="Arial"/>
                <w:sz w:val="24"/>
                <w:szCs w:val="24"/>
              </w:rPr>
            </w:pPr>
            <w:r w:rsidRPr="00E16F41">
              <w:rPr>
                <w:rFonts w:ascii="Arial" w:hAnsi="Arial" w:cs="Arial"/>
                <w:sz w:val="24"/>
                <w:szCs w:val="24"/>
              </w:rPr>
              <w:t>Use forecast depreciation approach to establish value of the RAB as beginning and end of the 2019-24 period</w:t>
            </w:r>
          </w:p>
        </w:tc>
        <w:tc>
          <w:tcPr>
            <w:tcW w:w="4508" w:type="dxa"/>
          </w:tcPr>
          <w:p w14:paraId="3CB5F39A" w14:textId="77777777" w:rsidR="00E16F41" w:rsidRPr="00E16F41" w:rsidRDefault="00E16F41" w:rsidP="00634004">
            <w:pPr>
              <w:rPr>
                <w:rFonts w:ascii="Arial" w:hAnsi="Arial" w:cs="Arial"/>
                <w:sz w:val="24"/>
                <w:szCs w:val="24"/>
              </w:rPr>
            </w:pPr>
            <w:r w:rsidRPr="00E16F41">
              <w:rPr>
                <w:rFonts w:ascii="Arial" w:hAnsi="Arial" w:cs="Arial"/>
                <w:sz w:val="24"/>
                <w:szCs w:val="24"/>
              </w:rPr>
              <w:t>Use of forecast deprecation supported.</w:t>
            </w:r>
          </w:p>
        </w:tc>
      </w:tr>
      <w:tr w:rsidR="00E16F41" w14:paraId="510BC9D4" w14:textId="77777777" w:rsidTr="00634004">
        <w:tc>
          <w:tcPr>
            <w:tcW w:w="4508" w:type="dxa"/>
          </w:tcPr>
          <w:p w14:paraId="15057E99" w14:textId="06AD555A" w:rsidR="00E16F41" w:rsidRPr="00E16F41" w:rsidRDefault="00A87933" w:rsidP="00634004">
            <w:pPr>
              <w:rPr>
                <w:rFonts w:ascii="Arial" w:hAnsi="Arial" w:cs="Arial"/>
                <w:b/>
                <w:sz w:val="24"/>
                <w:szCs w:val="24"/>
              </w:rPr>
            </w:pPr>
            <w:r>
              <w:rPr>
                <w:rFonts w:ascii="Arial" w:hAnsi="Arial" w:cs="Arial"/>
                <w:b/>
                <w:sz w:val="24"/>
                <w:szCs w:val="24"/>
              </w:rPr>
              <w:t xml:space="preserve">Issue 6: </w:t>
            </w:r>
            <w:r w:rsidR="000A4455">
              <w:rPr>
                <w:rFonts w:ascii="Arial" w:hAnsi="Arial" w:cs="Arial"/>
                <w:b/>
                <w:sz w:val="24"/>
                <w:szCs w:val="24"/>
              </w:rPr>
              <w:t>Dual f</w:t>
            </w:r>
            <w:r w:rsidR="00E16F41" w:rsidRPr="00E16F41">
              <w:rPr>
                <w:rFonts w:ascii="Arial" w:hAnsi="Arial" w:cs="Arial"/>
                <w:b/>
                <w:sz w:val="24"/>
                <w:szCs w:val="24"/>
              </w:rPr>
              <w:t>unction assets</w:t>
            </w:r>
          </w:p>
        </w:tc>
        <w:tc>
          <w:tcPr>
            <w:tcW w:w="4508" w:type="dxa"/>
          </w:tcPr>
          <w:p w14:paraId="0ED65F1E" w14:textId="2316FE39" w:rsidR="00E16F41" w:rsidRPr="00DB6655" w:rsidRDefault="00C048AF">
            <w:pPr>
              <w:rPr>
                <w:rFonts w:ascii="Arial" w:hAnsi="Arial" w:cs="Arial"/>
                <w:b/>
                <w:sz w:val="24"/>
                <w:szCs w:val="24"/>
              </w:rPr>
            </w:pPr>
            <w:r>
              <w:rPr>
                <w:rFonts w:ascii="Arial" w:hAnsi="Arial" w:cs="Arial"/>
                <w:b/>
                <w:sz w:val="24"/>
                <w:szCs w:val="24"/>
              </w:rPr>
              <w:t>Page</w:t>
            </w:r>
            <w:r w:rsidR="008E54C6">
              <w:rPr>
                <w:rFonts w:ascii="Arial" w:hAnsi="Arial" w:cs="Arial"/>
                <w:b/>
                <w:sz w:val="24"/>
                <w:szCs w:val="24"/>
              </w:rPr>
              <w:t>s</w:t>
            </w:r>
            <w:r>
              <w:rPr>
                <w:rFonts w:ascii="Arial" w:hAnsi="Arial" w:cs="Arial"/>
                <w:b/>
                <w:sz w:val="24"/>
                <w:szCs w:val="24"/>
              </w:rPr>
              <w:t xml:space="preserve"> </w:t>
            </w:r>
            <w:r w:rsidR="008E54C6">
              <w:rPr>
                <w:rFonts w:ascii="Arial" w:hAnsi="Arial" w:cs="Arial"/>
                <w:b/>
                <w:sz w:val="24"/>
                <w:szCs w:val="24"/>
              </w:rPr>
              <w:t>19-20</w:t>
            </w:r>
          </w:p>
        </w:tc>
      </w:tr>
      <w:tr w:rsidR="00E16F41" w14:paraId="139C4DD5" w14:textId="77777777" w:rsidTr="00634004">
        <w:tc>
          <w:tcPr>
            <w:tcW w:w="4508" w:type="dxa"/>
          </w:tcPr>
          <w:p w14:paraId="4C4AB23E" w14:textId="24810EFE" w:rsidR="00E16F41" w:rsidRPr="00E16F41" w:rsidRDefault="00E16F41" w:rsidP="00634004">
            <w:pPr>
              <w:rPr>
                <w:rFonts w:ascii="Arial" w:hAnsi="Arial" w:cs="Arial"/>
                <w:sz w:val="24"/>
                <w:szCs w:val="24"/>
              </w:rPr>
            </w:pPr>
            <w:r w:rsidRPr="00E16F41">
              <w:rPr>
                <w:rFonts w:ascii="Arial" w:hAnsi="Arial" w:cs="Arial"/>
                <w:sz w:val="24"/>
                <w:szCs w:val="24"/>
              </w:rPr>
              <w:t>Apply Transmission pricing</w:t>
            </w:r>
          </w:p>
        </w:tc>
        <w:tc>
          <w:tcPr>
            <w:tcW w:w="4508" w:type="dxa"/>
          </w:tcPr>
          <w:p w14:paraId="68A4C166" w14:textId="6DAE4D70" w:rsidR="00E16F41" w:rsidRPr="00E16F41" w:rsidRDefault="00A87933" w:rsidP="00634004">
            <w:pPr>
              <w:rPr>
                <w:rFonts w:ascii="Arial" w:hAnsi="Arial" w:cs="Arial"/>
                <w:sz w:val="24"/>
                <w:szCs w:val="24"/>
              </w:rPr>
            </w:pPr>
            <w:r>
              <w:rPr>
                <w:rFonts w:ascii="Arial" w:hAnsi="Arial" w:cs="Arial"/>
                <w:sz w:val="24"/>
                <w:szCs w:val="24"/>
              </w:rPr>
              <w:t xml:space="preserve">Agreed as per </w:t>
            </w:r>
            <w:r w:rsidR="00FC6E79">
              <w:rPr>
                <w:rFonts w:ascii="Arial" w:hAnsi="Arial" w:cs="Arial"/>
                <w:sz w:val="24"/>
                <w:szCs w:val="24"/>
              </w:rPr>
              <w:t xml:space="preserve">sound practice and </w:t>
            </w:r>
            <w:r>
              <w:rPr>
                <w:rFonts w:ascii="Arial" w:hAnsi="Arial" w:cs="Arial"/>
                <w:sz w:val="24"/>
                <w:szCs w:val="24"/>
              </w:rPr>
              <w:t xml:space="preserve"> </w:t>
            </w:r>
            <w:r w:rsidR="00FC6E79">
              <w:rPr>
                <w:rFonts w:ascii="Arial" w:hAnsi="Arial" w:cs="Arial"/>
                <w:sz w:val="24"/>
                <w:szCs w:val="24"/>
              </w:rPr>
              <w:t>ActewAGL preference.</w:t>
            </w:r>
            <w:r w:rsidR="00897688">
              <w:rPr>
                <w:rFonts w:ascii="Arial" w:hAnsi="Arial" w:cs="Arial"/>
                <w:sz w:val="24"/>
                <w:szCs w:val="24"/>
              </w:rPr>
              <w:t xml:space="preserve"> Extent of dual function assets noteworthy.</w:t>
            </w:r>
          </w:p>
        </w:tc>
      </w:tr>
      <w:tr w:rsidR="00E16F41" w14:paraId="37B7D013" w14:textId="77777777" w:rsidTr="00634004">
        <w:tc>
          <w:tcPr>
            <w:tcW w:w="4508" w:type="dxa"/>
          </w:tcPr>
          <w:p w14:paraId="5CFD9141" w14:textId="758D0DCD" w:rsidR="00E16F41" w:rsidRPr="00E16F41" w:rsidRDefault="000A4455" w:rsidP="00634004">
            <w:pPr>
              <w:rPr>
                <w:rFonts w:ascii="Arial" w:hAnsi="Arial" w:cs="Arial"/>
                <w:b/>
                <w:sz w:val="24"/>
                <w:szCs w:val="24"/>
              </w:rPr>
            </w:pPr>
            <w:r>
              <w:rPr>
                <w:rFonts w:ascii="Arial" w:hAnsi="Arial" w:cs="Arial"/>
                <w:b/>
                <w:sz w:val="24"/>
                <w:szCs w:val="24"/>
              </w:rPr>
              <w:t>Consumer e</w:t>
            </w:r>
            <w:r w:rsidR="00E16F41" w:rsidRPr="00E16F41">
              <w:rPr>
                <w:rFonts w:ascii="Arial" w:hAnsi="Arial" w:cs="Arial"/>
                <w:b/>
                <w:sz w:val="24"/>
                <w:szCs w:val="24"/>
              </w:rPr>
              <w:t>ngagement</w:t>
            </w:r>
          </w:p>
        </w:tc>
        <w:tc>
          <w:tcPr>
            <w:tcW w:w="4508" w:type="dxa"/>
          </w:tcPr>
          <w:p w14:paraId="06BA64C0" w14:textId="614E3FB5" w:rsidR="00E16F41" w:rsidRPr="00DB6655" w:rsidRDefault="00C048AF" w:rsidP="00634004">
            <w:pPr>
              <w:rPr>
                <w:rFonts w:ascii="Arial" w:hAnsi="Arial" w:cs="Arial"/>
                <w:b/>
                <w:sz w:val="24"/>
                <w:szCs w:val="24"/>
              </w:rPr>
            </w:pPr>
            <w:r>
              <w:rPr>
                <w:rFonts w:ascii="Arial" w:hAnsi="Arial" w:cs="Arial"/>
                <w:b/>
                <w:sz w:val="24"/>
                <w:szCs w:val="24"/>
              </w:rPr>
              <w:t>Page</w:t>
            </w:r>
            <w:r w:rsidR="00283FC6">
              <w:rPr>
                <w:rFonts w:ascii="Arial" w:hAnsi="Arial" w:cs="Arial"/>
                <w:b/>
                <w:sz w:val="24"/>
                <w:szCs w:val="24"/>
              </w:rPr>
              <w:t>s</w:t>
            </w:r>
            <w:r>
              <w:rPr>
                <w:rFonts w:ascii="Arial" w:hAnsi="Arial" w:cs="Arial"/>
                <w:b/>
                <w:sz w:val="24"/>
                <w:szCs w:val="24"/>
              </w:rPr>
              <w:t xml:space="preserve"> 2</w:t>
            </w:r>
            <w:r w:rsidR="008E54C6">
              <w:rPr>
                <w:rFonts w:ascii="Arial" w:hAnsi="Arial" w:cs="Arial"/>
                <w:b/>
                <w:sz w:val="24"/>
                <w:szCs w:val="24"/>
              </w:rPr>
              <w:t>0</w:t>
            </w:r>
          </w:p>
        </w:tc>
      </w:tr>
      <w:tr w:rsidR="00E16F41" w14:paraId="613B7570" w14:textId="77777777" w:rsidTr="00634004">
        <w:tc>
          <w:tcPr>
            <w:tcW w:w="4508" w:type="dxa"/>
          </w:tcPr>
          <w:p w14:paraId="21B636D4" w14:textId="781DF679" w:rsidR="00E16F41" w:rsidRPr="00E16F41" w:rsidRDefault="00E16F41" w:rsidP="00634004">
            <w:pPr>
              <w:rPr>
                <w:rFonts w:ascii="Arial" w:hAnsi="Arial" w:cs="Arial"/>
                <w:sz w:val="24"/>
                <w:szCs w:val="24"/>
              </w:rPr>
            </w:pPr>
            <w:r>
              <w:rPr>
                <w:rFonts w:ascii="Arial" w:hAnsi="Arial" w:cs="Arial"/>
                <w:sz w:val="24"/>
                <w:szCs w:val="24"/>
              </w:rPr>
              <w:t>Consumer engagement is not referred to in the F&amp;A</w:t>
            </w:r>
          </w:p>
        </w:tc>
        <w:tc>
          <w:tcPr>
            <w:tcW w:w="4508" w:type="dxa"/>
          </w:tcPr>
          <w:p w14:paraId="66623942" w14:textId="13BCA2F4" w:rsidR="00E16F41" w:rsidRPr="00E16F41" w:rsidRDefault="00E16F41">
            <w:pPr>
              <w:rPr>
                <w:rFonts w:ascii="Arial" w:hAnsi="Arial" w:cs="Arial"/>
                <w:sz w:val="24"/>
                <w:szCs w:val="24"/>
              </w:rPr>
            </w:pPr>
            <w:r>
              <w:rPr>
                <w:rFonts w:ascii="Arial" w:hAnsi="Arial" w:cs="Arial"/>
                <w:sz w:val="24"/>
                <w:szCs w:val="24"/>
              </w:rPr>
              <w:t xml:space="preserve">CCP recommends final F&amp;A should refer to the imperative for </w:t>
            </w:r>
            <w:r w:rsidR="00ED6F0C">
              <w:rPr>
                <w:rFonts w:ascii="Arial" w:hAnsi="Arial" w:cs="Arial"/>
                <w:sz w:val="24"/>
                <w:szCs w:val="24"/>
              </w:rPr>
              <w:t xml:space="preserve">ActewAGL </w:t>
            </w:r>
            <w:r>
              <w:rPr>
                <w:rFonts w:ascii="Arial" w:hAnsi="Arial" w:cs="Arial"/>
                <w:sz w:val="24"/>
                <w:szCs w:val="24"/>
              </w:rPr>
              <w:t>to engage with consumers</w:t>
            </w:r>
          </w:p>
        </w:tc>
      </w:tr>
      <w:tr w:rsidR="00E16F41" w14:paraId="2FAC943E" w14:textId="77777777" w:rsidTr="00E16F41">
        <w:trPr>
          <w:trHeight w:val="1423"/>
        </w:trPr>
        <w:tc>
          <w:tcPr>
            <w:tcW w:w="4508" w:type="dxa"/>
          </w:tcPr>
          <w:p w14:paraId="41152912" w14:textId="5B50F599" w:rsidR="00E16F41" w:rsidRPr="00E16F41" w:rsidRDefault="00E16F41" w:rsidP="00634004">
            <w:pPr>
              <w:rPr>
                <w:rFonts w:ascii="Arial" w:hAnsi="Arial" w:cs="Arial"/>
                <w:sz w:val="24"/>
                <w:szCs w:val="24"/>
              </w:rPr>
            </w:pPr>
          </w:p>
          <w:p w14:paraId="63D57A25" w14:textId="414373BF" w:rsidR="00E16F41" w:rsidRPr="00E16F41" w:rsidRDefault="00E16F41" w:rsidP="00634004">
            <w:pPr>
              <w:rPr>
                <w:rFonts w:ascii="Arial" w:hAnsi="Arial" w:cs="Arial"/>
                <w:sz w:val="24"/>
                <w:szCs w:val="24"/>
              </w:rPr>
            </w:pPr>
            <w:r w:rsidRPr="00E16F41">
              <w:rPr>
                <w:rFonts w:ascii="Arial" w:hAnsi="Arial" w:cs="Arial"/>
                <w:sz w:val="24"/>
                <w:szCs w:val="24"/>
              </w:rPr>
              <w:t>Application of “Better regulation” Con</w:t>
            </w:r>
            <w:r>
              <w:rPr>
                <w:rFonts w:ascii="Arial" w:hAnsi="Arial" w:cs="Arial"/>
                <w:sz w:val="24"/>
                <w:szCs w:val="24"/>
              </w:rPr>
              <w:t>sumer Engagement Guideline</w:t>
            </w:r>
          </w:p>
        </w:tc>
        <w:tc>
          <w:tcPr>
            <w:tcW w:w="4508" w:type="dxa"/>
          </w:tcPr>
          <w:p w14:paraId="0FBBB8C8" w14:textId="26CBB979" w:rsidR="00E16F41" w:rsidRPr="00E16F41" w:rsidRDefault="00E16F41">
            <w:pPr>
              <w:rPr>
                <w:rFonts w:ascii="Arial" w:hAnsi="Arial" w:cs="Arial"/>
                <w:sz w:val="24"/>
                <w:szCs w:val="24"/>
              </w:rPr>
            </w:pPr>
            <w:r w:rsidRPr="00E16F41">
              <w:rPr>
                <w:rFonts w:ascii="Arial" w:hAnsi="Arial" w:cs="Arial"/>
                <w:sz w:val="24"/>
                <w:szCs w:val="24"/>
              </w:rPr>
              <w:t xml:space="preserve">CCP expects that the AER’s consumer engagement guideline will be applied to ‘best endeavours’ </w:t>
            </w:r>
            <w:r w:rsidR="00897688">
              <w:rPr>
                <w:rFonts w:ascii="Arial" w:hAnsi="Arial" w:cs="Arial"/>
                <w:sz w:val="24"/>
                <w:szCs w:val="24"/>
              </w:rPr>
              <w:t xml:space="preserve">by ActewAGL </w:t>
            </w:r>
            <w:r w:rsidRPr="00E16F41">
              <w:rPr>
                <w:rFonts w:ascii="Arial" w:hAnsi="Arial" w:cs="Arial"/>
                <w:sz w:val="24"/>
                <w:szCs w:val="24"/>
              </w:rPr>
              <w:t xml:space="preserve">in developing </w:t>
            </w:r>
            <w:r w:rsidR="00897688">
              <w:rPr>
                <w:rFonts w:ascii="Arial" w:hAnsi="Arial" w:cs="Arial"/>
                <w:sz w:val="24"/>
                <w:szCs w:val="24"/>
              </w:rPr>
              <w:t xml:space="preserve">their </w:t>
            </w:r>
            <w:r w:rsidRPr="00E16F41">
              <w:rPr>
                <w:rFonts w:ascii="Arial" w:hAnsi="Arial" w:cs="Arial"/>
                <w:sz w:val="24"/>
                <w:szCs w:val="24"/>
              </w:rPr>
              <w:t>regulatory proposal</w:t>
            </w:r>
            <w:r w:rsidR="00897688">
              <w:rPr>
                <w:rFonts w:ascii="Arial" w:hAnsi="Arial" w:cs="Arial"/>
                <w:sz w:val="24"/>
                <w:szCs w:val="24"/>
              </w:rPr>
              <w:t>.</w:t>
            </w:r>
          </w:p>
        </w:tc>
      </w:tr>
      <w:tr w:rsidR="008E54C6" w14:paraId="508A3BB7" w14:textId="77777777" w:rsidTr="00F417FB">
        <w:trPr>
          <w:trHeight w:val="439"/>
        </w:trPr>
        <w:tc>
          <w:tcPr>
            <w:tcW w:w="4508" w:type="dxa"/>
          </w:tcPr>
          <w:p w14:paraId="2B8D907E" w14:textId="6221C19B" w:rsidR="008E54C6" w:rsidRPr="00F417FB" w:rsidRDefault="008E54C6" w:rsidP="00634004">
            <w:pPr>
              <w:rPr>
                <w:rFonts w:ascii="Arial" w:hAnsi="Arial" w:cs="Arial"/>
                <w:b/>
                <w:sz w:val="24"/>
                <w:szCs w:val="24"/>
              </w:rPr>
            </w:pPr>
            <w:r w:rsidRPr="00F417FB">
              <w:rPr>
                <w:rFonts w:ascii="Arial" w:hAnsi="Arial" w:cs="Arial"/>
                <w:b/>
                <w:sz w:val="24"/>
                <w:szCs w:val="24"/>
              </w:rPr>
              <w:t>Streetlighting</w:t>
            </w:r>
          </w:p>
        </w:tc>
        <w:tc>
          <w:tcPr>
            <w:tcW w:w="4508" w:type="dxa"/>
          </w:tcPr>
          <w:p w14:paraId="70ED0949" w14:textId="6B4943EE" w:rsidR="008E54C6" w:rsidRPr="00F417FB" w:rsidRDefault="008E54C6">
            <w:pPr>
              <w:rPr>
                <w:rFonts w:ascii="Arial" w:hAnsi="Arial" w:cs="Arial"/>
                <w:b/>
                <w:sz w:val="24"/>
                <w:szCs w:val="24"/>
              </w:rPr>
            </w:pPr>
            <w:r w:rsidRPr="00F417FB">
              <w:rPr>
                <w:rFonts w:ascii="Arial" w:hAnsi="Arial" w:cs="Arial"/>
                <w:b/>
                <w:sz w:val="24"/>
                <w:szCs w:val="24"/>
              </w:rPr>
              <w:t>Page 21</w:t>
            </w:r>
          </w:p>
        </w:tc>
      </w:tr>
      <w:tr w:rsidR="008E54C6" w14:paraId="7DC2CA42" w14:textId="77777777" w:rsidTr="00F417FB">
        <w:trPr>
          <w:trHeight w:val="984"/>
        </w:trPr>
        <w:tc>
          <w:tcPr>
            <w:tcW w:w="4508" w:type="dxa"/>
          </w:tcPr>
          <w:p w14:paraId="37F8EF48" w14:textId="22893D91" w:rsidR="008E54C6" w:rsidRPr="00E16F41" w:rsidRDefault="008E54C6" w:rsidP="00634004">
            <w:pPr>
              <w:rPr>
                <w:rFonts w:ascii="Arial" w:hAnsi="Arial" w:cs="Arial"/>
                <w:sz w:val="24"/>
                <w:szCs w:val="24"/>
              </w:rPr>
            </w:pPr>
            <w:r>
              <w:rPr>
                <w:rFonts w:ascii="Arial" w:hAnsi="Arial" w:cs="Arial"/>
                <w:sz w:val="24"/>
                <w:szCs w:val="24"/>
              </w:rPr>
              <w:t>Streetlighting is the responsibility of the ACT Government and so is not a matter for consideration for ActewAGL</w:t>
            </w:r>
          </w:p>
        </w:tc>
        <w:tc>
          <w:tcPr>
            <w:tcW w:w="4508" w:type="dxa"/>
          </w:tcPr>
          <w:p w14:paraId="6400622A" w14:textId="3DF6D295" w:rsidR="008E54C6" w:rsidRPr="00E16F41" w:rsidRDefault="008E54C6">
            <w:pPr>
              <w:rPr>
                <w:rFonts w:ascii="Arial" w:hAnsi="Arial" w:cs="Arial"/>
                <w:sz w:val="24"/>
                <w:szCs w:val="24"/>
              </w:rPr>
            </w:pPr>
            <w:r>
              <w:rPr>
                <w:rFonts w:ascii="Arial" w:hAnsi="Arial" w:cs="Arial"/>
                <w:sz w:val="24"/>
                <w:szCs w:val="24"/>
              </w:rPr>
              <w:t>Agreed</w:t>
            </w:r>
          </w:p>
        </w:tc>
      </w:tr>
    </w:tbl>
    <w:p w14:paraId="221411AB" w14:textId="70971525" w:rsidR="00A87933" w:rsidRPr="00A619FA" w:rsidRDefault="003328BF" w:rsidP="001B6823">
      <w:pPr>
        <w:rPr>
          <w:rFonts w:ascii="Arial" w:hAnsi="Arial" w:cs="Arial"/>
          <w:sz w:val="16"/>
          <w:szCs w:val="16"/>
        </w:rPr>
      </w:pPr>
      <w:r w:rsidRPr="00A619FA">
        <w:rPr>
          <w:rFonts w:ascii="Arial" w:hAnsi="Arial" w:cs="Arial"/>
          <w:sz w:val="16"/>
          <w:szCs w:val="16"/>
        </w:rPr>
        <w:t xml:space="preserve">Source: Compiled by Consumer Challenge Panel using AER Preliminary Framework and Approach, </w:t>
      </w:r>
      <w:r w:rsidR="00ED6F0C">
        <w:rPr>
          <w:rFonts w:ascii="Arial" w:hAnsi="Arial" w:cs="Arial"/>
          <w:sz w:val="16"/>
          <w:szCs w:val="16"/>
        </w:rPr>
        <w:t xml:space="preserve">ActewAGL </w:t>
      </w:r>
      <w:r w:rsidRPr="00A619FA">
        <w:rPr>
          <w:rFonts w:ascii="Arial" w:hAnsi="Arial" w:cs="Arial"/>
          <w:sz w:val="16"/>
          <w:szCs w:val="16"/>
        </w:rPr>
        <w:t>Distribution, 2019-24.</w:t>
      </w:r>
    </w:p>
    <w:p w14:paraId="57E94002" w14:textId="77777777" w:rsidR="001F5E7F" w:rsidRDefault="001F5E7F" w:rsidP="000A4455">
      <w:pPr>
        <w:pStyle w:val="Heading1"/>
        <w:numPr>
          <w:ilvl w:val="0"/>
          <w:numId w:val="5"/>
        </w:numPr>
        <w:ind w:hanging="720"/>
      </w:pPr>
      <w:r w:rsidRPr="00F25236">
        <w:t>Background</w:t>
      </w:r>
    </w:p>
    <w:p w14:paraId="38AD59D2" w14:textId="77777777" w:rsidR="000A4455" w:rsidRPr="000A4455" w:rsidRDefault="000A4455" w:rsidP="000A4455">
      <w:pPr>
        <w:spacing w:after="0"/>
      </w:pPr>
    </w:p>
    <w:p w14:paraId="2A4967D7" w14:textId="0D3CBABF" w:rsidR="001F5E7F" w:rsidRDefault="0041703F" w:rsidP="000A4455">
      <w:pPr>
        <w:pStyle w:val="ListParagraph"/>
        <w:numPr>
          <w:ilvl w:val="0"/>
          <w:numId w:val="6"/>
        </w:numPr>
        <w:spacing w:after="0"/>
        <w:rPr>
          <w:rFonts w:ascii="Arial" w:hAnsi="Arial" w:cs="Arial"/>
          <w:sz w:val="24"/>
          <w:szCs w:val="24"/>
        </w:rPr>
      </w:pPr>
      <w:r>
        <w:rPr>
          <w:rFonts w:ascii="Arial" w:hAnsi="Arial" w:cs="Arial"/>
          <w:sz w:val="24"/>
          <w:szCs w:val="24"/>
        </w:rPr>
        <w:t xml:space="preserve">Meeting with </w:t>
      </w:r>
      <w:r w:rsidR="00ED6F0C">
        <w:rPr>
          <w:rFonts w:ascii="Arial" w:hAnsi="Arial" w:cs="Arial"/>
          <w:sz w:val="24"/>
          <w:szCs w:val="24"/>
        </w:rPr>
        <w:t>ActewAGL</w:t>
      </w:r>
      <w:r>
        <w:rPr>
          <w:rFonts w:ascii="Arial" w:hAnsi="Arial" w:cs="Arial"/>
          <w:sz w:val="24"/>
          <w:szCs w:val="24"/>
        </w:rPr>
        <w:t>:</w:t>
      </w:r>
    </w:p>
    <w:p w14:paraId="6B6FE17A" w14:textId="3D8139F7" w:rsidR="0041703F" w:rsidRDefault="00F21C61" w:rsidP="0041703F">
      <w:pPr>
        <w:pStyle w:val="ListParagraph"/>
        <w:numPr>
          <w:ilvl w:val="1"/>
          <w:numId w:val="6"/>
        </w:numPr>
        <w:rPr>
          <w:rFonts w:ascii="Arial" w:hAnsi="Arial" w:cs="Arial"/>
          <w:sz w:val="24"/>
          <w:szCs w:val="24"/>
        </w:rPr>
      </w:pPr>
      <w:r>
        <w:rPr>
          <w:rFonts w:ascii="Arial" w:hAnsi="Arial" w:cs="Arial"/>
          <w:sz w:val="24"/>
          <w:szCs w:val="24"/>
        </w:rPr>
        <w:t>3</w:t>
      </w:r>
      <w:r w:rsidR="0041703F">
        <w:rPr>
          <w:rFonts w:ascii="Arial" w:hAnsi="Arial" w:cs="Arial"/>
          <w:sz w:val="24"/>
          <w:szCs w:val="24"/>
        </w:rPr>
        <w:t xml:space="preserve"> members of </w:t>
      </w:r>
      <w:r w:rsidR="000A4455">
        <w:rPr>
          <w:rFonts w:ascii="Arial" w:hAnsi="Arial" w:cs="Arial"/>
          <w:sz w:val="24"/>
          <w:szCs w:val="24"/>
        </w:rPr>
        <w:t xml:space="preserve">CCP </w:t>
      </w:r>
      <w:r w:rsidR="0041703F">
        <w:rPr>
          <w:rFonts w:ascii="Arial" w:hAnsi="Arial" w:cs="Arial"/>
          <w:sz w:val="24"/>
          <w:szCs w:val="24"/>
        </w:rPr>
        <w:t xml:space="preserve">sub-panel 10 met with the CEO and </w:t>
      </w:r>
      <w:r w:rsidR="009C7D31">
        <w:rPr>
          <w:rFonts w:ascii="Arial" w:hAnsi="Arial" w:cs="Arial"/>
          <w:sz w:val="24"/>
          <w:szCs w:val="24"/>
        </w:rPr>
        <w:t>other senior executives</w:t>
      </w:r>
      <w:r w:rsidR="0041703F">
        <w:rPr>
          <w:rFonts w:ascii="Arial" w:hAnsi="Arial" w:cs="Arial"/>
          <w:sz w:val="24"/>
          <w:szCs w:val="24"/>
        </w:rPr>
        <w:t xml:space="preserve"> of </w:t>
      </w:r>
      <w:r>
        <w:rPr>
          <w:rFonts w:ascii="Arial" w:hAnsi="Arial" w:cs="Arial"/>
          <w:sz w:val="24"/>
          <w:szCs w:val="24"/>
        </w:rPr>
        <w:t>ActewAGL</w:t>
      </w:r>
      <w:r w:rsidR="0041703F">
        <w:rPr>
          <w:rFonts w:ascii="Arial" w:hAnsi="Arial" w:cs="Arial"/>
          <w:sz w:val="24"/>
          <w:szCs w:val="24"/>
        </w:rPr>
        <w:t xml:space="preserve"> on </w:t>
      </w:r>
      <w:r>
        <w:rPr>
          <w:rFonts w:ascii="Arial" w:hAnsi="Arial" w:cs="Arial"/>
          <w:sz w:val="24"/>
          <w:szCs w:val="24"/>
        </w:rPr>
        <w:t>30</w:t>
      </w:r>
      <w:r w:rsidRPr="00F417FB">
        <w:rPr>
          <w:rFonts w:ascii="Arial" w:hAnsi="Arial" w:cs="Arial"/>
          <w:sz w:val="24"/>
          <w:szCs w:val="24"/>
          <w:vertAlign w:val="superscript"/>
        </w:rPr>
        <w:t>th</w:t>
      </w:r>
      <w:r w:rsidR="0041703F">
        <w:rPr>
          <w:rFonts w:ascii="Arial" w:hAnsi="Arial" w:cs="Arial"/>
          <w:sz w:val="24"/>
          <w:szCs w:val="24"/>
        </w:rPr>
        <w:t xml:space="preserve"> March 2017</w:t>
      </w:r>
    </w:p>
    <w:p w14:paraId="500FE69E" w14:textId="77777777" w:rsidR="000A4455" w:rsidRPr="00324D26" w:rsidRDefault="000A4455" w:rsidP="000A4455">
      <w:pPr>
        <w:pStyle w:val="ListParagraph"/>
        <w:ind w:left="1440"/>
        <w:rPr>
          <w:rFonts w:ascii="Arial" w:hAnsi="Arial" w:cs="Arial"/>
          <w:sz w:val="24"/>
          <w:szCs w:val="24"/>
        </w:rPr>
      </w:pPr>
    </w:p>
    <w:p w14:paraId="5D217826" w14:textId="649E71EB" w:rsidR="003C6AEA" w:rsidRDefault="009C7D31" w:rsidP="00324D26">
      <w:pPr>
        <w:pStyle w:val="ListParagraph"/>
        <w:numPr>
          <w:ilvl w:val="0"/>
          <w:numId w:val="6"/>
        </w:numPr>
        <w:rPr>
          <w:rFonts w:ascii="Arial" w:hAnsi="Arial" w:cs="Arial"/>
          <w:sz w:val="24"/>
          <w:szCs w:val="24"/>
        </w:rPr>
      </w:pPr>
      <w:r>
        <w:rPr>
          <w:rFonts w:ascii="Arial" w:hAnsi="Arial" w:cs="Arial"/>
          <w:sz w:val="24"/>
          <w:szCs w:val="24"/>
        </w:rPr>
        <w:lastRenderedPageBreak/>
        <w:t>Consultation</w:t>
      </w:r>
      <w:r w:rsidR="003C6AEA" w:rsidRPr="00324D26">
        <w:rPr>
          <w:rFonts w:ascii="Arial" w:hAnsi="Arial" w:cs="Arial"/>
          <w:sz w:val="24"/>
          <w:szCs w:val="24"/>
        </w:rPr>
        <w:t xml:space="preserve"> with consumer interest groups</w:t>
      </w:r>
      <w:r>
        <w:rPr>
          <w:rFonts w:ascii="Arial" w:hAnsi="Arial" w:cs="Arial"/>
          <w:sz w:val="24"/>
          <w:szCs w:val="24"/>
        </w:rPr>
        <w:t>:</w:t>
      </w:r>
    </w:p>
    <w:p w14:paraId="234282E9" w14:textId="0903A503" w:rsidR="003328BF" w:rsidRPr="00A619FA" w:rsidRDefault="003328BF" w:rsidP="00A619FA">
      <w:pPr>
        <w:pStyle w:val="ListParagraph"/>
        <w:numPr>
          <w:ilvl w:val="1"/>
          <w:numId w:val="6"/>
        </w:numPr>
        <w:rPr>
          <w:rFonts w:ascii="Arial" w:hAnsi="Arial" w:cs="Arial"/>
          <w:sz w:val="24"/>
          <w:szCs w:val="24"/>
        </w:rPr>
      </w:pPr>
      <w:r>
        <w:rPr>
          <w:rFonts w:ascii="Arial" w:hAnsi="Arial" w:cs="Arial"/>
          <w:sz w:val="24"/>
          <w:szCs w:val="24"/>
        </w:rPr>
        <w:t xml:space="preserve">Mark Henley met </w:t>
      </w:r>
      <w:r w:rsidR="009A4241">
        <w:rPr>
          <w:rFonts w:ascii="Arial" w:hAnsi="Arial" w:cs="Arial"/>
          <w:sz w:val="24"/>
          <w:szCs w:val="24"/>
        </w:rPr>
        <w:t xml:space="preserve">informally </w:t>
      </w:r>
      <w:r>
        <w:rPr>
          <w:rFonts w:ascii="Arial" w:hAnsi="Arial" w:cs="Arial"/>
          <w:sz w:val="24"/>
          <w:szCs w:val="24"/>
        </w:rPr>
        <w:t xml:space="preserve">with </w:t>
      </w:r>
      <w:r w:rsidR="009A4241">
        <w:rPr>
          <w:rFonts w:ascii="Arial" w:hAnsi="Arial" w:cs="Arial"/>
          <w:sz w:val="24"/>
          <w:szCs w:val="24"/>
        </w:rPr>
        <w:t>a couple of consumer advocates on 30</w:t>
      </w:r>
      <w:r w:rsidR="009A4241" w:rsidRPr="00F417FB">
        <w:rPr>
          <w:rFonts w:ascii="Arial" w:hAnsi="Arial" w:cs="Arial"/>
          <w:sz w:val="24"/>
          <w:szCs w:val="24"/>
          <w:vertAlign w:val="superscript"/>
        </w:rPr>
        <w:t>th</w:t>
      </w:r>
      <w:r w:rsidR="009A4241">
        <w:rPr>
          <w:rFonts w:ascii="Arial" w:hAnsi="Arial" w:cs="Arial"/>
          <w:sz w:val="24"/>
          <w:szCs w:val="24"/>
        </w:rPr>
        <w:t xml:space="preserve"> </w:t>
      </w:r>
      <w:r>
        <w:rPr>
          <w:rFonts w:ascii="Arial" w:hAnsi="Arial" w:cs="Arial"/>
          <w:sz w:val="24"/>
          <w:szCs w:val="24"/>
        </w:rPr>
        <w:t>March</w:t>
      </w:r>
      <w:r w:rsidR="00922A12">
        <w:rPr>
          <w:rFonts w:ascii="Arial" w:hAnsi="Arial" w:cs="Arial"/>
          <w:sz w:val="24"/>
          <w:szCs w:val="24"/>
        </w:rPr>
        <w:t xml:space="preserve"> 2017</w:t>
      </w:r>
    </w:p>
    <w:p w14:paraId="0F51D7E2" w14:textId="3E36D620" w:rsidR="001F5E7F" w:rsidRPr="00F25236" w:rsidRDefault="001F5E7F" w:rsidP="00324D26">
      <w:pPr>
        <w:pStyle w:val="Heading1"/>
        <w:numPr>
          <w:ilvl w:val="0"/>
          <w:numId w:val="5"/>
        </w:numPr>
        <w:ind w:hanging="720"/>
      </w:pPr>
      <w:r w:rsidRPr="00F25236">
        <w:t>Issue 1</w:t>
      </w:r>
      <w:r w:rsidR="0070547B">
        <w:t>: Classification of distribution services</w:t>
      </w:r>
    </w:p>
    <w:p w14:paraId="30B9AED7" w14:textId="6BDE27AC" w:rsidR="00D338B5" w:rsidRPr="00740014" w:rsidRDefault="00740014" w:rsidP="00D338B5">
      <w:pPr>
        <w:pStyle w:val="Heading3"/>
        <w:rPr>
          <w:rFonts w:ascii="Arial" w:hAnsi="Arial" w:cs="Arial"/>
          <w:b w:val="0"/>
          <w:color w:val="000000" w:themeColor="text1"/>
          <w:sz w:val="24"/>
          <w:szCs w:val="24"/>
        </w:rPr>
      </w:pPr>
      <w:r>
        <w:rPr>
          <w:rFonts w:ascii="Arial" w:hAnsi="Arial" w:cs="Arial"/>
          <w:b w:val="0"/>
          <w:color w:val="000000" w:themeColor="text1"/>
          <w:sz w:val="24"/>
          <w:szCs w:val="24"/>
        </w:rPr>
        <w:t xml:space="preserve">The classification of services </w:t>
      </w:r>
      <w:r w:rsidR="0011334C">
        <w:rPr>
          <w:rFonts w:ascii="Arial" w:hAnsi="Arial" w:cs="Arial"/>
          <w:b w:val="0"/>
          <w:color w:val="000000" w:themeColor="text1"/>
          <w:sz w:val="24"/>
          <w:szCs w:val="24"/>
        </w:rPr>
        <w:t xml:space="preserve">by the AER </w:t>
      </w:r>
      <w:r>
        <w:rPr>
          <w:rFonts w:ascii="Arial" w:hAnsi="Arial" w:cs="Arial"/>
          <w:b w:val="0"/>
          <w:color w:val="000000" w:themeColor="text1"/>
          <w:sz w:val="24"/>
          <w:szCs w:val="24"/>
        </w:rPr>
        <w:t>affects the costs that can be recovered by</w:t>
      </w:r>
      <w:r w:rsidR="009A4241">
        <w:rPr>
          <w:rFonts w:ascii="Arial" w:hAnsi="Arial" w:cs="Arial"/>
          <w:b w:val="0"/>
          <w:color w:val="000000" w:themeColor="text1"/>
          <w:sz w:val="24"/>
          <w:szCs w:val="24"/>
        </w:rPr>
        <w:t xml:space="preserve"> </w:t>
      </w:r>
      <w:r w:rsidR="009A4241" w:rsidRPr="00F417FB">
        <w:rPr>
          <w:rFonts w:ascii="Arial" w:hAnsi="Arial" w:cs="Arial"/>
          <w:b w:val="0"/>
          <w:color w:val="auto"/>
          <w:sz w:val="24"/>
          <w:szCs w:val="24"/>
        </w:rPr>
        <w:t>ActewAGL</w:t>
      </w:r>
      <w:r>
        <w:rPr>
          <w:rFonts w:ascii="Arial" w:hAnsi="Arial" w:cs="Arial"/>
          <w:b w:val="0"/>
          <w:color w:val="000000" w:themeColor="text1"/>
          <w:sz w:val="24"/>
          <w:szCs w:val="24"/>
        </w:rPr>
        <w:t>, where those services are classified as direct control services and regulated by th</w:t>
      </w:r>
      <w:r w:rsidR="0011334C">
        <w:rPr>
          <w:rFonts w:ascii="Arial" w:hAnsi="Arial" w:cs="Arial"/>
          <w:b w:val="0"/>
          <w:color w:val="000000" w:themeColor="text1"/>
          <w:sz w:val="24"/>
          <w:szCs w:val="24"/>
        </w:rPr>
        <w:t>e AER. The introduction of the Ring-fencing G</w:t>
      </w:r>
      <w:r>
        <w:rPr>
          <w:rFonts w:ascii="Arial" w:hAnsi="Arial" w:cs="Arial"/>
          <w:b w:val="0"/>
          <w:color w:val="000000" w:themeColor="text1"/>
          <w:sz w:val="24"/>
          <w:szCs w:val="24"/>
        </w:rPr>
        <w:t xml:space="preserve">uideline </w:t>
      </w:r>
      <w:r w:rsidR="0011334C">
        <w:rPr>
          <w:rFonts w:ascii="Arial" w:hAnsi="Arial" w:cs="Arial"/>
          <w:b w:val="0"/>
          <w:color w:val="000000" w:themeColor="text1"/>
          <w:sz w:val="24"/>
          <w:szCs w:val="24"/>
        </w:rPr>
        <w:t xml:space="preserve">electricity distribution (the Ring-fencing guideline) </w:t>
      </w:r>
      <w:r>
        <w:rPr>
          <w:rFonts w:ascii="Arial" w:hAnsi="Arial" w:cs="Arial"/>
          <w:b w:val="0"/>
          <w:color w:val="000000" w:themeColor="text1"/>
          <w:sz w:val="24"/>
          <w:szCs w:val="24"/>
        </w:rPr>
        <w:t>in November 2016</w:t>
      </w:r>
      <w:r w:rsidR="00DA1A54">
        <w:rPr>
          <w:rStyle w:val="FootnoteReference"/>
          <w:rFonts w:ascii="Arial" w:hAnsi="Arial" w:cs="Arial"/>
          <w:b w:val="0"/>
          <w:color w:val="000000" w:themeColor="text1"/>
          <w:sz w:val="24"/>
          <w:szCs w:val="24"/>
        </w:rPr>
        <w:footnoteReference w:id="2"/>
      </w:r>
      <w:r>
        <w:rPr>
          <w:rFonts w:ascii="Arial" w:hAnsi="Arial" w:cs="Arial"/>
          <w:b w:val="0"/>
          <w:color w:val="000000" w:themeColor="text1"/>
          <w:sz w:val="24"/>
          <w:szCs w:val="24"/>
        </w:rPr>
        <w:t xml:space="preserve"> also affects the distributors by </w:t>
      </w:r>
      <w:r w:rsidR="003328BF">
        <w:rPr>
          <w:rFonts w:ascii="Arial" w:hAnsi="Arial" w:cs="Arial"/>
          <w:b w:val="0"/>
          <w:color w:val="000000" w:themeColor="text1"/>
          <w:sz w:val="24"/>
          <w:szCs w:val="24"/>
        </w:rPr>
        <w:t xml:space="preserve">requiring </w:t>
      </w:r>
      <w:r>
        <w:rPr>
          <w:rFonts w:ascii="Arial" w:hAnsi="Arial" w:cs="Arial"/>
          <w:b w:val="0"/>
          <w:color w:val="000000" w:themeColor="text1"/>
          <w:sz w:val="24"/>
          <w:szCs w:val="24"/>
        </w:rPr>
        <w:t>them to separate the provision of unclassified services</w:t>
      </w:r>
      <w:r w:rsidR="0011334C">
        <w:rPr>
          <w:rFonts w:ascii="Arial" w:hAnsi="Arial" w:cs="Arial"/>
          <w:b w:val="0"/>
          <w:color w:val="000000" w:themeColor="text1"/>
          <w:sz w:val="24"/>
          <w:szCs w:val="24"/>
        </w:rPr>
        <w:t xml:space="preserve"> and passing them to a ring-fenced affiliate</w:t>
      </w:r>
      <w:r>
        <w:rPr>
          <w:rFonts w:ascii="Arial" w:hAnsi="Arial" w:cs="Arial"/>
          <w:b w:val="0"/>
          <w:color w:val="000000" w:themeColor="text1"/>
          <w:sz w:val="24"/>
          <w:szCs w:val="24"/>
        </w:rPr>
        <w:t>.</w:t>
      </w:r>
      <w:r w:rsidR="00DA1A54">
        <w:rPr>
          <w:rFonts w:ascii="Arial" w:hAnsi="Arial" w:cs="Arial"/>
          <w:b w:val="0"/>
          <w:color w:val="000000" w:themeColor="text1"/>
          <w:sz w:val="24"/>
          <w:szCs w:val="24"/>
        </w:rPr>
        <w:t xml:space="preserve"> The F&amp;A classification decis</w:t>
      </w:r>
      <w:r w:rsidR="00A177BD">
        <w:rPr>
          <w:rFonts w:ascii="Arial" w:hAnsi="Arial" w:cs="Arial"/>
          <w:b w:val="0"/>
          <w:color w:val="000000" w:themeColor="text1"/>
          <w:sz w:val="24"/>
          <w:szCs w:val="24"/>
        </w:rPr>
        <w:t>ions directly impact</w:t>
      </w:r>
      <w:r w:rsidR="00DA1A54">
        <w:rPr>
          <w:rFonts w:ascii="Arial" w:hAnsi="Arial" w:cs="Arial"/>
          <w:b w:val="0"/>
          <w:color w:val="000000" w:themeColor="text1"/>
          <w:sz w:val="24"/>
          <w:szCs w:val="24"/>
        </w:rPr>
        <w:t xml:space="preserve"> the distributors</w:t>
      </w:r>
      <w:r w:rsidR="00A177BD">
        <w:rPr>
          <w:rFonts w:ascii="Arial" w:hAnsi="Arial" w:cs="Arial"/>
          <w:b w:val="0"/>
          <w:color w:val="000000" w:themeColor="text1"/>
          <w:sz w:val="24"/>
          <w:szCs w:val="24"/>
        </w:rPr>
        <w:t>’</w:t>
      </w:r>
      <w:r w:rsidR="00DA1A54">
        <w:rPr>
          <w:rFonts w:ascii="Arial" w:hAnsi="Arial" w:cs="Arial"/>
          <w:b w:val="0"/>
          <w:color w:val="000000" w:themeColor="text1"/>
          <w:sz w:val="24"/>
          <w:szCs w:val="24"/>
        </w:rPr>
        <w:t xml:space="preserve"> ring-fencing obligations</w:t>
      </w:r>
      <w:r w:rsidR="0011334C">
        <w:rPr>
          <w:rFonts w:ascii="Arial" w:hAnsi="Arial" w:cs="Arial"/>
          <w:b w:val="0"/>
          <w:color w:val="000000" w:themeColor="text1"/>
          <w:sz w:val="24"/>
          <w:szCs w:val="24"/>
        </w:rPr>
        <w:t xml:space="preserve"> under the </w:t>
      </w:r>
      <w:r w:rsidR="00657634">
        <w:rPr>
          <w:rFonts w:ascii="Arial" w:hAnsi="Arial" w:cs="Arial"/>
          <w:b w:val="0"/>
          <w:color w:val="000000" w:themeColor="text1"/>
          <w:sz w:val="24"/>
          <w:szCs w:val="24"/>
        </w:rPr>
        <w:t>R</w:t>
      </w:r>
      <w:r w:rsidR="00E04A93">
        <w:rPr>
          <w:rFonts w:ascii="Arial" w:hAnsi="Arial" w:cs="Arial"/>
          <w:b w:val="0"/>
          <w:color w:val="000000" w:themeColor="text1"/>
          <w:sz w:val="24"/>
          <w:szCs w:val="24"/>
        </w:rPr>
        <w:t>ing-fencing guideline</w:t>
      </w:r>
      <w:r w:rsidR="00DA1A54">
        <w:rPr>
          <w:rFonts w:ascii="Arial" w:hAnsi="Arial" w:cs="Arial"/>
          <w:b w:val="0"/>
          <w:color w:val="000000" w:themeColor="text1"/>
          <w:sz w:val="24"/>
          <w:szCs w:val="24"/>
        </w:rPr>
        <w:t>.</w:t>
      </w:r>
      <w:r w:rsidR="00E04A93">
        <w:rPr>
          <w:rFonts w:ascii="Arial" w:hAnsi="Arial" w:cs="Arial"/>
          <w:b w:val="0"/>
          <w:color w:val="000000" w:themeColor="text1"/>
          <w:sz w:val="24"/>
          <w:szCs w:val="24"/>
        </w:rPr>
        <w:t xml:space="preserve"> The CCP also notes that the Australian Energy Market Commission (AEMC) is cu</w:t>
      </w:r>
      <w:r w:rsidR="0011334C">
        <w:rPr>
          <w:rFonts w:ascii="Arial" w:hAnsi="Arial" w:cs="Arial"/>
          <w:b w:val="0"/>
          <w:color w:val="000000" w:themeColor="text1"/>
          <w:sz w:val="24"/>
          <w:szCs w:val="24"/>
        </w:rPr>
        <w:t>rrently assessing rule</w:t>
      </w:r>
      <w:r w:rsidR="00E04A93">
        <w:rPr>
          <w:rFonts w:ascii="Arial" w:hAnsi="Arial" w:cs="Arial"/>
          <w:b w:val="0"/>
          <w:color w:val="000000" w:themeColor="text1"/>
          <w:sz w:val="24"/>
          <w:szCs w:val="24"/>
        </w:rPr>
        <w:t xml:space="preserve"> change</w:t>
      </w:r>
      <w:r w:rsidR="00657634">
        <w:rPr>
          <w:rFonts w:ascii="Arial" w:hAnsi="Arial" w:cs="Arial"/>
          <w:b w:val="0"/>
          <w:color w:val="000000" w:themeColor="text1"/>
          <w:sz w:val="24"/>
          <w:szCs w:val="24"/>
        </w:rPr>
        <w:t>s</w:t>
      </w:r>
      <w:r w:rsidR="00E04A93">
        <w:rPr>
          <w:rFonts w:ascii="Arial" w:hAnsi="Arial" w:cs="Arial"/>
          <w:b w:val="0"/>
          <w:color w:val="000000" w:themeColor="text1"/>
          <w:sz w:val="24"/>
          <w:szCs w:val="24"/>
        </w:rPr>
        <w:t xml:space="preserve"> proposals from the COAG </w:t>
      </w:r>
      <w:r w:rsidR="00657634">
        <w:rPr>
          <w:rFonts w:ascii="Arial" w:hAnsi="Arial" w:cs="Arial"/>
          <w:b w:val="0"/>
          <w:color w:val="000000" w:themeColor="text1"/>
          <w:sz w:val="24"/>
          <w:szCs w:val="24"/>
        </w:rPr>
        <w:t xml:space="preserve">Energy </w:t>
      </w:r>
      <w:r w:rsidR="00E04A93">
        <w:rPr>
          <w:rFonts w:ascii="Arial" w:hAnsi="Arial" w:cs="Arial"/>
          <w:b w:val="0"/>
          <w:color w:val="000000" w:themeColor="text1"/>
          <w:sz w:val="24"/>
          <w:szCs w:val="24"/>
        </w:rPr>
        <w:t>Council and Australian Energy Council</w:t>
      </w:r>
      <w:r w:rsidR="00A177BD">
        <w:rPr>
          <w:rFonts w:ascii="Arial" w:hAnsi="Arial" w:cs="Arial"/>
          <w:b w:val="0"/>
          <w:color w:val="000000" w:themeColor="text1"/>
          <w:sz w:val="24"/>
          <w:szCs w:val="24"/>
        </w:rPr>
        <w:t xml:space="preserve"> on the contestability of energy services.</w:t>
      </w:r>
    </w:p>
    <w:p w14:paraId="51D3AF59" w14:textId="1C78F46F" w:rsidR="00F25236" w:rsidRDefault="00D338B5" w:rsidP="00BA02FF">
      <w:pPr>
        <w:pStyle w:val="Heading3"/>
        <w:rPr>
          <w:rFonts w:ascii="Arial" w:hAnsi="Arial" w:cs="Arial"/>
          <w:sz w:val="24"/>
          <w:szCs w:val="24"/>
        </w:rPr>
      </w:pPr>
      <w:r w:rsidRPr="008E0BA9">
        <w:rPr>
          <w:rFonts w:ascii="Arial" w:hAnsi="Arial" w:cs="Arial"/>
          <w:sz w:val="24"/>
          <w:szCs w:val="24"/>
        </w:rPr>
        <w:t>AER</w:t>
      </w:r>
      <w:r w:rsidR="00A04FA4">
        <w:rPr>
          <w:rFonts w:ascii="Arial" w:hAnsi="Arial" w:cs="Arial"/>
          <w:sz w:val="24"/>
          <w:szCs w:val="24"/>
        </w:rPr>
        <w:t>’s</w:t>
      </w:r>
      <w:r>
        <w:rPr>
          <w:rFonts w:ascii="Arial" w:hAnsi="Arial" w:cs="Arial"/>
          <w:sz w:val="24"/>
          <w:szCs w:val="24"/>
        </w:rPr>
        <w:t xml:space="preserve"> </w:t>
      </w:r>
      <w:r w:rsidR="00A04FA4">
        <w:rPr>
          <w:rFonts w:ascii="Arial" w:hAnsi="Arial" w:cs="Arial"/>
          <w:sz w:val="24"/>
          <w:szCs w:val="24"/>
        </w:rPr>
        <w:t>p</w:t>
      </w:r>
      <w:r w:rsidRPr="008E0BA9">
        <w:rPr>
          <w:rFonts w:ascii="Arial" w:hAnsi="Arial" w:cs="Arial"/>
          <w:sz w:val="24"/>
          <w:szCs w:val="24"/>
        </w:rPr>
        <w:t xml:space="preserve">reliminary </w:t>
      </w:r>
      <w:r>
        <w:rPr>
          <w:rFonts w:ascii="Arial" w:hAnsi="Arial" w:cs="Arial"/>
          <w:sz w:val="24"/>
          <w:szCs w:val="24"/>
        </w:rPr>
        <w:t xml:space="preserve">position </w:t>
      </w:r>
    </w:p>
    <w:p w14:paraId="18E95362" w14:textId="05ED094B" w:rsidR="00886A88" w:rsidRPr="00886A88" w:rsidRDefault="00886A88" w:rsidP="00886A88">
      <w:pPr>
        <w:rPr>
          <w:rFonts w:ascii="Arial" w:hAnsi="Arial" w:cs="Arial"/>
          <w:sz w:val="24"/>
          <w:szCs w:val="24"/>
        </w:rPr>
      </w:pPr>
      <w:r>
        <w:rPr>
          <w:rFonts w:ascii="Arial" w:hAnsi="Arial" w:cs="Arial"/>
          <w:sz w:val="24"/>
          <w:szCs w:val="24"/>
        </w:rPr>
        <w:t xml:space="preserve">Overall, the AER’s </w:t>
      </w:r>
      <w:r w:rsidRPr="00886A88">
        <w:rPr>
          <w:rFonts w:ascii="Arial" w:hAnsi="Arial" w:cs="Arial"/>
          <w:sz w:val="24"/>
          <w:szCs w:val="24"/>
        </w:rPr>
        <w:t>preliminary position is to change the classification of some</w:t>
      </w:r>
      <w:r w:rsidR="009A4241">
        <w:rPr>
          <w:rFonts w:ascii="Arial" w:hAnsi="Arial" w:cs="Arial"/>
          <w:sz w:val="24"/>
          <w:szCs w:val="24"/>
        </w:rPr>
        <w:t xml:space="preserve"> </w:t>
      </w:r>
      <w:r w:rsidR="009A4241" w:rsidRPr="00F417FB">
        <w:rPr>
          <w:rFonts w:ascii="Arial" w:hAnsi="Arial" w:cs="Arial"/>
          <w:sz w:val="24"/>
          <w:szCs w:val="24"/>
        </w:rPr>
        <w:t>ActewAGL</w:t>
      </w:r>
      <w:r w:rsidRPr="00886A88">
        <w:rPr>
          <w:rFonts w:ascii="Arial" w:hAnsi="Arial" w:cs="Arial"/>
          <w:sz w:val="24"/>
          <w:szCs w:val="24"/>
        </w:rPr>
        <w:t xml:space="preserve"> distribution services for the 2019−24 regulatory control period. </w:t>
      </w:r>
      <w:r>
        <w:rPr>
          <w:rFonts w:ascii="Arial" w:hAnsi="Arial" w:cs="Arial"/>
          <w:sz w:val="24"/>
          <w:szCs w:val="24"/>
        </w:rPr>
        <w:t>The AER’s</w:t>
      </w:r>
      <w:r w:rsidRPr="00886A88">
        <w:rPr>
          <w:rFonts w:ascii="Arial" w:hAnsi="Arial" w:cs="Arial"/>
          <w:sz w:val="24"/>
          <w:szCs w:val="24"/>
        </w:rPr>
        <w:t xml:space="preserve"> preliminary position is to group distribution services provided by </w:t>
      </w:r>
      <w:r w:rsidR="009A4241" w:rsidRPr="00A21E79">
        <w:rPr>
          <w:rFonts w:ascii="Arial" w:hAnsi="Arial" w:cs="Arial"/>
          <w:sz w:val="24"/>
          <w:szCs w:val="24"/>
        </w:rPr>
        <w:t>ActewAGL</w:t>
      </w:r>
      <w:r w:rsidR="009A4241">
        <w:rPr>
          <w:rFonts w:ascii="Arial" w:hAnsi="Arial" w:cs="Arial"/>
          <w:sz w:val="24"/>
          <w:szCs w:val="24"/>
        </w:rPr>
        <w:t xml:space="preserve"> </w:t>
      </w:r>
      <w:r w:rsidRPr="00886A88">
        <w:rPr>
          <w:rFonts w:ascii="Arial" w:hAnsi="Arial" w:cs="Arial"/>
          <w:sz w:val="24"/>
          <w:szCs w:val="24"/>
        </w:rPr>
        <w:t>as:</w:t>
      </w:r>
    </w:p>
    <w:p w14:paraId="4A3082A9" w14:textId="77777777" w:rsidR="00886A88" w:rsidRPr="00886A88" w:rsidRDefault="00886A88" w:rsidP="00886A88">
      <w:pPr>
        <w:pStyle w:val="ListBullet"/>
        <w:rPr>
          <w:rFonts w:cs="Arial"/>
          <w:sz w:val="24"/>
          <w:szCs w:val="24"/>
        </w:rPr>
      </w:pPr>
      <w:r w:rsidRPr="00886A88">
        <w:rPr>
          <w:rFonts w:cs="Arial"/>
          <w:sz w:val="24"/>
          <w:szCs w:val="24"/>
        </w:rPr>
        <w:t xml:space="preserve">common distribution services (formerly </w:t>
      </w:r>
      <w:r w:rsidRPr="00531527">
        <w:rPr>
          <w:rFonts w:cs="Arial"/>
          <w:i/>
          <w:sz w:val="24"/>
          <w:szCs w:val="24"/>
        </w:rPr>
        <w:t>'network services'</w:t>
      </w:r>
      <w:r w:rsidRPr="00886A88">
        <w:rPr>
          <w:rFonts w:cs="Arial"/>
          <w:sz w:val="24"/>
          <w:szCs w:val="24"/>
        </w:rPr>
        <w:t>)</w:t>
      </w:r>
    </w:p>
    <w:p w14:paraId="42115FBE" w14:textId="77777777" w:rsidR="00886A88" w:rsidRPr="00886A88" w:rsidRDefault="00886A88" w:rsidP="00886A88">
      <w:pPr>
        <w:pStyle w:val="ListBullet"/>
        <w:rPr>
          <w:rFonts w:cs="Arial"/>
          <w:sz w:val="24"/>
          <w:szCs w:val="24"/>
        </w:rPr>
      </w:pPr>
      <w:r w:rsidRPr="00886A88">
        <w:rPr>
          <w:rFonts w:cs="Arial"/>
          <w:sz w:val="24"/>
          <w:szCs w:val="24"/>
        </w:rPr>
        <w:t>ancillary services</w:t>
      </w:r>
    </w:p>
    <w:p w14:paraId="2F92C767" w14:textId="77777777" w:rsidR="00886A88" w:rsidRPr="00886A88" w:rsidRDefault="00886A88" w:rsidP="00886A88">
      <w:pPr>
        <w:pStyle w:val="ListBullet"/>
        <w:rPr>
          <w:rFonts w:cs="Arial"/>
          <w:sz w:val="24"/>
          <w:szCs w:val="24"/>
        </w:rPr>
      </w:pPr>
      <w:r w:rsidRPr="00886A88">
        <w:rPr>
          <w:rFonts w:cs="Arial"/>
          <w:sz w:val="24"/>
          <w:szCs w:val="24"/>
        </w:rPr>
        <w:t>metering services</w:t>
      </w:r>
    </w:p>
    <w:p w14:paraId="2CF889EB" w14:textId="77777777" w:rsidR="00886A88" w:rsidRPr="00886A88" w:rsidRDefault="00886A88" w:rsidP="00886A88">
      <w:pPr>
        <w:pStyle w:val="ListBullet"/>
        <w:rPr>
          <w:rFonts w:cs="Arial"/>
          <w:sz w:val="24"/>
          <w:szCs w:val="24"/>
        </w:rPr>
      </w:pPr>
      <w:r w:rsidRPr="00886A88">
        <w:rPr>
          <w:rFonts w:cs="Arial"/>
          <w:sz w:val="24"/>
          <w:szCs w:val="24"/>
        </w:rPr>
        <w:t>connection services</w:t>
      </w:r>
    </w:p>
    <w:p w14:paraId="10721958" w14:textId="7189829F" w:rsidR="00EA7054" w:rsidRPr="00531527" w:rsidRDefault="00886A88" w:rsidP="00531527">
      <w:pPr>
        <w:pStyle w:val="ListBullet"/>
        <w:rPr>
          <w:rFonts w:cs="Arial"/>
          <w:sz w:val="24"/>
          <w:szCs w:val="24"/>
        </w:rPr>
      </w:pPr>
      <w:r w:rsidRPr="00886A88">
        <w:rPr>
          <w:rFonts w:cs="Arial"/>
          <w:sz w:val="24"/>
          <w:szCs w:val="24"/>
        </w:rPr>
        <w:t xml:space="preserve">unregulated distribution services. </w:t>
      </w:r>
    </w:p>
    <w:p w14:paraId="7AF63AF7" w14:textId="77777777" w:rsidR="00854EAC" w:rsidRDefault="00854EAC" w:rsidP="00EA7054">
      <w:pPr>
        <w:spacing w:after="0"/>
        <w:rPr>
          <w:rFonts w:ascii="Arial" w:hAnsi="Arial" w:cs="Arial"/>
          <w:b/>
          <w:color w:val="365F91" w:themeColor="accent1" w:themeShade="BF"/>
          <w:sz w:val="24"/>
          <w:szCs w:val="24"/>
        </w:rPr>
      </w:pPr>
    </w:p>
    <w:p w14:paraId="1BCE5639" w14:textId="3FEDE26A" w:rsidR="00EA7054" w:rsidRDefault="00586DBC" w:rsidP="00EA7054">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CCP v</w:t>
      </w:r>
      <w:r w:rsidR="00EA7054" w:rsidRPr="00EA7054">
        <w:rPr>
          <w:rFonts w:ascii="Arial" w:hAnsi="Arial" w:cs="Arial"/>
          <w:b/>
          <w:color w:val="365F91" w:themeColor="accent1" w:themeShade="BF"/>
          <w:sz w:val="24"/>
          <w:szCs w:val="24"/>
        </w:rPr>
        <w:t>iew</w:t>
      </w:r>
    </w:p>
    <w:p w14:paraId="23CCBA44" w14:textId="5D6EBD3F" w:rsidR="00A177BD" w:rsidRPr="00EA7054" w:rsidRDefault="00A177BD" w:rsidP="00EA7054">
      <w:pPr>
        <w:spacing w:after="0"/>
        <w:rPr>
          <w:rFonts w:ascii="Arial" w:hAnsi="Arial" w:cs="Arial"/>
          <w:b/>
          <w:color w:val="365F91" w:themeColor="accent1" w:themeShade="BF"/>
          <w:sz w:val="24"/>
          <w:szCs w:val="24"/>
        </w:rPr>
      </w:pPr>
      <w:r>
        <w:rPr>
          <w:rFonts w:ascii="Arial" w:hAnsi="Arial" w:cs="Arial"/>
          <w:sz w:val="24"/>
          <w:szCs w:val="24"/>
        </w:rPr>
        <w:t xml:space="preserve">The CCP supports </w:t>
      </w:r>
      <w:r w:rsidR="0075104F">
        <w:rPr>
          <w:rFonts w:ascii="Arial" w:hAnsi="Arial" w:cs="Arial"/>
          <w:sz w:val="24"/>
          <w:szCs w:val="24"/>
        </w:rPr>
        <w:t xml:space="preserve">the AER’s preliminary classifications above and </w:t>
      </w:r>
      <w:r>
        <w:rPr>
          <w:rFonts w:ascii="Arial" w:hAnsi="Arial" w:cs="Arial"/>
          <w:sz w:val="24"/>
          <w:szCs w:val="24"/>
        </w:rPr>
        <w:t xml:space="preserve">the </w:t>
      </w:r>
      <w:r w:rsidR="00EA7054">
        <w:rPr>
          <w:rFonts w:ascii="Arial" w:hAnsi="Arial" w:cs="Arial"/>
          <w:sz w:val="24"/>
          <w:szCs w:val="24"/>
        </w:rPr>
        <w:t xml:space="preserve">process discussed in the F&amp;A on pages 15-19. The CCP further supports the </w:t>
      </w:r>
      <w:r>
        <w:rPr>
          <w:rFonts w:ascii="Arial" w:hAnsi="Arial" w:cs="Arial"/>
          <w:sz w:val="24"/>
          <w:szCs w:val="24"/>
        </w:rPr>
        <w:t>AER’s objective to “</w:t>
      </w:r>
      <w:r w:rsidRPr="00A177BD">
        <w:rPr>
          <w:rFonts w:ascii="Arial" w:hAnsi="Arial" w:cs="Arial"/>
          <w:i/>
          <w:sz w:val="24"/>
          <w:szCs w:val="24"/>
        </w:rPr>
        <w:t>provide improved clarity, consistency across jurisdictions as far as practicable, predictability in how new distribution services might be classified and service descriptions that better align with the services being provided</w:t>
      </w:r>
      <w:r w:rsidRPr="00A177BD">
        <w:rPr>
          <w:rFonts w:ascii="Arial" w:hAnsi="Arial" w:cs="Arial"/>
          <w:sz w:val="24"/>
          <w:szCs w:val="24"/>
        </w:rPr>
        <w:t xml:space="preserve">.” </w:t>
      </w:r>
      <w:r w:rsidR="00F417FB">
        <w:rPr>
          <w:rFonts w:ascii="Arial" w:hAnsi="Arial" w:cs="Arial"/>
          <w:sz w:val="24"/>
          <w:szCs w:val="24"/>
        </w:rPr>
        <w:t>(pg 15, F&amp;A)</w:t>
      </w:r>
    </w:p>
    <w:p w14:paraId="198B2A4A" w14:textId="3D48ECB3" w:rsidR="009D46F7" w:rsidRPr="009D46F7" w:rsidRDefault="00886A88" w:rsidP="00EA7054">
      <w:pPr>
        <w:pStyle w:val="Heading3"/>
        <w:numPr>
          <w:ilvl w:val="0"/>
          <w:numId w:val="32"/>
        </w:numPr>
        <w:rPr>
          <w:rFonts w:ascii="Arial" w:hAnsi="Arial" w:cs="Arial"/>
          <w:b w:val="0"/>
          <w:sz w:val="24"/>
          <w:szCs w:val="24"/>
          <w:u w:val="single"/>
        </w:rPr>
      </w:pPr>
      <w:bookmarkStart w:id="1" w:name="_Toc415733839"/>
      <w:bookmarkStart w:id="2" w:name="_Toc469661902"/>
      <w:bookmarkStart w:id="3" w:name="_Toc476747382"/>
      <w:r w:rsidRPr="00EA7054">
        <w:rPr>
          <w:rFonts w:ascii="Arial" w:hAnsi="Arial" w:cs="Arial"/>
          <w:b w:val="0"/>
          <w:sz w:val="24"/>
          <w:szCs w:val="24"/>
          <w:u w:val="single"/>
        </w:rPr>
        <w:t>Common distribution services</w:t>
      </w:r>
      <w:bookmarkEnd w:id="1"/>
      <w:bookmarkEnd w:id="2"/>
      <w:bookmarkEnd w:id="3"/>
      <w:r w:rsidRPr="00EA7054">
        <w:rPr>
          <w:rFonts w:ascii="Arial" w:hAnsi="Arial" w:cs="Arial"/>
          <w:b w:val="0"/>
          <w:sz w:val="24"/>
          <w:szCs w:val="24"/>
          <w:u w:val="single"/>
        </w:rPr>
        <w:t xml:space="preserve"> </w:t>
      </w:r>
    </w:p>
    <w:p w14:paraId="1AAD32BF" w14:textId="77777777" w:rsidR="00A04FA4" w:rsidRDefault="00A04FA4" w:rsidP="009D46F7">
      <w:pPr>
        <w:spacing w:after="0"/>
        <w:rPr>
          <w:rFonts w:ascii="Arial" w:hAnsi="Arial" w:cs="Arial"/>
          <w:b/>
          <w:color w:val="365F91" w:themeColor="accent1" w:themeShade="BF"/>
          <w:sz w:val="24"/>
          <w:szCs w:val="24"/>
        </w:rPr>
      </w:pPr>
    </w:p>
    <w:p w14:paraId="08B80214" w14:textId="02480241" w:rsidR="00EA7054" w:rsidRPr="00EA7054" w:rsidRDefault="00EA7054" w:rsidP="009D46F7">
      <w:pPr>
        <w:spacing w:after="0"/>
        <w:rPr>
          <w:rFonts w:ascii="Arial" w:hAnsi="Arial" w:cs="Arial"/>
          <w:b/>
          <w:color w:val="365F91" w:themeColor="accent1" w:themeShade="BF"/>
          <w:sz w:val="24"/>
          <w:szCs w:val="24"/>
        </w:rPr>
      </w:pPr>
      <w:r w:rsidRPr="00EA7054">
        <w:rPr>
          <w:rFonts w:ascii="Arial" w:hAnsi="Arial" w:cs="Arial"/>
          <w:b/>
          <w:color w:val="365F91" w:themeColor="accent1" w:themeShade="BF"/>
          <w:sz w:val="24"/>
          <w:szCs w:val="24"/>
        </w:rPr>
        <w:t>AER</w:t>
      </w:r>
      <w:r w:rsidR="00A04FA4">
        <w:rPr>
          <w:rFonts w:ascii="Arial" w:hAnsi="Arial" w:cs="Arial"/>
          <w:b/>
          <w:color w:val="365F91" w:themeColor="accent1" w:themeShade="BF"/>
          <w:sz w:val="24"/>
          <w:szCs w:val="24"/>
        </w:rPr>
        <w:t>’s p</w:t>
      </w:r>
      <w:r w:rsidRPr="00EA7054">
        <w:rPr>
          <w:rFonts w:ascii="Arial" w:hAnsi="Arial" w:cs="Arial"/>
          <w:b/>
          <w:color w:val="365F91" w:themeColor="accent1" w:themeShade="BF"/>
          <w:sz w:val="24"/>
          <w:szCs w:val="24"/>
        </w:rPr>
        <w:t>reliminary position</w:t>
      </w:r>
    </w:p>
    <w:p w14:paraId="7663F03A" w14:textId="4E28C853" w:rsidR="00531527" w:rsidRDefault="009D46F7" w:rsidP="00EA7054">
      <w:pPr>
        <w:rPr>
          <w:rFonts w:ascii="Arial" w:hAnsi="Arial" w:cs="Arial"/>
          <w:color w:val="000000" w:themeColor="text1"/>
          <w:sz w:val="24"/>
          <w:szCs w:val="24"/>
        </w:rPr>
      </w:pPr>
      <w:r w:rsidRPr="009D46F7">
        <w:rPr>
          <w:rFonts w:ascii="Arial" w:hAnsi="Arial" w:cs="Arial"/>
          <w:color w:val="000000" w:themeColor="text1"/>
          <w:sz w:val="24"/>
          <w:szCs w:val="24"/>
        </w:rPr>
        <w:t xml:space="preserve">This service group was formerly called </w:t>
      </w:r>
      <w:r w:rsidRPr="00531527">
        <w:rPr>
          <w:rFonts w:ascii="Arial" w:hAnsi="Arial" w:cs="Arial"/>
          <w:i/>
          <w:color w:val="000000" w:themeColor="text1"/>
          <w:sz w:val="24"/>
          <w:szCs w:val="24"/>
        </w:rPr>
        <w:t>'network services'</w:t>
      </w:r>
      <w:r w:rsidRPr="009D46F7">
        <w:rPr>
          <w:rFonts w:ascii="Arial" w:hAnsi="Arial" w:cs="Arial"/>
          <w:color w:val="000000" w:themeColor="text1"/>
          <w:sz w:val="24"/>
          <w:szCs w:val="24"/>
        </w:rPr>
        <w:t>. However, to avoid confusion with the defined te</w:t>
      </w:r>
      <w:r>
        <w:rPr>
          <w:rFonts w:ascii="Arial" w:hAnsi="Arial" w:cs="Arial"/>
          <w:color w:val="000000" w:themeColor="text1"/>
          <w:sz w:val="24"/>
          <w:szCs w:val="24"/>
        </w:rPr>
        <w:t>rms in chapter 10 of the NER</w:t>
      </w:r>
      <w:r w:rsidR="003328BF">
        <w:rPr>
          <w:rFonts w:ascii="Arial" w:hAnsi="Arial" w:cs="Arial"/>
          <w:color w:val="000000" w:themeColor="text1"/>
          <w:sz w:val="24"/>
          <w:szCs w:val="24"/>
        </w:rPr>
        <w:t xml:space="preserve"> (National Electricity Rules)</w:t>
      </w:r>
      <w:r>
        <w:rPr>
          <w:rFonts w:ascii="Arial" w:hAnsi="Arial" w:cs="Arial"/>
          <w:color w:val="000000" w:themeColor="text1"/>
          <w:sz w:val="24"/>
          <w:szCs w:val="24"/>
        </w:rPr>
        <w:t>, the AER</w:t>
      </w:r>
      <w:r w:rsidRPr="009D46F7">
        <w:rPr>
          <w:rFonts w:ascii="Arial" w:hAnsi="Arial" w:cs="Arial"/>
          <w:color w:val="000000" w:themeColor="text1"/>
          <w:sz w:val="24"/>
          <w:szCs w:val="24"/>
        </w:rPr>
        <w:t xml:space="preserve"> propose</w:t>
      </w:r>
      <w:r>
        <w:rPr>
          <w:rFonts w:ascii="Arial" w:hAnsi="Arial" w:cs="Arial"/>
          <w:color w:val="000000" w:themeColor="text1"/>
          <w:sz w:val="24"/>
          <w:szCs w:val="24"/>
        </w:rPr>
        <w:t>s</w:t>
      </w:r>
      <w:r w:rsidRPr="009D46F7">
        <w:rPr>
          <w:rFonts w:ascii="Arial" w:hAnsi="Arial" w:cs="Arial"/>
          <w:color w:val="000000" w:themeColor="text1"/>
          <w:sz w:val="24"/>
          <w:szCs w:val="24"/>
        </w:rPr>
        <w:t xml:space="preserve"> to rename this service group </w:t>
      </w:r>
      <w:r w:rsidRPr="009D46F7">
        <w:rPr>
          <w:rFonts w:ascii="Arial" w:hAnsi="Arial" w:cs="Arial"/>
          <w:i/>
          <w:color w:val="000000" w:themeColor="text1"/>
          <w:sz w:val="24"/>
          <w:szCs w:val="24"/>
        </w:rPr>
        <w:t xml:space="preserve">'common distribution </w:t>
      </w:r>
      <w:r w:rsidRPr="009D46F7">
        <w:rPr>
          <w:rFonts w:ascii="Arial" w:hAnsi="Arial" w:cs="Arial"/>
          <w:i/>
          <w:color w:val="000000" w:themeColor="text1"/>
          <w:sz w:val="24"/>
          <w:szCs w:val="24"/>
        </w:rPr>
        <w:lastRenderedPageBreak/>
        <w:t>services'</w:t>
      </w:r>
      <w:r w:rsidR="00531527">
        <w:rPr>
          <w:rFonts w:ascii="Arial" w:hAnsi="Arial" w:cs="Arial"/>
          <w:i/>
          <w:color w:val="000000" w:themeColor="text1"/>
          <w:sz w:val="24"/>
          <w:szCs w:val="24"/>
        </w:rPr>
        <w:t>,</w:t>
      </w:r>
      <w:r>
        <w:rPr>
          <w:rFonts w:ascii="Arial" w:hAnsi="Arial" w:cs="Arial"/>
          <w:color w:val="000000" w:themeColor="text1"/>
          <w:sz w:val="24"/>
          <w:szCs w:val="24"/>
        </w:rPr>
        <w:t xml:space="preserve"> altho</w:t>
      </w:r>
      <w:r w:rsidR="00531527">
        <w:rPr>
          <w:rFonts w:ascii="Arial" w:hAnsi="Arial" w:cs="Arial"/>
          <w:color w:val="000000" w:themeColor="text1"/>
          <w:sz w:val="24"/>
          <w:szCs w:val="24"/>
        </w:rPr>
        <w:t xml:space="preserve">ugh it is open to suggestions for alternative </w:t>
      </w:r>
      <w:r>
        <w:rPr>
          <w:rFonts w:ascii="Arial" w:hAnsi="Arial" w:cs="Arial"/>
          <w:color w:val="000000" w:themeColor="text1"/>
          <w:sz w:val="24"/>
          <w:szCs w:val="24"/>
        </w:rPr>
        <w:t>names</w:t>
      </w:r>
      <w:r w:rsidRPr="009D46F7">
        <w:rPr>
          <w:rFonts w:ascii="Arial" w:hAnsi="Arial" w:cs="Arial"/>
          <w:color w:val="000000" w:themeColor="text1"/>
          <w:sz w:val="24"/>
          <w:szCs w:val="24"/>
        </w:rPr>
        <w:t xml:space="preserve">. </w:t>
      </w:r>
      <w:r w:rsidR="003328BF">
        <w:rPr>
          <w:rFonts w:ascii="Arial" w:hAnsi="Arial" w:cs="Arial"/>
          <w:color w:val="000000" w:themeColor="text1"/>
          <w:sz w:val="24"/>
          <w:szCs w:val="24"/>
        </w:rPr>
        <w:t>(We suggest that “core distribution services’ might be a better name as it refers to the ‘core business’ of a network distribution service provider)</w:t>
      </w:r>
    </w:p>
    <w:p w14:paraId="4DD54B04" w14:textId="77C36224" w:rsidR="009D46F7" w:rsidRDefault="009D46F7" w:rsidP="00EA7054">
      <w:pPr>
        <w:rPr>
          <w:rFonts w:ascii="Arial" w:hAnsi="Arial" w:cs="Arial"/>
          <w:color w:val="000000" w:themeColor="text1"/>
          <w:sz w:val="24"/>
          <w:szCs w:val="24"/>
        </w:rPr>
      </w:pPr>
      <w:r w:rsidRPr="009D46F7">
        <w:rPr>
          <w:rFonts w:ascii="Arial" w:hAnsi="Arial" w:cs="Arial"/>
          <w:color w:val="000000" w:themeColor="text1"/>
          <w:sz w:val="24"/>
          <w:szCs w:val="24"/>
        </w:rPr>
        <w:t xml:space="preserve">Common distribution services are concerned with providing a safe and reliable electricity supply to customers. Common distribution services are intrinsically tied to the network infrastructure and the staff and systems that support the shared use of the distribution network by customers. </w:t>
      </w:r>
      <w:r>
        <w:rPr>
          <w:rFonts w:ascii="Arial" w:hAnsi="Arial" w:cs="Arial"/>
          <w:color w:val="000000" w:themeColor="text1"/>
          <w:sz w:val="24"/>
          <w:szCs w:val="24"/>
        </w:rPr>
        <w:t>The AER’s</w:t>
      </w:r>
      <w:r w:rsidRPr="009D46F7">
        <w:rPr>
          <w:rFonts w:ascii="Arial" w:hAnsi="Arial" w:cs="Arial"/>
          <w:color w:val="000000" w:themeColor="text1"/>
          <w:sz w:val="24"/>
          <w:szCs w:val="24"/>
        </w:rPr>
        <w:t xml:space="preserve"> preliminary position is to classify common distribution services as direct control services. </w:t>
      </w:r>
      <w:r>
        <w:rPr>
          <w:rFonts w:ascii="Arial" w:hAnsi="Arial" w:cs="Arial"/>
          <w:color w:val="000000" w:themeColor="text1"/>
          <w:sz w:val="24"/>
          <w:szCs w:val="24"/>
        </w:rPr>
        <w:t xml:space="preserve">The AER </w:t>
      </w:r>
      <w:r w:rsidRPr="009D46F7">
        <w:rPr>
          <w:rFonts w:ascii="Arial" w:hAnsi="Arial" w:cs="Arial"/>
          <w:color w:val="000000" w:themeColor="text1"/>
          <w:sz w:val="24"/>
          <w:szCs w:val="24"/>
        </w:rPr>
        <w:t>consider</w:t>
      </w:r>
      <w:r>
        <w:rPr>
          <w:rFonts w:ascii="Arial" w:hAnsi="Arial" w:cs="Arial"/>
          <w:color w:val="000000" w:themeColor="text1"/>
          <w:sz w:val="24"/>
          <w:szCs w:val="24"/>
        </w:rPr>
        <w:t>s</w:t>
      </w:r>
      <w:r w:rsidRPr="009D46F7">
        <w:rPr>
          <w:rFonts w:ascii="Arial" w:hAnsi="Arial" w:cs="Arial"/>
          <w:color w:val="000000" w:themeColor="text1"/>
          <w:sz w:val="24"/>
          <w:szCs w:val="24"/>
        </w:rPr>
        <w:t xml:space="preserve"> that there is no opportunity for third parties to enter the market for the provision of common distribution services. </w:t>
      </w:r>
      <w:r>
        <w:rPr>
          <w:rFonts w:ascii="Arial" w:hAnsi="Arial" w:cs="Arial"/>
          <w:color w:val="000000" w:themeColor="text1"/>
          <w:sz w:val="24"/>
          <w:szCs w:val="24"/>
        </w:rPr>
        <w:t>The AER’s</w:t>
      </w:r>
      <w:r w:rsidRPr="009D46F7">
        <w:rPr>
          <w:rFonts w:ascii="Arial" w:hAnsi="Arial" w:cs="Arial"/>
          <w:color w:val="000000" w:themeColor="text1"/>
          <w:sz w:val="24"/>
          <w:szCs w:val="24"/>
        </w:rPr>
        <w:t xml:space="preserve"> preliminary position is to retain the current standard control classification for common distribution services</w:t>
      </w:r>
      <w:r>
        <w:rPr>
          <w:rFonts w:ascii="Arial" w:hAnsi="Arial" w:cs="Arial"/>
          <w:color w:val="000000" w:themeColor="text1"/>
          <w:sz w:val="24"/>
          <w:szCs w:val="24"/>
        </w:rPr>
        <w:t xml:space="preserve"> as t</w:t>
      </w:r>
      <w:r w:rsidRPr="009D46F7">
        <w:rPr>
          <w:rFonts w:ascii="Arial" w:hAnsi="Arial" w:cs="Arial"/>
          <w:color w:val="000000" w:themeColor="text1"/>
          <w:sz w:val="24"/>
          <w:szCs w:val="24"/>
        </w:rPr>
        <w:t>here is no potential to develop competition in the market for common distribution services b</w:t>
      </w:r>
      <w:r>
        <w:rPr>
          <w:rFonts w:ascii="Arial" w:hAnsi="Arial" w:cs="Arial"/>
          <w:color w:val="000000" w:themeColor="text1"/>
          <w:sz w:val="24"/>
          <w:szCs w:val="24"/>
        </w:rPr>
        <w:t xml:space="preserve">ecause of the barriers to third party entry referred to </w:t>
      </w:r>
      <w:r w:rsidRPr="009D46F7">
        <w:rPr>
          <w:rFonts w:ascii="Arial" w:hAnsi="Arial" w:cs="Arial"/>
          <w:color w:val="000000" w:themeColor="text1"/>
          <w:sz w:val="24"/>
          <w:szCs w:val="24"/>
        </w:rPr>
        <w:t xml:space="preserve">above. </w:t>
      </w:r>
    </w:p>
    <w:p w14:paraId="581CAD3C" w14:textId="77777777" w:rsidR="009D46F7" w:rsidRDefault="009D46F7" w:rsidP="009D46F7">
      <w:pPr>
        <w:spacing w:after="0"/>
        <w:rPr>
          <w:rFonts w:ascii="Arial" w:hAnsi="Arial" w:cs="Arial"/>
          <w:b/>
          <w:color w:val="365F91" w:themeColor="accent1" w:themeShade="BF"/>
          <w:sz w:val="24"/>
          <w:szCs w:val="24"/>
        </w:rPr>
      </w:pPr>
      <w:r w:rsidRPr="009D46F7">
        <w:rPr>
          <w:rFonts w:ascii="Arial" w:hAnsi="Arial" w:cs="Arial"/>
          <w:b/>
          <w:color w:val="365F91" w:themeColor="accent1" w:themeShade="BF"/>
          <w:sz w:val="24"/>
          <w:szCs w:val="24"/>
        </w:rPr>
        <w:t>CCP view</w:t>
      </w:r>
    </w:p>
    <w:p w14:paraId="2CC52C3A" w14:textId="7C5F00E9" w:rsidR="009D46F7" w:rsidRDefault="009D46F7" w:rsidP="00EA7054">
      <w:pPr>
        <w:rPr>
          <w:rFonts w:ascii="Arial" w:hAnsi="Arial" w:cs="Arial"/>
          <w:color w:val="000000" w:themeColor="text1"/>
          <w:sz w:val="24"/>
          <w:szCs w:val="24"/>
        </w:rPr>
      </w:pPr>
      <w:r w:rsidRPr="009D46F7">
        <w:rPr>
          <w:rFonts w:ascii="Arial" w:hAnsi="Arial" w:cs="Arial"/>
          <w:color w:val="000000" w:themeColor="text1"/>
          <w:sz w:val="24"/>
          <w:szCs w:val="24"/>
        </w:rPr>
        <w:t>The</w:t>
      </w:r>
      <w:r>
        <w:rPr>
          <w:rFonts w:ascii="Arial" w:hAnsi="Arial" w:cs="Arial"/>
          <w:color w:val="000000" w:themeColor="text1"/>
          <w:sz w:val="24"/>
          <w:szCs w:val="24"/>
        </w:rPr>
        <w:t xml:space="preserve"> CCP agrees with the suggestion to rename these services as common </w:t>
      </w:r>
      <w:r w:rsidR="003328BF">
        <w:rPr>
          <w:rFonts w:ascii="Arial" w:hAnsi="Arial" w:cs="Arial"/>
          <w:color w:val="000000" w:themeColor="text1"/>
          <w:sz w:val="24"/>
          <w:szCs w:val="24"/>
        </w:rPr>
        <w:t xml:space="preserve">(or core) </w:t>
      </w:r>
      <w:r>
        <w:rPr>
          <w:rFonts w:ascii="Arial" w:hAnsi="Arial" w:cs="Arial"/>
          <w:color w:val="000000" w:themeColor="text1"/>
          <w:sz w:val="24"/>
          <w:szCs w:val="24"/>
        </w:rPr>
        <w:t xml:space="preserve">distribution services. The CCP also agrees that these services should be classified as </w:t>
      </w:r>
      <w:r w:rsidR="009A4241">
        <w:rPr>
          <w:rFonts w:ascii="Arial" w:hAnsi="Arial" w:cs="Arial"/>
          <w:color w:val="000000" w:themeColor="text1"/>
          <w:sz w:val="24"/>
          <w:szCs w:val="24"/>
        </w:rPr>
        <w:t>direct</w:t>
      </w:r>
      <w:r>
        <w:rPr>
          <w:rFonts w:ascii="Arial" w:hAnsi="Arial" w:cs="Arial"/>
          <w:color w:val="000000" w:themeColor="text1"/>
          <w:sz w:val="24"/>
          <w:szCs w:val="24"/>
        </w:rPr>
        <w:t xml:space="preserve"> control services because:</w:t>
      </w:r>
    </w:p>
    <w:p w14:paraId="6A4B53D7" w14:textId="6F23BEFB" w:rsidR="009D46F7" w:rsidRPr="003672D7" w:rsidRDefault="003672D7" w:rsidP="009D46F7">
      <w:pPr>
        <w:pStyle w:val="ListParagraph"/>
        <w:numPr>
          <w:ilvl w:val="0"/>
          <w:numId w:val="33"/>
        </w:numPr>
        <w:rPr>
          <w:rFonts w:ascii="Arial" w:hAnsi="Arial" w:cs="Arial"/>
          <w:color w:val="000000" w:themeColor="text1"/>
          <w:sz w:val="24"/>
          <w:szCs w:val="24"/>
        </w:rPr>
      </w:pPr>
      <w:r w:rsidRPr="003672D7">
        <w:rPr>
          <w:rFonts w:ascii="Arial" w:hAnsi="Arial" w:cs="Arial"/>
          <w:color w:val="000000" w:themeColor="text1"/>
          <w:sz w:val="24"/>
          <w:szCs w:val="24"/>
        </w:rPr>
        <w:t xml:space="preserve">of </w:t>
      </w:r>
      <w:r w:rsidR="009D46F7" w:rsidRPr="003672D7">
        <w:rPr>
          <w:rFonts w:ascii="Arial" w:hAnsi="Arial" w:cs="Arial"/>
          <w:color w:val="000000" w:themeColor="text1"/>
          <w:sz w:val="24"/>
          <w:szCs w:val="24"/>
        </w:rPr>
        <w:t xml:space="preserve">the lack of potential competition due to the high barriers to entry, </w:t>
      </w:r>
    </w:p>
    <w:p w14:paraId="6793252D" w14:textId="63B2E17B" w:rsidR="003672D7" w:rsidRPr="003672D7" w:rsidRDefault="003672D7" w:rsidP="009D46F7">
      <w:pPr>
        <w:pStyle w:val="ListParagraph"/>
        <w:numPr>
          <w:ilvl w:val="0"/>
          <w:numId w:val="33"/>
        </w:numPr>
        <w:rPr>
          <w:rFonts w:ascii="Arial" w:hAnsi="Arial" w:cs="Arial"/>
          <w:b/>
          <w:color w:val="000000" w:themeColor="text1"/>
          <w:sz w:val="24"/>
          <w:szCs w:val="24"/>
        </w:rPr>
      </w:pPr>
      <w:r w:rsidRPr="003672D7">
        <w:rPr>
          <w:rFonts w:ascii="Arial" w:hAnsi="Arial" w:cs="Arial"/>
          <w:color w:val="000000" w:themeColor="text1"/>
          <w:sz w:val="24"/>
          <w:szCs w:val="24"/>
        </w:rPr>
        <w:t xml:space="preserve">there </w:t>
      </w:r>
      <w:r w:rsidR="00016AE7">
        <w:rPr>
          <w:rFonts w:ascii="Arial" w:hAnsi="Arial" w:cs="Arial"/>
          <w:color w:val="000000" w:themeColor="text1"/>
          <w:sz w:val="24"/>
          <w:szCs w:val="24"/>
        </w:rPr>
        <w:t xml:space="preserve">is </w:t>
      </w:r>
      <w:r w:rsidR="00016AE7" w:rsidRPr="003672D7">
        <w:rPr>
          <w:rFonts w:ascii="Arial" w:hAnsi="Arial" w:cs="Arial"/>
          <w:color w:val="000000" w:themeColor="text1"/>
          <w:sz w:val="24"/>
          <w:szCs w:val="24"/>
        </w:rPr>
        <w:t>no</w:t>
      </w:r>
      <w:r w:rsidR="009D46F7" w:rsidRPr="003672D7">
        <w:rPr>
          <w:rFonts w:ascii="Arial" w:hAnsi="Arial" w:cs="Arial"/>
          <w:color w:val="000000" w:themeColor="text1"/>
          <w:sz w:val="24"/>
          <w:szCs w:val="24"/>
        </w:rPr>
        <w:t xml:space="preserve"> material effect on administrative costs for the AER,</w:t>
      </w:r>
      <w:r w:rsidR="009A4241">
        <w:rPr>
          <w:rFonts w:ascii="Arial" w:hAnsi="Arial" w:cs="Arial"/>
          <w:color w:val="000000" w:themeColor="text1"/>
          <w:sz w:val="24"/>
          <w:szCs w:val="24"/>
        </w:rPr>
        <w:t xml:space="preserve"> </w:t>
      </w:r>
      <w:r w:rsidR="009A4241" w:rsidRPr="00A21E79">
        <w:rPr>
          <w:rFonts w:ascii="Arial" w:hAnsi="Arial" w:cs="Arial"/>
          <w:sz w:val="24"/>
          <w:szCs w:val="24"/>
        </w:rPr>
        <w:t>ActewAGL</w:t>
      </w:r>
      <w:r w:rsidR="009D46F7" w:rsidRPr="003672D7">
        <w:rPr>
          <w:rFonts w:ascii="Arial" w:hAnsi="Arial" w:cs="Arial"/>
          <w:color w:val="000000" w:themeColor="text1"/>
          <w:sz w:val="24"/>
          <w:szCs w:val="24"/>
        </w:rPr>
        <w:t xml:space="preserve"> users or potential users by continuing this classification</w:t>
      </w:r>
      <w:r w:rsidRPr="003672D7">
        <w:rPr>
          <w:rFonts w:ascii="Arial" w:hAnsi="Arial" w:cs="Arial"/>
          <w:color w:val="000000" w:themeColor="text1"/>
          <w:sz w:val="24"/>
          <w:szCs w:val="24"/>
        </w:rPr>
        <w:t>; and</w:t>
      </w:r>
    </w:p>
    <w:p w14:paraId="49369FEB" w14:textId="608108D1" w:rsidR="009D46F7" w:rsidRPr="00A619FA" w:rsidRDefault="00531527" w:rsidP="009D46F7">
      <w:pPr>
        <w:pStyle w:val="ListParagraph"/>
        <w:numPr>
          <w:ilvl w:val="0"/>
          <w:numId w:val="33"/>
        </w:numPr>
        <w:rPr>
          <w:rFonts w:ascii="Arial" w:hAnsi="Arial" w:cs="Arial"/>
          <w:b/>
          <w:color w:val="000000" w:themeColor="text1"/>
          <w:sz w:val="24"/>
          <w:szCs w:val="24"/>
        </w:rPr>
      </w:pPr>
      <w:r>
        <w:rPr>
          <w:rFonts w:ascii="Arial" w:hAnsi="Arial" w:cs="Arial"/>
          <w:color w:val="000000" w:themeColor="text1"/>
          <w:sz w:val="24"/>
          <w:szCs w:val="24"/>
        </w:rPr>
        <w:t xml:space="preserve">of </w:t>
      </w:r>
      <w:r w:rsidR="003672D7" w:rsidRPr="003672D7">
        <w:rPr>
          <w:rFonts w:ascii="Arial" w:hAnsi="Arial" w:cs="Arial"/>
          <w:color w:val="000000" w:themeColor="text1"/>
          <w:sz w:val="24"/>
          <w:szCs w:val="24"/>
        </w:rPr>
        <w:t xml:space="preserve">consistency in classification </w:t>
      </w:r>
      <w:r w:rsidR="009D46F7" w:rsidRPr="003672D7">
        <w:rPr>
          <w:rFonts w:ascii="Arial" w:hAnsi="Arial" w:cs="Arial"/>
          <w:color w:val="000000" w:themeColor="text1"/>
          <w:sz w:val="24"/>
          <w:szCs w:val="24"/>
        </w:rPr>
        <w:t xml:space="preserve">in </w:t>
      </w:r>
      <w:r w:rsidR="009A4241">
        <w:rPr>
          <w:rFonts w:ascii="Arial" w:hAnsi="Arial" w:cs="Arial"/>
          <w:color w:val="000000" w:themeColor="text1"/>
          <w:sz w:val="24"/>
          <w:szCs w:val="24"/>
        </w:rPr>
        <w:t>ACT</w:t>
      </w:r>
      <w:r w:rsidR="009D46F7" w:rsidRPr="003672D7">
        <w:rPr>
          <w:rFonts w:ascii="Arial" w:hAnsi="Arial" w:cs="Arial"/>
          <w:color w:val="000000" w:themeColor="text1"/>
          <w:sz w:val="24"/>
          <w:szCs w:val="24"/>
        </w:rPr>
        <w:t xml:space="preserve"> and all other NEM jurisdictions as standard control services.</w:t>
      </w:r>
    </w:p>
    <w:p w14:paraId="5DDA6426" w14:textId="77777777" w:rsidR="00854EAC" w:rsidRDefault="00854EAC" w:rsidP="00A619FA">
      <w:pPr>
        <w:rPr>
          <w:rFonts w:ascii="Arial" w:hAnsi="Arial" w:cs="Arial"/>
          <w:b/>
          <w:color w:val="000000" w:themeColor="text1"/>
          <w:sz w:val="24"/>
          <w:szCs w:val="24"/>
        </w:rPr>
      </w:pPr>
    </w:p>
    <w:p w14:paraId="7DC2672B" w14:textId="77777777" w:rsidR="00854EAC" w:rsidRPr="00A619FA" w:rsidRDefault="00854EAC" w:rsidP="00A619FA">
      <w:pPr>
        <w:rPr>
          <w:rFonts w:ascii="Arial" w:hAnsi="Arial" w:cs="Arial"/>
          <w:b/>
          <w:color w:val="000000" w:themeColor="text1"/>
          <w:sz w:val="24"/>
          <w:szCs w:val="24"/>
        </w:rPr>
      </w:pPr>
    </w:p>
    <w:p w14:paraId="746E6F62" w14:textId="77777777" w:rsidR="00A7189A" w:rsidRDefault="00886A88" w:rsidP="00886A88">
      <w:pPr>
        <w:pStyle w:val="Heading4notnumbered"/>
        <w:numPr>
          <w:ilvl w:val="0"/>
          <w:numId w:val="32"/>
        </w:numPr>
        <w:rPr>
          <w:b w:val="0"/>
          <w:color w:val="365F91" w:themeColor="accent1" w:themeShade="BF"/>
          <w:u w:val="single"/>
        </w:rPr>
      </w:pPr>
      <w:r w:rsidRPr="003672D7">
        <w:rPr>
          <w:b w:val="0"/>
          <w:color w:val="365F91" w:themeColor="accent1" w:themeShade="BF"/>
          <w:u w:val="single"/>
        </w:rPr>
        <w:t>Emergency recoverable works</w:t>
      </w:r>
      <w:bookmarkStart w:id="4" w:name="_Toc415733840"/>
      <w:bookmarkStart w:id="5" w:name="_Toc469661903"/>
      <w:bookmarkStart w:id="6" w:name="_Toc476747383"/>
    </w:p>
    <w:p w14:paraId="58A6681D" w14:textId="05A0D86C" w:rsidR="003672D7" w:rsidRPr="00A7189A" w:rsidRDefault="003672D7" w:rsidP="00A7189A">
      <w:pPr>
        <w:pStyle w:val="Heading4notnumbered"/>
        <w:rPr>
          <w:b w:val="0"/>
          <w:color w:val="365F91" w:themeColor="accent1" w:themeShade="BF"/>
          <w:u w:val="single"/>
        </w:rPr>
      </w:pPr>
      <w:r w:rsidRPr="00A7189A">
        <w:rPr>
          <w:rFonts w:cs="Arial"/>
          <w:color w:val="365F91" w:themeColor="accent1" w:themeShade="BF"/>
          <w:szCs w:val="24"/>
        </w:rPr>
        <w:t>AER</w:t>
      </w:r>
      <w:r w:rsidR="0011334C">
        <w:rPr>
          <w:rFonts w:cs="Arial"/>
          <w:color w:val="365F91" w:themeColor="accent1" w:themeShade="BF"/>
          <w:szCs w:val="24"/>
        </w:rPr>
        <w:t>’s</w:t>
      </w:r>
      <w:r w:rsidRPr="00A7189A">
        <w:rPr>
          <w:rFonts w:cs="Arial"/>
          <w:color w:val="365F91" w:themeColor="accent1" w:themeShade="BF"/>
          <w:szCs w:val="24"/>
        </w:rPr>
        <w:t xml:space="preserve"> preliminary position</w:t>
      </w:r>
    </w:p>
    <w:p w14:paraId="0CDA60DA" w14:textId="6B92D023" w:rsidR="00785F4E" w:rsidRPr="00785F4E" w:rsidRDefault="00785F4E" w:rsidP="00785F4E">
      <w:pPr>
        <w:rPr>
          <w:rFonts w:ascii="Arial" w:hAnsi="Arial" w:cs="Arial"/>
          <w:sz w:val="24"/>
          <w:szCs w:val="24"/>
        </w:rPr>
      </w:pPr>
      <w:r>
        <w:rPr>
          <w:rFonts w:ascii="Arial" w:hAnsi="Arial" w:cs="Arial"/>
          <w:sz w:val="24"/>
          <w:szCs w:val="24"/>
        </w:rPr>
        <w:t>The AER’s</w:t>
      </w:r>
      <w:r w:rsidRPr="00785F4E">
        <w:rPr>
          <w:rFonts w:ascii="Arial" w:hAnsi="Arial" w:cs="Arial"/>
          <w:sz w:val="24"/>
          <w:szCs w:val="24"/>
        </w:rPr>
        <w:t xml:space="preserve"> preliminary position is for emergency recoverable works to be subsumed into the common distribution ser</w:t>
      </w:r>
      <w:r w:rsidR="00531527">
        <w:rPr>
          <w:rFonts w:ascii="Arial" w:hAnsi="Arial" w:cs="Arial"/>
          <w:sz w:val="24"/>
          <w:szCs w:val="24"/>
        </w:rPr>
        <w:t xml:space="preserve">vices group and classified as </w:t>
      </w:r>
      <w:r w:rsidRPr="00785F4E">
        <w:rPr>
          <w:rFonts w:ascii="Arial" w:hAnsi="Arial" w:cs="Arial"/>
          <w:sz w:val="24"/>
          <w:szCs w:val="24"/>
        </w:rPr>
        <w:t xml:space="preserve">direct control </w:t>
      </w:r>
      <w:r w:rsidR="00531527">
        <w:rPr>
          <w:rFonts w:ascii="Arial" w:hAnsi="Arial" w:cs="Arial"/>
          <w:sz w:val="24"/>
          <w:szCs w:val="24"/>
        </w:rPr>
        <w:t xml:space="preserve">services </w:t>
      </w:r>
      <w:r w:rsidRPr="00785F4E">
        <w:rPr>
          <w:rFonts w:ascii="Arial" w:hAnsi="Arial" w:cs="Arial"/>
          <w:sz w:val="24"/>
          <w:szCs w:val="24"/>
        </w:rPr>
        <w:t>and standard control service</w:t>
      </w:r>
      <w:r w:rsidR="00531527">
        <w:rPr>
          <w:rFonts w:ascii="Arial" w:hAnsi="Arial" w:cs="Arial"/>
          <w:sz w:val="24"/>
          <w:szCs w:val="24"/>
        </w:rPr>
        <w:t>s</w:t>
      </w:r>
      <w:r w:rsidRPr="00785F4E">
        <w:rPr>
          <w:rFonts w:ascii="Arial" w:hAnsi="Arial" w:cs="Arial"/>
          <w:sz w:val="24"/>
          <w:szCs w:val="24"/>
        </w:rPr>
        <w:t>.</w:t>
      </w:r>
      <w:r>
        <w:rPr>
          <w:rFonts w:ascii="Arial" w:hAnsi="Arial" w:cs="Arial"/>
          <w:sz w:val="24"/>
          <w:szCs w:val="24"/>
        </w:rPr>
        <w:t xml:space="preserve"> Following the introduction of the AER’s</w:t>
      </w:r>
      <w:r w:rsidR="00531527">
        <w:rPr>
          <w:rFonts w:ascii="Arial" w:hAnsi="Arial" w:cs="Arial"/>
          <w:sz w:val="24"/>
          <w:szCs w:val="24"/>
        </w:rPr>
        <w:t xml:space="preserve"> R</w:t>
      </w:r>
      <w:r w:rsidRPr="00785F4E">
        <w:rPr>
          <w:rFonts w:ascii="Arial" w:hAnsi="Arial" w:cs="Arial"/>
          <w:sz w:val="24"/>
          <w:szCs w:val="24"/>
        </w:rPr>
        <w:t xml:space="preserve">ing-fencing guideline, </w:t>
      </w:r>
      <w:r>
        <w:rPr>
          <w:rFonts w:ascii="Arial" w:hAnsi="Arial" w:cs="Arial"/>
          <w:sz w:val="24"/>
          <w:szCs w:val="24"/>
        </w:rPr>
        <w:t xml:space="preserve">if the AER left this </w:t>
      </w:r>
      <w:r w:rsidRPr="00785F4E">
        <w:rPr>
          <w:rFonts w:ascii="Arial" w:hAnsi="Arial" w:cs="Arial"/>
          <w:sz w:val="24"/>
          <w:szCs w:val="24"/>
        </w:rPr>
        <w:t xml:space="preserve">service as an unregulated distribution service </w:t>
      </w:r>
      <w:r>
        <w:rPr>
          <w:rFonts w:ascii="Arial" w:hAnsi="Arial" w:cs="Arial"/>
          <w:sz w:val="24"/>
          <w:szCs w:val="24"/>
        </w:rPr>
        <w:t xml:space="preserve">it </w:t>
      </w:r>
      <w:r w:rsidRPr="00785F4E">
        <w:rPr>
          <w:rFonts w:ascii="Arial" w:hAnsi="Arial" w:cs="Arial"/>
          <w:sz w:val="24"/>
          <w:szCs w:val="24"/>
        </w:rPr>
        <w:t>would require it to be ring-fenced</w:t>
      </w:r>
      <w:r>
        <w:rPr>
          <w:rFonts w:ascii="Arial" w:hAnsi="Arial" w:cs="Arial"/>
          <w:sz w:val="24"/>
          <w:szCs w:val="24"/>
        </w:rPr>
        <w:t xml:space="preserve"> by</w:t>
      </w:r>
      <w:r w:rsidR="009A4241" w:rsidRPr="009A4241">
        <w:rPr>
          <w:rFonts w:ascii="Arial" w:hAnsi="Arial" w:cs="Arial"/>
          <w:sz w:val="24"/>
          <w:szCs w:val="24"/>
        </w:rPr>
        <w:t xml:space="preserve"> </w:t>
      </w:r>
      <w:r w:rsidR="009A4241" w:rsidRPr="00A21E79">
        <w:rPr>
          <w:rFonts w:ascii="Arial" w:hAnsi="Arial" w:cs="Arial"/>
          <w:sz w:val="24"/>
          <w:szCs w:val="24"/>
        </w:rPr>
        <w:t>ActewAGL</w:t>
      </w:r>
      <w:r>
        <w:rPr>
          <w:rFonts w:ascii="Arial" w:hAnsi="Arial" w:cs="Arial"/>
          <w:sz w:val="24"/>
          <w:szCs w:val="24"/>
        </w:rPr>
        <w:t xml:space="preserve"> </w:t>
      </w:r>
      <w:r w:rsidRPr="00785F4E">
        <w:rPr>
          <w:rFonts w:ascii="Arial" w:hAnsi="Arial" w:cs="Arial"/>
          <w:sz w:val="24"/>
          <w:szCs w:val="24"/>
        </w:rPr>
        <w:t xml:space="preserve">. </w:t>
      </w:r>
    </w:p>
    <w:p w14:paraId="05C520AC" w14:textId="1FE39465" w:rsidR="00785F4E" w:rsidRDefault="00785F4E" w:rsidP="00A7189A">
      <w:pPr>
        <w:spacing w:after="0"/>
        <w:rPr>
          <w:rFonts w:ascii="Arial" w:hAnsi="Arial" w:cs="Arial"/>
          <w:b/>
          <w:color w:val="365F91" w:themeColor="accent1" w:themeShade="BF"/>
          <w:sz w:val="24"/>
          <w:szCs w:val="24"/>
        </w:rPr>
      </w:pPr>
      <w:r w:rsidRPr="00785F4E">
        <w:rPr>
          <w:rFonts w:ascii="Arial" w:hAnsi="Arial" w:cs="Arial"/>
          <w:b/>
          <w:color w:val="365F91" w:themeColor="accent1" w:themeShade="BF"/>
          <w:sz w:val="24"/>
          <w:szCs w:val="24"/>
        </w:rPr>
        <w:t>CCP view</w:t>
      </w:r>
    </w:p>
    <w:p w14:paraId="78C099DD" w14:textId="5AF4C84E" w:rsidR="00785F4E" w:rsidRPr="00785F4E" w:rsidRDefault="00785F4E" w:rsidP="00A7189A">
      <w:pPr>
        <w:spacing w:after="0"/>
        <w:rPr>
          <w:rFonts w:ascii="Arial" w:hAnsi="Arial" w:cs="Arial"/>
          <w:b/>
          <w:color w:val="365F91" w:themeColor="accent1" w:themeShade="BF"/>
          <w:sz w:val="24"/>
          <w:szCs w:val="24"/>
        </w:rPr>
      </w:pPr>
      <w:r w:rsidRPr="00785F4E">
        <w:rPr>
          <w:rFonts w:ascii="Arial" w:hAnsi="Arial" w:cs="Arial"/>
          <w:sz w:val="24"/>
          <w:szCs w:val="24"/>
        </w:rPr>
        <w:t xml:space="preserve">The CCP agrees that emergency recoverable works should be classified </w:t>
      </w:r>
      <w:r>
        <w:rPr>
          <w:rFonts w:ascii="Arial" w:hAnsi="Arial" w:cs="Arial"/>
          <w:sz w:val="24"/>
          <w:szCs w:val="24"/>
        </w:rPr>
        <w:t xml:space="preserve">as common distribution services </w:t>
      </w:r>
      <w:r w:rsidRPr="00785F4E">
        <w:rPr>
          <w:rFonts w:ascii="Arial" w:hAnsi="Arial" w:cs="Arial"/>
          <w:sz w:val="24"/>
          <w:szCs w:val="24"/>
        </w:rPr>
        <w:t>and that it is not in the long-term interest</w:t>
      </w:r>
      <w:r>
        <w:rPr>
          <w:rFonts w:ascii="Arial" w:hAnsi="Arial" w:cs="Arial"/>
          <w:sz w:val="24"/>
          <w:szCs w:val="24"/>
        </w:rPr>
        <w:t>s</w:t>
      </w:r>
      <w:r w:rsidRPr="00785F4E">
        <w:rPr>
          <w:rFonts w:ascii="Arial" w:hAnsi="Arial" w:cs="Arial"/>
          <w:sz w:val="24"/>
          <w:szCs w:val="24"/>
        </w:rPr>
        <w:t xml:space="preserve"> of consumer</w:t>
      </w:r>
      <w:r>
        <w:rPr>
          <w:rFonts w:ascii="Arial" w:hAnsi="Arial" w:cs="Arial"/>
          <w:sz w:val="24"/>
          <w:szCs w:val="24"/>
        </w:rPr>
        <w:t>s for these services to be ring-</w:t>
      </w:r>
      <w:r w:rsidRPr="00785F4E">
        <w:rPr>
          <w:rFonts w:ascii="Arial" w:hAnsi="Arial" w:cs="Arial"/>
          <w:sz w:val="24"/>
          <w:szCs w:val="24"/>
        </w:rPr>
        <w:t xml:space="preserve">fenced as these services are </w:t>
      </w:r>
      <w:r>
        <w:rPr>
          <w:rFonts w:ascii="Arial" w:hAnsi="Arial" w:cs="Arial"/>
          <w:sz w:val="24"/>
          <w:szCs w:val="24"/>
        </w:rPr>
        <w:t>inherently part</w:t>
      </w:r>
      <w:r w:rsidRPr="00785F4E">
        <w:rPr>
          <w:rFonts w:ascii="Arial" w:hAnsi="Arial" w:cs="Arial"/>
          <w:sz w:val="24"/>
          <w:szCs w:val="24"/>
        </w:rPr>
        <w:t xml:space="preserve"> </w:t>
      </w:r>
      <w:r>
        <w:rPr>
          <w:rFonts w:ascii="Arial" w:hAnsi="Arial" w:cs="Arial"/>
          <w:sz w:val="24"/>
          <w:szCs w:val="24"/>
        </w:rPr>
        <w:t xml:space="preserve">of </w:t>
      </w:r>
      <w:r w:rsidRPr="00785F4E">
        <w:rPr>
          <w:rFonts w:ascii="Arial" w:hAnsi="Arial" w:cs="Arial"/>
          <w:sz w:val="24"/>
          <w:szCs w:val="24"/>
        </w:rPr>
        <w:t>the safe and reliable electricity supply to customers. However</w:t>
      </w:r>
      <w:r w:rsidR="00A7189A">
        <w:rPr>
          <w:rFonts w:ascii="Arial" w:hAnsi="Arial" w:cs="Arial"/>
          <w:sz w:val="24"/>
          <w:szCs w:val="24"/>
        </w:rPr>
        <w:t>,</w:t>
      </w:r>
      <w:r w:rsidRPr="00785F4E">
        <w:rPr>
          <w:rFonts w:ascii="Arial" w:hAnsi="Arial" w:cs="Arial"/>
          <w:sz w:val="24"/>
          <w:szCs w:val="24"/>
        </w:rPr>
        <w:t xml:space="preserve"> the CCP would be conce</w:t>
      </w:r>
      <w:r>
        <w:rPr>
          <w:rFonts w:ascii="Arial" w:hAnsi="Arial" w:cs="Arial"/>
          <w:sz w:val="24"/>
          <w:szCs w:val="24"/>
        </w:rPr>
        <w:t>rned if the network distribut</w:t>
      </w:r>
      <w:r w:rsidRPr="00785F4E">
        <w:rPr>
          <w:rFonts w:ascii="Arial" w:hAnsi="Arial" w:cs="Arial"/>
          <w:sz w:val="24"/>
          <w:szCs w:val="24"/>
        </w:rPr>
        <w:t>o</w:t>
      </w:r>
      <w:r>
        <w:rPr>
          <w:rFonts w:ascii="Arial" w:hAnsi="Arial" w:cs="Arial"/>
          <w:sz w:val="24"/>
          <w:szCs w:val="24"/>
        </w:rPr>
        <w:t>r</w:t>
      </w:r>
      <w:r w:rsidRPr="00785F4E">
        <w:rPr>
          <w:rFonts w:ascii="Arial" w:hAnsi="Arial" w:cs="Arial"/>
          <w:sz w:val="24"/>
          <w:szCs w:val="24"/>
        </w:rPr>
        <w:t>s could recove</w:t>
      </w:r>
      <w:r>
        <w:rPr>
          <w:rFonts w:ascii="Arial" w:hAnsi="Arial" w:cs="Arial"/>
          <w:sz w:val="24"/>
          <w:szCs w:val="24"/>
        </w:rPr>
        <w:t>r twice for the provision of this s</w:t>
      </w:r>
      <w:r w:rsidRPr="00785F4E">
        <w:rPr>
          <w:rFonts w:ascii="Arial" w:hAnsi="Arial" w:cs="Arial"/>
          <w:sz w:val="24"/>
          <w:szCs w:val="24"/>
        </w:rPr>
        <w:t>ervice</w:t>
      </w:r>
      <w:r>
        <w:rPr>
          <w:rFonts w:ascii="Arial" w:hAnsi="Arial" w:cs="Arial"/>
          <w:sz w:val="24"/>
          <w:szCs w:val="24"/>
        </w:rPr>
        <w:t xml:space="preserve">: </w:t>
      </w:r>
      <w:r w:rsidRPr="00785F4E">
        <w:rPr>
          <w:rFonts w:ascii="Arial" w:hAnsi="Arial" w:cs="Arial"/>
          <w:sz w:val="24"/>
          <w:szCs w:val="24"/>
        </w:rPr>
        <w:t xml:space="preserve">once </w:t>
      </w:r>
      <w:r>
        <w:rPr>
          <w:rFonts w:ascii="Arial" w:hAnsi="Arial" w:cs="Arial"/>
          <w:sz w:val="24"/>
          <w:szCs w:val="24"/>
        </w:rPr>
        <w:t>f</w:t>
      </w:r>
      <w:r w:rsidRPr="00785F4E">
        <w:rPr>
          <w:rFonts w:ascii="Arial" w:hAnsi="Arial" w:cs="Arial"/>
          <w:sz w:val="24"/>
          <w:szCs w:val="24"/>
        </w:rPr>
        <w:t>r</w:t>
      </w:r>
      <w:r>
        <w:rPr>
          <w:rFonts w:ascii="Arial" w:hAnsi="Arial" w:cs="Arial"/>
          <w:sz w:val="24"/>
          <w:szCs w:val="24"/>
        </w:rPr>
        <w:t>o</w:t>
      </w:r>
      <w:r w:rsidR="00A7189A">
        <w:rPr>
          <w:rFonts w:ascii="Arial" w:hAnsi="Arial" w:cs="Arial"/>
          <w:sz w:val="24"/>
          <w:szCs w:val="24"/>
        </w:rPr>
        <w:t xml:space="preserve">m consumers and </w:t>
      </w:r>
      <w:r w:rsidRPr="00785F4E">
        <w:rPr>
          <w:rFonts w:ascii="Arial" w:hAnsi="Arial" w:cs="Arial"/>
          <w:sz w:val="24"/>
          <w:szCs w:val="24"/>
        </w:rPr>
        <w:t>again from the third part</w:t>
      </w:r>
      <w:r>
        <w:rPr>
          <w:rFonts w:ascii="Arial" w:hAnsi="Arial" w:cs="Arial"/>
          <w:sz w:val="24"/>
          <w:szCs w:val="24"/>
        </w:rPr>
        <w:t>y who ca</w:t>
      </w:r>
      <w:r w:rsidRPr="00785F4E">
        <w:rPr>
          <w:rFonts w:ascii="Arial" w:hAnsi="Arial" w:cs="Arial"/>
          <w:sz w:val="24"/>
          <w:szCs w:val="24"/>
        </w:rPr>
        <w:t xml:space="preserve">used the damage. The CCP notes that the distributors are incentivised under the Efficiency Benefit Sharing Scheme </w:t>
      </w:r>
      <w:r w:rsidRPr="00785F4E">
        <w:rPr>
          <w:rFonts w:ascii="Arial" w:hAnsi="Arial" w:cs="Arial"/>
          <w:sz w:val="24"/>
          <w:szCs w:val="24"/>
        </w:rPr>
        <w:lastRenderedPageBreak/>
        <w:t>(EBSS) to make operating expenditure (opex) savings of this natur</w:t>
      </w:r>
      <w:r>
        <w:rPr>
          <w:rFonts w:ascii="Arial" w:hAnsi="Arial" w:cs="Arial"/>
          <w:sz w:val="24"/>
          <w:szCs w:val="24"/>
        </w:rPr>
        <w:t xml:space="preserve">e and any recovery from a third party </w:t>
      </w:r>
      <w:r w:rsidRPr="00785F4E">
        <w:rPr>
          <w:rFonts w:ascii="Arial" w:hAnsi="Arial" w:cs="Arial"/>
          <w:sz w:val="24"/>
          <w:szCs w:val="24"/>
        </w:rPr>
        <w:t xml:space="preserve">would be netted off the regulatory asset base </w:t>
      </w:r>
      <w:r>
        <w:rPr>
          <w:rFonts w:ascii="Arial" w:hAnsi="Arial" w:cs="Arial"/>
          <w:sz w:val="24"/>
          <w:szCs w:val="24"/>
        </w:rPr>
        <w:t xml:space="preserve">(RAB) </w:t>
      </w:r>
      <w:r w:rsidRPr="00785F4E">
        <w:rPr>
          <w:rFonts w:ascii="Arial" w:hAnsi="Arial" w:cs="Arial"/>
          <w:sz w:val="24"/>
          <w:szCs w:val="24"/>
        </w:rPr>
        <w:t xml:space="preserve">and treated like a capital contribution. </w:t>
      </w:r>
      <w:r w:rsidR="00BA70C9">
        <w:rPr>
          <w:rFonts w:ascii="Arial" w:hAnsi="Arial" w:cs="Arial"/>
          <w:sz w:val="24"/>
          <w:szCs w:val="24"/>
        </w:rPr>
        <w:t xml:space="preserve">Whilst the EBSS applies to the distributors this over-recovery will be avoided. The CCP agrees with the AER’s proposal </w:t>
      </w:r>
      <w:r w:rsidRPr="00785F4E">
        <w:rPr>
          <w:rFonts w:ascii="Arial" w:hAnsi="Arial" w:cs="Arial"/>
          <w:sz w:val="24"/>
          <w:szCs w:val="24"/>
        </w:rPr>
        <w:t>to adopt this approach across all NEM jurisdictions.</w:t>
      </w:r>
      <w:r w:rsidR="007D7B5A">
        <w:rPr>
          <w:rFonts w:ascii="Arial" w:hAnsi="Arial" w:cs="Arial"/>
          <w:sz w:val="24"/>
          <w:szCs w:val="24"/>
        </w:rPr>
        <w:t xml:space="preserve"> Note also our response to EBSS as part of our discussion about incentive arrangements, section 5,</w:t>
      </w:r>
    </w:p>
    <w:p w14:paraId="76832306" w14:textId="77777777" w:rsidR="00785F4E" w:rsidRPr="003672D7" w:rsidRDefault="00785F4E" w:rsidP="00785F4E">
      <w:pPr>
        <w:spacing w:after="0"/>
      </w:pPr>
    </w:p>
    <w:p w14:paraId="449BB51E" w14:textId="080FC41B" w:rsidR="00886A88" w:rsidRDefault="00886A88" w:rsidP="00A7189A">
      <w:pPr>
        <w:pStyle w:val="Heading3"/>
        <w:numPr>
          <w:ilvl w:val="0"/>
          <w:numId w:val="32"/>
        </w:numPr>
        <w:rPr>
          <w:rFonts w:ascii="Arial" w:hAnsi="Arial" w:cs="Arial"/>
          <w:b w:val="0"/>
          <w:sz w:val="24"/>
          <w:szCs w:val="24"/>
          <w:u w:val="single"/>
        </w:rPr>
      </w:pPr>
      <w:r w:rsidRPr="00A7189A">
        <w:rPr>
          <w:rFonts w:ascii="Arial" w:hAnsi="Arial" w:cs="Arial"/>
          <w:b w:val="0"/>
          <w:sz w:val="24"/>
          <w:szCs w:val="24"/>
          <w:u w:val="single"/>
        </w:rPr>
        <w:t>Metering services</w:t>
      </w:r>
      <w:bookmarkEnd w:id="4"/>
      <w:bookmarkEnd w:id="5"/>
      <w:bookmarkEnd w:id="6"/>
    </w:p>
    <w:p w14:paraId="23678283" w14:textId="77777777" w:rsidR="00F924C6" w:rsidRDefault="00F924C6" w:rsidP="00F924C6">
      <w:pPr>
        <w:pStyle w:val="ListParagraph"/>
        <w:ind w:left="360"/>
      </w:pPr>
    </w:p>
    <w:p w14:paraId="6BE75E95" w14:textId="5B30BF64" w:rsidR="00F924C6" w:rsidRPr="00F924C6" w:rsidRDefault="00F924C6" w:rsidP="00141A67">
      <w:pPr>
        <w:pStyle w:val="ListParagraph"/>
        <w:ind w:left="0"/>
        <w:rPr>
          <w:rFonts w:ascii="Arial" w:hAnsi="Arial" w:cs="Arial"/>
          <w:sz w:val="24"/>
          <w:szCs w:val="24"/>
        </w:rPr>
      </w:pPr>
      <w:r w:rsidRPr="00F924C6">
        <w:rPr>
          <w:rFonts w:ascii="Arial" w:hAnsi="Arial" w:cs="Arial"/>
          <w:sz w:val="24"/>
          <w:szCs w:val="24"/>
        </w:rPr>
        <w:t>The CCP notes that the AER’s metering classification decisions in the F&amp;A are designed to reflect the recent rule change introduced by the AEMC to open up competition in metering services and give consumers more opportunities to access a wider range of metering services.</w:t>
      </w:r>
      <w:r w:rsidRPr="00F924C6">
        <w:rPr>
          <w:rStyle w:val="FootnoteReference"/>
          <w:rFonts w:ascii="Arial" w:hAnsi="Arial" w:cs="Arial"/>
          <w:sz w:val="24"/>
          <w:szCs w:val="24"/>
        </w:rPr>
        <w:footnoteReference w:id="3"/>
      </w:r>
      <w:r w:rsidRPr="00F924C6">
        <w:rPr>
          <w:rFonts w:ascii="Arial" w:hAnsi="Arial" w:cs="Arial"/>
          <w:sz w:val="24"/>
          <w:szCs w:val="24"/>
        </w:rPr>
        <w:t xml:space="preserve">  The new arrangements will commence on 1 December 2017 and have resulted in the AER changing classification of some metering services for the 2019−24 regulatory control period. </w:t>
      </w:r>
    </w:p>
    <w:p w14:paraId="078346C2" w14:textId="6CC8F654" w:rsidR="00141A67" w:rsidRDefault="00F924C6" w:rsidP="00141A67">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w:t>
      </w:r>
      <w:r w:rsidR="00A04FA4">
        <w:rPr>
          <w:rFonts w:ascii="Arial" w:hAnsi="Arial" w:cs="Arial"/>
          <w:b/>
          <w:color w:val="365F91" w:themeColor="accent1" w:themeShade="BF"/>
          <w:sz w:val="24"/>
          <w:szCs w:val="24"/>
        </w:rPr>
        <w:t>’s</w:t>
      </w:r>
      <w:r>
        <w:rPr>
          <w:rFonts w:ascii="Arial" w:hAnsi="Arial" w:cs="Arial"/>
          <w:b/>
          <w:color w:val="365F91" w:themeColor="accent1" w:themeShade="BF"/>
          <w:sz w:val="24"/>
          <w:szCs w:val="24"/>
        </w:rPr>
        <w:t xml:space="preserve"> preliminary position</w:t>
      </w:r>
    </w:p>
    <w:p w14:paraId="2DFFF407" w14:textId="00778338" w:rsidR="00F924C6" w:rsidRDefault="00F924C6" w:rsidP="00141A67">
      <w:pPr>
        <w:spacing w:after="0"/>
        <w:rPr>
          <w:rFonts w:ascii="Arial" w:hAnsi="Arial" w:cs="Arial"/>
          <w:sz w:val="24"/>
          <w:szCs w:val="24"/>
        </w:rPr>
      </w:pPr>
      <w:r w:rsidRPr="00F924C6">
        <w:rPr>
          <w:rFonts w:ascii="Arial" w:hAnsi="Arial" w:cs="Arial"/>
          <w:i/>
          <w:color w:val="000000" w:themeColor="text1"/>
          <w:sz w:val="24"/>
          <w:szCs w:val="24"/>
        </w:rPr>
        <w:t>Type 1 to 4 metering services</w:t>
      </w:r>
      <w:r w:rsidRPr="00F924C6">
        <w:rPr>
          <w:rFonts w:ascii="Arial" w:hAnsi="Arial" w:cs="Arial"/>
          <w:color w:val="000000" w:themeColor="text1"/>
          <w:sz w:val="24"/>
          <w:szCs w:val="24"/>
        </w:rPr>
        <w:t xml:space="preserve">: </w:t>
      </w:r>
      <w:r w:rsidRPr="00F924C6">
        <w:rPr>
          <w:rFonts w:ascii="Arial" w:hAnsi="Arial" w:cs="Arial"/>
          <w:sz w:val="24"/>
          <w:szCs w:val="24"/>
        </w:rPr>
        <w:t xml:space="preserve">as these meters are competitively available, the AER </w:t>
      </w:r>
      <w:r w:rsidRPr="000262B5">
        <w:rPr>
          <w:rFonts w:ascii="Arial" w:hAnsi="Arial" w:cs="Arial"/>
          <w:sz w:val="24"/>
          <w:szCs w:val="24"/>
        </w:rPr>
        <w:t xml:space="preserve">does not currently regulate them in </w:t>
      </w:r>
      <w:r w:rsidR="00ED6F0C">
        <w:rPr>
          <w:rFonts w:ascii="Arial" w:hAnsi="Arial" w:cs="Arial"/>
          <w:sz w:val="24"/>
          <w:szCs w:val="24"/>
        </w:rPr>
        <w:t>ACT</w:t>
      </w:r>
      <w:r w:rsidRPr="000262B5">
        <w:rPr>
          <w:rFonts w:ascii="Arial" w:hAnsi="Arial" w:cs="Arial"/>
          <w:sz w:val="24"/>
          <w:szCs w:val="24"/>
        </w:rPr>
        <w:t xml:space="preserve"> or in most other jurisdictions and the AER’s preliminary position is for them to remain unclassified. </w:t>
      </w:r>
    </w:p>
    <w:p w14:paraId="0CABA9FE" w14:textId="77777777" w:rsidR="0011334C" w:rsidRPr="00141A67" w:rsidRDefault="0011334C" w:rsidP="00141A67">
      <w:pPr>
        <w:spacing w:after="0"/>
        <w:rPr>
          <w:rFonts w:ascii="Arial" w:hAnsi="Arial" w:cs="Arial"/>
          <w:b/>
          <w:color w:val="365F91" w:themeColor="accent1" w:themeShade="BF"/>
          <w:sz w:val="24"/>
          <w:szCs w:val="24"/>
        </w:rPr>
      </w:pPr>
    </w:p>
    <w:p w14:paraId="345BD4DD" w14:textId="6A117CDB" w:rsidR="00886A88" w:rsidRPr="000262B5" w:rsidRDefault="00886A88" w:rsidP="000262B5">
      <w:pPr>
        <w:spacing w:after="0"/>
        <w:rPr>
          <w:rFonts w:ascii="Arial" w:hAnsi="Arial" w:cs="Arial"/>
          <w:sz w:val="24"/>
          <w:szCs w:val="24"/>
        </w:rPr>
      </w:pPr>
      <w:r w:rsidRPr="000262B5">
        <w:rPr>
          <w:rFonts w:ascii="Arial" w:hAnsi="Arial" w:cs="Arial"/>
          <w:i/>
          <w:color w:val="000000" w:themeColor="text1"/>
          <w:sz w:val="24"/>
          <w:szCs w:val="24"/>
        </w:rPr>
        <w:t>Type 5 and 6 metering services</w:t>
      </w:r>
      <w:r w:rsidR="00F924C6" w:rsidRPr="000262B5">
        <w:rPr>
          <w:rFonts w:ascii="Arial" w:hAnsi="Arial" w:cs="Arial"/>
          <w:color w:val="000000" w:themeColor="text1"/>
          <w:sz w:val="24"/>
          <w:szCs w:val="24"/>
        </w:rPr>
        <w:t>:</w:t>
      </w:r>
      <w:r w:rsidR="00F924C6" w:rsidRPr="000262B5">
        <w:rPr>
          <w:rFonts w:ascii="Arial" w:hAnsi="Arial" w:cs="Arial"/>
          <w:sz w:val="24"/>
          <w:szCs w:val="24"/>
        </w:rPr>
        <w:t xml:space="preserve"> Once the new rule is in effect the </w:t>
      </w:r>
      <w:r w:rsidR="00ED6F0C">
        <w:rPr>
          <w:rFonts w:ascii="Arial" w:hAnsi="Arial" w:cs="Arial"/>
          <w:sz w:val="24"/>
          <w:szCs w:val="24"/>
        </w:rPr>
        <w:t>ACT</w:t>
      </w:r>
      <w:r w:rsidR="00F924C6" w:rsidRPr="000262B5">
        <w:rPr>
          <w:rFonts w:ascii="Arial" w:hAnsi="Arial" w:cs="Arial"/>
          <w:sz w:val="24"/>
          <w:szCs w:val="24"/>
        </w:rPr>
        <w:t xml:space="preserve"> distributor will no longer be permitted to install or replace existing meters with type 5 or 6 meters, making then redundant services. The AER’s preliminary position is to not classify these services for the 2019−24 regulatory control period.  </w:t>
      </w:r>
    </w:p>
    <w:p w14:paraId="78980208" w14:textId="79D0AB3E" w:rsidR="000262B5" w:rsidRPr="000262B5" w:rsidRDefault="00886A88" w:rsidP="000262B5">
      <w:pPr>
        <w:pStyle w:val="Heading4notnumbered"/>
        <w:rPr>
          <w:rFonts w:cs="Arial"/>
          <w:b w:val="0"/>
          <w:color w:val="000000" w:themeColor="text1"/>
          <w:szCs w:val="24"/>
        </w:rPr>
      </w:pPr>
      <w:r w:rsidRPr="000262B5">
        <w:rPr>
          <w:rFonts w:cs="Arial"/>
          <w:b w:val="0"/>
          <w:i/>
          <w:color w:val="000000" w:themeColor="text1"/>
          <w:szCs w:val="24"/>
        </w:rPr>
        <w:t xml:space="preserve">Ancillary services </w:t>
      </w:r>
      <w:r w:rsidR="00F924C6" w:rsidRPr="000262B5">
        <w:rPr>
          <w:rFonts w:cs="Arial"/>
          <w:b w:val="0"/>
          <w:i/>
          <w:color w:val="000000" w:themeColor="text1"/>
          <w:szCs w:val="24"/>
        </w:rPr>
        <w:t>–</w:t>
      </w:r>
      <w:r w:rsidRPr="000262B5">
        <w:rPr>
          <w:rFonts w:cs="Arial"/>
          <w:b w:val="0"/>
          <w:i/>
          <w:color w:val="000000" w:themeColor="text1"/>
          <w:szCs w:val="24"/>
        </w:rPr>
        <w:t xml:space="preserve"> Metering</w:t>
      </w:r>
      <w:r w:rsidR="00F924C6" w:rsidRPr="000262B5">
        <w:rPr>
          <w:rFonts w:cs="Arial"/>
          <w:b w:val="0"/>
          <w:color w:val="000000" w:themeColor="text1"/>
          <w:szCs w:val="24"/>
        </w:rPr>
        <w:t>:</w:t>
      </w:r>
      <w:r w:rsidR="000262B5" w:rsidRPr="000262B5">
        <w:rPr>
          <w:rFonts w:cs="Arial"/>
          <w:b w:val="0"/>
          <w:color w:val="000000" w:themeColor="text1"/>
          <w:szCs w:val="24"/>
        </w:rPr>
        <w:t xml:space="preserve"> see discussion </w:t>
      </w:r>
      <w:r w:rsidR="000262B5">
        <w:rPr>
          <w:rFonts w:cs="Arial"/>
          <w:b w:val="0"/>
          <w:color w:val="000000" w:themeColor="text1"/>
          <w:szCs w:val="24"/>
        </w:rPr>
        <w:t>of anci</w:t>
      </w:r>
      <w:r w:rsidR="005F4CF9">
        <w:rPr>
          <w:rFonts w:cs="Arial"/>
          <w:b w:val="0"/>
          <w:color w:val="000000" w:themeColor="text1"/>
          <w:szCs w:val="24"/>
        </w:rPr>
        <w:t>llary services in 5</w:t>
      </w:r>
      <w:r w:rsidR="000262B5" w:rsidRPr="000262B5">
        <w:rPr>
          <w:rFonts w:cs="Arial"/>
          <w:b w:val="0"/>
          <w:color w:val="000000" w:themeColor="text1"/>
          <w:szCs w:val="24"/>
        </w:rPr>
        <w:t xml:space="preserve"> below</w:t>
      </w:r>
      <w:r w:rsidR="000262B5">
        <w:rPr>
          <w:rFonts w:cs="Arial"/>
          <w:b w:val="0"/>
          <w:color w:val="000000" w:themeColor="text1"/>
          <w:szCs w:val="24"/>
        </w:rPr>
        <w:t>.</w:t>
      </w:r>
    </w:p>
    <w:p w14:paraId="35D3FEE9" w14:textId="77777777" w:rsidR="000262B5" w:rsidRDefault="000262B5" w:rsidP="000262B5">
      <w:pPr>
        <w:spacing w:after="0"/>
        <w:rPr>
          <w:rFonts w:ascii="Arial" w:hAnsi="Arial" w:cs="Arial"/>
          <w:i/>
          <w:color w:val="000000" w:themeColor="text1"/>
          <w:sz w:val="24"/>
          <w:szCs w:val="24"/>
        </w:rPr>
      </w:pPr>
    </w:p>
    <w:p w14:paraId="1165E9D5" w14:textId="7A7048BF" w:rsidR="00886A88" w:rsidRPr="000262B5" w:rsidRDefault="00886A88" w:rsidP="0011334C">
      <w:pPr>
        <w:spacing w:after="0"/>
        <w:rPr>
          <w:rFonts w:ascii="Arial" w:hAnsi="Arial" w:cs="Arial"/>
          <w:sz w:val="24"/>
          <w:szCs w:val="24"/>
        </w:rPr>
      </w:pPr>
      <w:r w:rsidRPr="000262B5">
        <w:rPr>
          <w:rFonts w:ascii="Arial" w:hAnsi="Arial" w:cs="Arial"/>
          <w:i/>
          <w:color w:val="000000" w:themeColor="text1"/>
          <w:sz w:val="24"/>
          <w:szCs w:val="24"/>
        </w:rPr>
        <w:t>Type 7 metering services</w:t>
      </w:r>
      <w:r w:rsidR="00F924C6" w:rsidRPr="000262B5">
        <w:rPr>
          <w:rFonts w:ascii="Arial" w:hAnsi="Arial" w:cs="Arial"/>
          <w:color w:val="000000" w:themeColor="text1"/>
          <w:sz w:val="24"/>
          <w:szCs w:val="24"/>
        </w:rPr>
        <w:t>:</w:t>
      </w:r>
      <w:r w:rsidR="000262B5" w:rsidRPr="000262B5">
        <w:rPr>
          <w:rFonts w:ascii="Arial" w:hAnsi="Arial" w:cs="Arial"/>
          <w:sz w:val="24"/>
          <w:szCs w:val="24"/>
        </w:rPr>
        <w:t xml:space="preserve">  As </w:t>
      </w:r>
      <w:r w:rsidR="00ED6F0C">
        <w:rPr>
          <w:rFonts w:ascii="Arial" w:hAnsi="Arial" w:cs="Arial"/>
          <w:sz w:val="24"/>
          <w:szCs w:val="24"/>
        </w:rPr>
        <w:t>ActewAGL is</w:t>
      </w:r>
      <w:r w:rsidR="000262B5" w:rsidRPr="000262B5">
        <w:rPr>
          <w:rFonts w:ascii="Arial" w:hAnsi="Arial" w:cs="Arial"/>
          <w:sz w:val="24"/>
          <w:szCs w:val="24"/>
        </w:rPr>
        <w:t xml:space="preserve"> the monopoly providers of type 7 metering services in </w:t>
      </w:r>
      <w:r w:rsidR="00ED6F0C">
        <w:rPr>
          <w:rFonts w:ascii="Arial" w:hAnsi="Arial" w:cs="Arial"/>
          <w:sz w:val="24"/>
          <w:szCs w:val="24"/>
        </w:rPr>
        <w:t xml:space="preserve">ACT </w:t>
      </w:r>
      <w:r w:rsidR="000262B5">
        <w:rPr>
          <w:rFonts w:ascii="Arial" w:hAnsi="Arial" w:cs="Arial"/>
          <w:sz w:val="24"/>
          <w:szCs w:val="24"/>
        </w:rPr>
        <w:t>,</w:t>
      </w:r>
      <w:r w:rsidR="000262B5" w:rsidRPr="000262B5">
        <w:rPr>
          <w:rFonts w:ascii="Arial" w:hAnsi="Arial" w:cs="Arial"/>
          <w:sz w:val="24"/>
          <w:szCs w:val="24"/>
        </w:rPr>
        <w:t xml:space="preserve"> the AER’s preliminary position is to classify type 7 metering services as direct control services and as standard control services. This is a continuation of the current classification of type 7 metering services.</w:t>
      </w:r>
    </w:p>
    <w:p w14:paraId="07E0C71B" w14:textId="77777777" w:rsidR="00F4455E" w:rsidRDefault="00F4455E" w:rsidP="0011334C">
      <w:pPr>
        <w:spacing w:after="0"/>
        <w:rPr>
          <w:rFonts w:ascii="Arial" w:hAnsi="Arial" w:cs="Arial"/>
          <w:i/>
          <w:color w:val="000000" w:themeColor="text1"/>
          <w:sz w:val="24"/>
          <w:szCs w:val="24"/>
        </w:rPr>
      </w:pPr>
    </w:p>
    <w:p w14:paraId="78091ED2" w14:textId="4B51EFF0" w:rsidR="00CF620E" w:rsidRDefault="00886A88" w:rsidP="00F417FB">
      <w:pPr>
        <w:spacing w:after="0"/>
        <w:rPr>
          <w:rFonts w:ascii="Arial" w:hAnsi="Arial" w:cs="Arial"/>
          <w:sz w:val="24"/>
          <w:szCs w:val="24"/>
        </w:rPr>
      </w:pPr>
      <w:r w:rsidRPr="00F4455E">
        <w:rPr>
          <w:rFonts w:ascii="Arial" w:hAnsi="Arial" w:cs="Arial"/>
          <w:i/>
          <w:color w:val="000000" w:themeColor="text1"/>
          <w:sz w:val="24"/>
          <w:szCs w:val="24"/>
        </w:rPr>
        <w:t>Metering coordinator, metering provider, metering data provider</w:t>
      </w:r>
      <w:r w:rsidR="000262B5" w:rsidRPr="00F4455E">
        <w:rPr>
          <w:rFonts w:ascii="Arial" w:hAnsi="Arial" w:cs="Arial"/>
          <w:b/>
          <w:color w:val="000000" w:themeColor="text1"/>
          <w:sz w:val="24"/>
          <w:szCs w:val="24"/>
        </w:rPr>
        <w:t>:</w:t>
      </w:r>
      <w:r w:rsidR="00F4455E" w:rsidRPr="00F4455E">
        <w:rPr>
          <w:rFonts w:ascii="Arial" w:hAnsi="Arial" w:cs="Arial"/>
          <w:b/>
          <w:color w:val="000000" w:themeColor="text1"/>
          <w:sz w:val="24"/>
          <w:szCs w:val="24"/>
        </w:rPr>
        <w:t xml:space="preserve"> </w:t>
      </w:r>
      <w:r w:rsidR="00F4455E">
        <w:rPr>
          <w:rFonts w:ascii="Arial" w:hAnsi="Arial" w:cs="Arial"/>
          <w:sz w:val="24"/>
          <w:szCs w:val="24"/>
        </w:rPr>
        <w:t xml:space="preserve"> The AER’s preliminary </w:t>
      </w:r>
      <w:r w:rsidR="00F4455E" w:rsidRPr="00F4455E">
        <w:rPr>
          <w:rFonts w:ascii="Arial" w:hAnsi="Arial" w:cs="Arial"/>
          <w:sz w:val="24"/>
          <w:szCs w:val="24"/>
        </w:rPr>
        <w:t>approach is to classify these services</w:t>
      </w:r>
      <w:r w:rsidR="00CF620E">
        <w:rPr>
          <w:rFonts w:ascii="Arial" w:hAnsi="Arial" w:cs="Arial"/>
          <w:sz w:val="24"/>
          <w:szCs w:val="24"/>
        </w:rPr>
        <w:t xml:space="preserve"> as direct control services because there are no other licensed provider of connection services in the ACT</w:t>
      </w:r>
      <w:r w:rsidR="005F4CF9">
        <w:rPr>
          <w:rFonts w:ascii="Arial" w:hAnsi="Arial" w:cs="Arial"/>
          <w:sz w:val="24"/>
          <w:szCs w:val="24"/>
        </w:rPr>
        <w:t xml:space="preserve">. </w:t>
      </w:r>
    </w:p>
    <w:p w14:paraId="71253C68" w14:textId="7AED1D54" w:rsidR="00F4455E" w:rsidRDefault="00F4455E" w:rsidP="00F417FB">
      <w:pPr>
        <w:spacing w:after="0"/>
        <w:rPr>
          <w:rFonts w:ascii="Arial" w:hAnsi="Arial" w:cs="Arial"/>
          <w:sz w:val="24"/>
          <w:szCs w:val="24"/>
        </w:rPr>
      </w:pPr>
    </w:p>
    <w:p w14:paraId="443DAC49" w14:textId="77777777" w:rsidR="00A04FA4" w:rsidRDefault="00141A67" w:rsidP="00A04FA4">
      <w:pPr>
        <w:spacing w:after="0"/>
        <w:rPr>
          <w:rFonts w:ascii="Arial" w:hAnsi="Arial" w:cs="Arial"/>
          <w:b/>
          <w:color w:val="365F91" w:themeColor="accent1" w:themeShade="BF"/>
          <w:sz w:val="24"/>
          <w:szCs w:val="24"/>
        </w:rPr>
      </w:pPr>
      <w:r w:rsidRPr="00141A67">
        <w:rPr>
          <w:rFonts w:ascii="Arial" w:hAnsi="Arial" w:cs="Arial"/>
          <w:b/>
          <w:color w:val="365F91" w:themeColor="accent1" w:themeShade="BF"/>
          <w:sz w:val="24"/>
          <w:szCs w:val="24"/>
        </w:rPr>
        <w:t>CCP view</w:t>
      </w:r>
    </w:p>
    <w:p w14:paraId="59CD7256" w14:textId="4B60B2AA" w:rsidR="00854135" w:rsidRDefault="00E76DDC" w:rsidP="00A04FA4">
      <w:pPr>
        <w:spacing w:after="0"/>
        <w:rPr>
          <w:rFonts w:ascii="Arial" w:hAnsi="Arial" w:cs="Arial"/>
          <w:color w:val="000000" w:themeColor="text1"/>
          <w:sz w:val="24"/>
          <w:szCs w:val="24"/>
        </w:rPr>
      </w:pPr>
      <w:r w:rsidRPr="00E76DDC">
        <w:rPr>
          <w:rFonts w:ascii="Arial" w:hAnsi="Arial" w:cs="Arial"/>
          <w:color w:val="000000" w:themeColor="text1"/>
          <w:sz w:val="24"/>
          <w:szCs w:val="24"/>
        </w:rPr>
        <w:t>The CCP</w:t>
      </w:r>
      <w:r>
        <w:rPr>
          <w:rFonts w:ascii="Arial" w:hAnsi="Arial" w:cs="Arial"/>
          <w:color w:val="000000" w:themeColor="text1"/>
          <w:sz w:val="24"/>
          <w:szCs w:val="24"/>
        </w:rPr>
        <w:t xml:space="preserve"> welcomes the introduction of the AEMC’s metering contestability framework a</w:t>
      </w:r>
      <w:r w:rsidR="00801A22">
        <w:rPr>
          <w:rFonts w:ascii="Arial" w:hAnsi="Arial" w:cs="Arial"/>
          <w:color w:val="000000" w:themeColor="text1"/>
          <w:sz w:val="24"/>
          <w:szCs w:val="24"/>
        </w:rPr>
        <w:t>s this is</w:t>
      </w:r>
      <w:r>
        <w:rPr>
          <w:rFonts w:ascii="Arial" w:hAnsi="Arial" w:cs="Arial"/>
          <w:color w:val="000000" w:themeColor="text1"/>
          <w:sz w:val="24"/>
          <w:szCs w:val="24"/>
        </w:rPr>
        <w:t xml:space="preserve"> in the long-term interests of consumers</w:t>
      </w:r>
      <w:r w:rsidR="00CF620E">
        <w:rPr>
          <w:rFonts w:ascii="Arial" w:hAnsi="Arial" w:cs="Arial"/>
          <w:color w:val="000000" w:themeColor="text1"/>
          <w:sz w:val="24"/>
          <w:szCs w:val="24"/>
        </w:rPr>
        <w:t>, but recognises that the reality is some way off for the ACT</w:t>
      </w:r>
      <w:r>
        <w:rPr>
          <w:rFonts w:ascii="Arial" w:hAnsi="Arial" w:cs="Arial"/>
          <w:color w:val="000000" w:themeColor="text1"/>
          <w:sz w:val="24"/>
          <w:szCs w:val="24"/>
        </w:rPr>
        <w:t xml:space="preserve">. </w:t>
      </w:r>
    </w:p>
    <w:p w14:paraId="2527E2AF" w14:textId="77777777" w:rsidR="008370B5" w:rsidRDefault="008370B5" w:rsidP="00A04FA4">
      <w:pPr>
        <w:spacing w:after="0"/>
        <w:rPr>
          <w:rFonts w:ascii="Arial" w:hAnsi="Arial" w:cs="Arial"/>
          <w:color w:val="000000" w:themeColor="text1"/>
          <w:sz w:val="24"/>
          <w:szCs w:val="24"/>
        </w:rPr>
      </w:pPr>
    </w:p>
    <w:p w14:paraId="269797A8" w14:textId="69B21C4A" w:rsidR="00801A22" w:rsidRPr="00E76DDC" w:rsidRDefault="00801A22" w:rsidP="00E76DDC">
      <w:pPr>
        <w:spacing w:after="0"/>
        <w:rPr>
          <w:rFonts w:ascii="Arial" w:hAnsi="Arial" w:cs="Arial"/>
          <w:color w:val="000000" w:themeColor="text1"/>
          <w:sz w:val="24"/>
          <w:szCs w:val="24"/>
        </w:rPr>
      </w:pPr>
      <w:r>
        <w:rPr>
          <w:rFonts w:ascii="Arial" w:hAnsi="Arial" w:cs="Arial"/>
          <w:color w:val="000000" w:themeColor="text1"/>
          <w:sz w:val="24"/>
          <w:szCs w:val="24"/>
        </w:rPr>
        <w:lastRenderedPageBreak/>
        <w:t>The CCP agrees with the AER’s classification decisions for metering services</w:t>
      </w:r>
      <w:r w:rsidR="005F4CF9">
        <w:rPr>
          <w:rFonts w:ascii="Arial" w:hAnsi="Arial" w:cs="Arial"/>
          <w:color w:val="000000" w:themeColor="text1"/>
          <w:sz w:val="24"/>
          <w:szCs w:val="24"/>
        </w:rPr>
        <w:t>,</w:t>
      </w:r>
      <w:r>
        <w:rPr>
          <w:rFonts w:ascii="Arial" w:hAnsi="Arial" w:cs="Arial"/>
          <w:color w:val="000000" w:themeColor="text1"/>
          <w:sz w:val="24"/>
          <w:szCs w:val="24"/>
        </w:rPr>
        <w:t xml:space="preserve"> as </w:t>
      </w:r>
      <w:r w:rsidR="005F4CF9">
        <w:rPr>
          <w:rFonts w:ascii="Arial" w:hAnsi="Arial" w:cs="Arial"/>
          <w:color w:val="000000" w:themeColor="text1"/>
          <w:sz w:val="24"/>
          <w:szCs w:val="24"/>
        </w:rPr>
        <w:t>combined with the Ring-fenc</w:t>
      </w:r>
      <w:r w:rsidR="00854135">
        <w:rPr>
          <w:rFonts w:ascii="Arial" w:hAnsi="Arial" w:cs="Arial"/>
          <w:color w:val="000000" w:themeColor="text1"/>
          <w:sz w:val="24"/>
          <w:szCs w:val="24"/>
        </w:rPr>
        <w:t xml:space="preserve">ing guideline, </w:t>
      </w:r>
      <w:r>
        <w:rPr>
          <w:rFonts w:ascii="Arial" w:hAnsi="Arial" w:cs="Arial"/>
          <w:color w:val="000000" w:themeColor="text1"/>
          <w:sz w:val="24"/>
          <w:szCs w:val="24"/>
        </w:rPr>
        <w:t xml:space="preserve">they are consistent with fostering </w:t>
      </w:r>
      <w:r w:rsidR="00CF620E">
        <w:rPr>
          <w:rFonts w:ascii="Arial" w:hAnsi="Arial" w:cs="Arial"/>
          <w:color w:val="000000" w:themeColor="text1"/>
          <w:sz w:val="24"/>
          <w:szCs w:val="24"/>
        </w:rPr>
        <w:t xml:space="preserve">eventual </w:t>
      </w:r>
      <w:r>
        <w:rPr>
          <w:rFonts w:ascii="Arial" w:hAnsi="Arial" w:cs="Arial"/>
          <w:color w:val="000000" w:themeColor="text1"/>
          <w:sz w:val="24"/>
          <w:szCs w:val="24"/>
        </w:rPr>
        <w:t xml:space="preserve">competition in this nascent </w:t>
      </w:r>
      <w:r w:rsidR="005F4CF9">
        <w:rPr>
          <w:rFonts w:ascii="Arial" w:hAnsi="Arial" w:cs="Arial"/>
          <w:color w:val="000000" w:themeColor="text1"/>
          <w:sz w:val="24"/>
          <w:szCs w:val="24"/>
        </w:rPr>
        <w:t xml:space="preserve">third party </w:t>
      </w:r>
      <w:r>
        <w:rPr>
          <w:rFonts w:ascii="Arial" w:hAnsi="Arial" w:cs="Arial"/>
          <w:color w:val="000000" w:themeColor="text1"/>
          <w:sz w:val="24"/>
          <w:szCs w:val="24"/>
        </w:rPr>
        <w:t xml:space="preserve">market. </w:t>
      </w:r>
    </w:p>
    <w:p w14:paraId="370C8E56" w14:textId="77777777" w:rsidR="00141A67" w:rsidRDefault="00141A67" w:rsidP="00F4455E">
      <w:pPr>
        <w:rPr>
          <w:rFonts w:ascii="Arial" w:hAnsi="Arial" w:cs="Arial"/>
          <w:b/>
          <w:color w:val="365F91" w:themeColor="accent1" w:themeShade="BF"/>
          <w:sz w:val="24"/>
          <w:szCs w:val="24"/>
        </w:rPr>
      </w:pPr>
    </w:p>
    <w:p w14:paraId="54083745" w14:textId="77777777" w:rsidR="00854EAC" w:rsidRPr="00141A67" w:rsidRDefault="00854EAC" w:rsidP="00F4455E">
      <w:pPr>
        <w:rPr>
          <w:rFonts w:ascii="Arial" w:hAnsi="Arial" w:cs="Arial"/>
          <w:b/>
          <w:color w:val="365F91" w:themeColor="accent1" w:themeShade="BF"/>
          <w:sz w:val="24"/>
          <w:szCs w:val="24"/>
        </w:rPr>
      </w:pPr>
    </w:p>
    <w:p w14:paraId="3F8EC67E" w14:textId="316349C1" w:rsidR="00886A88" w:rsidRPr="00141A67" w:rsidRDefault="00886A88" w:rsidP="00141A67">
      <w:pPr>
        <w:pStyle w:val="Heading3"/>
        <w:numPr>
          <w:ilvl w:val="0"/>
          <w:numId w:val="32"/>
        </w:numPr>
        <w:rPr>
          <w:rFonts w:ascii="Arial" w:hAnsi="Arial" w:cs="Arial"/>
          <w:b w:val="0"/>
          <w:sz w:val="24"/>
          <w:szCs w:val="24"/>
          <w:u w:val="single"/>
        </w:rPr>
      </w:pPr>
      <w:bookmarkStart w:id="7" w:name="_Toc328151182"/>
      <w:bookmarkStart w:id="8" w:name="_Toc350358135"/>
      <w:bookmarkStart w:id="9" w:name="_Toc350446226"/>
      <w:bookmarkStart w:id="10" w:name="_Toc351729996"/>
      <w:bookmarkStart w:id="11" w:name="_Toc374085332"/>
      <w:bookmarkStart w:id="12" w:name="_Toc387418348"/>
      <w:bookmarkStart w:id="13" w:name="_Toc415733842"/>
      <w:bookmarkStart w:id="14" w:name="_Toc469661905"/>
      <w:bookmarkStart w:id="15" w:name="_Toc476747384"/>
      <w:r w:rsidRPr="00141A67">
        <w:rPr>
          <w:rFonts w:ascii="Arial" w:hAnsi="Arial" w:cs="Arial"/>
          <w:b w:val="0"/>
          <w:sz w:val="24"/>
          <w:szCs w:val="24"/>
          <w:u w:val="single"/>
        </w:rPr>
        <w:t>Connection services</w:t>
      </w:r>
      <w:bookmarkEnd w:id="7"/>
      <w:bookmarkEnd w:id="8"/>
      <w:bookmarkEnd w:id="9"/>
      <w:bookmarkEnd w:id="10"/>
      <w:bookmarkEnd w:id="11"/>
      <w:bookmarkEnd w:id="12"/>
      <w:bookmarkEnd w:id="13"/>
      <w:bookmarkEnd w:id="14"/>
      <w:bookmarkEnd w:id="15"/>
    </w:p>
    <w:p w14:paraId="70FC04A2" w14:textId="77777777" w:rsidR="00914677" w:rsidRDefault="00914677" w:rsidP="00914677">
      <w:pPr>
        <w:pStyle w:val="ListParagraph"/>
        <w:ind w:left="360"/>
      </w:pPr>
    </w:p>
    <w:p w14:paraId="0F4A9F69" w14:textId="4F19BB0A" w:rsidR="00914677" w:rsidRDefault="008F736F" w:rsidP="00914677">
      <w:pPr>
        <w:pStyle w:val="ListParagraph"/>
        <w:ind w:left="0"/>
        <w:rPr>
          <w:rFonts w:ascii="Arial" w:hAnsi="Arial" w:cs="Arial"/>
          <w:b/>
          <w:color w:val="365F91" w:themeColor="accent1" w:themeShade="BF"/>
          <w:sz w:val="24"/>
          <w:szCs w:val="24"/>
        </w:rPr>
      </w:pPr>
      <w:r>
        <w:rPr>
          <w:rFonts w:ascii="Arial" w:hAnsi="Arial" w:cs="Arial"/>
          <w:b/>
          <w:color w:val="365F91" w:themeColor="accent1" w:themeShade="BF"/>
          <w:sz w:val="24"/>
          <w:szCs w:val="24"/>
        </w:rPr>
        <w:t>AER’</w:t>
      </w:r>
      <w:r w:rsidR="00A04FA4" w:rsidRPr="008F736F">
        <w:rPr>
          <w:rFonts w:ascii="Arial" w:hAnsi="Arial" w:cs="Arial"/>
          <w:b/>
          <w:color w:val="365F91" w:themeColor="accent1" w:themeShade="BF"/>
          <w:sz w:val="24"/>
          <w:szCs w:val="24"/>
        </w:rPr>
        <w:t xml:space="preserve">s </w:t>
      </w:r>
      <w:r w:rsidR="00914677" w:rsidRPr="008F736F">
        <w:rPr>
          <w:rFonts w:ascii="Arial" w:hAnsi="Arial" w:cs="Arial"/>
          <w:b/>
          <w:color w:val="365F91" w:themeColor="accent1" w:themeShade="BF"/>
          <w:sz w:val="24"/>
          <w:szCs w:val="24"/>
        </w:rPr>
        <w:t>preliminary position</w:t>
      </w:r>
    </w:p>
    <w:p w14:paraId="632E340F" w14:textId="005D60A5" w:rsidR="00CF620E" w:rsidRDefault="00E91489" w:rsidP="00914677">
      <w:pPr>
        <w:pStyle w:val="ListParagraph"/>
        <w:ind w:left="0"/>
        <w:rPr>
          <w:rFonts w:ascii="Arial" w:hAnsi="Arial" w:cs="Arial"/>
          <w:sz w:val="24"/>
          <w:szCs w:val="24"/>
        </w:rPr>
      </w:pPr>
      <w:r>
        <w:rPr>
          <w:rFonts w:ascii="Arial" w:hAnsi="Arial" w:cs="Arial"/>
          <w:sz w:val="24"/>
          <w:szCs w:val="24"/>
        </w:rPr>
        <w:t>The AER proposes classifying connection services as ‘direct control services’ and retaining the ‘standard control service’ classification. The reasons being:</w:t>
      </w:r>
    </w:p>
    <w:p w14:paraId="14BF0CDE" w14:textId="49EE808C" w:rsidR="00E91489" w:rsidRDefault="00E91489" w:rsidP="00F417FB">
      <w:pPr>
        <w:pStyle w:val="ListParagraph"/>
        <w:numPr>
          <w:ilvl w:val="0"/>
          <w:numId w:val="6"/>
        </w:numPr>
        <w:rPr>
          <w:rFonts w:ascii="Arial" w:hAnsi="Arial" w:cs="Arial"/>
          <w:sz w:val="24"/>
          <w:szCs w:val="24"/>
        </w:rPr>
      </w:pPr>
      <w:r>
        <w:rPr>
          <w:rFonts w:ascii="Arial" w:hAnsi="Arial" w:cs="Arial"/>
          <w:sz w:val="24"/>
          <w:szCs w:val="24"/>
        </w:rPr>
        <w:t>There is very little chance of competition for connection services in the small ACT market.</w:t>
      </w:r>
    </w:p>
    <w:p w14:paraId="4888FA13" w14:textId="270C9E6D" w:rsidR="00E91489" w:rsidRDefault="00E91489" w:rsidP="00F417FB">
      <w:pPr>
        <w:pStyle w:val="ListParagraph"/>
        <w:numPr>
          <w:ilvl w:val="0"/>
          <w:numId w:val="6"/>
        </w:numPr>
        <w:rPr>
          <w:rFonts w:ascii="Arial" w:hAnsi="Arial" w:cs="Arial"/>
          <w:sz w:val="24"/>
          <w:szCs w:val="24"/>
        </w:rPr>
      </w:pPr>
      <w:r>
        <w:rPr>
          <w:rFonts w:ascii="Arial" w:hAnsi="Arial" w:cs="Arial"/>
          <w:sz w:val="24"/>
          <w:szCs w:val="24"/>
        </w:rPr>
        <w:t>There would be no material cost impacts on any major stakeholder of maintaining the current classification</w:t>
      </w:r>
    </w:p>
    <w:p w14:paraId="47080327" w14:textId="12B582EC" w:rsidR="00E91489" w:rsidRDefault="00E91489" w:rsidP="00F417FB">
      <w:pPr>
        <w:pStyle w:val="ListParagraph"/>
        <w:numPr>
          <w:ilvl w:val="0"/>
          <w:numId w:val="6"/>
        </w:numPr>
        <w:rPr>
          <w:rFonts w:ascii="Arial" w:hAnsi="Arial" w:cs="Arial"/>
          <w:sz w:val="24"/>
          <w:szCs w:val="24"/>
        </w:rPr>
      </w:pPr>
      <w:r>
        <w:rPr>
          <w:rFonts w:ascii="Arial" w:hAnsi="Arial" w:cs="Arial"/>
          <w:sz w:val="24"/>
          <w:szCs w:val="24"/>
        </w:rPr>
        <w:t>Most connections are of benefit to the customers requesting the service</w:t>
      </w:r>
    </w:p>
    <w:p w14:paraId="30E31551" w14:textId="66E4C4D4" w:rsidR="00E91489" w:rsidRPr="00F417FB" w:rsidRDefault="00E91489" w:rsidP="00F417FB">
      <w:pPr>
        <w:pStyle w:val="ListParagraph"/>
        <w:numPr>
          <w:ilvl w:val="0"/>
          <w:numId w:val="6"/>
        </w:numPr>
        <w:rPr>
          <w:rFonts w:ascii="Arial" w:hAnsi="Arial" w:cs="Arial"/>
          <w:sz w:val="24"/>
          <w:szCs w:val="24"/>
        </w:rPr>
      </w:pPr>
      <w:r>
        <w:rPr>
          <w:rFonts w:ascii="Arial" w:hAnsi="Arial" w:cs="Arial"/>
          <w:sz w:val="24"/>
          <w:szCs w:val="24"/>
        </w:rPr>
        <w:t>This is the same classification as applied in SA and Queensland, and so maintains consistency of approach for distribution businesses in similar circumstances.</w:t>
      </w:r>
    </w:p>
    <w:p w14:paraId="5ACD7992" w14:textId="32D3E7AB" w:rsidR="00914677" w:rsidRDefault="00573E0C" w:rsidP="00886A88">
      <w:pPr>
        <w:pStyle w:val="Heading4notnumbered"/>
        <w:rPr>
          <w:color w:val="365F91" w:themeColor="accent1" w:themeShade="BF"/>
        </w:rPr>
      </w:pPr>
      <w:r w:rsidRPr="00573E0C">
        <w:rPr>
          <w:color w:val="365F91" w:themeColor="accent1" w:themeShade="BF"/>
        </w:rPr>
        <w:t>CCP view</w:t>
      </w:r>
    </w:p>
    <w:p w14:paraId="066B46B1" w14:textId="10ED194D" w:rsidR="00573E0C" w:rsidRDefault="00EF7A52" w:rsidP="00513DD8">
      <w:pPr>
        <w:rPr>
          <w:rFonts w:ascii="Arial" w:hAnsi="Arial" w:cs="Arial"/>
          <w:color w:val="000000" w:themeColor="text1"/>
          <w:sz w:val="24"/>
          <w:szCs w:val="24"/>
        </w:rPr>
      </w:pPr>
      <w:r>
        <w:rPr>
          <w:rFonts w:ascii="Arial" w:hAnsi="Arial" w:cs="Arial"/>
          <w:color w:val="000000" w:themeColor="text1"/>
          <w:sz w:val="24"/>
          <w:szCs w:val="24"/>
        </w:rPr>
        <w:t>The CCP agrees with the AER’s classifications and notes that it</w:t>
      </w:r>
      <w:r w:rsidR="004157FD">
        <w:rPr>
          <w:rFonts w:ascii="Arial" w:hAnsi="Arial" w:cs="Arial"/>
          <w:color w:val="000000" w:themeColor="text1"/>
          <w:sz w:val="24"/>
          <w:szCs w:val="24"/>
        </w:rPr>
        <w:t>s approach of directly regulating augmentations</w:t>
      </w:r>
      <w:r>
        <w:rPr>
          <w:rFonts w:ascii="Arial" w:hAnsi="Arial" w:cs="Arial"/>
          <w:color w:val="000000" w:themeColor="text1"/>
          <w:sz w:val="24"/>
          <w:szCs w:val="24"/>
        </w:rPr>
        <w:t xml:space="preserve"> </w:t>
      </w:r>
      <w:r w:rsidR="004157FD">
        <w:rPr>
          <w:rFonts w:ascii="Arial" w:hAnsi="Arial" w:cs="Arial"/>
          <w:color w:val="000000" w:themeColor="text1"/>
          <w:sz w:val="24"/>
          <w:szCs w:val="24"/>
        </w:rPr>
        <w:t xml:space="preserve">is </w:t>
      </w:r>
      <w:r>
        <w:rPr>
          <w:rFonts w:ascii="Arial" w:hAnsi="Arial" w:cs="Arial"/>
          <w:color w:val="000000" w:themeColor="text1"/>
          <w:sz w:val="24"/>
          <w:szCs w:val="24"/>
        </w:rPr>
        <w:t xml:space="preserve">consistent with the classification of </w:t>
      </w:r>
      <w:r w:rsidRPr="00EF7A52">
        <w:rPr>
          <w:rFonts w:ascii="Arial" w:hAnsi="Arial" w:cs="Arial"/>
          <w:color w:val="000000" w:themeColor="text1"/>
          <w:sz w:val="24"/>
          <w:szCs w:val="24"/>
        </w:rPr>
        <w:t>connection services in other NEM jurisdictions as direct control services.</w:t>
      </w:r>
      <w:r w:rsidR="004157FD">
        <w:rPr>
          <w:rFonts w:ascii="Arial" w:hAnsi="Arial" w:cs="Arial"/>
          <w:color w:val="000000" w:themeColor="text1"/>
          <w:sz w:val="24"/>
          <w:szCs w:val="24"/>
        </w:rPr>
        <w:t xml:space="preserve"> In practice</w:t>
      </w:r>
      <w:r w:rsidR="00513DD8">
        <w:rPr>
          <w:rFonts w:ascii="Arial" w:hAnsi="Arial" w:cs="Arial"/>
          <w:color w:val="000000" w:themeColor="text1"/>
          <w:sz w:val="24"/>
          <w:szCs w:val="24"/>
        </w:rPr>
        <w:t>,</w:t>
      </w:r>
      <w:r w:rsidR="004157FD">
        <w:rPr>
          <w:rFonts w:ascii="Arial" w:hAnsi="Arial" w:cs="Arial"/>
          <w:color w:val="000000" w:themeColor="text1"/>
          <w:sz w:val="24"/>
          <w:szCs w:val="24"/>
        </w:rPr>
        <w:t xml:space="preserve"> there is</w:t>
      </w:r>
      <w:r w:rsidR="00513DD8">
        <w:rPr>
          <w:rFonts w:ascii="Arial" w:hAnsi="Arial" w:cs="Arial"/>
          <w:color w:val="000000" w:themeColor="text1"/>
          <w:sz w:val="24"/>
          <w:szCs w:val="24"/>
        </w:rPr>
        <w:t xml:space="preserve"> little alternative as the dist</w:t>
      </w:r>
      <w:r w:rsidR="004157FD">
        <w:rPr>
          <w:rFonts w:ascii="Arial" w:hAnsi="Arial" w:cs="Arial"/>
          <w:color w:val="000000" w:themeColor="text1"/>
          <w:sz w:val="24"/>
          <w:szCs w:val="24"/>
        </w:rPr>
        <w:t>r</w:t>
      </w:r>
      <w:r w:rsidR="00513DD8">
        <w:rPr>
          <w:rFonts w:ascii="Arial" w:hAnsi="Arial" w:cs="Arial"/>
          <w:color w:val="000000" w:themeColor="text1"/>
          <w:sz w:val="24"/>
          <w:szCs w:val="24"/>
        </w:rPr>
        <w:t>ib</w:t>
      </w:r>
      <w:r w:rsidR="004157FD">
        <w:rPr>
          <w:rFonts w:ascii="Arial" w:hAnsi="Arial" w:cs="Arial"/>
          <w:color w:val="000000" w:themeColor="text1"/>
          <w:sz w:val="24"/>
          <w:szCs w:val="24"/>
        </w:rPr>
        <w:t>u</w:t>
      </w:r>
      <w:r w:rsidR="00513DD8">
        <w:rPr>
          <w:rFonts w:ascii="Arial" w:hAnsi="Arial" w:cs="Arial"/>
          <w:color w:val="000000" w:themeColor="text1"/>
          <w:sz w:val="24"/>
          <w:szCs w:val="24"/>
        </w:rPr>
        <w:t>t</w:t>
      </w:r>
      <w:r w:rsidR="004157FD">
        <w:rPr>
          <w:rFonts w:ascii="Arial" w:hAnsi="Arial" w:cs="Arial"/>
          <w:color w:val="000000" w:themeColor="text1"/>
          <w:sz w:val="24"/>
          <w:szCs w:val="24"/>
        </w:rPr>
        <w:t>ors are not able to directly attribute augmentation costs to individual customers.</w:t>
      </w:r>
    </w:p>
    <w:p w14:paraId="15BE7D48" w14:textId="38500992" w:rsidR="00E96215" w:rsidRDefault="00854135" w:rsidP="00513DD8">
      <w:pPr>
        <w:rPr>
          <w:rFonts w:ascii="Arial" w:hAnsi="Arial" w:cs="Arial"/>
          <w:color w:val="000000" w:themeColor="text1"/>
          <w:sz w:val="24"/>
          <w:szCs w:val="24"/>
        </w:rPr>
      </w:pPr>
      <w:r>
        <w:rPr>
          <w:rFonts w:ascii="Arial" w:hAnsi="Arial" w:cs="Arial"/>
          <w:color w:val="000000" w:themeColor="text1"/>
          <w:sz w:val="24"/>
          <w:szCs w:val="24"/>
        </w:rPr>
        <w:t xml:space="preserve">The CCP is concerned that </w:t>
      </w:r>
      <w:r w:rsidR="00327528">
        <w:rPr>
          <w:rFonts w:ascii="Arial" w:hAnsi="Arial" w:cs="Arial"/>
          <w:color w:val="000000" w:themeColor="text1"/>
          <w:sz w:val="24"/>
          <w:szCs w:val="24"/>
        </w:rPr>
        <w:t>distributors</w:t>
      </w:r>
      <w:r>
        <w:rPr>
          <w:rFonts w:ascii="Arial" w:hAnsi="Arial" w:cs="Arial"/>
          <w:color w:val="000000" w:themeColor="text1"/>
          <w:sz w:val="24"/>
          <w:szCs w:val="24"/>
        </w:rPr>
        <w:t xml:space="preserve"> have limited incentive in supplying </w:t>
      </w:r>
      <w:r w:rsidR="00327528">
        <w:rPr>
          <w:rFonts w:ascii="Arial" w:hAnsi="Arial" w:cs="Arial"/>
          <w:color w:val="000000" w:themeColor="text1"/>
          <w:sz w:val="24"/>
          <w:szCs w:val="24"/>
        </w:rPr>
        <w:t>connection</w:t>
      </w:r>
      <w:r>
        <w:rPr>
          <w:rFonts w:ascii="Arial" w:hAnsi="Arial" w:cs="Arial"/>
          <w:color w:val="000000" w:themeColor="text1"/>
          <w:sz w:val="24"/>
          <w:szCs w:val="24"/>
        </w:rPr>
        <w:t xml:space="preserve"> services particularly augmentation </w:t>
      </w:r>
      <w:r w:rsidR="00327528">
        <w:rPr>
          <w:rFonts w:ascii="Arial" w:hAnsi="Arial" w:cs="Arial"/>
          <w:color w:val="000000" w:themeColor="text1"/>
          <w:sz w:val="24"/>
          <w:szCs w:val="24"/>
        </w:rPr>
        <w:t>services in</w:t>
      </w:r>
      <w:r>
        <w:rPr>
          <w:rFonts w:ascii="Arial" w:hAnsi="Arial" w:cs="Arial"/>
          <w:color w:val="000000" w:themeColor="text1"/>
          <w:sz w:val="24"/>
          <w:szCs w:val="24"/>
        </w:rPr>
        <w:t xml:space="preserve"> a timely way as connection services are excluded from STPIS</w:t>
      </w:r>
      <w:r w:rsidR="00786F29">
        <w:rPr>
          <w:rFonts w:ascii="Arial" w:hAnsi="Arial" w:cs="Arial"/>
          <w:color w:val="000000" w:themeColor="text1"/>
          <w:sz w:val="24"/>
          <w:szCs w:val="24"/>
        </w:rPr>
        <w:t xml:space="preserve"> which is discussed below.</w:t>
      </w:r>
    </w:p>
    <w:p w14:paraId="0BC3CA9B" w14:textId="47D8ECDA" w:rsidR="003C508A" w:rsidRPr="00513DD8" w:rsidRDefault="00854135" w:rsidP="00513DD8">
      <w:pPr>
        <w:rPr>
          <w:rFonts w:ascii="Arial" w:hAnsi="Arial" w:cs="Arial"/>
          <w:color w:val="000000" w:themeColor="text1"/>
          <w:sz w:val="24"/>
          <w:szCs w:val="24"/>
        </w:rPr>
      </w:pPr>
      <w:r>
        <w:rPr>
          <w:rFonts w:ascii="Arial" w:hAnsi="Arial" w:cs="Arial"/>
          <w:color w:val="000000" w:themeColor="text1"/>
          <w:sz w:val="24"/>
          <w:szCs w:val="24"/>
        </w:rPr>
        <w:t xml:space="preserve"> </w:t>
      </w:r>
    </w:p>
    <w:p w14:paraId="0FBA66B1" w14:textId="399E7AC0" w:rsidR="00513DD8" w:rsidRDefault="00886A88" w:rsidP="00786F29">
      <w:pPr>
        <w:pStyle w:val="Heading3"/>
        <w:numPr>
          <w:ilvl w:val="0"/>
          <w:numId w:val="32"/>
        </w:numPr>
        <w:rPr>
          <w:rFonts w:ascii="Arial" w:hAnsi="Arial" w:cs="Arial"/>
          <w:b w:val="0"/>
          <w:color w:val="365F91" w:themeColor="accent1" w:themeShade="BF"/>
          <w:sz w:val="24"/>
          <w:szCs w:val="24"/>
          <w:u w:val="single"/>
        </w:rPr>
      </w:pPr>
      <w:bookmarkStart w:id="16" w:name="_Toc350358137"/>
      <w:bookmarkStart w:id="17" w:name="_Toc350446228"/>
      <w:bookmarkStart w:id="18" w:name="_Toc351729998"/>
      <w:bookmarkStart w:id="19" w:name="_Toc374085334"/>
      <w:bookmarkStart w:id="20" w:name="_Toc387418350"/>
      <w:bookmarkStart w:id="21" w:name="_Toc476747385"/>
      <w:bookmarkStart w:id="22" w:name="_Toc415733843"/>
      <w:bookmarkStart w:id="23" w:name="_Toc469661906"/>
      <w:r w:rsidRPr="008F736F">
        <w:rPr>
          <w:rFonts w:ascii="Arial" w:hAnsi="Arial" w:cs="Arial"/>
          <w:b w:val="0"/>
          <w:color w:val="365F91" w:themeColor="accent1" w:themeShade="BF"/>
          <w:sz w:val="24"/>
          <w:szCs w:val="24"/>
          <w:u w:val="single"/>
        </w:rPr>
        <w:t>Ancillary services</w:t>
      </w:r>
      <w:bookmarkEnd w:id="16"/>
      <w:bookmarkEnd w:id="17"/>
      <w:bookmarkEnd w:id="18"/>
      <w:bookmarkEnd w:id="19"/>
      <w:bookmarkEnd w:id="20"/>
      <w:bookmarkEnd w:id="21"/>
      <w:r w:rsidRPr="008F736F">
        <w:rPr>
          <w:rFonts w:ascii="Arial" w:hAnsi="Arial" w:cs="Arial"/>
          <w:b w:val="0"/>
          <w:color w:val="365F91" w:themeColor="accent1" w:themeShade="BF"/>
          <w:sz w:val="24"/>
          <w:szCs w:val="24"/>
          <w:u w:val="single"/>
        </w:rPr>
        <w:t xml:space="preserve"> </w:t>
      </w:r>
      <w:bookmarkEnd w:id="22"/>
      <w:bookmarkEnd w:id="23"/>
    </w:p>
    <w:p w14:paraId="0FD7EEBF" w14:textId="77777777" w:rsidR="00786F29" w:rsidRPr="00786F29" w:rsidRDefault="00786F29" w:rsidP="00786F29">
      <w:pPr>
        <w:spacing w:after="0"/>
      </w:pPr>
    </w:p>
    <w:p w14:paraId="7D0259D5" w14:textId="64D6B4BD" w:rsidR="00513DD8" w:rsidRPr="008F736F" w:rsidRDefault="003C508A" w:rsidP="00786F29">
      <w:pPr>
        <w:spacing w:after="0"/>
        <w:rPr>
          <w:rFonts w:ascii="Arial" w:hAnsi="Arial" w:cs="Arial"/>
          <w:b/>
          <w:color w:val="365F91" w:themeColor="accent1" w:themeShade="BF"/>
          <w:sz w:val="24"/>
          <w:szCs w:val="24"/>
        </w:rPr>
      </w:pPr>
      <w:r w:rsidRPr="008F736F">
        <w:rPr>
          <w:rFonts w:ascii="Arial" w:hAnsi="Arial" w:cs="Arial"/>
          <w:b/>
          <w:color w:val="365F91" w:themeColor="accent1" w:themeShade="BF"/>
          <w:sz w:val="24"/>
          <w:szCs w:val="24"/>
        </w:rPr>
        <w:t>AER’s preliminary position</w:t>
      </w:r>
    </w:p>
    <w:p w14:paraId="1BE0A242" w14:textId="6B88060E" w:rsidR="003C508A" w:rsidRPr="003C508A" w:rsidRDefault="003C508A" w:rsidP="00AC62CB">
      <w:pPr>
        <w:spacing w:after="0"/>
        <w:rPr>
          <w:rFonts w:ascii="Arial" w:hAnsi="Arial" w:cs="Arial"/>
          <w:sz w:val="24"/>
          <w:szCs w:val="24"/>
        </w:rPr>
      </w:pPr>
      <w:r w:rsidRPr="003C508A">
        <w:rPr>
          <w:rFonts w:ascii="Arial" w:hAnsi="Arial" w:cs="Arial"/>
          <w:sz w:val="24"/>
          <w:szCs w:val="24"/>
        </w:rPr>
        <w:t>Th</w:t>
      </w:r>
      <w:r>
        <w:rPr>
          <w:rFonts w:ascii="Arial" w:hAnsi="Arial" w:cs="Arial"/>
          <w:sz w:val="24"/>
          <w:szCs w:val="24"/>
        </w:rPr>
        <w:t>e distributors may provide anci</w:t>
      </w:r>
      <w:r w:rsidRPr="003C508A">
        <w:rPr>
          <w:rFonts w:ascii="Arial" w:hAnsi="Arial" w:cs="Arial"/>
          <w:sz w:val="24"/>
          <w:szCs w:val="24"/>
        </w:rPr>
        <w:t>ll</w:t>
      </w:r>
      <w:r>
        <w:rPr>
          <w:rFonts w:ascii="Arial" w:hAnsi="Arial" w:cs="Arial"/>
          <w:sz w:val="24"/>
          <w:szCs w:val="24"/>
        </w:rPr>
        <w:t xml:space="preserve">ary </w:t>
      </w:r>
      <w:r w:rsidR="00786F29">
        <w:rPr>
          <w:rFonts w:ascii="Arial" w:hAnsi="Arial" w:cs="Arial"/>
          <w:sz w:val="24"/>
          <w:szCs w:val="24"/>
        </w:rPr>
        <w:t>‘</w:t>
      </w:r>
      <w:r>
        <w:rPr>
          <w:rFonts w:ascii="Arial" w:hAnsi="Arial" w:cs="Arial"/>
          <w:sz w:val="24"/>
          <w:szCs w:val="24"/>
        </w:rPr>
        <w:t>as needs</w:t>
      </w:r>
      <w:r w:rsidR="00786F29">
        <w:rPr>
          <w:rFonts w:ascii="Arial" w:hAnsi="Arial" w:cs="Arial"/>
          <w:sz w:val="24"/>
          <w:szCs w:val="24"/>
        </w:rPr>
        <w:t xml:space="preserve">’ </w:t>
      </w:r>
      <w:r w:rsidRPr="003C508A">
        <w:rPr>
          <w:rFonts w:ascii="Arial" w:hAnsi="Arial" w:cs="Arial"/>
          <w:sz w:val="24"/>
          <w:szCs w:val="24"/>
        </w:rPr>
        <w:t>services to customers inc</w:t>
      </w:r>
      <w:r>
        <w:rPr>
          <w:rFonts w:ascii="Arial" w:hAnsi="Arial" w:cs="Arial"/>
          <w:sz w:val="24"/>
          <w:szCs w:val="24"/>
        </w:rPr>
        <w:t>l</w:t>
      </w:r>
      <w:r w:rsidRPr="003C508A">
        <w:rPr>
          <w:rFonts w:ascii="Arial" w:hAnsi="Arial" w:cs="Arial"/>
          <w:sz w:val="24"/>
          <w:szCs w:val="24"/>
        </w:rPr>
        <w:t>ud</w:t>
      </w:r>
      <w:r w:rsidR="00786F29">
        <w:rPr>
          <w:rFonts w:ascii="Arial" w:hAnsi="Arial" w:cs="Arial"/>
          <w:sz w:val="24"/>
          <w:szCs w:val="24"/>
        </w:rPr>
        <w:t>ing metering services on a regulated cost</w:t>
      </w:r>
      <w:r w:rsidRPr="003C508A">
        <w:rPr>
          <w:rFonts w:ascii="Arial" w:hAnsi="Arial" w:cs="Arial"/>
          <w:sz w:val="24"/>
          <w:szCs w:val="24"/>
        </w:rPr>
        <w:t xml:space="preserve"> recovery </w:t>
      </w:r>
      <w:r>
        <w:rPr>
          <w:rFonts w:ascii="Arial" w:hAnsi="Arial" w:cs="Arial"/>
          <w:sz w:val="24"/>
          <w:szCs w:val="24"/>
        </w:rPr>
        <w:t>basis. As</w:t>
      </w:r>
      <w:r w:rsidRPr="003C508A">
        <w:rPr>
          <w:rFonts w:ascii="Arial" w:hAnsi="Arial" w:cs="Arial"/>
          <w:sz w:val="24"/>
          <w:szCs w:val="24"/>
        </w:rPr>
        <w:t xml:space="preserve"> the AER</w:t>
      </w:r>
      <w:r>
        <w:rPr>
          <w:rFonts w:ascii="Arial" w:hAnsi="Arial" w:cs="Arial"/>
          <w:sz w:val="24"/>
          <w:szCs w:val="24"/>
        </w:rPr>
        <w:t xml:space="preserve"> </w:t>
      </w:r>
      <w:r w:rsidR="00327528">
        <w:rPr>
          <w:rFonts w:ascii="Arial" w:hAnsi="Arial" w:cs="Arial"/>
          <w:sz w:val="24"/>
          <w:szCs w:val="24"/>
        </w:rPr>
        <w:t>notes,</w:t>
      </w:r>
      <w:r>
        <w:rPr>
          <w:rFonts w:ascii="Arial" w:hAnsi="Arial" w:cs="Arial"/>
          <w:sz w:val="24"/>
          <w:szCs w:val="24"/>
        </w:rPr>
        <w:t xml:space="preserve"> there are important anci</w:t>
      </w:r>
      <w:r w:rsidRPr="003C508A">
        <w:rPr>
          <w:rFonts w:ascii="Arial" w:hAnsi="Arial" w:cs="Arial"/>
          <w:sz w:val="24"/>
          <w:szCs w:val="24"/>
        </w:rPr>
        <w:t xml:space="preserve">llary metering services which will facilitate increased competition in the metering market. The AER’s preliminary position is to classify </w:t>
      </w:r>
      <w:r w:rsidR="004C1DE4">
        <w:rPr>
          <w:rFonts w:ascii="Arial" w:hAnsi="Arial" w:cs="Arial"/>
          <w:sz w:val="24"/>
          <w:szCs w:val="24"/>
        </w:rPr>
        <w:t>ancillary</w:t>
      </w:r>
      <w:r w:rsidRPr="003C508A">
        <w:rPr>
          <w:rFonts w:ascii="Arial" w:hAnsi="Arial" w:cs="Arial"/>
          <w:sz w:val="24"/>
          <w:szCs w:val="24"/>
        </w:rPr>
        <w:t xml:space="preserve"> servi</w:t>
      </w:r>
      <w:r>
        <w:rPr>
          <w:rFonts w:ascii="Arial" w:hAnsi="Arial" w:cs="Arial"/>
          <w:sz w:val="24"/>
          <w:szCs w:val="24"/>
        </w:rPr>
        <w:t>c</w:t>
      </w:r>
      <w:r w:rsidRPr="003C508A">
        <w:rPr>
          <w:rFonts w:ascii="Arial" w:hAnsi="Arial" w:cs="Arial"/>
          <w:sz w:val="24"/>
          <w:szCs w:val="24"/>
        </w:rPr>
        <w:t>es as direct control services</w:t>
      </w:r>
      <w:r w:rsidR="004C1DE4">
        <w:rPr>
          <w:rFonts w:ascii="Arial" w:hAnsi="Arial" w:cs="Arial"/>
          <w:sz w:val="24"/>
          <w:szCs w:val="24"/>
        </w:rPr>
        <w:t xml:space="preserve"> and to classify ancillary services as alternative control services because these services are provided to specific customers and so costing is transparent</w:t>
      </w:r>
    </w:p>
    <w:p w14:paraId="2D769EAF" w14:textId="77777777" w:rsidR="003C508A" w:rsidRPr="003C508A" w:rsidRDefault="003C508A" w:rsidP="00AC62CB">
      <w:pPr>
        <w:spacing w:after="0"/>
        <w:rPr>
          <w:rFonts w:ascii="Arial" w:hAnsi="Arial" w:cs="Arial"/>
          <w:sz w:val="24"/>
          <w:szCs w:val="24"/>
        </w:rPr>
      </w:pPr>
    </w:p>
    <w:p w14:paraId="688D2FD9" w14:textId="1AC0BE0C" w:rsidR="003C508A" w:rsidRPr="003C508A" w:rsidRDefault="003C508A" w:rsidP="00AC62CB">
      <w:pPr>
        <w:spacing w:after="0"/>
        <w:rPr>
          <w:rFonts w:ascii="Arial" w:hAnsi="Arial" w:cs="Arial"/>
          <w:b/>
          <w:color w:val="365F91" w:themeColor="accent1" w:themeShade="BF"/>
          <w:sz w:val="24"/>
          <w:szCs w:val="24"/>
        </w:rPr>
      </w:pPr>
      <w:r w:rsidRPr="003C508A">
        <w:rPr>
          <w:rFonts w:ascii="Arial" w:hAnsi="Arial" w:cs="Arial"/>
          <w:b/>
          <w:color w:val="365F91" w:themeColor="accent1" w:themeShade="BF"/>
          <w:sz w:val="24"/>
          <w:szCs w:val="24"/>
        </w:rPr>
        <w:t>CCP view</w:t>
      </w:r>
    </w:p>
    <w:p w14:paraId="0735189C" w14:textId="34DA7AE6" w:rsidR="00E96215" w:rsidRDefault="003C508A" w:rsidP="00AC62CB">
      <w:pPr>
        <w:spacing w:after="0"/>
        <w:rPr>
          <w:rFonts w:ascii="Arial" w:hAnsi="Arial" w:cs="Arial"/>
          <w:sz w:val="24"/>
          <w:szCs w:val="24"/>
        </w:rPr>
      </w:pPr>
      <w:r w:rsidRPr="003C508A">
        <w:rPr>
          <w:rFonts w:ascii="Arial" w:hAnsi="Arial" w:cs="Arial"/>
          <w:sz w:val="24"/>
          <w:szCs w:val="24"/>
        </w:rPr>
        <w:lastRenderedPageBreak/>
        <w:t xml:space="preserve">The CCP supports this classification as it </w:t>
      </w:r>
      <w:r w:rsidR="004C1DE4">
        <w:rPr>
          <w:rFonts w:ascii="Arial" w:hAnsi="Arial" w:cs="Arial"/>
          <w:sz w:val="24"/>
          <w:szCs w:val="24"/>
        </w:rPr>
        <w:t>is transparent for consumers.</w:t>
      </w:r>
    </w:p>
    <w:p w14:paraId="3F6740EC" w14:textId="1AFDCD6D" w:rsidR="003C508A" w:rsidRPr="00AC62CB" w:rsidRDefault="003C508A" w:rsidP="00AC62CB">
      <w:pPr>
        <w:spacing w:after="0"/>
        <w:rPr>
          <w:rFonts w:ascii="Arial" w:hAnsi="Arial" w:cs="Arial"/>
          <w:sz w:val="24"/>
          <w:szCs w:val="24"/>
        </w:rPr>
      </w:pPr>
      <w:r w:rsidRPr="003C508A">
        <w:rPr>
          <w:rFonts w:ascii="Arial" w:hAnsi="Arial" w:cs="Arial"/>
          <w:sz w:val="24"/>
          <w:szCs w:val="24"/>
        </w:rPr>
        <w:t xml:space="preserve"> </w:t>
      </w:r>
    </w:p>
    <w:p w14:paraId="27FC3CC1" w14:textId="41653770" w:rsidR="00886A88" w:rsidRPr="008F736F" w:rsidRDefault="00886A88" w:rsidP="00AC62CB">
      <w:pPr>
        <w:pStyle w:val="Heading3"/>
        <w:numPr>
          <w:ilvl w:val="0"/>
          <w:numId w:val="32"/>
        </w:numPr>
        <w:rPr>
          <w:rFonts w:ascii="Arial" w:hAnsi="Arial" w:cs="Arial"/>
          <w:b w:val="0"/>
          <w:color w:val="365F91" w:themeColor="accent1" w:themeShade="BF"/>
          <w:sz w:val="24"/>
          <w:szCs w:val="24"/>
          <w:u w:val="single"/>
        </w:rPr>
      </w:pPr>
      <w:bookmarkStart w:id="24" w:name="_Toc476747387"/>
      <w:r w:rsidRPr="008F736F">
        <w:rPr>
          <w:rFonts w:ascii="Arial" w:hAnsi="Arial" w:cs="Arial"/>
          <w:b w:val="0"/>
          <w:color w:val="365F91" w:themeColor="accent1" w:themeShade="BF"/>
          <w:sz w:val="24"/>
          <w:szCs w:val="24"/>
          <w:u w:val="single"/>
        </w:rPr>
        <w:t>Unregulated distribution services</w:t>
      </w:r>
      <w:bookmarkEnd w:id="24"/>
    </w:p>
    <w:p w14:paraId="196EC71E" w14:textId="77777777" w:rsidR="0011334C" w:rsidRPr="0011334C" w:rsidRDefault="0011334C" w:rsidP="00AC62CB">
      <w:pPr>
        <w:spacing w:after="0"/>
        <w:rPr>
          <w:rFonts w:ascii="Arial" w:hAnsi="Arial" w:cs="Arial"/>
          <w:b/>
          <w:color w:val="365F91" w:themeColor="accent1" w:themeShade="BF"/>
          <w:sz w:val="24"/>
          <w:szCs w:val="24"/>
        </w:rPr>
      </w:pPr>
    </w:p>
    <w:p w14:paraId="49D977AE" w14:textId="50955A07" w:rsidR="0011334C" w:rsidRPr="0011334C" w:rsidRDefault="0011334C" w:rsidP="00F30DD6">
      <w:pPr>
        <w:spacing w:after="0"/>
        <w:rPr>
          <w:rFonts w:ascii="Arial" w:hAnsi="Arial" w:cs="Arial"/>
          <w:b/>
          <w:color w:val="365F91" w:themeColor="accent1" w:themeShade="BF"/>
          <w:sz w:val="24"/>
          <w:szCs w:val="24"/>
        </w:rPr>
      </w:pPr>
      <w:r w:rsidRPr="0011334C">
        <w:rPr>
          <w:rFonts w:ascii="Arial" w:hAnsi="Arial" w:cs="Arial"/>
          <w:b/>
          <w:color w:val="365F91" w:themeColor="accent1" w:themeShade="BF"/>
          <w:sz w:val="24"/>
          <w:szCs w:val="24"/>
        </w:rPr>
        <w:t>AER’s preliminary position</w:t>
      </w:r>
    </w:p>
    <w:p w14:paraId="48537AD3" w14:textId="124B906B" w:rsidR="00E96215" w:rsidRPr="00F30DD6" w:rsidRDefault="008B5779" w:rsidP="00F30DD6">
      <w:pPr>
        <w:rPr>
          <w:rFonts w:ascii="Arial" w:hAnsi="Arial" w:cs="Arial"/>
          <w:sz w:val="24"/>
          <w:szCs w:val="24"/>
        </w:rPr>
      </w:pPr>
      <w:r w:rsidRPr="00E72B8B">
        <w:rPr>
          <w:rFonts w:ascii="Arial" w:hAnsi="Arial" w:cs="Arial"/>
          <w:sz w:val="24"/>
          <w:szCs w:val="24"/>
        </w:rPr>
        <w:t xml:space="preserve">In approaching classification of unregulated distribution services, distributors (and the AER) will need to consider if the service would be better offered by an affiliate and therefore not classified. Where a distributor does not wish to set up a </w:t>
      </w:r>
      <w:r w:rsidR="00327528" w:rsidRPr="00E72B8B">
        <w:rPr>
          <w:rFonts w:ascii="Arial" w:hAnsi="Arial" w:cs="Arial"/>
          <w:sz w:val="24"/>
          <w:szCs w:val="24"/>
        </w:rPr>
        <w:t>ring-fenced</w:t>
      </w:r>
      <w:r w:rsidRPr="00E72B8B">
        <w:rPr>
          <w:rFonts w:ascii="Arial" w:hAnsi="Arial" w:cs="Arial"/>
          <w:sz w:val="24"/>
          <w:szCs w:val="24"/>
        </w:rPr>
        <w:t xml:space="preserve"> </w:t>
      </w:r>
      <w:r w:rsidR="00327528" w:rsidRPr="00E72B8B">
        <w:rPr>
          <w:rFonts w:ascii="Arial" w:hAnsi="Arial" w:cs="Arial"/>
          <w:sz w:val="24"/>
          <w:szCs w:val="24"/>
        </w:rPr>
        <w:t>affiliate</w:t>
      </w:r>
      <w:r w:rsidRPr="00E72B8B">
        <w:rPr>
          <w:rFonts w:ascii="Arial" w:hAnsi="Arial" w:cs="Arial"/>
          <w:sz w:val="24"/>
          <w:szCs w:val="24"/>
        </w:rPr>
        <w:t xml:space="preserve"> to supply the service the AER would classify this as a</w:t>
      </w:r>
      <w:r w:rsidR="00F30DD6">
        <w:rPr>
          <w:rFonts w:ascii="Arial" w:hAnsi="Arial" w:cs="Arial"/>
          <w:sz w:val="24"/>
          <w:szCs w:val="24"/>
        </w:rPr>
        <w:t xml:space="preserve"> distribution service</w:t>
      </w:r>
      <w:r w:rsidRPr="00E72B8B">
        <w:rPr>
          <w:rFonts w:ascii="Arial" w:hAnsi="Arial" w:cs="Arial"/>
          <w:sz w:val="24"/>
          <w:szCs w:val="24"/>
        </w:rPr>
        <w:t xml:space="preserve"> and as </w:t>
      </w:r>
      <w:r w:rsidR="00F30DD6">
        <w:rPr>
          <w:rFonts w:ascii="Arial" w:hAnsi="Arial" w:cs="Arial"/>
          <w:sz w:val="24"/>
          <w:szCs w:val="24"/>
        </w:rPr>
        <w:t xml:space="preserve">an </w:t>
      </w:r>
      <w:r w:rsidRPr="00E72B8B">
        <w:rPr>
          <w:rFonts w:ascii="Arial" w:hAnsi="Arial" w:cs="Arial"/>
          <w:sz w:val="24"/>
          <w:szCs w:val="24"/>
        </w:rPr>
        <w:t xml:space="preserve">alternative </w:t>
      </w:r>
      <w:r w:rsidR="00F30DD6">
        <w:rPr>
          <w:rFonts w:ascii="Arial" w:hAnsi="Arial" w:cs="Arial"/>
          <w:sz w:val="24"/>
          <w:szCs w:val="24"/>
        </w:rPr>
        <w:t>control service</w:t>
      </w:r>
      <w:r w:rsidRPr="00E72B8B">
        <w:rPr>
          <w:rFonts w:ascii="Arial" w:hAnsi="Arial" w:cs="Arial"/>
          <w:sz w:val="24"/>
          <w:szCs w:val="24"/>
        </w:rPr>
        <w:t>. As part of the distribution determination, the AER would then set a cost-reflective price for the service based on information provided by the distributor. The AER is expecting that there will be</w:t>
      </w:r>
      <w:r w:rsidR="00F30DD6">
        <w:rPr>
          <w:rFonts w:ascii="Arial" w:hAnsi="Arial" w:cs="Arial"/>
          <w:sz w:val="24"/>
          <w:szCs w:val="24"/>
        </w:rPr>
        <w:t xml:space="preserve"> several </w:t>
      </w:r>
      <w:r w:rsidRPr="00E72B8B">
        <w:rPr>
          <w:rFonts w:ascii="Arial" w:hAnsi="Arial" w:cs="Arial"/>
          <w:sz w:val="24"/>
          <w:szCs w:val="24"/>
        </w:rPr>
        <w:t xml:space="preserve">distribution services that distributors may propose to provide on a ring-fenced basis that are currently unregulated services. </w:t>
      </w:r>
    </w:p>
    <w:p w14:paraId="5F01818C" w14:textId="57D3B585" w:rsidR="008B5779" w:rsidRPr="00E72B8B" w:rsidRDefault="008B5779" w:rsidP="0011334C">
      <w:pPr>
        <w:spacing w:after="0"/>
        <w:rPr>
          <w:rFonts w:ascii="Arial" w:hAnsi="Arial" w:cs="Arial"/>
          <w:b/>
          <w:color w:val="365F91" w:themeColor="accent1" w:themeShade="BF"/>
          <w:sz w:val="24"/>
          <w:szCs w:val="24"/>
        </w:rPr>
      </w:pPr>
      <w:r w:rsidRPr="00E72B8B">
        <w:rPr>
          <w:rFonts w:ascii="Arial" w:hAnsi="Arial" w:cs="Arial"/>
          <w:b/>
          <w:color w:val="365F91" w:themeColor="accent1" w:themeShade="BF"/>
          <w:sz w:val="24"/>
          <w:szCs w:val="24"/>
        </w:rPr>
        <w:t>CCP view</w:t>
      </w:r>
    </w:p>
    <w:p w14:paraId="4DC3D3CA" w14:textId="0A1FE804" w:rsidR="004A6E0E" w:rsidRPr="00E72B8B" w:rsidRDefault="008B5779" w:rsidP="001B6823">
      <w:pPr>
        <w:rPr>
          <w:rFonts w:ascii="Arial" w:hAnsi="Arial" w:cs="Arial"/>
          <w:sz w:val="24"/>
          <w:szCs w:val="24"/>
        </w:rPr>
      </w:pPr>
      <w:r w:rsidRPr="00E72B8B">
        <w:rPr>
          <w:rFonts w:ascii="Arial" w:hAnsi="Arial" w:cs="Arial"/>
          <w:sz w:val="24"/>
          <w:szCs w:val="24"/>
        </w:rPr>
        <w:t>The observations made by the AER on unregulated distribution services merely reflect the consequence of t</w:t>
      </w:r>
      <w:r w:rsidR="00E72B8B">
        <w:rPr>
          <w:rFonts w:ascii="Arial" w:hAnsi="Arial" w:cs="Arial"/>
          <w:sz w:val="24"/>
          <w:szCs w:val="24"/>
        </w:rPr>
        <w:t>he intro</w:t>
      </w:r>
      <w:r w:rsidR="00F30DD6">
        <w:rPr>
          <w:rFonts w:ascii="Arial" w:hAnsi="Arial" w:cs="Arial"/>
          <w:sz w:val="24"/>
          <w:szCs w:val="24"/>
        </w:rPr>
        <w:t>duction of the AER’s Ring-f</w:t>
      </w:r>
      <w:r w:rsidRPr="00E72B8B">
        <w:rPr>
          <w:rFonts w:ascii="Arial" w:hAnsi="Arial" w:cs="Arial"/>
          <w:sz w:val="24"/>
          <w:szCs w:val="24"/>
        </w:rPr>
        <w:t>encing guid</w:t>
      </w:r>
      <w:r w:rsidR="00E72B8B">
        <w:rPr>
          <w:rFonts w:ascii="Arial" w:hAnsi="Arial" w:cs="Arial"/>
          <w:sz w:val="24"/>
          <w:szCs w:val="24"/>
        </w:rPr>
        <w:t>e</w:t>
      </w:r>
      <w:r w:rsidR="00F30DD6">
        <w:rPr>
          <w:rFonts w:ascii="Arial" w:hAnsi="Arial" w:cs="Arial"/>
          <w:sz w:val="24"/>
          <w:szCs w:val="24"/>
        </w:rPr>
        <w:t>line</w:t>
      </w:r>
      <w:r w:rsidRPr="00E72B8B">
        <w:rPr>
          <w:rFonts w:ascii="Arial" w:hAnsi="Arial" w:cs="Arial"/>
          <w:sz w:val="24"/>
          <w:szCs w:val="24"/>
        </w:rPr>
        <w:t xml:space="preserve">. </w:t>
      </w:r>
    </w:p>
    <w:p w14:paraId="7626D1FD" w14:textId="31CDB847" w:rsidR="00324D26" w:rsidRPr="00657634" w:rsidRDefault="00324D26" w:rsidP="00886A88">
      <w:pPr>
        <w:rPr>
          <w:rFonts w:ascii="Arial" w:eastAsia="Times New Roman" w:hAnsi="Arial" w:cs="Arial"/>
          <w:sz w:val="24"/>
          <w:szCs w:val="24"/>
          <w:lang w:val="en-GB" w:eastAsia="en-GB"/>
        </w:rPr>
      </w:pPr>
    </w:p>
    <w:p w14:paraId="4A52E041" w14:textId="5D27D961" w:rsidR="001F5E7F" w:rsidRPr="00F25236" w:rsidRDefault="001F5E7F" w:rsidP="00324D26">
      <w:pPr>
        <w:pStyle w:val="Heading1"/>
        <w:numPr>
          <w:ilvl w:val="0"/>
          <w:numId w:val="5"/>
        </w:numPr>
        <w:ind w:hanging="720"/>
      </w:pPr>
      <w:r w:rsidRPr="00F25236">
        <w:t>Issue 2</w:t>
      </w:r>
      <w:r w:rsidR="0070547B">
        <w:t>: Control mechanisms</w:t>
      </w:r>
    </w:p>
    <w:p w14:paraId="776F07B0" w14:textId="59B8CEBB" w:rsidR="00AA4922" w:rsidRDefault="008E0BA9" w:rsidP="00BA02FF">
      <w:pPr>
        <w:pStyle w:val="Heading3"/>
        <w:rPr>
          <w:rFonts w:ascii="Arial" w:hAnsi="Arial" w:cs="Arial"/>
          <w:sz w:val="24"/>
          <w:szCs w:val="24"/>
        </w:rPr>
      </w:pPr>
      <w:r w:rsidRPr="008E0BA9">
        <w:rPr>
          <w:rFonts w:ascii="Arial" w:hAnsi="Arial" w:cs="Arial"/>
          <w:sz w:val="24"/>
          <w:szCs w:val="24"/>
        </w:rPr>
        <w:t>AER</w:t>
      </w:r>
      <w:r w:rsidR="008221A1">
        <w:rPr>
          <w:rFonts w:ascii="Arial" w:hAnsi="Arial" w:cs="Arial"/>
          <w:sz w:val="24"/>
          <w:szCs w:val="24"/>
        </w:rPr>
        <w:t xml:space="preserve">’s </w:t>
      </w:r>
      <w:r w:rsidR="00A04FA4">
        <w:rPr>
          <w:rFonts w:ascii="Arial" w:hAnsi="Arial" w:cs="Arial"/>
          <w:sz w:val="24"/>
          <w:szCs w:val="24"/>
        </w:rPr>
        <w:t>p</w:t>
      </w:r>
      <w:r w:rsidRPr="008E0BA9">
        <w:rPr>
          <w:rFonts w:ascii="Arial" w:hAnsi="Arial" w:cs="Arial"/>
          <w:sz w:val="24"/>
          <w:szCs w:val="24"/>
        </w:rPr>
        <w:t xml:space="preserve">reliminary </w:t>
      </w:r>
      <w:r w:rsidR="008221A1">
        <w:rPr>
          <w:rFonts w:ascii="Arial" w:hAnsi="Arial" w:cs="Arial"/>
          <w:sz w:val="24"/>
          <w:szCs w:val="24"/>
        </w:rPr>
        <w:t xml:space="preserve">position </w:t>
      </w:r>
    </w:p>
    <w:p w14:paraId="75A3BFF5" w14:textId="07EFE794" w:rsidR="008E0BA9" w:rsidRPr="008E0BA9" w:rsidRDefault="00F10344" w:rsidP="008E0BA9">
      <w:pPr>
        <w:rPr>
          <w:rFonts w:ascii="Arial" w:hAnsi="Arial" w:cs="Arial"/>
          <w:sz w:val="24"/>
          <w:szCs w:val="24"/>
        </w:rPr>
      </w:pPr>
      <w:r>
        <w:rPr>
          <w:rFonts w:ascii="Arial" w:hAnsi="Arial" w:cs="Arial"/>
          <w:sz w:val="24"/>
          <w:szCs w:val="24"/>
        </w:rPr>
        <w:t xml:space="preserve">The </w:t>
      </w:r>
      <w:r w:rsidR="008E0BA9" w:rsidRPr="008E0BA9">
        <w:rPr>
          <w:rFonts w:ascii="Arial" w:hAnsi="Arial" w:cs="Arial"/>
          <w:sz w:val="24"/>
          <w:szCs w:val="24"/>
        </w:rPr>
        <w:t>AER’s preliminary position is to apply the following</w:t>
      </w:r>
      <w:r w:rsidR="00AA4922">
        <w:rPr>
          <w:rFonts w:ascii="Arial" w:hAnsi="Arial" w:cs="Arial"/>
          <w:sz w:val="24"/>
          <w:szCs w:val="24"/>
        </w:rPr>
        <w:t xml:space="preserve"> forms of control in the 2019–29</w:t>
      </w:r>
      <w:r w:rsidR="008E0BA9" w:rsidRPr="008E0BA9">
        <w:rPr>
          <w:rFonts w:ascii="Arial" w:hAnsi="Arial" w:cs="Arial"/>
          <w:sz w:val="24"/>
          <w:szCs w:val="24"/>
        </w:rPr>
        <w:t xml:space="preserve"> regulatory control period:</w:t>
      </w:r>
    </w:p>
    <w:p w14:paraId="26081723" w14:textId="1581C1D3" w:rsidR="008E0BA9" w:rsidRPr="008E0BA9" w:rsidRDefault="00BA02FF" w:rsidP="008E0BA9">
      <w:pPr>
        <w:pStyle w:val="ListBullet"/>
        <w:rPr>
          <w:rFonts w:cs="Arial"/>
          <w:sz w:val="24"/>
          <w:szCs w:val="24"/>
        </w:rPr>
      </w:pPr>
      <w:r>
        <w:rPr>
          <w:rFonts w:cs="Arial"/>
          <w:sz w:val="24"/>
          <w:szCs w:val="24"/>
        </w:rPr>
        <w:t>Revenue cap — for services the AER classifies</w:t>
      </w:r>
      <w:r w:rsidR="008E0BA9" w:rsidRPr="008E0BA9">
        <w:rPr>
          <w:rFonts w:cs="Arial"/>
          <w:sz w:val="24"/>
          <w:szCs w:val="24"/>
        </w:rPr>
        <w:t xml:space="preserve"> as standard control services. </w:t>
      </w:r>
    </w:p>
    <w:p w14:paraId="1F6C5A61" w14:textId="424DF83E" w:rsidR="008E0BA9" w:rsidRPr="008E0BA9" w:rsidRDefault="008E0BA9" w:rsidP="008E0BA9">
      <w:pPr>
        <w:pStyle w:val="ListBullet"/>
        <w:rPr>
          <w:rFonts w:cs="Arial"/>
          <w:sz w:val="24"/>
          <w:szCs w:val="24"/>
        </w:rPr>
      </w:pPr>
      <w:r w:rsidRPr="008E0BA9">
        <w:rPr>
          <w:rFonts w:cs="Arial"/>
          <w:sz w:val="24"/>
          <w:szCs w:val="24"/>
        </w:rPr>
        <w:t>Caps on the prices of indiv</w:t>
      </w:r>
      <w:r w:rsidR="00BA02FF">
        <w:rPr>
          <w:rFonts w:cs="Arial"/>
          <w:sz w:val="24"/>
          <w:szCs w:val="24"/>
        </w:rPr>
        <w:t>idual services — for services the AER classifies</w:t>
      </w:r>
      <w:r w:rsidRPr="008E0BA9">
        <w:rPr>
          <w:rFonts w:cs="Arial"/>
          <w:sz w:val="24"/>
          <w:szCs w:val="24"/>
        </w:rPr>
        <w:t xml:space="preserve"> as alternative control services.</w:t>
      </w:r>
    </w:p>
    <w:p w14:paraId="453B1475" w14:textId="3C234E54" w:rsidR="00AA4922" w:rsidRDefault="008E0BA9" w:rsidP="00F10344">
      <w:pPr>
        <w:pStyle w:val="ListBullet"/>
        <w:numPr>
          <w:ilvl w:val="0"/>
          <w:numId w:val="0"/>
        </w:numPr>
        <w:rPr>
          <w:rFonts w:cs="Arial"/>
          <w:sz w:val="24"/>
          <w:szCs w:val="24"/>
        </w:rPr>
      </w:pPr>
      <w:r w:rsidRPr="008E0BA9">
        <w:rPr>
          <w:rFonts w:cs="Arial"/>
          <w:sz w:val="24"/>
          <w:szCs w:val="24"/>
        </w:rPr>
        <w:t>This</w:t>
      </w:r>
      <w:r w:rsidR="004C1DE4">
        <w:rPr>
          <w:rFonts w:cs="Arial"/>
          <w:sz w:val="24"/>
          <w:szCs w:val="24"/>
        </w:rPr>
        <w:t xml:space="preserve"> is a shift in approach with standard control services </w:t>
      </w:r>
      <w:r w:rsidR="00F417FB">
        <w:rPr>
          <w:rFonts w:cs="Arial"/>
          <w:sz w:val="24"/>
          <w:szCs w:val="24"/>
        </w:rPr>
        <w:t>currently</w:t>
      </w:r>
      <w:r w:rsidR="004C1DE4">
        <w:rPr>
          <w:rFonts w:cs="Arial"/>
          <w:sz w:val="24"/>
          <w:szCs w:val="24"/>
        </w:rPr>
        <w:t xml:space="preserve"> being subject to an average revenue cap</w:t>
      </w:r>
      <w:r w:rsidRPr="008E0BA9">
        <w:rPr>
          <w:rFonts w:cs="Arial"/>
          <w:sz w:val="24"/>
          <w:szCs w:val="24"/>
        </w:rPr>
        <w:t xml:space="preserve">.  </w:t>
      </w:r>
    </w:p>
    <w:p w14:paraId="5DE2901C" w14:textId="57BF76AF" w:rsidR="00F10344" w:rsidRPr="00F10344" w:rsidRDefault="008221A1" w:rsidP="00F10344">
      <w:pPr>
        <w:pStyle w:val="Heading3"/>
        <w:rPr>
          <w:rFonts w:ascii="Arial" w:hAnsi="Arial" w:cs="Arial"/>
          <w:sz w:val="24"/>
          <w:szCs w:val="24"/>
        </w:rPr>
      </w:pPr>
      <w:r>
        <w:rPr>
          <w:rFonts w:ascii="Arial" w:hAnsi="Arial" w:cs="Arial"/>
          <w:sz w:val="24"/>
          <w:szCs w:val="24"/>
        </w:rPr>
        <w:t>CC</w:t>
      </w:r>
      <w:r w:rsidR="00F10344">
        <w:rPr>
          <w:rFonts w:ascii="Arial" w:hAnsi="Arial" w:cs="Arial"/>
          <w:sz w:val="24"/>
          <w:szCs w:val="24"/>
        </w:rPr>
        <w:t>P view</w:t>
      </w:r>
    </w:p>
    <w:p w14:paraId="3F73293F" w14:textId="6AAD53F5" w:rsidR="008E0BA9" w:rsidRPr="00634004" w:rsidRDefault="008E0BA9" w:rsidP="00F10344">
      <w:pPr>
        <w:pStyle w:val="Heading4"/>
        <w:numPr>
          <w:ilvl w:val="0"/>
          <w:numId w:val="31"/>
        </w:numPr>
        <w:spacing w:after="240"/>
        <w:rPr>
          <w:rFonts w:ascii="Arial" w:hAnsi="Arial" w:cs="Arial"/>
          <w:i w:val="0"/>
          <w:sz w:val="24"/>
          <w:szCs w:val="24"/>
          <w:u w:val="single"/>
        </w:rPr>
      </w:pPr>
      <w:r w:rsidRPr="00634004">
        <w:rPr>
          <w:rFonts w:ascii="Arial" w:hAnsi="Arial" w:cs="Arial"/>
          <w:i w:val="0"/>
          <w:sz w:val="24"/>
          <w:szCs w:val="24"/>
          <w:u w:val="single"/>
        </w:rPr>
        <w:t>Form of Control for Standard Control Services</w:t>
      </w:r>
    </w:p>
    <w:p w14:paraId="1F9CF99F" w14:textId="48BB5BEE" w:rsidR="00F53AE2" w:rsidRPr="00F53AE2" w:rsidRDefault="00BA02FF" w:rsidP="00F53AE2">
      <w:pPr>
        <w:rPr>
          <w:rFonts w:ascii="Times New Roman" w:eastAsia="Times New Roman" w:hAnsi="Times New Roman" w:cs="Times New Roman"/>
          <w:sz w:val="24"/>
          <w:szCs w:val="24"/>
          <w:lang w:val="en-GB" w:eastAsia="en-GB"/>
        </w:rPr>
      </w:pPr>
      <w:r>
        <w:rPr>
          <w:rFonts w:ascii="Arial" w:hAnsi="Arial" w:cs="Arial"/>
          <w:sz w:val="24"/>
          <w:szCs w:val="24"/>
        </w:rPr>
        <w:t>The CC</w:t>
      </w:r>
      <w:r w:rsidR="008E0BA9" w:rsidRPr="008E0BA9">
        <w:rPr>
          <w:rFonts w:ascii="Arial" w:hAnsi="Arial" w:cs="Arial"/>
          <w:sz w:val="24"/>
          <w:szCs w:val="24"/>
        </w:rPr>
        <w:t>P supports the AER’s proposal to apply a revenue cap as the form of control for standard control services</w:t>
      </w:r>
      <w:r w:rsidR="00F53AE2">
        <w:rPr>
          <w:rFonts w:ascii="Arial" w:hAnsi="Arial" w:cs="Arial"/>
          <w:sz w:val="24"/>
          <w:szCs w:val="24"/>
        </w:rPr>
        <w:t xml:space="preserve"> </w:t>
      </w:r>
      <w:r w:rsidR="00F53AE2" w:rsidRPr="00A619FA">
        <w:rPr>
          <w:rFonts w:ascii="Arial" w:eastAsia="Times New Roman" w:hAnsi="Arial" w:cs="Arial"/>
          <w:color w:val="000000" w:themeColor="text1"/>
          <w:sz w:val="24"/>
          <w:szCs w:val="24"/>
          <w:lang w:val="en-GB" w:eastAsia="en-GB"/>
        </w:rPr>
        <w:t>for</w:t>
      </w:r>
      <w:r w:rsidR="004C1DE4" w:rsidRPr="004C1DE4">
        <w:rPr>
          <w:rFonts w:ascii="Arial" w:hAnsi="Arial" w:cs="Arial"/>
          <w:sz w:val="24"/>
          <w:szCs w:val="24"/>
        </w:rPr>
        <w:t xml:space="preserve"> </w:t>
      </w:r>
      <w:r w:rsidR="004C1DE4">
        <w:rPr>
          <w:rFonts w:ascii="Arial" w:hAnsi="Arial" w:cs="Arial"/>
          <w:sz w:val="24"/>
          <w:szCs w:val="24"/>
        </w:rPr>
        <w:t>ActewAGL</w:t>
      </w:r>
      <w:r w:rsidR="00897688">
        <w:rPr>
          <w:rFonts w:ascii="Arial" w:hAnsi="Arial" w:cs="Arial"/>
          <w:sz w:val="24"/>
          <w:szCs w:val="24"/>
        </w:rPr>
        <w:t>.</w:t>
      </w:r>
      <w:r w:rsidR="00F53AE2" w:rsidRPr="00A619FA">
        <w:rPr>
          <w:rFonts w:ascii="Arial" w:eastAsia="Times New Roman" w:hAnsi="Arial" w:cs="Arial"/>
          <w:color w:val="000000" w:themeColor="text1"/>
          <w:sz w:val="24"/>
          <w:szCs w:val="24"/>
          <w:lang w:val="en-GB" w:eastAsia="en-GB"/>
        </w:rPr>
        <w:t xml:space="preserve"> In so doing the CCP notes that there has been relatively limited experience with revenue caps and the decision on the form of control is a significant issue for all network businesses.  While the form of control is set within each Framework and Approach review, there would be merit in the AER undertaking a broader review of the form of control to be applied across all network businesses once there has been more experience with revenue caps.  This review </w:t>
      </w:r>
      <w:r w:rsidR="00F53AE2" w:rsidRPr="00A619FA">
        <w:rPr>
          <w:rFonts w:ascii="Arial" w:eastAsia="Times New Roman" w:hAnsi="Arial" w:cs="Arial"/>
          <w:color w:val="000000" w:themeColor="text1"/>
          <w:sz w:val="24"/>
          <w:szCs w:val="24"/>
          <w:lang w:val="en-GB" w:eastAsia="en-GB"/>
        </w:rPr>
        <w:lastRenderedPageBreak/>
        <w:t>would need to consider the interface between the form of control and performance incentive schemes, such as the DMIS.</w:t>
      </w:r>
    </w:p>
    <w:p w14:paraId="2BEB66E7" w14:textId="77777777" w:rsidR="008E0BA9" w:rsidRPr="00A619FA" w:rsidRDefault="008E0BA9" w:rsidP="00A619FA">
      <w:pPr>
        <w:rPr>
          <w:rFonts w:cs="Arial"/>
          <w:sz w:val="24"/>
          <w:szCs w:val="24"/>
        </w:rPr>
      </w:pPr>
      <w:r w:rsidRPr="00A619FA">
        <w:rPr>
          <w:rFonts w:ascii="Arial" w:hAnsi="Arial" w:cs="Arial"/>
          <w:sz w:val="24"/>
          <w:szCs w:val="24"/>
        </w:rPr>
        <w:t>In proposing the adoption of a revenue cap the AER considered:</w:t>
      </w:r>
    </w:p>
    <w:p w14:paraId="00D77D38"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the implications for efficient tariff structure</w:t>
      </w:r>
    </w:p>
    <w:p w14:paraId="65EB83E4"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administrative costs</w:t>
      </w:r>
    </w:p>
    <w:p w14:paraId="172FA4AA"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previous regulatory arrangements</w:t>
      </w:r>
    </w:p>
    <w:p w14:paraId="19CCBCBE"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consistency within and between jurisdictions</w:t>
      </w:r>
    </w:p>
    <w:p w14:paraId="5E71743A"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revenue recovery</w:t>
      </w:r>
    </w:p>
    <w:p w14:paraId="4184BF8B" w14:textId="43E8A66E" w:rsidR="008E0BA9" w:rsidRPr="008E0BA9" w:rsidRDefault="008E0BA9" w:rsidP="008E0BA9">
      <w:pPr>
        <w:pStyle w:val="ListBullet"/>
        <w:numPr>
          <w:ilvl w:val="0"/>
          <w:numId w:val="22"/>
        </w:numPr>
        <w:rPr>
          <w:rFonts w:cs="Arial"/>
          <w:sz w:val="24"/>
          <w:szCs w:val="24"/>
        </w:rPr>
      </w:pPr>
      <w:r w:rsidRPr="008E0BA9">
        <w:rPr>
          <w:rFonts w:cs="Arial"/>
          <w:sz w:val="24"/>
          <w:szCs w:val="24"/>
        </w:rPr>
        <w:t>price flexibility and stability</w:t>
      </w:r>
      <w:r w:rsidR="00BA02FF">
        <w:rPr>
          <w:rFonts w:cs="Arial"/>
          <w:sz w:val="24"/>
          <w:szCs w:val="24"/>
        </w:rPr>
        <w:t xml:space="preserve"> and</w:t>
      </w:r>
    </w:p>
    <w:p w14:paraId="6A0ABA8A" w14:textId="12AFAB87" w:rsidR="008E0BA9" w:rsidRDefault="008E0BA9" w:rsidP="00F10344">
      <w:pPr>
        <w:pStyle w:val="ListBullet"/>
        <w:numPr>
          <w:ilvl w:val="0"/>
          <w:numId w:val="22"/>
        </w:numPr>
        <w:rPr>
          <w:rFonts w:cs="Arial"/>
          <w:sz w:val="24"/>
          <w:szCs w:val="24"/>
        </w:rPr>
      </w:pPr>
      <w:r w:rsidRPr="008E0BA9">
        <w:rPr>
          <w:rFonts w:cs="Arial"/>
          <w:sz w:val="24"/>
          <w:szCs w:val="24"/>
        </w:rPr>
        <w:t>incentives for demand management</w:t>
      </w:r>
      <w:r w:rsidR="00AA4922">
        <w:rPr>
          <w:rFonts w:cs="Arial"/>
          <w:sz w:val="24"/>
          <w:szCs w:val="24"/>
        </w:rPr>
        <w:t>.</w:t>
      </w:r>
    </w:p>
    <w:p w14:paraId="78541F46" w14:textId="77777777" w:rsidR="00F10344" w:rsidRPr="00F10344" w:rsidRDefault="00F10344" w:rsidP="00F10344">
      <w:pPr>
        <w:pStyle w:val="ListBullet"/>
        <w:numPr>
          <w:ilvl w:val="0"/>
          <w:numId w:val="0"/>
        </w:numPr>
        <w:ind w:left="720"/>
        <w:rPr>
          <w:rFonts w:cs="Arial"/>
          <w:sz w:val="24"/>
          <w:szCs w:val="24"/>
        </w:rPr>
      </w:pPr>
    </w:p>
    <w:p w14:paraId="728E7FF5" w14:textId="77777777" w:rsidR="00F53AE2" w:rsidRDefault="007E03B7" w:rsidP="00A619FA">
      <w:pPr>
        <w:spacing w:after="0"/>
        <w:rPr>
          <w:rFonts w:ascii="Arial" w:hAnsi="Arial" w:cs="Arial"/>
          <w:sz w:val="24"/>
          <w:szCs w:val="24"/>
        </w:rPr>
      </w:pPr>
      <w:r>
        <w:rPr>
          <w:rFonts w:ascii="Arial" w:hAnsi="Arial" w:cs="Arial"/>
          <w:sz w:val="24"/>
          <w:szCs w:val="24"/>
        </w:rPr>
        <w:t>Overall,</w:t>
      </w:r>
      <w:r w:rsidR="007F0430">
        <w:rPr>
          <w:rFonts w:ascii="Arial" w:hAnsi="Arial" w:cs="Arial"/>
          <w:sz w:val="24"/>
          <w:szCs w:val="24"/>
        </w:rPr>
        <w:t xml:space="preserve"> we agree with </w:t>
      </w:r>
      <w:r w:rsidR="008E0BA9" w:rsidRPr="008E0BA9">
        <w:rPr>
          <w:rFonts w:ascii="Arial" w:hAnsi="Arial" w:cs="Arial"/>
          <w:sz w:val="24"/>
          <w:szCs w:val="24"/>
        </w:rPr>
        <w:t>th</w:t>
      </w:r>
      <w:r w:rsidR="007F0430">
        <w:rPr>
          <w:rFonts w:ascii="Arial" w:hAnsi="Arial" w:cs="Arial"/>
          <w:sz w:val="24"/>
          <w:szCs w:val="24"/>
        </w:rPr>
        <w:t>e</w:t>
      </w:r>
      <w:r w:rsidR="008E0BA9" w:rsidRPr="008E0BA9">
        <w:rPr>
          <w:rFonts w:ascii="Arial" w:hAnsi="Arial" w:cs="Arial"/>
          <w:sz w:val="24"/>
          <w:szCs w:val="24"/>
        </w:rPr>
        <w:t xml:space="preserve"> AER’s assessment of the options against these criteria, but another important </w:t>
      </w:r>
      <w:r w:rsidR="00AA4922">
        <w:rPr>
          <w:rFonts w:ascii="Arial" w:hAnsi="Arial" w:cs="Arial"/>
          <w:sz w:val="24"/>
          <w:szCs w:val="24"/>
        </w:rPr>
        <w:t>criteria</w:t>
      </w:r>
      <w:r w:rsidR="008E0BA9" w:rsidRPr="008E0BA9">
        <w:rPr>
          <w:rFonts w:ascii="Arial" w:hAnsi="Arial" w:cs="Arial"/>
          <w:sz w:val="24"/>
          <w:szCs w:val="24"/>
        </w:rPr>
        <w:t xml:space="preserve"> is risk allocation. </w:t>
      </w:r>
    </w:p>
    <w:p w14:paraId="41E20CCC" w14:textId="77777777" w:rsidR="00F53AE2" w:rsidRDefault="00F53AE2" w:rsidP="00A619FA">
      <w:pPr>
        <w:spacing w:after="0"/>
        <w:rPr>
          <w:rFonts w:ascii="Arial" w:hAnsi="Arial" w:cs="Arial"/>
          <w:sz w:val="24"/>
          <w:szCs w:val="24"/>
        </w:rPr>
      </w:pPr>
    </w:p>
    <w:p w14:paraId="69219DD6" w14:textId="56C2946C" w:rsidR="008E0BA9" w:rsidRDefault="008E0BA9" w:rsidP="00A619FA">
      <w:pPr>
        <w:spacing w:after="0"/>
        <w:rPr>
          <w:rFonts w:ascii="Arial" w:hAnsi="Arial" w:cs="Arial"/>
          <w:sz w:val="24"/>
          <w:szCs w:val="24"/>
        </w:rPr>
      </w:pPr>
      <w:r w:rsidRPr="008E0BA9">
        <w:rPr>
          <w:rFonts w:ascii="Arial" w:hAnsi="Arial" w:cs="Arial"/>
          <w:sz w:val="24"/>
          <w:szCs w:val="24"/>
        </w:rPr>
        <w:t>The key difference between a revenue cap and a revenue yield (i.e. an average revenue cap) is that a revenue cap transfers demand risk during the re</w:t>
      </w:r>
      <w:r w:rsidR="00CF27DB">
        <w:rPr>
          <w:rFonts w:ascii="Arial" w:hAnsi="Arial" w:cs="Arial"/>
          <w:sz w:val="24"/>
          <w:szCs w:val="24"/>
        </w:rPr>
        <w:t>gulatory period from the network business</w:t>
      </w:r>
      <w:r w:rsidRPr="008E0BA9">
        <w:rPr>
          <w:rFonts w:ascii="Arial" w:hAnsi="Arial" w:cs="Arial"/>
          <w:sz w:val="24"/>
          <w:szCs w:val="24"/>
        </w:rPr>
        <w:t xml:space="preserve"> to its customers.  This removes one of the key </w:t>
      </w:r>
      <w:r w:rsidR="00CF27DB">
        <w:rPr>
          <w:rFonts w:ascii="Arial" w:hAnsi="Arial" w:cs="Arial"/>
          <w:sz w:val="24"/>
          <w:szCs w:val="24"/>
        </w:rPr>
        <w:t>systematic risks for the network</w:t>
      </w:r>
      <w:r w:rsidRPr="008E0BA9">
        <w:rPr>
          <w:rFonts w:ascii="Arial" w:hAnsi="Arial" w:cs="Arial"/>
          <w:sz w:val="24"/>
          <w:szCs w:val="24"/>
        </w:rPr>
        <w:t xml:space="preserve"> during the regulatory period: the impact of the variations in energy usage with macroeconomic cycles. Economic downturns reduce ener</w:t>
      </w:r>
      <w:r w:rsidR="00CF27DB">
        <w:rPr>
          <w:rFonts w:ascii="Arial" w:hAnsi="Arial" w:cs="Arial"/>
          <w:sz w:val="24"/>
          <w:szCs w:val="24"/>
        </w:rPr>
        <w:t>gy consumption and hence network</w:t>
      </w:r>
      <w:r w:rsidRPr="008E0BA9">
        <w:rPr>
          <w:rFonts w:ascii="Arial" w:hAnsi="Arial" w:cs="Arial"/>
          <w:sz w:val="24"/>
          <w:szCs w:val="24"/>
        </w:rPr>
        <w:t xml:space="preserve"> revenues under a price cap, or revenue yield cap.  Given that the network costs are relatively fixed in the short term, the impact of these changes on profits is magnified.  Under a revenue cap, changes in demand have only a short-term cash flow effect.</w:t>
      </w:r>
      <w:r w:rsidRPr="008E0BA9">
        <w:rPr>
          <w:rStyle w:val="FootnoteReference"/>
          <w:rFonts w:ascii="Arial" w:hAnsi="Arial" w:cs="Arial"/>
          <w:sz w:val="24"/>
          <w:szCs w:val="24"/>
        </w:rPr>
        <w:footnoteReference w:id="4"/>
      </w:r>
      <w:r w:rsidRPr="008E0BA9">
        <w:rPr>
          <w:rFonts w:ascii="Arial" w:hAnsi="Arial" w:cs="Arial"/>
          <w:sz w:val="24"/>
          <w:szCs w:val="24"/>
        </w:rPr>
        <w:t xml:space="preserve">  Furthermore, the AER’s proposed approach to the adjustments reduces the lag in the adjustments for variations in demand. This change to systematic risk should be considered in assessing the risk term (beta) in the cost of capital to ensure prices to consumers reflect </w:t>
      </w:r>
      <w:r w:rsidR="00CF27DB">
        <w:rPr>
          <w:rFonts w:ascii="Arial" w:hAnsi="Arial" w:cs="Arial"/>
          <w:sz w:val="24"/>
          <w:szCs w:val="24"/>
        </w:rPr>
        <w:t>the reduced risk for the network business</w:t>
      </w:r>
      <w:r w:rsidRPr="008E0BA9">
        <w:rPr>
          <w:rFonts w:ascii="Arial" w:hAnsi="Arial" w:cs="Arial"/>
          <w:sz w:val="24"/>
          <w:szCs w:val="24"/>
        </w:rPr>
        <w:t xml:space="preserve"> relative to a price or revenue yield cap.</w:t>
      </w:r>
    </w:p>
    <w:p w14:paraId="6C7228A7" w14:textId="77777777" w:rsidR="00F53AE2" w:rsidRPr="008E0BA9" w:rsidRDefault="00F53AE2" w:rsidP="00A619FA">
      <w:pPr>
        <w:spacing w:after="0"/>
        <w:rPr>
          <w:rFonts w:ascii="Arial" w:hAnsi="Arial" w:cs="Arial"/>
          <w:sz w:val="24"/>
          <w:szCs w:val="24"/>
        </w:rPr>
      </w:pPr>
    </w:p>
    <w:p w14:paraId="49B103F1" w14:textId="4BC1B4A8" w:rsidR="008E0BA9" w:rsidRPr="008E0BA9" w:rsidRDefault="008E0BA9" w:rsidP="008E0BA9">
      <w:pPr>
        <w:rPr>
          <w:rFonts w:ascii="Arial" w:hAnsi="Arial" w:cs="Arial"/>
          <w:sz w:val="24"/>
          <w:szCs w:val="24"/>
        </w:rPr>
      </w:pPr>
      <w:r w:rsidRPr="008E0BA9">
        <w:rPr>
          <w:rFonts w:ascii="Arial" w:hAnsi="Arial" w:cs="Arial"/>
          <w:sz w:val="24"/>
          <w:szCs w:val="24"/>
        </w:rPr>
        <w:t>Another factor supporting a revenue cap is that it reduces the importance of the demand forecasts in setting the regulatory controls.  Under a price c</w:t>
      </w:r>
      <w:r w:rsidR="00836227">
        <w:rPr>
          <w:rFonts w:ascii="Arial" w:hAnsi="Arial" w:cs="Arial"/>
          <w:sz w:val="24"/>
          <w:szCs w:val="24"/>
        </w:rPr>
        <w:t>ap a network business</w:t>
      </w:r>
      <w:r w:rsidRPr="008E0BA9">
        <w:rPr>
          <w:rFonts w:ascii="Arial" w:hAnsi="Arial" w:cs="Arial"/>
          <w:sz w:val="24"/>
          <w:szCs w:val="24"/>
        </w:rPr>
        <w:t xml:space="preserve"> can benefit from under-forecasting demand growth, resulting in the regulator and stakeholders devoting significant resources to the scrutiny of the demand forecasts.  This should, to a degree, simplify regulatory reviews an</w:t>
      </w:r>
      <w:r w:rsidR="00CF27DB">
        <w:rPr>
          <w:rFonts w:ascii="Arial" w:hAnsi="Arial" w:cs="Arial"/>
          <w:sz w:val="24"/>
          <w:szCs w:val="24"/>
        </w:rPr>
        <w:t>d reduce the costs for network businesses</w:t>
      </w:r>
      <w:r w:rsidRPr="008E0BA9">
        <w:rPr>
          <w:rFonts w:ascii="Arial" w:hAnsi="Arial" w:cs="Arial"/>
          <w:sz w:val="24"/>
          <w:szCs w:val="24"/>
        </w:rPr>
        <w:t>, the AER, and other stakeholders</w:t>
      </w:r>
      <w:r w:rsidR="00DF016F">
        <w:rPr>
          <w:rFonts w:ascii="Arial" w:hAnsi="Arial" w:cs="Arial"/>
          <w:sz w:val="24"/>
          <w:szCs w:val="24"/>
        </w:rPr>
        <w:t xml:space="preserve"> relative to weighted average price or revenue yield cap</w:t>
      </w:r>
      <w:r w:rsidRPr="008E0BA9">
        <w:rPr>
          <w:rFonts w:ascii="Arial" w:hAnsi="Arial" w:cs="Arial"/>
          <w:sz w:val="24"/>
          <w:szCs w:val="24"/>
        </w:rPr>
        <w:t>.</w:t>
      </w:r>
    </w:p>
    <w:p w14:paraId="67ADB52A" w14:textId="77777777" w:rsidR="007F0430" w:rsidRDefault="007F0430" w:rsidP="008E0BA9">
      <w:pPr>
        <w:pStyle w:val="Heading4"/>
        <w:rPr>
          <w:rFonts w:ascii="Arial" w:hAnsi="Arial" w:cs="Arial"/>
          <w:i w:val="0"/>
          <w:sz w:val="24"/>
          <w:szCs w:val="24"/>
        </w:rPr>
      </w:pPr>
    </w:p>
    <w:p w14:paraId="08E46274" w14:textId="26E2252F" w:rsidR="008E0BA9" w:rsidRPr="00F51763" w:rsidRDefault="008E0BA9" w:rsidP="00F10344">
      <w:pPr>
        <w:pStyle w:val="Heading4"/>
        <w:numPr>
          <w:ilvl w:val="0"/>
          <w:numId w:val="31"/>
        </w:numPr>
        <w:spacing w:after="240"/>
        <w:rPr>
          <w:rFonts w:ascii="Arial" w:hAnsi="Arial" w:cs="Arial"/>
          <w:i w:val="0"/>
          <w:sz w:val="24"/>
          <w:szCs w:val="24"/>
          <w:u w:val="single"/>
        </w:rPr>
      </w:pPr>
      <w:r w:rsidRPr="00F51763">
        <w:rPr>
          <w:rFonts w:ascii="Arial" w:hAnsi="Arial" w:cs="Arial"/>
          <w:i w:val="0"/>
          <w:sz w:val="24"/>
          <w:szCs w:val="24"/>
          <w:u w:val="single"/>
        </w:rPr>
        <w:t>Form of Control for Alternative Control Services</w:t>
      </w:r>
    </w:p>
    <w:p w14:paraId="3CA1A414" w14:textId="6259185B" w:rsidR="008E0BA9" w:rsidRPr="008E0BA9" w:rsidRDefault="00CF27DB" w:rsidP="008E0BA9">
      <w:pPr>
        <w:rPr>
          <w:rFonts w:ascii="Arial" w:hAnsi="Arial" w:cs="Arial"/>
          <w:sz w:val="24"/>
          <w:szCs w:val="24"/>
        </w:rPr>
      </w:pPr>
      <w:r>
        <w:rPr>
          <w:rFonts w:ascii="Arial" w:hAnsi="Arial" w:cs="Arial"/>
          <w:sz w:val="24"/>
          <w:szCs w:val="24"/>
        </w:rPr>
        <w:t>The CC</w:t>
      </w:r>
      <w:r w:rsidR="008E0BA9" w:rsidRPr="008E0BA9">
        <w:rPr>
          <w:rFonts w:ascii="Arial" w:hAnsi="Arial" w:cs="Arial"/>
          <w:sz w:val="24"/>
          <w:szCs w:val="24"/>
        </w:rPr>
        <w:t xml:space="preserve">P supports the AER’s proposal to apply </w:t>
      </w:r>
      <w:r w:rsidR="00C62F79">
        <w:rPr>
          <w:rFonts w:ascii="Arial" w:hAnsi="Arial" w:cs="Arial"/>
          <w:sz w:val="24"/>
          <w:szCs w:val="24"/>
        </w:rPr>
        <w:t xml:space="preserve">price </w:t>
      </w:r>
      <w:r w:rsidR="008E0BA9" w:rsidRPr="008E0BA9">
        <w:rPr>
          <w:rFonts w:ascii="Arial" w:hAnsi="Arial" w:cs="Arial"/>
          <w:sz w:val="24"/>
          <w:szCs w:val="24"/>
        </w:rPr>
        <w:t>caps on individual prices as the form of control for alternative control services.  This can help ensure that the potential for competition is not constrained and that other consumers of standard control services do not cross-subsidise consumers of alternative control services.</w:t>
      </w:r>
    </w:p>
    <w:p w14:paraId="202065FD" w14:textId="77777777" w:rsidR="008E0BA9" w:rsidRPr="008E0BA9" w:rsidRDefault="008E0BA9" w:rsidP="008E0BA9">
      <w:pPr>
        <w:rPr>
          <w:rFonts w:ascii="Arial" w:hAnsi="Arial" w:cs="Arial"/>
          <w:sz w:val="24"/>
          <w:szCs w:val="24"/>
        </w:rPr>
      </w:pPr>
      <w:r w:rsidRPr="008E0BA9">
        <w:rPr>
          <w:rFonts w:ascii="Arial" w:hAnsi="Arial" w:cs="Arial"/>
          <w:sz w:val="24"/>
          <w:szCs w:val="24"/>
        </w:rPr>
        <w:t>Alternative control services are services that are either potentially contestable or are used by only a small number of consumers on a discretionary basis. In proposing the adoption of a revenue cap the AER considered:</w:t>
      </w:r>
    </w:p>
    <w:p w14:paraId="15F562C5"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the implications for the potential for competition</w:t>
      </w:r>
    </w:p>
    <w:p w14:paraId="01DADA77"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administrative costs</w:t>
      </w:r>
    </w:p>
    <w:p w14:paraId="43FBB1DD"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existing regulatory arrangements</w:t>
      </w:r>
    </w:p>
    <w:p w14:paraId="29E352B1" w14:textId="6641FB8C" w:rsidR="008E0BA9" w:rsidRPr="008E0BA9" w:rsidRDefault="008E0BA9" w:rsidP="008E0BA9">
      <w:pPr>
        <w:pStyle w:val="ListBullet"/>
        <w:numPr>
          <w:ilvl w:val="0"/>
          <w:numId w:val="22"/>
        </w:numPr>
        <w:rPr>
          <w:rFonts w:cs="Arial"/>
          <w:sz w:val="24"/>
          <w:szCs w:val="24"/>
        </w:rPr>
      </w:pPr>
      <w:r w:rsidRPr="008E0BA9">
        <w:rPr>
          <w:rFonts w:cs="Arial"/>
          <w:sz w:val="24"/>
          <w:szCs w:val="24"/>
        </w:rPr>
        <w:t>consistency within and between jurisdictions</w:t>
      </w:r>
      <w:r w:rsidR="007048A7">
        <w:rPr>
          <w:rFonts w:cs="Arial"/>
          <w:sz w:val="24"/>
          <w:szCs w:val="24"/>
        </w:rPr>
        <w:t xml:space="preserve"> and</w:t>
      </w:r>
    </w:p>
    <w:p w14:paraId="10E80DE5" w14:textId="0C5C056D" w:rsidR="008E0BA9" w:rsidRPr="008E0BA9" w:rsidRDefault="008E0BA9" w:rsidP="008E0BA9">
      <w:pPr>
        <w:pStyle w:val="ListBullet"/>
        <w:numPr>
          <w:ilvl w:val="0"/>
          <w:numId w:val="22"/>
        </w:numPr>
        <w:rPr>
          <w:rFonts w:cs="Arial"/>
          <w:sz w:val="24"/>
          <w:szCs w:val="24"/>
        </w:rPr>
      </w:pPr>
      <w:r w:rsidRPr="008E0BA9">
        <w:rPr>
          <w:rFonts w:cs="Arial"/>
          <w:sz w:val="24"/>
          <w:szCs w:val="24"/>
        </w:rPr>
        <w:t>cost reflective prices</w:t>
      </w:r>
      <w:r w:rsidR="007048A7">
        <w:rPr>
          <w:rFonts w:cs="Arial"/>
          <w:sz w:val="24"/>
          <w:szCs w:val="24"/>
        </w:rPr>
        <w:t>.</w:t>
      </w:r>
    </w:p>
    <w:p w14:paraId="3169C982" w14:textId="245CFB47" w:rsidR="008E0BA9" w:rsidRDefault="008E0BA9" w:rsidP="008E0BA9">
      <w:pPr>
        <w:pStyle w:val="ListBullet"/>
        <w:numPr>
          <w:ilvl w:val="0"/>
          <w:numId w:val="0"/>
        </w:numPr>
        <w:rPr>
          <w:rFonts w:cs="Arial"/>
          <w:sz w:val="24"/>
          <w:szCs w:val="24"/>
        </w:rPr>
      </w:pPr>
      <w:r w:rsidRPr="008E0BA9">
        <w:rPr>
          <w:rFonts w:cs="Arial"/>
          <w:sz w:val="24"/>
          <w:szCs w:val="24"/>
        </w:rPr>
        <w:t>There is a presumption that where feasible</w:t>
      </w:r>
      <w:r w:rsidR="007048A7">
        <w:rPr>
          <w:rFonts w:cs="Arial"/>
          <w:sz w:val="24"/>
          <w:szCs w:val="24"/>
        </w:rPr>
        <w:t>,</w:t>
      </w:r>
      <w:r w:rsidRPr="008E0BA9">
        <w:rPr>
          <w:rFonts w:cs="Arial"/>
          <w:sz w:val="24"/>
          <w:szCs w:val="24"/>
        </w:rPr>
        <w:t xml:space="preserve"> effective competition can be the best means of aligning service delivery and pricing with the long-term interest</w:t>
      </w:r>
      <w:r w:rsidR="00261A79">
        <w:rPr>
          <w:rFonts w:cs="Arial"/>
          <w:sz w:val="24"/>
          <w:szCs w:val="24"/>
        </w:rPr>
        <w:t>s</w:t>
      </w:r>
      <w:r w:rsidRPr="008E0BA9">
        <w:rPr>
          <w:rFonts w:cs="Arial"/>
          <w:sz w:val="24"/>
          <w:szCs w:val="24"/>
        </w:rPr>
        <w:t xml:space="preserve"> of consumers. Hence, for services that are potentially contestable, such as type 5 or 6 meters or public lighting, consideration of the implications of the form of regulation for competition is a key factor in deciding the form of control.  The various forms of average price and revenue control provide greater flexibility in pricing.  But where competition may be possible the potential competitors may be concerned that this flexibility in pric</w:t>
      </w:r>
      <w:r w:rsidR="00261A79">
        <w:rPr>
          <w:rFonts w:cs="Arial"/>
          <w:sz w:val="24"/>
          <w:szCs w:val="24"/>
        </w:rPr>
        <w:t xml:space="preserve">ing and cost allocation </w:t>
      </w:r>
      <w:r w:rsidRPr="008E0BA9">
        <w:rPr>
          <w:rFonts w:cs="Arial"/>
          <w:sz w:val="24"/>
          <w:szCs w:val="24"/>
        </w:rPr>
        <w:t xml:space="preserve">could </w:t>
      </w:r>
      <w:r w:rsidR="00261A79">
        <w:rPr>
          <w:rFonts w:cs="Arial"/>
          <w:sz w:val="24"/>
          <w:szCs w:val="24"/>
        </w:rPr>
        <w:t>be used to protect the network</w:t>
      </w:r>
      <w:r w:rsidRPr="008E0BA9">
        <w:rPr>
          <w:rFonts w:cs="Arial"/>
          <w:sz w:val="24"/>
          <w:szCs w:val="24"/>
        </w:rPr>
        <w:t xml:space="preserve">’s market position. Establishing specific prices for these services can also provide consumers with greater assurance that such cross-subsidies are limited, if not eliminated.  </w:t>
      </w:r>
    </w:p>
    <w:p w14:paraId="3DC0A300" w14:textId="77777777" w:rsidR="00C62F79" w:rsidRDefault="00C62F79" w:rsidP="008E0BA9">
      <w:pPr>
        <w:pStyle w:val="ListBullet"/>
        <w:numPr>
          <w:ilvl w:val="0"/>
          <w:numId w:val="0"/>
        </w:numPr>
        <w:rPr>
          <w:rFonts w:cs="Arial"/>
          <w:sz w:val="24"/>
          <w:szCs w:val="24"/>
        </w:rPr>
      </w:pPr>
    </w:p>
    <w:p w14:paraId="7952D9DD" w14:textId="02738F02" w:rsidR="001B6823" w:rsidRDefault="001F5E7F" w:rsidP="001B6823">
      <w:pPr>
        <w:pStyle w:val="Heading1"/>
        <w:numPr>
          <w:ilvl w:val="0"/>
          <w:numId w:val="5"/>
        </w:numPr>
        <w:ind w:hanging="720"/>
      </w:pPr>
      <w:r w:rsidRPr="00F25236">
        <w:t>Issue 3</w:t>
      </w:r>
      <w:r w:rsidR="0070547B">
        <w:t>: Incentive schemes</w:t>
      </w:r>
    </w:p>
    <w:p w14:paraId="2641F3A7" w14:textId="77777777" w:rsidR="00836227" w:rsidRPr="00836227" w:rsidRDefault="00836227" w:rsidP="00836227">
      <w:pPr>
        <w:spacing w:after="120"/>
      </w:pPr>
    </w:p>
    <w:p w14:paraId="247C5E72" w14:textId="1D9C770D" w:rsidR="00DE1068" w:rsidRDefault="00A04FA4" w:rsidP="00DE1068">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AER’s p</w:t>
      </w:r>
      <w:r w:rsidR="00836227">
        <w:rPr>
          <w:rFonts w:ascii="Arial" w:hAnsi="Arial" w:cs="Arial"/>
          <w:b/>
          <w:color w:val="365F91" w:themeColor="accent1" w:themeShade="BF"/>
          <w:sz w:val="24"/>
          <w:szCs w:val="24"/>
        </w:rPr>
        <w:t>reliminary p</w:t>
      </w:r>
      <w:r w:rsidR="002E681C" w:rsidRPr="008221A1">
        <w:rPr>
          <w:rFonts w:ascii="Arial" w:hAnsi="Arial" w:cs="Arial"/>
          <w:b/>
          <w:color w:val="365F91" w:themeColor="accent1" w:themeShade="BF"/>
          <w:sz w:val="24"/>
          <w:szCs w:val="24"/>
        </w:rPr>
        <w:t>osition</w:t>
      </w:r>
    </w:p>
    <w:p w14:paraId="70146FD2" w14:textId="52400837" w:rsidR="00D83E34" w:rsidRDefault="00D83E34" w:rsidP="00DE1068">
      <w:pPr>
        <w:spacing w:after="0"/>
        <w:rPr>
          <w:rFonts w:ascii="Arial" w:hAnsi="Arial" w:cs="Arial"/>
          <w:sz w:val="24"/>
          <w:szCs w:val="24"/>
        </w:rPr>
      </w:pPr>
      <w:r w:rsidRPr="00D83E34">
        <w:rPr>
          <w:rFonts w:ascii="Arial" w:hAnsi="Arial" w:cs="Arial"/>
          <w:sz w:val="24"/>
          <w:szCs w:val="24"/>
        </w:rPr>
        <w:t xml:space="preserve">Incentive schemes encourage network businesses to manage their networks in a safe, reliable manner that serves the long-term interests of consumers. They provide network businesses with incentives to only incur efficient costs and to meet or exceed service quality targets. </w:t>
      </w:r>
    </w:p>
    <w:p w14:paraId="7D8806C9" w14:textId="77777777" w:rsidR="00DE1068" w:rsidRPr="00AA4922" w:rsidRDefault="00DE1068" w:rsidP="00DE1068">
      <w:pPr>
        <w:spacing w:after="0"/>
        <w:rPr>
          <w:rFonts w:ascii="Arial" w:hAnsi="Arial" w:cs="Arial"/>
          <w:b/>
          <w:color w:val="365F91" w:themeColor="accent1" w:themeShade="BF"/>
          <w:sz w:val="24"/>
          <w:szCs w:val="24"/>
        </w:rPr>
      </w:pPr>
    </w:p>
    <w:p w14:paraId="5B12B875" w14:textId="31064E43" w:rsidR="00D83E34" w:rsidRPr="00D83E34" w:rsidRDefault="00D83E34" w:rsidP="00D83E34">
      <w:pPr>
        <w:rPr>
          <w:rFonts w:ascii="Arial" w:hAnsi="Arial" w:cs="Arial"/>
          <w:sz w:val="24"/>
          <w:szCs w:val="24"/>
        </w:rPr>
      </w:pPr>
      <w:r w:rsidRPr="00D83E34">
        <w:rPr>
          <w:rFonts w:ascii="Arial" w:hAnsi="Arial" w:cs="Arial"/>
          <w:sz w:val="24"/>
          <w:szCs w:val="24"/>
        </w:rPr>
        <w:t>The AER’s preliminary position is to apply each of the available incentive schemes to</w:t>
      </w:r>
      <w:r w:rsidR="00ED6F0C">
        <w:rPr>
          <w:rFonts w:ascii="Arial" w:hAnsi="Arial" w:cs="Arial"/>
          <w:sz w:val="24"/>
          <w:szCs w:val="24"/>
        </w:rPr>
        <w:t xml:space="preserve"> ActewAGL</w:t>
      </w:r>
      <w:r w:rsidRPr="00D83E34">
        <w:rPr>
          <w:rFonts w:ascii="Arial" w:hAnsi="Arial" w:cs="Arial"/>
          <w:sz w:val="24"/>
          <w:szCs w:val="24"/>
        </w:rPr>
        <w:t xml:space="preserve">: </w:t>
      </w:r>
    </w:p>
    <w:p w14:paraId="15A24DEF" w14:textId="3CBE3041" w:rsidR="007A1286" w:rsidRDefault="00D83E34" w:rsidP="007A1286">
      <w:pPr>
        <w:pStyle w:val="ListParagraph"/>
        <w:numPr>
          <w:ilvl w:val="0"/>
          <w:numId w:val="29"/>
        </w:numPr>
        <w:spacing w:after="160" w:line="259" w:lineRule="auto"/>
        <w:rPr>
          <w:rFonts w:ascii="Arial" w:hAnsi="Arial" w:cs="Arial"/>
          <w:sz w:val="24"/>
          <w:szCs w:val="24"/>
        </w:rPr>
      </w:pPr>
      <w:r w:rsidRPr="007A1286">
        <w:rPr>
          <w:rFonts w:ascii="Arial" w:hAnsi="Arial" w:cs="Arial"/>
          <w:sz w:val="24"/>
          <w:szCs w:val="24"/>
        </w:rPr>
        <w:t>Efficiency Benefit Sharing Scheme (EBSS)</w:t>
      </w:r>
    </w:p>
    <w:p w14:paraId="674DFA90" w14:textId="653CB2F3" w:rsidR="007A1286" w:rsidRDefault="00D83E34" w:rsidP="007A1286">
      <w:pPr>
        <w:pStyle w:val="ListParagraph"/>
        <w:numPr>
          <w:ilvl w:val="0"/>
          <w:numId w:val="29"/>
        </w:numPr>
        <w:spacing w:after="160" w:line="259" w:lineRule="auto"/>
        <w:rPr>
          <w:rFonts w:ascii="Arial" w:hAnsi="Arial" w:cs="Arial"/>
          <w:sz w:val="24"/>
          <w:szCs w:val="24"/>
        </w:rPr>
      </w:pPr>
      <w:r w:rsidRPr="007A1286">
        <w:rPr>
          <w:rFonts w:ascii="Arial" w:hAnsi="Arial" w:cs="Arial"/>
          <w:sz w:val="24"/>
          <w:szCs w:val="24"/>
        </w:rPr>
        <w:t xml:space="preserve">Capital Expenditure Sharing Scheme (CESS) </w:t>
      </w:r>
    </w:p>
    <w:p w14:paraId="15EE7B74" w14:textId="17885BF6" w:rsidR="00D83E34" w:rsidRPr="007A1286" w:rsidRDefault="007A1286" w:rsidP="007A1286">
      <w:pPr>
        <w:pStyle w:val="ListParagraph"/>
        <w:numPr>
          <w:ilvl w:val="0"/>
          <w:numId w:val="29"/>
        </w:numPr>
        <w:spacing w:after="160" w:line="259" w:lineRule="auto"/>
        <w:rPr>
          <w:rFonts w:ascii="Arial" w:hAnsi="Arial" w:cs="Arial"/>
          <w:sz w:val="24"/>
          <w:szCs w:val="24"/>
        </w:rPr>
      </w:pPr>
      <w:r w:rsidRPr="00D83E34">
        <w:rPr>
          <w:rFonts w:ascii="Arial" w:hAnsi="Arial" w:cs="Arial"/>
          <w:sz w:val="24"/>
          <w:szCs w:val="24"/>
        </w:rPr>
        <w:lastRenderedPageBreak/>
        <w:t>Service Target Performance Incentive Scheme (STPIS)</w:t>
      </w:r>
      <w:r>
        <w:rPr>
          <w:rFonts w:ascii="Arial" w:hAnsi="Arial" w:cs="Arial"/>
          <w:sz w:val="24"/>
          <w:szCs w:val="24"/>
        </w:rPr>
        <w:t xml:space="preserve"> </w:t>
      </w:r>
      <w:r w:rsidR="00DE1068" w:rsidRPr="007A1286">
        <w:rPr>
          <w:rFonts w:ascii="Arial" w:hAnsi="Arial" w:cs="Arial"/>
          <w:sz w:val="24"/>
          <w:szCs w:val="24"/>
        </w:rPr>
        <w:t>and</w:t>
      </w:r>
    </w:p>
    <w:p w14:paraId="7902C30A" w14:textId="54BCEAAA" w:rsidR="00D83E34" w:rsidRPr="007A1286" w:rsidRDefault="00D83E34" w:rsidP="007A1286">
      <w:pPr>
        <w:pStyle w:val="ListParagraph"/>
        <w:numPr>
          <w:ilvl w:val="0"/>
          <w:numId w:val="29"/>
        </w:numPr>
        <w:spacing w:after="160" w:line="259" w:lineRule="auto"/>
        <w:rPr>
          <w:rFonts w:ascii="Arial" w:hAnsi="Arial" w:cs="Arial"/>
          <w:sz w:val="24"/>
          <w:szCs w:val="24"/>
        </w:rPr>
      </w:pPr>
      <w:r w:rsidRPr="007A1286">
        <w:rPr>
          <w:rFonts w:ascii="Arial" w:hAnsi="Arial" w:cs="Arial"/>
          <w:sz w:val="24"/>
          <w:szCs w:val="24"/>
        </w:rPr>
        <w:t>Demand Management Incentive Scheme (DMIS)</w:t>
      </w:r>
      <w:r w:rsidR="00DE1068" w:rsidRPr="007A1286">
        <w:rPr>
          <w:rFonts w:ascii="Arial" w:hAnsi="Arial" w:cs="Arial"/>
          <w:sz w:val="24"/>
          <w:szCs w:val="24"/>
        </w:rPr>
        <w:t>.</w:t>
      </w:r>
      <w:r w:rsidRPr="007A1286">
        <w:rPr>
          <w:rFonts w:ascii="Arial" w:hAnsi="Arial" w:cs="Arial"/>
          <w:sz w:val="24"/>
          <w:szCs w:val="24"/>
        </w:rPr>
        <w:t xml:space="preserve"> </w:t>
      </w:r>
    </w:p>
    <w:p w14:paraId="2044E34D" w14:textId="59F53169" w:rsidR="00D83E34" w:rsidRPr="00836227" w:rsidRDefault="00D83E34" w:rsidP="00836227">
      <w:pPr>
        <w:rPr>
          <w:rFonts w:ascii="Arial" w:hAnsi="Arial" w:cs="Arial"/>
          <w:sz w:val="24"/>
          <w:szCs w:val="24"/>
        </w:rPr>
      </w:pPr>
      <w:r w:rsidRPr="00D83E34">
        <w:rPr>
          <w:rFonts w:ascii="Arial" w:hAnsi="Arial" w:cs="Arial"/>
          <w:sz w:val="24"/>
          <w:szCs w:val="24"/>
        </w:rPr>
        <w:t xml:space="preserve">The final F&amp;A approach on the application of incentive schemes is not binding on the AER </w:t>
      </w:r>
      <w:r w:rsidR="00DE1068">
        <w:rPr>
          <w:rFonts w:ascii="Arial" w:hAnsi="Arial" w:cs="Arial"/>
          <w:sz w:val="24"/>
          <w:szCs w:val="24"/>
        </w:rPr>
        <w:t>n</w:t>
      </w:r>
      <w:r w:rsidRPr="00D83E34">
        <w:rPr>
          <w:rFonts w:ascii="Arial" w:hAnsi="Arial" w:cs="Arial"/>
          <w:sz w:val="24"/>
          <w:szCs w:val="24"/>
        </w:rPr>
        <w:t xml:space="preserve">or </w:t>
      </w:r>
      <w:r w:rsidR="00F123BE">
        <w:rPr>
          <w:rFonts w:ascii="Arial" w:hAnsi="Arial" w:cs="Arial"/>
          <w:sz w:val="24"/>
          <w:szCs w:val="24"/>
        </w:rPr>
        <w:t>ActewAGL</w:t>
      </w:r>
      <w:r w:rsidRPr="00D83E34">
        <w:rPr>
          <w:rFonts w:ascii="Arial" w:hAnsi="Arial" w:cs="Arial"/>
          <w:sz w:val="24"/>
          <w:szCs w:val="24"/>
        </w:rPr>
        <w:t xml:space="preserve">. </w:t>
      </w:r>
    </w:p>
    <w:p w14:paraId="27DC6A56" w14:textId="170C8D64" w:rsidR="00836227" w:rsidRPr="00836227" w:rsidRDefault="00836227" w:rsidP="00836227">
      <w:pPr>
        <w:spacing w:after="120"/>
        <w:rPr>
          <w:rFonts w:ascii="Arial" w:hAnsi="Arial" w:cs="Arial"/>
          <w:color w:val="365F91" w:themeColor="accent1" w:themeShade="BF"/>
          <w:sz w:val="24"/>
          <w:szCs w:val="24"/>
          <w:u w:val="single"/>
        </w:rPr>
      </w:pPr>
      <w:r w:rsidRPr="00836227">
        <w:rPr>
          <w:rFonts w:ascii="Arial" w:hAnsi="Arial" w:cs="Arial"/>
          <w:color w:val="365F91" w:themeColor="accent1" w:themeShade="BF"/>
          <w:sz w:val="24"/>
          <w:szCs w:val="24"/>
          <w:u w:val="single"/>
        </w:rPr>
        <w:t>Status of the incentive schemes</w:t>
      </w:r>
    </w:p>
    <w:p w14:paraId="0DD0CE61" w14:textId="12246D62" w:rsidR="00D83E34" w:rsidRDefault="00F123BE" w:rsidP="00DE1068">
      <w:pPr>
        <w:spacing w:after="0"/>
        <w:rPr>
          <w:rFonts w:ascii="Arial" w:hAnsi="Arial" w:cs="Arial"/>
          <w:sz w:val="24"/>
          <w:szCs w:val="24"/>
        </w:rPr>
      </w:pPr>
      <w:r>
        <w:rPr>
          <w:rFonts w:ascii="Arial" w:hAnsi="Arial" w:cs="Arial"/>
          <w:sz w:val="24"/>
          <w:szCs w:val="24"/>
        </w:rPr>
        <w:t xml:space="preserve">All </w:t>
      </w:r>
      <w:r w:rsidR="00D83E34" w:rsidRPr="00D83E34">
        <w:rPr>
          <w:rFonts w:ascii="Arial" w:hAnsi="Arial" w:cs="Arial"/>
          <w:sz w:val="24"/>
          <w:szCs w:val="24"/>
        </w:rPr>
        <w:t xml:space="preserve">incentive schemes are planned to apply to </w:t>
      </w:r>
      <w:r>
        <w:rPr>
          <w:rFonts w:ascii="Arial" w:hAnsi="Arial" w:cs="Arial"/>
          <w:sz w:val="24"/>
          <w:szCs w:val="24"/>
        </w:rPr>
        <w:t>ActewAGL</w:t>
      </w:r>
      <w:r w:rsidR="00D83E34" w:rsidRPr="00D83E34">
        <w:rPr>
          <w:rFonts w:ascii="Arial" w:hAnsi="Arial" w:cs="Arial"/>
          <w:sz w:val="24"/>
          <w:szCs w:val="24"/>
        </w:rPr>
        <w:t xml:space="preserve"> in 2019 – 24.</w:t>
      </w:r>
      <w:r w:rsidR="00836227">
        <w:rPr>
          <w:rFonts w:ascii="Arial" w:hAnsi="Arial" w:cs="Arial"/>
          <w:sz w:val="24"/>
          <w:szCs w:val="24"/>
        </w:rPr>
        <w:t xml:space="preserve"> The CCP supports this.</w:t>
      </w:r>
    </w:p>
    <w:p w14:paraId="7750A0FE" w14:textId="77777777" w:rsidR="00DE1068" w:rsidRPr="00D83E34" w:rsidRDefault="00DE1068" w:rsidP="00DE1068">
      <w:pPr>
        <w:spacing w:after="0"/>
        <w:rPr>
          <w:rFonts w:ascii="Arial" w:hAnsi="Arial" w:cs="Arial"/>
          <w:sz w:val="24"/>
          <w:szCs w:val="24"/>
        </w:rPr>
      </w:pPr>
    </w:p>
    <w:p w14:paraId="1E8A04B4" w14:textId="757330F0" w:rsidR="00D83E34" w:rsidRPr="00D83E34" w:rsidRDefault="007A1286" w:rsidP="00D83E34">
      <w:pPr>
        <w:rPr>
          <w:rFonts w:ascii="Arial" w:hAnsi="Arial" w:cs="Arial"/>
          <w:sz w:val="24"/>
          <w:szCs w:val="24"/>
        </w:rPr>
      </w:pPr>
      <w:r>
        <w:rPr>
          <w:rFonts w:ascii="Arial" w:hAnsi="Arial" w:cs="Arial"/>
          <w:sz w:val="24"/>
          <w:szCs w:val="24"/>
        </w:rPr>
        <w:t xml:space="preserve">Both </w:t>
      </w:r>
      <w:r w:rsidR="00DE1068">
        <w:rPr>
          <w:rFonts w:ascii="Arial" w:hAnsi="Arial" w:cs="Arial"/>
          <w:sz w:val="24"/>
          <w:szCs w:val="24"/>
        </w:rPr>
        <w:t>the DMIS and STPIS</w:t>
      </w:r>
      <w:r w:rsidR="00D83E34" w:rsidRPr="00D83E34">
        <w:rPr>
          <w:rFonts w:ascii="Arial" w:hAnsi="Arial" w:cs="Arial"/>
          <w:sz w:val="24"/>
          <w:szCs w:val="24"/>
        </w:rPr>
        <w:t xml:space="preserve"> are currently under review by the AER, with draft statements and notes due to be published in May 2017 (DMIS) and June 2017 (STPIS). The detailed nature and application of these two schemes will be considered once these draft statements are released. </w:t>
      </w:r>
    </w:p>
    <w:p w14:paraId="2FE34056" w14:textId="065EE425" w:rsidR="00D83E34" w:rsidRPr="00D83E34" w:rsidRDefault="00D83E34" w:rsidP="00D83E34">
      <w:pPr>
        <w:rPr>
          <w:rFonts w:ascii="Arial" w:hAnsi="Arial" w:cs="Arial"/>
          <w:sz w:val="24"/>
          <w:szCs w:val="24"/>
        </w:rPr>
      </w:pPr>
      <w:r w:rsidRPr="00D83E34">
        <w:rPr>
          <w:rFonts w:ascii="Arial" w:hAnsi="Arial" w:cs="Arial"/>
          <w:sz w:val="24"/>
          <w:szCs w:val="24"/>
        </w:rPr>
        <w:t xml:space="preserve">Regarding </w:t>
      </w:r>
      <w:r w:rsidR="007A1286">
        <w:rPr>
          <w:rFonts w:ascii="Arial" w:hAnsi="Arial" w:cs="Arial"/>
          <w:sz w:val="24"/>
          <w:szCs w:val="24"/>
        </w:rPr>
        <w:t xml:space="preserve">the </w:t>
      </w:r>
      <w:r w:rsidRPr="00D83E34">
        <w:rPr>
          <w:rFonts w:ascii="Arial" w:hAnsi="Arial" w:cs="Arial"/>
          <w:sz w:val="24"/>
          <w:szCs w:val="24"/>
        </w:rPr>
        <w:t xml:space="preserve">STPIS, initial responses </w:t>
      </w:r>
      <w:r w:rsidR="00F123BE">
        <w:rPr>
          <w:rFonts w:ascii="Arial" w:hAnsi="Arial" w:cs="Arial"/>
          <w:sz w:val="24"/>
          <w:szCs w:val="24"/>
        </w:rPr>
        <w:t xml:space="preserve">from network businesses </w:t>
      </w:r>
      <w:r w:rsidRPr="00D83E34">
        <w:rPr>
          <w:rFonts w:ascii="Arial" w:hAnsi="Arial" w:cs="Arial"/>
          <w:sz w:val="24"/>
          <w:szCs w:val="24"/>
        </w:rPr>
        <w:t>tend to support the existing framework, with recommendations generally around the form of calculation of performance targets</w:t>
      </w:r>
      <w:r w:rsidR="00F123BE">
        <w:rPr>
          <w:rFonts w:ascii="Arial" w:hAnsi="Arial" w:cs="Arial"/>
          <w:sz w:val="24"/>
          <w:szCs w:val="24"/>
        </w:rPr>
        <w:t xml:space="preserve"> and the ‘strength’ of the incentive, ie the percentage of reward or penalty that applies.</w:t>
      </w:r>
    </w:p>
    <w:p w14:paraId="3C280001" w14:textId="61B961ED" w:rsidR="00D83E34" w:rsidRPr="00D83E34" w:rsidRDefault="00D83E34" w:rsidP="00D83E34">
      <w:pPr>
        <w:rPr>
          <w:rFonts w:ascii="Arial" w:hAnsi="Arial" w:cs="Arial"/>
          <w:sz w:val="24"/>
          <w:szCs w:val="24"/>
        </w:rPr>
      </w:pPr>
      <w:r w:rsidRPr="00D83E34">
        <w:rPr>
          <w:rFonts w:ascii="Arial" w:hAnsi="Arial" w:cs="Arial"/>
          <w:sz w:val="24"/>
          <w:szCs w:val="24"/>
        </w:rPr>
        <w:t xml:space="preserve">In the current discussion on </w:t>
      </w:r>
      <w:r w:rsidR="007A1286">
        <w:rPr>
          <w:rFonts w:ascii="Arial" w:hAnsi="Arial" w:cs="Arial"/>
          <w:sz w:val="24"/>
          <w:szCs w:val="24"/>
        </w:rPr>
        <w:t xml:space="preserve">the </w:t>
      </w:r>
      <w:r w:rsidRPr="00D83E34">
        <w:rPr>
          <w:rFonts w:ascii="Arial" w:hAnsi="Arial" w:cs="Arial"/>
          <w:sz w:val="24"/>
          <w:szCs w:val="24"/>
        </w:rPr>
        <w:t xml:space="preserve">DMIS, responses from the distributors are more guarded, with concerns around the type of benefit sharing scheme, investment opportunities and the relationship between </w:t>
      </w:r>
      <w:r w:rsidR="007A1286">
        <w:rPr>
          <w:rFonts w:ascii="Arial" w:hAnsi="Arial" w:cs="Arial"/>
          <w:sz w:val="24"/>
          <w:szCs w:val="24"/>
        </w:rPr>
        <w:t xml:space="preserve">the </w:t>
      </w:r>
      <w:r w:rsidRPr="00D83E34">
        <w:rPr>
          <w:rFonts w:ascii="Arial" w:hAnsi="Arial" w:cs="Arial"/>
          <w:sz w:val="24"/>
          <w:szCs w:val="24"/>
        </w:rPr>
        <w:t>DMIS and other efficiency incentive schemes. The DMIS is also drawing interest from a wide public audience.</w:t>
      </w:r>
    </w:p>
    <w:p w14:paraId="5798F71D" w14:textId="01C48E5B" w:rsidR="00836227" w:rsidRDefault="00D83E34" w:rsidP="00836227">
      <w:pPr>
        <w:rPr>
          <w:rFonts w:ascii="Arial" w:hAnsi="Arial" w:cs="Arial"/>
          <w:sz w:val="24"/>
          <w:szCs w:val="24"/>
        </w:rPr>
      </w:pPr>
      <w:r w:rsidRPr="00D83E34">
        <w:rPr>
          <w:rFonts w:ascii="Arial" w:hAnsi="Arial" w:cs="Arial"/>
          <w:sz w:val="24"/>
          <w:szCs w:val="24"/>
        </w:rPr>
        <w:t xml:space="preserve">It is noted that the distributors have expressed particular views on the application of </w:t>
      </w:r>
      <w:r w:rsidR="00344A68">
        <w:rPr>
          <w:rFonts w:ascii="Arial" w:hAnsi="Arial" w:cs="Arial"/>
          <w:sz w:val="24"/>
          <w:szCs w:val="24"/>
        </w:rPr>
        <w:t xml:space="preserve">the </w:t>
      </w:r>
      <w:r w:rsidRPr="00D83E34">
        <w:rPr>
          <w:rFonts w:ascii="Arial" w:hAnsi="Arial" w:cs="Arial"/>
          <w:sz w:val="24"/>
          <w:szCs w:val="24"/>
        </w:rPr>
        <w:t>STPIS and other incentive schemes to the AER directly, and the AER’s posi</w:t>
      </w:r>
      <w:r w:rsidR="00344A68">
        <w:rPr>
          <w:rFonts w:ascii="Arial" w:hAnsi="Arial" w:cs="Arial"/>
          <w:sz w:val="24"/>
          <w:szCs w:val="24"/>
        </w:rPr>
        <w:t>tion is to consider these views and the issues raised in submissions</w:t>
      </w:r>
      <w:r w:rsidRPr="00D83E34">
        <w:rPr>
          <w:rFonts w:ascii="Arial" w:hAnsi="Arial" w:cs="Arial"/>
          <w:sz w:val="24"/>
          <w:szCs w:val="24"/>
        </w:rPr>
        <w:t xml:space="preserve"> during the review process for </w:t>
      </w:r>
      <w:r w:rsidR="00344A68">
        <w:rPr>
          <w:rFonts w:ascii="Arial" w:hAnsi="Arial" w:cs="Arial"/>
          <w:sz w:val="24"/>
          <w:szCs w:val="24"/>
        </w:rPr>
        <w:t xml:space="preserve">the </w:t>
      </w:r>
      <w:r w:rsidRPr="00D83E34">
        <w:rPr>
          <w:rFonts w:ascii="Arial" w:hAnsi="Arial" w:cs="Arial"/>
          <w:sz w:val="24"/>
          <w:szCs w:val="24"/>
        </w:rPr>
        <w:t>STPIS and DMIS.</w:t>
      </w:r>
    </w:p>
    <w:p w14:paraId="224CFFCF" w14:textId="77777777" w:rsidR="00836227" w:rsidRPr="00836227" w:rsidRDefault="00836227" w:rsidP="00344A68">
      <w:pPr>
        <w:spacing w:after="0"/>
        <w:rPr>
          <w:rFonts w:ascii="Arial" w:hAnsi="Arial" w:cs="Arial"/>
          <w:b/>
          <w:color w:val="365F91" w:themeColor="accent1" w:themeShade="BF"/>
          <w:sz w:val="24"/>
          <w:szCs w:val="24"/>
        </w:rPr>
      </w:pPr>
      <w:r w:rsidRPr="00836227">
        <w:rPr>
          <w:rFonts w:ascii="Arial" w:hAnsi="Arial" w:cs="Arial"/>
          <w:b/>
          <w:color w:val="365F91" w:themeColor="accent1" w:themeShade="BF"/>
          <w:sz w:val="24"/>
          <w:szCs w:val="24"/>
        </w:rPr>
        <w:t>CCP view</w:t>
      </w:r>
    </w:p>
    <w:p w14:paraId="1F86FD31" w14:textId="50B25EA1" w:rsidR="007A1286" w:rsidRDefault="00D83E34" w:rsidP="00344A68">
      <w:pPr>
        <w:spacing w:after="0"/>
        <w:rPr>
          <w:rFonts w:ascii="Arial" w:hAnsi="Arial" w:cs="Arial"/>
          <w:sz w:val="24"/>
          <w:szCs w:val="24"/>
        </w:rPr>
      </w:pPr>
      <w:r w:rsidRPr="00D83E34">
        <w:rPr>
          <w:rFonts w:ascii="Arial" w:hAnsi="Arial" w:cs="Arial"/>
          <w:sz w:val="24"/>
          <w:szCs w:val="24"/>
        </w:rPr>
        <w:t>The CCP supports the applicat</w:t>
      </w:r>
      <w:r w:rsidR="00172B95">
        <w:rPr>
          <w:rFonts w:ascii="Arial" w:hAnsi="Arial" w:cs="Arial"/>
          <w:sz w:val="24"/>
          <w:szCs w:val="24"/>
        </w:rPr>
        <w:t xml:space="preserve">ion of the incentive schemes </w:t>
      </w:r>
      <w:r w:rsidRPr="00D83E34">
        <w:rPr>
          <w:rFonts w:ascii="Arial" w:hAnsi="Arial" w:cs="Arial"/>
          <w:sz w:val="24"/>
          <w:szCs w:val="24"/>
        </w:rPr>
        <w:t>proposed</w:t>
      </w:r>
      <w:r w:rsidR="00847C17">
        <w:rPr>
          <w:rFonts w:ascii="Arial" w:hAnsi="Arial" w:cs="Arial"/>
          <w:sz w:val="24"/>
          <w:szCs w:val="24"/>
        </w:rPr>
        <w:t xml:space="preserve"> in the </w:t>
      </w:r>
      <w:r w:rsidR="00344A68">
        <w:rPr>
          <w:rFonts w:ascii="Arial" w:hAnsi="Arial" w:cs="Arial"/>
          <w:sz w:val="24"/>
          <w:szCs w:val="24"/>
        </w:rPr>
        <w:t>F&amp;A</w:t>
      </w:r>
      <w:r w:rsidR="007A1286">
        <w:rPr>
          <w:rFonts w:ascii="Arial" w:hAnsi="Arial" w:cs="Arial"/>
          <w:sz w:val="24"/>
          <w:szCs w:val="24"/>
        </w:rPr>
        <w:t xml:space="preserve"> as:</w:t>
      </w:r>
    </w:p>
    <w:p w14:paraId="267AD27A" w14:textId="77777777" w:rsidR="007A1286" w:rsidRDefault="00D83E34" w:rsidP="007A1286">
      <w:pPr>
        <w:pStyle w:val="ListParagraph"/>
        <w:numPr>
          <w:ilvl w:val="0"/>
          <w:numId w:val="28"/>
        </w:numPr>
        <w:spacing w:after="0"/>
        <w:rPr>
          <w:rFonts w:ascii="Arial" w:hAnsi="Arial" w:cs="Arial"/>
          <w:sz w:val="24"/>
          <w:szCs w:val="24"/>
        </w:rPr>
      </w:pPr>
      <w:r w:rsidRPr="007A1286">
        <w:rPr>
          <w:rFonts w:ascii="Arial" w:hAnsi="Arial" w:cs="Arial"/>
          <w:sz w:val="24"/>
          <w:szCs w:val="24"/>
        </w:rPr>
        <w:t>efficiencies in capital and operating expenditure will benefit customers and</w:t>
      </w:r>
    </w:p>
    <w:p w14:paraId="559CCCEB" w14:textId="497674CB" w:rsidR="00D83E34" w:rsidRPr="007A1286" w:rsidRDefault="007A1286" w:rsidP="007A1286">
      <w:pPr>
        <w:pStyle w:val="ListParagraph"/>
        <w:numPr>
          <w:ilvl w:val="0"/>
          <w:numId w:val="28"/>
        </w:numPr>
        <w:spacing w:after="0"/>
        <w:rPr>
          <w:rFonts w:ascii="Arial" w:hAnsi="Arial" w:cs="Arial"/>
          <w:sz w:val="24"/>
          <w:szCs w:val="24"/>
        </w:rPr>
      </w:pPr>
      <w:r>
        <w:rPr>
          <w:rFonts w:ascii="Arial" w:hAnsi="Arial" w:cs="Arial"/>
          <w:sz w:val="24"/>
          <w:szCs w:val="24"/>
        </w:rPr>
        <w:t xml:space="preserve"> </w:t>
      </w:r>
      <w:r w:rsidR="00D83E34" w:rsidRPr="007A1286">
        <w:rPr>
          <w:rFonts w:ascii="Arial" w:hAnsi="Arial" w:cs="Arial"/>
          <w:sz w:val="24"/>
          <w:szCs w:val="24"/>
        </w:rPr>
        <w:t>the balancing impact of the STPIS is required to ensure appropriate service performance.</w:t>
      </w:r>
    </w:p>
    <w:p w14:paraId="6B9352B0" w14:textId="77777777" w:rsidR="00344A68" w:rsidRPr="00D83E34" w:rsidRDefault="00344A68" w:rsidP="00344A68">
      <w:pPr>
        <w:spacing w:after="0"/>
        <w:rPr>
          <w:rFonts w:ascii="Arial" w:hAnsi="Arial" w:cs="Arial"/>
          <w:sz w:val="24"/>
          <w:szCs w:val="24"/>
        </w:rPr>
      </w:pPr>
    </w:p>
    <w:p w14:paraId="7B6E2F3B" w14:textId="0D0F790B" w:rsidR="00D83E34" w:rsidRPr="00D83E34" w:rsidRDefault="00D83E34" w:rsidP="00D83E34">
      <w:pPr>
        <w:rPr>
          <w:rFonts w:ascii="Arial" w:hAnsi="Arial" w:cs="Arial"/>
          <w:sz w:val="24"/>
          <w:szCs w:val="24"/>
        </w:rPr>
      </w:pPr>
      <w:r w:rsidRPr="00D83E34">
        <w:rPr>
          <w:rFonts w:ascii="Arial" w:hAnsi="Arial" w:cs="Arial"/>
          <w:sz w:val="24"/>
          <w:szCs w:val="24"/>
        </w:rPr>
        <w:t>Give</w:t>
      </w:r>
      <w:r w:rsidR="00344A68">
        <w:rPr>
          <w:rFonts w:ascii="Arial" w:hAnsi="Arial" w:cs="Arial"/>
          <w:sz w:val="24"/>
          <w:szCs w:val="24"/>
        </w:rPr>
        <w:t xml:space="preserve">n the reviews under way for the DMIS and STPIS </w:t>
      </w:r>
      <w:r w:rsidRPr="00D83E34">
        <w:rPr>
          <w:rFonts w:ascii="Arial" w:hAnsi="Arial" w:cs="Arial"/>
          <w:sz w:val="24"/>
          <w:szCs w:val="24"/>
        </w:rPr>
        <w:t>there is a need to take a ‘wait and see’ approach by the CCP</w:t>
      </w:r>
      <w:r w:rsidR="00344A68">
        <w:rPr>
          <w:rFonts w:ascii="Arial" w:hAnsi="Arial" w:cs="Arial"/>
          <w:sz w:val="24"/>
          <w:szCs w:val="24"/>
        </w:rPr>
        <w:t>,</w:t>
      </w:r>
      <w:r w:rsidRPr="00D83E34">
        <w:rPr>
          <w:rFonts w:ascii="Arial" w:hAnsi="Arial" w:cs="Arial"/>
          <w:sz w:val="24"/>
          <w:szCs w:val="24"/>
        </w:rPr>
        <w:t xml:space="preserve"> until meaningful responses can be made regarding the STPIS and DMIS later this year. The CCP intends to present specific feedback on these two schemes after the draft statements are released</w:t>
      </w:r>
      <w:r w:rsidR="00172B95">
        <w:rPr>
          <w:rFonts w:ascii="Arial" w:hAnsi="Arial" w:cs="Arial"/>
          <w:sz w:val="24"/>
          <w:szCs w:val="24"/>
        </w:rPr>
        <w:t xml:space="preserve"> by the AER</w:t>
      </w:r>
      <w:r w:rsidRPr="00D83E34">
        <w:rPr>
          <w:rFonts w:ascii="Arial" w:hAnsi="Arial" w:cs="Arial"/>
          <w:sz w:val="24"/>
          <w:szCs w:val="24"/>
        </w:rPr>
        <w:t>.</w:t>
      </w:r>
    </w:p>
    <w:p w14:paraId="72E93E62" w14:textId="5E78C073" w:rsidR="00172B95" w:rsidRPr="00D83E34" w:rsidRDefault="00D83E34" w:rsidP="00D83E34">
      <w:pPr>
        <w:rPr>
          <w:rFonts w:ascii="Arial" w:hAnsi="Arial" w:cs="Arial"/>
          <w:sz w:val="24"/>
          <w:szCs w:val="24"/>
        </w:rPr>
      </w:pPr>
      <w:r w:rsidRPr="00D83E34">
        <w:rPr>
          <w:rFonts w:ascii="Arial" w:hAnsi="Arial" w:cs="Arial"/>
          <w:sz w:val="24"/>
          <w:szCs w:val="24"/>
        </w:rPr>
        <w:t>Within the context of the CCP’s broad support for the incentive schemes, the following detailed comments are offered:</w:t>
      </w:r>
    </w:p>
    <w:p w14:paraId="016E1566" w14:textId="66BBFF96" w:rsidR="00D83E34" w:rsidRPr="007A1286"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7A1286">
        <w:rPr>
          <w:rFonts w:ascii="Arial" w:hAnsi="Arial" w:cs="Arial"/>
          <w:color w:val="365F91" w:themeColor="accent1" w:themeShade="BF"/>
          <w:sz w:val="24"/>
          <w:szCs w:val="24"/>
          <w:u w:val="single"/>
        </w:rPr>
        <w:t>EBSS</w:t>
      </w:r>
    </w:p>
    <w:p w14:paraId="7737A2FF" w14:textId="77777777" w:rsidR="00D83E34" w:rsidRPr="00D83E34" w:rsidRDefault="00D83E34" w:rsidP="00D83E34">
      <w:pPr>
        <w:rPr>
          <w:rFonts w:ascii="Arial" w:hAnsi="Arial" w:cs="Arial"/>
          <w:sz w:val="24"/>
          <w:szCs w:val="24"/>
        </w:rPr>
      </w:pPr>
      <w:r w:rsidRPr="00D83E34">
        <w:rPr>
          <w:rFonts w:ascii="Arial" w:hAnsi="Arial" w:cs="Arial"/>
          <w:sz w:val="24"/>
          <w:szCs w:val="24"/>
        </w:rPr>
        <w:lastRenderedPageBreak/>
        <w:t xml:space="preserve">The EBSS must provide for a fair sharing between service providers and network users from efficiency gains and efficiency losses. In considering this approach, the following matters remain of key impact to customers: </w:t>
      </w:r>
    </w:p>
    <w:p w14:paraId="2C7512A4" w14:textId="3B1BC866" w:rsidR="00D83E34" w:rsidRPr="00D83E34" w:rsidRDefault="00D83E34" w:rsidP="00D83E34">
      <w:pPr>
        <w:pStyle w:val="ListParagraph"/>
        <w:numPr>
          <w:ilvl w:val="0"/>
          <w:numId w:val="17"/>
        </w:numPr>
        <w:spacing w:after="160" w:line="259" w:lineRule="auto"/>
        <w:rPr>
          <w:rFonts w:ascii="Arial" w:hAnsi="Arial" w:cs="Arial"/>
          <w:sz w:val="24"/>
          <w:szCs w:val="24"/>
        </w:rPr>
      </w:pPr>
      <w:r w:rsidRPr="00D83E34">
        <w:rPr>
          <w:rFonts w:ascii="Arial" w:hAnsi="Arial" w:cs="Arial"/>
          <w:sz w:val="24"/>
          <w:szCs w:val="24"/>
        </w:rPr>
        <w:t xml:space="preserve">the need to provide distributors with continuous incentives, so far as is consistent with economic efficiency, to reduce operating costs without reducing service </w:t>
      </w:r>
      <w:r w:rsidR="009E3309">
        <w:rPr>
          <w:rFonts w:ascii="Arial" w:hAnsi="Arial" w:cs="Arial"/>
          <w:sz w:val="24"/>
          <w:szCs w:val="24"/>
        </w:rPr>
        <w:t>delivery or network performance and</w:t>
      </w:r>
      <w:r w:rsidRPr="00D83E34">
        <w:rPr>
          <w:rFonts w:ascii="Arial" w:hAnsi="Arial" w:cs="Arial"/>
          <w:sz w:val="24"/>
          <w:szCs w:val="24"/>
        </w:rPr>
        <w:t xml:space="preserve"> </w:t>
      </w:r>
    </w:p>
    <w:p w14:paraId="2258E24A" w14:textId="1F651C48" w:rsidR="00D83E34" w:rsidRDefault="00D83E34" w:rsidP="00D83E34">
      <w:pPr>
        <w:pStyle w:val="ListParagraph"/>
        <w:numPr>
          <w:ilvl w:val="0"/>
          <w:numId w:val="17"/>
        </w:numPr>
        <w:spacing w:after="160" w:line="259" w:lineRule="auto"/>
        <w:rPr>
          <w:rFonts w:ascii="Arial" w:hAnsi="Arial" w:cs="Arial"/>
          <w:sz w:val="24"/>
          <w:szCs w:val="24"/>
        </w:rPr>
      </w:pPr>
      <w:r w:rsidRPr="00D83E34">
        <w:rPr>
          <w:rFonts w:ascii="Arial" w:hAnsi="Arial" w:cs="Arial"/>
          <w:sz w:val="24"/>
          <w:szCs w:val="24"/>
        </w:rPr>
        <w:t>the possible effects of the scheme on incentives for the implementatio</w:t>
      </w:r>
      <w:r w:rsidR="00E5436F">
        <w:rPr>
          <w:rFonts w:ascii="Arial" w:hAnsi="Arial" w:cs="Arial"/>
          <w:sz w:val="24"/>
          <w:szCs w:val="24"/>
        </w:rPr>
        <w:t>n of non–</w:t>
      </w:r>
      <w:r w:rsidRPr="00D83E34">
        <w:rPr>
          <w:rFonts w:ascii="Arial" w:hAnsi="Arial" w:cs="Arial"/>
          <w:sz w:val="24"/>
          <w:szCs w:val="24"/>
        </w:rPr>
        <w:t>network alternatives, and the cost impact of operational costs and ulti</w:t>
      </w:r>
      <w:r w:rsidR="00E5436F">
        <w:rPr>
          <w:rFonts w:ascii="Arial" w:hAnsi="Arial" w:cs="Arial"/>
          <w:sz w:val="24"/>
          <w:szCs w:val="24"/>
        </w:rPr>
        <w:t>mately tariffs to defer cap</w:t>
      </w:r>
      <w:r w:rsidR="007A4D6C">
        <w:rPr>
          <w:rFonts w:ascii="Arial" w:hAnsi="Arial" w:cs="Arial"/>
          <w:sz w:val="24"/>
          <w:szCs w:val="24"/>
        </w:rPr>
        <w:t>ex</w:t>
      </w:r>
      <w:r w:rsidRPr="00D83E34">
        <w:rPr>
          <w:rFonts w:ascii="Arial" w:hAnsi="Arial" w:cs="Arial"/>
          <w:sz w:val="24"/>
          <w:szCs w:val="24"/>
        </w:rPr>
        <w:t xml:space="preserve"> (related to CESS and DMIS)</w:t>
      </w:r>
      <w:r w:rsidR="0084284F">
        <w:rPr>
          <w:rFonts w:ascii="Arial" w:hAnsi="Arial" w:cs="Arial"/>
          <w:sz w:val="24"/>
          <w:szCs w:val="24"/>
        </w:rPr>
        <w:t>.</w:t>
      </w:r>
    </w:p>
    <w:p w14:paraId="56A08023" w14:textId="77777777" w:rsidR="00F123BE" w:rsidRPr="00F417FB" w:rsidRDefault="00F123BE" w:rsidP="00F417FB">
      <w:pPr>
        <w:spacing w:after="0"/>
        <w:rPr>
          <w:rFonts w:ascii="Arial" w:hAnsi="Arial" w:cs="Arial"/>
          <w:b/>
          <w:color w:val="365F91" w:themeColor="accent1" w:themeShade="BF"/>
          <w:sz w:val="24"/>
          <w:szCs w:val="24"/>
        </w:rPr>
      </w:pPr>
      <w:r w:rsidRPr="00F417FB">
        <w:rPr>
          <w:rFonts w:ascii="Arial" w:hAnsi="Arial" w:cs="Arial"/>
          <w:b/>
          <w:color w:val="365F91" w:themeColor="accent1" w:themeShade="BF"/>
          <w:sz w:val="24"/>
          <w:szCs w:val="24"/>
        </w:rPr>
        <w:t>AER’s preliminary position</w:t>
      </w:r>
    </w:p>
    <w:p w14:paraId="025C45F0" w14:textId="7D8BA3BB" w:rsidR="00FD7F99" w:rsidRDefault="00F123BE" w:rsidP="00F417FB">
      <w:pPr>
        <w:spacing w:after="160" w:line="259" w:lineRule="auto"/>
        <w:rPr>
          <w:rFonts w:ascii="Arial" w:hAnsi="Arial" w:cs="Arial"/>
          <w:sz w:val="24"/>
          <w:szCs w:val="24"/>
        </w:rPr>
      </w:pPr>
      <w:r>
        <w:rPr>
          <w:rFonts w:ascii="Arial" w:hAnsi="Arial" w:cs="Arial"/>
          <w:sz w:val="24"/>
          <w:szCs w:val="24"/>
        </w:rPr>
        <w:t xml:space="preserve">As indicated above, the AER’s preliminary position is to apply the EBSS to ActewAGL of the 2019-24 period, though this scheme has not been applied for </w:t>
      </w:r>
      <w:r w:rsidR="00FD7F99">
        <w:rPr>
          <w:rFonts w:ascii="Arial" w:hAnsi="Arial" w:cs="Arial"/>
          <w:sz w:val="24"/>
          <w:szCs w:val="24"/>
        </w:rPr>
        <w:t>the current 2014-19 regulatory period for ActewAGL. This was due to the AER’s view that ActewAGL may not apply the ‘revealed cost’ methodology for 2014-19.</w:t>
      </w:r>
    </w:p>
    <w:p w14:paraId="7F97CC75" w14:textId="77777777" w:rsidR="00FD7F99" w:rsidRPr="00836227" w:rsidRDefault="00FD7F99" w:rsidP="00FD7F99">
      <w:pPr>
        <w:spacing w:after="0"/>
        <w:rPr>
          <w:rFonts w:ascii="Arial" w:hAnsi="Arial" w:cs="Arial"/>
          <w:b/>
          <w:color w:val="365F91" w:themeColor="accent1" w:themeShade="BF"/>
          <w:sz w:val="24"/>
          <w:szCs w:val="24"/>
        </w:rPr>
      </w:pPr>
      <w:r w:rsidRPr="00836227">
        <w:rPr>
          <w:rFonts w:ascii="Arial" w:hAnsi="Arial" w:cs="Arial"/>
          <w:b/>
          <w:color w:val="365F91" w:themeColor="accent1" w:themeShade="BF"/>
          <w:sz w:val="24"/>
          <w:szCs w:val="24"/>
        </w:rPr>
        <w:t>CCP view</w:t>
      </w:r>
    </w:p>
    <w:p w14:paraId="26E6CEC9" w14:textId="21BFCD84" w:rsidR="00FD7F99" w:rsidRPr="00F417FB" w:rsidRDefault="00FD7F99" w:rsidP="00F417FB">
      <w:pPr>
        <w:spacing w:after="160" w:line="259" w:lineRule="auto"/>
        <w:rPr>
          <w:rFonts w:ascii="Arial" w:hAnsi="Arial" w:cs="Arial"/>
          <w:sz w:val="24"/>
          <w:szCs w:val="24"/>
        </w:rPr>
      </w:pPr>
      <w:r>
        <w:rPr>
          <w:rFonts w:ascii="Arial" w:hAnsi="Arial" w:cs="Arial"/>
          <w:sz w:val="24"/>
          <w:szCs w:val="24"/>
        </w:rPr>
        <w:t>The CCP continues to support the application of EBSS, in principle, but will wait to see what ActewAGL’s thinking is regarding application of the revealed costs methodology</w:t>
      </w:r>
      <w:r w:rsidR="00897688">
        <w:rPr>
          <w:rFonts w:ascii="Arial" w:hAnsi="Arial" w:cs="Arial"/>
          <w:sz w:val="24"/>
          <w:szCs w:val="24"/>
        </w:rPr>
        <w:t>.</w:t>
      </w:r>
    </w:p>
    <w:p w14:paraId="3F7647F5" w14:textId="77777777" w:rsidR="007A1286" w:rsidRPr="00D83E34" w:rsidRDefault="007A1286" w:rsidP="007A1286">
      <w:pPr>
        <w:pStyle w:val="ListParagraph"/>
        <w:spacing w:after="160" w:line="259" w:lineRule="auto"/>
        <w:rPr>
          <w:rFonts w:ascii="Arial" w:hAnsi="Arial" w:cs="Arial"/>
          <w:sz w:val="24"/>
          <w:szCs w:val="24"/>
        </w:rPr>
      </w:pPr>
    </w:p>
    <w:p w14:paraId="329D29B8" w14:textId="2081FEFA" w:rsidR="00D83E34" w:rsidRPr="007A1286"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7A1286">
        <w:rPr>
          <w:rFonts w:ascii="Arial" w:hAnsi="Arial" w:cs="Arial"/>
          <w:color w:val="365F91" w:themeColor="accent1" w:themeShade="BF"/>
          <w:sz w:val="24"/>
          <w:szCs w:val="24"/>
          <w:u w:val="single"/>
        </w:rPr>
        <w:t>CESS</w:t>
      </w:r>
    </w:p>
    <w:p w14:paraId="52564F82" w14:textId="3E80CD2E" w:rsidR="00D83E34" w:rsidRDefault="00D83E34" w:rsidP="00D83E34">
      <w:pPr>
        <w:rPr>
          <w:rFonts w:ascii="Arial" w:hAnsi="Arial" w:cs="Arial"/>
          <w:sz w:val="24"/>
          <w:szCs w:val="24"/>
        </w:rPr>
      </w:pPr>
      <w:r w:rsidRPr="00D83E34">
        <w:rPr>
          <w:rFonts w:ascii="Arial" w:hAnsi="Arial" w:cs="Arial"/>
          <w:sz w:val="24"/>
          <w:szCs w:val="24"/>
        </w:rPr>
        <w:t xml:space="preserve">Under the CESS a distributor retains 30 per cent of an underspend or overspend, while consumers retain </w:t>
      </w:r>
      <w:r w:rsidR="00E5436F">
        <w:rPr>
          <w:rFonts w:ascii="Arial" w:hAnsi="Arial" w:cs="Arial"/>
          <w:sz w:val="24"/>
          <w:szCs w:val="24"/>
        </w:rPr>
        <w:t>70 per cent of the underspend or</w:t>
      </w:r>
      <w:r w:rsidRPr="00D83E34">
        <w:rPr>
          <w:rFonts w:ascii="Arial" w:hAnsi="Arial" w:cs="Arial"/>
          <w:sz w:val="24"/>
          <w:szCs w:val="24"/>
        </w:rPr>
        <w:t xml:space="preserve"> overspend. This means that for a one dollar saving in capex the distributor keeps 30 cents of the benefit while consumers keep 70 cents of the benefit.</w:t>
      </w:r>
    </w:p>
    <w:p w14:paraId="54351BFF" w14:textId="232A30E8" w:rsidR="00D83E34" w:rsidRDefault="00D83E34" w:rsidP="00D83E34">
      <w:pPr>
        <w:rPr>
          <w:rFonts w:ascii="Arial" w:hAnsi="Arial" w:cs="Arial"/>
          <w:sz w:val="24"/>
          <w:szCs w:val="24"/>
        </w:rPr>
      </w:pPr>
      <w:r w:rsidRPr="00D83E34">
        <w:rPr>
          <w:rFonts w:ascii="Arial" w:hAnsi="Arial" w:cs="Arial"/>
          <w:sz w:val="24"/>
          <w:szCs w:val="24"/>
        </w:rPr>
        <w:t>The relationship between the CESS and investment in demand managemen</w:t>
      </w:r>
      <w:r w:rsidR="007A4D6C">
        <w:rPr>
          <w:rFonts w:ascii="Arial" w:hAnsi="Arial" w:cs="Arial"/>
          <w:sz w:val="24"/>
          <w:szCs w:val="24"/>
        </w:rPr>
        <w:t xml:space="preserve">t initiatives to address energy </w:t>
      </w:r>
      <w:r w:rsidRPr="00D83E34">
        <w:rPr>
          <w:rFonts w:ascii="Arial" w:hAnsi="Arial" w:cs="Arial"/>
          <w:sz w:val="24"/>
          <w:szCs w:val="24"/>
        </w:rPr>
        <w:t xml:space="preserve">at risk and the setting of reliability standards is of prime importance. </w:t>
      </w:r>
    </w:p>
    <w:p w14:paraId="3E6BA5E7" w14:textId="1DDAA6FA" w:rsidR="00CB549E" w:rsidRPr="00D83E34" w:rsidRDefault="00CB549E" w:rsidP="00D83E34">
      <w:pPr>
        <w:rPr>
          <w:rFonts w:ascii="Arial" w:hAnsi="Arial" w:cs="Arial"/>
          <w:sz w:val="24"/>
          <w:szCs w:val="24"/>
        </w:rPr>
      </w:pPr>
      <w:r>
        <w:rPr>
          <w:rFonts w:ascii="Arial" w:hAnsi="Arial" w:cs="Arial"/>
          <w:sz w:val="24"/>
          <w:szCs w:val="24"/>
        </w:rPr>
        <w:t>The AER intends to maintain application of the CESS to ActewAGL, a position supported by CCP.</w:t>
      </w:r>
    </w:p>
    <w:p w14:paraId="147FE373" w14:textId="25A3427C" w:rsidR="00D83E34" w:rsidRPr="00D83E34" w:rsidRDefault="00D83E34" w:rsidP="00D83E34">
      <w:pPr>
        <w:rPr>
          <w:rFonts w:ascii="Arial" w:hAnsi="Arial" w:cs="Arial"/>
          <w:sz w:val="24"/>
          <w:szCs w:val="24"/>
        </w:rPr>
      </w:pPr>
      <w:r w:rsidRPr="00D83E34">
        <w:rPr>
          <w:rFonts w:ascii="Arial" w:hAnsi="Arial" w:cs="Arial"/>
          <w:sz w:val="24"/>
          <w:szCs w:val="24"/>
        </w:rPr>
        <w:t>The CCP notes the changing nature of capital investment requirements in networks, largely because of changing customer energy requirements as articulated in the ENA’s Ne</w:t>
      </w:r>
      <w:r w:rsidR="0084284F">
        <w:rPr>
          <w:rFonts w:ascii="Arial" w:hAnsi="Arial" w:cs="Arial"/>
          <w:sz w:val="24"/>
          <w:szCs w:val="24"/>
        </w:rPr>
        <w:t>twork Transformation Roadmap (the Roadmap). The CCP is very</w:t>
      </w:r>
      <w:r w:rsidRPr="00D83E34">
        <w:rPr>
          <w:rFonts w:ascii="Arial" w:hAnsi="Arial" w:cs="Arial"/>
          <w:sz w:val="24"/>
          <w:szCs w:val="24"/>
        </w:rPr>
        <w:t xml:space="preserve"> interest</w:t>
      </w:r>
      <w:r w:rsidR="0084284F">
        <w:rPr>
          <w:rFonts w:ascii="Arial" w:hAnsi="Arial" w:cs="Arial"/>
          <w:sz w:val="24"/>
          <w:szCs w:val="24"/>
        </w:rPr>
        <w:t>ed in</w:t>
      </w:r>
      <w:r w:rsidRPr="00D83E34">
        <w:rPr>
          <w:rFonts w:ascii="Arial" w:hAnsi="Arial" w:cs="Arial"/>
          <w:sz w:val="24"/>
          <w:szCs w:val="24"/>
        </w:rPr>
        <w:t xml:space="preserve"> the application of the Roadmap’s approach into the capital investment plans of </w:t>
      </w:r>
      <w:r w:rsidR="00ED6F0C">
        <w:rPr>
          <w:rFonts w:ascii="Arial" w:hAnsi="Arial" w:cs="Arial"/>
          <w:sz w:val="24"/>
          <w:szCs w:val="24"/>
        </w:rPr>
        <w:t>ActewAGL</w:t>
      </w:r>
      <w:r w:rsidRPr="00D83E34">
        <w:rPr>
          <w:rFonts w:ascii="Arial" w:hAnsi="Arial" w:cs="Arial"/>
          <w:sz w:val="24"/>
          <w:szCs w:val="24"/>
        </w:rPr>
        <w:t>.</w:t>
      </w:r>
    </w:p>
    <w:p w14:paraId="48D201DE" w14:textId="3A7F045D" w:rsidR="00D83E34" w:rsidRPr="00634004"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634004">
        <w:rPr>
          <w:rFonts w:ascii="Arial" w:hAnsi="Arial" w:cs="Arial"/>
          <w:color w:val="365F91" w:themeColor="accent1" w:themeShade="BF"/>
          <w:sz w:val="24"/>
          <w:szCs w:val="24"/>
          <w:u w:val="single"/>
        </w:rPr>
        <w:t>STPIS</w:t>
      </w:r>
      <w:r w:rsidR="00D83E34" w:rsidRPr="00634004">
        <w:rPr>
          <w:rFonts w:ascii="Arial" w:hAnsi="Arial" w:cs="Arial"/>
          <w:color w:val="365F91" w:themeColor="accent1" w:themeShade="BF"/>
          <w:sz w:val="24"/>
          <w:szCs w:val="24"/>
          <w:u w:val="single"/>
        </w:rPr>
        <w:t xml:space="preserve"> </w:t>
      </w:r>
    </w:p>
    <w:p w14:paraId="3B9E83BB" w14:textId="0069BE26" w:rsidR="00D83E34" w:rsidRPr="00D83E34" w:rsidRDefault="00D83E34" w:rsidP="00D83E34">
      <w:pPr>
        <w:rPr>
          <w:rFonts w:ascii="Arial" w:hAnsi="Arial" w:cs="Arial"/>
          <w:sz w:val="24"/>
          <w:szCs w:val="24"/>
        </w:rPr>
      </w:pPr>
      <w:r w:rsidRPr="00D83E34">
        <w:rPr>
          <w:rFonts w:ascii="Arial" w:hAnsi="Arial" w:cs="Arial"/>
          <w:sz w:val="24"/>
          <w:szCs w:val="24"/>
        </w:rPr>
        <w:t xml:space="preserve">While the regulatory regime encourages a business to improve its operating and capital efficiency, the STPIS is designed to ensure that this increase in efficiency is not at the expense of deterioration in service performance for customers. Further, the STPIS is designed to encourage a </w:t>
      </w:r>
      <w:r w:rsidR="0084284F">
        <w:rPr>
          <w:rFonts w:ascii="Arial" w:hAnsi="Arial" w:cs="Arial"/>
          <w:sz w:val="24"/>
          <w:szCs w:val="24"/>
        </w:rPr>
        <w:t xml:space="preserve">network </w:t>
      </w:r>
      <w:r w:rsidRPr="00D83E34">
        <w:rPr>
          <w:rFonts w:ascii="Arial" w:hAnsi="Arial" w:cs="Arial"/>
          <w:sz w:val="24"/>
          <w:szCs w:val="24"/>
        </w:rPr>
        <w:t xml:space="preserve">business to improve its service performance where customers are willing to pay for these improvements. </w:t>
      </w:r>
    </w:p>
    <w:p w14:paraId="4B306DDB" w14:textId="77777777" w:rsidR="00D83E34" w:rsidRPr="00D83E34" w:rsidRDefault="00D83E34" w:rsidP="00D83E34">
      <w:pPr>
        <w:rPr>
          <w:rFonts w:ascii="Arial" w:hAnsi="Arial" w:cs="Arial"/>
          <w:sz w:val="24"/>
          <w:szCs w:val="24"/>
        </w:rPr>
      </w:pPr>
      <w:r w:rsidRPr="00D83E34">
        <w:rPr>
          <w:rFonts w:ascii="Arial" w:hAnsi="Arial" w:cs="Arial"/>
          <w:sz w:val="24"/>
          <w:szCs w:val="24"/>
        </w:rPr>
        <w:lastRenderedPageBreak/>
        <w:t>The application of incentive schemes in the form proposed by the AER are supported, including:</w:t>
      </w:r>
    </w:p>
    <w:p w14:paraId="1BF34AFE" w14:textId="7B964467" w:rsidR="00D83E34" w:rsidRPr="00D83E34" w:rsidRDefault="00D83E34" w:rsidP="00D83E34">
      <w:pPr>
        <w:pStyle w:val="ListParagraph"/>
        <w:numPr>
          <w:ilvl w:val="0"/>
          <w:numId w:val="18"/>
        </w:numPr>
        <w:spacing w:after="160" w:line="259" w:lineRule="auto"/>
        <w:rPr>
          <w:rFonts w:ascii="Arial" w:hAnsi="Arial" w:cs="Arial"/>
          <w:sz w:val="24"/>
          <w:szCs w:val="24"/>
        </w:rPr>
      </w:pPr>
      <w:r w:rsidRPr="00D83E34">
        <w:rPr>
          <w:rFonts w:ascii="Arial" w:hAnsi="Arial" w:cs="Arial"/>
          <w:sz w:val="24"/>
          <w:szCs w:val="24"/>
        </w:rPr>
        <w:t>Revenue at risk of ± 5%</w:t>
      </w:r>
      <w:r w:rsidR="00CB549E">
        <w:rPr>
          <w:rFonts w:ascii="Arial" w:hAnsi="Arial" w:cs="Arial"/>
          <w:sz w:val="24"/>
          <w:szCs w:val="24"/>
        </w:rPr>
        <w:t xml:space="preserve"> (a ‘higher strength’ – s-factor - incentive than a previously applied </w:t>
      </w:r>
      <w:r w:rsidR="00CB549E" w:rsidRPr="00D83E34">
        <w:rPr>
          <w:rFonts w:ascii="Arial" w:hAnsi="Arial" w:cs="Arial"/>
          <w:sz w:val="24"/>
          <w:szCs w:val="24"/>
        </w:rPr>
        <w:t xml:space="preserve">± </w:t>
      </w:r>
      <w:r w:rsidR="00CB549E">
        <w:rPr>
          <w:rFonts w:ascii="Arial" w:hAnsi="Arial" w:cs="Arial"/>
          <w:sz w:val="24"/>
          <w:szCs w:val="24"/>
        </w:rPr>
        <w:t>2.</w:t>
      </w:r>
      <w:r w:rsidR="00CB549E" w:rsidRPr="00D83E34">
        <w:rPr>
          <w:rFonts w:ascii="Arial" w:hAnsi="Arial" w:cs="Arial"/>
          <w:sz w:val="24"/>
          <w:szCs w:val="24"/>
        </w:rPr>
        <w:t>5%</w:t>
      </w:r>
      <w:r w:rsidR="00CB549E">
        <w:rPr>
          <w:rFonts w:ascii="Arial" w:hAnsi="Arial" w:cs="Arial"/>
          <w:sz w:val="24"/>
          <w:szCs w:val="24"/>
        </w:rPr>
        <w:t>)</w:t>
      </w:r>
    </w:p>
    <w:p w14:paraId="5F90C358" w14:textId="73B06F40" w:rsidR="00D83E34" w:rsidRPr="00D83E34" w:rsidRDefault="00D83E34" w:rsidP="00D83E34">
      <w:pPr>
        <w:pStyle w:val="ListParagraph"/>
        <w:numPr>
          <w:ilvl w:val="0"/>
          <w:numId w:val="18"/>
        </w:numPr>
        <w:spacing w:after="160" w:line="259" w:lineRule="auto"/>
        <w:rPr>
          <w:rFonts w:ascii="Arial" w:hAnsi="Arial" w:cs="Arial"/>
          <w:sz w:val="24"/>
          <w:szCs w:val="24"/>
        </w:rPr>
      </w:pPr>
      <w:r w:rsidRPr="00D83E34">
        <w:rPr>
          <w:rFonts w:ascii="Arial" w:hAnsi="Arial" w:cs="Arial"/>
          <w:sz w:val="24"/>
          <w:szCs w:val="24"/>
        </w:rPr>
        <w:t>Performance targets based on the distributors’ average past performance over 5 years</w:t>
      </w:r>
      <w:r w:rsidR="0084284F">
        <w:rPr>
          <w:rFonts w:ascii="Arial" w:hAnsi="Arial" w:cs="Arial"/>
          <w:sz w:val="24"/>
          <w:szCs w:val="24"/>
        </w:rPr>
        <w:t xml:space="preserve"> and </w:t>
      </w:r>
    </w:p>
    <w:p w14:paraId="4FA2F556" w14:textId="7141505E" w:rsidR="00D83E34" w:rsidRPr="00D83E34" w:rsidRDefault="0084284F" w:rsidP="00D83E34">
      <w:pPr>
        <w:pStyle w:val="ListParagraph"/>
        <w:numPr>
          <w:ilvl w:val="0"/>
          <w:numId w:val="18"/>
        </w:numPr>
        <w:spacing w:after="160" w:line="259" w:lineRule="auto"/>
        <w:rPr>
          <w:rFonts w:ascii="Arial" w:hAnsi="Arial" w:cs="Arial"/>
          <w:sz w:val="24"/>
          <w:szCs w:val="24"/>
        </w:rPr>
      </w:pPr>
      <w:r>
        <w:rPr>
          <w:rFonts w:ascii="Arial" w:hAnsi="Arial" w:cs="Arial"/>
          <w:sz w:val="24"/>
          <w:szCs w:val="24"/>
        </w:rPr>
        <w:t>Guaranteed service level (</w:t>
      </w:r>
      <w:r w:rsidR="00D83E34" w:rsidRPr="00D83E34">
        <w:rPr>
          <w:rFonts w:ascii="Arial" w:hAnsi="Arial" w:cs="Arial"/>
          <w:sz w:val="24"/>
          <w:szCs w:val="24"/>
        </w:rPr>
        <w:t>GSL</w:t>
      </w:r>
      <w:r>
        <w:rPr>
          <w:rFonts w:ascii="Arial" w:hAnsi="Arial" w:cs="Arial"/>
          <w:sz w:val="24"/>
          <w:szCs w:val="24"/>
        </w:rPr>
        <w:t>)</w:t>
      </w:r>
      <w:r w:rsidR="00D83E34" w:rsidRPr="00D83E34">
        <w:rPr>
          <w:rFonts w:ascii="Arial" w:hAnsi="Arial" w:cs="Arial"/>
          <w:sz w:val="24"/>
          <w:szCs w:val="24"/>
        </w:rPr>
        <w:t xml:space="preserve"> schemes not included provided </w:t>
      </w:r>
      <w:r w:rsidR="00CB549E">
        <w:rPr>
          <w:rFonts w:ascii="Arial" w:hAnsi="Arial" w:cs="Arial"/>
          <w:sz w:val="24"/>
          <w:szCs w:val="24"/>
        </w:rPr>
        <w:t xml:space="preserve">ActewAGL </w:t>
      </w:r>
      <w:r w:rsidR="00D83E34" w:rsidRPr="00D83E34">
        <w:rPr>
          <w:rFonts w:ascii="Arial" w:hAnsi="Arial" w:cs="Arial"/>
          <w:sz w:val="24"/>
          <w:szCs w:val="24"/>
        </w:rPr>
        <w:t>they remain</w:t>
      </w:r>
      <w:r w:rsidR="00CB549E">
        <w:rPr>
          <w:rFonts w:ascii="Arial" w:hAnsi="Arial" w:cs="Arial"/>
          <w:sz w:val="24"/>
          <w:szCs w:val="24"/>
        </w:rPr>
        <w:t>s</w:t>
      </w:r>
      <w:r w:rsidR="00D83E34" w:rsidRPr="00D83E34">
        <w:rPr>
          <w:rFonts w:ascii="Arial" w:hAnsi="Arial" w:cs="Arial"/>
          <w:sz w:val="24"/>
          <w:szCs w:val="24"/>
        </w:rPr>
        <w:t xml:space="preserve"> a part of the</w:t>
      </w:r>
      <w:r w:rsidR="00CB549E">
        <w:rPr>
          <w:rFonts w:ascii="Arial" w:hAnsi="Arial" w:cs="Arial"/>
          <w:sz w:val="24"/>
          <w:szCs w:val="24"/>
        </w:rPr>
        <w:t xml:space="preserve"> ACT jurisdictional scheme that is managed by the Independent Competition and Regulatory Commission (ICRC)</w:t>
      </w:r>
      <w:r>
        <w:rPr>
          <w:rFonts w:ascii="Arial" w:hAnsi="Arial" w:cs="Arial"/>
          <w:sz w:val="24"/>
          <w:szCs w:val="24"/>
        </w:rPr>
        <w:t>.</w:t>
      </w:r>
    </w:p>
    <w:p w14:paraId="39AAD370" w14:textId="77777777" w:rsidR="00D83E34" w:rsidRPr="00D83E34" w:rsidRDefault="00D83E34" w:rsidP="00D83E34">
      <w:pPr>
        <w:rPr>
          <w:rFonts w:ascii="Arial" w:hAnsi="Arial" w:cs="Arial"/>
          <w:sz w:val="24"/>
          <w:szCs w:val="24"/>
        </w:rPr>
      </w:pPr>
      <w:r w:rsidRPr="00D83E34">
        <w:rPr>
          <w:rFonts w:ascii="Arial" w:hAnsi="Arial" w:cs="Arial"/>
          <w:sz w:val="24"/>
          <w:szCs w:val="24"/>
        </w:rPr>
        <w:t xml:space="preserve">The focus areas of network performance and customer telephone answering remain important. </w:t>
      </w:r>
    </w:p>
    <w:p w14:paraId="697E3871" w14:textId="07F9202B" w:rsidR="00D83E34" w:rsidRPr="00D83E34" w:rsidRDefault="00D83E34" w:rsidP="00D83E34">
      <w:pPr>
        <w:rPr>
          <w:rFonts w:ascii="Arial" w:hAnsi="Arial" w:cs="Arial"/>
          <w:sz w:val="24"/>
          <w:szCs w:val="24"/>
        </w:rPr>
      </w:pPr>
      <w:r w:rsidRPr="00D83E34">
        <w:rPr>
          <w:rFonts w:ascii="Arial" w:hAnsi="Arial" w:cs="Arial"/>
          <w:sz w:val="24"/>
          <w:szCs w:val="24"/>
        </w:rPr>
        <w:t xml:space="preserve">However, it must be noted that other areas of service delivery that are largely monopoly services by distributors remain somewhat outside the </w:t>
      </w:r>
      <w:r w:rsidR="007A4D6C">
        <w:rPr>
          <w:rFonts w:ascii="Arial" w:hAnsi="Arial" w:cs="Arial"/>
          <w:sz w:val="24"/>
          <w:szCs w:val="24"/>
        </w:rPr>
        <w:t xml:space="preserve">STPIS including: </w:t>
      </w:r>
    </w:p>
    <w:p w14:paraId="2A482F34" w14:textId="1E82729A" w:rsidR="00D83E34" w:rsidRPr="00D83E34" w:rsidRDefault="00D83E34" w:rsidP="00D83E34">
      <w:pPr>
        <w:pStyle w:val="ListParagraph"/>
        <w:numPr>
          <w:ilvl w:val="0"/>
          <w:numId w:val="20"/>
        </w:numPr>
        <w:spacing w:after="120" w:line="259" w:lineRule="auto"/>
        <w:ind w:left="714" w:hanging="357"/>
        <w:contextualSpacing w:val="0"/>
        <w:rPr>
          <w:rFonts w:ascii="Arial" w:hAnsi="Arial" w:cs="Arial"/>
          <w:sz w:val="24"/>
          <w:szCs w:val="24"/>
        </w:rPr>
      </w:pPr>
      <w:r w:rsidRPr="00D83E34">
        <w:rPr>
          <w:rFonts w:ascii="Arial" w:hAnsi="Arial" w:cs="Arial"/>
          <w:i/>
          <w:sz w:val="24"/>
          <w:szCs w:val="24"/>
        </w:rPr>
        <w:t>Non-contestable connection services</w:t>
      </w:r>
      <w:r w:rsidR="0084284F">
        <w:rPr>
          <w:rFonts w:ascii="Arial" w:hAnsi="Arial" w:cs="Arial"/>
          <w:sz w:val="24"/>
          <w:szCs w:val="24"/>
        </w:rPr>
        <w:t>:</w:t>
      </w:r>
      <w:r w:rsidRPr="00D83E34">
        <w:rPr>
          <w:rFonts w:ascii="Arial" w:hAnsi="Arial" w:cs="Arial"/>
          <w:sz w:val="24"/>
          <w:szCs w:val="24"/>
        </w:rPr>
        <w:t xml:space="preserve"> where the network business provides technical standards, connection approval and the physical connection the parts of network and customers connections constructed by others. Despite the inten</w:t>
      </w:r>
      <w:r w:rsidR="00AF065F">
        <w:rPr>
          <w:rFonts w:ascii="Arial" w:hAnsi="Arial" w:cs="Arial"/>
          <w:sz w:val="24"/>
          <w:szCs w:val="24"/>
        </w:rPr>
        <w:t>t of rules such as Chapter 5A of</w:t>
      </w:r>
      <w:r w:rsidRPr="00D83E34">
        <w:rPr>
          <w:rFonts w:ascii="Arial" w:hAnsi="Arial" w:cs="Arial"/>
          <w:sz w:val="24"/>
          <w:szCs w:val="24"/>
        </w:rPr>
        <w:t xml:space="preserve"> the NER, the incentives for timely and customer-focussed connection services are not strong. </w:t>
      </w:r>
    </w:p>
    <w:p w14:paraId="0D63B502" w14:textId="792E0F36" w:rsidR="00D83E34" w:rsidRPr="00D83E34" w:rsidRDefault="00130D94" w:rsidP="00D83E34">
      <w:pPr>
        <w:pStyle w:val="ListParagraph"/>
        <w:numPr>
          <w:ilvl w:val="0"/>
          <w:numId w:val="20"/>
        </w:numPr>
        <w:spacing w:after="120" w:line="259" w:lineRule="auto"/>
        <w:ind w:left="714" w:hanging="357"/>
        <w:contextualSpacing w:val="0"/>
        <w:rPr>
          <w:rFonts w:ascii="Arial" w:hAnsi="Arial" w:cs="Arial"/>
          <w:sz w:val="24"/>
          <w:szCs w:val="24"/>
        </w:rPr>
      </w:pPr>
      <w:r>
        <w:rPr>
          <w:rFonts w:ascii="Arial" w:hAnsi="Arial" w:cs="Arial"/>
          <w:i/>
          <w:sz w:val="24"/>
          <w:szCs w:val="24"/>
        </w:rPr>
        <w:t>Response to complaints</w:t>
      </w:r>
      <w:r>
        <w:rPr>
          <w:rFonts w:ascii="Arial" w:hAnsi="Arial" w:cs="Arial"/>
          <w:sz w:val="24"/>
          <w:szCs w:val="24"/>
        </w:rPr>
        <w:t>:</w:t>
      </w:r>
      <w:r w:rsidR="00D83E34" w:rsidRPr="00D83E34">
        <w:rPr>
          <w:rFonts w:ascii="Arial" w:hAnsi="Arial" w:cs="Arial"/>
          <w:i/>
          <w:sz w:val="24"/>
          <w:szCs w:val="24"/>
        </w:rPr>
        <w:t xml:space="preserve"> </w:t>
      </w:r>
      <w:r w:rsidR="00D83E34" w:rsidRPr="00D83E34">
        <w:rPr>
          <w:rFonts w:ascii="Arial" w:hAnsi="Arial" w:cs="Arial"/>
          <w:sz w:val="24"/>
          <w:szCs w:val="24"/>
        </w:rPr>
        <w:t>relating to the qualit</w:t>
      </w:r>
      <w:r w:rsidR="007A4D6C">
        <w:rPr>
          <w:rFonts w:ascii="Arial" w:hAnsi="Arial" w:cs="Arial"/>
          <w:sz w:val="24"/>
          <w:szCs w:val="24"/>
        </w:rPr>
        <w:t>y and timeliness of distributor</w:t>
      </w:r>
      <w:r w:rsidR="00D83E34" w:rsidRPr="00D83E34">
        <w:rPr>
          <w:rFonts w:ascii="Arial" w:hAnsi="Arial" w:cs="Arial"/>
          <w:sz w:val="24"/>
          <w:szCs w:val="24"/>
        </w:rPr>
        <w:t>s</w:t>
      </w:r>
      <w:r w:rsidR="007A4D6C">
        <w:rPr>
          <w:rFonts w:ascii="Arial" w:hAnsi="Arial" w:cs="Arial"/>
          <w:sz w:val="24"/>
          <w:szCs w:val="24"/>
        </w:rPr>
        <w:t>’</w:t>
      </w:r>
      <w:r w:rsidR="00D83E34" w:rsidRPr="00D83E34">
        <w:rPr>
          <w:rFonts w:ascii="Arial" w:hAnsi="Arial" w:cs="Arial"/>
          <w:sz w:val="24"/>
          <w:szCs w:val="24"/>
        </w:rPr>
        <w:t xml:space="preserve"> responses to customer complaints and queries, where an increasing number are processes in written </w:t>
      </w:r>
      <w:r>
        <w:rPr>
          <w:rFonts w:ascii="Arial" w:hAnsi="Arial" w:cs="Arial"/>
          <w:sz w:val="24"/>
          <w:szCs w:val="24"/>
        </w:rPr>
        <w:t>and electronic form, rather than</w:t>
      </w:r>
      <w:r w:rsidR="00D83E34" w:rsidRPr="00D83E34">
        <w:rPr>
          <w:rFonts w:ascii="Arial" w:hAnsi="Arial" w:cs="Arial"/>
          <w:sz w:val="24"/>
          <w:szCs w:val="24"/>
        </w:rPr>
        <w:t xml:space="preserve"> contact by telephone.</w:t>
      </w:r>
    </w:p>
    <w:p w14:paraId="46D1A8B6" w14:textId="6F57C920" w:rsidR="003B3871" w:rsidRPr="00F417FB" w:rsidRDefault="00D83E34" w:rsidP="00F417FB">
      <w:pPr>
        <w:pStyle w:val="ListParagraph"/>
        <w:numPr>
          <w:ilvl w:val="0"/>
          <w:numId w:val="20"/>
        </w:numPr>
        <w:spacing w:after="120" w:line="259" w:lineRule="auto"/>
        <w:ind w:left="714" w:hanging="357"/>
        <w:contextualSpacing w:val="0"/>
        <w:rPr>
          <w:rFonts w:ascii="Arial" w:hAnsi="Arial" w:cs="Arial"/>
          <w:sz w:val="24"/>
          <w:szCs w:val="24"/>
        </w:rPr>
      </w:pPr>
      <w:r w:rsidRPr="00D83E34">
        <w:rPr>
          <w:rFonts w:ascii="Arial" w:hAnsi="Arial" w:cs="Arial"/>
          <w:i/>
          <w:sz w:val="24"/>
          <w:szCs w:val="24"/>
        </w:rPr>
        <w:t>Planned Interrup</w:t>
      </w:r>
      <w:r w:rsidR="00130D94">
        <w:rPr>
          <w:rFonts w:ascii="Arial" w:hAnsi="Arial" w:cs="Arial"/>
          <w:i/>
          <w:sz w:val="24"/>
          <w:szCs w:val="24"/>
        </w:rPr>
        <w:t>tions</w:t>
      </w:r>
      <w:r w:rsidR="00130D94" w:rsidRPr="00130D94">
        <w:rPr>
          <w:rFonts w:ascii="Arial" w:hAnsi="Arial" w:cs="Arial"/>
          <w:sz w:val="24"/>
          <w:szCs w:val="24"/>
        </w:rPr>
        <w:t>:</w:t>
      </w:r>
      <w:r w:rsidRPr="00D83E34">
        <w:rPr>
          <w:rFonts w:ascii="Arial" w:hAnsi="Arial" w:cs="Arial"/>
          <w:i/>
          <w:sz w:val="24"/>
          <w:szCs w:val="24"/>
        </w:rPr>
        <w:t xml:space="preserve"> </w:t>
      </w:r>
      <w:r w:rsidRPr="00D83E34">
        <w:rPr>
          <w:rFonts w:ascii="Arial" w:hAnsi="Arial" w:cs="Arial"/>
          <w:sz w:val="24"/>
          <w:szCs w:val="24"/>
        </w:rPr>
        <w:t>where network performance targets for planned interruptions are just as important as the response to unplanned and emergency work. Incentives to reduce or at least optimise the number, period and commercial impact of planned interruptions to customers would benefit from formal incentives to at least maintain current performance in a manner similar to unplanned interruptions.</w:t>
      </w:r>
    </w:p>
    <w:p w14:paraId="0AF39452" w14:textId="77777777" w:rsidR="00D83E34" w:rsidRPr="00D83E34" w:rsidRDefault="00D83E34" w:rsidP="00D83E34">
      <w:pPr>
        <w:rPr>
          <w:rFonts w:ascii="Arial" w:hAnsi="Arial" w:cs="Arial"/>
          <w:sz w:val="24"/>
          <w:szCs w:val="24"/>
        </w:rPr>
      </w:pPr>
      <w:r w:rsidRPr="00D83E34">
        <w:rPr>
          <w:rFonts w:ascii="Arial" w:hAnsi="Arial" w:cs="Arial"/>
          <w:sz w:val="24"/>
          <w:szCs w:val="24"/>
        </w:rPr>
        <w:t>The CCP would encourage the AER to consider the wider application of the definition of service targets and performance in upcoming determinations.</w:t>
      </w:r>
    </w:p>
    <w:p w14:paraId="3D8DC337" w14:textId="292E6CAD" w:rsidR="00D83E34" w:rsidRPr="00634004"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634004">
        <w:rPr>
          <w:rFonts w:ascii="Arial" w:hAnsi="Arial" w:cs="Arial"/>
          <w:color w:val="365F91" w:themeColor="accent1" w:themeShade="BF"/>
          <w:sz w:val="24"/>
          <w:szCs w:val="24"/>
          <w:u w:val="single"/>
        </w:rPr>
        <w:t>DMIS</w:t>
      </w:r>
      <w:r w:rsidR="00D83E34" w:rsidRPr="00634004">
        <w:rPr>
          <w:rFonts w:ascii="Arial" w:hAnsi="Arial" w:cs="Arial"/>
          <w:color w:val="365F91" w:themeColor="accent1" w:themeShade="BF"/>
          <w:sz w:val="24"/>
          <w:szCs w:val="24"/>
          <w:u w:val="single"/>
        </w:rPr>
        <w:t xml:space="preserve"> </w:t>
      </w:r>
    </w:p>
    <w:p w14:paraId="0286DC04" w14:textId="27ECE039" w:rsidR="00D83E34" w:rsidRPr="00D83E34" w:rsidRDefault="00D83E34" w:rsidP="00D83E34">
      <w:pPr>
        <w:rPr>
          <w:rFonts w:ascii="Arial" w:hAnsi="Arial" w:cs="Arial"/>
          <w:sz w:val="24"/>
          <w:szCs w:val="24"/>
        </w:rPr>
      </w:pPr>
      <w:r w:rsidRPr="00D83E34">
        <w:rPr>
          <w:rFonts w:ascii="Arial" w:hAnsi="Arial" w:cs="Arial"/>
          <w:sz w:val="24"/>
          <w:szCs w:val="24"/>
        </w:rPr>
        <w:t>The CCP recognises that the AER is currently developing its new</w:t>
      </w:r>
      <w:r w:rsidR="003B3871">
        <w:rPr>
          <w:rFonts w:ascii="Arial" w:hAnsi="Arial" w:cs="Arial"/>
          <w:sz w:val="24"/>
          <w:szCs w:val="24"/>
        </w:rPr>
        <w:t xml:space="preserve"> scheme and allowance mechanism</w:t>
      </w:r>
      <w:r w:rsidRPr="00D83E34">
        <w:rPr>
          <w:rFonts w:ascii="Arial" w:hAnsi="Arial" w:cs="Arial"/>
          <w:sz w:val="24"/>
          <w:szCs w:val="24"/>
        </w:rPr>
        <w:t xml:space="preserve"> and in January 2017 published its DMIS/DMIA Consultation paper. </w:t>
      </w:r>
    </w:p>
    <w:p w14:paraId="0AB3406D" w14:textId="391B1121" w:rsidR="00D83E34" w:rsidRPr="00D83E34" w:rsidRDefault="00D83E34" w:rsidP="00D83E34">
      <w:pPr>
        <w:rPr>
          <w:rFonts w:ascii="Arial" w:hAnsi="Arial" w:cs="Arial"/>
          <w:sz w:val="24"/>
          <w:szCs w:val="24"/>
        </w:rPr>
      </w:pPr>
      <w:r w:rsidRPr="00D83E34">
        <w:rPr>
          <w:rFonts w:ascii="Arial" w:hAnsi="Arial" w:cs="Arial"/>
          <w:sz w:val="24"/>
          <w:szCs w:val="24"/>
        </w:rPr>
        <w:t>The CCP will continu</w:t>
      </w:r>
      <w:r w:rsidR="003B3871">
        <w:rPr>
          <w:rFonts w:ascii="Arial" w:hAnsi="Arial" w:cs="Arial"/>
          <w:sz w:val="24"/>
          <w:szCs w:val="24"/>
        </w:rPr>
        <w:t>e to consult on demand management incentives</w:t>
      </w:r>
      <w:r w:rsidRPr="00D83E34">
        <w:rPr>
          <w:rFonts w:ascii="Arial" w:hAnsi="Arial" w:cs="Arial"/>
          <w:sz w:val="24"/>
          <w:szCs w:val="24"/>
        </w:rPr>
        <w:t xml:space="preserve">, to ensure the impacts of this very important incentive are reasonably addressed with both the community and those businesses with emerging demand management aggregation capability. </w:t>
      </w:r>
    </w:p>
    <w:p w14:paraId="283C6139" w14:textId="52483EEC" w:rsidR="00F25236" w:rsidRDefault="00D83E34" w:rsidP="00AA4922">
      <w:pPr>
        <w:rPr>
          <w:rFonts w:ascii="Arial" w:hAnsi="Arial" w:cs="Arial"/>
          <w:sz w:val="24"/>
          <w:szCs w:val="24"/>
        </w:rPr>
      </w:pPr>
      <w:r w:rsidRPr="00D83E34">
        <w:rPr>
          <w:rFonts w:ascii="Arial" w:hAnsi="Arial" w:cs="Arial"/>
          <w:sz w:val="24"/>
          <w:szCs w:val="24"/>
        </w:rPr>
        <w:t>In recognition that a large component of the success of a distributor’s demand management initiatives rely heavily on the technical and commercial relationship with customers, retailers and new industry entities such as demand aggre</w:t>
      </w:r>
      <w:r w:rsidR="00130D94">
        <w:rPr>
          <w:rFonts w:ascii="Arial" w:hAnsi="Arial" w:cs="Arial"/>
          <w:sz w:val="24"/>
          <w:szCs w:val="24"/>
        </w:rPr>
        <w:t xml:space="preserve">gators, the </w:t>
      </w:r>
      <w:r w:rsidR="00130D94">
        <w:rPr>
          <w:rFonts w:ascii="Arial" w:hAnsi="Arial" w:cs="Arial"/>
          <w:sz w:val="24"/>
          <w:szCs w:val="24"/>
        </w:rPr>
        <w:lastRenderedPageBreak/>
        <w:t>development of the demand management</w:t>
      </w:r>
      <w:r w:rsidRPr="00D83E34">
        <w:rPr>
          <w:rFonts w:ascii="Arial" w:hAnsi="Arial" w:cs="Arial"/>
          <w:sz w:val="24"/>
          <w:szCs w:val="24"/>
        </w:rPr>
        <w:t xml:space="preserve"> capability in these sectors will be of interest to the CCP.</w:t>
      </w:r>
    </w:p>
    <w:p w14:paraId="4B158347" w14:textId="75FF3C11" w:rsidR="0070547B" w:rsidRPr="00F25236" w:rsidRDefault="00AA4922" w:rsidP="003B3871">
      <w:pPr>
        <w:pStyle w:val="Heading1"/>
        <w:numPr>
          <w:ilvl w:val="0"/>
          <w:numId w:val="5"/>
        </w:numPr>
        <w:ind w:hanging="720"/>
      </w:pPr>
      <w:r>
        <w:t>I</w:t>
      </w:r>
      <w:r w:rsidR="0070547B">
        <w:t>ssue 4: Expenditu</w:t>
      </w:r>
      <w:r w:rsidR="00F51763">
        <w:t>re f</w:t>
      </w:r>
      <w:r w:rsidR="0070547B">
        <w:t>orecast assessment guideline</w:t>
      </w:r>
    </w:p>
    <w:p w14:paraId="135A123D" w14:textId="77777777" w:rsidR="0070547B" w:rsidRPr="008E0BA9" w:rsidRDefault="0070547B" w:rsidP="003B3871">
      <w:pPr>
        <w:spacing w:after="0"/>
        <w:rPr>
          <w:rFonts w:ascii="Arial" w:hAnsi="Arial" w:cs="Arial"/>
          <w:sz w:val="24"/>
          <w:szCs w:val="24"/>
        </w:rPr>
      </w:pPr>
    </w:p>
    <w:p w14:paraId="5A6D2803" w14:textId="36384C07" w:rsidR="008E0BA9" w:rsidRPr="008E0BA9" w:rsidRDefault="008E0BA9" w:rsidP="003B3871">
      <w:pPr>
        <w:pStyle w:val="Heading3"/>
        <w:rPr>
          <w:rFonts w:ascii="Arial" w:hAnsi="Arial" w:cs="Arial"/>
          <w:sz w:val="24"/>
          <w:szCs w:val="24"/>
        </w:rPr>
      </w:pPr>
      <w:r w:rsidRPr="008E0BA9">
        <w:rPr>
          <w:rFonts w:ascii="Arial" w:hAnsi="Arial" w:cs="Arial"/>
          <w:sz w:val="24"/>
          <w:szCs w:val="24"/>
        </w:rPr>
        <w:t>AER</w:t>
      </w:r>
      <w:r w:rsidR="008221A1">
        <w:rPr>
          <w:rFonts w:ascii="Arial" w:hAnsi="Arial" w:cs="Arial"/>
          <w:sz w:val="24"/>
          <w:szCs w:val="24"/>
        </w:rPr>
        <w:t>’s p</w:t>
      </w:r>
      <w:r w:rsidRPr="008E0BA9">
        <w:rPr>
          <w:rFonts w:ascii="Arial" w:hAnsi="Arial" w:cs="Arial"/>
          <w:sz w:val="24"/>
          <w:szCs w:val="24"/>
        </w:rPr>
        <w:t xml:space="preserve">reliminary </w:t>
      </w:r>
      <w:r w:rsidR="008221A1">
        <w:rPr>
          <w:rFonts w:ascii="Arial" w:hAnsi="Arial" w:cs="Arial"/>
          <w:sz w:val="24"/>
          <w:szCs w:val="24"/>
        </w:rPr>
        <w:t>position</w:t>
      </w:r>
    </w:p>
    <w:p w14:paraId="28A4EA23" w14:textId="68D8F59D" w:rsidR="008E0BA9" w:rsidRPr="008E0BA9" w:rsidRDefault="00130D94" w:rsidP="008E0BA9">
      <w:pPr>
        <w:rPr>
          <w:rFonts w:ascii="Arial" w:hAnsi="Arial" w:cs="Arial"/>
          <w:sz w:val="24"/>
          <w:szCs w:val="24"/>
        </w:rPr>
      </w:pPr>
      <w:r>
        <w:rPr>
          <w:rFonts w:ascii="Arial" w:hAnsi="Arial" w:cs="Arial"/>
          <w:sz w:val="24"/>
          <w:szCs w:val="24"/>
        </w:rPr>
        <w:t xml:space="preserve">The </w:t>
      </w:r>
      <w:r w:rsidR="003B3871">
        <w:rPr>
          <w:rFonts w:ascii="Arial" w:hAnsi="Arial" w:cs="Arial"/>
          <w:sz w:val="24"/>
          <w:szCs w:val="24"/>
        </w:rPr>
        <w:t>AER proposes to apply the E</w:t>
      </w:r>
      <w:r w:rsidR="008E0BA9" w:rsidRPr="008E0BA9">
        <w:rPr>
          <w:rFonts w:ascii="Arial" w:hAnsi="Arial" w:cs="Arial"/>
          <w:sz w:val="24"/>
          <w:szCs w:val="24"/>
        </w:rPr>
        <w:t>xpenditure forecast assessment guideline (the EFA guideline)</w:t>
      </w:r>
      <w:r w:rsidR="008E0BA9" w:rsidRPr="008E0BA9">
        <w:rPr>
          <w:rStyle w:val="FootnoteReference"/>
          <w:rFonts w:ascii="Arial" w:hAnsi="Arial" w:cs="Arial"/>
          <w:sz w:val="24"/>
          <w:szCs w:val="24"/>
        </w:rPr>
        <w:footnoteReference w:id="5"/>
      </w:r>
      <w:r w:rsidR="008E0BA9" w:rsidRPr="008E0BA9">
        <w:rPr>
          <w:rFonts w:ascii="Arial" w:hAnsi="Arial" w:cs="Arial"/>
          <w:sz w:val="24"/>
          <w:szCs w:val="24"/>
        </w:rPr>
        <w:t xml:space="preserve"> </w:t>
      </w:r>
      <w:r w:rsidR="003B3871">
        <w:rPr>
          <w:rFonts w:ascii="Arial" w:hAnsi="Arial" w:cs="Arial"/>
          <w:sz w:val="24"/>
          <w:szCs w:val="24"/>
        </w:rPr>
        <w:t xml:space="preserve">which was </w:t>
      </w:r>
      <w:r w:rsidR="008E0BA9" w:rsidRPr="008E0BA9">
        <w:rPr>
          <w:rFonts w:ascii="Arial" w:hAnsi="Arial" w:cs="Arial"/>
          <w:sz w:val="24"/>
          <w:szCs w:val="24"/>
        </w:rPr>
        <w:t>developed in consultation with stakeholders through the Better Regulation review in 2013. The EFA guideline provides for the AER to have regard to various sources of information and analytical tools in reaching its judgement on efficient costs. Importantly</w:t>
      </w:r>
      <w:r w:rsidR="001856C4">
        <w:rPr>
          <w:rFonts w:ascii="Arial" w:hAnsi="Arial" w:cs="Arial"/>
          <w:sz w:val="24"/>
          <w:szCs w:val="24"/>
        </w:rPr>
        <w:t xml:space="preserve"> it imposes a requirement on the </w:t>
      </w:r>
      <w:r w:rsidR="00634004">
        <w:rPr>
          <w:rFonts w:ascii="Arial" w:hAnsi="Arial" w:cs="Arial"/>
          <w:sz w:val="24"/>
          <w:szCs w:val="24"/>
        </w:rPr>
        <w:t>distributor</w:t>
      </w:r>
      <w:r w:rsidR="00634004" w:rsidRPr="008E0BA9">
        <w:rPr>
          <w:rFonts w:ascii="Arial" w:hAnsi="Arial" w:cs="Arial"/>
          <w:sz w:val="24"/>
          <w:szCs w:val="24"/>
        </w:rPr>
        <w:t>s</w:t>
      </w:r>
      <w:r w:rsidR="008E0BA9" w:rsidRPr="008E0BA9">
        <w:rPr>
          <w:rFonts w:ascii="Arial" w:hAnsi="Arial" w:cs="Arial"/>
          <w:sz w:val="24"/>
          <w:szCs w:val="24"/>
        </w:rPr>
        <w:t xml:space="preserve"> for transparency in their forecasts of proposed costs.</w:t>
      </w:r>
    </w:p>
    <w:p w14:paraId="59B6FB88" w14:textId="758F2E62" w:rsidR="008E0BA9" w:rsidRPr="008E0BA9" w:rsidRDefault="008E0BA9" w:rsidP="008E0BA9">
      <w:pPr>
        <w:rPr>
          <w:rFonts w:ascii="Arial" w:hAnsi="Arial" w:cs="Arial"/>
          <w:sz w:val="24"/>
          <w:szCs w:val="24"/>
        </w:rPr>
      </w:pPr>
      <w:r w:rsidRPr="008E0BA9">
        <w:rPr>
          <w:rFonts w:ascii="Arial" w:hAnsi="Arial" w:cs="Arial"/>
          <w:sz w:val="24"/>
          <w:szCs w:val="24"/>
        </w:rPr>
        <w:t xml:space="preserve">The assessment/analytical tools and techniques specified in the EFA </w:t>
      </w:r>
      <w:r w:rsidR="001856C4">
        <w:rPr>
          <w:rFonts w:ascii="Arial" w:hAnsi="Arial" w:cs="Arial"/>
          <w:sz w:val="24"/>
          <w:szCs w:val="24"/>
        </w:rPr>
        <w:t>guideline include</w:t>
      </w:r>
      <w:r w:rsidRPr="008E0BA9">
        <w:rPr>
          <w:rFonts w:ascii="Arial" w:hAnsi="Arial" w:cs="Arial"/>
          <w:sz w:val="24"/>
          <w:szCs w:val="24"/>
        </w:rPr>
        <w:t xml:space="preserve">: </w:t>
      </w:r>
    </w:p>
    <w:p w14:paraId="5BDC80CC" w14:textId="77777777" w:rsidR="008E0BA9" w:rsidRPr="008E0BA9" w:rsidRDefault="008E0BA9" w:rsidP="008E0BA9">
      <w:pPr>
        <w:pStyle w:val="ListBullet"/>
        <w:rPr>
          <w:rFonts w:cs="Arial"/>
          <w:sz w:val="24"/>
          <w:szCs w:val="24"/>
        </w:rPr>
      </w:pPr>
      <w:r w:rsidRPr="008E0BA9">
        <w:rPr>
          <w:rFonts w:cs="Arial"/>
          <w:sz w:val="24"/>
          <w:szCs w:val="24"/>
        </w:rPr>
        <w:t>models for assessing proposed replacement and augmentation capex</w:t>
      </w:r>
    </w:p>
    <w:p w14:paraId="3545FDA2" w14:textId="77777777" w:rsidR="008E0BA9" w:rsidRPr="008E0BA9" w:rsidRDefault="008E0BA9" w:rsidP="008E0BA9">
      <w:pPr>
        <w:pStyle w:val="ListBullet"/>
        <w:rPr>
          <w:rFonts w:cs="Arial"/>
          <w:sz w:val="24"/>
          <w:szCs w:val="24"/>
        </w:rPr>
      </w:pPr>
      <w:r w:rsidRPr="008E0BA9">
        <w:rPr>
          <w:rFonts w:cs="Arial"/>
          <w:sz w:val="24"/>
          <w:szCs w:val="24"/>
        </w:rPr>
        <w:t>benchmarking (including broad economic techniques and more specific analysis of expenditure categories)</w:t>
      </w:r>
    </w:p>
    <w:p w14:paraId="591FFC6D" w14:textId="77777777" w:rsidR="008E0BA9" w:rsidRPr="008E0BA9" w:rsidRDefault="008E0BA9" w:rsidP="008E0BA9">
      <w:pPr>
        <w:pStyle w:val="ListBullet"/>
        <w:rPr>
          <w:rFonts w:cs="Arial"/>
          <w:sz w:val="24"/>
          <w:szCs w:val="24"/>
        </w:rPr>
      </w:pPr>
      <w:r w:rsidRPr="008E0BA9">
        <w:rPr>
          <w:rFonts w:cs="Arial"/>
          <w:sz w:val="24"/>
          <w:szCs w:val="24"/>
        </w:rPr>
        <w:t>methodology, governance and policy reviews</w:t>
      </w:r>
    </w:p>
    <w:p w14:paraId="3B23D3DD" w14:textId="10F3626F" w:rsidR="008E0BA9" w:rsidRPr="008E0BA9" w:rsidRDefault="008E0BA9" w:rsidP="008E0BA9">
      <w:pPr>
        <w:pStyle w:val="ListBullet"/>
        <w:rPr>
          <w:rFonts w:cs="Arial"/>
          <w:sz w:val="24"/>
          <w:szCs w:val="24"/>
        </w:rPr>
      </w:pPr>
      <w:r w:rsidRPr="008E0BA9">
        <w:rPr>
          <w:rFonts w:cs="Arial"/>
          <w:sz w:val="24"/>
          <w:szCs w:val="24"/>
        </w:rPr>
        <w:t>predictive modelling and trend analysis</w:t>
      </w:r>
      <w:r w:rsidR="001856C4">
        <w:rPr>
          <w:rFonts w:cs="Arial"/>
          <w:sz w:val="24"/>
          <w:szCs w:val="24"/>
        </w:rPr>
        <w:t xml:space="preserve"> and</w:t>
      </w:r>
    </w:p>
    <w:p w14:paraId="68839F32" w14:textId="77777777" w:rsidR="008E0BA9" w:rsidRDefault="008E0BA9" w:rsidP="008E0BA9">
      <w:pPr>
        <w:pStyle w:val="ListBullet"/>
        <w:rPr>
          <w:rFonts w:cs="Arial"/>
          <w:sz w:val="24"/>
          <w:szCs w:val="24"/>
        </w:rPr>
      </w:pPr>
      <w:r w:rsidRPr="008E0BA9">
        <w:rPr>
          <w:rFonts w:cs="Arial"/>
          <w:sz w:val="24"/>
          <w:szCs w:val="24"/>
        </w:rPr>
        <w:t>cost benefit analysis and detailed project reviews.</w:t>
      </w:r>
      <w:r w:rsidRPr="008E0BA9">
        <w:rPr>
          <w:rStyle w:val="Superscript"/>
          <w:rFonts w:cs="Arial"/>
          <w:sz w:val="24"/>
          <w:szCs w:val="24"/>
        </w:rPr>
        <w:footnoteReference w:id="6"/>
      </w:r>
    </w:p>
    <w:p w14:paraId="66537953" w14:textId="77777777" w:rsidR="003B3871" w:rsidRDefault="003B3871" w:rsidP="008E0BA9">
      <w:pPr>
        <w:rPr>
          <w:rFonts w:ascii="Arial" w:hAnsi="Arial" w:cs="Arial"/>
          <w:sz w:val="24"/>
          <w:szCs w:val="24"/>
        </w:rPr>
      </w:pPr>
    </w:p>
    <w:p w14:paraId="1C7F402C" w14:textId="15816F77" w:rsidR="008E0BA9" w:rsidRPr="008E0BA9" w:rsidRDefault="00847C17" w:rsidP="003B3871">
      <w:pPr>
        <w:spacing w:after="0"/>
        <w:rPr>
          <w:rFonts w:ascii="Arial" w:hAnsi="Arial" w:cs="Arial"/>
          <w:sz w:val="24"/>
          <w:szCs w:val="24"/>
        </w:rPr>
      </w:pPr>
      <w:r>
        <w:rPr>
          <w:rFonts w:ascii="Arial" w:hAnsi="Arial" w:cs="Arial"/>
          <w:sz w:val="24"/>
          <w:szCs w:val="24"/>
        </w:rPr>
        <w:t xml:space="preserve">The AER </w:t>
      </w:r>
      <w:r w:rsidR="00DF016F">
        <w:rPr>
          <w:rFonts w:ascii="Arial" w:hAnsi="Arial" w:cs="Arial"/>
          <w:sz w:val="24"/>
          <w:szCs w:val="24"/>
        </w:rPr>
        <w:t>states that</w:t>
      </w:r>
      <w:r w:rsidR="008E0BA9" w:rsidRPr="008E0BA9">
        <w:rPr>
          <w:rFonts w:ascii="Arial" w:hAnsi="Arial" w:cs="Arial"/>
          <w:sz w:val="24"/>
          <w:szCs w:val="24"/>
        </w:rPr>
        <w:t xml:space="preserve"> “</w:t>
      </w:r>
      <w:r w:rsidRPr="00847C17">
        <w:rPr>
          <w:rFonts w:ascii="Arial" w:hAnsi="Arial" w:cs="Arial"/>
          <w:i/>
          <w:sz w:val="24"/>
          <w:szCs w:val="24"/>
        </w:rPr>
        <w:t>We</w:t>
      </w:r>
      <w:r>
        <w:rPr>
          <w:rFonts w:ascii="Arial" w:hAnsi="Arial" w:cs="Arial"/>
          <w:sz w:val="24"/>
          <w:szCs w:val="24"/>
        </w:rPr>
        <w:t xml:space="preserve"> </w:t>
      </w:r>
      <w:r w:rsidR="008E0BA9" w:rsidRPr="001856C4">
        <w:rPr>
          <w:rFonts w:ascii="Arial" w:hAnsi="Arial" w:cs="Arial"/>
          <w:i/>
          <w:sz w:val="24"/>
          <w:szCs w:val="24"/>
        </w:rPr>
        <w:t>exercise our judgement in determining the extent to which we use a particular technique in assessing a regulatory proposal</w:t>
      </w:r>
      <w:r w:rsidR="001856C4">
        <w:rPr>
          <w:rFonts w:ascii="Arial" w:hAnsi="Arial" w:cs="Arial"/>
          <w:sz w:val="24"/>
          <w:szCs w:val="24"/>
        </w:rPr>
        <w:t>.” (p</w:t>
      </w:r>
      <w:r w:rsidR="00C158B3">
        <w:rPr>
          <w:rFonts w:ascii="Arial" w:hAnsi="Arial" w:cs="Arial"/>
          <w:sz w:val="24"/>
          <w:szCs w:val="24"/>
        </w:rPr>
        <w:t>69</w:t>
      </w:r>
      <w:r w:rsidR="001856C4">
        <w:rPr>
          <w:rFonts w:ascii="Arial" w:hAnsi="Arial" w:cs="Arial"/>
          <w:sz w:val="24"/>
          <w:szCs w:val="24"/>
        </w:rPr>
        <w:t xml:space="preserve"> F&amp;A</w:t>
      </w:r>
      <w:r w:rsidR="008E0BA9" w:rsidRPr="008E0BA9">
        <w:rPr>
          <w:rFonts w:ascii="Arial" w:hAnsi="Arial" w:cs="Arial"/>
          <w:sz w:val="24"/>
          <w:szCs w:val="24"/>
        </w:rPr>
        <w:t>).</w:t>
      </w:r>
    </w:p>
    <w:p w14:paraId="58CD86E3" w14:textId="4D0FE012" w:rsidR="008E0BA9" w:rsidRPr="008E0BA9" w:rsidRDefault="006F28BA" w:rsidP="008E0BA9">
      <w:pPr>
        <w:pStyle w:val="Heading3"/>
        <w:rPr>
          <w:rFonts w:ascii="Arial" w:hAnsi="Arial" w:cs="Arial"/>
          <w:sz w:val="24"/>
          <w:szCs w:val="24"/>
        </w:rPr>
      </w:pPr>
      <w:r>
        <w:rPr>
          <w:rFonts w:ascii="Arial" w:hAnsi="Arial" w:cs="Arial"/>
          <w:sz w:val="24"/>
          <w:szCs w:val="24"/>
        </w:rPr>
        <w:t>CPP view</w:t>
      </w:r>
    </w:p>
    <w:p w14:paraId="5FBCA76D" w14:textId="62F33C61" w:rsidR="008E0BA9" w:rsidRPr="008E0BA9" w:rsidRDefault="00AA4922" w:rsidP="008E0BA9">
      <w:pPr>
        <w:rPr>
          <w:rFonts w:ascii="Arial" w:hAnsi="Arial" w:cs="Arial"/>
          <w:sz w:val="24"/>
          <w:szCs w:val="24"/>
        </w:rPr>
      </w:pPr>
      <w:r>
        <w:rPr>
          <w:rFonts w:ascii="Arial" w:hAnsi="Arial" w:cs="Arial"/>
          <w:sz w:val="24"/>
          <w:szCs w:val="24"/>
        </w:rPr>
        <w:t>The CC</w:t>
      </w:r>
      <w:r w:rsidR="008E0BA9" w:rsidRPr="008E0BA9">
        <w:rPr>
          <w:rFonts w:ascii="Arial" w:hAnsi="Arial" w:cs="Arial"/>
          <w:sz w:val="24"/>
          <w:szCs w:val="24"/>
        </w:rPr>
        <w:t xml:space="preserve">P endorses the use of the </w:t>
      </w:r>
      <w:r w:rsidR="00847C17">
        <w:rPr>
          <w:rFonts w:ascii="Arial" w:hAnsi="Arial" w:cs="Arial"/>
          <w:sz w:val="24"/>
          <w:szCs w:val="24"/>
        </w:rPr>
        <w:t>EFA g</w:t>
      </w:r>
      <w:r w:rsidR="008E0BA9" w:rsidRPr="008E0BA9">
        <w:rPr>
          <w:rFonts w:ascii="Arial" w:hAnsi="Arial" w:cs="Arial"/>
          <w:sz w:val="24"/>
          <w:szCs w:val="24"/>
        </w:rPr>
        <w:t xml:space="preserve">uideline.  The </w:t>
      </w:r>
      <w:r w:rsidR="00847C17">
        <w:rPr>
          <w:rFonts w:ascii="Arial" w:hAnsi="Arial" w:cs="Arial"/>
          <w:sz w:val="24"/>
          <w:szCs w:val="24"/>
        </w:rPr>
        <w:t xml:space="preserve">EFA </w:t>
      </w:r>
      <w:r w:rsidR="008E0BA9" w:rsidRPr="008E0BA9">
        <w:rPr>
          <w:rFonts w:ascii="Arial" w:hAnsi="Arial" w:cs="Arial"/>
          <w:sz w:val="24"/>
          <w:szCs w:val="24"/>
        </w:rPr>
        <w:t xml:space="preserve">guideline was developed in consultation with stakeholders and can provide a basis for the AER’s structured consideration of relevant information in coming to its view on the efficient costs for the supply of network services, consistent with the NEO and the requirements of the NER.  Users strongly supported the </w:t>
      </w:r>
      <w:r w:rsidR="00847C17">
        <w:rPr>
          <w:rFonts w:ascii="Arial" w:hAnsi="Arial" w:cs="Arial"/>
          <w:sz w:val="24"/>
          <w:szCs w:val="24"/>
        </w:rPr>
        <w:t xml:space="preserve">EFA </w:t>
      </w:r>
      <w:r w:rsidR="008E0BA9" w:rsidRPr="008E0BA9">
        <w:rPr>
          <w:rFonts w:ascii="Arial" w:hAnsi="Arial" w:cs="Arial"/>
          <w:sz w:val="24"/>
          <w:szCs w:val="24"/>
        </w:rPr>
        <w:t xml:space="preserve">guideline but the key issue will be how the AER applies the guideline in light of the decision of the Australian Competition Tribunal </w:t>
      </w:r>
      <w:r w:rsidR="00847C17">
        <w:rPr>
          <w:rFonts w:ascii="Arial" w:hAnsi="Arial" w:cs="Arial"/>
          <w:sz w:val="24"/>
          <w:szCs w:val="24"/>
        </w:rPr>
        <w:t xml:space="preserve">(ACT) </w:t>
      </w:r>
      <w:r w:rsidR="008E0BA9" w:rsidRPr="008E0BA9">
        <w:rPr>
          <w:rFonts w:ascii="Arial" w:hAnsi="Arial" w:cs="Arial"/>
          <w:sz w:val="24"/>
          <w:szCs w:val="24"/>
        </w:rPr>
        <w:t>on the appeal by Networks NSW and ActewAGL, and the resolution of the subsequent appeal to that decision.</w:t>
      </w:r>
    </w:p>
    <w:p w14:paraId="636FEF31" w14:textId="69F3BE2D" w:rsidR="008E0BA9" w:rsidRPr="00F51763" w:rsidRDefault="00847C17" w:rsidP="003B3871">
      <w:pPr>
        <w:pStyle w:val="Heading4"/>
        <w:spacing w:after="120"/>
        <w:rPr>
          <w:rFonts w:ascii="Arial" w:hAnsi="Arial" w:cs="Arial"/>
          <w:i w:val="0"/>
          <w:sz w:val="24"/>
          <w:szCs w:val="24"/>
          <w:u w:val="single"/>
        </w:rPr>
      </w:pPr>
      <w:r w:rsidRPr="00F51763">
        <w:rPr>
          <w:rFonts w:ascii="Arial" w:hAnsi="Arial" w:cs="Arial"/>
          <w:i w:val="0"/>
          <w:sz w:val="24"/>
          <w:szCs w:val="24"/>
          <w:u w:val="single"/>
        </w:rPr>
        <w:lastRenderedPageBreak/>
        <w:t>Users Support the EFA g</w:t>
      </w:r>
      <w:r w:rsidR="008E0BA9" w:rsidRPr="00F51763">
        <w:rPr>
          <w:rFonts w:ascii="Arial" w:hAnsi="Arial" w:cs="Arial"/>
          <w:i w:val="0"/>
          <w:sz w:val="24"/>
          <w:szCs w:val="24"/>
          <w:u w:val="single"/>
        </w:rPr>
        <w:t>uideline</w:t>
      </w:r>
    </w:p>
    <w:p w14:paraId="58380889" w14:textId="11D9F583" w:rsidR="008E0BA9" w:rsidRPr="008E0BA9" w:rsidRDefault="008E0BA9" w:rsidP="008E0BA9">
      <w:pPr>
        <w:rPr>
          <w:rFonts w:ascii="Arial" w:hAnsi="Arial" w:cs="Arial"/>
          <w:sz w:val="24"/>
          <w:szCs w:val="24"/>
        </w:rPr>
      </w:pPr>
      <w:r w:rsidRPr="008E0BA9">
        <w:rPr>
          <w:rFonts w:ascii="Arial" w:hAnsi="Arial" w:cs="Arial"/>
          <w:sz w:val="24"/>
          <w:szCs w:val="24"/>
        </w:rPr>
        <w:t>Us</w:t>
      </w:r>
      <w:r w:rsidR="00847C17">
        <w:rPr>
          <w:rFonts w:ascii="Arial" w:hAnsi="Arial" w:cs="Arial"/>
          <w:sz w:val="24"/>
          <w:szCs w:val="24"/>
        </w:rPr>
        <w:t>ers strongly supported the EFA g</w:t>
      </w:r>
      <w:r w:rsidRPr="008E0BA9">
        <w:rPr>
          <w:rFonts w:ascii="Arial" w:hAnsi="Arial" w:cs="Arial"/>
          <w:sz w:val="24"/>
          <w:szCs w:val="24"/>
        </w:rPr>
        <w:t>uideline.</w:t>
      </w:r>
      <w:r w:rsidR="00847C17">
        <w:rPr>
          <w:rFonts w:ascii="Arial" w:hAnsi="Arial" w:cs="Arial"/>
          <w:sz w:val="24"/>
          <w:szCs w:val="24"/>
        </w:rPr>
        <w:t xml:space="preserve">  In response to the draft EFA g</w:t>
      </w:r>
      <w:r w:rsidRPr="008E0BA9">
        <w:rPr>
          <w:rFonts w:ascii="Arial" w:hAnsi="Arial" w:cs="Arial"/>
          <w:sz w:val="24"/>
          <w:szCs w:val="24"/>
        </w:rPr>
        <w:t xml:space="preserve">uideline UnitingCare Australia stated that </w:t>
      </w:r>
      <w:r w:rsidRPr="00847C17">
        <w:rPr>
          <w:rFonts w:ascii="Arial" w:hAnsi="Arial" w:cs="Arial"/>
          <w:b/>
          <w:i/>
          <w:sz w:val="24"/>
          <w:szCs w:val="24"/>
        </w:rPr>
        <w:t xml:space="preserve">“Uniting Care Australia is strongly supportive of the general approach that has been taken by the AER as described in the draft guideline. </w:t>
      </w:r>
      <w:r w:rsidRPr="00847C17">
        <w:rPr>
          <w:rFonts w:ascii="Arial" w:hAnsi="Arial" w:cs="Arial"/>
          <w:i/>
          <w:sz w:val="24"/>
          <w:szCs w:val="24"/>
        </w:rPr>
        <w:t xml:space="preserve"> We recognise the importance of each of the assessment techniques outlined in section 3.3 and supports the AER</w:t>
      </w:r>
      <w:r w:rsidR="00847C17">
        <w:rPr>
          <w:rFonts w:ascii="Arial" w:hAnsi="Arial" w:cs="Arial"/>
          <w:i/>
          <w:sz w:val="24"/>
          <w:szCs w:val="24"/>
        </w:rPr>
        <w:t>’s</w:t>
      </w:r>
      <w:r w:rsidRPr="00847C17">
        <w:rPr>
          <w:rFonts w:ascii="Arial" w:hAnsi="Arial" w:cs="Arial"/>
          <w:i/>
          <w:sz w:val="24"/>
          <w:szCs w:val="24"/>
        </w:rPr>
        <w:t xml:space="preserve"> ability to utilise a range of assessment techniques</w:t>
      </w:r>
      <w:r w:rsidRPr="008E0BA9">
        <w:rPr>
          <w:rFonts w:ascii="Arial" w:hAnsi="Arial" w:cs="Arial"/>
          <w:sz w:val="24"/>
          <w:szCs w:val="24"/>
        </w:rPr>
        <w:t>.”</w:t>
      </w:r>
      <w:r w:rsidRPr="008E0BA9">
        <w:rPr>
          <w:rStyle w:val="FootnoteReference"/>
          <w:rFonts w:ascii="Arial" w:hAnsi="Arial" w:cs="Arial"/>
          <w:sz w:val="24"/>
          <w:szCs w:val="24"/>
        </w:rPr>
        <w:footnoteReference w:id="7"/>
      </w:r>
      <w:r w:rsidRPr="008E0BA9">
        <w:rPr>
          <w:rFonts w:ascii="Arial" w:hAnsi="Arial" w:cs="Arial"/>
          <w:sz w:val="24"/>
          <w:szCs w:val="24"/>
        </w:rPr>
        <w:t xml:space="preserve">  </w:t>
      </w:r>
    </w:p>
    <w:p w14:paraId="78AC5286" w14:textId="6A2D7B3B" w:rsidR="008E0BA9" w:rsidRPr="008E0BA9" w:rsidRDefault="008E0BA9" w:rsidP="008E0BA9">
      <w:pPr>
        <w:rPr>
          <w:rFonts w:ascii="Arial" w:hAnsi="Arial" w:cs="Arial"/>
          <w:sz w:val="24"/>
          <w:szCs w:val="24"/>
        </w:rPr>
      </w:pPr>
      <w:r w:rsidRPr="008E0BA9">
        <w:rPr>
          <w:rFonts w:ascii="Arial" w:hAnsi="Arial" w:cs="Arial"/>
          <w:sz w:val="24"/>
          <w:szCs w:val="24"/>
        </w:rPr>
        <w:t>However, users qualified their support for the EFA guideline with comments on t</w:t>
      </w:r>
      <w:r w:rsidR="00145C12">
        <w:rPr>
          <w:rFonts w:ascii="Arial" w:hAnsi="Arial" w:cs="Arial"/>
          <w:sz w:val="24"/>
          <w:szCs w:val="24"/>
        </w:rPr>
        <w:t>he application of the guideline</w:t>
      </w:r>
      <w:r w:rsidRPr="008E0BA9">
        <w:rPr>
          <w:rFonts w:ascii="Arial" w:hAnsi="Arial" w:cs="Arial"/>
          <w:sz w:val="24"/>
          <w:szCs w:val="24"/>
        </w:rPr>
        <w:t>.  For example, UnitingCare Australia expresses “</w:t>
      </w:r>
      <w:r w:rsidRPr="00847C17">
        <w:rPr>
          <w:rFonts w:ascii="Arial" w:hAnsi="Arial" w:cs="Arial"/>
          <w:b/>
          <w:i/>
          <w:sz w:val="24"/>
          <w:szCs w:val="24"/>
        </w:rPr>
        <w:t>concerns about the interpretation of revealed cost as the process for determining base OPEX, specifically with regard to interpretations of efficiency of current expenditure.</w:t>
      </w:r>
      <w:r w:rsidRPr="00847C17">
        <w:rPr>
          <w:rFonts w:ascii="Arial" w:hAnsi="Arial" w:cs="Arial"/>
          <w:i/>
          <w:sz w:val="24"/>
          <w:szCs w:val="24"/>
        </w:rPr>
        <w:t>”</w:t>
      </w:r>
      <w:r w:rsidRPr="00847C17">
        <w:rPr>
          <w:rStyle w:val="FootnoteReference"/>
          <w:rFonts w:ascii="Arial" w:hAnsi="Arial" w:cs="Arial"/>
          <w:i/>
          <w:sz w:val="24"/>
          <w:szCs w:val="24"/>
        </w:rPr>
        <w:footnoteReference w:id="8"/>
      </w:r>
      <w:r w:rsidRPr="008E0BA9">
        <w:rPr>
          <w:rFonts w:ascii="Arial" w:hAnsi="Arial" w:cs="Arial"/>
          <w:sz w:val="24"/>
          <w:szCs w:val="24"/>
        </w:rPr>
        <w:t xml:space="preserve">  PIAC emphasised the need for AER to “</w:t>
      </w:r>
      <w:r w:rsidRPr="00847C17">
        <w:rPr>
          <w:rFonts w:ascii="Arial" w:hAnsi="Arial" w:cs="Arial"/>
          <w:i/>
          <w:sz w:val="24"/>
          <w:szCs w:val="24"/>
        </w:rPr>
        <w:t>use multiple sources of information, forecasting approaches and other methods</w:t>
      </w:r>
      <w:r w:rsidRPr="008E0BA9">
        <w:rPr>
          <w:rFonts w:ascii="Arial" w:hAnsi="Arial" w:cs="Arial"/>
          <w:sz w:val="24"/>
          <w:szCs w:val="24"/>
        </w:rPr>
        <w:t>” and that some flexibility in the choice of assessment techniques, guided by the</w:t>
      </w:r>
      <w:r w:rsidR="00847C17">
        <w:rPr>
          <w:rFonts w:ascii="Arial" w:hAnsi="Arial" w:cs="Arial"/>
          <w:sz w:val="24"/>
          <w:szCs w:val="24"/>
        </w:rPr>
        <w:t xml:space="preserve"> principles set out in the EFA g</w:t>
      </w:r>
      <w:r w:rsidRPr="008E0BA9">
        <w:rPr>
          <w:rFonts w:ascii="Arial" w:hAnsi="Arial" w:cs="Arial"/>
          <w:sz w:val="24"/>
          <w:szCs w:val="24"/>
        </w:rPr>
        <w:t>uideline, would be required.</w:t>
      </w:r>
      <w:r w:rsidRPr="008E0BA9">
        <w:rPr>
          <w:rStyle w:val="FootnoteReference"/>
          <w:rFonts w:ascii="Arial" w:hAnsi="Arial" w:cs="Arial"/>
          <w:sz w:val="24"/>
          <w:szCs w:val="24"/>
        </w:rPr>
        <w:footnoteReference w:id="9"/>
      </w:r>
      <w:r w:rsidRPr="008E0BA9">
        <w:rPr>
          <w:rFonts w:ascii="Arial" w:hAnsi="Arial" w:cs="Arial"/>
          <w:sz w:val="24"/>
          <w:szCs w:val="24"/>
        </w:rPr>
        <w:t xml:space="preserve">  Like other users, the MEU supported the increased use of cost models and efficiency models by the AER. However, the MEU also emphasised the importance of also using less complex tools, such as past trends in various cost benchmarks, to assess current efficiency and challenge cost projections.</w:t>
      </w:r>
      <w:r w:rsidRPr="008E0BA9">
        <w:rPr>
          <w:rStyle w:val="FootnoteReference"/>
          <w:rFonts w:ascii="Arial" w:hAnsi="Arial" w:cs="Arial"/>
          <w:sz w:val="24"/>
          <w:szCs w:val="24"/>
        </w:rPr>
        <w:footnoteReference w:id="10"/>
      </w:r>
    </w:p>
    <w:p w14:paraId="05E6C7F5" w14:textId="1C3518AC" w:rsidR="008E0BA9" w:rsidRPr="00F51763" w:rsidRDefault="00F51763" w:rsidP="00145C12">
      <w:pPr>
        <w:pStyle w:val="Heading4"/>
        <w:spacing w:after="120"/>
        <w:rPr>
          <w:rFonts w:ascii="Arial" w:hAnsi="Arial" w:cs="Arial"/>
          <w:i w:val="0"/>
          <w:sz w:val="24"/>
          <w:szCs w:val="24"/>
          <w:u w:val="single"/>
        </w:rPr>
      </w:pPr>
      <w:r>
        <w:rPr>
          <w:rFonts w:ascii="Arial" w:hAnsi="Arial" w:cs="Arial"/>
          <w:i w:val="0"/>
          <w:sz w:val="24"/>
          <w:szCs w:val="24"/>
          <w:u w:val="single"/>
        </w:rPr>
        <w:t xml:space="preserve">The </w:t>
      </w:r>
      <w:r w:rsidR="00847C17" w:rsidRPr="00F51763">
        <w:rPr>
          <w:rFonts w:ascii="Arial" w:hAnsi="Arial" w:cs="Arial"/>
          <w:i w:val="0"/>
          <w:sz w:val="24"/>
          <w:szCs w:val="24"/>
          <w:u w:val="single"/>
        </w:rPr>
        <w:t>ACT</w:t>
      </w:r>
      <w:r w:rsidR="00A04FA4">
        <w:rPr>
          <w:rFonts w:ascii="Arial" w:hAnsi="Arial" w:cs="Arial"/>
          <w:i w:val="0"/>
          <w:sz w:val="24"/>
          <w:szCs w:val="24"/>
          <w:u w:val="single"/>
        </w:rPr>
        <w:t xml:space="preserve"> </w:t>
      </w:r>
      <w:r w:rsidR="00C158B3">
        <w:rPr>
          <w:rFonts w:ascii="Arial" w:hAnsi="Arial" w:cs="Arial"/>
          <w:i w:val="0"/>
          <w:sz w:val="24"/>
          <w:szCs w:val="24"/>
          <w:u w:val="single"/>
        </w:rPr>
        <w:t xml:space="preserve">(Tribunal) </w:t>
      </w:r>
      <w:r w:rsidR="00A04FA4">
        <w:rPr>
          <w:rFonts w:ascii="Arial" w:hAnsi="Arial" w:cs="Arial"/>
          <w:i w:val="0"/>
          <w:sz w:val="24"/>
          <w:szCs w:val="24"/>
          <w:u w:val="single"/>
        </w:rPr>
        <w:t>d</w:t>
      </w:r>
      <w:r w:rsidR="008E0BA9" w:rsidRPr="00F51763">
        <w:rPr>
          <w:rFonts w:ascii="Arial" w:hAnsi="Arial" w:cs="Arial"/>
          <w:i w:val="0"/>
          <w:sz w:val="24"/>
          <w:szCs w:val="24"/>
          <w:u w:val="single"/>
        </w:rPr>
        <w:t>ecision</w:t>
      </w:r>
    </w:p>
    <w:p w14:paraId="0191BD6D" w14:textId="0D83EF1B" w:rsidR="008E0BA9" w:rsidRPr="008E0BA9" w:rsidRDefault="008E0BA9" w:rsidP="008E0BA9">
      <w:pPr>
        <w:rPr>
          <w:rFonts w:ascii="Arial" w:hAnsi="Arial" w:cs="Arial"/>
          <w:sz w:val="24"/>
          <w:szCs w:val="24"/>
        </w:rPr>
      </w:pPr>
      <w:r w:rsidRPr="008E0BA9">
        <w:rPr>
          <w:rFonts w:ascii="Arial" w:hAnsi="Arial" w:cs="Arial"/>
          <w:sz w:val="24"/>
          <w:szCs w:val="24"/>
        </w:rPr>
        <w:t>The issue of the AER’s use of economic benchmarking models to as</w:t>
      </w:r>
      <w:r w:rsidR="00EE6DB1">
        <w:rPr>
          <w:rFonts w:ascii="Arial" w:hAnsi="Arial" w:cs="Arial"/>
          <w:sz w:val="24"/>
          <w:szCs w:val="24"/>
        </w:rPr>
        <w:t>sess the efficient costs of the distribution network</w:t>
      </w:r>
      <w:r w:rsidRPr="008E0BA9">
        <w:rPr>
          <w:rFonts w:ascii="Arial" w:hAnsi="Arial" w:cs="Arial"/>
          <w:sz w:val="24"/>
          <w:szCs w:val="24"/>
        </w:rPr>
        <w:t xml:space="preserve">s was at the centre of the appeals to the AER’s 2014 decisions on the NSW and ACT networks.  It is important to note that: </w:t>
      </w:r>
    </w:p>
    <w:p w14:paraId="4F1CB3A5" w14:textId="1D874FB1" w:rsidR="008E0BA9" w:rsidRPr="008E0BA9" w:rsidRDefault="008E0BA9" w:rsidP="008E0BA9">
      <w:pPr>
        <w:pStyle w:val="ListParagraph"/>
        <w:numPr>
          <w:ilvl w:val="0"/>
          <w:numId w:val="23"/>
        </w:numPr>
        <w:spacing w:after="120"/>
        <w:rPr>
          <w:rFonts w:ascii="Arial" w:hAnsi="Arial" w:cs="Arial"/>
          <w:sz w:val="24"/>
          <w:szCs w:val="24"/>
        </w:rPr>
      </w:pPr>
      <w:r w:rsidRPr="008E0BA9">
        <w:rPr>
          <w:rFonts w:ascii="Arial" w:hAnsi="Arial" w:cs="Arial"/>
          <w:sz w:val="24"/>
          <w:szCs w:val="24"/>
        </w:rPr>
        <w:t>the ACT’s decision has been appealed</w:t>
      </w:r>
      <w:r w:rsidR="00EE6DB1">
        <w:rPr>
          <w:rFonts w:ascii="Arial" w:hAnsi="Arial" w:cs="Arial"/>
          <w:sz w:val="24"/>
          <w:szCs w:val="24"/>
        </w:rPr>
        <w:t xml:space="preserve"> to the Federal Court and</w:t>
      </w:r>
    </w:p>
    <w:p w14:paraId="1B24B1DD" w14:textId="53E5B822" w:rsidR="008E0BA9" w:rsidRPr="008E0BA9" w:rsidRDefault="00EE6DB1" w:rsidP="008E0BA9">
      <w:pPr>
        <w:pStyle w:val="ListParagraph"/>
        <w:numPr>
          <w:ilvl w:val="0"/>
          <w:numId w:val="23"/>
        </w:numPr>
        <w:spacing w:after="120"/>
        <w:rPr>
          <w:rFonts w:ascii="Arial" w:hAnsi="Arial" w:cs="Arial"/>
          <w:sz w:val="24"/>
          <w:szCs w:val="24"/>
        </w:rPr>
      </w:pPr>
      <w:r>
        <w:rPr>
          <w:rFonts w:ascii="Arial" w:hAnsi="Arial" w:cs="Arial"/>
          <w:sz w:val="24"/>
          <w:szCs w:val="24"/>
        </w:rPr>
        <w:t>t</w:t>
      </w:r>
      <w:r w:rsidR="008E0BA9" w:rsidRPr="008E0BA9">
        <w:rPr>
          <w:rFonts w:ascii="Arial" w:hAnsi="Arial" w:cs="Arial"/>
          <w:sz w:val="24"/>
          <w:szCs w:val="24"/>
        </w:rPr>
        <w:t>he ACT did not reject the use of the AER’s benchmark models but concluded that the AER had placed too much weight on these models at that point in time.</w:t>
      </w:r>
    </w:p>
    <w:p w14:paraId="69C81FF5" w14:textId="7A96AC76" w:rsidR="008E0BA9" w:rsidRPr="008E0BA9" w:rsidRDefault="008E0BA9" w:rsidP="008E0BA9">
      <w:pPr>
        <w:rPr>
          <w:rFonts w:ascii="Arial" w:hAnsi="Arial" w:cs="Arial"/>
          <w:sz w:val="24"/>
          <w:szCs w:val="24"/>
        </w:rPr>
      </w:pPr>
      <w:r w:rsidRPr="008E0BA9">
        <w:rPr>
          <w:rFonts w:ascii="Arial" w:hAnsi="Arial" w:cs="Arial"/>
          <w:sz w:val="24"/>
          <w:szCs w:val="24"/>
        </w:rPr>
        <w:t xml:space="preserve">The ACT directed </w:t>
      </w:r>
      <w:r w:rsidR="00EE6DB1">
        <w:rPr>
          <w:rFonts w:ascii="Arial" w:hAnsi="Arial" w:cs="Arial"/>
          <w:sz w:val="24"/>
          <w:szCs w:val="24"/>
        </w:rPr>
        <w:t xml:space="preserve">the </w:t>
      </w:r>
      <w:r w:rsidRPr="008E0BA9">
        <w:rPr>
          <w:rFonts w:ascii="Arial" w:hAnsi="Arial" w:cs="Arial"/>
          <w:sz w:val="24"/>
          <w:szCs w:val="24"/>
        </w:rPr>
        <w:t xml:space="preserve">AER to </w:t>
      </w:r>
      <w:r w:rsidR="00EE6DB1">
        <w:rPr>
          <w:rFonts w:ascii="Arial" w:hAnsi="Arial" w:cs="Arial"/>
          <w:sz w:val="24"/>
          <w:szCs w:val="24"/>
        </w:rPr>
        <w:t>remake its decision on opex having</w:t>
      </w:r>
      <w:r w:rsidRPr="008E0BA9">
        <w:rPr>
          <w:rFonts w:ascii="Arial" w:hAnsi="Arial" w:cs="Arial"/>
          <w:sz w:val="24"/>
          <w:szCs w:val="24"/>
        </w:rPr>
        <w:t xml:space="preserve"> regard to a broader set of information including “</w:t>
      </w:r>
      <w:r w:rsidRPr="00EE6DB1">
        <w:rPr>
          <w:rFonts w:ascii="Arial" w:hAnsi="Arial" w:cs="Arial"/>
          <w:i/>
          <w:sz w:val="24"/>
          <w:szCs w:val="24"/>
        </w:rPr>
        <w:t>using a broader range of modelling, and benchmarking against Australian businesses, and including a “bottom up” review of Ausgrid’s forecast operating expenditure</w:t>
      </w:r>
      <w:r w:rsidRPr="008E0BA9">
        <w:rPr>
          <w:rFonts w:ascii="Arial" w:hAnsi="Arial" w:cs="Arial"/>
          <w:sz w:val="24"/>
          <w:szCs w:val="24"/>
        </w:rPr>
        <w:t>.”</w:t>
      </w:r>
      <w:r w:rsidRPr="008E0BA9">
        <w:rPr>
          <w:rStyle w:val="FootnoteReference"/>
          <w:rFonts w:ascii="Arial" w:hAnsi="Arial" w:cs="Arial"/>
          <w:sz w:val="24"/>
          <w:szCs w:val="24"/>
        </w:rPr>
        <w:footnoteReference w:id="11"/>
      </w:r>
      <w:r w:rsidRPr="008E0BA9">
        <w:rPr>
          <w:rFonts w:ascii="Arial" w:hAnsi="Arial" w:cs="Arial"/>
          <w:sz w:val="24"/>
          <w:szCs w:val="24"/>
        </w:rPr>
        <w:t xml:space="preserve">  </w:t>
      </w:r>
      <w:r w:rsidR="00C158B3">
        <w:rPr>
          <w:rFonts w:ascii="Arial" w:hAnsi="Arial" w:cs="Arial"/>
          <w:sz w:val="24"/>
          <w:szCs w:val="24"/>
        </w:rPr>
        <w:t xml:space="preserve">(the same approach applies to ActewAGL as well as Ausgrid) </w:t>
      </w:r>
      <w:r w:rsidRPr="008E0BA9">
        <w:rPr>
          <w:rFonts w:ascii="Arial" w:hAnsi="Arial" w:cs="Arial"/>
          <w:sz w:val="24"/>
          <w:szCs w:val="24"/>
        </w:rPr>
        <w:t xml:space="preserve">The ACT did not </w:t>
      </w:r>
      <w:r w:rsidR="00EE6DB1">
        <w:rPr>
          <w:rFonts w:ascii="Arial" w:hAnsi="Arial" w:cs="Arial"/>
          <w:sz w:val="24"/>
          <w:szCs w:val="24"/>
        </w:rPr>
        <w:t>find error in the EFA guideline</w:t>
      </w:r>
      <w:r w:rsidRPr="008E0BA9">
        <w:rPr>
          <w:rFonts w:ascii="Arial" w:hAnsi="Arial" w:cs="Arial"/>
          <w:sz w:val="24"/>
          <w:szCs w:val="24"/>
        </w:rPr>
        <w:t>.  Rather, the ACT found that the error arose because “</w:t>
      </w:r>
      <w:r w:rsidRPr="00EE6DB1">
        <w:rPr>
          <w:rFonts w:ascii="Arial" w:hAnsi="Arial" w:cs="Arial"/>
          <w:i/>
          <w:sz w:val="24"/>
          <w:szCs w:val="24"/>
        </w:rPr>
        <w:t>At a general level, …  the AER placed too much weight on the outcome of the EI model.  That, in the Tribunal’s view represents an exercise of the AER’s discretion about the use to which the EI model should have been put which was incorrect</w:t>
      </w:r>
      <w:r w:rsidRPr="008E0BA9">
        <w:rPr>
          <w:rFonts w:ascii="Arial" w:hAnsi="Arial" w:cs="Arial"/>
          <w:sz w:val="24"/>
          <w:szCs w:val="24"/>
        </w:rPr>
        <w:t>.”  However, as noted above, this decision has been appealed by the AER</w:t>
      </w:r>
      <w:r w:rsidR="00EE6DB1">
        <w:rPr>
          <w:rFonts w:ascii="Arial" w:hAnsi="Arial" w:cs="Arial"/>
          <w:sz w:val="24"/>
          <w:szCs w:val="24"/>
        </w:rPr>
        <w:t xml:space="preserve"> and judgement from the Federal Court has been reserved.</w:t>
      </w:r>
    </w:p>
    <w:p w14:paraId="3D7EEE71" w14:textId="44AD1AA9" w:rsidR="008E0BA9" w:rsidRPr="00F51763" w:rsidRDefault="00EE6DB1" w:rsidP="00145C12">
      <w:pPr>
        <w:pStyle w:val="Heading4"/>
        <w:spacing w:after="120"/>
        <w:rPr>
          <w:rFonts w:ascii="Arial" w:hAnsi="Arial" w:cs="Arial"/>
          <w:i w:val="0"/>
          <w:sz w:val="24"/>
          <w:szCs w:val="24"/>
          <w:u w:val="single"/>
        </w:rPr>
      </w:pPr>
      <w:r w:rsidRPr="00F51763">
        <w:rPr>
          <w:rFonts w:ascii="Arial" w:hAnsi="Arial" w:cs="Arial"/>
          <w:i w:val="0"/>
          <w:sz w:val="24"/>
          <w:szCs w:val="24"/>
          <w:u w:val="single"/>
        </w:rPr>
        <w:lastRenderedPageBreak/>
        <w:t>Application of the EFA guideline</w:t>
      </w:r>
    </w:p>
    <w:p w14:paraId="498E493B" w14:textId="7D8EEDDD" w:rsidR="008E0BA9" w:rsidRPr="008E0BA9" w:rsidRDefault="00145C12" w:rsidP="008E0BA9">
      <w:pPr>
        <w:rPr>
          <w:rFonts w:ascii="Arial" w:hAnsi="Arial" w:cs="Arial"/>
          <w:sz w:val="24"/>
          <w:szCs w:val="24"/>
        </w:rPr>
      </w:pPr>
      <w:r>
        <w:rPr>
          <w:rFonts w:ascii="Arial" w:hAnsi="Arial" w:cs="Arial"/>
          <w:sz w:val="24"/>
          <w:szCs w:val="24"/>
        </w:rPr>
        <w:t xml:space="preserve">The </w:t>
      </w:r>
      <w:r w:rsidR="008E0BA9" w:rsidRPr="008E0BA9">
        <w:rPr>
          <w:rFonts w:ascii="Arial" w:hAnsi="Arial" w:cs="Arial"/>
          <w:sz w:val="24"/>
          <w:szCs w:val="24"/>
        </w:rPr>
        <w:t>AER’s benchmarking model should continue to be an important part of its assessment of the efficiency of the projected costs.  It is in the nature of benchmarking that the models are refined and improved over time and often the underlying databases become larger and more robus</w:t>
      </w:r>
      <w:r w:rsidR="00EE6DB1">
        <w:rPr>
          <w:rFonts w:ascii="Arial" w:hAnsi="Arial" w:cs="Arial"/>
          <w:sz w:val="24"/>
          <w:szCs w:val="24"/>
        </w:rPr>
        <w:t xml:space="preserve">t. Hence, it is expected that a </w:t>
      </w:r>
      <w:r w:rsidR="008E0BA9" w:rsidRPr="008E0BA9">
        <w:rPr>
          <w:rFonts w:ascii="Arial" w:hAnsi="Arial" w:cs="Arial"/>
          <w:sz w:val="24"/>
          <w:szCs w:val="24"/>
        </w:rPr>
        <w:t xml:space="preserve">number of the criticisms of the modelling undertaken for the previous tariff re-set will be at least partially addressed. </w:t>
      </w:r>
    </w:p>
    <w:p w14:paraId="2A763D2C" w14:textId="6F483204" w:rsidR="00EE6DB1" w:rsidRDefault="008E0BA9" w:rsidP="0070547B">
      <w:pPr>
        <w:rPr>
          <w:rFonts w:ascii="Arial" w:hAnsi="Arial" w:cs="Arial"/>
          <w:sz w:val="24"/>
          <w:szCs w:val="24"/>
        </w:rPr>
      </w:pPr>
      <w:r w:rsidRPr="008E0BA9">
        <w:rPr>
          <w:rFonts w:ascii="Arial" w:hAnsi="Arial" w:cs="Arial"/>
          <w:sz w:val="24"/>
          <w:szCs w:val="24"/>
        </w:rPr>
        <w:t>However, consistent with the users’ ear</w:t>
      </w:r>
      <w:r w:rsidR="00EE6DB1">
        <w:rPr>
          <w:rFonts w:ascii="Arial" w:hAnsi="Arial" w:cs="Arial"/>
          <w:sz w:val="24"/>
          <w:szCs w:val="24"/>
        </w:rPr>
        <w:t>lier comments on the draft EFA g</w:t>
      </w:r>
      <w:r w:rsidRPr="008E0BA9">
        <w:rPr>
          <w:rFonts w:ascii="Arial" w:hAnsi="Arial" w:cs="Arial"/>
          <w:sz w:val="24"/>
          <w:szCs w:val="24"/>
        </w:rPr>
        <w:t xml:space="preserve">uideline, the </w:t>
      </w:r>
      <w:r w:rsidR="00145C12">
        <w:rPr>
          <w:rFonts w:ascii="Arial" w:hAnsi="Arial" w:cs="Arial"/>
          <w:sz w:val="24"/>
          <w:szCs w:val="24"/>
        </w:rPr>
        <w:t xml:space="preserve">CCP believes that </w:t>
      </w:r>
      <w:r w:rsidRPr="008E0BA9">
        <w:rPr>
          <w:rFonts w:ascii="Arial" w:hAnsi="Arial" w:cs="Arial"/>
          <w:sz w:val="24"/>
          <w:szCs w:val="24"/>
        </w:rPr>
        <w:t>AER should consider other relevant information in a transparent and structured manner.  The AER should demonstrate that it explicitly considers the relative merits of the various pieces of information and how that information has been taken into account in, and impacted on, its decision.  This would be consistent with good practice and reduce the risk of a successful appeal against the decision.</w:t>
      </w:r>
    </w:p>
    <w:p w14:paraId="0BF37631" w14:textId="422989E8" w:rsidR="0070547B" w:rsidRDefault="0070547B" w:rsidP="0070547B">
      <w:pPr>
        <w:pStyle w:val="Heading1"/>
        <w:numPr>
          <w:ilvl w:val="0"/>
          <w:numId w:val="5"/>
        </w:numPr>
        <w:ind w:hanging="720"/>
        <w:rPr>
          <w:rFonts w:cs="Arial"/>
        </w:rPr>
      </w:pPr>
      <w:r w:rsidRPr="008E0BA9">
        <w:rPr>
          <w:rFonts w:cs="Arial"/>
        </w:rPr>
        <w:t>Issue 5: Depreciation</w:t>
      </w:r>
    </w:p>
    <w:p w14:paraId="4E9C62AC" w14:textId="77777777" w:rsidR="00256122" w:rsidRPr="00256122" w:rsidRDefault="00256122" w:rsidP="00256122">
      <w:pPr>
        <w:spacing w:after="0"/>
      </w:pPr>
    </w:p>
    <w:p w14:paraId="0CA51304" w14:textId="0FDD2A5A" w:rsidR="00EE6DB1" w:rsidRDefault="00A04FA4" w:rsidP="00EE6DB1">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AER’s p</w:t>
      </w:r>
      <w:r w:rsidR="006E018B" w:rsidRPr="007F0430">
        <w:rPr>
          <w:rFonts w:ascii="Arial" w:hAnsi="Arial" w:cs="Arial"/>
          <w:b/>
          <w:color w:val="365F91" w:themeColor="accent1" w:themeShade="BF"/>
          <w:sz w:val="24"/>
          <w:szCs w:val="24"/>
        </w:rPr>
        <w:t>reliminary P</w:t>
      </w:r>
      <w:r w:rsidR="007F0430" w:rsidRPr="007F0430">
        <w:rPr>
          <w:rFonts w:ascii="Arial" w:hAnsi="Arial" w:cs="Arial"/>
          <w:b/>
          <w:color w:val="365F91" w:themeColor="accent1" w:themeShade="BF"/>
          <w:sz w:val="24"/>
          <w:szCs w:val="24"/>
        </w:rPr>
        <w:t>osition</w:t>
      </w:r>
    </w:p>
    <w:p w14:paraId="61D851AC" w14:textId="08A0AB03" w:rsidR="006E018B" w:rsidRPr="00EE6DB1" w:rsidRDefault="006E018B" w:rsidP="006E018B">
      <w:pPr>
        <w:rPr>
          <w:rFonts w:ascii="Arial" w:hAnsi="Arial" w:cs="Arial"/>
          <w:b/>
          <w:color w:val="365F91" w:themeColor="accent1" w:themeShade="BF"/>
          <w:sz w:val="24"/>
          <w:szCs w:val="24"/>
        </w:rPr>
      </w:pPr>
      <w:r w:rsidRPr="006E018B">
        <w:rPr>
          <w:rFonts w:ascii="Arial" w:hAnsi="Arial" w:cs="Arial"/>
          <w:sz w:val="24"/>
          <w:szCs w:val="24"/>
        </w:rPr>
        <w:t>The AER proposes to use a forecast depreciation approach to est</w:t>
      </w:r>
      <w:r w:rsidR="00256122">
        <w:rPr>
          <w:rFonts w:ascii="Arial" w:hAnsi="Arial" w:cs="Arial"/>
          <w:sz w:val="24"/>
          <w:szCs w:val="24"/>
        </w:rPr>
        <w:t>ablish the RAB</w:t>
      </w:r>
      <w:r w:rsidR="00EE6DB1">
        <w:rPr>
          <w:rFonts w:ascii="Arial" w:hAnsi="Arial" w:cs="Arial"/>
          <w:sz w:val="24"/>
          <w:szCs w:val="24"/>
        </w:rPr>
        <w:t xml:space="preserve"> </w:t>
      </w:r>
      <w:r w:rsidRPr="006E018B">
        <w:rPr>
          <w:rFonts w:ascii="Arial" w:hAnsi="Arial" w:cs="Arial"/>
          <w:sz w:val="24"/>
          <w:szCs w:val="24"/>
        </w:rPr>
        <w:t xml:space="preserve">at the end of the 2019 </w:t>
      </w:r>
      <w:r w:rsidR="00EE6DB1">
        <w:rPr>
          <w:rFonts w:ascii="Arial" w:hAnsi="Arial" w:cs="Arial"/>
          <w:sz w:val="24"/>
          <w:szCs w:val="24"/>
        </w:rPr>
        <w:t xml:space="preserve">- </w:t>
      </w:r>
      <w:r w:rsidRPr="006E018B">
        <w:rPr>
          <w:rFonts w:ascii="Arial" w:hAnsi="Arial" w:cs="Arial"/>
          <w:sz w:val="24"/>
          <w:szCs w:val="24"/>
        </w:rPr>
        <w:t>24 regulatory period.</w:t>
      </w:r>
    </w:p>
    <w:p w14:paraId="42C21BEF" w14:textId="3D76E1DD" w:rsidR="006E018B" w:rsidRPr="007F0430" w:rsidRDefault="007F0430" w:rsidP="00EE6DB1">
      <w:pPr>
        <w:spacing w:after="0"/>
        <w:rPr>
          <w:rFonts w:ascii="Arial" w:hAnsi="Arial" w:cs="Arial"/>
          <w:b/>
          <w:sz w:val="24"/>
          <w:szCs w:val="24"/>
        </w:rPr>
      </w:pPr>
      <w:r>
        <w:rPr>
          <w:rFonts w:ascii="Arial" w:hAnsi="Arial" w:cs="Arial"/>
          <w:b/>
          <w:color w:val="365F91" w:themeColor="accent1" w:themeShade="BF"/>
          <w:sz w:val="24"/>
          <w:szCs w:val="24"/>
        </w:rPr>
        <w:t xml:space="preserve">CCP </w:t>
      </w:r>
      <w:r w:rsidR="006F28BA">
        <w:rPr>
          <w:rFonts w:ascii="Arial" w:hAnsi="Arial" w:cs="Arial"/>
          <w:b/>
          <w:color w:val="365F91" w:themeColor="accent1" w:themeShade="BF"/>
          <w:sz w:val="24"/>
          <w:szCs w:val="24"/>
        </w:rPr>
        <w:t>view</w:t>
      </w:r>
    </w:p>
    <w:p w14:paraId="2BB6819B" w14:textId="66CCEE48" w:rsidR="006E018B" w:rsidRPr="006E018B" w:rsidRDefault="006E018B" w:rsidP="006E018B">
      <w:pPr>
        <w:rPr>
          <w:rFonts w:ascii="Arial" w:hAnsi="Arial" w:cs="Arial"/>
          <w:sz w:val="24"/>
          <w:szCs w:val="24"/>
        </w:rPr>
      </w:pPr>
      <w:r w:rsidRPr="006E018B">
        <w:rPr>
          <w:rFonts w:ascii="Arial" w:hAnsi="Arial" w:cs="Arial"/>
          <w:sz w:val="24"/>
          <w:szCs w:val="24"/>
        </w:rPr>
        <w:t>The CCP recognises that there is interplay between depreciation, inflation</w:t>
      </w:r>
      <w:r w:rsidR="00EE6DB1">
        <w:rPr>
          <w:rFonts w:ascii="Arial" w:hAnsi="Arial" w:cs="Arial"/>
          <w:sz w:val="24"/>
          <w:szCs w:val="24"/>
        </w:rPr>
        <w:t xml:space="preserve"> and the application of the </w:t>
      </w:r>
      <w:r w:rsidRPr="006E018B">
        <w:rPr>
          <w:rFonts w:ascii="Arial" w:hAnsi="Arial" w:cs="Arial"/>
          <w:sz w:val="24"/>
          <w:szCs w:val="24"/>
        </w:rPr>
        <w:t>CESS.</w:t>
      </w:r>
    </w:p>
    <w:p w14:paraId="1396F2B9" w14:textId="338FDE88" w:rsidR="006E018B" w:rsidRPr="006E018B" w:rsidRDefault="006E018B" w:rsidP="006E018B">
      <w:pPr>
        <w:rPr>
          <w:rFonts w:ascii="Arial" w:hAnsi="Arial" w:cs="Arial"/>
          <w:sz w:val="24"/>
          <w:szCs w:val="24"/>
        </w:rPr>
      </w:pPr>
      <w:r w:rsidRPr="006E018B">
        <w:rPr>
          <w:rFonts w:ascii="Arial" w:hAnsi="Arial" w:cs="Arial"/>
          <w:sz w:val="24"/>
          <w:szCs w:val="24"/>
        </w:rPr>
        <w:t>T</w:t>
      </w:r>
      <w:r w:rsidR="00EE6DB1">
        <w:rPr>
          <w:rFonts w:ascii="Arial" w:hAnsi="Arial" w:cs="Arial"/>
          <w:sz w:val="24"/>
          <w:szCs w:val="24"/>
        </w:rPr>
        <w:t xml:space="preserve">he overall objective is for </w:t>
      </w:r>
      <w:r w:rsidRPr="006E018B">
        <w:rPr>
          <w:rFonts w:ascii="Arial" w:hAnsi="Arial" w:cs="Arial"/>
          <w:sz w:val="24"/>
          <w:szCs w:val="24"/>
        </w:rPr>
        <w:t>customers to be paying no more than the</w:t>
      </w:r>
      <w:r w:rsidR="00256122">
        <w:rPr>
          <w:rFonts w:ascii="Arial" w:hAnsi="Arial" w:cs="Arial"/>
          <w:sz w:val="24"/>
          <w:szCs w:val="24"/>
        </w:rPr>
        <w:t>y need to, meaning that capex</w:t>
      </w:r>
      <w:r w:rsidRPr="006E018B">
        <w:rPr>
          <w:rFonts w:ascii="Arial" w:hAnsi="Arial" w:cs="Arial"/>
          <w:sz w:val="24"/>
          <w:szCs w:val="24"/>
        </w:rPr>
        <w:t xml:space="preserve"> must be efficient; utilising </w:t>
      </w:r>
      <w:r w:rsidR="00256122">
        <w:rPr>
          <w:rFonts w:ascii="Arial" w:hAnsi="Arial" w:cs="Arial"/>
          <w:sz w:val="24"/>
          <w:szCs w:val="24"/>
        </w:rPr>
        <w:t>the most cost-effective capex</w:t>
      </w:r>
      <w:r w:rsidRPr="006E018B">
        <w:rPr>
          <w:rFonts w:ascii="Arial" w:hAnsi="Arial" w:cs="Arial"/>
          <w:sz w:val="24"/>
          <w:szCs w:val="24"/>
        </w:rPr>
        <w:t xml:space="preserve"> choices in response to any specific network capital repair or improvement. At the same time there also needs to be in</w:t>
      </w:r>
      <w:r w:rsidR="00974856">
        <w:rPr>
          <w:rFonts w:ascii="Arial" w:hAnsi="Arial" w:cs="Arial"/>
          <w:sz w:val="24"/>
          <w:szCs w:val="24"/>
        </w:rPr>
        <w:t>centives for sufficient capex</w:t>
      </w:r>
      <w:r w:rsidRPr="006E018B">
        <w:rPr>
          <w:rFonts w:ascii="Arial" w:hAnsi="Arial" w:cs="Arial"/>
          <w:sz w:val="24"/>
          <w:szCs w:val="24"/>
        </w:rPr>
        <w:t xml:space="preserve"> over time</w:t>
      </w:r>
      <w:r w:rsidR="00EE6DB1">
        <w:rPr>
          <w:rFonts w:ascii="Arial" w:hAnsi="Arial" w:cs="Arial"/>
          <w:sz w:val="24"/>
          <w:szCs w:val="24"/>
        </w:rPr>
        <w:t>,</w:t>
      </w:r>
      <w:r w:rsidRPr="006E018B">
        <w:rPr>
          <w:rFonts w:ascii="Arial" w:hAnsi="Arial" w:cs="Arial"/>
          <w:sz w:val="24"/>
          <w:szCs w:val="24"/>
        </w:rPr>
        <w:t xml:space="preserve"> meaning there should be no incentive to invest more heavily in equipment with a shorter life where </w:t>
      </w:r>
      <w:r w:rsidR="00EE6DB1">
        <w:rPr>
          <w:rFonts w:ascii="Arial" w:hAnsi="Arial" w:cs="Arial"/>
          <w:sz w:val="24"/>
          <w:szCs w:val="24"/>
        </w:rPr>
        <w:t xml:space="preserve">a </w:t>
      </w:r>
      <w:r w:rsidRPr="006E018B">
        <w:rPr>
          <w:rFonts w:ascii="Arial" w:hAnsi="Arial" w:cs="Arial"/>
          <w:sz w:val="24"/>
          <w:szCs w:val="24"/>
        </w:rPr>
        <w:t xml:space="preserve">more efficient decision would be to invest in a longer life capital item. As discussed in </w:t>
      </w:r>
      <w:r w:rsidR="00974856">
        <w:rPr>
          <w:rFonts w:ascii="Arial" w:hAnsi="Arial" w:cs="Arial"/>
          <w:sz w:val="24"/>
          <w:szCs w:val="24"/>
        </w:rPr>
        <w:t xml:space="preserve">Issue 3 Incentive schemes, </w:t>
      </w:r>
      <w:r w:rsidRPr="006E018B">
        <w:rPr>
          <w:rFonts w:ascii="Arial" w:hAnsi="Arial" w:cs="Arial"/>
          <w:sz w:val="24"/>
          <w:szCs w:val="24"/>
        </w:rPr>
        <w:t>consideration of the D</w:t>
      </w:r>
      <w:r w:rsidR="00EE6DB1">
        <w:rPr>
          <w:rFonts w:ascii="Arial" w:hAnsi="Arial" w:cs="Arial"/>
          <w:sz w:val="24"/>
          <w:szCs w:val="24"/>
        </w:rPr>
        <w:t xml:space="preserve">MIS </w:t>
      </w:r>
      <w:r w:rsidR="00B66F00">
        <w:rPr>
          <w:rFonts w:ascii="Arial" w:hAnsi="Arial" w:cs="Arial"/>
          <w:sz w:val="24"/>
          <w:szCs w:val="24"/>
        </w:rPr>
        <w:t>demand management / non-</w:t>
      </w:r>
      <w:r w:rsidRPr="006E018B">
        <w:rPr>
          <w:rFonts w:ascii="Arial" w:hAnsi="Arial" w:cs="Arial"/>
          <w:sz w:val="24"/>
          <w:szCs w:val="24"/>
        </w:rPr>
        <w:t>network approaches should always be weighed against a capex solution.</w:t>
      </w:r>
    </w:p>
    <w:p w14:paraId="20EA6DC3" w14:textId="0BA6BA3A" w:rsidR="006E018B" w:rsidRPr="006E018B" w:rsidRDefault="00EE6DB1" w:rsidP="006E018B">
      <w:pPr>
        <w:rPr>
          <w:rFonts w:ascii="Arial" w:hAnsi="Arial" w:cs="Arial"/>
          <w:sz w:val="24"/>
          <w:szCs w:val="24"/>
        </w:rPr>
      </w:pPr>
      <w:r>
        <w:rPr>
          <w:rFonts w:ascii="Arial" w:hAnsi="Arial" w:cs="Arial"/>
          <w:sz w:val="24"/>
          <w:szCs w:val="24"/>
        </w:rPr>
        <w:t>Inflation estimates also impact</w:t>
      </w:r>
      <w:r w:rsidR="006E018B" w:rsidRPr="006E018B">
        <w:rPr>
          <w:rFonts w:ascii="Arial" w:hAnsi="Arial" w:cs="Arial"/>
          <w:sz w:val="24"/>
          <w:szCs w:val="24"/>
        </w:rPr>
        <w:t xml:space="preserve"> on depreciation rates because a higher rate of inflation, forecast or real, impacts on necessary rates of return on the capital use for investment and also impacts on the rate of depreciation, certainly in nominal terms, but often in real terms too.</w:t>
      </w:r>
    </w:p>
    <w:p w14:paraId="5C81A16A" w14:textId="727F72BC" w:rsidR="006E018B" w:rsidRPr="006E018B" w:rsidRDefault="006E018B" w:rsidP="006E018B">
      <w:pPr>
        <w:rPr>
          <w:rFonts w:ascii="Arial" w:hAnsi="Arial" w:cs="Arial"/>
          <w:sz w:val="24"/>
          <w:szCs w:val="24"/>
        </w:rPr>
      </w:pPr>
      <w:r w:rsidRPr="006E018B">
        <w:rPr>
          <w:rFonts w:ascii="Arial" w:hAnsi="Arial" w:cs="Arial"/>
          <w:sz w:val="24"/>
          <w:szCs w:val="24"/>
        </w:rPr>
        <w:t>The depreciation choices are to utilise forecast depreciation or actual depreciation to determine the value of the R</w:t>
      </w:r>
      <w:r w:rsidR="00B66F00">
        <w:rPr>
          <w:rFonts w:ascii="Arial" w:hAnsi="Arial" w:cs="Arial"/>
          <w:sz w:val="24"/>
          <w:szCs w:val="24"/>
        </w:rPr>
        <w:t>AB at</w:t>
      </w:r>
      <w:r w:rsidR="00C512DE">
        <w:rPr>
          <w:rFonts w:ascii="Arial" w:hAnsi="Arial" w:cs="Arial"/>
          <w:sz w:val="24"/>
          <w:szCs w:val="24"/>
        </w:rPr>
        <w:t xml:space="preserve"> June 30, 2024 -</w:t>
      </w:r>
      <w:r w:rsidRPr="006E018B">
        <w:rPr>
          <w:rFonts w:ascii="Arial" w:hAnsi="Arial" w:cs="Arial"/>
          <w:sz w:val="24"/>
          <w:szCs w:val="24"/>
        </w:rPr>
        <w:t xml:space="preserve"> the end of the regulatory period.</w:t>
      </w:r>
    </w:p>
    <w:p w14:paraId="741A3599" w14:textId="43A5D686" w:rsidR="006E018B" w:rsidRPr="00F417FB" w:rsidRDefault="006E018B" w:rsidP="006E018B">
      <w:pPr>
        <w:rPr>
          <w:rFonts w:ascii="Arial" w:hAnsi="Arial" w:cs="Arial"/>
          <w:sz w:val="24"/>
          <w:szCs w:val="24"/>
        </w:rPr>
      </w:pPr>
      <w:r w:rsidRPr="006E018B">
        <w:rPr>
          <w:rFonts w:ascii="Arial" w:hAnsi="Arial" w:cs="Arial"/>
          <w:sz w:val="24"/>
          <w:szCs w:val="24"/>
        </w:rPr>
        <w:t>While intuition might suggest that actual depreciation would give a more effective value of depreciation, because it is based on what is known, the AER argues that when considering interplay between depreciation approaches and the CESS, there are strong incentives associated with utilising foreca</w:t>
      </w:r>
      <w:r w:rsidR="00B66F00">
        <w:rPr>
          <w:rFonts w:ascii="Arial" w:hAnsi="Arial" w:cs="Arial"/>
          <w:sz w:val="24"/>
          <w:szCs w:val="24"/>
        </w:rPr>
        <w:t>st depreciation. The AER stated:</w:t>
      </w:r>
      <w:r w:rsidRPr="006E018B">
        <w:rPr>
          <w:rFonts w:ascii="Arial" w:hAnsi="Arial" w:cs="Arial"/>
          <w:sz w:val="24"/>
          <w:szCs w:val="24"/>
        </w:rPr>
        <w:t xml:space="preserve"> </w:t>
      </w:r>
      <w:r w:rsidRPr="006E018B">
        <w:rPr>
          <w:rFonts w:ascii="Arial" w:hAnsi="Arial" w:cs="Arial"/>
          <w:i/>
          <w:sz w:val="24"/>
          <w:szCs w:val="24"/>
        </w:rPr>
        <w:lastRenderedPageBreak/>
        <w:t>“if there is a capex overspend, actual depreciation will be higher than forecast depreciation. This means that the RAB will increase by a lesser amount than if forecast depreciation was used. As a result, the distributor will earn less revenue into the future than if actual depreciation had been used to roll forward the RAB</w:t>
      </w:r>
      <w:r w:rsidRPr="00F417FB">
        <w:rPr>
          <w:rFonts w:ascii="Arial" w:hAnsi="Arial" w:cs="Arial"/>
          <w:sz w:val="24"/>
          <w:szCs w:val="24"/>
        </w:rPr>
        <w:t>.”</w:t>
      </w:r>
      <w:r w:rsidR="00B66F00" w:rsidRPr="00F417FB">
        <w:rPr>
          <w:rFonts w:ascii="Arial" w:hAnsi="Arial" w:cs="Arial"/>
          <w:sz w:val="24"/>
          <w:szCs w:val="24"/>
        </w:rPr>
        <w:t xml:space="preserve"> </w:t>
      </w:r>
      <w:r w:rsidR="00F417FB" w:rsidRPr="00F417FB">
        <w:rPr>
          <w:rFonts w:ascii="Arial" w:hAnsi="Arial" w:cs="Arial"/>
          <w:sz w:val="24"/>
          <w:szCs w:val="24"/>
        </w:rPr>
        <w:t>(pg 71, F&amp;A)</w:t>
      </w:r>
    </w:p>
    <w:p w14:paraId="2C872379" w14:textId="597BEEF1" w:rsidR="006E018B" w:rsidRPr="006E018B" w:rsidRDefault="00016AE7" w:rsidP="006E018B">
      <w:pPr>
        <w:rPr>
          <w:rFonts w:ascii="Arial" w:hAnsi="Arial" w:cs="Arial"/>
          <w:sz w:val="24"/>
          <w:szCs w:val="24"/>
        </w:rPr>
      </w:pPr>
      <w:r>
        <w:rPr>
          <w:rFonts w:ascii="Arial" w:hAnsi="Arial" w:cs="Arial"/>
          <w:sz w:val="24"/>
          <w:szCs w:val="24"/>
        </w:rPr>
        <w:t>The CCP agrees</w:t>
      </w:r>
      <w:r w:rsidRPr="006E018B">
        <w:rPr>
          <w:rFonts w:ascii="Arial" w:hAnsi="Arial" w:cs="Arial"/>
          <w:sz w:val="24"/>
          <w:szCs w:val="24"/>
        </w:rPr>
        <w:t xml:space="preserve"> that the incentives need to be on producing the lowest future RAB, in order to keep future network costs as low as necessary and to limit the risk of intergeneration inequity.</w:t>
      </w:r>
    </w:p>
    <w:p w14:paraId="62F13833" w14:textId="33C8F5A2" w:rsidR="006E018B" w:rsidRPr="006F28BA" w:rsidRDefault="006E018B" w:rsidP="006F28BA">
      <w:pPr>
        <w:rPr>
          <w:rFonts w:ascii="Arial" w:hAnsi="Arial" w:cs="Arial"/>
          <w:sz w:val="24"/>
          <w:szCs w:val="24"/>
        </w:rPr>
      </w:pPr>
      <w:r w:rsidRPr="006E018B">
        <w:rPr>
          <w:rFonts w:ascii="Arial" w:hAnsi="Arial" w:cs="Arial"/>
          <w:sz w:val="24"/>
          <w:szCs w:val="24"/>
        </w:rPr>
        <w:t xml:space="preserve">The same forecast approach to determining RAB at </w:t>
      </w:r>
      <w:r w:rsidR="00B66F00">
        <w:rPr>
          <w:rFonts w:ascii="Arial" w:hAnsi="Arial" w:cs="Arial"/>
          <w:sz w:val="24"/>
          <w:szCs w:val="24"/>
        </w:rPr>
        <w:t xml:space="preserve">the </w:t>
      </w:r>
      <w:r w:rsidRPr="006E018B">
        <w:rPr>
          <w:rFonts w:ascii="Arial" w:hAnsi="Arial" w:cs="Arial"/>
          <w:sz w:val="24"/>
          <w:szCs w:val="24"/>
        </w:rPr>
        <w:t>commencement of the 2019 -24 regulatory period will be applied from the 2014-19 determination.</w:t>
      </w:r>
    </w:p>
    <w:p w14:paraId="5B05DEE8" w14:textId="06B156FC" w:rsidR="006E018B" w:rsidRPr="006E018B" w:rsidRDefault="00B66F00" w:rsidP="006E018B">
      <w:pPr>
        <w:rPr>
          <w:rFonts w:ascii="Arial" w:hAnsi="Arial" w:cs="Arial"/>
          <w:sz w:val="24"/>
          <w:szCs w:val="24"/>
        </w:rPr>
      </w:pPr>
      <w:r>
        <w:rPr>
          <w:rFonts w:ascii="Arial" w:hAnsi="Arial" w:cs="Arial"/>
          <w:sz w:val="24"/>
          <w:szCs w:val="24"/>
        </w:rPr>
        <w:t>The CCP</w:t>
      </w:r>
      <w:r w:rsidR="006E018B" w:rsidRPr="006E018B">
        <w:rPr>
          <w:rFonts w:ascii="Arial" w:hAnsi="Arial" w:cs="Arial"/>
          <w:sz w:val="24"/>
          <w:szCs w:val="24"/>
        </w:rPr>
        <w:t xml:space="preserve"> agree</w:t>
      </w:r>
      <w:r>
        <w:rPr>
          <w:rFonts w:ascii="Arial" w:hAnsi="Arial" w:cs="Arial"/>
          <w:sz w:val="24"/>
          <w:szCs w:val="24"/>
        </w:rPr>
        <w:t>s</w:t>
      </w:r>
      <w:r w:rsidR="006E018B" w:rsidRPr="006E018B">
        <w:rPr>
          <w:rFonts w:ascii="Arial" w:hAnsi="Arial" w:cs="Arial"/>
          <w:sz w:val="24"/>
          <w:szCs w:val="24"/>
        </w:rPr>
        <w:t xml:space="preserve"> with the AER that applying a forecast approach to depreciation is the best option since:</w:t>
      </w:r>
    </w:p>
    <w:p w14:paraId="0B455715" w14:textId="530C4A3D" w:rsidR="006E018B" w:rsidRPr="006E018B" w:rsidRDefault="00B66F00" w:rsidP="006E018B">
      <w:pPr>
        <w:pStyle w:val="ListParagraph"/>
        <w:numPr>
          <w:ilvl w:val="0"/>
          <w:numId w:val="24"/>
        </w:numPr>
        <w:spacing w:after="160" w:line="259" w:lineRule="auto"/>
        <w:rPr>
          <w:rFonts w:ascii="Arial" w:hAnsi="Arial" w:cs="Arial"/>
          <w:sz w:val="24"/>
          <w:szCs w:val="24"/>
        </w:rPr>
      </w:pPr>
      <w:r>
        <w:rPr>
          <w:rFonts w:ascii="Arial" w:hAnsi="Arial" w:cs="Arial"/>
          <w:sz w:val="24"/>
          <w:szCs w:val="24"/>
        </w:rPr>
        <w:t xml:space="preserve">it is </w:t>
      </w:r>
      <w:r w:rsidR="006E018B" w:rsidRPr="006E018B">
        <w:rPr>
          <w:rFonts w:ascii="Arial" w:hAnsi="Arial" w:cs="Arial"/>
          <w:sz w:val="24"/>
          <w:szCs w:val="24"/>
        </w:rPr>
        <w:t xml:space="preserve">consistent with the previous determination, </w:t>
      </w:r>
    </w:p>
    <w:p w14:paraId="7E2A6A36" w14:textId="77777777" w:rsidR="006E018B" w:rsidRPr="006E018B" w:rsidRDefault="006E018B" w:rsidP="006E018B">
      <w:pPr>
        <w:pStyle w:val="ListParagraph"/>
        <w:numPr>
          <w:ilvl w:val="0"/>
          <w:numId w:val="24"/>
        </w:numPr>
        <w:spacing w:after="160" w:line="259" w:lineRule="auto"/>
        <w:rPr>
          <w:rFonts w:ascii="Arial" w:hAnsi="Arial" w:cs="Arial"/>
          <w:sz w:val="24"/>
          <w:szCs w:val="24"/>
        </w:rPr>
      </w:pPr>
      <w:r w:rsidRPr="006E018B">
        <w:rPr>
          <w:rFonts w:ascii="Arial" w:hAnsi="Arial" w:cs="Arial"/>
          <w:sz w:val="24"/>
          <w:szCs w:val="24"/>
        </w:rPr>
        <w:t>provides incentive for a lower future RAB, and</w:t>
      </w:r>
    </w:p>
    <w:p w14:paraId="3C39928D" w14:textId="77777777" w:rsidR="006E018B" w:rsidRPr="006E018B" w:rsidRDefault="006E018B" w:rsidP="006E018B">
      <w:pPr>
        <w:pStyle w:val="ListParagraph"/>
        <w:numPr>
          <w:ilvl w:val="0"/>
          <w:numId w:val="24"/>
        </w:numPr>
        <w:spacing w:after="160" w:line="259" w:lineRule="auto"/>
        <w:rPr>
          <w:rFonts w:ascii="Arial" w:hAnsi="Arial" w:cs="Arial"/>
          <w:sz w:val="24"/>
          <w:szCs w:val="24"/>
        </w:rPr>
      </w:pPr>
      <w:r w:rsidRPr="006E018B">
        <w:rPr>
          <w:rFonts w:ascii="Arial" w:hAnsi="Arial" w:cs="Arial"/>
          <w:sz w:val="24"/>
          <w:szCs w:val="24"/>
        </w:rPr>
        <w:t>works more effectively in tandem with application of the CESS.</w:t>
      </w:r>
    </w:p>
    <w:p w14:paraId="4391B053" w14:textId="77777777" w:rsidR="00C512DE" w:rsidRDefault="00C512DE" w:rsidP="00B66F00">
      <w:pPr>
        <w:spacing w:after="0"/>
        <w:rPr>
          <w:rFonts w:ascii="Arial" w:hAnsi="Arial" w:cs="Arial"/>
          <w:b/>
          <w:color w:val="365F91" w:themeColor="accent1" w:themeShade="BF"/>
          <w:sz w:val="24"/>
          <w:szCs w:val="24"/>
        </w:rPr>
      </w:pPr>
    </w:p>
    <w:p w14:paraId="07B80BA9" w14:textId="1FA397F4" w:rsidR="006E018B" w:rsidRPr="007F0430" w:rsidRDefault="00C512DE" w:rsidP="00B66F00">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General c</w:t>
      </w:r>
      <w:r w:rsidR="00090BBB">
        <w:rPr>
          <w:rFonts w:ascii="Arial" w:hAnsi="Arial" w:cs="Arial"/>
          <w:b/>
          <w:color w:val="365F91" w:themeColor="accent1" w:themeShade="BF"/>
          <w:sz w:val="24"/>
          <w:szCs w:val="24"/>
        </w:rPr>
        <w:t>omment on a</w:t>
      </w:r>
      <w:r w:rsidR="006E018B" w:rsidRPr="007F0430">
        <w:rPr>
          <w:rFonts w:ascii="Arial" w:hAnsi="Arial" w:cs="Arial"/>
          <w:b/>
          <w:color w:val="365F91" w:themeColor="accent1" w:themeShade="BF"/>
          <w:sz w:val="24"/>
          <w:szCs w:val="24"/>
        </w:rPr>
        <w:t>pproaches</w:t>
      </w:r>
      <w:r w:rsidR="00090BBB">
        <w:rPr>
          <w:rFonts w:ascii="Arial" w:hAnsi="Arial" w:cs="Arial"/>
          <w:b/>
          <w:color w:val="365F91" w:themeColor="accent1" w:themeShade="BF"/>
          <w:sz w:val="24"/>
          <w:szCs w:val="24"/>
        </w:rPr>
        <w:t xml:space="preserve"> to d</w:t>
      </w:r>
      <w:r w:rsidR="007F0430" w:rsidRPr="007F0430">
        <w:rPr>
          <w:rFonts w:ascii="Arial" w:hAnsi="Arial" w:cs="Arial"/>
          <w:b/>
          <w:color w:val="365F91" w:themeColor="accent1" w:themeShade="BF"/>
          <w:sz w:val="24"/>
          <w:szCs w:val="24"/>
        </w:rPr>
        <w:t>eprecation</w:t>
      </w:r>
    </w:p>
    <w:p w14:paraId="1609F079" w14:textId="10AC6FD6" w:rsidR="0070547B" w:rsidRPr="00AA4922" w:rsidRDefault="00C512DE" w:rsidP="00AA4922">
      <w:pPr>
        <w:rPr>
          <w:rFonts w:ascii="Arial" w:hAnsi="Arial" w:cs="Arial"/>
          <w:sz w:val="24"/>
          <w:szCs w:val="24"/>
        </w:rPr>
      </w:pPr>
      <w:r>
        <w:rPr>
          <w:rFonts w:ascii="Arial" w:hAnsi="Arial" w:cs="Arial"/>
          <w:sz w:val="24"/>
          <w:szCs w:val="24"/>
        </w:rPr>
        <w:t>The CCP</w:t>
      </w:r>
      <w:r w:rsidR="006E018B" w:rsidRPr="006E018B">
        <w:rPr>
          <w:rFonts w:ascii="Arial" w:hAnsi="Arial" w:cs="Arial"/>
          <w:sz w:val="24"/>
          <w:szCs w:val="24"/>
        </w:rPr>
        <w:t xml:space="preserve"> note</w:t>
      </w:r>
      <w:r>
        <w:rPr>
          <w:rFonts w:ascii="Arial" w:hAnsi="Arial" w:cs="Arial"/>
          <w:sz w:val="24"/>
          <w:szCs w:val="24"/>
        </w:rPr>
        <w:t>s</w:t>
      </w:r>
      <w:r w:rsidR="00B66F00">
        <w:rPr>
          <w:rFonts w:ascii="Arial" w:hAnsi="Arial" w:cs="Arial"/>
          <w:sz w:val="24"/>
          <w:szCs w:val="24"/>
        </w:rPr>
        <w:t xml:space="preserve"> that the F&amp;A</w:t>
      </w:r>
      <w:r w:rsidR="006E018B" w:rsidRPr="006E018B">
        <w:rPr>
          <w:rFonts w:ascii="Arial" w:hAnsi="Arial" w:cs="Arial"/>
          <w:sz w:val="24"/>
          <w:szCs w:val="24"/>
        </w:rPr>
        <w:t xml:space="preserve"> does not specifically mention the method of depreciation to be applied by </w:t>
      </w:r>
      <w:r w:rsidR="003353DD">
        <w:rPr>
          <w:rFonts w:ascii="Arial" w:hAnsi="Arial" w:cs="Arial"/>
          <w:sz w:val="24"/>
          <w:szCs w:val="24"/>
        </w:rPr>
        <w:t xml:space="preserve">ActewAGL </w:t>
      </w:r>
      <w:r w:rsidR="00B66F00">
        <w:rPr>
          <w:rFonts w:ascii="Arial" w:hAnsi="Arial" w:cs="Arial"/>
          <w:sz w:val="24"/>
          <w:szCs w:val="24"/>
        </w:rPr>
        <w:t xml:space="preserve">and </w:t>
      </w:r>
      <w:r w:rsidR="006E018B" w:rsidRPr="006E018B">
        <w:rPr>
          <w:rFonts w:ascii="Arial" w:hAnsi="Arial" w:cs="Arial"/>
          <w:sz w:val="24"/>
          <w:szCs w:val="24"/>
        </w:rPr>
        <w:t xml:space="preserve">we understand that this is perhaps more detail than is necessary in the </w:t>
      </w:r>
      <w:r w:rsidR="00B66F00">
        <w:rPr>
          <w:rFonts w:ascii="Arial" w:hAnsi="Arial" w:cs="Arial"/>
          <w:sz w:val="24"/>
          <w:szCs w:val="24"/>
        </w:rPr>
        <w:t>F&amp;A</w:t>
      </w:r>
      <w:r w:rsidR="006E018B" w:rsidRPr="006E018B">
        <w:rPr>
          <w:rFonts w:ascii="Arial" w:hAnsi="Arial" w:cs="Arial"/>
          <w:sz w:val="24"/>
          <w:szCs w:val="24"/>
        </w:rPr>
        <w:t xml:space="preserve">. </w:t>
      </w:r>
      <w:r w:rsidR="00D338B5" w:rsidRPr="006E018B">
        <w:rPr>
          <w:rFonts w:ascii="Arial" w:hAnsi="Arial" w:cs="Arial"/>
          <w:sz w:val="24"/>
          <w:szCs w:val="24"/>
        </w:rPr>
        <w:t>However,</w:t>
      </w:r>
      <w:r w:rsidR="00B66F00">
        <w:rPr>
          <w:rFonts w:ascii="Arial" w:hAnsi="Arial" w:cs="Arial"/>
          <w:sz w:val="24"/>
          <w:szCs w:val="24"/>
        </w:rPr>
        <w:t xml:space="preserve"> the CCP</w:t>
      </w:r>
      <w:r w:rsidR="006E018B" w:rsidRPr="006E018B">
        <w:rPr>
          <w:rFonts w:ascii="Arial" w:hAnsi="Arial" w:cs="Arial"/>
          <w:sz w:val="24"/>
          <w:szCs w:val="24"/>
        </w:rPr>
        <w:t xml:space="preserve"> note</w:t>
      </w:r>
      <w:r w:rsidR="00B66F00">
        <w:rPr>
          <w:rFonts w:ascii="Arial" w:hAnsi="Arial" w:cs="Arial"/>
          <w:sz w:val="24"/>
          <w:szCs w:val="24"/>
        </w:rPr>
        <w:t>s</w:t>
      </w:r>
      <w:r w:rsidR="006E018B" w:rsidRPr="006E018B">
        <w:rPr>
          <w:rFonts w:ascii="Arial" w:hAnsi="Arial" w:cs="Arial"/>
          <w:sz w:val="24"/>
          <w:szCs w:val="24"/>
        </w:rPr>
        <w:t xml:space="preserve"> that some network businesses have been seeking accelerated depreciation methodologies to be employed for futu</w:t>
      </w:r>
      <w:r w:rsidR="00B66F00">
        <w:rPr>
          <w:rFonts w:ascii="Arial" w:hAnsi="Arial" w:cs="Arial"/>
          <w:sz w:val="24"/>
          <w:szCs w:val="24"/>
        </w:rPr>
        <w:t>re regulatory periods. We wish to</w:t>
      </w:r>
      <w:r w:rsidR="006E018B" w:rsidRPr="006E018B">
        <w:rPr>
          <w:rFonts w:ascii="Arial" w:hAnsi="Arial" w:cs="Arial"/>
          <w:sz w:val="24"/>
          <w:szCs w:val="24"/>
        </w:rPr>
        <w:t xml:space="preserve"> flag </w:t>
      </w:r>
      <w:r w:rsidR="00B66F00">
        <w:rPr>
          <w:rFonts w:ascii="Arial" w:hAnsi="Arial" w:cs="Arial"/>
          <w:sz w:val="24"/>
          <w:szCs w:val="24"/>
        </w:rPr>
        <w:t xml:space="preserve">our </w:t>
      </w:r>
      <w:r w:rsidR="006E018B" w:rsidRPr="006E018B">
        <w:rPr>
          <w:rFonts w:ascii="Arial" w:hAnsi="Arial" w:cs="Arial"/>
          <w:sz w:val="24"/>
          <w:szCs w:val="24"/>
        </w:rPr>
        <w:t>concern about any deviation from straight-line depreciatio</w:t>
      </w:r>
      <w:r w:rsidR="00B66F00">
        <w:rPr>
          <w:rFonts w:ascii="Arial" w:hAnsi="Arial" w:cs="Arial"/>
          <w:sz w:val="24"/>
          <w:szCs w:val="24"/>
        </w:rPr>
        <w:t xml:space="preserve">n unless a clear benefit to </w:t>
      </w:r>
      <w:r w:rsidR="006E018B" w:rsidRPr="006E018B">
        <w:rPr>
          <w:rFonts w:ascii="Arial" w:hAnsi="Arial" w:cs="Arial"/>
          <w:sz w:val="24"/>
          <w:szCs w:val="24"/>
        </w:rPr>
        <w:t>consumers can be identified.</w:t>
      </w:r>
    </w:p>
    <w:p w14:paraId="7C604140" w14:textId="39BD61E5" w:rsidR="0070547B" w:rsidRPr="008E0BA9" w:rsidRDefault="0070547B" w:rsidP="0070547B">
      <w:pPr>
        <w:pStyle w:val="Heading1"/>
        <w:numPr>
          <w:ilvl w:val="0"/>
          <w:numId w:val="5"/>
        </w:numPr>
        <w:ind w:hanging="720"/>
        <w:rPr>
          <w:rFonts w:cs="Arial"/>
        </w:rPr>
      </w:pPr>
      <w:r w:rsidRPr="008E0BA9">
        <w:rPr>
          <w:rFonts w:cs="Arial"/>
        </w:rPr>
        <w:t>Issue 6: Dual function assets</w:t>
      </w:r>
    </w:p>
    <w:p w14:paraId="10F30D73" w14:textId="1A727D1A" w:rsidR="00387AC8" w:rsidRPr="007F0430" w:rsidRDefault="00387AC8" w:rsidP="00387AC8">
      <w:pPr>
        <w:rPr>
          <w:rFonts w:ascii="Arial" w:hAnsi="Arial" w:cs="Arial"/>
          <w:b/>
          <w:color w:val="365F91" w:themeColor="accent1" w:themeShade="BF"/>
        </w:rPr>
      </w:pPr>
    </w:p>
    <w:p w14:paraId="707ABF70" w14:textId="5CF6EDD0" w:rsidR="00B66F00" w:rsidRDefault="00090BBB" w:rsidP="00B66F00">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AER’s p</w:t>
      </w:r>
      <w:r w:rsidR="00387AC8" w:rsidRPr="007F0430">
        <w:rPr>
          <w:rFonts w:ascii="Arial" w:hAnsi="Arial" w:cs="Arial"/>
          <w:b/>
          <w:color w:val="365F91" w:themeColor="accent1" w:themeShade="BF"/>
          <w:sz w:val="24"/>
          <w:szCs w:val="24"/>
        </w:rPr>
        <w:t>reliminary P</w:t>
      </w:r>
      <w:r w:rsidR="00D83E34" w:rsidRPr="007F0430">
        <w:rPr>
          <w:rFonts w:ascii="Arial" w:hAnsi="Arial" w:cs="Arial"/>
          <w:b/>
          <w:color w:val="365F91" w:themeColor="accent1" w:themeShade="BF"/>
          <w:sz w:val="24"/>
          <w:szCs w:val="24"/>
        </w:rPr>
        <w:t>osition</w:t>
      </w:r>
    </w:p>
    <w:p w14:paraId="2514F3FB" w14:textId="777DAD65" w:rsidR="00387AC8" w:rsidRPr="00F417FB" w:rsidRDefault="00B66F00" w:rsidP="00F417FB">
      <w:pPr>
        <w:spacing w:after="0"/>
        <w:rPr>
          <w:rFonts w:ascii="Arial" w:hAnsi="Arial" w:cs="Arial"/>
          <w:sz w:val="24"/>
          <w:szCs w:val="24"/>
        </w:rPr>
      </w:pPr>
      <w:r>
        <w:rPr>
          <w:rFonts w:ascii="Arial" w:hAnsi="Arial" w:cs="Arial"/>
          <w:sz w:val="24"/>
          <w:szCs w:val="24"/>
        </w:rPr>
        <w:t>The CCP notes</w:t>
      </w:r>
      <w:r w:rsidR="00387AC8" w:rsidRPr="008E0BA9">
        <w:rPr>
          <w:rFonts w:ascii="Arial" w:hAnsi="Arial" w:cs="Arial"/>
          <w:sz w:val="24"/>
          <w:szCs w:val="24"/>
        </w:rPr>
        <w:t xml:space="preserve"> that </w:t>
      </w:r>
      <w:r w:rsidR="009B3575">
        <w:rPr>
          <w:rFonts w:ascii="Arial" w:hAnsi="Arial" w:cs="Arial"/>
          <w:sz w:val="24"/>
          <w:szCs w:val="24"/>
        </w:rPr>
        <w:t xml:space="preserve">ActewAGL </w:t>
      </w:r>
      <w:r w:rsidR="00387AC8" w:rsidRPr="008E0BA9">
        <w:rPr>
          <w:rFonts w:ascii="Arial" w:hAnsi="Arial" w:cs="Arial"/>
          <w:sz w:val="24"/>
          <w:szCs w:val="24"/>
        </w:rPr>
        <w:t>operate</w:t>
      </w:r>
      <w:r w:rsidR="009B3575">
        <w:rPr>
          <w:rFonts w:ascii="Arial" w:hAnsi="Arial" w:cs="Arial"/>
          <w:sz w:val="24"/>
          <w:szCs w:val="24"/>
        </w:rPr>
        <w:t>s</w:t>
      </w:r>
      <w:r w:rsidR="00387AC8" w:rsidRPr="008E0BA9">
        <w:rPr>
          <w:rFonts w:ascii="Arial" w:hAnsi="Arial" w:cs="Arial"/>
          <w:sz w:val="24"/>
          <w:szCs w:val="24"/>
        </w:rPr>
        <w:t xml:space="preserve"> dual function assets. The AER’s preliminary position is to</w:t>
      </w:r>
      <w:r w:rsidR="009B3575">
        <w:rPr>
          <w:rFonts w:ascii="Arial" w:hAnsi="Arial" w:cs="Arial"/>
          <w:sz w:val="24"/>
          <w:szCs w:val="24"/>
        </w:rPr>
        <w:t xml:space="preserve"> </w:t>
      </w:r>
      <w:r w:rsidR="00387AC8" w:rsidRPr="00F417FB">
        <w:rPr>
          <w:rFonts w:ascii="Arial" w:hAnsi="Arial" w:cs="Arial"/>
          <w:sz w:val="24"/>
          <w:szCs w:val="24"/>
        </w:rPr>
        <w:t xml:space="preserve">apply transmission pricing rules to </w:t>
      </w:r>
      <w:r w:rsidR="009B3575">
        <w:rPr>
          <w:rFonts w:ascii="Arial" w:hAnsi="Arial" w:cs="Arial"/>
          <w:sz w:val="24"/>
          <w:szCs w:val="24"/>
        </w:rPr>
        <w:t>their</w:t>
      </w:r>
      <w:r w:rsidR="00387AC8" w:rsidRPr="00F417FB">
        <w:rPr>
          <w:rFonts w:ascii="Arial" w:hAnsi="Arial" w:cs="Arial"/>
          <w:sz w:val="24"/>
          <w:szCs w:val="24"/>
        </w:rPr>
        <w:t xml:space="preserve"> dual function assets ($</w:t>
      </w:r>
      <w:r w:rsidR="009B3575">
        <w:rPr>
          <w:rFonts w:ascii="Arial" w:hAnsi="Arial" w:cs="Arial"/>
          <w:sz w:val="24"/>
          <w:szCs w:val="24"/>
        </w:rPr>
        <w:t>186.71</w:t>
      </w:r>
      <w:r w:rsidR="00387AC8" w:rsidRPr="00F417FB">
        <w:rPr>
          <w:rFonts w:ascii="Arial" w:hAnsi="Arial" w:cs="Arial"/>
          <w:sz w:val="24"/>
          <w:szCs w:val="24"/>
        </w:rPr>
        <w:t>M, 1</w:t>
      </w:r>
      <w:r w:rsidR="009B3575">
        <w:rPr>
          <w:rFonts w:ascii="Arial" w:hAnsi="Arial" w:cs="Arial"/>
          <w:sz w:val="24"/>
          <w:szCs w:val="24"/>
        </w:rPr>
        <w:t>9</w:t>
      </w:r>
      <w:r w:rsidR="00387AC8" w:rsidRPr="00F417FB">
        <w:rPr>
          <w:rFonts w:ascii="Arial" w:hAnsi="Arial" w:cs="Arial"/>
          <w:sz w:val="24"/>
          <w:szCs w:val="24"/>
        </w:rPr>
        <w:t xml:space="preserve">% of RAB) because doing otherwise would significantly impact </w:t>
      </w:r>
      <w:r w:rsidR="009B3575">
        <w:rPr>
          <w:rFonts w:ascii="Arial" w:hAnsi="Arial" w:cs="Arial"/>
          <w:sz w:val="24"/>
          <w:szCs w:val="24"/>
        </w:rPr>
        <w:t xml:space="preserve">ACT </w:t>
      </w:r>
      <w:r w:rsidR="00387AC8" w:rsidRPr="00F417FB">
        <w:rPr>
          <w:rFonts w:ascii="Arial" w:hAnsi="Arial" w:cs="Arial"/>
          <w:sz w:val="24"/>
          <w:szCs w:val="24"/>
        </w:rPr>
        <w:t>customers</w:t>
      </w:r>
      <w:r w:rsidR="009B3575">
        <w:rPr>
          <w:rFonts w:ascii="Arial" w:hAnsi="Arial" w:cs="Arial"/>
          <w:sz w:val="24"/>
          <w:szCs w:val="24"/>
        </w:rPr>
        <w:t>.</w:t>
      </w:r>
    </w:p>
    <w:p w14:paraId="6F93E040" w14:textId="77777777" w:rsidR="00C512DE" w:rsidRDefault="00C512DE" w:rsidP="00C512DE">
      <w:pPr>
        <w:spacing w:after="0" w:line="259" w:lineRule="auto"/>
        <w:rPr>
          <w:rFonts w:ascii="Arial" w:hAnsi="Arial" w:cs="Arial"/>
          <w:sz w:val="24"/>
          <w:szCs w:val="24"/>
        </w:rPr>
      </w:pPr>
    </w:p>
    <w:p w14:paraId="5D8A1A10" w14:textId="58E26715" w:rsidR="00C512DE" w:rsidRPr="00FE7574" w:rsidRDefault="00C512DE" w:rsidP="00FE7574">
      <w:pPr>
        <w:rPr>
          <w:rFonts w:ascii="Arial" w:hAnsi="Arial" w:cs="Arial"/>
          <w:sz w:val="24"/>
          <w:szCs w:val="24"/>
        </w:rPr>
      </w:pPr>
      <w:r>
        <w:rPr>
          <w:rFonts w:ascii="Arial" w:hAnsi="Arial" w:cs="Arial"/>
          <w:sz w:val="24"/>
          <w:szCs w:val="24"/>
        </w:rPr>
        <w:t xml:space="preserve">The decision on the </w:t>
      </w:r>
      <w:r w:rsidRPr="00D83E34">
        <w:rPr>
          <w:rFonts w:ascii="Arial" w:hAnsi="Arial" w:cs="Arial"/>
          <w:sz w:val="24"/>
          <w:szCs w:val="24"/>
        </w:rPr>
        <w:t>treatment of dual function assets is binding.</w:t>
      </w:r>
      <w:r>
        <w:rPr>
          <w:rFonts w:ascii="Arial" w:hAnsi="Arial" w:cs="Arial"/>
          <w:sz w:val="24"/>
          <w:szCs w:val="24"/>
        </w:rPr>
        <w:t xml:space="preserve"> </w:t>
      </w:r>
      <w:r w:rsidRPr="00D83E34">
        <w:rPr>
          <w:rFonts w:ascii="Arial" w:hAnsi="Arial" w:cs="Arial"/>
          <w:sz w:val="24"/>
          <w:szCs w:val="24"/>
        </w:rPr>
        <w:t>The approach reflects a continuation of the previous regulatory approach and with current practice, and is supported by</w:t>
      </w:r>
      <w:r w:rsidR="009B3575" w:rsidRPr="009B3575">
        <w:rPr>
          <w:rFonts w:ascii="Arial" w:hAnsi="Arial" w:cs="Arial"/>
          <w:sz w:val="24"/>
          <w:szCs w:val="24"/>
        </w:rPr>
        <w:t xml:space="preserve"> </w:t>
      </w:r>
      <w:r w:rsidR="009B3575">
        <w:rPr>
          <w:rFonts w:ascii="Arial" w:hAnsi="Arial" w:cs="Arial"/>
          <w:sz w:val="24"/>
          <w:szCs w:val="24"/>
        </w:rPr>
        <w:t>ActewAGL</w:t>
      </w:r>
      <w:r w:rsidRPr="00D83E34">
        <w:rPr>
          <w:rFonts w:ascii="Arial" w:hAnsi="Arial" w:cs="Arial"/>
          <w:sz w:val="24"/>
          <w:szCs w:val="24"/>
        </w:rPr>
        <w:t>.</w:t>
      </w:r>
    </w:p>
    <w:p w14:paraId="627AF714" w14:textId="77777777" w:rsidR="00387AC8" w:rsidRPr="007F0430" w:rsidRDefault="00387AC8" w:rsidP="00CC0A37">
      <w:pPr>
        <w:spacing w:after="0"/>
        <w:rPr>
          <w:rFonts w:ascii="Arial" w:hAnsi="Arial" w:cs="Arial"/>
          <w:b/>
          <w:color w:val="365F91" w:themeColor="accent1" w:themeShade="BF"/>
          <w:sz w:val="24"/>
          <w:szCs w:val="24"/>
        </w:rPr>
      </w:pPr>
      <w:r w:rsidRPr="007F0430">
        <w:rPr>
          <w:rFonts w:ascii="Arial" w:hAnsi="Arial" w:cs="Arial"/>
          <w:b/>
          <w:color w:val="365F91" w:themeColor="accent1" w:themeShade="BF"/>
          <w:sz w:val="24"/>
          <w:szCs w:val="24"/>
        </w:rPr>
        <w:t>CCP view</w:t>
      </w:r>
    </w:p>
    <w:p w14:paraId="22659AB3" w14:textId="77777777" w:rsidR="00387AC8" w:rsidRPr="00D83E34" w:rsidRDefault="00387AC8" w:rsidP="00387AC8">
      <w:pPr>
        <w:rPr>
          <w:rFonts w:ascii="Arial" w:hAnsi="Arial" w:cs="Arial"/>
          <w:sz w:val="24"/>
          <w:szCs w:val="24"/>
        </w:rPr>
      </w:pPr>
      <w:r w:rsidRPr="00D83E34">
        <w:rPr>
          <w:rFonts w:ascii="Arial" w:hAnsi="Arial" w:cs="Arial"/>
          <w:sz w:val="24"/>
          <w:szCs w:val="24"/>
        </w:rPr>
        <w:t>The CCP agrees with the AER in maintaining the current approach to the regulation of dual-function assets through:</w:t>
      </w:r>
    </w:p>
    <w:p w14:paraId="2EEC961A" w14:textId="55F348D3" w:rsidR="00387AC8" w:rsidRPr="00D83E34" w:rsidRDefault="00387AC8" w:rsidP="00387AC8">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lastRenderedPageBreak/>
        <w:t>a consistent application of the assessment in terms of materiality and function</w:t>
      </w:r>
      <w:r w:rsidR="00ED6F0C">
        <w:rPr>
          <w:rFonts w:ascii="Arial" w:hAnsi="Arial" w:cs="Arial"/>
          <w:sz w:val="24"/>
          <w:szCs w:val="24"/>
        </w:rPr>
        <w:t>, this is particularly relevant to ActewAGL given the proximity and extend of Transgrid assets</w:t>
      </w:r>
      <w:r w:rsidRPr="00D83E34">
        <w:rPr>
          <w:rFonts w:ascii="Arial" w:hAnsi="Arial" w:cs="Arial"/>
          <w:sz w:val="24"/>
          <w:szCs w:val="24"/>
        </w:rPr>
        <w:t>;</w:t>
      </w:r>
      <w:r w:rsidR="00CC0A37">
        <w:rPr>
          <w:rFonts w:ascii="Arial" w:hAnsi="Arial" w:cs="Arial"/>
          <w:sz w:val="24"/>
          <w:szCs w:val="24"/>
        </w:rPr>
        <w:t xml:space="preserve"> </w:t>
      </w:r>
    </w:p>
    <w:p w14:paraId="45472B74" w14:textId="0FB4D778" w:rsidR="00387AC8" w:rsidRPr="00D83E34" w:rsidRDefault="00387AC8" w:rsidP="00387AC8">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an awareness of the material cost impact</w:t>
      </w:r>
      <w:r w:rsidR="00CC0A37">
        <w:rPr>
          <w:rFonts w:ascii="Arial" w:hAnsi="Arial" w:cs="Arial"/>
          <w:sz w:val="24"/>
          <w:szCs w:val="24"/>
        </w:rPr>
        <w:t xml:space="preserve">s on customers and the </w:t>
      </w:r>
      <w:r w:rsidR="00634004">
        <w:rPr>
          <w:rFonts w:ascii="Arial" w:hAnsi="Arial" w:cs="Arial"/>
          <w:sz w:val="24"/>
          <w:szCs w:val="24"/>
        </w:rPr>
        <w:t>distributors</w:t>
      </w:r>
      <w:r w:rsidR="00CC0A37">
        <w:rPr>
          <w:rFonts w:ascii="Arial" w:hAnsi="Arial" w:cs="Arial"/>
          <w:sz w:val="24"/>
          <w:szCs w:val="24"/>
        </w:rPr>
        <w:t xml:space="preserve"> </w:t>
      </w:r>
      <w:r w:rsidRPr="00D83E34">
        <w:rPr>
          <w:rFonts w:ascii="Arial" w:hAnsi="Arial" w:cs="Arial"/>
          <w:sz w:val="24"/>
          <w:szCs w:val="24"/>
        </w:rPr>
        <w:t>should the process change;</w:t>
      </w:r>
    </w:p>
    <w:p w14:paraId="565AC9F8" w14:textId="59325695" w:rsidR="00387AC8" w:rsidRPr="00D83E34" w:rsidRDefault="00387AC8" w:rsidP="00387AC8">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the demonstrated support of the distributors involved;</w:t>
      </w:r>
      <w:r w:rsidR="00CC0A37">
        <w:rPr>
          <w:rFonts w:ascii="Arial" w:hAnsi="Arial" w:cs="Arial"/>
          <w:sz w:val="24"/>
          <w:szCs w:val="24"/>
        </w:rPr>
        <w:t xml:space="preserve"> and</w:t>
      </w:r>
    </w:p>
    <w:p w14:paraId="1E8A6C19" w14:textId="0F32E962" w:rsidR="0070547B" w:rsidRDefault="00387AC8" w:rsidP="00D83E34">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the fact that the current position has been expressed publicly in the earlier determination and the opportunity for wider comment has existed previously.</w:t>
      </w:r>
    </w:p>
    <w:p w14:paraId="3C42E9F7" w14:textId="289E5AFA" w:rsidR="00C158B3" w:rsidRPr="00F417FB" w:rsidRDefault="00C158B3" w:rsidP="00F417FB">
      <w:pPr>
        <w:ind w:left="360"/>
        <w:rPr>
          <w:rFonts w:ascii="Arial" w:eastAsia="Times New Roman" w:hAnsi="Arial" w:cs="Arial"/>
          <w:sz w:val="24"/>
          <w:szCs w:val="24"/>
        </w:rPr>
      </w:pPr>
      <w:r w:rsidRPr="00F417FB">
        <w:rPr>
          <w:rFonts w:ascii="Arial" w:eastAsia="Times New Roman" w:hAnsi="Arial" w:cs="Arial"/>
          <w:sz w:val="24"/>
          <w:szCs w:val="24"/>
        </w:rPr>
        <w:t>The significant increase in the value of</w:t>
      </w:r>
      <w:r>
        <w:rPr>
          <w:rFonts w:ascii="Arial" w:eastAsia="Times New Roman" w:hAnsi="Arial" w:cs="Arial"/>
          <w:sz w:val="24"/>
          <w:szCs w:val="24"/>
        </w:rPr>
        <w:t xml:space="preserve"> the dual function assets is of concern to the CCP</w:t>
      </w:r>
      <w:r w:rsidRPr="00F417FB">
        <w:rPr>
          <w:rFonts w:ascii="Arial" w:eastAsia="Times New Roman" w:hAnsi="Arial" w:cs="Arial"/>
          <w:sz w:val="24"/>
          <w:szCs w:val="24"/>
        </w:rPr>
        <w:t xml:space="preserve">. </w:t>
      </w:r>
      <w:r>
        <w:rPr>
          <w:rFonts w:ascii="Arial" w:eastAsia="Times New Roman" w:hAnsi="Arial" w:cs="Arial"/>
          <w:sz w:val="24"/>
          <w:szCs w:val="24"/>
        </w:rPr>
        <w:t>We are concerned that about the potential for ActewAGL</w:t>
      </w:r>
      <w:r w:rsidRPr="00F417FB">
        <w:rPr>
          <w:rFonts w:ascii="Arial" w:eastAsia="Times New Roman" w:hAnsi="Arial" w:cs="Arial"/>
          <w:sz w:val="24"/>
          <w:szCs w:val="24"/>
        </w:rPr>
        <w:t xml:space="preserve"> to</w:t>
      </w:r>
      <w:r>
        <w:rPr>
          <w:rFonts w:ascii="Arial" w:eastAsia="Times New Roman" w:hAnsi="Arial" w:cs="Arial"/>
          <w:sz w:val="24"/>
          <w:szCs w:val="24"/>
        </w:rPr>
        <w:t xml:space="preserve"> </w:t>
      </w:r>
      <w:r w:rsidRPr="00F417FB">
        <w:rPr>
          <w:rFonts w:ascii="Arial" w:eastAsia="Times New Roman" w:hAnsi="Arial" w:cs="Arial"/>
          <w:sz w:val="24"/>
          <w:szCs w:val="24"/>
        </w:rPr>
        <w:t xml:space="preserve">smear </w:t>
      </w:r>
      <w:r>
        <w:rPr>
          <w:rFonts w:ascii="Arial" w:eastAsia="Times New Roman" w:hAnsi="Arial" w:cs="Arial"/>
          <w:sz w:val="24"/>
          <w:szCs w:val="24"/>
        </w:rPr>
        <w:t>nearly</w:t>
      </w:r>
      <w:r w:rsidRPr="00F417FB">
        <w:rPr>
          <w:rFonts w:ascii="Arial" w:eastAsia="Times New Roman" w:hAnsi="Arial" w:cs="Arial"/>
          <w:sz w:val="24"/>
          <w:szCs w:val="24"/>
        </w:rPr>
        <w:t xml:space="preserve"> 20% o</w:t>
      </w:r>
      <w:r w:rsidR="00F34C8E">
        <w:rPr>
          <w:rFonts w:ascii="Arial" w:eastAsia="Times New Roman" w:hAnsi="Arial" w:cs="Arial"/>
          <w:sz w:val="24"/>
          <w:szCs w:val="24"/>
        </w:rPr>
        <w:t>f their asset costs</w:t>
      </w:r>
      <w:r>
        <w:rPr>
          <w:rFonts w:ascii="Arial" w:eastAsia="Times New Roman" w:hAnsi="Arial" w:cs="Arial"/>
          <w:sz w:val="24"/>
          <w:szCs w:val="24"/>
        </w:rPr>
        <w:t xml:space="preserve"> across to non-ACT</w:t>
      </w:r>
      <w:r w:rsidRPr="00F417FB">
        <w:rPr>
          <w:rFonts w:ascii="Arial" w:eastAsia="Times New Roman" w:hAnsi="Arial" w:cs="Arial"/>
          <w:sz w:val="24"/>
          <w:szCs w:val="24"/>
        </w:rPr>
        <w:t xml:space="preserve"> customers.</w:t>
      </w:r>
      <w:r>
        <w:rPr>
          <w:rFonts w:ascii="Arial" w:eastAsia="Times New Roman" w:hAnsi="Arial" w:cs="Arial"/>
          <w:sz w:val="24"/>
          <w:szCs w:val="24"/>
        </w:rPr>
        <w:t xml:space="preserve"> We recognise that the ACT is in the midst of a range of T</w:t>
      </w:r>
      <w:r w:rsidRPr="00F417FB">
        <w:rPr>
          <w:rFonts w:ascii="Arial" w:eastAsia="Times New Roman" w:hAnsi="Arial" w:cs="Arial"/>
          <w:sz w:val="24"/>
          <w:szCs w:val="24"/>
        </w:rPr>
        <w:t xml:space="preserve">ransgrid </w:t>
      </w:r>
      <w:r>
        <w:rPr>
          <w:rFonts w:ascii="Arial" w:eastAsia="Times New Roman" w:hAnsi="Arial" w:cs="Arial"/>
          <w:sz w:val="24"/>
          <w:szCs w:val="24"/>
        </w:rPr>
        <w:t xml:space="preserve">(NSW </w:t>
      </w:r>
      <w:r w:rsidR="00ED6F0C">
        <w:rPr>
          <w:rFonts w:ascii="Arial" w:eastAsia="Times New Roman" w:hAnsi="Arial" w:cs="Arial"/>
          <w:sz w:val="24"/>
          <w:szCs w:val="24"/>
        </w:rPr>
        <w:t>Transmission</w:t>
      </w:r>
      <w:r>
        <w:rPr>
          <w:rFonts w:ascii="Arial" w:eastAsia="Times New Roman" w:hAnsi="Arial" w:cs="Arial"/>
          <w:sz w:val="24"/>
          <w:szCs w:val="24"/>
        </w:rPr>
        <w:t xml:space="preserve"> business) </w:t>
      </w:r>
      <w:r w:rsidRPr="00F417FB">
        <w:rPr>
          <w:rFonts w:ascii="Arial" w:eastAsia="Times New Roman" w:hAnsi="Arial" w:cs="Arial"/>
          <w:sz w:val="24"/>
          <w:szCs w:val="24"/>
        </w:rPr>
        <w:t>assets and therefore has a good argument that their assets support the wider NSW transmission system for the</w:t>
      </w:r>
      <w:r>
        <w:rPr>
          <w:rFonts w:ascii="Arial" w:eastAsia="Times New Roman" w:hAnsi="Arial" w:cs="Arial"/>
          <w:sz w:val="24"/>
          <w:szCs w:val="24"/>
        </w:rPr>
        <w:t xml:space="preserve"> benefit of others than just ACT customers</w:t>
      </w:r>
      <w:r w:rsidR="00ED6F0C">
        <w:rPr>
          <w:rFonts w:ascii="Arial" w:eastAsia="Times New Roman" w:hAnsi="Arial" w:cs="Arial"/>
          <w:sz w:val="24"/>
          <w:szCs w:val="24"/>
        </w:rPr>
        <w:t>.</w:t>
      </w:r>
      <w:r>
        <w:rPr>
          <w:rFonts w:ascii="Arial" w:eastAsia="Times New Roman" w:hAnsi="Arial" w:cs="Arial"/>
          <w:sz w:val="24"/>
          <w:szCs w:val="24"/>
        </w:rPr>
        <w:t xml:space="preserve"> We also understand that ActewAGL has updated</w:t>
      </w:r>
      <w:r w:rsidRPr="00F417FB">
        <w:rPr>
          <w:rFonts w:ascii="Arial" w:eastAsia="Times New Roman" w:hAnsi="Arial" w:cs="Arial"/>
          <w:sz w:val="24"/>
          <w:szCs w:val="24"/>
        </w:rPr>
        <w:t xml:space="preserve"> their asset valuation methodology </w:t>
      </w:r>
      <w:r w:rsidR="00897688">
        <w:rPr>
          <w:rFonts w:ascii="Arial" w:eastAsia="Times New Roman" w:hAnsi="Arial" w:cs="Arial"/>
          <w:sz w:val="24"/>
          <w:szCs w:val="24"/>
        </w:rPr>
        <w:t>to reflect that of Ausgrid</w:t>
      </w:r>
      <w:r>
        <w:rPr>
          <w:rFonts w:ascii="Arial" w:eastAsia="Times New Roman" w:hAnsi="Arial" w:cs="Arial"/>
          <w:sz w:val="24"/>
          <w:szCs w:val="24"/>
        </w:rPr>
        <w:t xml:space="preserve">, which also has dual function </w:t>
      </w:r>
      <w:r w:rsidR="00ED6F0C">
        <w:rPr>
          <w:rFonts w:ascii="Arial" w:eastAsia="Times New Roman" w:hAnsi="Arial" w:cs="Arial"/>
          <w:sz w:val="24"/>
          <w:szCs w:val="24"/>
        </w:rPr>
        <w:t>assets</w:t>
      </w:r>
      <w:r>
        <w:rPr>
          <w:rFonts w:ascii="Arial" w:eastAsia="Times New Roman" w:hAnsi="Arial" w:cs="Arial"/>
          <w:sz w:val="24"/>
          <w:szCs w:val="24"/>
        </w:rPr>
        <w:t xml:space="preserve"> th</w:t>
      </w:r>
      <w:r w:rsidR="00ED6F0C">
        <w:rPr>
          <w:rFonts w:ascii="Arial" w:eastAsia="Times New Roman" w:hAnsi="Arial" w:cs="Arial"/>
          <w:sz w:val="24"/>
          <w:szCs w:val="24"/>
        </w:rPr>
        <w:t>at are proposed to be treated using a</w:t>
      </w:r>
      <w:r>
        <w:rPr>
          <w:rFonts w:ascii="Arial" w:eastAsia="Times New Roman" w:hAnsi="Arial" w:cs="Arial"/>
          <w:sz w:val="24"/>
          <w:szCs w:val="24"/>
        </w:rPr>
        <w:t xml:space="preserve"> transmission </w:t>
      </w:r>
      <w:r w:rsidR="00ED6F0C">
        <w:rPr>
          <w:rFonts w:ascii="Arial" w:eastAsia="Times New Roman" w:hAnsi="Arial" w:cs="Arial"/>
          <w:sz w:val="24"/>
          <w:szCs w:val="24"/>
        </w:rPr>
        <w:t>pricing approach.</w:t>
      </w:r>
    </w:p>
    <w:p w14:paraId="76B313A1" w14:textId="5DABBA58" w:rsidR="00C158B3" w:rsidRPr="00F417FB" w:rsidRDefault="00ED6F0C" w:rsidP="00F417FB">
      <w:pPr>
        <w:ind w:left="360"/>
        <w:rPr>
          <w:rFonts w:ascii="Arial" w:eastAsia="Times New Roman" w:hAnsi="Arial" w:cs="Arial"/>
          <w:sz w:val="24"/>
          <w:szCs w:val="24"/>
        </w:rPr>
      </w:pPr>
      <w:r>
        <w:rPr>
          <w:rFonts w:ascii="Arial" w:eastAsia="Times New Roman" w:hAnsi="Arial" w:cs="Arial"/>
          <w:sz w:val="24"/>
          <w:szCs w:val="24"/>
        </w:rPr>
        <w:t xml:space="preserve">The CCP will ask ActewAGL whether </w:t>
      </w:r>
      <w:r w:rsidR="00C158B3" w:rsidRPr="00F417FB">
        <w:rPr>
          <w:rFonts w:ascii="Arial" w:eastAsia="Times New Roman" w:hAnsi="Arial" w:cs="Arial"/>
          <w:sz w:val="24"/>
          <w:szCs w:val="24"/>
        </w:rPr>
        <w:t>th</w:t>
      </w:r>
      <w:r>
        <w:rPr>
          <w:rFonts w:ascii="Arial" w:eastAsia="Times New Roman" w:hAnsi="Arial" w:cs="Arial"/>
          <w:sz w:val="24"/>
          <w:szCs w:val="24"/>
        </w:rPr>
        <w:t>is issue been taken to their consumer reference group and whether Transgrid and Ausgrid</w:t>
      </w:r>
      <w:r w:rsidR="00C158B3" w:rsidRPr="00F417FB">
        <w:rPr>
          <w:rFonts w:ascii="Arial" w:eastAsia="Times New Roman" w:hAnsi="Arial" w:cs="Arial"/>
          <w:sz w:val="24"/>
          <w:szCs w:val="24"/>
        </w:rPr>
        <w:t xml:space="preserve"> views </w:t>
      </w:r>
      <w:r>
        <w:rPr>
          <w:rFonts w:ascii="Arial" w:eastAsia="Times New Roman" w:hAnsi="Arial" w:cs="Arial"/>
          <w:sz w:val="24"/>
          <w:szCs w:val="24"/>
        </w:rPr>
        <w:t>have been canvassed, considering that the proportion of dual function assets is significant.</w:t>
      </w:r>
    </w:p>
    <w:p w14:paraId="4C39C2A5" w14:textId="2955641F" w:rsidR="0070547B" w:rsidRDefault="0070547B" w:rsidP="0070547B">
      <w:pPr>
        <w:pStyle w:val="Heading1"/>
        <w:numPr>
          <w:ilvl w:val="0"/>
          <w:numId w:val="5"/>
        </w:numPr>
        <w:ind w:hanging="720"/>
      </w:pPr>
      <w:r>
        <w:t>Consumer engagement</w:t>
      </w:r>
    </w:p>
    <w:p w14:paraId="4BEED366" w14:textId="77777777" w:rsidR="00FE7574" w:rsidRPr="00FE7574" w:rsidRDefault="00FE7574" w:rsidP="00FE7574">
      <w:pPr>
        <w:spacing w:after="0"/>
      </w:pPr>
    </w:p>
    <w:p w14:paraId="7E11A65C" w14:textId="77777777" w:rsidR="006F28BA" w:rsidRDefault="006F28BA" w:rsidP="006F28BA">
      <w:pPr>
        <w:spacing w:after="0"/>
        <w:rPr>
          <w:rFonts w:ascii="Arial" w:hAnsi="Arial" w:cs="Arial"/>
          <w:b/>
          <w:color w:val="365F91" w:themeColor="accent1" w:themeShade="BF"/>
          <w:sz w:val="24"/>
          <w:szCs w:val="24"/>
        </w:rPr>
      </w:pPr>
      <w:r w:rsidRPr="006F28BA">
        <w:rPr>
          <w:rFonts w:ascii="Arial" w:hAnsi="Arial" w:cs="Arial"/>
          <w:b/>
          <w:color w:val="365F91" w:themeColor="accent1" w:themeShade="BF"/>
          <w:sz w:val="24"/>
          <w:szCs w:val="24"/>
        </w:rPr>
        <w:t>CCP view</w:t>
      </w:r>
    </w:p>
    <w:p w14:paraId="14856864" w14:textId="19E0E065" w:rsidR="008C2C73" w:rsidRDefault="008C2C73" w:rsidP="006F28BA">
      <w:pPr>
        <w:spacing w:after="0"/>
        <w:rPr>
          <w:rFonts w:ascii="Arial" w:hAnsi="Arial" w:cs="Arial"/>
          <w:sz w:val="24"/>
          <w:szCs w:val="24"/>
        </w:rPr>
      </w:pPr>
      <w:r w:rsidRPr="008C2C73">
        <w:rPr>
          <w:rFonts w:ascii="Arial" w:hAnsi="Arial" w:cs="Arial"/>
          <w:sz w:val="24"/>
          <w:szCs w:val="24"/>
        </w:rPr>
        <w:t xml:space="preserve">Consumer </w:t>
      </w:r>
      <w:r w:rsidR="00CC0A37">
        <w:rPr>
          <w:rFonts w:ascii="Arial" w:hAnsi="Arial" w:cs="Arial"/>
          <w:sz w:val="24"/>
          <w:szCs w:val="24"/>
        </w:rPr>
        <w:t>e</w:t>
      </w:r>
      <w:r w:rsidRPr="008C2C73">
        <w:rPr>
          <w:rFonts w:ascii="Arial" w:hAnsi="Arial" w:cs="Arial"/>
          <w:sz w:val="24"/>
          <w:szCs w:val="24"/>
        </w:rPr>
        <w:t>ngagement is not specifically mentioned in the F</w:t>
      </w:r>
      <w:r w:rsidR="00CC0A37">
        <w:rPr>
          <w:rFonts w:ascii="Arial" w:hAnsi="Arial" w:cs="Arial"/>
          <w:sz w:val="24"/>
          <w:szCs w:val="24"/>
        </w:rPr>
        <w:t>&amp;A,</w:t>
      </w:r>
      <w:r w:rsidRPr="008C2C73">
        <w:rPr>
          <w:rFonts w:ascii="Arial" w:hAnsi="Arial" w:cs="Arial"/>
          <w:sz w:val="24"/>
          <w:szCs w:val="24"/>
        </w:rPr>
        <w:t xml:space="preserve"> yet it is a requirement of network businesses that they consult with consumer groups and stakeholders in developing regulatory proposa</w:t>
      </w:r>
      <w:r w:rsidR="00CC0A37">
        <w:rPr>
          <w:rFonts w:ascii="Arial" w:hAnsi="Arial" w:cs="Arial"/>
          <w:sz w:val="24"/>
          <w:szCs w:val="24"/>
        </w:rPr>
        <w:t>ls. The CCP</w:t>
      </w:r>
      <w:r w:rsidRPr="008C2C73">
        <w:rPr>
          <w:rFonts w:ascii="Arial" w:hAnsi="Arial" w:cs="Arial"/>
          <w:sz w:val="24"/>
          <w:szCs w:val="24"/>
        </w:rPr>
        <w:t xml:space="preserve"> has an explicit responsibility to provide advice to the AER about the effectiveness of </w:t>
      </w:r>
      <w:r w:rsidR="009B3575">
        <w:rPr>
          <w:rFonts w:ascii="Arial" w:hAnsi="Arial" w:cs="Arial"/>
          <w:sz w:val="24"/>
          <w:szCs w:val="24"/>
        </w:rPr>
        <w:t>ActewAGL’</w:t>
      </w:r>
      <w:r w:rsidR="00FE7574">
        <w:rPr>
          <w:rFonts w:ascii="Arial" w:hAnsi="Arial" w:cs="Arial"/>
          <w:sz w:val="24"/>
          <w:szCs w:val="24"/>
        </w:rPr>
        <w:t xml:space="preserve">s </w:t>
      </w:r>
      <w:r w:rsidRPr="008C2C73">
        <w:rPr>
          <w:rFonts w:ascii="Arial" w:hAnsi="Arial" w:cs="Arial"/>
          <w:sz w:val="24"/>
          <w:szCs w:val="24"/>
        </w:rPr>
        <w:t>consumer engagement.</w:t>
      </w:r>
    </w:p>
    <w:p w14:paraId="47FD2AE1" w14:textId="77777777" w:rsidR="006F28BA" w:rsidRPr="006F28BA" w:rsidRDefault="006F28BA" w:rsidP="006F28BA">
      <w:pPr>
        <w:spacing w:after="0"/>
        <w:rPr>
          <w:rFonts w:ascii="Arial" w:hAnsi="Arial" w:cs="Arial"/>
          <w:b/>
          <w:color w:val="365F91" w:themeColor="accent1" w:themeShade="BF"/>
          <w:sz w:val="24"/>
          <w:szCs w:val="24"/>
        </w:rPr>
      </w:pPr>
    </w:p>
    <w:p w14:paraId="5D027062" w14:textId="1E647E4A" w:rsidR="008C2C73" w:rsidRPr="008C2C73" w:rsidRDefault="00CC0A37" w:rsidP="008C2C73">
      <w:pPr>
        <w:rPr>
          <w:rFonts w:ascii="Arial" w:hAnsi="Arial" w:cs="Arial"/>
          <w:sz w:val="24"/>
          <w:szCs w:val="24"/>
        </w:rPr>
      </w:pPr>
      <w:r>
        <w:rPr>
          <w:rFonts w:ascii="Arial" w:hAnsi="Arial" w:cs="Arial"/>
          <w:sz w:val="24"/>
          <w:szCs w:val="24"/>
        </w:rPr>
        <w:t>The CCP</w:t>
      </w:r>
      <w:r w:rsidR="008C2C73" w:rsidRPr="008C2C73">
        <w:rPr>
          <w:rFonts w:ascii="Arial" w:hAnsi="Arial" w:cs="Arial"/>
          <w:sz w:val="24"/>
          <w:szCs w:val="24"/>
        </w:rPr>
        <w:t xml:space="preserve"> sugge</w:t>
      </w:r>
      <w:r w:rsidR="00E16F41">
        <w:rPr>
          <w:rFonts w:ascii="Arial" w:hAnsi="Arial" w:cs="Arial"/>
          <w:sz w:val="24"/>
          <w:szCs w:val="24"/>
        </w:rPr>
        <w:t>st</w:t>
      </w:r>
      <w:r>
        <w:rPr>
          <w:rFonts w:ascii="Arial" w:hAnsi="Arial" w:cs="Arial"/>
          <w:sz w:val="24"/>
          <w:szCs w:val="24"/>
        </w:rPr>
        <w:t>s that it is time for the F</w:t>
      </w:r>
      <w:r w:rsidR="00E16F41">
        <w:rPr>
          <w:rFonts w:ascii="Arial" w:hAnsi="Arial" w:cs="Arial"/>
          <w:sz w:val="24"/>
          <w:szCs w:val="24"/>
        </w:rPr>
        <w:t>&amp;</w:t>
      </w:r>
      <w:r w:rsidR="008C2C73" w:rsidRPr="008C2C73">
        <w:rPr>
          <w:rFonts w:ascii="Arial" w:hAnsi="Arial" w:cs="Arial"/>
          <w:sz w:val="24"/>
          <w:szCs w:val="24"/>
        </w:rPr>
        <w:t xml:space="preserve">A to include reference to consumer engagement. As a starting point, we suggest that the </w:t>
      </w:r>
      <w:r>
        <w:rPr>
          <w:rFonts w:ascii="Arial" w:hAnsi="Arial" w:cs="Arial"/>
          <w:sz w:val="24"/>
          <w:szCs w:val="24"/>
        </w:rPr>
        <w:t xml:space="preserve">F&amp;A </w:t>
      </w:r>
      <w:r w:rsidR="008C2C73" w:rsidRPr="008C2C73">
        <w:rPr>
          <w:rFonts w:ascii="Arial" w:hAnsi="Arial" w:cs="Arial"/>
          <w:sz w:val="24"/>
          <w:szCs w:val="24"/>
        </w:rPr>
        <w:t>state an expectation</w:t>
      </w:r>
      <w:r>
        <w:rPr>
          <w:rFonts w:ascii="Arial" w:hAnsi="Arial" w:cs="Arial"/>
          <w:sz w:val="24"/>
          <w:szCs w:val="24"/>
        </w:rPr>
        <w:t xml:space="preserve"> distribution </w:t>
      </w:r>
      <w:r w:rsidR="008C2C73" w:rsidRPr="008C2C73">
        <w:rPr>
          <w:rFonts w:ascii="Arial" w:hAnsi="Arial" w:cs="Arial"/>
          <w:sz w:val="24"/>
          <w:szCs w:val="24"/>
        </w:rPr>
        <w:t>network</w:t>
      </w:r>
      <w:r>
        <w:rPr>
          <w:rFonts w:ascii="Arial" w:hAnsi="Arial" w:cs="Arial"/>
          <w:sz w:val="24"/>
          <w:szCs w:val="24"/>
        </w:rPr>
        <w:t>s</w:t>
      </w:r>
      <w:r w:rsidR="008C2C73" w:rsidRPr="008C2C73">
        <w:rPr>
          <w:rFonts w:ascii="Arial" w:hAnsi="Arial" w:cs="Arial"/>
          <w:sz w:val="24"/>
          <w:szCs w:val="24"/>
        </w:rPr>
        <w:t xml:space="preserve"> use ‘best endeavours’ to apply the Consumer Engagement Guideline </w:t>
      </w:r>
      <w:r>
        <w:rPr>
          <w:rFonts w:ascii="Arial" w:hAnsi="Arial" w:cs="Arial"/>
          <w:sz w:val="24"/>
          <w:szCs w:val="24"/>
        </w:rPr>
        <w:t xml:space="preserve">(CEG) </w:t>
      </w:r>
      <w:r w:rsidR="008C2C73" w:rsidRPr="008C2C73">
        <w:rPr>
          <w:rFonts w:ascii="Arial" w:hAnsi="Arial" w:cs="Arial"/>
          <w:sz w:val="24"/>
          <w:szCs w:val="24"/>
        </w:rPr>
        <w:t xml:space="preserve">in developing </w:t>
      </w:r>
      <w:r>
        <w:rPr>
          <w:rFonts w:ascii="Arial" w:hAnsi="Arial" w:cs="Arial"/>
          <w:sz w:val="24"/>
          <w:szCs w:val="24"/>
        </w:rPr>
        <w:t xml:space="preserve">their </w:t>
      </w:r>
      <w:r w:rsidR="008C2C73" w:rsidRPr="008C2C73">
        <w:rPr>
          <w:rFonts w:ascii="Arial" w:hAnsi="Arial" w:cs="Arial"/>
          <w:sz w:val="24"/>
          <w:szCs w:val="24"/>
        </w:rPr>
        <w:t>regulatory</w:t>
      </w:r>
      <w:r w:rsidR="001B18E6">
        <w:rPr>
          <w:rFonts w:ascii="Arial" w:hAnsi="Arial" w:cs="Arial"/>
          <w:sz w:val="24"/>
          <w:szCs w:val="24"/>
        </w:rPr>
        <w:t xml:space="preserve"> proposals</w:t>
      </w:r>
      <w:r>
        <w:rPr>
          <w:rFonts w:ascii="Arial" w:hAnsi="Arial" w:cs="Arial"/>
          <w:sz w:val="24"/>
          <w:szCs w:val="24"/>
        </w:rPr>
        <w:t>. The CEG</w:t>
      </w:r>
      <w:r w:rsidR="008C2C73" w:rsidRPr="008C2C73">
        <w:rPr>
          <w:rFonts w:ascii="Arial" w:hAnsi="Arial" w:cs="Arial"/>
          <w:sz w:val="24"/>
          <w:szCs w:val="24"/>
        </w:rPr>
        <w:t xml:space="preserve"> was developed in 2013 as part of the “Better Regulation” process and had extensive input from a wide range of stakeholders.</w:t>
      </w:r>
      <w:r w:rsidR="001B18E6">
        <w:rPr>
          <w:rFonts w:ascii="Arial" w:hAnsi="Arial" w:cs="Arial"/>
          <w:sz w:val="24"/>
          <w:szCs w:val="24"/>
        </w:rPr>
        <w:t xml:space="preserve"> It consequently provides a reasonable ‘minimum standard’ for consumer engagement in developing the 2019-24 regulatory proposals. Given that the CEG has been in place for about 4 years and so should be embedded in network approaches, we expect </w:t>
      </w:r>
      <w:r w:rsidR="009B3575">
        <w:rPr>
          <w:rFonts w:ascii="Arial" w:hAnsi="Arial" w:cs="Arial"/>
          <w:sz w:val="24"/>
          <w:szCs w:val="24"/>
        </w:rPr>
        <w:t xml:space="preserve">ActewAGL, and other network businesses </w:t>
      </w:r>
      <w:r w:rsidR="001B18E6">
        <w:rPr>
          <w:rFonts w:ascii="Arial" w:hAnsi="Arial" w:cs="Arial"/>
          <w:sz w:val="24"/>
          <w:szCs w:val="24"/>
        </w:rPr>
        <w:t>to exceed the requirements of the Consumer Engagement Guideline.</w:t>
      </w:r>
    </w:p>
    <w:p w14:paraId="596225E3" w14:textId="3B0E0E54" w:rsidR="00C90BB2" w:rsidRPr="00F417FB" w:rsidRDefault="009B3575">
      <w:pPr>
        <w:tabs>
          <w:tab w:val="left" w:pos="6833"/>
        </w:tabs>
        <w:rPr>
          <w:rFonts w:ascii="Arial" w:hAnsi="Arial" w:cs="Arial"/>
          <w:b/>
          <w:sz w:val="28"/>
          <w:szCs w:val="28"/>
        </w:rPr>
      </w:pPr>
      <w:r>
        <w:rPr>
          <w:rFonts w:ascii="Arial" w:hAnsi="Arial" w:cs="Arial"/>
          <w:b/>
          <w:sz w:val="28"/>
          <w:szCs w:val="28"/>
        </w:rPr>
        <w:t xml:space="preserve">10.      </w:t>
      </w:r>
      <w:r w:rsidRPr="00F417FB">
        <w:rPr>
          <w:rFonts w:ascii="Arial" w:hAnsi="Arial" w:cs="Arial"/>
          <w:b/>
          <w:sz w:val="28"/>
          <w:szCs w:val="28"/>
        </w:rPr>
        <w:t>Streetlighting</w:t>
      </w:r>
    </w:p>
    <w:p w14:paraId="45E6271A" w14:textId="340A6FB8" w:rsidR="00C90BB2" w:rsidRPr="00F417FB" w:rsidRDefault="00C90BB2" w:rsidP="003C6AEA">
      <w:pPr>
        <w:tabs>
          <w:tab w:val="left" w:pos="6833"/>
        </w:tabs>
        <w:rPr>
          <w:rFonts w:ascii="Arial" w:hAnsi="Arial" w:cs="Arial"/>
          <w:sz w:val="24"/>
          <w:szCs w:val="24"/>
        </w:rPr>
      </w:pPr>
      <w:r w:rsidRPr="00F417FB">
        <w:rPr>
          <w:rFonts w:ascii="Arial" w:hAnsi="Arial" w:cs="Arial"/>
          <w:sz w:val="24"/>
          <w:szCs w:val="24"/>
        </w:rPr>
        <w:lastRenderedPageBreak/>
        <w:t>Unlike other jurisdictions</w:t>
      </w:r>
      <w:r w:rsidR="00ED6F0C">
        <w:rPr>
          <w:rFonts w:ascii="Arial" w:hAnsi="Arial" w:cs="Arial"/>
          <w:sz w:val="24"/>
          <w:szCs w:val="24"/>
        </w:rPr>
        <w:t xml:space="preserve"> where streetlighting is a significant matter for F&amp;A consideration</w:t>
      </w:r>
      <w:r w:rsidRPr="00F417FB">
        <w:rPr>
          <w:rFonts w:ascii="Arial" w:hAnsi="Arial" w:cs="Arial"/>
          <w:sz w:val="24"/>
          <w:szCs w:val="24"/>
        </w:rPr>
        <w:t>, streetlighting for the ACT is paid for by the ACT Government and so is not the point of contention that it is elsewhere</w:t>
      </w:r>
      <w:r w:rsidR="00ED6F0C">
        <w:rPr>
          <w:rFonts w:ascii="Arial" w:hAnsi="Arial" w:cs="Arial"/>
          <w:sz w:val="24"/>
          <w:szCs w:val="24"/>
        </w:rPr>
        <w:t>.</w:t>
      </w:r>
    </w:p>
    <w:p w14:paraId="651595EA" w14:textId="771CE66D" w:rsidR="00F760A0" w:rsidRPr="00F417FB" w:rsidRDefault="00C90BB2" w:rsidP="003C6AEA">
      <w:pPr>
        <w:tabs>
          <w:tab w:val="left" w:pos="6833"/>
        </w:tabs>
        <w:rPr>
          <w:rFonts w:ascii="Arial" w:hAnsi="Arial" w:cs="Arial"/>
          <w:sz w:val="24"/>
          <w:szCs w:val="24"/>
        </w:rPr>
      </w:pPr>
      <w:r w:rsidRPr="00F417FB">
        <w:rPr>
          <w:rFonts w:ascii="Arial" w:hAnsi="Arial" w:cs="Arial"/>
          <w:sz w:val="24"/>
          <w:szCs w:val="24"/>
        </w:rPr>
        <w:t>The Canberra Times reported</w:t>
      </w:r>
      <w:r w:rsidR="009B3575" w:rsidRPr="00ED6F0C">
        <w:rPr>
          <w:rStyle w:val="FootnoteReference"/>
          <w:rFonts w:ascii="Arial" w:hAnsi="Arial" w:cs="Arial"/>
          <w:sz w:val="24"/>
          <w:szCs w:val="24"/>
        </w:rPr>
        <w:footnoteReference w:id="12"/>
      </w:r>
      <w:r w:rsidRPr="00F417FB">
        <w:rPr>
          <w:rFonts w:ascii="Arial" w:hAnsi="Arial" w:cs="Arial"/>
          <w:sz w:val="24"/>
          <w:szCs w:val="24"/>
        </w:rPr>
        <w:t xml:space="preserve"> on 25</w:t>
      </w:r>
      <w:r w:rsidRPr="00F417FB">
        <w:rPr>
          <w:rFonts w:ascii="Arial" w:hAnsi="Arial" w:cs="Arial"/>
          <w:sz w:val="24"/>
          <w:szCs w:val="24"/>
          <w:vertAlign w:val="superscript"/>
        </w:rPr>
        <w:t>th</w:t>
      </w:r>
      <w:r w:rsidRPr="00F417FB">
        <w:rPr>
          <w:rFonts w:ascii="Arial" w:hAnsi="Arial" w:cs="Arial"/>
          <w:sz w:val="24"/>
          <w:szCs w:val="24"/>
        </w:rPr>
        <w:t xml:space="preserve"> </w:t>
      </w:r>
      <w:r w:rsidR="009B3575" w:rsidRPr="00F417FB">
        <w:rPr>
          <w:rFonts w:ascii="Arial" w:hAnsi="Arial" w:cs="Arial"/>
          <w:sz w:val="24"/>
          <w:szCs w:val="24"/>
        </w:rPr>
        <w:t>January</w:t>
      </w:r>
      <w:r w:rsidRPr="00F417FB">
        <w:rPr>
          <w:rFonts w:ascii="Arial" w:hAnsi="Arial" w:cs="Arial"/>
          <w:sz w:val="24"/>
          <w:szCs w:val="24"/>
        </w:rPr>
        <w:t xml:space="preserve"> 20117 that “</w:t>
      </w:r>
      <w:r w:rsidRPr="00F417FB">
        <w:rPr>
          <w:rFonts w:ascii="Arial" w:hAnsi="Arial" w:cs="Arial"/>
          <w:i/>
          <w:color w:val="1D1D1D"/>
          <w:sz w:val="24"/>
          <w:szCs w:val="24"/>
        </w:rPr>
        <w:t>The (ACT) government has been looking to outsource the management of</w:t>
      </w:r>
      <w:r w:rsidRPr="00F417FB">
        <w:rPr>
          <w:rFonts w:ascii="Arial" w:hAnsi="Arial" w:cs="Arial" w:hint="eastAsia"/>
          <w:i/>
          <w:color w:val="1D1D1D"/>
          <w:sz w:val="24"/>
          <w:szCs w:val="24"/>
        </w:rPr>
        <w:t> </w:t>
      </w:r>
      <w:r w:rsidRPr="00F417FB">
        <w:rPr>
          <w:rFonts w:ascii="Arial" w:hAnsi="Arial" w:cs="Arial"/>
          <w:i/>
          <w:color w:val="1D1D1D"/>
          <w:sz w:val="24"/>
          <w:szCs w:val="24"/>
        </w:rPr>
        <w:t>the territory's 79,000</w:t>
      </w:r>
      <w:r w:rsidRPr="00F417FB">
        <w:rPr>
          <w:rFonts w:ascii="Arial" w:hAnsi="Arial" w:cs="Arial" w:hint="eastAsia"/>
          <w:i/>
          <w:color w:val="1D1D1D"/>
          <w:sz w:val="24"/>
          <w:szCs w:val="24"/>
        </w:rPr>
        <w:t> </w:t>
      </w:r>
      <w:r w:rsidRPr="00F417FB">
        <w:rPr>
          <w:rFonts w:ascii="Arial" w:hAnsi="Arial" w:cs="Arial"/>
          <w:i/>
          <w:color w:val="1D1D1D"/>
          <w:sz w:val="24"/>
          <w:szCs w:val="24"/>
        </w:rPr>
        <w:t>street lights since last year, after it decided against full privatisation.</w:t>
      </w:r>
      <w:r w:rsidRPr="00F417FB">
        <w:rPr>
          <w:rFonts w:ascii="Arial" w:hAnsi="Arial" w:cs="Arial" w:hint="eastAsia"/>
          <w:i/>
          <w:color w:val="1D1D1D"/>
          <w:sz w:val="24"/>
          <w:szCs w:val="24"/>
        </w:rPr>
        <w:t>”</w:t>
      </w:r>
    </w:p>
    <w:p w14:paraId="0A73B0E4" w14:textId="77777777" w:rsidR="009B3575" w:rsidRPr="00ED6F0C" w:rsidRDefault="00C90BB2" w:rsidP="00C90BB2">
      <w:pPr>
        <w:pStyle w:val="NormalWeb"/>
        <w:shd w:val="clear" w:color="auto" w:fill="FFFFFF"/>
        <w:rPr>
          <w:rFonts w:ascii="Arial" w:hAnsi="Arial" w:cs="Arial"/>
        </w:rPr>
      </w:pPr>
      <w:r w:rsidRPr="00ED6F0C">
        <w:rPr>
          <w:rFonts w:ascii="Arial" w:hAnsi="Arial" w:cs="Arial"/>
        </w:rPr>
        <w:t>They also reported</w:t>
      </w:r>
      <w:r w:rsidR="009B3575" w:rsidRPr="00ED6F0C">
        <w:rPr>
          <w:rFonts w:ascii="Arial" w:hAnsi="Arial" w:cs="Arial"/>
        </w:rPr>
        <w:t>:</w:t>
      </w:r>
    </w:p>
    <w:p w14:paraId="57696523" w14:textId="1355CA30" w:rsidR="00C90BB2" w:rsidRPr="00F417FB" w:rsidRDefault="00C90BB2" w:rsidP="00C90BB2">
      <w:pPr>
        <w:pStyle w:val="NormalWeb"/>
        <w:shd w:val="clear" w:color="auto" w:fill="FFFFFF"/>
        <w:rPr>
          <w:rFonts w:ascii="Arial" w:hAnsi="Arial" w:cs="Arial"/>
          <w:i/>
          <w:color w:val="1D1D1D"/>
        </w:rPr>
      </w:pPr>
      <w:r w:rsidRPr="00F417FB">
        <w:rPr>
          <w:rFonts w:ascii="Arial" w:hAnsi="Arial" w:cs="Arial"/>
          <w:i/>
        </w:rPr>
        <w:t xml:space="preserve"> “</w:t>
      </w:r>
      <w:r w:rsidRPr="00F417FB">
        <w:rPr>
          <w:rFonts w:ascii="Arial" w:hAnsi="Arial" w:cs="Arial"/>
          <w:i/>
          <w:color w:val="1D1D1D"/>
        </w:rPr>
        <w:t>Instead, the government said it would seek external management for the street lights, with public procurement to take place</w:t>
      </w:r>
      <w:r w:rsidRPr="00F417FB">
        <w:rPr>
          <w:rFonts w:ascii="Arial" w:hAnsi="Arial" w:cs="Arial" w:hint="eastAsia"/>
          <w:i/>
          <w:color w:val="1D1D1D"/>
        </w:rPr>
        <w:t> </w:t>
      </w:r>
      <w:r w:rsidRPr="00F417FB">
        <w:rPr>
          <w:rFonts w:ascii="Arial" w:hAnsi="Arial" w:cs="Arial"/>
          <w:i/>
          <w:color w:val="1D1D1D"/>
        </w:rPr>
        <w:t>in the first half of 2016-17.</w:t>
      </w:r>
    </w:p>
    <w:p w14:paraId="0159C4B0" w14:textId="77777777" w:rsidR="00C90BB2" w:rsidRPr="00F417FB" w:rsidRDefault="00C90BB2" w:rsidP="00C90BB2">
      <w:pPr>
        <w:pStyle w:val="NormalWeb"/>
        <w:shd w:val="clear" w:color="auto" w:fill="FFFFFF"/>
        <w:rPr>
          <w:rFonts w:ascii="Arial" w:hAnsi="Arial" w:cs="Arial"/>
          <w:i/>
          <w:color w:val="1D1D1D"/>
        </w:rPr>
      </w:pPr>
      <w:r w:rsidRPr="00F417FB">
        <w:rPr>
          <w:rFonts w:ascii="Arial" w:hAnsi="Arial" w:cs="Arial"/>
          <w:i/>
          <w:color w:val="1D1D1D"/>
        </w:rPr>
        <w:t>A request for proposal last September</w:t>
      </w:r>
      <w:r w:rsidRPr="00F417FB">
        <w:rPr>
          <w:rFonts w:ascii="Arial" w:hAnsi="Arial" w:cs="Arial" w:hint="eastAsia"/>
          <w:i/>
          <w:color w:val="1D1D1D"/>
        </w:rPr>
        <w:t> </w:t>
      </w:r>
      <w:r w:rsidRPr="00F417FB">
        <w:rPr>
          <w:rFonts w:ascii="Arial" w:hAnsi="Arial" w:cs="Arial"/>
          <w:i/>
          <w:color w:val="1D1D1D"/>
        </w:rPr>
        <w:t>attracted 14 submissions, seven of which were selected to tender for the network in December.</w:t>
      </w:r>
    </w:p>
    <w:p w14:paraId="6BDB46A9" w14:textId="77777777" w:rsidR="00C90BB2" w:rsidRPr="00F417FB" w:rsidRDefault="00C90BB2" w:rsidP="00C90BB2">
      <w:pPr>
        <w:pStyle w:val="NormalWeb"/>
        <w:shd w:val="clear" w:color="auto" w:fill="FFFFFF"/>
        <w:rPr>
          <w:rFonts w:ascii="Arial" w:hAnsi="Arial" w:cs="Arial"/>
          <w:i/>
          <w:color w:val="1D1D1D"/>
        </w:rPr>
      </w:pPr>
      <w:r w:rsidRPr="00F417FB">
        <w:rPr>
          <w:rFonts w:ascii="Arial" w:hAnsi="Arial" w:cs="Arial"/>
          <w:i/>
          <w:color w:val="1D1D1D"/>
        </w:rPr>
        <w:t>From here, two or three</w:t>
      </w:r>
      <w:r w:rsidRPr="00F417FB">
        <w:rPr>
          <w:rFonts w:ascii="Arial" w:hAnsi="Arial" w:cs="Arial" w:hint="eastAsia"/>
          <w:i/>
          <w:color w:val="1D1D1D"/>
        </w:rPr>
        <w:t> </w:t>
      </w:r>
      <w:r w:rsidRPr="00F417FB">
        <w:rPr>
          <w:rFonts w:ascii="Arial" w:hAnsi="Arial" w:cs="Arial"/>
          <w:i/>
          <w:color w:val="1D1D1D"/>
        </w:rPr>
        <w:t>tenderers will be chosen to to enter into an interactive tendering process, while undertaking an audit of the streetlight network.</w:t>
      </w:r>
    </w:p>
    <w:p w14:paraId="5632C079" w14:textId="3CEBF7F9" w:rsidR="00C90BB2" w:rsidRPr="00F417FB" w:rsidRDefault="00C90BB2" w:rsidP="00C90BB2">
      <w:pPr>
        <w:pStyle w:val="NormalWeb"/>
        <w:shd w:val="clear" w:color="auto" w:fill="FFFFFF"/>
        <w:rPr>
          <w:rFonts w:ascii="Arial" w:hAnsi="Arial" w:cs="Arial"/>
          <w:i/>
          <w:color w:val="1D1D1D"/>
        </w:rPr>
      </w:pPr>
      <w:r w:rsidRPr="00F417FB">
        <w:rPr>
          <w:rFonts w:ascii="Arial" w:hAnsi="Arial" w:cs="Arial"/>
          <w:i/>
          <w:color w:val="1D1D1D"/>
        </w:rPr>
        <w:t>A timeline for this process was not provided.</w:t>
      </w:r>
      <w:r w:rsidR="009B3575" w:rsidRPr="00F417FB">
        <w:rPr>
          <w:rFonts w:ascii="Arial" w:hAnsi="Arial" w:cs="Arial" w:hint="eastAsia"/>
          <w:i/>
          <w:color w:val="1D1D1D"/>
        </w:rPr>
        <w:t>”</w:t>
      </w:r>
    </w:p>
    <w:p w14:paraId="4394D915" w14:textId="76BCAC45" w:rsidR="009B3575" w:rsidRPr="00F417FB" w:rsidRDefault="009B3575" w:rsidP="00C90BB2">
      <w:pPr>
        <w:pStyle w:val="NormalWeb"/>
        <w:shd w:val="clear" w:color="auto" w:fill="FFFFFF"/>
        <w:rPr>
          <w:rFonts w:ascii="Arial" w:hAnsi="Arial" w:cs="Arial"/>
          <w:color w:val="1D1D1D"/>
        </w:rPr>
      </w:pPr>
      <w:r w:rsidRPr="00F417FB">
        <w:rPr>
          <w:rFonts w:ascii="Arial" w:hAnsi="Arial" w:cs="Arial"/>
          <w:color w:val="1D1D1D"/>
        </w:rPr>
        <w:t>This means that the ACT Government will continue to pay for streetlighting, though the mechanism for this may change during the 2019-24 regulatory period.</w:t>
      </w:r>
    </w:p>
    <w:p w14:paraId="702C8379" w14:textId="124E156E" w:rsidR="009B3575" w:rsidRPr="00F417FB" w:rsidRDefault="009B3575" w:rsidP="00C90BB2">
      <w:pPr>
        <w:pStyle w:val="NormalWeb"/>
        <w:shd w:val="clear" w:color="auto" w:fill="FFFFFF"/>
        <w:rPr>
          <w:rFonts w:ascii="Arial" w:hAnsi="Arial" w:cs="Arial"/>
          <w:color w:val="1D1D1D"/>
        </w:rPr>
      </w:pPr>
      <w:r w:rsidRPr="00F417FB">
        <w:rPr>
          <w:rFonts w:ascii="Arial" w:hAnsi="Arial" w:cs="Arial"/>
          <w:color w:val="1D1D1D"/>
        </w:rPr>
        <w:t xml:space="preserve">At this stage we do not consider </w:t>
      </w:r>
      <w:r w:rsidRPr="00ED6F0C">
        <w:rPr>
          <w:rFonts w:ascii="Arial" w:hAnsi="Arial" w:cs="Arial"/>
          <w:color w:val="1D1D1D"/>
        </w:rPr>
        <w:t>streetlighting</w:t>
      </w:r>
      <w:r w:rsidRPr="00F417FB">
        <w:rPr>
          <w:rFonts w:ascii="Arial" w:hAnsi="Arial" w:cs="Arial"/>
          <w:color w:val="1D1D1D"/>
        </w:rPr>
        <w:t xml:space="preserve"> to be an </w:t>
      </w:r>
      <w:r w:rsidRPr="00ED6F0C">
        <w:rPr>
          <w:rFonts w:ascii="Arial" w:hAnsi="Arial" w:cs="Arial"/>
          <w:color w:val="1D1D1D"/>
        </w:rPr>
        <w:t>issue</w:t>
      </w:r>
      <w:r w:rsidRPr="00F417FB">
        <w:rPr>
          <w:rFonts w:ascii="Arial" w:hAnsi="Arial" w:cs="Arial"/>
          <w:color w:val="1D1D1D"/>
        </w:rPr>
        <w:t xml:space="preserve"> for consideration and </w:t>
      </w:r>
      <w:r w:rsidRPr="00ED6F0C">
        <w:rPr>
          <w:rFonts w:ascii="Arial" w:hAnsi="Arial" w:cs="Arial"/>
          <w:color w:val="1D1D1D"/>
        </w:rPr>
        <w:t>classification</w:t>
      </w:r>
      <w:r w:rsidRPr="00F417FB">
        <w:rPr>
          <w:rFonts w:ascii="Arial" w:hAnsi="Arial" w:cs="Arial"/>
          <w:color w:val="1D1D1D"/>
        </w:rPr>
        <w:t xml:space="preserve"> in the Framework and Approach for 2019-24 for ActewAGL</w:t>
      </w:r>
    </w:p>
    <w:p w14:paraId="08251358" w14:textId="1BB66FEF" w:rsidR="00634004" w:rsidRPr="001B6823" w:rsidRDefault="00634004" w:rsidP="001B6823">
      <w:pPr>
        <w:rPr>
          <w:rFonts w:ascii="Arial" w:hAnsi="Arial" w:cs="Arial"/>
        </w:rPr>
      </w:pPr>
    </w:p>
    <w:p w14:paraId="1163C893" w14:textId="77777777" w:rsidR="001B6823" w:rsidRPr="001B6823" w:rsidRDefault="001B6823" w:rsidP="001B6823">
      <w:pPr>
        <w:tabs>
          <w:tab w:val="left" w:pos="2557"/>
        </w:tabs>
        <w:rPr>
          <w:rFonts w:ascii="Arial" w:hAnsi="Arial" w:cs="Arial"/>
        </w:rPr>
      </w:pPr>
    </w:p>
    <w:sectPr w:rsidR="001B6823" w:rsidRPr="001B6823" w:rsidSect="00944674">
      <w:headerReference w:type="first" r:id="rId17"/>
      <w:footerReference w:type="first" r:id="rId18"/>
      <w:pgSz w:w="11906" w:h="16838"/>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48127" w14:textId="77777777" w:rsidR="005E5721" w:rsidRDefault="005E5721" w:rsidP="003C6AEA">
      <w:pPr>
        <w:spacing w:after="0" w:line="240" w:lineRule="auto"/>
      </w:pPr>
      <w:r>
        <w:separator/>
      </w:r>
    </w:p>
  </w:endnote>
  <w:endnote w:type="continuationSeparator" w:id="0">
    <w:p w14:paraId="0551ADDB" w14:textId="77777777" w:rsidR="005E5721" w:rsidRDefault="005E5721" w:rsidP="003C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709656"/>
      <w:docPartObj>
        <w:docPartGallery w:val="Page Numbers (Bottom of Page)"/>
        <w:docPartUnique/>
      </w:docPartObj>
    </w:sdtPr>
    <w:sdtEndPr>
      <w:rPr>
        <w:noProof/>
      </w:rPr>
    </w:sdtEndPr>
    <w:sdtContent>
      <w:p w14:paraId="59CFFF8B" w14:textId="7FBC64DF" w:rsidR="00F34C8E" w:rsidRDefault="00F34C8E">
        <w:pPr>
          <w:pStyle w:val="Footer"/>
          <w:jc w:val="right"/>
        </w:pPr>
        <w:r>
          <w:fldChar w:fldCharType="begin"/>
        </w:r>
        <w:r>
          <w:instrText xml:space="preserve"> PAGE   \* MERGEFORMAT </w:instrText>
        </w:r>
        <w:r>
          <w:fldChar w:fldCharType="separate"/>
        </w:r>
        <w:r w:rsidR="0081417B">
          <w:rPr>
            <w:noProof/>
          </w:rPr>
          <w:t>21</w:t>
        </w:r>
        <w:r>
          <w:rPr>
            <w:noProof/>
          </w:rPr>
          <w:fldChar w:fldCharType="end"/>
        </w:r>
      </w:p>
    </w:sdtContent>
  </w:sdt>
  <w:p w14:paraId="1B8B4FFD" w14:textId="77777777" w:rsidR="00F34C8E" w:rsidRDefault="00F34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06854"/>
      <w:docPartObj>
        <w:docPartGallery w:val="Page Numbers (Bottom of Page)"/>
        <w:docPartUnique/>
      </w:docPartObj>
    </w:sdtPr>
    <w:sdtEndPr>
      <w:rPr>
        <w:noProof/>
      </w:rPr>
    </w:sdtEndPr>
    <w:sdtContent>
      <w:p w14:paraId="345A750C" w14:textId="3A321E19" w:rsidR="00F34C8E" w:rsidRDefault="00F34C8E">
        <w:pPr>
          <w:pStyle w:val="Footer"/>
          <w:jc w:val="right"/>
        </w:pPr>
        <w:r>
          <w:fldChar w:fldCharType="begin"/>
        </w:r>
        <w:r>
          <w:instrText xml:space="preserve"> PAGE   \* MERGEFORMAT </w:instrText>
        </w:r>
        <w:r>
          <w:fldChar w:fldCharType="separate"/>
        </w:r>
        <w:r w:rsidR="0081417B">
          <w:rPr>
            <w:noProof/>
          </w:rPr>
          <w:t>1</w:t>
        </w:r>
        <w:r>
          <w:rPr>
            <w:noProof/>
          </w:rPr>
          <w:fldChar w:fldCharType="end"/>
        </w:r>
      </w:p>
    </w:sdtContent>
  </w:sdt>
  <w:p w14:paraId="0D492AA6" w14:textId="77777777" w:rsidR="00F34C8E" w:rsidRDefault="00F34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33272"/>
      <w:docPartObj>
        <w:docPartGallery w:val="Page Numbers (Bottom of Page)"/>
        <w:docPartUnique/>
      </w:docPartObj>
    </w:sdtPr>
    <w:sdtEndPr>
      <w:rPr>
        <w:noProof/>
      </w:rPr>
    </w:sdtEndPr>
    <w:sdtContent>
      <w:p w14:paraId="6099874F" w14:textId="77777777" w:rsidR="00F34C8E" w:rsidRDefault="00F34C8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CE8B8EA" w14:textId="77777777" w:rsidR="00F34C8E" w:rsidRDefault="00F34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99ED5" w14:textId="77777777" w:rsidR="005E5721" w:rsidRDefault="005E5721" w:rsidP="003C6AEA">
      <w:pPr>
        <w:spacing w:after="0" w:line="240" w:lineRule="auto"/>
      </w:pPr>
      <w:r>
        <w:separator/>
      </w:r>
    </w:p>
  </w:footnote>
  <w:footnote w:type="continuationSeparator" w:id="0">
    <w:p w14:paraId="42C3E39D" w14:textId="77777777" w:rsidR="005E5721" w:rsidRDefault="005E5721" w:rsidP="003C6AEA">
      <w:pPr>
        <w:spacing w:after="0" w:line="240" w:lineRule="auto"/>
      </w:pPr>
      <w:r>
        <w:continuationSeparator/>
      </w:r>
    </w:p>
  </w:footnote>
  <w:footnote w:id="1">
    <w:p w14:paraId="1B2752A5" w14:textId="77777777" w:rsidR="00F34C8E" w:rsidRDefault="00F34C8E" w:rsidP="003328BF">
      <w:pPr>
        <w:pStyle w:val="FootnoteText"/>
      </w:pPr>
      <w:r>
        <w:rPr>
          <w:rStyle w:val="FootnoteReference"/>
        </w:rPr>
        <w:footnoteRef/>
      </w:r>
      <w:r>
        <w:t xml:space="preserve"> </w:t>
      </w:r>
      <w:r w:rsidRPr="00147526">
        <w:t>http://www.energynetworks.com.au/electricity-network-transformation-roadmap</w:t>
      </w:r>
    </w:p>
  </w:footnote>
  <w:footnote w:id="2">
    <w:p w14:paraId="55D82512" w14:textId="60171CBD" w:rsidR="00F34C8E" w:rsidRDefault="00F34C8E">
      <w:pPr>
        <w:pStyle w:val="FootnoteText"/>
      </w:pPr>
      <w:r>
        <w:rPr>
          <w:rStyle w:val="FootnoteReference"/>
        </w:rPr>
        <w:footnoteRef/>
      </w:r>
      <w:r>
        <w:t xml:space="preserve"> AER, </w:t>
      </w:r>
      <w:r>
        <w:rPr>
          <w:rStyle w:val="Emphasis"/>
        </w:rPr>
        <w:t>Ring-fencing G</w:t>
      </w:r>
      <w:r w:rsidRPr="00D82BFB">
        <w:rPr>
          <w:rStyle w:val="Emphasis"/>
        </w:rPr>
        <w:t>uideline electricity distribution</w:t>
      </w:r>
      <w:r>
        <w:t xml:space="preserve">, November 2016; AER, </w:t>
      </w:r>
      <w:r w:rsidRPr="00D82BFB">
        <w:rPr>
          <w:rStyle w:val="Emphasis"/>
        </w:rPr>
        <w:t>Electri</w:t>
      </w:r>
      <w:r>
        <w:rPr>
          <w:rStyle w:val="Emphasis"/>
        </w:rPr>
        <w:t>city distribution ring-fencing G</w:t>
      </w:r>
      <w:r w:rsidRPr="00D82BFB">
        <w:rPr>
          <w:rStyle w:val="Emphasis"/>
        </w:rPr>
        <w:t>uideline explanatory statement</w:t>
      </w:r>
      <w:r>
        <w:t>, November 2016</w:t>
      </w:r>
    </w:p>
  </w:footnote>
  <w:footnote w:id="3">
    <w:p w14:paraId="3A58CB65" w14:textId="01B770CC" w:rsidR="00F34C8E" w:rsidRDefault="00F34C8E" w:rsidP="00F924C6">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4">
    <w:p w14:paraId="4A7607FA" w14:textId="690F710A" w:rsidR="00F34C8E" w:rsidRDefault="00F34C8E" w:rsidP="008E0BA9">
      <w:pPr>
        <w:pStyle w:val="FootnoteText"/>
      </w:pPr>
      <w:r>
        <w:rPr>
          <w:rStyle w:val="FootnoteReference"/>
        </w:rPr>
        <w:footnoteRef/>
      </w:r>
      <w:r>
        <w:t xml:space="preserve"> Under the proposed revenue cap mechanism, if demand is lower than expected during a year, the lower revenues (and profits) in that year are offset by increased revenues (and profits) through higher prices in the next year, with a ‘wash-up’ correction after that</w:t>
      </w:r>
    </w:p>
  </w:footnote>
  <w:footnote w:id="5">
    <w:p w14:paraId="1506BBEC" w14:textId="28CFE76E" w:rsidR="00F34C8E" w:rsidRDefault="00F34C8E" w:rsidP="008E0BA9">
      <w:pPr>
        <w:pStyle w:val="FootnoteText"/>
      </w:pPr>
      <w:r>
        <w:rPr>
          <w:rStyle w:val="FootnoteReference"/>
        </w:rPr>
        <w:footnoteRef/>
      </w:r>
      <w:r>
        <w:t xml:space="preserve"> </w:t>
      </w:r>
      <w:r>
        <w:tab/>
        <w:t xml:space="preserve">The AER was required to develop the EFA guideline under clauses 6.4.5 and 11.53.4 of the NER.  The AER published the EFA guideline on </w:t>
      </w:r>
      <w:r w:rsidRPr="005256EB">
        <w:t>29</w:t>
      </w:r>
      <w:r>
        <w:t xml:space="preserve"> November 2013. It can be located at </w:t>
      </w:r>
      <w:r w:rsidRPr="00B46E96">
        <w:t>www.aer.gov.au/node/18864</w:t>
      </w:r>
    </w:p>
  </w:footnote>
  <w:footnote w:id="6">
    <w:p w14:paraId="3E641112" w14:textId="2FB79B7A" w:rsidR="00F34C8E" w:rsidRDefault="00F34C8E" w:rsidP="008E0BA9">
      <w:pPr>
        <w:pStyle w:val="FootnoteText"/>
      </w:pPr>
      <w:r>
        <w:rPr>
          <w:rStyle w:val="FootnoteReference"/>
        </w:rPr>
        <w:footnoteRef/>
      </w:r>
      <w:r>
        <w:t xml:space="preserve"> </w:t>
      </w:r>
      <w:r>
        <w:tab/>
        <w:t xml:space="preserve">AER, </w:t>
      </w:r>
      <w:r w:rsidRPr="00F21DB6">
        <w:rPr>
          <w:rStyle w:val="Emphasis"/>
        </w:rPr>
        <w:t>Explanatory statement: Expenditure assessment guideline for electricity transmission and distribution</w:t>
      </w:r>
      <w:r>
        <w:t xml:space="preserve">, </w:t>
      </w:r>
      <w:r w:rsidRPr="005256EB">
        <w:t>29</w:t>
      </w:r>
      <w:r>
        <w:t xml:space="preserve"> November 2013</w:t>
      </w:r>
    </w:p>
  </w:footnote>
  <w:footnote w:id="7">
    <w:p w14:paraId="1FEFAC31" w14:textId="769FCBCE" w:rsidR="00F34C8E" w:rsidRDefault="00F34C8E" w:rsidP="008E0BA9">
      <w:pPr>
        <w:pStyle w:val="FootnoteText"/>
      </w:pPr>
      <w:r>
        <w:rPr>
          <w:rStyle w:val="FootnoteReference"/>
        </w:rPr>
        <w:footnoteRef/>
      </w:r>
      <w:r>
        <w:t xml:space="preserve"> </w:t>
      </w:r>
      <w:r>
        <w:tab/>
        <w:t xml:space="preserve">UnitingCare Australia, </w:t>
      </w:r>
      <w:r w:rsidRPr="00D12381">
        <w:rPr>
          <w:i/>
        </w:rPr>
        <w:t>Submission on Draft EFA Guideline</w:t>
      </w:r>
      <w:r>
        <w:t>, 2013, p3</w:t>
      </w:r>
    </w:p>
  </w:footnote>
  <w:footnote w:id="8">
    <w:p w14:paraId="48ADA6AC" w14:textId="0EC9B33F" w:rsidR="00F34C8E" w:rsidRDefault="00F34C8E" w:rsidP="008E0BA9">
      <w:pPr>
        <w:pStyle w:val="FootnoteText"/>
      </w:pPr>
      <w:r>
        <w:rPr>
          <w:rStyle w:val="FootnoteReference"/>
        </w:rPr>
        <w:footnoteRef/>
      </w:r>
      <w:r>
        <w:t xml:space="preserve"> </w:t>
      </w:r>
      <w:r>
        <w:tab/>
        <w:t xml:space="preserve">UnitingCare Australia, </w:t>
      </w:r>
      <w:r w:rsidRPr="00D12381">
        <w:rPr>
          <w:i/>
        </w:rPr>
        <w:t>Submission on Draft EFA Guideline</w:t>
      </w:r>
      <w:r>
        <w:t>, 2013, p5</w:t>
      </w:r>
    </w:p>
  </w:footnote>
  <w:footnote w:id="9">
    <w:p w14:paraId="48DFEA47" w14:textId="4C7B720B" w:rsidR="00F34C8E" w:rsidRDefault="00F34C8E" w:rsidP="008E0BA9">
      <w:pPr>
        <w:pStyle w:val="FootnoteText"/>
      </w:pPr>
      <w:r>
        <w:rPr>
          <w:rStyle w:val="FootnoteReference"/>
        </w:rPr>
        <w:footnoteRef/>
      </w:r>
      <w:r>
        <w:t xml:space="preserve"> </w:t>
      </w:r>
      <w:r>
        <w:tab/>
        <w:t xml:space="preserve">PIAC, </w:t>
      </w:r>
      <w:r w:rsidRPr="00D12381">
        <w:rPr>
          <w:i/>
        </w:rPr>
        <w:t>Submission on Draft EFA Guideline</w:t>
      </w:r>
      <w:r>
        <w:t>, 2013, p5</w:t>
      </w:r>
    </w:p>
  </w:footnote>
  <w:footnote w:id="10">
    <w:p w14:paraId="512B7ECF" w14:textId="57D6E095" w:rsidR="00F34C8E" w:rsidRDefault="00F34C8E" w:rsidP="008E0BA9">
      <w:pPr>
        <w:pStyle w:val="FootnoteText"/>
      </w:pPr>
      <w:r>
        <w:rPr>
          <w:rStyle w:val="FootnoteReference"/>
        </w:rPr>
        <w:footnoteRef/>
      </w:r>
      <w:r>
        <w:t xml:space="preserve"> </w:t>
      </w:r>
      <w:r>
        <w:tab/>
        <w:t xml:space="preserve">MEU, </w:t>
      </w:r>
      <w:r w:rsidRPr="00D12381">
        <w:rPr>
          <w:i/>
        </w:rPr>
        <w:t>Submission on Draft EFA Guideline</w:t>
      </w:r>
      <w:r>
        <w:t>, 2013, p12</w:t>
      </w:r>
    </w:p>
  </w:footnote>
  <w:footnote w:id="11">
    <w:p w14:paraId="0CAC9CF3" w14:textId="62D4174E" w:rsidR="00F34C8E" w:rsidRDefault="00F34C8E" w:rsidP="008E0BA9">
      <w:pPr>
        <w:pStyle w:val="FootnoteText"/>
      </w:pPr>
      <w:r>
        <w:rPr>
          <w:rStyle w:val="FootnoteReference"/>
        </w:rPr>
        <w:footnoteRef/>
      </w:r>
      <w:r>
        <w:t xml:space="preserve"> </w:t>
      </w:r>
      <w:r>
        <w:tab/>
      </w:r>
      <w:r w:rsidRPr="009C34E0">
        <w:rPr>
          <w:i/>
        </w:rPr>
        <w:t>Applications by Public Interest Advocacy Centre Ltd and Ausgrid</w:t>
      </w:r>
      <w:r>
        <w:t>, [2016] ACompT 1</w:t>
      </w:r>
    </w:p>
  </w:footnote>
  <w:footnote w:id="12">
    <w:p w14:paraId="4D8B51AD" w14:textId="3C04B22B" w:rsidR="00F34C8E" w:rsidRDefault="00F34C8E">
      <w:pPr>
        <w:pStyle w:val="FootnoteText"/>
      </w:pPr>
      <w:r>
        <w:rPr>
          <w:rStyle w:val="FootnoteReference"/>
        </w:rPr>
        <w:footnoteRef/>
      </w:r>
      <w:r>
        <w:t xml:space="preserve"> </w:t>
      </w:r>
      <w:r w:rsidRPr="009B3575">
        <w:t>http://www.canberratimes.com.au/act-news/street-light-management-still-up-for-grabs-in-canberra-20170119-gtur4u.html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755D" w14:textId="77777777" w:rsidR="00F34C8E" w:rsidRDefault="00F34C8E">
    <w:pPr>
      <w:pStyle w:val="Header"/>
    </w:pPr>
  </w:p>
  <w:p w14:paraId="0DF55EA2" w14:textId="77777777" w:rsidR="00F34C8E" w:rsidRDefault="00F34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01E3" w14:textId="77777777" w:rsidR="00F34C8E" w:rsidRPr="00324D26" w:rsidRDefault="0081417B">
    <w:pPr>
      <w:pStyle w:val="Header"/>
      <w:rPr>
        <w:rFonts w:ascii="Arial" w:hAnsi="Arial" w:cs="Arial"/>
        <w:sz w:val="20"/>
      </w:rPr>
    </w:pPr>
    <w:sdt>
      <w:sdtPr>
        <w:rPr>
          <w:rFonts w:ascii="Arial" w:eastAsiaTheme="majorEastAsia" w:hAnsi="Arial" w:cs="Arial"/>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F34C8E" w:rsidRPr="00324D26">
          <w:rPr>
            <w:rFonts w:ascii="Arial" w:eastAsiaTheme="majorEastAsia" w:hAnsi="Arial" w:cs="Arial"/>
          </w:rPr>
          <w:t>[Insert Submission Title]</w:t>
        </w:r>
      </w:sdtContent>
    </w:sdt>
    <w:r w:rsidR="00F34C8E" w:rsidRPr="00324D26">
      <w:rPr>
        <w:rFonts w:ascii="Arial" w:eastAsiaTheme="majorEastAsia" w:hAnsi="Arial" w:cs="Arial"/>
      </w:rPr>
      <w:ptab w:relativeTo="margin" w:alignment="right" w:leader="none"/>
    </w:r>
    <w:sdt>
      <w:sdtPr>
        <w:rPr>
          <w:rFonts w:ascii="Arial" w:eastAsiaTheme="majorEastAsia" w:hAnsi="Arial" w:cs="Arial"/>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34C8E" w:rsidRPr="00324D26">
          <w:rPr>
            <w:rFonts w:ascii="Arial" w:eastAsiaTheme="majorEastAsia" w:hAnsi="Arial" w:cs="Arial"/>
            <w:lang w:val="en-US"/>
          </w:rPr>
          <w:t>[Insert Month and Year]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0C"/>
    <w:multiLevelType w:val="hybridMultilevel"/>
    <w:tmpl w:val="C770A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757EE9"/>
    <w:multiLevelType w:val="hybridMultilevel"/>
    <w:tmpl w:val="BB228E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0172F0"/>
    <w:multiLevelType w:val="hybridMultilevel"/>
    <w:tmpl w:val="C07AB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182694"/>
    <w:multiLevelType w:val="hybridMultilevel"/>
    <w:tmpl w:val="63566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7A7F68"/>
    <w:multiLevelType w:val="hybridMultilevel"/>
    <w:tmpl w:val="81F2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E922F5"/>
    <w:multiLevelType w:val="multilevel"/>
    <w:tmpl w:val="8630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31128"/>
    <w:multiLevelType w:val="hybridMultilevel"/>
    <w:tmpl w:val="9DF07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467421"/>
    <w:multiLevelType w:val="hybridMultilevel"/>
    <w:tmpl w:val="592EA9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D05C7C"/>
    <w:multiLevelType w:val="hybridMultilevel"/>
    <w:tmpl w:val="BC20B5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56434BA"/>
    <w:multiLevelType w:val="hybridMultilevel"/>
    <w:tmpl w:val="32A2B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2F59BB"/>
    <w:multiLevelType w:val="hybridMultilevel"/>
    <w:tmpl w:val="23D6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E34AE4"/>
    <w:multiLevelType w:val="hybridMultilevel"/>
    <w:tmpl w:val="B57E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2022BC"/>
    <w:multiLevelType w:val="hybridMultilevel"/>
    <w:tmpl w:val="67BC24FC"/>
    <w:lvl w:ilvl="0" w:tplc="B37ACF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BC41BF"/>
    <w:multiLevelType w:val="hybridMultilevel"/>
    <w:tmpl w:val="E8B2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5F40D2"/>
    <w:multiLevelType w:val="hybridMultilevel"/>
    <w:tmpl w:val="EB26A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9520C1"/>
    <w:multiLevelType w:val="hybridMultilevel"/>
    <w:tmpl w:val="A120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C65781"/>
    <w:multiLevelType w:val="hybridMultilevel"/>
    <w:tmpl w:val="CCD23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23347D"/>
    <w:multiLevelType w:val="hybridMultilevel"/>
    <w:tmpl w:val="18CA6322"/>
    <w:lvl w:ilvl="0" w:tplc="D66A534E">
      <w:start w:val="1"/>
      <w:numFmt w:val="bullet"/>
      <w:pStyle w:val="ListBullet"/>
      <w:lvlText w:val=""/>
      <w:lvlJc w:val="left"/>
      <w:pPr>
        <w:ind w:left="700" w:hanging="360"/>
      </w:pPr>
      <w:rPr>
        <w:rFonts w:ascii="Symbol" w:hAnsi="Symbol" w:hint="default"/>
        <w:sz w:val="20"/>
      </w:rPr>
    </w:lvl>
    <w:lvl w:ilvl="1" w:tplc="0C090003" w:tentative="1">
      <w:start w:val="1"/>
      <w:numFmt w:val="bullet"/>
      <w:lvlText w:val="o"/>
      <w:lvlJc w:val="left"/>
      <w:pPr>
        <w:ind w:left="504" w:hanging="360"/>
      </w:pPr>
      <w:rPr>
        <w:rFonts w:ascii="Courier New" w:hAnsi="Courier New" w:cs="Courier New" w:hint="default"/>
      </w:rPr>
    </w:lvl>
    <w:lvl w:ilvl="2" w:tplc="0C090005" w:tentative="1">
      <w:start w:val="1"/>
      <w:numFmt w:val="bullet"/>
      <w:lvlText w:val=""/>
      <w:lvlJc w:val="left"/>
      <w:pPr>
        <w:ind w:left="1224" w:hanging="360"/>
      </w:pPr>
      <w:rPr>
        <w:rFonts w:ascii="Wingdings" w:hAnsi="Wingdings" w:hint="default"/>
      </w:rPr>
    </w:lvl>
    <w:lvl w:ilvl="3" w:tplc="0C090001" w:tentative="1">
      <w:start w:val="1"/>
      <w:numFmt w:val="bullet"/>
      <w:lvlText w:val=""/>
      <w:lvlJc w:val="left"/>
      <w:pPr>
        <w:ind w:left="1944" w:hanging="360"/>
      </w:pPr>
      <w:rPr>
        <w:rFonts w:ascii="Symbol" w:hAnsi="Symbol" w:hint="default"/>
      </w:rPr>
    </w:lvl>
    <w:lvl w:ilvl="4" w:tplc="0C090003" w:tentative="1">
      <w:start w:val="1"/>
      <w:numFmt w:val="bullet"/>
      <w:lvlText w:val="o"/>
      <w:lvlJc w:val="left"/>
      <w:pPr>
        <w:ind w:left="2664" w:hanging="360"/>
      </w:pPr>
      <w:rPr>
        <w:rFonts w:ascii="Courier New" w:hAnsi="Courier New" w:cs="Courier New" w:hint="default"/>
      </w:rPr>
    </w:lvl>
    <w:lvl w:ilvl="5" w:tplc="0C090005" w:tentative="1">
      <w:start w:val="1"/>
      <w:numFmt w:val="bullet"/>
      <w:lvlText w:val=""/>
      <w:lvlJc w:val="left"/>
      <w:pPr>
        <w:ind w:left="3384" w:hanging="360"/>
      </w:pPr>
      <w:rPr>
        <w:rFonts w:ascii="Wingdings" w:hAnsi="Wingdings" w:hint="default"/>
      </w:rPr>
    </w:lvl>
    <w:lvl w:ilvl="6" w:tplc="0C090001" w:tentative="1">
      <w:start w:val="1"/>
      <w:numFmt w:val="bullet"/>
      <w:lvlText w:val=""/>
      <w:lvlJc w:val="left"/>
      <w:pPr>
        <w:ind w:left="4104" w:hanging="360"/>
      </w:pPr>
      <w:rPr>
        <w:rFonts w:ascii="Symbol" w:hAnsi="Symbol" w:hint="default"/>
      </w:rPr>
    </w:lvl>
    <w:lvl w:ilvl="7" w:tplc="0C090003" w:tentative="1">
      <w:start w:val="1"/>
      <w:numFmt w:val="bullet"/>
      <w:lvlText w:val="o"/>
      <w:lvlJc w:val="left"/>
      <w:pPr>
        <w:ind w:left="4824" w:hanging="360"/>
      </w:pPr>
      <w:rPr>
        <w:rFonts w:ascii="Courier New" w:hAnsi="Courier New" w:cs="Courier New" w:hint="default"/>
      </w:rPr>
    </w:lvl>
    <w:lvl w:ilvl="8" w:tplc="0C090005" w:tentative="1">
      <w:start w:val="1"/>
      <w:numFmt w:val="bullet"/>
      <w:lvlText w:val=""/>
      <w:lvlJc w:val="left"/>
      <w:pPr>
        <w:ind w:left="5544" w:hanging="360"/>
      </w:pPr>
      <w:rPr>
        <w:rFonts w:ascii="Wingdings" w:hAnsi="Wingdings" w:hint="default"/>
      </w:rPr>
    </w:lvl>
  </w:abstractNum>
  <w:abstractNum w:abstractNumId="18">
    <w:nsid w:val="39FD5796"/>
    <w:multiLevelType w:val="multilevel"/>
    <w:tmpl w:val="6270CC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4250E67"/>
    <w:multiLevelType w:val="hybridMultilevel"/>
    <w:tmpl w:val="C07AB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306A9C"/>
    <w:multiLevelType w:val="hybridMultilevel"/>
    <w:tmpl w:val="44B89DC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1">
    <w:nsid w:val="494E084E"/>
    <w:multiLevelType w:val="hybridMultilevel"/>
    <w:tmpl w:val="439C47F4"/>
    <w:lvl w:ilvl="0" w:tplc="D79E5F9C">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F52EAA"/>
    <w:multiLevelType w:val="hybridMultilevel"/>
    <w:tmpl w:val="BB04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26759E"/>
    <w:multiLevelType w:val="hybridMultilevel"/>
    <w:tmpl w:val="70423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A03CB0"/>
    <w:multiLevelType w:val="hybridMultilevel"/>
    <w:tmpl w:val="B8CE4A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BA2E35"/>
    <w:multiLevelType w:val="hybridMultilevel"/>
    <w:tmpl w:val="B7C8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486C58"/>
    <w:multiLevelType w:val="hybridMultilevel"/>
    <w:tmpl w:val="5E4AA280"/>
    <w:lvl w:ilvl="0" w:tplc="4BB859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5CE0CBB"/>
    <w:multiLevelType w:val="hybridMultilevel"/>
    <w:tmpl w:val="A756052E"/>
    <w:lvl w:ilvl="0" w:tplc="00B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300405F"/>
    <w:multiLevelType w:val="hybridMultilevel"/>
    <w:tmpl w:val="F2DA4E7E"/>
    <w:lvl w:ilvl="0" w:tplc="0268AFE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9776E8"/>
    <w:multiLevelType w:val="hybridMultilevel"/>
    <w:tmpl w:val="16D2D0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7F4532"/>
    <w:multiLevelType w:val="hybridMultilevel"/>
    <w:tmpl w:val="328C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6969D3"/>
    <w:multiLevelType w:val="hybridMultilevel"/>
    <w:tmpl w:val="756E603A"/>
    <w:lvl w:ilvl="0" w:tplc="89169F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2C4654"/>
    <w:multiLevelType w:val="hybridMultilevel"/>
    <w:tmpl w:val="70248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2E75DC1"/>
    <w:multiLevelType w:val="hybridMultilevel"/>
    <w:tmpl w:val="5B60D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C383D8F"/>
    <w:multiLevelType w:val="hybridMultilevel"/>
    <w:tmpl w:val="B24CA99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30"/>
  </w:num>
  <w:num w:numId="2">
    <w:abstractNumId w:val="18"/>
  </w:num>
  <w:num w:numId="3">
    <w:abstractNumId w:val="22"/>
  </w:num>
  <w:num w:numId="4">
    <w:abstractNumId w:val="1"/>
  </w:num>
  <w:num w:numId="5">
    <w:abstractNumId w:val="7"/>
  </w:num>
  <w:num w:numId="6">
    <w:abstractNumId w:val="9"/>
  </w:num>
  <w:num w:numId="7">
    <w:abstractNumId w:val="11"/>
  </w:num>
  <w:num w:numId="8">
    <w:abstractNumId w:val="5"/>
  </w:num>
  <w:num w:numId="9">
    <w:abstractNumId w:val="0"/>
  </w:num>
  <w:num w:numId="10">
    <w:abstractNumId w:val="14"/>
  </w:num>
  <w:num w:numId="11">
    <w:abstractNumId w:val="16"/>
  </w:num>
  <w:num w:numId="12">
    <w:abstractNumId w:val="33"/>
  </w:num>
  <w:num w:numId="13">
    <w:abstractNumId w:val="2"/>
  </w:num>
  <w:num w:numId="14">
    <w:abstractNumId w:val="19"/>
  </w:num>
  <w:num w:numId="15">
    <w:abstractNumId w:val="24"/>
  </w:num>
  <w:num w:numId="16">
    <w:abstractNumId w:val="29"/>
  </w:num>
  <w:num w:numId="17">
    <w:abstractNumId w:val="31"/>
  </w:num>
  <w:num w:numId="18">
    <w:abstractNumId w:val="28"/>
  </w:num>
  <w:num w:numId="19">
    <w:abstractNumId w:val="27"/>
  </w:num>
  <w:num w:numId="20">
    <w:abstractNumId w:val="23"/>
  </w:num>
  <w:num w:numId="21">
    <w:abstractNumId w:val="17"/>
  </w:num>
  <w:num w:numId="22">
    <w:abstractNumId w:val="3"/>
  </w:num>
  <w:num w:numId="23">
    <w:abstractNumId w:val="15"/>
  </w:num>
  <w:num w:numId="24">
    <w:abstractNumId w:val="20"/>
  </w:num>
  <w:num w:numId="25">
    <w:abstractNumId w:val="25"/>
  </w:num>
  <w:num w:numId="26">
    <w:abstractNumId w:val="10"/>
  </w:num>
  <w:num w:numId="27">
    <w:abstractNumId w:val="12"/>
  </w:num>
  <w:num w:numId="28">
    <w:abstractNumId w:val="6"/>
  </w:num>
  <w:num w:numId="29">
    <w:abstractNumId w:val="8"/>
  </w:num>
  <w:num w:numId="30">
    <w:abstractNumId w:val="26"/>
  </w:num>
  <w:num w:numId="31">
    <w:abstractNumId w:val="4"/>
  </w:num>
  <w:num w:numId="32">
    <w:abstractNumId w:val="32"/>
  </w:num>
  <w:num w:numId="33">
    <w:abstractNumId w:val="34"/>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CTMVCECJ\CCP10 FA Prelim ACT final.docx"/>
  </w:docVars>
  <w:rsids>
    <w:rsidRoot w:val="007854D3"/>
    <w:rsid w:val="00012B53"/>
    <w:rsid w:val="0001393E"/>
    <w:rsid w:val="00016AE7"/>
    <w:rsid w:val="000262B5"/>
    <w:rsid w:val="000543D9"/>
    <w:rsid w:val="0008233D"/>
    <w:rsid w:val="00090BBB"/>
    <w:rsid w:val="000A3001"/>
    <w:rsid w:val="000A4455"/>
    <w:rsid w:val="000E55D9"/>
    <w:rsid w:val="0011334C"/>
    <w:rsid w:val="00130D94"/>
    <w:rsid w:val="00141A67"/>
    <w:rsid w:val="00145C12"/>
    <w:rsid w:val="001655CA"/>
    <w:rsid w:val="00172B95"/>
    <w:rsid w:val="001856C4"/>
    <w:rsid w:val="001B18E6"/>
    <w:rsid w:val="001B6823"/>
    <w:rsid w:val="001C443A"/>
    <w:rsid w:val="001D243A"/>
    <w:rsid w:val="001F5E7F"/>
    <w:rsid w:val="001F7AF2"/>
    <w:rsid w:val="00202BAF"/>
    <w:rsid w:val="00235D6B"/>
    <w:rsid w:val="00256122"/>
    <w:rsid w:val="00261A79"/>
    <w:rsid w:val="00283FC6"/>
    <w:rsid w:val="002E29AD"/>
    <w:rsid w:val="002E681C"/>
    <w:rsid w:val="00324D26"/>
    <w:rsid w:val="00327528"/>
    <w:rsid w:val="003328BF"/>
    <w:rsid w:val="003353DD"/>
    <w:rsid w:val="00344A68"/>
    <w:rsid w:val="0036104D"/>
    <w:rsid w:val="00365464"/>
    <w:rsid w:val="003672D7"/>
    <w:rsid w:val="00387AC8"/>
    <w:rsid w:val="00397C02"/>
    <w:rsid w:val="003B3871"/>
    <w:rsid w:val="003C508A"/>
    <w:rsid w:val="003C6AEA"/>
    <w:rsid w:val="003D34DA"/>
    <w:rsid w:val="003E5C8E"/>
    <w:rsid w:val="004157FD"/>
    <w:rsid w:val="0041703F"/>
    <w:rsid w:val="00465565"/>
    <w:rsid w:val="00465633"/>
    <w:rsid w:val="004A6E0E"/>
    <w:rsid w:val="004B1F54"/>
    <w:rsid w:val="004B552D"/>
    <w:rsid w:val="004C1DE4"/>
    <w:rsid w:val="004C622A"/>
    <w:rsid w:val="00513DD8"/>
    <w:rsid w:val="00517368"/>
    <w:rsid w:val="00531527"/>
    <w:rsid w:val="005329D2"/>
    <w:rsid w:val="005732F2"/>
    <w:rsid w:val="00573E0C"/>
    <w:rsid w:val="00581323"/>
    <w:rsid w:val="00586DBC"/>
    <w:rsid w:val="005E5721"/>
    <w:rsid w:val="005F4CF9"/>
    <w:rsid w:val="00634004"/>
    <w:rsid w:val="0064358A"/>
    <w:rsid w:val="00657634"/>
    <w:rsid w:val="00693DAB"/>
    <w:rsid w:val="006D7532"/>
    <w:rsid w:val="006E018B"/>
    <w:rsid w:val="006F28BA"/>
    <w:rsid w:val="007046F9"/>
    <w:rsid w:val="007048A7"/>
    <w:rsid w:val="0070547B"/>
    <w:rsid w:val="00705C6E"/>
    <w:rsid w:val="007302EC"/>
    <w:rsid w:val="00740014"/>
    <w:rsid w:val="0075104F"/>
    <w:rsid w:val="007573E6"/>
    <w:rsid w:val="00770333"/>
    <w:rsid w:val="007854D3"/>
    <w:rsid w:val="00785F4E"/>
    <w:rsid w:val="00786F29"/>
    <w:rsid w:val="00796BF8"/>
    <w:rsid w:val="007A1286"/>
    <w:rsid w:val="007A4D6C"/>
    <w:rsid w:val="007D3598"/>
    <w:rsid w:val="007D7B5A"/>
    <w:rsid w:val="007E03B7"/>
    <w:rsid w:val="007F0430"/>
    <w:rsid w:val="00801A22"/>
    <w:rsid w:val="0081417B"/>
    <w:rsid w:val="008221A1"/>
    <w:rsid w:val="00836227"/>
    <w:rsid w:val="008370B5"/>
    <w:rsid w:val="0084284F"/>
    <w:rsid w:val="008468A6"/>
    <w:rsid w:val="00847C17"/>
    <w:rsid w:val="00854135"/>
    <w:rsid w:val="00854EAC"/>
    <w:rsid w:val="00886A88"/>
    <w:rsid w:val="00891E63"/>
    <w:rsid w:val="00897688"/>
    <w:rsid w:val="008A4E0A"/>
    <w:rsid w:val="008B5779"/>
    <w:rsid w:val="008C2C73"/>
    <w:rsid w:val="008E0BA9"/>
    <w:rsid w:val="008E4C3D"/>
    <w:rsid w:val="008E54C6"/>
    <w:rsid w:val="008F736F"/>
    <w:rsid w:val="00914677"/>
    <w:rsid w:val="00922A12"/>
    <w:rsid w:val="00944674"/>
    <w:rsid w:val="0095557E"/>
    <w:rsid w:val="00974856"/>
    <w:rsid w:val="009A4241"/>
    <w:rsid w:val="009A4B82"/>
    <w:rsid w:val="009B3575"/>
    <w:rsid w:val="009C7D31"/>
    <w:rsid w:val="009D2AB0"/>
    <w:rsid w:val="009D46F7"/>
    <w:rsid w:val="009E1F8C"/>
    <w:rsid w:val="009E3309"/>
    <w:rsid w:val="00A04FA4"/>
    <w:rsid w:val="00A177BD"/>
    <w:rsid w:val="00A410D5"/>
    <w:rsid w:val="00A45447"/>
    <w:rsid w:val="00A619FA"/>
    <w:rsid w:val="00A7189A"/>
    <w:rsid w:val="00A87933"/>
    <w:rsid w:val="00A93408"/>
    <w:rsid w:val="00AA4922"/>
    <w:rsid w:val="00AC62CB"/>
    <w:rsid w:val="00AD2BC0"/>
    <w:rsid w:val="00AD3C90"/>
    <w:rsid w:val="00AF065F"/>
    <w:rsid w:val="00B32C39"/>
    <w:rsid w:val="00B42F3A"/>
    <w:rsid w:val="00B66F00"/>
    <w:rsid w:val="00BA02FF"/>
    <w:rsid w:val="00BA70C9"/>
    <w:rsid w:val="00BC209A"/>
    <w:rsid w:val="00BC3698"/>
    <w:rsid w:val="00C048AF"/>
    <w:rsid w:val="00C158B3"/>
    <w:rsid w:val="00C256AD"/>
    <w:rsid w:val="00C512DE"/>
    <w:rsid w:val="00C62F79"/>
    <w:rsid w:val="00C67C90"/>
    <w:rsid w:val="00C90BB2"/>
    <w:rsid w:val="00CA415B"/>
    <w:rsid w:val="00CB549E"/>
    <w:rsid w:val="00CC0A37"/>
    <w:rsid w:val="00CF0D52"/>
    <w:rsid w:val="00CF27DB"/>
    <w:rsid w:val="00CF52F1"/>
    <w:rsid w:val="00CF5E77"/>
    <w:rsid w:val="00CF620E"/>
    <w:rsid w:val="00D338B5"/>
    <w:rsid w:val="00D425BF"/>
    <w:rsid w:val="00D83E34"/>
    <w:rsid w:val="00DA0F3F"/>
    <w:rsid w:val="00DA1A54"/>
    <w:rsid w:val="00DB0FAD"/>
    <w:rsid w:val="00DB6655"/>
    <w:rsid w:val="00DE1068"/>
    <w:rsid w:val="00DF016F"/>
    <w:rsid w:val="00E04A93"/>
    <w:rsid w:val="00E159FE"/>
    <w:rsid w:val="00E16F41"/>
    <w:rsid w:val="00E231A4"/>
    <w:rsid w:val="00E24998"/>
    <w:rsid w:val="00E36AE2"/>
    <w:rsid w:val="00E477ED"/>
    <w:rsid w:val="00E5436F"/>
    <w:rsid w:val="00E65E11"/>
    <w:rsid w:val="00E72B8B"/>
    <w:rsid w:val="00E76DDC"/>
    <w:rsid w:val="00E91489"/>
    <w:rsid w:val="00E96215"/>
    <w:rsid w:val="00EA7054"/>
    <w:rsid w:val="00ED6F0C"/>
    <w:rsid w:val="00EE6DB1"/>
    <w:rsid w:val="00EF007F"/>
    <w:rsid w:val="00EF7A52"/>
    <w:rsid w:val="00F10344"/>
    <w:rsid w:val="00F123BE"/>
    <w:rsid w:val="00F21C61"/>
    <w:rsid w:val="00F25236"/>
    <w:rsid w:val="00F30DD6"/>
    <w:rsid w:val="00F34C8E"/>
    <w:rsid w:val="00F417FB"/>
    <w:rsid w:val="00F4455E"/>
    <w:rsid w:val="00F51763"/>
    <w:rsid w:val="00F53AE2"/>
    <w:rsid w:val="00F64C14"/>
    <w:rsid w:val="00F74D35"/>
    <w:rsid w:val="00F760A0"/>
    <w:rsid w:val="00F8333B"/>
    <w:rsid w:val="00F91B85"/>
    <w:rsid w:val="00F924C6"/>
    <w:rsid w:val="00FA2C07"/>
    <w:rsid w:val="00FA6992"/>
    <w:rsid w:val="00FC1924"/>
    <w:rsid w:val="00FC6E79"/>
    <w:rsid w:val="00FD7F99"/>
    <w:rsid w:val="00FE4432"/>
    <w:rsid w:val="00FE7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6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D3"/>
  </w:style>
  <w:style w:type="paragraph" w:styleId="Heading1">
    <w:name w:val="heading 1"/>
    <w:basedOn w:val="Normal"/>
    <w:next w:val="Normal"/>
    <w:link w:val="Heading1Char"/>
    <w:uiPriority w:val="9"/>
    <w:qFormat/>
    <w:rsid w:val="00324D26"/>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E3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A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BA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26"/>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78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D3"/>
    <w:rPr>
      <w:rFonts w:ascii="Tahoma" w:hAnsi="Tahoma" w:cs="Tahoma"/>
      <w:sz w:val="16"/>
      <w:szCs w:val="16"/>
    </w:rPr>
  </w:style>
  <w:style w:type="table" w:styleId="TableGrid">
    <w:name w:val="Table Grid"/>
    <w:basedOn w:val="TableNormal"/>
    <w:uiPriority w:val="39"/>
    <w:rsid w:val="00A41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6823"/>
    <w:rPr>
      <w:color w:val="0000FF" w:themeColor="hyperlink"/>
      <w:u w:val="single"/>
    </w:rPr>
  </w:style>
  <w:style w:type="paragraph" w:styleId="ListParagraph">
    <w:name w:val="List Paragraph"/>
    <w:basedOn w:val="Normal"/>
    <w:uiPriority w:val="34"/>
    <w:qFormat/>
    <w:rsid w:val="003C6AEA"/>
    <w:pPr>
      <w:ind w:left="720"/>
      <w:contextualSpacing/>
    </w:pPr>
  </w:style>
  <w:style w:type="paragraph" w:styleId="Header">
    <w:name w:val="header"/>
    <w:basedOn w:val="Normal"/>
    <w:link w:val="HeaderChar"/>
    <w:uiPriority w:val="99"/>
    <w:unhideWhenUsed/>
    <w:rsid w:val="003C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EA"/>
  </w:style>
  <w:style w:type="paragraph" w:styleId="Footer">
    <w:name w:val="footer"/>
    <w:basedOn w:val="Normal"/>
    <w:link w:val="FooterChar"/>
    <w:uiPriority w:val="99"/>
    <w:unhideWhenUsed/>
    <w:rsid w:val="003C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EA"/>
  </w:style>
  <w:style w:type="character" w:styleId="PlaceholderText">
    <w:name w:val="Placeholder Text"/>
    <w:basedOn w:val="DefaultParagraphFont"/>
    <w:uiPriority w:val="99"/>
    <w:semiHidden/>
    <w:rsid w:val="008E4C3D"/>
    <w:rPr>
      <w:color w:val="808080"/>
    </w:rPr>
  </w:style>
  <w:style w:type="character" w:customStyle="1" w:styleId="Heading2Char">
    <w:name w:val="Heading 2 Char"/>
    <w:basedOn w:val="DefaultParagraphFont"/>
    <w:link w:val="Heading2"/>
    <w:uiPriority w:val="9"/>
    <w:rsid w:val="00E36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AE2"/>
    <w:rPr>
      <w:rFonts w:asciiTheme="majorHAnsi" w:eastAsiaTheme="majorEastAsia" w:hAnsiTheme="majorHAnsi" w:cstheme="majorBidi"/>
      <w:b/>
      <w:bCs/>
      <w:color w:val="4F81BD" w:themeColor="accent1"/>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387AC8"/>
    <w:pPr>
      <w:spacing w:after="0" w:line="240" w:lineRule="auto"/>
    </w:pPr>
    <w:rPr>
      <w:sz w:val="20"/>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387AC8"/>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387AC8"/>
    <w:rPr>
      <w:vertAlign w:val="superscript"/>
    </w:rPr>
  </w:style>
  <w:style w:type="character" w:customStyle="1" w:styleId="Heading4Char">
    <w:name w:val="Heading 4 Char"/>
    <w:basedOn w:val="DefaultParagraphFont"/>
    <w:link w:val="Heading4"/>
    <w:uiPriority w:val="9"/>
    <w:rsid w:val="008E0BA9"/>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rsid w:val="008E0BA9"/>
    <w:pPr>
      <w:numPr>
        <w:numId w:val="21"/>
      </w:numPr>
      <w:tabs>
        <w:tab w:val="left" w:pos="340"/>
      </w:tabs>
      <w:spacing w:before="120" w:after="0"/>
    </w:pPr>
    <w:rPr>
      <w:rFonts w:ascii="Arial" w:hAnsi="Arial"/>
    </w:rPr>
  </w:style>
  <w:style w:type="character" w:styleId="Emphasis">
    <w:name w:val="Emphasis"/>
    <w:basedOn w:val="DefaultParagraphFont"/>
    <w:uiPriority w:val="20"/>
    <w:qFormat/>
    <w:rsid w:val="008E0BA9"/>
    <w:rPr>
      <w:i/>
      <w:iCs/>
    </w:rPr>
  </w:style>
  <w:style w:type="character" w:customStyle="1" w:styleId="Superscript">
    <w:name w:val="Superscript"/>
    <w:basedOn w:val="DefaultParagraphFont"/>
    <w:uiPriority w:val="1"/>
    <w:qFormat/>
    <w:rsid w:val="008E0BA9"/>
    <w:rPr>
      <w:vertAlign w:val="superscript"/>
    </w:rPr>
  </w:style>
  <w:style w:type="paragraph" w:customStyle="1" w:styleId="Heading4notnumbered">
    <w:name w:val="Heading 4 not numbered"/>
    <w:basedOn w:val="Heading4"/>
    <w:rsid w:val="00886A88"/>
    <w:pPr>
      <w:keepNext w:val="0"/>
      <w:keepLines w:val="0"/>
      <w:tabs>
        <w:tab w:val="left" w:pos="1021"/>
      </w:tabs>
      <w:spacing w:before="240" w:line="276" w:lineRule="auto"/>
    </w:pPr>
    <w:rPr>
      <w:rFonts w:ascii="Arial" w:eastAsia="Times New Roman" w:hAnsi="Arial" w:cs="Times New Roman"/>
      <w:b/>
      <w:bCs/>
      <w:i w:val="0"/>
      <w:iCs w:val="0"/>
      <w:color w:val="51626F"/>
      <w:sz w:val="24"/>
      <w:szCs w:val="20"/>
    </w:rPr>
  </w:style>
  <w:style w:type="paragraph" w:customStyle="1" w:styleId="Tabletitle">
    <w:name w:val="Table title"/>
    <w:basedOn w:val="Normal"/>
    <w:link w:val="TabletitleChar"/>
    <w:qFormat/>
    <w:rsid w:val="00EF7A52"/>
    <w:pPr>
      <w:spacing w:before="240" w:after="120"/>
    </w:pPr>
    <w:rPr>
      <w:rFonts w:ascii="Arial" w:hAnsi="Arial"/>
      <w:b/>
      <w:color w:val="000000" w:themeColor="text1"/>
      <w:sz w:val="24"/>
      <w:szCs w:val="20"/>
    </w:rPr>
  </w:style>
  <w:style w:type="character" w:customStyle="1" w:styleId="TabletitleChar">
    <w:name w:val="Table title Char"/>
    <w:basedOn w:val="DefaultParagraphFont"/>
    <w:link w:val="Tabletitle"/>
    <w:rsid w:val="00EF7A52"/>
    <w:rPr>
      <w:rFonts w:ascii="Arial" w:hAnsi="Arial"/>
      <w:b/>
      <w:color w:val="000000" w:themeColor="text1"/>
      <w:sz w:val="24"/>
      <w:szCs w:val="20"/>
    </w:rPr>
  </w:style>
  <w:style w:type="character" w:customStyle="1" w:styleId="apple-converted-space">
    <w:name w:val="apple-converted-space"/>
    <w:basedOn w:val="DefaultParagraphFont"/>
    <w:rsid w:val="007302EC"/>
  </w:style>
  <w:style w:type="character" w:styleId="CommentReference">
    <w:name w:val="annotation reference"/>
    <w:basedOn w:val="DefaultParagraphFont"/>
    <w:uiPriority w:val="99"/>
    <w:semiHidden/>
    <w:unhideWhenUsed/>
    <w:rsid w:val="001C443A"/>
    <w:rPr>
      <w:sz w:val="16"/>
      <w:szCs w:val="16"/>
    </w:rPr>
  </w:style>
  <w:style w:type="paragraph" w:styleId="CommentText">
    <w:name w:val="annotation text"/>
    <w:basedOn w:val="Normal"/>
    <w:link w:val="CommentTextChar"/>
    <w:uiPriority w:val="99"/>
    <w:semiHidden/>
    <w:unhideWhenUsed/>
    <w:rsid w:val="001C443A"/>
    <w:pPr>
      <w:spacing w:line="240" w:lineRule="auto"/>
    </w:pPr>
    <w:rPr>
      <w:sz w:val="20"/>
      <w:szCs w:val="20"/>
    </w:rPr>
  </w:style>
  <w:style w:type="character" w:customStyle="1" w:styleId="CommentTextChar">
    <w:name w:val="Comment Text Char"/>
    <w:basedOn w:val="DefaultParagraphFont"/>
    <w:link w:val="CommentText"/>
    <w:uiPriority w:val="99"/>
    <w:semiHidden/>
    <w:rsid w:val="001C443A"/>
    <w:rPr>
      <w:sz w:val="20"/>
      <w:szCs w:val="20"/>
    </w:rPr>
  </w:style>
  <w:style w:type="paragraph" w:styleId="CommentSubject">
    <w:name w:val="annotation subject"/>
    <w:basedOn w:val="CommentText"/>
    <w:next w:val="CommentText"/>
    <w:link w:val="CommentSubjectChar"/>
    <w:uiPriority w:val="99"/>
    <w:semiHidden/>
    <w:unhideWhenUsed/>
    <w:rsid w:val="001C443A"/>
    <w:rPr>
      <w:b/>
      <w:bCs/>
    </w:rPr>
  </w:style>
  <w:style w:type="character" w:customStyle="1" w:styleId="CommentSubjectChar">
    <w:name w:val="Comment Subject Char"/>
    <w:basedOn w:val="CommentTextChar"/>
    <w:link w:val="CommentSubject"/>
    <w:uiPriority w:val="99"/>
    <w:semiHidden/>
    <w:rsid w:val="001C443A"/>
    <w:rPr>
      <w:b/>
      <w:bCs/>
      <w:sz w:val="20"/>
      <w:szCs w:val="20"/>
    </w:rPr>
  </w:style>
  <w:style w:type="paragraph" w:styleId="Revision">
    <w:name w:val="Revision"/>
    <w:hidden/>
    <w:uiPriority w:val="99"/>
    <w:semiHidden/>
    <w:rsid w:val="00854EAC"/>
    <w:pPr>
      <w:spacing w:after="0" w:line="240" w:lineRule="auto"/>
    </w:pPr>
  </w:style>
  <w:style w:type="paragraph" w:styleId="NormalWeb">
    <w:name w:val="Normal (Web)"/>
    <w:basedOn w:val="Normal"/>
    <w:uiPriority w:val="99"/>
    <w:semiHidden/>
    <w:unhideWhenUsed/>
    <w:rsid w:val="00C90BB2"/>
    <w:pPr>
      <w:spacing w:before="100" w:beforeAutospacing="1" w:after="24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D3"/>
  </w:style>
  <w:style w:type="paragraph" w:styleId="Heading1">
    <w:name w:val="heading 1"/>
    <w:basedOn w:val="Normal"/>
    <w:next w:val="Normal"/>
    <w:link w:val="Heading1Char"/>
    <w:uiPriority w:val="9"/>
    <w:qFormat/>
    <w:rsid w:val="00324D26"/>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E3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A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BA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26"/>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78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D3"/>
    <w:rPr>
      <w:rFonts w:ascii="Tahoma" w:hAnsi="Tahoma" w:cs="Tahoma"/>
      <w:sz w:val="16"/>
      <w:szCs w:val="16"/>
    </w:rPr>
  </w:style>
  <w:style w:type="table" w:styleId="TableGrid">
    <w:name w:val="Table Grid"/>
    <w:basedOn w:val="TableNormal"/>
    <w:uiPriority w:val="39"/>
    <w:rsid w:val="00A41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6823"/>
    <w:rPr>
      <w:color w:val="0000FF" w:themeColor="hyperlink"/>
      <w:u w:val="single"/>
    </w:rPr>
  </w:style>
  <w:style w:type="paragraph" w:styleId="ListParagraph">
    <w:name w:val="List Paragraph"/>
    <w:basedOn w:val="Normal"/>
    <w:uiPriority w:val="34"/>
    <w:qFormat/>
    <w:rsid w:val="003C6AEA"/>
    <w:pPr>
      <w:ind w:left="720"/>
      <w:contextualSpacing/>
    </w:pPr>
  </w:style>
  <w:style w:type="paragraph" w:styleId="Header">
    <w:name w:val="header"/>
    <w:basedOn w:val="Normal"/>
    <w:link w:val="HeaderChar"/>
    <w:uiPriority w:val="99"/>
    <w:unhideWhenUsed/>
    <w:rsid w:val="003C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EA"/>
  </w:style>
  <w:style w:type="paragraph" w:styleId="Footer">
    <w:name w:val="footer"/>
    <w:basedOn w:val="Normal"/>
    <w:link w:val="FooterChar"/>
    <w:uiPriority w:val="99"/>
    <w:unhideWhenUsed/>
    <w:rsid w:val="003C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EA"/>
  </w:style>
  <w:style w:type="character" w:styleId="PlaceholderText">
    <w:name w:val="Placeholder Text"/>
    <w:basedOn w:val="DefaultParagraphFont"/>
    <w:uiPriority w:val="99"/>
    <w:semiHidden/>
    <w:rsid w:val="008E4C3D"/>
    <w:rPr>
      <w:color w:val="808080"/>
    </w:rPr>
  </w:style>
  <w:style w:type="character" w:customStyle="1" w:styleId="Heading2Char">
    <w:name w:val="Heading 2 Char"/>
    <w:basedOn w:val="DefaultParagraphFont"/>
    <w:link w:val="Heading2"/>
    <w:uiPriority w:val="9"/>
    <w:rsid w:val="00E36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AE2"/>
    <w:rPr>
      <w:rFonts w:asciiTheme="majorHAnsi" w:eastAsiaTheme="majorEastAsia" w:hAnsiTheme="majorHAnsi" w:cstheme="majorBidi"/>
      <w:b/>
      <w:bCs/>
      <w:color w:val="4F81BD" w:themeColor="accent1"/>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387AC8"/>
    <w:pPr>
      <w:spacing w:after="0" w:line="240" w:lineRule="auto"/>
    </w:pPr>
    <w:rPr>
      <w:sz w:val="20"/>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387AC8"/>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387AC8"/>
    <w:rPr>
      <w:vertAlign w:val="superscript"/>
    </w:rPr>
  </w:style>
  <w:style w:type="character" w:customStyle="1" w:styleId="Heading4Char">
    <w:name w:val="Heading 4 Char"/>
    <w:basedOn w:val="DefaultParagraphFont"/>
    <w:link w:val="Heading4"/>
    <w:uiPriority w:val="9"/>
    <w:rsid w:val="008E0BA9"/>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rsid w:val="008E0BA9"/>
    <w:pPr>
      <w:numPr>
        <w:numId w:val="21"/>
      </w:numPr>
      <w:tabs>
        <w:tab w:val="left" w:pos="340"/>
      </w:tabs>
      <w:spacing w:before="120" w:after="0"/>
    </w:pPr>
    <w:rPr>
      <w:rFonts w:ascii="Arial" w:hAnsi="Arial"/>
    </w:rPr>
  </w:style>
  <w:style w:type="character" w:styleId="Emphasis">
    <w:name w:val="Emphasis"/>
    <w:basedOn w:val="DefaultParagraphFont"/>
    <w:uiPriority w:val="20"/>
    <w:qFormat/>
    <w:rsid w:val="008E0BA9"/>
    <w:rPr>
      <w:i/>
      <w:iCs/>
    </w:rPr>
  </w:style>
  <w:style w:type="character" w:customStyle="1" w:styleId="Superscript">
    <w:name w:val="Superscript"/>
    <w:basedOn w:val="DefaultParagraphFont"/>
    <w:uiPriority w:val="1"/>
    <w:qFormat/>
    <w:rsid w:val="008E0BA9"/>
    <w:rPr>
      <w:vertAlign w:val="superscript"/>
    </w:rPr>
  </w:style>
  <w:style w:type="paragraph" w:customStyle="1" w:styleId="Heading4notnumbered">
    <w:name w:val="Heading 4 not numbered"/>
    <w:basedOn w:val="Heading4"/>
    <w:rsid w:val="00886A88"/>
    <w:pPr>
      <w:keepNext w:val="0"/>
      <w:keepLines w:val="0"/>
      <w:tabs>
        <w:tab w:val="left" w:pos="1021"/>
      </w:tabs>
      <w:spacing w:before="240" w:line="276" w:lineRule="auto"/>
    </w:pPr>
    <w:rPr>
      <w:rFonts w:ascii="Arial" w:eastAsia="Times New Roman" w:hAnsi="Arial" w:cs="Times New Roman"/>
      <w:b/>
      <w:bCs/>
      <w:i w:val="0"/>
      <w:iCs w:val="0"/>
      <w:color w:val="51626F"/>
      <w:sz w:val="24"/>
      <w:szCs w:val="20"/>
    </w:rPr>
  </w:style>
  <w:style w:type="paragraph" w:customStyle="1" w:styleId="Tabletitle">
    <w:name w:val="Table title"/>
    <w:basedOn w:val="Normal"/>
    <w:link w:val="TabletitleChar"/>
    <w:qFormat/>
    <w:rsid w:val="00EF7A52"/>
    <w:pPr>
      <w:spacing w:before="240" w:after="120"/>
    </w:pPr>
    <w:rPr>
      <w:rFonts w:ascii="Arial" w:hAnsi="Arial"/>
      <w:b/>
      <w:color w:val="000000" w:themeColor="text1"/>
      <w:sz w:val="24"/>
      <w:szCs w:val="20"/>
    </w:rPr>
  </w:style>
  <w:style w:type="character" w:customStyle="1" w:styleId="TabletitleChar">
    <w:name w:val="Table title Char"/>
    <w:basedOn w:val="DefaultParagraphFont"/>
    <w:link w:val="Tabletitle"/>
    <w:rsid w:val="00EF7A52"/>
    <w:rPr>
      <w:rFonts w:ascii="Arial" w:hAnsi="Arial"/>
      <w:b/>
      <w:color w:val="000000" w:themeColor="text1"/>
      <w:sz w:val="24"/>
      <w:szCs w:val="20"/>
    </w:rPr>
  </w:style>
  <w:style w:type="character" w:customStyle="1" w:styleId="apple-converted-space">
    <w:name w:val="apple-converted-space"/>
    <w:basedOn w:val="DefaultParagraphFont"/>
    <w:rsid w:val="007302EC"/>
  </w:style>
  <w:style w:type="character" w:styleId="CommentReference">
    <w:name w:val="annotation reference"/>
    <w:basedOn w:val="DefaultParagraphFont"/>
    <w:uiPriority w:val="99"/>
    <w:semiHidden/>
    <w:unhideWhenUsed/>
    <w:rsid w:val="001C443A"/>
    <w:rPr>
      <w:sz w:val="16"/>
      <w:szCs w:val="16"/>
    </w:rPr>
  </w:style>
  <w:style w:type="paragraph" w:styleId="CommentText">
    <w:name w:val="annotation text"/>
    <w:basedOn w:val="Normal"/>
    <w:link w:val="CommentTextChar"/>
    <w:uiPriority w:val="99"/>
    <w:semiHidden/>
    <w:unhideWhenUsed/>
    <w:rsid w:val="001C443A"/>
    <w:pPr>
      <w:spacing w:line="240" w:lineRule="auto"/>
    </w:pPr>
    <w:rPr>
      <w:sz w:val="20"/>
      <w:szCs w:val="20"/>
    </w:rPr>
  </w:style>
  <w:style w:type="character" w:customStyle="1" w:styleId="CommentTextChar">
    <w:name w:val="Comment Text Char"/>
    <w:basedOn w:val="DefaultParagraphFont"/>
    <w:link w:val="CommentText"/>
    <w:uiPriority w:val="99"/>
    <w:semiHidden/>
    <w:rsid w:val="001C443A"/>
    <w:rPr>
      <w:sz w:val="20"/>
      <w:szCs w:val="20"/>
    </w:rPr>
  </w:style>
  <w:style w:type="paragraph" w:styleId="CommentSubject">
    <w:name w:val="annotation subject"/>
    <w:basedOn w:val="CommentText"/>
    <w:next w:val="CommentText"/>
    <w:link w:val="CommentSubjectChar"/>
    <w:uiPriority w:val="99"/>
    <w:semiHidden/>
    <w:unhideWhenUsed/>
    <w:rsid w:val="001C443A"/>
    <w:rPr>
      <w:b/>
      <w:bCs/>
    </w:rPr>
  </w:style>
  <w:style w:type="character" w:customStyle="1" w:styleId="CommentSubjectChar">
    <w:name w:val="Comment Subject Char"/>
    <w:basedOn w:val="CommentTextChar"/>
    <w:link w:val="CommentSubject"/>
    <w:uiPriority w:val="99"/>
    <w:semiHidden/>
    <w:rsid w:val="001C443A"/>
    <w:rPr>
      <w:b/>
      <w:bCs/>
      <w:sz w:val="20"/>
      <w:szCs w:val="20"/>
    </w:rPr>
  </w:style>
  <w:style w:type="paragraph" w:styleId="Revision">
    <w:name w:val="Revision"/>
    <w:hidden/>
    <w:uiPriority w:val="99"/>
    <w:semiHidden/>
    <w:rsid w:val="00854EAC"/>
    <w:pPr>
      <w:spacing w:after="0" w:line="240" w:lineRule="auto"/>
    </w:pPr>
  </w:style>
  <w:style w:type="paragraph" w:styleId="NormalWeb">
    <w:name w:val="Normal (Web)"/>
    <w:basedOn w:val="Normal"/>
    <w:uiPriority w:val="99"/>
    <w:semiHidden/>
    <w:unhideWhenUsed/>
    <w:rsid w:val="00C90BB2"/>
    <w:pPr>
      <w:spacing w:before="100" w:beforeAutospacing="1" w:after="24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865">
      <w:bodyDiv w:val="1"/>
      <w:marLeft w:val="0"/>
      <w:marRight w:val="0"/>
      <w:marTop w:val="0"/>
      <w:marBottom w:val="0"/>
      <w:divBdr>
        <w:top w:val="none" w:sz="0" w:space="0" w:color="auto"/>
        <w:left w:val="none" w:sz="0" w:space="0" w:color="auto"/>
        <w:bottom w:val="none" w:sz="0" w:space="0" w:color="auto"/>
        <w:right w:val="none" w:sz="0" w:space="0" w:color="auto"/>
      </w:divBdr>
    </w:div>
    <w:div w:id="110056319">
      <w:bodyDiv w:val="1"/>
      <w:marLeft w:val="0"/>
      <w:marRight w:val="0"/>
      <w:marTop w:val="0"/>
      <w:marBottom w:val="0"/>
      <w:divBdr>
        <w:top w:val="none" w:sz="0" w:space="0" w:color="auto"/>
        <w:left w:val="none" w:sz="0" w:space="0" w:color="auto"/>
        <w:bottom w:val="none" w:sz="0" w:space="0" w:color="auto"/>
        <w:right w:val="none" w:sz="0" w:space="0" w:color="auto"/>
      </w:divBdr>
      <w:divsChild>
        <w:div w:id="1690639325">
          <w:marLeft w:val="0"/>
          <w:marRight w:val="0"/>
          <w:marTop w:val="0"/>
          <w:marBottom w:val="0"/>
          <w:divBdr>
            <w:top w:val="none" w:sz="0" w:space="0" w:color="auto"/>
            <w:left w:val="none" w:sz="0" w:space="0" w:color="auto"/>
            <w:bottom w:val="none" w:sz="0" w:space="0" w:color="auto"/>
            <w:right w:val="none" w:sz="0" w:space="0" w:color="auto"/>
          </w:divBdr>
          <w:divsChild>
            <w:div w:id="2038118453">
              <w:marLeft w:val="0"/>
              <w:marRight w:val="0"/>
              <w:marTop w:val="0"/>
              <w:marBottom w:val="0"/>
              <w:divBdr>
                <w:top w:val="none" w:sz="0" w:space="0" w:color="auto"/>
                <w:left w:val="none" w:sz="0" w:space="0" w:color="auto"/>
                <w:bottom w:val="none" w:sz="0" w:space="0" w:color="auto"/>
                <w:right w:val="none" w:sz="0" w:space="0" w:color="auto"/>
              </w:divBdr>
              <w:divsChild>
                <w:div w:id="6335656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04882324">
      <w:bodyDiv w:val="1"/>
      <w:marLeft w:val="0"/>
      <w:marRight w:val="0"/>
      <w:marTop w:val="0"/>
      <w:marBottom w:val="0"/>
      <w:divBdr>
        <w:top w:val="none" w:sz="0" w:space="0" w:color="auto"/>
        <w:left w:val="none" w:sz="0" w:space="0" w:color="auto"/>
        <w:bottom w:val="none" w:sz="0" w:space="0" w:color="auto"/>
        <w:right w:val="none" w:sz="0" w:space="0" w:color="auto"/>
      </w:divBdr>
    </w:div>
    <w:div w:id="457990272">
      <w:bodyDiv w:val="1"/>
      <w:marLeft w:val="0"/>
      <w:marRight w:val="0"/>
      <w:marTop w:val="0"/>
      <w:marBottom w:val="0"/>
      <w:divBdr>
        <w:top w:val="none" w:sz="0" w:space="0" w:color="auto"/>
        <w:left w:val="none" w:sz="0" w:space="0" w:color="auto"/>
        <w:bottom w:val="none" w:sz="0" w:space="0" w:color="auto"/>
        <w:right w:val="none" w:sz="0" w:space="0" w:color="auto"/>
      </w:divBdr>
    </w:div>
    <w:div w:id="1403210412">
      <w:bodyDiv w:val="1"/>
      <w:marLeft w:val="0"/>
      <w:marRight w:val="0"/>
      <w:marTop w:val="0"/>
      <w:marBottom w:val="0"/>
      <w:divBdr>
        <w:top w:val="none" w:sz="0" w:space="0" w:color="auto"/>
        <w:left w:val="none" w:sz="0" w:space="0" w:color="auto"/>
        <w:bottom w:val="none" w:sz="0" w:space="0" w:color="auto"/>
        <w:right w:val="none" w:sz="0" w:space="0" w:color="auto"/>
      </w:divBdr>
    </w:div>
    <w:div w:id="1746879671">
      <w:bodyDiv w:val="1"/>
      <w:marLeft w:val="0"/>
      <w:marRight w:val="0"/>
      <w:marTop w:val="0"/>
      <w:marBottom w:val="0"/>
      <w:divBdr>
        <w:top w:val="none" w:sz="0" w:space="0" w:color="auto"/>
        <w:left w:val="none" w:sz="0" w:space="0" w:color="auto"/>
        <w:bottom w:val="none" w:sz="0" w:space="0" w:color="auto"/>
        <w:right w:val="none" w:sz="0" w:space="0" w:color="auto"/>
      </w:divBdr>
    </w:div>
    <w:div w:id="19994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h@unitingcommunities.org"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427E8B7-E646-42A0-99E5-EEE0F14C5779}"/>
      </w:docPartPr>
      <w:docPartBody>
        <w:p w:rsidR="000874E1" w:rsidRDefault="00D13094" w:rsidP="00D13094">
          <w:pPr>
            <w:pStyle w:val="DefaultPlaceholder1082065158"/>
          </w:pPr>
          <w:r w:rsidRPr="00A27EF8">
            <w:rPr>
              <w:rStyle w:val="PlaceholderText"/>
            </w:rPr>
            <w:t xml:space="preserve">Click here to enter </w:t>
          </w:r>
          <w:r>
            <w:rPr>
              <w:rStyle w:val="PlaceholderText"/>
            </w:rPr>
            <w:t>sub-panel #</w:t>
          </w:r>
        </w:p>
      </w:docPartBody>
    </w:docPart>
    <w:docPart>
      <w:docPartPr>
        <w:name w:val="8A859897F755466D8BBCB0205894E86D"/>
        <w:category>
          <w:name w:val="General"/>
          <w:gallery w:val="placeholder"/>
        </w:category>
        <w:types>
          <w:type w:val="bbPlcHdr"/>
        </w:types>
        <w:behaviors>
          <w:behavior w:val="content"/>
        </w:behaviors>
        <w:guid w:val="{F33AB4A4-3818-4A07-A243-77F5AC8B5481}"/>
      </w:docPartPr>
      <w:docPartBody>
        <w:p w:rsidR="00D13094" w:rsidRDefault="00D13094" w:rsidP="00D13094">
          <w:pPr>
            <w:pStyle w:val="8A859897F755466D8BBCB0205894E86D1"/>
          </w:pPr>
          <w:r w:rsidRPr="00F64C14">
            <w:rPr>
              <w:rStyle w:val="PlaceholderText"/>
            </w:rPr>
            <w:t>Click here to add Name of Co-ord Director.</w:t>
          </w:r>
        </w:p>
      </w:docPartBody>
    </w:docPart>
    <w:docPart>
      <w:docPartPr>
        <w:name w:val="DefaultPlaceholder_1082065160"/>
        <w:category>
          <w:name w:val="General"/>
          <w:gallery w:val="placeholder"/>
        </w:category>
        <w:types>
          <w:type w:val="bbPlcHdr"/>
        </w:types>
        <w:behaviors>
          <w:behavior w:val="content"/>
        </w:behaviors>
        <w:guid w:val="{A545A36B-6467-4028-AE0C-BB152CB5DB5E}"/>
      </w:docPartPr>
      <w:docPartBody>
        <w:p w:rsidR="00D13094" w:rsidRDefault="00D13094" w:rsidP="00D13094">
          <w:pPr>
            <w:pStyle w:val="DefaultPlaceholder1082065160"/>
          </w:pPr>
          <w:r w:rsidRPr="00F64C14">
            <w:rPr>
              <w:rStyle w:val="PlaceholderText"/>
              <w:b/>
            </w:rPr>
            <w:t>Click here to enter a date.</w:t>
          </w:r>
        </w:p>
      </w:docPartBody>
    </w:docPart>
    <w:docPart>
      <w:docPartPr>
        <w:name w:val="88476097E00E5F418440205483D52F71"/>
        <w:category>
          <w:name w:val="General"/>
          <w:gallery w:val="placeholder"/>
        </w:category>
        <w:types>
          <w:type w:val="bbPlcHdr"/>
        </w:types>
        <w:behaviors>
          <w:behavior w:val="content"/>
        </w:behaviors>
        <w:guid w:val="{D4EA1635-A31C-4D46-9B4E-F01A9F3C9767}"/>
      </w:docPartPr>
      <w:docPartBody>
        <w:p w:rsidR="00307507" w:rsidRDefault="00782ED2" w:rsidP="00782ED2">
          <w:pPr>
            <w:pStyle w:val="88476097E00E5F418440205483D52F71"/>
          </w:pPr>
          <w:r>
            <w:rPr>
              <w:rStyle w:val="PlaceholderText"/>
            </w:rPr>
            <w:t>Click here to enter</w:t>
          </w:r>
          <w:r w:rsidRPr="00F91B85">
            <w:t xml:space="preserve"> </w:t>
          </w:r>
          <w:r w:rsidRPr="00F91B85">
            <w:rPr>
              <w:rStyle w:val="PlaceholderText"/>
            </w:rPr>
            <w:t>Sub-panel Chairperson</w:t>
          </w:r>
          <w:r w:rsidRPr="00A27EF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60"/>
    <w:rsid w:val="000874E1"/>
    <w:rsid w:val="001A739F"/>
    <w:rsid w:val="00307507"/>
    <w:rsid w:val="00350DA6"/>
    <w:rsid w:val="003D70FA"/>
    <w:rsid w:val="00442EED"/>
    <w:rsid w:val="00536454"/>
    <w:rsid w:val="0058545D"/>
    <w:rsid w:val="005A26EF"/>
    <w:rsid w:val="007137FA"/>
    <w:rsid w:val="007677B0"/>
    <w:rsid w:val="00782ED2"/>
    <w:rsid w:val="008B2B60"/>
    <w:rsid w:val="00BC3A58"/>
    <w:rsid w:val="00D13094"/>
    <w:rsid w:val="00D73DED"/>
    <w:rsid w:val="00DA0390"/>
    <w:rsid w:val="00DD50D7"/>
    <w:rsid w:val="00F01EDC"/>
    <w:rsid w:val="00F34F45"/>
    <w:rsid w:val="00F63089"/>
    <w:rsid w:val="00F85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763B4A0F84DFAB0EF36BD7BD0F030">
    <w:name w:val="785763B4A0F84DFAB0EF36BD7BD0F030"/>
    <w:rsid w:val="008B2B60"/>
  </w:style>
  <w:style w:type="paragraph" w:customStyle="1" w:styleId="2A1B1C823B6343F783EB942222F7820F">
    <w:name w:val="2A1B1C823B6343F783EB942222F7820F"/>
    <w:rsid w:val="008B2B60"/>
  </w:style>
  <w:style w:type="paragraph" w:customStyle="1" w:styleId="8C2459F49D82464794DE94EE825DFC99">
    <w:name w:val="8C2459F49D82464794DE94EE825DFC99"/>
    <w:rsid w:val="008B2B60"/>
  </w:style>
  <w:style w:type="paragraph" w:customStyle="1" w:styleId="375EBEB063364F81AA1D0C48AC22EC0F">
    <w:name w:val="375EBEB063364F81AA1D0C48AC22EC0F"/>
    <w:rsid w:val="008B2B60"/>
  </w:style>
  <w:style w:type="paragraph" w:customStyle="1" w:styleId="E1B0127F242046BA9FDC5B60F598EAFB">
    <w:name w:val="E1B0127F242046BA9FDC5B60F598EAFB"/>
    <w:rsid w:val="008B2B60"/>
  </w:style>
  <w:style w:type="paragraph" w:customStyle="1" w:styleId="4CE59D5E56AB423C99362A021C8B52E1">
    <w:name w:val="4CE59D5E56AB423C99362A021C8B52E1"/>
    <w:rsid w:val="008B2B60"/>
  </w:style>
  <w:style w:type="paragraph" w:customStyle="1" w:styleId="1CE8A10636B04D08BE8DFEE7820F2C8F">
    <w:name w:val="1CE8A10636B04D08BE8DFEE7820F2C8F"/>
    <w:rsid w:val="008B2B60"/>
  </w:style>
  <w:style w:type="paragraph" w:customStyle="1" w:styleId="4B3EB2A6ACEA4B668BD234D5E75D0EBF">
    <w:name w:val="4B3EB2A6ACEA4B668BD234D5E75D0EBF"/>
    <w:rsid w:val="008B2B60"/>
  </w:style>
  <w:style w:type="character" w:styleId="PlaceholderText">
    <w:name w:val="Placeholder Text"/>
    <w:basedOn w:val="DefaultParagraphFont"/>
    <w:uiPriority w:val="99"/>
    <w:semiHidden/>
    <w:rsid w:val="00782ED2"/>
    <w:rPr>
      <w:color w:val="808080"/>
    </w:rPr>
  </w:style>
  <w:style w:type="paragraph" w:customStyle="1" w:styleId="8A859897F755466D8BBCB0205894E86D">
    <w:name w:val="8A859897F755466D8BBCB0205894E86D"/>
    <w:rsid w:val="000874E1"/>
    <w:rPr>
      <w:rFonts w:eastAsiaTheme="minorHAnsi"/>
      <w:lang w:eastAsia="en-US"/>
    </w:rPr>
  </w:style>
  <w:style w:type="paragraph" w:customStyle="1" w:styleId="6C1F40DF9F2A40C48BFC01A06178C4F6">
    <w:name w:val="6C1F40DF9F2A40C48BFC01A06178C4F6"/>
    <w:rsid w:val="000874E1"/>
  </w:style>
  <w:style w:type="paragraph" w:customStyle="1" w:styleId="0B56E946611143CC97F6AB69D7A3EA46">
    <w:name w:val="0B56E946611143CC97F6AB69D7A3EA46"/>
    <w:rsid w:val="000874E1"/>
  </w:style>
  <w:style w:type="paragraph" w:customStyle="1" w:styleId="776626D1086A42A0B0A6410E546C6C25">
    <w:name w:val="776626D1086A42A0B0A6410E546C6C25"/>
    <w:rsid w:val="000874E1"/>
  </w:style>
  <w:style w:type="paragraph" w:customStyle="1" w:styleId="10E64D90C901458CA1E93432B6D4E3FE">
    <w:name w:val="10E64D90C901458CA1E93432B6D4E3FE"/>
    <w:rsid w:val="000874E1"/>
  </w:style>
  <w:style w:type="paragraph" w:customStyle="1" w:styleId="DefaultPlaceholder1082065160">
    <w:name w:val="DefaultPlaceholder_1082065160"/>
    <w:rsid w:val="00D13094"/>
    <w:rPr>
      <w:rFonts w:eastAsiaTheme="minorHAnsi"/>
      <w:lang w:eastAsia="en-US"/>
    </w:rPr>
  </w:style>
  <w:style w:type="paragraph" w:customStyle="1" w:styleId="DefaultPlaceholder1082065158">
    <w:name w:val="DefaultPlaceholder_1082065158"/>
    <w:rsid w:val="00D13094"/>
    <w:rPr>
      <w:rFonts w:eastAsiaTheme="minorHAnsi"/>
      <w:lang w:eastAsia="en-US"/>
    </w:rPr>
  </w:style>
  <w:style w:type="paragraph" w:customStyle="1" w:styleId="8A859897F755466D8BBCB0205894E86D1">
    <w:name w:val="8A859897F755466D8BBCB0205894E86D1"/>
    <w:rsid w:val="00D13094"/>
    <w:rPr>
      <w:rFonts w:eastAsiaTheme="minorHAnsi"/>
      <w:lang w:eastAsia="en-US"/>
    </w:rPr>
  </w:style>
  <w:style w:type="paragraph" w:customStyle="1" w:styleId="0B56E946611143CC97F6AB69D7A3EA461">
    <w:name w:val="0B56E946611143CC97F6AB69D7A3EA461"/>
    <w:rsid w:val="00D13094"/>
    <w:rPr>
      <w:rFonts w:eastAsiaTheme="minorHAnsi"/>
      <w:lang w:eastAsia="en-US"/>
    </w:rPr>
  </w:style>
  <w:style w:type="paragraph" w:customStyle="1" w:styleId="776626D1086A42A0B0A6410E546C6C251">
    <w:name w:val="776626D1086A42A0B0A6410E546C6C251"/>
    <w:rsid w:val="00D13094"/>
    <w:rPr>
      <w:rFonts w:eastAsiaTheme="minorHAnsi"/>
      <w:lang w:eastAsia="en-US"/>
    </w:rPr>
  </w:style>
  <w:style w:type="paragraph" w:customStyle="1" w:styleId="88476097E00E5F418440205483D52F71">
    <w:name w:val="88476097E00E5F418440205483D52F71"/>
    <w:rsid w:val="00782ED2"/>
    <w:pPr>
      <w:spacing w:after="0" w:line="240" w:lineRule="auto"/>
    </w:pPr>
    <w:rPr>
      <w:sz w:val="24"/>
      <w:szCs w:val="24"/>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763B4A0F84DFAB0EF36BD7BD0F030">
    <w:name w:val="785763B4A0F84DFAB0EF36BD7BD0F030"/>
    <w:rsid w:val="008B2B60"/>
  </w:style>
  <w:style w:type="paragraph" w:customStyle="1" w:styleId="2A1B1C823B6343F783EB942222F7820F">
    <w:name w:val="2A1B1C823B6343F783EB942222F7820F"/>
    <w:rsid w:val="008B2B60"/>
  </w:style>
  <w:style w:type="paragraph" w:customStyle="1" w:styleId="8C2459F49D82464794DE94EE825DFC99">
    <w:name w:val="8C2459F49D82464794DE94EE825DFC99"/>
    <w:rsid w:val="008B2B60"/>
  </w:style>
  <w:style w:type="paragraph" w:customStyle="1" w:styleId="375EBEB063364F81AA1D0C48AC22EC0F">
    <w:name w:val="375EBEB063364F81AA1D0C48AC22EC0F"/>
    <w:rsid w:val="008B2B60"/>
  </w:style>
  <w:style w:type="paragraph" w:customStyle="1" w:styleId="E1B0127F242046BA9FDC5B60F598EAFB">
    <w:name w:val="E1B0127F242046BA9FDC5B60F598EAFB"/>
    <w:rsid w:val="008B2B60"/>
  </w:style>
  <w:style w:type="paragraph" w:customStyle="1" w:styleId="4CE59D5E56AB423C99362A021C8B52E1">
    <w:name w:val="4CE59D5E56AB423C99362A021C8B52E1"/>
    <w:rsid w:val="008B2B60"/>
  </w:style>
  <w:style w:type="paragraph" w:customStyle="1" w:styleId="1CE8A10636B04D08BE8DFEE7820F2C8F">
    <w:name w:val="1CE8A10636B04D08BE8DFEE7820F2C8F"/>
    <w:rsid w:val="008B2B60"/>
  </w:style>
  <w:style w:type="paragraph" w:customStyle="1" w:styleId="4B3EB2A6ACEA4B668BD234D5E75D0EBF">
    <w:name w:val="4B3EB2A6ACEA4B668BD234D5E75D0EBF"/>
    <w:rsid w:val="008B2B60"/>
  </w:style>
  <w:style w:type="character" w:styleId="PlaceholderText">
    <w:name w:val="Placeholder Text"/>
    <w:basedOn w:val="DefaultParagraphFont"/>
    <w:uiPriority w:val="99"/>
    <w:semiHidden/>
    <w:rsid w:val="00782ED2"/>
    <w:rPr>
      <w:color w:val="808080"/>
    </w:rPr>
  </w:style>
  <w:style w:type="paragraph" w:customStyle="1" w:styleId="8A859897F755466D8BBCB0205894E86D">
    <w:name w:val="8A859897F755466D8BBCB0205894E86D"/>
    <w:rsid w:val="000874E1"/>
    <w:rPr>
      <w:rFonts w:eastAsiaTheme="minorHAnsi"/>
      <w:lang w:eastAsia="en-US"/>
    </w:rPr>
  </w:style>
  <w:style w:type="paragraph" w:customStyle="1" w:styleId="6C1F40DF9F2A40C48BFC01A06178C4F6">
    <w:name w:val="6C1F40DF9F2A40C48BFC01A06178C4F6"/>
    <w:rsid w:val="000874E1"/>
  </w:style>
  <w:style w:type="paragraph" w:customStyle="1" w:styleId="0B56E946611143CC97F6AB69D7A3EA46">
    <w:name w:val="0B56E946611143CC97F6AB69D7A3EA46"/>
    <w:rsid w:val="000874E1"/>
  </w:style>
  <w:style w:type="paragraph" w:customStyle="1" w:styleId="776626D1086A42A0B0A6410E546C6C25">
    <w:name w:val="776626D1086A42A0B0A6410E546C6C25"/>
    <w:rsid w:val="000874E1"/>
  </w:style>
  <w:style w:type="paragraph" w:customStyle="1" w:styleId="10E64D90C901458CA1E93432B6D4E3FE">
    <w:name w:val="10E64D90C901458CA1E93432B6D4E3FE"/>
    <w:rsid w:val="000874E1"/>
  </w:style>
  <w:style w:type="paragraph" w:customStyle="1" w:styleId="DefaultPlaceholder1082065160">
    <w:name w:val="DefaultPlaceholder_1082065160"/>
    <w:rsid w:val="00D13094"/>
    <w:rPr>
      <w:rFonts w:eastAsiaTheme="minorHAnsi"/>
      <w:lang w:eastAsia="en-US"/>
    </w:rPr>
  </w:style>
  <w:style w:type="paragraph" w:customStyle="1" w:styleId="DefaultPlaceholder1082065158">
    <w:name w:val="DefaultPlaceholder_1082065158"/>
    <w:rsid w:val="00D13094"/>
    <w:rPr>
      <w:rFonts w:eastAsiaTheme="minorHAnsi"/>
      <w:lang w:eastAsia="en-US"/>
    </w:rPr>
  </w:style>
  <w:style w:type="paragraph" w:customStyle="1" w:styleId="8A859897F755466D8BBCB0205894E86D1">
    <w:name w:val="8A859897F755466D8BBCB0205894E86D1"/>
    <w:rsid w:val="00D13094"/>
    <w:rPr>
      <w:rFonts w:eastAsiaTheme="minorHAnsi"/>
      <w:lang w:eastAsia="en-US"/>
    </w:rPr>
  </w:style>
  <w:style w:type="paragraph" w:customStyle="1" w:styleId="0B56E946611143CC97F6AB69D7A3EA461">
    <w:name w:val="0B56E946611143CC97F6AB69D7A3EA461"/>
    <w:rsid w:val="00D13094"/>
    <w:rPr>
      <w:rFonts w:eastAsiaTheme="minorHAnsi"/>
      <w:lang w:eastAsia="en-US"/>
    </w:rPr>
  </w:style>
  <w:style w:type="paragraph" w:customStyle="1" w:styleId="776626D1086A42A0B0A6410E546C6C251">
    <w:name w:val="776626D1086A42A0B0A6410E546C6C251"/>
    <w:rsid w:val="00D13094"/>
    <w:rPr>
      <w:rFonts w:eastAsiaTheme="minorHAnsi"/>
      <w:lang w:eastAsia="en-US"/>
    </w:rPr>
  </w:style>
  <w:style w:type="paragraph" w:customStyle="1" w:styleId="88476097E00E5F418440205483D52F71">
    <w:name w:val="88476097E00E5F418440205483D52F71"/>
    <w:rsid w:val="00782ED2"/>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[Insert Month and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BB210A-644F-4485-96FA-58E773AA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ADF3E6D2</Template>
  <TotalTime>1</TotalTime>
  <Pages>21</Pages>
  <Words>6374</Words>
  <Characters>36336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[Insert Submission Title]</vt:lpstr>
    </vt:vector>
  </TitlesOfParts>
  <Company>ACCC</Company>
  <LinksUpToDate>false</LinksUpToDate>
  <CharactersWithSpaces>42625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Submission Title]</dc:title>
  <dc:creator>French, Kate</dc:creator>
  <cp:lastModifiedBy>Pickering, Robyn</cp:lastModifiedBy>
  <cp:revision>2</cp:revision>
  <cp:lastPrinted>2017-04-20T01:54:00Z</cp:lastPrinted>
  <dcterms:created xsi:type="dcterms:W3CDTF">2017-04-26T03:16:00Z</dcterms:created>
  <dcterms:modified xsi:type="dcterms:W3CDTF">2017-04-26T03:16:00Z</dcterms:modified>
</cp:coreProperties>
</file>