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C1197" w14:textId="77777777" w:rsidR="008A1865" w:rsidRDefault="00EF72C6" w:rsidP="00496D2C">
      <w:pPr>
        <w:jc w:val="right"/>
        <w:rPr>
          <w:b/>
          <w:sz w:val="28"/>
          <w:szCs w:val="28"/>
        </w:rPr>
      </w:pPr>
      <w:r>
        <w:rPr>
          <w:noProof/>
          <w:lang w:eastAsia="en-AU"/>
        </w:rPr>
        <w:drawing>
          <wp:inline distT="0" distB="0" distL="0" distR="0" wp14:anchorId="7183D0A7" wp14:editId="68E87D9E">
            <wp:extent cx="1744980" cy="1012190"/>
            <wp:effectExtent l="0" t="0" r="7620" b="0"/>
            <wp:docPr id="1" name="Picture 1" descr="cid:image001.jpg@01CEDE05.D80C23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DE05.D80C23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44980" cy="1012190"/>
                    </a:xfrm>
                    <a:prstGeom prst="rect">
                      <a:avLst/>
                    </a:prstGeom>
                    <a:noFill/>
                    <a:ln>
                      <a:noFill/>
                    </a:ln>
                  </pic:spPr>
                </pic:pic>
              </a:graphicData>
            </a:graphic>
          </wp:inline>
        </w:drawing>
      </w:r>
    </w:p>
    <w:p w14:paraId="3E2C3AD4" w14:textId="77777777" w:rsidR="00121A7C" w:rsidRPr="00121A7C" w:rsidRDefault="00033FB5" w:rsidP="00121A7C">
      <w:pPr>
        <w:spacing w:after="0" w:line="240" w:lineRule="auto"/>
        <w:jc w:val="center"/>
        <w:rPr>
          <w:b/>
          <w:sz w:val="40"/>
          <w:szCs w:val="40"/>
        </w:rPr>
      </w:pPr>
      <w:r w:rsidRPr="00121A7C">
        <w:rPr>
          <w:b/>
          <w:sz w:val="40"/>
          <w:szCs w:val="40"/>
        </w:rPr>
        <w:t xml:space="preserve">Clean Energy Council submission to the </w:t>
      </w:r>
    </w:p>
    <w:p w14:paraId="355B866D" w14:textId="5FBBED43" w:rsidR="00033FB5" w:rsidRPr="00121A7C" w:rsidRDefault="004122A7" w:rsidP="00121A7C">
      <w:pPr>
        <w:spacing w:line="240" w:lineRule="auto"/>
        <w:jc w:val="center"/>
        <w:rPr>
          <w:b/>
          <w:sz w:val="40"/>
          <w:szCs w:val="40"/>
        </w:rPr>
      </w:pPr>
      <w:r w:rsidRPr="00121A7C">
        <w:rPr>
          <w:b/>
          <w:sz w:val="40"/>
          <w:szCs w:val="40"/>
        </w:rPr>
        <w:t xml:space="preserve">Australian Energy </w:t>
      </w:r>
      <w:r w:rsidR="00121A7C" w:rsidRPr="00121A7C">
        <w:rPr>
          <w:b/>
          <w:sz w:val="40"/>
          <w:szCs w:val="40"/>
        </w:rPr>
        <w:t xml:space="preserve">Regulator’s </w:t>
      </w:r>
      <w:r w:rsidR="00544357">
        <w:rPr>
          <w:b/>
          <w:sz w:val="40"/>
          <w:szCs w:val="40"/>
        </w:rPr>
        <w:t>draft</w:t>
      </w:r>
      <w:r w:rsidRPr="00121A7C">
        <w:rPr>
          <w:b/>
          <w:sz w:val="40"/>
          <w:szCs w:val="40"/>
        </w:rPr>
        <w:t>:</w:t>
      </w:r>
    </w:p>
    <w:p w14:paraId="1340E2C2" w14:textId="4DBF5D5D" w:rsidR="004122A7" w:rsidRPr="00121A7C" w:rsidRDefault="00121A7C" w:rsidP="00121A7C">
      <w:pPr>
        <w:spacing w:after="0" w:line="240" w:lineRule="auto"/>
        <w:jc w:val="center"/>
        <w:rPr>
          <w:b/>
          <w:sz w:val="40"/>
          <w:szCs w:val="40"/>
        </w:rPr>
      </w:pPr>
      <w:r w:rsidRPr="00121A7C">
        <w:rPr>
          <w:b/>
          <w:sz w:val="40"/>
          <w:szCs w:val="40"/>
        </w:rPr>
        <w:t>Demand management incentive scheme and innovation allowance mechanism</w:t>
      </w:r>
    </w:p>
    <w:p w14:paraId="5355780C" w14:textId="316261AE" w:rsidR="00B04920" w:rsidRPr="009E2E8C" w:rsidRDefault="00E07FA5" w:rsidP="00AE67F0">
      <w:pPr>
        <w:spacing w:after="120"/>
        <w:jc w:val="both"/>
        <w:rPr>
          <w:b/>
          <w:sz w:val="24"/>
          <w:szCs w:val="24"/>
        </w:rPr>
      </w:pPr>
    </w:p>
    <w:p w14:paraId="10EB4D30" w14:textId="2B6DCC2B" w:rsidR="004122A7" w:rsidRDefault="00931B84" w:rsidP="00AE67F0">
      <w:pPr>
        <w:jc w:val="both"/>
        <w:rPr>
          <w:rFonts w:cstheme="minorHAnsi"/>
          <w:sz w:val="24"/>
          <w:szCs w:val="24"/>
        </w:rPr>
      </w:pPr>
      <w:r w:rsidRPr="004122A7">
        <w:rPr>
          <w:rFonts w:cstheme="minorHAnsi"/>
          <w:sz w:val="24"/>
          <w:szCs w:val="24"/>
        </w:rPr>
        <w:t>The Clean Energy Council (CEC)</w:t>
      </w:r>
      <w:r w:rsidR="00D9522F" w:rsidRPr="004122A7">
        <w:rPr>
          <w:rFonts w:cstheme="minorHAnsi"/>
          <w:sz w:val="24"/>
          <w:szCs w:val="24"/>
        </w:rPr>
        <w:t xml:space="preserve"> welcomes the opportunity to provide feedback on the </w:t>
      </w:r>
      <w:r w:rsidR="00544357">
        <w:rPr>
          <w:rFonts w:cstheme="minorHAnsi"/>
          <w:sz w:val="24"/>
          <w:szCs w:val="24"/>
        </w:rPr>
        <w:t xml:space="preserve">draft versions of the new </w:t>
      </w:r>
      <w:r w:rsidR="00121A7C">
        <w:rPr>
          <w:rFonts w:cstheme="minorHAnsi"/>
          <w:sz w:val="24"/>
          <w:szCs w:val="24"/>
        </w:rPr>
        <w:t xml:space="preserve">demand management incentive scheme </w:t>
      </w:r>
      <w:r w:rsidR="00544357">
        <w:rPr>
          <w:rFonts w:cstheme="minorHAnsi"/>
          <w:sz w:val="24"/>
          <w:szCs w:val="24"/>
        </w:rPr>
        <w:t xml:space="preserve">(DMIS) </w:t>
      </w:r>
      <w:r w:rsidR="004122A7">
        <w:rPr>
          <w:rFonts w:cstheme="minorHAnsi"/>
          <w:sz w:val="24"/>
          <w:szCs w:val="24"/>
        </w:rPr>
        <w:t xml:space="preserve">by the Australian </w:t>
      </w:r>
      <w:r w:rsidR="009E2E8C" w:rsidRPr="004122A7">
        <w:rPr>
          <w:rFonts w:cstheme="minorHAnsi"/>
          <w:sz w:val="24"/>
          <w:szCs w:val="24"/>
        </w:rPr>
        <w:t>E</w:t>
      </w:r>
      <w:r w:rsidR="004122A7">
        <w:rPr>
          <w:rFonts w:cstheme="minorHAnsi"/>
          <w:sz w:val="24"/>
          <w:szCs w:val="24"/>
        </w:rPr>
        <w:t xml:space="preserve">nergy </w:t>
      </w:r>
      <w:r w:rsidR="00121A7C">
        <w:rPr>
          <w:rFonts w:cstheme="minorHAnsi"/>
          <w:sz w:val="24"/>
          <w:szCs w:val="24"/>
        </w:rPr>
        <w:t>Regulator</w:t>
      </w:r>
      <w:r w:rsidR="004122A7">
        <w:rPr>
          <w:rFonts w:cstheme="minorHAnsi"/>
          <w:sz w:val="24"/>
          <w:szCs w:val="24"/>
        </w:rPr>
        <w:t xml:space="preserve"> (AE</w:t>
      </w:r>
      <w:r w:rsidR="00121A7C">
        <w:rPr>
          <w:rFonts w:cstheme="minorHAnsi"/>
          <w:sz w:val="24"/>
          <w:szCs w:val="24"/>
        </w:rPr>
        <w:t>R</w:t>
      </w:r>
      <w:r w:rsidR="004122A7">
        <w:rPr>
          <w:rFonts w:cstheme="minorHAnsi"/>
          <w:sz w:val="24"/>
          <w:szCs w:val="24"/>
        </w:rPr>
        <w:t>)</w:t>
      </w:r>
      <w:r w:rsidR="00D9522F" w:rsidRPr="004122A7">
        <w:rPr>
          <w:rFonts w:cstheme="minorHAnsi"/>
          <w:sz w:val="24"/>
          <w:szCs w:val="24"/>
        </w:rPr>
        <w:t>.</w:t>
      </w:r>
    </w:p>
    <w:p w14:paraId="2DFCE256" w14:textId="2AE55169" w:rsidR="00A6122D" w:rsidRPr="004122A7" w:rsidRDefault="004122A7" w:rsidP="00AE67F0">
      <w:pPr>
        <w:jc w:val="both"/>
        <w:rPr>
          <w:rFonts w:cstheme="minorHAnsi"/>
          <w:sz w:val="24"/>
          <w:szCs w:val="24"/>
        </w:rPr>
      </w:pPr>
      <w:r>
        <w:rPr>
          <w:rFonts w:cstheme="minorHAnsi"/>
          <w:sz w:val="24"/>
          <w:szCs w:val="24"/>
        </w:rPr>
        <w:t>The CEC is the peak body for the clean energy industry in Australia. We</w:t>
      </w:r>
      <w:r w:rsidR="00931B84" w:rsidRPr="004122A7">
        <w:rPr>
          <w:rFonts w:cstheme="minorHAnsi"/>
          <w:sz w:val="24"/>
          <w:szCs w:val="24"/>
        </w:rPr>
        <w:t xml:space="preserve"> </w:t>
      </w:r>
      <w:r>
        <w:rPr>
          <w:rFonts w:cstheme="minorHAnsi"/>
          <w:sz w:val="24"/>
          <w:szCs w:val="24"/>
        </w:rPr>
        <w:t>represent and work with hundreds of leading businesses operating in solar, wind, hydro, bioenergy, marine and geothermal energy, energy storage and energy eff</w:t>
      </w:r>
      <w:r w:rsidR="00544357">
        <w:rPr>
          <w:rFonts w:cstheme="minorHAnsi"/>
          <w:sz w:val="24"/>
          <w:szCs w:val="24"/>
        </w:rPr>
        <w:t>iciency along with more than 4,5</w:t>
      </w:r>
      <w:r>
        <w:rPr>
          <w:rFonts w:cstheme="minorHAnsi"/>
          <w:sz w:val="24"/>
          <w:szCs w:val="24"/>
        </w:rPr>
        <w:t>00 solar installers. We are committed to accelerating the transformation of Australia’s energy system to one that is smarter and cleaner.</w:t>
      </w:r>
    </w:p>
    <w:p w14:paraId="0B8DE068" w14:textId="44FA24A5" w:rsidR="00DE137E" w:rsidRDefault="0098715E" w:rsidP="001A0BA5">
      <w:pPr>
        <w:jc w:val="both"/>
        <w:rPr>
          <w:rFonts w:cstheme="minorHAnsi"/>
          <w:sz w:val="24"/>
          <w:szCs w:val="24"/>
        </w:rPr>
      </w:pPr>
      <w:r>
        <w:rPr>
          <w:rFonts w:cstheme="minorHAnsi"/>
          <w:sz w:val="24"/>
          <w:szCs w:val="24"/>
        </w:rPr>
        <w:t xml:space="preserve">The CEC is supportive of the </w:t>
      </w:r>
      <w:r w:rsidR="00DE137E">
        <w:rPr>
          <w:rFonts w:cstheme="minorHAnsi"/>
          <w:sz w:val="24"/>
          <w:szCs w:val="24"/>
        </w:rPr>
        <w:t xml:space="preserve">AER’s Draft DMIS and </w:t>
      </w:r>
      <w:r>
        <w:rPr>
          <w:rFonts w:cstheme="minorHAnsi"/>
          <w:sz w:val="24"/>
          <w:szCs w:val="24"/>
        </w:rPr>
        <w:t>support</w:t>
      </w:r>
      <w:r w:rsidR="00525351">
        <w:rPr>
          <w:rFonts w:cstheme="minorHAnsi"/>
          <w:sz w:val="24"/>
          <w:szCs w:val="24"/>
        </w:rPr>
        <w:t>s</w:t>
      </w:r>
      <w:r>
        <w:rPr>
          <w:rFonts w:cstheme="minorHAnsi"/>
          <w:sz w:val="24"/>
          <w:szCs w:val="24"/>
        </w:rPr>
        <w:t xml:space="preserve"> the objective of </w:t>
      </w:r>
      <w:r w:rsidR="00525351">
        <w:rPr>
          <w:rFonts w:cstheme="minorHAnsi"/>
          <w:sz w:val="24"/>
          <w:szCs w:val="24"/>
        </w:rPr>
        <w:t xml:space="preserve">the Draft DMIS to </w:t>
      </w:r>
      <w:r>
        <w:rPr>
          <w:rFonts w:cstheme="minorHAnsi"/>
          <w:sz w:val="24"/>
          <w:szCs w:val="24"/>
        </w:rPr>
        <w:t>increas</w:t>
      </w:r>
      <w:r w:rsidR="00525351">
        <w:rPr>
          <w:rFonts w:cstheme="minorHAnsi"/>
          <w:sz w:val="24"/>
          <w:szCs w:val="24"/>
        </w:rPr>
        <w:t>e</w:t>
      </w:r>
      <w:r>
        <w:rPr>
          <w:rFonts w:cstheme="minorHAnsi"/>
          <w:sz w:val="24"/>
          <w:szCs w:val="24"/>
        </w:rPr>
        <w:t xml:space="preserve"> demand side opportunities. </w:t>
      </w:r>
    </w:p>
    <w:p w14:paraId="29CB8BD9" w14:textId="43A42E1F" w:rsidR="001A0BA5" w:rsidRDefault="00544357" w:rsidP="001A0BA5">
      <w:pPr>
        <w:jc w:val="both"/>
        <w:rPr>
          <w:rFonts w:cstheme="minorHAnsi"/>
          <w:sz w:val="24"/>
          <w:lang w:val="en-GB"/>
        </w:rPr>
      </w:pPr>
      <w:r>
        <w:rPr>
          <w:rFonts w:cstheme="minorHAnsi"/>
          <w:sz w:val="24"/>
          <w:szCs w:val="24"/>
        </w:rPr>
        <w:t xml:space="preserve">We note that Energy Queensland has expressed concerns regarding the </w:t>
      </w:r>
      <w:r w:rsidR="0019227B">
        <w:rPr>
          <w:rFonts w:cstheme="minorHAnsi"/>
          <w:sz w:val="24"/>
          <w:szCs w:val="24"/>
        </w:rPr>
        <w:t xml:space="preserve">eligibility </w:t>
      </w:r>
      <w:r>
        <w:rPr>
          <w:rFonts w:cstheme="minorHAnsi"/>
          <w:sz w:val="24"/>
          <w:szCs w:val="24"/>
        </w:rPr>
        <w:t xml:space="preserve">requirements and the implications that </w:t>
      </w:r>
      <w:r w:rsidR="0019227B">
        <w:rPr>
          <w:rFonts w:cstheme="minorHAnsi"/>
          <w:sz w:val="24"/>
          <w:szCs w:val="24"/>
        </w:rPr>
        <w:t xml:space="preserve">this may </w:t>
      </w:r>
      <w:r>
        <w:rPr>
          <w:rFonts w:cstheme="minorHAnsi"/>
          <w:sz w:val="24"/>
          <w:szCs w:val="24"/>
        </w:rPr>
        <w:t xml:space="preserve">have for its </w:t>
      </w:r>
      <w:r>
        <w:rPr>
          <w:rFonts w:cstheme="minorHAnsi"/>
          <w:sz w:val="24"/>
          <w:lang w:val="en-GB"/>
        </w:rPr>
        <w:t>Optimal Incremental Pricing (OIP) program</w:t>
      </w:r>
      <w:r w:rsidR="00525351">
        <w:rPr>
          <w:rFonts w:cstheme="minorHAnsi"/>
          <w:sz w:val="24"/>
          <w:lang w:val="en-GB"/>
        </w:rPr>
        <w:t>.</w:t>
      </w:r>
    </w:p>
    <w:p w14:paraId="3D96A1C7" w14:textId="77777777" w:rsidR="001A0BA5" w:rsidRPr="00544357" w:rsidRDefault="001A0BA5" w:rsidP="00525351">
      <w:pPr>
        <w:spacing w:before="60" w:after="120"/>
        <w:jc w:val="both"/>
        <w:rPr>
          <w:rFonts w:cstheme="minorHAnsi"/>
          <w:sz w:val="24"/>
          <w:szCs w:val="24"/>
        </w:rPr>
      </w:pPr>
      <w:r>
        <w:rPr>
          <w:rFonts w:cstheme="minorHAnsi"/>
          <w:sz w:val="24"/>
          <w:szCs w:val="24"/>
        </w:rPr>
        <w:t>T</w:t>
      </w:r>
      <w:r>
        <w:rPr>
          <w:rFonts w:cstheme="minorHAnsi"/>
          <w:sz w:val="24"/>
          <w:lang w:val="en-GB"/>
        </w:rPr>
        <w:t>he Explanatory Statement for the Draft DMIS summarises the elements of project eligibility as:</w:t>
      </w:r>
    </w:p>
    <w:p w14:paraId="56C92E14" w14:textId="77777777" w:rsidR="001A0BA5" w:rsidRDefault="001A0BA5" w:rsidP="00525351">
      <w:pPr>
        <w:pStyle w:val="ListParagraph"/>
        <w:numPr>
          <w:ilvl w:val="0"/>
          <w:numId w:val="19"/>
        </w:numPr>
        <w:spacing w:before="120" w:after="0"/>
        <w:ind w:left="714" w:hanging="357"/>
        <w:contextualSpacing w:val="0"/>
        <w:jc w:val="both"/>
        <w:rPr>
          <w:rFonts w:cstheme="minorHAnsi"/>
          <w:sz w:val="24"/>
          <w:lang w:val="en-GB"/>
        </w:rPr>
      </w:pPr>
      <w:r>
        <w:rPr>
          <w:rFonts w:cstheme="minorHAnsi"/>
          <w:sz w:val="24"/>
          <w:lang w:val="en-GB"/>
        </w:rPr>
        <w:t>When identifying whether a project is an efficient non-network option, a distributor has either completed a RIT-D or ‘minimum project evaluation requirements’.</w:t>
      </w:r>
    </w:p>
    <w:p w14:paraId="7EF9867C" w14:textId="77777777" w:rsidR="001A0BA5" w:rsidRDefault="001A0BA5" w:rsidP="00525351">
      <w:pPr>
        <w:pStyle w:val="ListParagraph"/>
        <w:numPr>
          <w:ilvl w:val="0"/>
          <w:numId w:val="19"/>
        </w:numPr>
        <w:spacing w:before="120" w:after="0"/>
        <w:ind w:left="714" w:hanging="357"/>
        <w:contextualSpacing w:val="0"/>
        <w:jc w:val="both"/>
        <w:rPr>
          <w:rFonts w:cstheme="minorHAnsi"/>
          <w:sz w:val="24"/>
          <w:lang w:val="en-GB"/>
        </w:rPr>
      </w:pPr>
      <w:r>
        <w:rPr>
          <w:rFonts w:cstheme="minorHAnsi"/>
          <w:sz w:val="24"/>
          <w:lang w:val="en-GB"/>
        </w:rPr>
        <w:t xml:space="preserve">It is efficient if it is a credible option to meet an identified need on the distribution network, where that credible option is the preferred option. </w:t>
      </w:r>
    </w:p>
    <w:p w14:paraId="3C38435C" w14:textId="3B27E704" w:rsidR="001674F1" w:rsidRDefault="001A0BA5" w:rsidP="00525351">
      <w:pPr>
        <w:spacing w:before="240"/>
        <w:jc w:val="both"/>
        <w:rPr>
          <w:rFonts w:cstheme="minorHAnsi"/>
          <w:sz w:val="24"/>
          <w:lang w:val="en-GB"/>
        </w:rPr>
      </w:pPr>
      <w:r>
        <w:rPr>
          <w:rFonts w:cstheme="minorHAnsi"/>
          <w:sz w:val="24"/>
          <w:lang w:val="en-GB"/>
        </w:rPr>
        <w:t xml:space="preserve">The CEC shares the concerns raised by Energy Queensland. The National Electricity Rules (NER) defines “identified need” as the objective a Network Service Provider seeks to achieve </w:t>
      </w:r>
      <w:r w:rsidRPr="00544357">
        <w:rPr>
          <w:rFonts w:cstheme="minorHAnsi"/>
          <w:bCs/>
          <w:sz w:val="24"/>
          <w:lang w:val="en-GB"/>
        </w:rPr>
        <w:t>by investing in the network</w:t>
      </w:r>
      <w:r>
        <w:rPr>
          <w:rFonts w:cstheme="minorHAnsi"/>
          <w:sz w:val="24"/>
          <w:lang w:val="en-GB"/>
        </w:rPr>
        <w:t xml:space="preserve">. This implies a direct correlation to the demand management solution and an alternative capital investment and could limit innovative demand management solutions that could be tied to a network risk rather than an immediate investment. </w:t>
      </w:r>
      <w:bookmarkStart w:id="0" w:name="_GoBack"/>
      <w:bookmarkEnd w:id="0"/>
      <w:r>
        <w:rPr>
          <w:rFonts w:cstheme="minorHAnsi"/>
          <w:sz w:val="24"/>
          <w:lang w:val="en-GB"/>
        </w:rPr>
        <w:t xml:space="preserve">The CEC would be concerned if the Draft DMIS </w:t>
      </w:r>
      <w:r w:rsidR="00DE137E">
        <w:rPr>
          <w:rFonts w:cstheme="minorHAnsi"/>
          <w:sz w:val="24"/>
          <w:lang w:val="en-GB"/>
        </w:rPr>
        <w:t>limited the</w:t>
      </w:r>
      <w:r w:rsidR="006556EC">
        <w:rPr>
          <w:rFonts w:cstheme="minorHAnsi"/>
          <w:sz w:val="24"/>
          <w:lang w:val="en-GB"/>
        </w:rPr>
        <w:t xml:space="preserve"> </w:t>
      </w:r>
      <w:r w:rsidR="0019227B">
        <w:rPr>
          <w:rFonts w:cstheme="minorHAnsi"/>
          <w:sz w:val="24"/>
          <w:lang w:val="en-GB"/>
        </w:rPr>
        <w:t xml:space="preserve">demand side </w:t>
      </w:r>
      <w:r w:rsidR="006556EC">
        <w:rPr>
          <w:rFonts w:cstheme="minorHAnsi"/>
          <w:sz w:val="24"/>
          <w:lang w:val="en-GB"/>
        </w:rPr>
        <w:t xml:space="preserve">opportunities </w:t>
      </w:r>
      <w:r w:rsidR="0019227B">
        <w:rPr>
          <w:rFonts w:cstheme="minorHAnsi"/>
          <w:sz w:val="24"/>
          <w:lang w:val="en-GB"/>
        </w:rPr>
        <w:t xml:space="preserve">that have the potential </w:t>
      </w:r>
      <w:r w:rsidR="001674F1">
        <w:rPr>
          <w:rFonts w:cstheme="minorHAnsi"/>
          <w:sz w:val="24"/>
          <w:lang w:val="en-GB"/>
        </w:rPr>
        <w:t>to reduce long term</w:t>
      </w:r>
      <w:r w:rsidR="006556EC">
        <w:rPr>
          <w:rFonts w:cstheme="minorHAnsi"/>
          <w:sz w:val="24"/>
          <w:lang w:val="en-GB"/>
        </w:rPr>
        <w:t xml:space="preserve"> </w:t>
      </w:r>
      <w:r w:rsidR="001674F1">
        <w:rPr>
          <w:rFonts w:cstheme="minorHAnsi"/>
          <w:sz w:val="24"/>
          <w:lang w:val="en-GB"/>
        </w:rPr>
        <w:t>network investments, such as such as those provided by programs like the OIP.</w:t>
      </w:r>
      <w:r w:rsidR="001674F1" w:rsidDel="006556EC">
        <w:rPr>
          <w:rFonts w:cstheme="minorHAnsi"/>
          <w:sz w:val="24"/>
          <w:lang w:val="en-GB"/>
        </w:rPr>
        <w:t xml:space="preserve"> </w:t>
      </w:r>
    </w:p>
    <w:p w14:paraId="12DC347D" w14:textId="438D78FE" w:rsidR="001A0BA5" w:rsidRDefault="001A0BA5" w:rsidP="001A0BA5">
      <w:pPr>
        <w:jc w:val="both"/>
        <w:rPr>
          <w:rFonts w:cstheme="minorHAnsi"/>
          <w:sz w:val="24"/>
          <w:lang w:val="en-GB"/>
        </w:rPr>
      </w:pPr>
      <w:r>
        <w:rPr>
          <w:rFonts w:cstheme="minorHAnsi"/>
          <w:sz w:val="24"/>
          <w:lang w:val="en-GB"/>
        </w:rPr>
        <w:t>We concur with the view expressed by Energy Queensland that broader application of the scheme which maintains the principles of the scheme objective would incentivise greater uptake of innovative demand management solutions.</w:t>
      </w:r>
    </w:p>
    <w:p w14:paraId="41F7A438" w14:textId="77777777" w:rsidR="001A0BA5" w:rsidRDefault="001A0BA5" w:rsidP="001B79CF">
      <w:pPr>
        <w:spacing w:before="60"/>
        <w:jc w:val="both"/>
        <w:rPr>
          <w:rFonts w:cstheme="minorHAnsi"/>
          <w:sz w:val="24"/>
          <w:lang w:val="en-GB"/>
        </w:rPr>
      </w:pPr>
    </w:p>
    <w:p w14:paraId="15F03653" w14:textId="77777777" w:rsidR="001A0BA5" w:rsidRDefault="001A0BA5" w:rsidP="001B79CF">
      <w:pPr>
        <w:spacing w:before="60"/>
        <w:jc w:val="both"/>
        <w:rPr>
          <w:rFonts w:cstheme="minorHAnsi"/>
          <w:sz w:val="24"/>
          <w:lang w:val="en-GB"/>
        </w:rPr>
      </w:pPr>
    </w:p>
    <w:p w14:paraId="3B60CEE4" w14:textId="77777777" w:rsidR="001A0BA5" w:rsidRDefault="001A0BA5" w:rsidP="001B79CF">
      <w:pPr>
        <w:spacing w:before="60"/>
        <w:jc w:val="both"/>
        <w:rPr>
          <w:rFonts w:cstheme="minorHAnsi"/>
          <w:sz w:val="24"/>
          <w:lang w:val="en-GB"/>
        </w:rPr>
      </w:pPr>
    </w:p>
    <w:p w14:paraId="5B36BA5D" w14:textId="77777777" w:rsidR="003739F7" w:rsidRPr="003739F7" w:rsidRDefault="003739F7" w:rsidP="003739F7">
      <w:pPr>
        <w:jc w:val="both"/>
        <w:rPr>
          <w:rFonts w:cstheme="minorHAnsi"/>
          <w:sz w:val="24"/>
        </w:rPr>
      </w:pPr>
    </w:p>
    <w:sectPr w:rsidR="003739F7" w:rsidRPr="003739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9A6A7" w14:textId="77777777" w:rsidR="00285B02" w:rsidRDefault="00285B02" w:rsidP="00285B02">
      <w:pPr>
        <w:spacing w:after="0" w:line="240" w:lineRule="auto"/>
      </w:pPr>
      <w:r>
        <w:separator/>
      </w:r>
    </w:p>
  </w:endnote>
  <w:endnote w:type="continuationSeparator" w:id="0">
    <w:p w14:paraId="55C6472E" w14:textId="77777777" w:rsidR="00285B02" w:rsidRDefault="00285B02" w:rsidP="0028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850CF" w14:textId="77777777" w:rsidR="00285B02" w:rsidRDefault="00285B02" w:rsidP="00285B02">
      <w:pPr>
        <w:spacing w:after="0" w:line="240" w:lineRule="auto"/>
      </w:pPr>
      <w:r>
        <w:separator/>
      </w:r>
    </w:p>
  </w:footnote>
  <w:footnote w:type="continuationSeparator" w:id="0">
    <w:p w14:paraId="057585CA" w14:textId="77777777" w:rsidR="00285B02" w:rsidRDefault="00285B02" w:rsidP="00285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C39"/>
    <w:multiLevelType w:val="multilevel"/>
    <w:tmpl w:val="4CC6A70C"/>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05861C6A"/>
    <w:multiLevelType w:val="hybridMultilevel"/>
    <w:tmpl w:val="83E8F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30E61"/>
    <w:multiLevelType w:val="hybridMultilevel"/>
    <w:tmpl w:val="B686B8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B951640"/>
    <w:multiLevelType w:val="hybridMultilevel"/>
    <w:tmpl w:val="D8E671C4"/>
    <w:lvl w:ilvl="0" w:tplc="92BE1DDC">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B61AC7"/>
    <w:multiLevelType w:val="hybridMultilevel"/>
    <w:tmpl w:val="1210372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2B1617F8"/>
    <w:multiLevelType w:val="hybridMultilevel"/>
    <w:tmpl w:val="8856E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9C10DB"/>
    <w:multiLevelType w:val="hybridMultilevel"/>
    <w:tmpl w:val="7402F5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4756C9"/>
    <w:multiLevelType w:val="hybridMultilevel"/>
    <w:tmpl w:val="470E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1C1245"/>
    <w:multiLevelType w:val="hybridMultilevel"/>
    <w:tmpl w:val="38FED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136EBE"/>
    <w:multiLevelType w:val="hybridMultilevel"/>
    <w:tmpl w:val="91F4A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BA12BB"/>
    <w:multiLevelType w:val="hybridMultilevel"/>
    <w:tmpl w:val="76A87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4D10514"/>
    <w:multiLevelType w:val="hybridMultilevel"/>
    <w:tmpl w:val="104ECE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6313217"/>
    <w:multiLevelType w:val="hybridMultilevel"/>
    <w:tmpl w:val="B38CB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D3258E"/>
    <w:multiLevelType w:val="hybridMultilevel"/>
    <w:tmpl w:val="7D580338"/>
    <w:lvl w:ilvl="0" w:tplc="BD0CFA5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826EB5"/>
    <w:multiLevelType w:val="hybridMultilevel"/>
    <w:tmpl w:val="EF46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183BE7"/>
    <w:multiLevelType w:val="hybridMultilevel"/>
    <w:tmpl w:val="09625DC4"/>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15"/>
  </w:num>
  <w:num w:numId="5">
    <w:abstractNumId w:val="4"/>
  </w:num>
  <w:num w:numId="6">
    <w:abstractNumId w:val="3"/>
  </w:num>
  <w:num w:numId="7">
    <w:abstractNumId w:val="9"/>
  </w:num>
  <w:num w:numId="8">
    <w:abstractNumId w:val="8"/>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1"/>
  </w:num>
  <w:num w:numId="13">
    <w:abstractNumId w:val="14"/>
  </w:num>
  <w:num w:numId="14">
    <w:abstractNumId w:val="9"/>
  </w:num>
  <w:num w:numId="15">
    <w:abstractNumId w:val="4"/>
  </w:num>
  <w:num w:numId="16">
    <w:abstractNumId w:val="5"/>
  </w:num>
  <w:num w:numId="17">
    <w:abstractNumId w:val="6"/>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36"/>
    <w:rsid w:val="0000082E"/>
    <w:rsid w:val="00005B7B"/>
    <w:rsid w:val="0001714F"/>
    <w:rsid w:val="00020D31"/>
    <w:rsid w:val="00021CBD"/>
    <w:rsid w:val="00033CE9"/>
    <w:rsid w:val="00033FB5"/>
    <w:rsid w:val="00041AE2"/>
    <w:rsid w:val="00042C31"/>
    <w:rsid w:val="00043B50"/>
    <w:rsid w:val="00051901"/>
    <w:rsid w:val="00062ECB"/>
    <w:rsid w:val="00067C69"/>
    <w:rsid w:val="00095D82"/>
    <w:rsid w:val="000B011C"/>
    <w:rsid w:val="000B497E"/>
    <w:rsid w:val="000B5DC0"/>
    <w:rsid w:val="000C6780"/>
    <w:rsid w:val="000D332C"/>
    <w:rsid w:val="000E1733"/>
    <w:rsid w:val="000F0BA0"/>
    <w:rsid w:val="000F67EB"/>
    <w:rsid w:val="00100874"/>
    <w:rsid w:val="00104298"/>
    <w:rsid w:val="001100E1"/>
    <w:rsid w:val="00121A7C"/>
    <w:rsid w:val="00130027"/>
    <w:rsid w:val="001571F4"/>
    <w:rsid w:val="001674F1"/>
    <w:rsid w:val="00167C44"/>
    <w:rsid w:val="00173EB4"/>
    <w:rsid w:val="00174B9D"/>
    <w:rsid w:val="00174DB6"/>
    <w:rsid w:val="00175006"/>
    <w:rsid w:val="00187BAE"/>
    <w:rsid w:val="0019088D"/>
    <w:rsid w:val="0019227B"/>
    <w:rsid w:val="001A07F7"/>
    <w:rsid w:val="001A0BA5"/>
    <w:rsid w:val="001A4749"/>
    <w:rsid w:val="001B79CF"/>
    <w:rsid w:val="001C022E"/>
    <w:rsid w:val="001E6E02"/>
    <w:rsid w:val="001F3914"/>
    <w:rsid w:val="001F4E48"/>
    <w:rsid w:val="00204CC5"/>
    <w:rsid w:val="002056DA"/>
    <w:rsid w:val="002066FC"/>
    <w:rsid w:val="00214B70"/>
    <w:rsid w:val="00214F84"/>
    <w:rsid w:val="00224852"/>
    <w:rsid w:val="00230501"/>
    <w:rsid w:val="00232FDE"/>
    <w:rsid w:val="0023770E"/>
    <w:rsid w:val="0026410E"/>
    <w:rsid w:val="00276E61"/>
    <w:rsid w:val="00281FB1"/>
    <w:rsid w:val="00282FE4"/>
    <w:rsid w:val="00285B02"/>
    <w:rsid w:val="00287CFC"/>
    <w:rsid w:val="002A6303"/>
    <w:rsid w:val="002A6CBE"/>
    <w:rsid w:val="002B1380"/>
    <w:rsid w:val="002B1639"/>
    <w:rsid w:val="002B28DF"/>
    <w:rsid w:val="002B50C8"/>
    <w:rsid w:val="002E21CB"/>
    <w:rsid w:val="002F480F"/>
    <w:rsid w:val="002F7EF3"/>
    <w:rsid w:val="00301346"/>
    <w:rsid w:val="00304789"/>
    <w:rsid w:val="00305DE8"/>
    <w:rsid w:val="00306713"/>
    <w:rsid w:val="00310C47"/>
    <w:rsid w:val="00320655"/>
    <w:rsid w:val="00323F1A"/>
    <w:rsid w:val="003253F9"/>
    <w:rsid w:val="00330871"/>
    <w:rsid w:val="00330E03"/>
    <w:rsid w:val="0033138B"/>
    <w:rsid w:val="00343117"/>
    <w:rsid w:val="00345E63"/>
    <w:rsid w:val="0035166A"/>
    <w:rsid w:val="003540C7"/>
    <w:rsid w:val="00366D5E"/>
    <w:rsid w:val="0037013E"/>
    <w:rsid w:val="0037290B"/>
    <w:rsid w:val="003739F7"/>
    <w:rsid w:val="00377141"/>
    <w:rsid w:val="0038000D"/>
    <w:rsid w:val="00380B86"/>
    <w:rsid w:val="00386DC3"/>
    <w:rsid w:val="00387872"/>
    <w:rsid w:val="00393C1E"/>
    <w:rsid w:val="00394973"/>
    <w:rsid w:val="00395B82"/>
    <w:rsid w:val="003A3013"/>
    <w:rsid w:val="003A6C9A"/>
    <w:rsid w:val="003E5424"/>
    <w:rsid w:val="00401221"/>
    <w:rsid w:val="004015F7"/>
    <w:rsid w:val="00407134"/>
    <w:rsid w:val="004122A7"/>
    <w:rsid w:val="00416B42"/>
    <w:rsid w:val="004261C1"/>
    <w:rsid w:val="00435F1F"/>
    <w:rsid w:val="00445BFA"/>
    <w:rsid w:val="00447A45"/>
    <w:rsid w:val="00461B90"/>
    <w:rsid w:val="00464EEA"/>
    <w:rsid w:val="00465D69"/>
    <w:rsid w:val="00496D2C"/>
    <w:rsid w:val="004A14AF"/>
    <w:rsid w:val="004B215A"/>
    <w:rsid w:val="004B395A"/>
    <w:rsid w:val="004E1679"/>
    <w:rsid w:val="004E3173"/>
    <w:rsid w:val="004E58FF"/>
    <w:rsid w:val="004F2D8E"/>
    <w:rsid w:val="004F627B"/>
    <w:rsid w:val="004F6A6B"/>
    <w:rsid w:val="00502159"/>
    <w:rsid w:val="00502257"/>
    <w:rsid w:val="0050451E"/>
    <w:rsid w:val="00525351"/>
    <w:rsid w:val="005261EC"/>
    <w:rsid w:val="00530866"/>
    <w:rsid w:val="00537818"/>
    <w:rsid w:val="005403ED"/>
    <w:rsid w:val="00544357"/>
    <w:rsid w:val="00544704"/>
    <w:rsid w:val="00550E35"/>
    <w:rsid w:val="00554918"/>
    <w:rsid w:val="00565A99"/>
    <w:rsid w:val="0057791A"/>
    <w:rsid w:val="0058184E"/>
    <w:rsid w:val="005958D9"/>
    <w:rsid w:val="005A3AF8"/>
    <w:rsid w:val="005B0282"/>
    <w:rsid w:val="005C394A"/>
    <w:rsid w:val="005D0315"/>
    <w:rsid w:val="005D1975"/>
    <w:rsid w:val="005D4CF0"/>
    <w:rsid w:val="005E2C03"/>
    <w:rsid w:val="005E6C61"/>
    <w:rsid w:val="005F012A"/>
    <w:rsid w:val="005F40A7"/>
    <w:rsid w:val="005F4FD2"/>
    <w:rsid w:val="00600142"/>
    <w:rsid w:val="0060387A"/>
    <w:rsid w:val="0060536C"/>
    <w:rsid w:val="00607326"/>
    <w:rsid w:val="0061164E"/>
    <w:rsid w:val="00613CB8"/>
    <w:rsid w:val="006155BD"/>
    <w:rsid w:val="00617DB7"/>
    <w:rsid w:val="00622710"/>
    <w:rsid w:val="00632B77"/>
    <w:rsid w:val="00642338"/>
    <w:rsid w:val="006556EC"/>
    <w:rsid w:val="006556FB"/>
    <w:rsid w:val="00660E49"/>
    <w:rsid w:val="0066488A"/>
    <w:rsid w:val="00674CF7"/>
    <w:rsid w:val="0068758E"/>
    <w:rsid w:val="0068768F"/>
    <w:rsid w:val="00693FF0"/>
    <w:rsid w:val="00695D3E"/>
    <w:rsid w:val="006A32B7"/>
    <w:rsid w:val="006A6A3C"/>
    <w:rsid w:val="006B0722"/>
    <w:rsid w:val="006B47EA"/>
    <w:rsid w:val="006B5474"/>
    <w:rsid w:val="006C0483"/>
    <w:rsid w:val="006D6CC3"/>
    <w:rsid w:val="006D7F98"/>
    <w:rsid w:val="006E049A"/>
    <w:rsid w:val="006E0FE5"/>
    <w:rsid w:val="006E4051"/>
    <w:rsid w:val="006E50A1"/>
    <w:rsid w:val="006F7DB5"/>
    <w:rsid w:val="007020B9"/>
    <w:rsid w:val="00706688"/>
    <w:rsid w:val="00710FCD"/>
    <w:rsid w:val="00720037"/>
    <w:rsid w:val="00722D0C"/>
    <w:rsid w:val="00725A16"/>
    <w:rsid w:val="00732170"/>
    <w:rsid w:val="00735D85"/>
    <w:rsid w:val="00745820"/>
    <w:rsid w:val="00747707"/>
    <w:rsid w:val="00756CE4"/>
    <w:rsid w:val="00757810"/>
    <w:rsid w:val="00774D5D"/>
    <w:rsid w:val="0077738F"/>
    <w:rsid w:val="00794D4A"/>
    <w:rsid w:val="007958CC"/>
    <w:rsid w:val="00796492"/>
    <w:rsid w:val="007A289A"/>
    <w:rsid w:val="007A647D"/>
    <w:rsid w:val="007D1A7F"/>
    <w:rsid w:val="007D1E91"/>
    <w:rsid w:val="007D485A"/>
    <w:rsid w:val="00803B23"/>
    <w:rsid w:val="0080583D"/>
    <w:rsid w:val="00805AEE"/>
    <w:rsid w:val="00815FA1"/>
    <w:rsid w:val="008209D5"/>
    <w:rsid w:val="008272DF"/>
    <w:rsid w:val="00837A36"/>
    <w:rsid w:val="00837C45"/>
    <w:rsid w:val="00844794"/>
    <w:rsid w:val="00846059"/>
    <w:rsid w:val="00852490"/>
    <w:rsid w:val="00865176"/>
    <w:rsid w:val="00873758"/>
    <w:rsid w:val="00875D5D"/>
    <w:rsid w:val="008A1865"/>
    <w:rsid w:val="008A316E"/>
    <w:rsid w:val="008A3BFA"/>
    <w:rsid w:val="008B1F9A"/>
    <w:rsid w:val="008B2ED7"/>
    <w:rsid w:val="008B7127"/>
    <w:rsid w:val="008C3786"/>
    <w:rsid w:val="008C6B47"/>
    <w:rsid w:val="008E540D"/>
    <w:rsid w:val="008F559E"/>
    <w:rsid w:val="008F5BFA"/>
    <w:rsid w:val="00911441"/>
    <w:rsid w:val="00923BB8"/>
    <w:rsid w:val="009314FB"/>
    <w:rsid w:val="00931B84"/>
    <w:rsid w:val="00932D49"/>
    <w:rsid w:val="00934A82"/>
    <w:rsid w:val="00946649"/>
    <w:rsid w:val="00967BB4"/>
    <w:rsid w:val="0098715E"/>
    <w:rsid w:val="00994A47"/>
    <w:rsid w:val="009A14F8"/>
    <w:rsid w:val="009A7C8F"/>
    <w:rsid w:val="009B7BBB"/>
    <w:rsid w:val="009C6936"/>
    <w:rsid w:val="009C6F2A"/>
    <w:rsid w:val="009E2E8C"/>
    <w:rsid w:val="009E6AE7"/>
    <w:rsid w:val="009F0AB8"/>
    <w:rsid w:val="009F110E"/>
    <w:rsid w:val="009F1E92"/>
    <w:rsid w:val="00A158BB"/>
    <w:rsid w:val="00A240D5"/>
    <w:rsid w:val="00A32AB6"/>
    <w:rsid w:val="00A46B34"/>
    <w:rsid w:val="00A53EA8"/>
    <w:rsid w:val="00A6122D"/>
    <w:rsid w:val="00A620A1"/>
    <w:rsid w:val="00A718A4"/>
    <w:rsid w:val="00A7676D"/>
    <w:rsid w:val="00AA022A"/>
    <w:rsid w:val="00AA282A"/>
    <w:rsid w:val="00AB1012"/>
    <w:rsid w:val="00AB535D"/>
    <w:rsid w:val="00AE2F66"/>
    <w:rsid w:val="00AE67F0"/>
    <w:rsid w:val="00AF078A"/>
    <w:rsid w:val="00AF76A6"/>
    <w:rsid w:val="00B078B2"/>
    <w:rsid w:val="00B11A8C"/>
    <w:rsid w:val="00B17303"/>
    <w:rsid w:val="00B20B06"/>
    <w:rsid w:val="00B20B42"/>
    <w:rsid w:val="00B2295B"/>
    <w:rsid w:val="00B25D19"/>
    <w:rsid w:val="00B34734"/>
    <w:rsid w:val="00B41774"/>
    <w:rsid w:val="00B44A38"/>
    <w:rsid w:val="00B5636F"/>
    <w:rsid w:val="00B576DF"/>
    <w:rsid w:val="00B80BF4"/>
    <w:rsid w:val="00B84816"/>
    <w:rsid w:val="00B91261"/>
    <w:rsid w:val="00B935D0"/>
    <w:rsid w:val="00BA176E"/>
    <w:rsid w:val="00BA5471"/>
    <w:rsid w:val="00BB1A53"/>
    <w:rsid w:val="00BB767F"/>
    <w:rsid w:val="00BD43FE"/>
    <w:rsid w:val="00BE4AB8"/>
    <w:rsid w:val="00BE758E"/>
    <w:rsid w:val="00BF4272"/>
    <w:rsid w:val="00BF6485"/>
    <w:rsid w:val="00C077A5"/>
    <w:rsid w:val="00C1309A"/>
    <w:rsid w:val="00C17863"/>
    <w:rsid w:val="00C3708B"/>
    <w:rsid w:val="00C37325"/>
    <w:rsid w:val="00C51C3E"/>
    <w:rsid w:val="00C53E98"/>
    <w:rsid w:val="00C54E1D"/>
    <w:rsid w:val="00C62037"/>
    <w:rsid w:val="00C67F2B"/>
    <w:rsid w:val="00C72A64"/>
    <w:rsid w:val="00C76A27"/>
    <w:rsid w:val="00C81F10"/>
    <w:rsid w:val="00C82ADD"/>
    <w:rsid w:val="00C9525B"/>
    <w:rsid w:val="00C97CA8"/>
    <w:rsid w:val="00CA7F0C"/>
    <w:rsid w:val="00CB4AAF"/>
    <w:rsid w:val="00CC053D"/>
    <w:rsid w:val="00CC3538"/>
    <w:rsid w:val="00CE0DB7"/>
    <w:rsid w:val="00CF5F5D"/>
    <w:rsid w:val="00D035A0"/>
    <w:rsid w:val="00D1098E"/>
    <w:rsid w:val="00D157DE"/>
    <w:rsid w:val="00D33DB4"/>
    <w:rsid w:val="00D36031"/>
    <w:rsid w:val="00D374D9"/>
    <w:rsid w:val="00D432A0"/>
    <w:rsid w:val="00D51F6B"/>
    <w:rsid w:val="00D55612"/>
    <w:rsid w:val="00D60BD4"/>
    <w:rsid w:val="00D635D8"/>
    <w:rsid w:val="00D81C08"/>
    <w:rsid w:val="00D87E3F"/>
    <w:rsid w:val="00D9404F"/>
    <w:rsid w:val="00D9522F"/>
    <w:rsid w:val="00DA01D9"/>
    <w:rsid w:val="00DA2B47"/>
    <w:rsid w:val="00DB2850"/>
    <w:rsid w:val="00DD2260"/>
    <w:rsid w:val="00DD4442"/>
    <w:rsid w:val="00DE137E"/>
    <w:rsid w:val="00E00D50"/>
    <w:rsid w:val="00E07FA5"/>
    <w:rsid w:val="00E303D4"/>
    <w:rsid w:val="00E31FAA"/>
    <w:rsid w:val="00E33049"/>
    <w:rsid w:val="00E4712F"/>
    <w:rsid w:val="00E545E9"/>
    <w:rsid w:val="00E55FF4"/>
    <w:rsid w:val="00E566FC"/>
    <w:rsid w:val="00E62AFD"/>
    <w:rsid w:val="00E66861"/>
    <w:rsid w:val="00E70279"/>
    <w:rsid w:val="00E70A2A"/>
    <w:rsid w:val="00E76CC9"/>
    <w:rsid w:val="00E85328"/>
    <w:rsid w:val="00EB5788"/>
    <w:rsid w:val="00EB7404"/>
    <w:rsid w:val="00EC4BE3"/>
    <w:rsid w:val="00EC5E69"/>
    <w:rsid w:val="00EE2EB7"/>
    <w:rsid w:val="00EE5709"/>
    <w:rsid w:val="00EF30F3"/>
    <w:rsid w:val="00EF424B"/>
    <w:rsid w:val="00EF6266"/>
    <w:rsid w:val="00EF677A"/>
    <w:rsid w:val="00EF6C50"/>
    <w:rsid w:val="00EF72C6"/>
    <w:rsid w:val="00EF734A"/>
    <w:rsid w:val="00F011D9"/>
    <w:rsid w:val="00F04FFB"/>
    <w:rsid w:val="00F215CB"/>
    <w:rsid w:val="00F26C9F"/>
    <w:rsid w:val="00F31EAA"/>
    <w:rsid w:val="00F45FA7"/>
    <w:rsid w:val="00F4794D"/>
    <w:rsid w:val="00F50285"/>
    <w:rsid w:val="00F543A4"/>
    <w:rsid w:val="00F62F88"/>
    <w:rsid w:val="00F67C6C"/>
    <w:rsid w:val="00F87AB7"/>
    <w:rsid w:val="00F93550"/>
    <w:rsid w:val="00FA432C"/>
    <w:rsid w:val="00FB0B75"/>
    <w:rsid w:val="00FB6A4C"/>
    <w:rsid w:val="00FC2130"/>
    <w:rsid w:val="00FC3EFF"/>
    <w:rsid w:val="00FD3CAF"/>
    <w:rsid w:val="00FD65C1"/>
    <w:rsid w:val="00FE2EF4"/>
    <w:rsid w:val="00FE613E"/>
    <w:rsid w:val="00FF6CD0"/>
    <w:rsid w:val="00FF6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74AB"/>
  <w15:docId w15:val="{459549EF-173B-48D7-819A-B9BCE084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2"/>
    <w:qFormat/>
    <w:rsid w:val="00B576DF"/>
    <w:pPr>
      <w:ind w:left="720"/>
      <w:contextualSpacing/>
    </w:pPr>
  </w:style>
  <w:style w:type="table" w:styleId="TableGrid">
    <w:name w:val="Table Grid"/>
    <w:basedOn w:val="TableNormal"/>
    <w:uiPriority w:val="59"/>
    <w:rsid w:val="00DA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2C31"/>
    <w:rPr>
      <w:color w:val="0000FF" w:themeColor="hyperlink"/>
      <w:u w:val="single"/>
    </w:rPr>
  </w:style>
  <w:style w:type="paragraph" w:styleId="BalloonText">
    <w:name w:val="Balloon Text"/>
    <w:basedOn w:val="Normal"/>
    <w:link w:val="BalloonTextChar"/>
    <w:uiPriority w:val="99"/>
    <w:semiHidden/>
    <w:unhideWhenUsed/>
    <w:rsid w:val="00EF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2C6"/>
    <w:rPr>
      <w:rFonts w:ascii="Tahoma" w:hAnsi="Tahoma" w:cs="Tahoma"/>
      <w:sz w:val="16"/>
      <w:szCs w:val="16"/>
    </w:rPr>
  </w:style>
  <w:style w:type="paragraph" w:styleId="CommentText">
    <w:name w:val="annotation text"/>
    <w:basedOn w:val="Normal"/>
    <w:link w:val="CommentTextChar"/>
    <w:uiPriority w:val="99"/>
    <w:unhideWhenUsed/>
    <w:rsid w:val="00A7676D"/>
    <w:pPr>
      <w:spacing w:line="240" w:lineRule="auto"/>
    </w:pPr>
    <w:rPr>
      <w:sz w:val="20"/>
      <w:szCs w:val="20"/>
    </w:rPr>
  </w:style>
  <w:style w:type="character" w:customStyle="1" w:styleId="CommentTextChar">
    <w:name w:val="Comment Text Char"/>
    <w:basedOn w:val="DefaultParagraphFont"/>
    <w:link w:val="CommentText"/>
    <w:uiPriority w:val="99"/>
    <w:rsid w:val="00A7676D"/>
    <w:rPr>
      <w:sz w:val="20"/>
      <w:szCs w:val="20"/>
    </w:rPr>
  </w:style>
  <w:style w:type="character" w:styleId="CommentReference">
    <w:name w:val="annotation reference"/>
    <w:basedOn w:val="DefaultParagraphFont"/>
    <w:uiPriority w:val="99"/>
    <w:semiHidden/>
    <w:unhideWhenUsed/>
    <w:rsid w:val="00A7676D"/>
    <w:rPr>
      <w:sz w:val="16"/>
      <w:szCs w:val="16"/>
    </w:rPr>
  </w:style>
  <w:style w:type="paragraph" w:styleId="FootnoteText">
    <w:name w:val="footnote text"/>
    <w:basedOn w:val="Normal"/>
    <w:link w:val="FootnoteTextChar"/>
    <w:uiPriority w:val="99"/>
    <w:semiHidden/>
    <w:unhideWhenUsed/>
    <w:rsid w:val="00285B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B02"/>
    <w:rPr>
      <w:sz w:val="20"/>
      <w:szCs w:val="20"/>
    </w:rPr>
  </w:style>
  <w:style w:type="character" w:customStyle="1" w:styleId="ListParagraphChar">
    <w:name w:val="List Paragraph Char"/>
    <w:basedOn w:val="DefaultParagraphFont"/>
    <w:link w:val="ListParagraph"/>
    <w:uiPriority w:val="34"/>
    <w:locked/>
    <w:rsid w:val="00285B02"/>
  </w:style>
  <w:style w:type="character" w:styleId="FootnoteReference">
    <w:name w:val="footnote reference"/>
    <w:basedOn w:val="DefaultParagraphFont"/>
    <w:uiPriority w:val="99"/>
    <w:semiHidden/>
    <w:unhideWhenUsed/>
    <w:rsid w:val="00285B02"/>
    <w:rPr>
      <w:vertAlign w:val="superscript"/>
    </w:rPr>
  </w:style>
  <w:style w:type="paragraph" w:customStyle="1" w:styleId="Default">
    <w:name w:val="Default"/>
    <w:rsid w:val="00F87AB7"/>
    <w:pPr>
      <w:autoSpaceDE w:val="0"/>
      <w:autoSpaceDN w:val="0"/>
      <w:adjustRightInd w:val="0"/>
      <w:spacing w:after="0" w:line="240" w:lineRule="auto"/>
    </w:pPr>
    <w:rPr>
      <w:rFonts w:ascii="Tahoma" w:hAnsi="Tahoma" w:cs="Tahoma"/>
      <w:color w:val="000000"/>
      <w:sz w:val="24"/>
      <w:szCs w:val="24"/>
    </w:rPr>
  </w:style>
  <w:style w:type="character" w:styleId="FollowedHyperlink">
    <w:name w:val="FollowedHyperlink"/>
    <w:basedOn w:val="DefaultParagraphFont"/>
    <w:uiPriority w:val="99"/>
    <w:semiHidden/>
    <w:unhideWhenUsed/>
    <w:rsid w:val="00B44A38"/>
    <w:rPr>
      <w:color w:val="800080" w:themeColor="followedHyperlink"/>
      <w:u w:val="single"/>
    </w:rPr>
  </w:style>
  <w:style w:type="paragraph" w:styleId="PlainText">
    <w:name w:val="Plain Text"/>
    <w:basedOn w:val="Normal"/>
    <w:link w:val="PlainTextChar"/>
    <w:uiPriority w:val="99"/>
    <w:unhideWhenUsed/>
    <w:rsid w:val="00660E4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60E49"/>
    <w:rPr>
      <w:rFonts w:ascii="Calibri" w:hAnsi="Calibri"/>
      <w:szCs w:val="21"/>
    </w:rPr>
  </w:style>
  <w:style w:type="paragraph" w:styleId="CommentSubject">
    <w:name w:val="annotation subject"/>
    <w:basedOn w:val="CommentText"/>
    <w:next w:val="CommentText"/>
    <w:link w:val="CommentSubjectChar"/>
    <w:uiPriority w:val="99"/>
    <w:semiHidden/>
    <w:unhideWhenUsed/>
    <w:rsid w:val="006B47EA"/>
    <w:rPr>
      <w:b/>
      <w:bCs/>
    </w:rPr>
  </w:style>
  <w:style w:type="character" w:customStyle="1" w:styleId="CommentSubjectChar">
    <w:name w:val="Comment Subject Char"/>
    <w:basedOn w:val="CommentTextChar"/>
    <w:link w:val="CommentSubject"/>
    <w:uiPriority w:val="99"/>
    <w:semiHidden/>
    <w:rsid w:val="006B47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2514">
      <w:bodyDiv w:val="1"/>
      <w:marLeft w:val="0"/>
      <w:marRight w:val="0"/>
      <w:marTop w:val="0"/>
      <w:marBottom w:val="0"/>
      <w:divBdr>
        <w:top w:val="none" w:sz="0" w:space="0" w:color="auto"/>
        <w:left w:val="none" w:sz="0" w:space="0" w:color="auto"/>
        <w:bottom w:val="none" w:sz="0" w:space="0" w:color="auto"/>
        <w:right w:val="none" w:sz="0" w:space="0" w:color="auto"/>
      </w:divBdr>
    </w:div>
    <w:div w:id="226690932">
      <w:bodyDiv w:val="1"/>
      <w:marLeft w:val="0"/>
      <w:marRight w:val="0"/>
      <w:marTop w:val="0"/>
      <w:marBottom w:val="0"/>
      <w:divBdr>
        <w:top w:val="none" w:sz="0" w:space="0" w:color="auto"/>
        <w:left w:val="none" w:sz="0" w:space="0" w:color="auto"/>
        <w:bottom w:val="none" w:sz="0" w:space="0" w:color="auto"/>
        <w:right w:val="none" w:sz="0" w:space="0" w:color="auto"/>
      </w:divBdr>
    </w:div>
    <w:div w:id="338118007">
      <w:bodyDiv w:val="1"/>
      <w:marLeft w:val="0"/>
      <w:marRight w:val="0"/>
      <w:marTop w:val="0"/>
      <w:marBottom w:val="0"/>
      <w:divBdr>
        <w:top w:val="none" w:sz="0" w:space="0" w:color="auto"/>
        <w:left w:val="none" w:sz="0" w:space="0" w:color="auto"/>
        <w:bottom w:val="none" w:sz="0" w:space="0" w:color="auto"/>
        <w:right w:val="none" w:sz="0" w:space="0" w:color="auto"/>
      </w:divBdr>
    </w:div>
    <w:div w:id="366878094">
      <w:bodyDiv w:val="1"/>
      <w:marLeft w:val="0"/>
      <w:marRight w:val="0"/>
      <w:marTop w:val="0"/>
      <w:marBottom w:val="0"/>
      <w:divBdr>
        <w:top w:val="none" w:sz="0" w:space="0" w:color="auto"/>
        <w:left w:val="none" w:sz="0" w:space="0" w:color="auto"/>
        <w:bottom w:val="none" w:sz="0" w:space="0" w:color="auto"/>
        <w:right w:val="none" w:sz="0" w:space="0" w:color="auto"/>
      </w:divBdr>
    </w:div>
    <w:div w:id="384762255">
      <w:bodyDiv w:val="1"/>
      <w:marLeft w:val="0"/>
      <w:marRight w:val="0"/>
      <w:marTop w:val="0"/>
      <w:marBottom w:val="0"/>
      <w:divBdr>
        <w:top w:val="none" w:sz="0" w:space="0" w:color="auto"/>
        <w:left w:val="none" w:sz="0" w:space="0" w:color="auto"/>
        <w:bottom w:val="none" w:sz="0" w:space="0" w:color="auto"/>
        <w:right w:val="none" w:sz="0" w:space="0" w:color="auto"/>
      </w:divBdr>
    </w:div>
    <w:div w:id="478884800">
      <w:bodyDiv w:val="1"/>
      <w:marLeft w:val="0"/>
      <w:marRight w:val="0"/>
      <w:marTop w:val="0"/>
      <w:marBottom w:val="0"/>
      <w:divBdr>
        <w:top w:val="none" w:sz="0" w:space="0" w:color="auto"/>
        <w:left w:val="none" w:sz="0" w:space="0" w:color="auto"/>
        <w:bottom w:val="none" w:sz="0" w:space="0" w:color="auto"/>
        <w:right w:val="none" w:sz="0" w:space="0" w:color="auto"/>
      </w:divBdr>
    </w:div>
    <w:div w:id="561985132">
      <w:bodyDiv w:val="1"/>
      <w:marLeft w:val="0"/>
      <w:marRight w:val="0"/>
      <w:marTop w:val="0"/>
      <w:marBottom w:val="0"/>
      <w:divBdr>
        <w:top w:val="none" w:sz="0" w:space="0" w:color="auto"/>
        <w:left w:val="none" w:sz="0" w:space="0" w:color="auto"/>
        <w:bottom w:val="none" w:sz="0" w:space="0" w:color="auto"/>
        <w:right w:val="none" w:sz="0" w:space="0" w:color="auto"/>
      </w:divBdr>
    </w:div>
    <w:div w:id="776369999">
      <w:bodyDiv w:val="1"/>
      <w:marLeft w:val="0"/>
      <w:marRight w:val="0"/>
      <w:marTop w:val="0"/>
      <w:marBottom w:val="0"/>
      <w:divBdr>
        <w:top w:val="none" w:sz="0" w:space="0" w:color="auto"/>
        <w:left w:val="none" w:sz="0" w:space="0" w:color="auto"/>
        <w:bottom w:val="none" w:sz="0" w:space="0" w:color="auto"/>
        <w:right w:val="none" w:sz="0" w:space="0" w:color="auto"/>
      </w:divBdr>
    </w:div>
    <w:div w:id="850338134">
      <w:bodyDiv w:val="1"/>
      <w:marLeft w:val="0"/>
      <w:marRight w:val="0"/>
      <w:marTop w:val="0"/>
      <w:marBottom w:val="0"/>
      <w:divBdr>
        <w:top w:val="none" w:sz="0" w:space="0" w:color="auto"/>
        <w:left w:val="none" w:sz="0" w:space="0" w:color="auto"/>
        <w:bottom w:val="none" w:sz="0" w:space="0" w:color="auto"/>
        <w:right w:val="none" w:sz="0" w:space="0" w:color="auto"/>
      </w:divBdr>
    </w:div>
    <w:div w:id="917250350">
      <w:bodyDiv w:val="1"/>
      <w:marLeft w:val="0"/>
      <w:marRight w:val="0"/>
      <w:marTop w:val="0"/>
      <w:marBottom w:val="0"/>
      <w:divBdr>
        <w:top w:val="none" w:sz="0" w:space="0" w:color="auto"/>
        <w:left w:val="none" w:sz="0" w:space="0" w:color="auto"/>
        <w:bottom w:val="none" w:sz="0" w:space="0" w:color="auto"/>
        <w:right w:val="none" w:sz="0" w:space="0" w:color="auto"/>
      </w:divBdr>
    </w:div>
    <w:div w:id="953753179">
      <w:bodyDiv w:val="1"/>
      <w:marLeft w:val="0"/>
      <w:marRight w:val="0"/>
      <w:marTop w:val="0"/>
      <w:marBottom w:val="0"/>
      <w:divBdr>
        <w:top w:val="none" w:sz="0" w:space="0" w:color="auto"/>
        <w:left w:val="none" w:sz="0" w:space="0" w:color="auto"/>
        <w:bottom w:val="none" w:sz="0" w:space="0" w:color="auto"/>
        <w:right w:val="none" w:sz="0" w:space="0" w:color="auto"/>
      </w:divBdr>
    </w:div>
    <w:div w:id="1163351975">
      <w:bodyDiv w:val="1"/>
      <w:marLeft w:val="0"/>
      <w:marRight w:val="0"/>
      <w:marTop w:val="0"/>
      <w:marBottom w:val="0"/>
      <w:divBdr>
        <w:top w:val="none" w:sz="0" w:space="0" w:color="auto"/>
        <w:left w:val="none" w:sz="0" w:space="0" w:color="auto"/>
        <w:bottom w:val="none" w:sz="0" w:space="0" w:color="auto"/>
        <w:right w:val="none" w:sz="0" w:space="0" w:color="auto"/>
      </w:divBdr>
    </w:div>
    <w:div w:id="1211191516">
      <w:bodyDiv w:val="1"/>
      <w:marLeft w:val="0"/>
      <w:marRight w:val="0"/>
      <w:marTop w:val="0"/>
      <w:marBottom w:val="0"/>
      <w:divBdr>
        <w:top w:val="none" w:sz="0" w:space="0" w:color="auto"/>
        <w:left w:val="none" w:sz="0" w:space="0" w:color="auto"/>
        <w:bottom w:val="none" w:sz="0" w:space="0" w:color="auto"/>
        <w:right w:val="none" w:sz="0" w:space="0" w:color="auto"/>
      </w:divBdr>
    </w:div>
    <w:div w:id="1299531007">
      <w:bodyDiv w:val="1"/>
      <w:marLeft w:val="0"/>
      <w:marRight w:val="0"/>
      <w:marTop w:val="0"/>
      <w:marBottom w:val="0"/>
      <w:divBdr>
        <w:top w:val="none" w:sz="0" w:space="0" w:color="auto"/>
        <w:left w:val="none" w:sz="0" w:space="0" w:color="auto"/>
        <w:bottom w:val="none" w:sz="0" w:space="0" w:color="auto"/>
        <w:right w:val="none" w:sz="0" w:space="0" w:color="auto"/>
      </w:divBdr>
    </w:div>
    <w:div w:id="1488783255">
      <w:bodyDiv w:val="1"/>
      <w:marLeft w:val="0"/>
      <w:marRight w:val="0"/>
      <w:marTop w:val="0"/>
      <w:marBottom w:val="0"/>
      <w:divBdr>
        <w:top w:val="none" w:sz="0" w:space="0" w:color="auto"/>
        <w:left w:val="none" w:sz="0" w:space="0" w:color="auto"/>
        <w:bottom w:val="none" w:sz="0" w:space="0" w:color="auto"/>
        <w:right w:val="none" w:sz="0" w:space="0" w:color="auto"/>
      </w:divBdr>
    </w:div>
    <w:div w:id="1576164419">
      <w:bodyDiv w:val="1"/>
      <w:marLeft w:val="0"/>
      <w:marRight w:val="0"/>
      <w:marTop w:val="0"/>
      <w:marBottom w:val="0"/>
      <w:divBdr>
        <w:top w:val="none" w:sz="0" w:space="0" w:color="auto"/>
        <w:left w:val="none" w:sz="0" w:space="0" w:color="auto"/>
        <w:bottom w:val="none" w:sz="0" w:space="0" w:color="auto"/>
        <w:right w:val="none" w:sz="0" w:space="0" w:color="auto"/>
      </w:divBdr>
    </w:div>
    <w:div w:id="1678533306">
      <w:bodyDiv w:val="1"/>
      <w:marLeft w:val="0"/>
      <w:marRight w:val="0"/>
      <w:marTop w:val="0"/>
      <w:marBottom w:val="0"/>
      <w:divBdr>
        <w:top w:val="none" w:sz="0" w:space="0" w:color="auto"/>
        <w:left w:val="none" w:sz="0" w:space="0" w:color="auto"/>
        <w:bottom w:val="none" w:sz="0" w:space="0" w:color="auto"/>
        <w:right w:val="none" w:sz="0" w:space="0" w:color="auto"/>
      </w:divBdr>
    </w:div>
    <w:div w:id="1721587342">
      <w:bodyDiv w:val="1"/>
      <w:marLeft w:val="0"/>
      <w:marRight w:val="0"/>
      <w:marTop w:val="0"/>
      <w:marBottom w:val="0"/>
      <w:divBdr>
        <w:top w:val="none" w:sz="0" w:space="0" w:color="auto"/>
        <w:left w:val="none" w:sz="0" w:space="0" w:color="auto"/>
        <w:bottom w:val="none" w:sz="0" w:space="0" w:color="auto"/>
        <w:right w:val="none" w:sz="0" w:space="0" w:color="auto"/>
      </w:divBdr>
    </w:div>
    <w:div w:id="1927693296">
      <w:bodyDiv w:val="1"/>
      <w:marLeft w:val="0"/>
      <w:marRight w:val="0"/>
      <w:marTop w:val="0"/>
      <w:marBottom w:val="0"/>
      <w:divBdr>
        <w:top w:val="none" w:sz="0" w:space="0" w:color="auto"/>
        <w:left w:val="none" w:sz="0" w:space="0" w:color="auto"/>
        <w:bottom w:val="none" w:sz="0" w:space="0" w:color="auto"/>
        <w:right w:val="none" w:sz="0" w:space="0" w:color="auto"/>
      </w:divBdr>
    </w:div>
    <w:div w:id="1949311466">
      <w:bodyDiv w:val="1"/>
      <w:marLeft w:val="0"/>
      <w:marRight w:val="0"/>
      <w:marTop w:val="0"/>
      <w:marBottom w:val="0"/>
      <w:divBdr>
        <w:top w:val="none" w:sz="0" w:space="0" w:color="auto"/>
        <w:left w:val="none" w:sz="0" w:space="0" w:color="auto"/>
        <w:bottom w:val="none" w:sz="0" w:space="0" w:color="auto"/>
        <w:right w:val="none" w:sz="0" w:space="0" w:color="auto"/>
      </w:divBdr>
    </w:div>
    <w:div w:id="21335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anenergycouncil.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jpg@01CEDE05.D80C2380"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16A96-6435-419B-B776-E853E8E3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SPARQ Solutions</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Gladman</dc:creator>
  <cp:lastModifiedBy>Darren Gladman</cp:lastModifiedBy>
  <cp:revision>3</cp:revision>
  <cp:lastPrinted>2017-01-05T22:41:00Z</cp:lastPrinted>
  <dcterms:created xsi:type="dcterms:W3CDTF">2017-10-11T22:15:00Z</dcterms:created>
  <dcterms:modified xsi:type="dcterms:W3CDTF">2017-10-11T22:15:00Z</dcterms:modified>
</cp:coreProperties>
</file>