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88" w:rsidRDefault="00527C88" w:rsidP="00527C88">
      <w:r>
        <w:t>Dad’s Olive Oil</w:t>
      </w:r>
    </w:p>
    <w:p w:rsidR="00527C88" w:rsidRDefault="00527C88" w:rsidP="00527C88">
      <w:proofErr w:type="gramStart"/>
      <w:r>
        <w:t xml:space="preserve">251 Evans Road, </w:t>
      </w:r>
      <w:proofErr w:type="spellStart"/>
      <w:r>
        <w:t>Pinery</w:t>
      </w:r>
      <w:proofErr w:type="spellEnd"/>
      <w:r>
        <w:t>.</w:t>
      </w:r>
      <w:proofErr w:type="gramEnd"/>
      <w:r>
        <w:t>  S.A.  5460</w:t>
      </w:r>
    </w:p>
    <w:p w:rsidR="00527C88" w:rsidRDefault="00527C88" w:rsidP="00527C88">
      <w:pPr>
        <w:rPr>
          <w:b/>
          <w:bCs/>
          <w:color w:val="000000"/>
          <w:sz w:val="32"/>
          <w:szCs w:val="32"/>
        </w:rPr>
      </w:pPr>
    </w:p>
    <w:p w:rsidR="00527C88" w:rsidRDefault="00527C88" w:rsidP="00527C88">
      <w:pPr>
        <w:rPr>
          <w:color w:val="000000"/>
        </w:rPr>
      </w:pPr>
      <w:r>
        <w:rPr>
          <w:color w:val="000000"/>
        </w:rPr>
        <w:t>16 July 2015</w:t>
      </w:r>
    </w:p>
    <w:p w:rsidR="00527C88" w:rsidRDefault="00527C88" w:rsidP="00527C88">
      <w:pPr>
        <w:rPr>
          <w:color w:val="000000"/>
        </w:rPr>
      </w:pPr>
    </w:p>
    <w:p w:rsidR="00527C88" w:rsidRDefault="00527C88" w:rsidP="00527C88">
      <w:pPr>
        <w:rPr>
          <w:color w:val="000000"/>
        </w:rPr>
      </w:pPr>
      <w:r>
        <w:rPr>
          <w:color w:val="000000"/>
        </w:rPr>
        <w:t>Mr Sebastian Roberts</w:t>
      </w:r>
    </w:p>
    <w:p w:rsidR="00527C88" w:rsidRDefault="00527C88" w:rsidP="00527C88">
      <w:pPr>
        <w:rPr>
          <w:color w:val="000000"/>
        </w:rPr>
      </w:pPr>
      <w:r>
        <w:rPr>
          <w:color w:val="000000"/>
        </w:rPr>
        <w:t>General Manager, Network Regulation</w:t>
      </w:r>
    </w:p>
    <w:p w:rsidR="00527C88" w:rsidRDefault="00527C88" w:rsidP="00527C88">
      <w:pPr>
        <w:rPr>
          <w:color w:val="000000"/>
        </w:rPr>
      </w:pPr>
      <w:r>
        <w:rPr>
          <w:color w:val="000000"/>
        </w:rPr>
        <w:t>Australian Energy Regulator</w:t>
      </w:r>
    </w:p>
    <w:p w:rsidR="00527C88" w:rsidRDefault="00527C88" w:rsidP="00527C88">
      <w:pPr>
        <w:rPr>
          <w:color w:val="000000"/>
        </w:rPr>
      </w:pPr>
      <w:r>
        <w:rPr>
          <w:color w:val="000000"/>
        </w:rPr>
        <w:t>GPO Box 520</w:t>
      </w:r>
    </w:p>
    <w:p w:rsidR="00527C88" w:rsidRDefault="00527C88" w:rsidP="00527C88">
      <w:pPr>
        <w:rPr>
          <w:color w:val="000000"/>
        </w:rPr>
      </w:pPr>
      <w:r>
        <w:rPr>
          <w:color w:val="000000"/>
        </w:rPr>
        <w:t>Melbourne 3001</w:t>
      </w:r>
    </w:p>
    <w:p w:rsidR="00527C88" w:rsidRDefault="00527C88" w:rsidP="00527C88">
      <w:pPr>
        <w:rPr>
          <w:color w:val="000000"/>
        </w:rPr>
      </w:pPr>
    </w:p>
    <w:p w:rsidR="00527C88" w:rsidRDefault="00527C88" w:rsidP="00527C88">
      <w:pPr>
        <w:rPr>
          <w:color w:val="000000"/>
        </w:rPr>
      </w:pPr>
      <w:r>
        <w:rPr>
          <w:color w:val="000000"/>
        </w:rPr>
        <w:t xml:space="preserve">Sent by email to </w:t>
      </w:r>
      <w:hyperlink r:id="rId10" w:history="1">
        <w:r>
          <w:rPr>
            <w:rStyle w:val="Hyperlink"/>
          </w:rPr>
          <w:t>SAelectricity2015@aer.gov.au</w:t>
        </w:r>
      </w:hyperlink>
    </w:p>
    <w:p w:rsidR="00527C88" w:rsidRDefault="00527C88" w:rsidP="00527C88">
      <w:pPr>
        <w:rPr>
          <w:b/>
          <w:bCs/>
          <w:color w:val="000000"/>
        </w:rPr>
      </w:pPr>
      <w:r>
        <w:rPr>
          <w:b/>
          <w:bCs/>
          <w:color w:val="000000"/>
        </w:rPr>
        <w:t>CIT Submission to SA Power Networks Revised Regulatory Proposal (2015 – 2020)</w:t>
      </w:r>
    </w:p>
    <w:p w:rsidR="00527C88" w:rsidRDefault="00527C88" w:rsidP="00527C88">
      <w:pPr>
        <w:jc w:val="both"/>
        <w:rPr>
          <w:color w:val="000000"/>
        </w:rPr>
      </w:pPr>
      <w:r>
        <w:rPr>
          <w:color w:val="000000"/>
        </w:rPr>
        <w:t xml:space="preserve">As a growing energy consumer in South Australia I would like to thank the Australian Energy Regulator for allowing us to make a submission on the SA Power Networks Revised Regulatory Proposal 2015-2020. </w:t>
      </w:r>
    </w:p>
    <w:p w:rsidR="00527C88" w:rsidRDefault="00527C88" w:rsidP="00527C88">
      <w:pPr>
        <w:jc w:val="both"/>
        <w:rPr>
          <w:color w:val="000000"/>
        </w:rPr>
      </w:pPr>
      <w:r>
        <w:rPr>
          <w:color w:val="000000"/>
        </w:rPr>
        <w:t xml:space="preserve">Whilst we have had a reasonable and reliable service from SA Power Networks we are an unhappy customer as a result of the unsustainable price increases imposed on our business by SA Power Networks over the last regulatory period. </w:t>
      </w:r>
    </w:p>
    <w:p w:rsidR="00527C88" w:rsidRDefault="00527C88" w:rsidP="00527C88">
      <w:pPr>
        <w:rPr>
          <w:color w:val="000000"/>
        </w:rPr>
      </w:pPr>
      <w:r>
        <w:rPr>
          <w:color w:val="000000"/>
        </w:rPr>
        <w:t xml:space="preserve">SA Power Networks revised proposal shows their cavalier approach to its customers. There is little change to its original proposal demonstrating the distinct lack of interest they have in the long term interests of their customers. This is vastly different to attitude of </w:t>
      </w:r>
      <w:proofErr w:type="spellStart"/>
      <w:r>
        <w:rPr>
          <w:color w:val="000000"/>
        </w:rPr>
        <w:t>TasNetworks</w:t>
      </w:r>
      <w:proofErr w:type="spellEnd"/>
      <w:r>
        <w:rPr>
          <w:color w:val="000000"/>
        </w:rPr>
        <w:t xml:space="preserve"> who accepted AER’s decision, significantly reduced expenditure and subsequent prices to its customers.</w:t>
      </w:r>
    </w:p>
    <w:p w:rsidR="00527C88" w:rsidRDefault="00527C88" w:rsidP="00527C88">
      <w:pPr>
        <w:jc w:val="both"/>
        <w:rPr>
          <w:color w:val="000000"/>
        </w:rPr>
      </w:pPr>
      <w:r>
        <w:rPr>
          <w:color w:val="000000"/>
        </w:rPr>
        <w:t xml:space="preserve">There is no justification to reinstate the programs from the original SA Power </w:t>
      </w:r>
      <w:proofErr w:type="spellStart"/>
      <w:r>
        <w:rPr>
          <w:color w:val="000000"/>
        </w:rPr>
        <w:t>Networks’proposal</w:t>
      </w:r>
      <w:proofErr w:type="spellEnd"/>
      <w:r>
        <w:rPr>
          <w:color w:val="000000"/>
        </w:rPr>
        <w:t xml:space="preserve"> that were rejected by the AER and were predicated on a flawed “push” consultation process. </w:t>
      </w:r>
    </w:p>
    <w:p w:rsidR="00527C88" w:rsidRDefault="00527C88" w:rsidP="00527C88">
      <w:pPr>
        <w:jc w:val="both"/>
        <w:rPr>
          <w:color w:val="000000"/>
        </w:rPr>
      </w:pPr>
      <w:r>
        <w:rPr>
          <w:color w:val="000000"/>
        </w:rPr>
        <w:t>Table 16.3 epitomises the distain that SA Power Networks have for their customers.  This table demonstrates that in a time of static or declining demand their proposed expenditure over the period was as follows:</w:t>
      </w:r>
    </w:p>
    <w:p w:rsidR="00527C88" w:rsidRDefault="00527C88" w:rsidP="00527C88">
      <w:pPr>
        <w:pStyle w:val="ListParagraph"/>
        <w:numPr>
          <w:ilvl w:val="0"/>
          <w:numId w:val="28"/>
        </w:numPr>
        <w:tabs>
          <w:tab w:val="clear" w:pos="340"/>
        </w:tabs>
        <w:spacing w:before="0" w:after="0" w:line="240" w:lineRule="auto"/>
        <w:contextualSpacing/>
        <w:jc w:val="both"/>
        <w:rPr>
          <w:color w:val="000000"/>
        </w:rPr>
      </w:pPr>
      <w:r>
        <w:rPr>
          <w:color w:val="000000"/>
        </w:rPr>
        <w:t>Return on capital increasing by 28% (nominal)</w:t>
      </w:r>
    </w:p>
    <w:p w:rsidR="00527C88" w:rsidRDefault="00527C88" w:rsidP="00527C88">
      <w:pPr>
        <w:pStyle w:val="ListParagraph"/>
        <w:numPr>
          <w:ilvl w:val="0"/>
          <w:numId w:val="28"/>
        </w:numPr>
        <w:tabs>
          <w:tab w:val="clear" w:pos="340"/>
        </w:tabs>
        <w:spacing w:before="0" w:after="0" w:line="240" w:lineRule="auto"/>
        <w:contextualSpacing/>
        <w:jc w:val="both"/>
        <w:rPr>
          <w:color w:val="000000"/>
        </w:rPr>
      </w:pPr>
      <w:r>
        <w:rPr>
          <w:color w:val="000000"/>
        </w:rPr>
        <w:t>Regulatory depreciation increasing by 64% (nominal)</w:t>
      </w:r>
    </w:p>
    <w:p w:rsidR="00527C88" w:rsidRDefault="00527C88" w:rsidP="00527C88">
      <w:pPr>
        <w:pStyle w:val="ListParagraph"/>
        <w:numPr>
          <w:ilvl w:val="0"/>
          <w:numId w:val="28"/>
        </w:numPr>
        <w:tabs>
          <w:tab w:val="clear" w:pos="340"/>
        </w:tabs>
        <w:spacing w:before="0" w:after="0" w:line="240" w:lineRule="auto"/>
        <w:contextualSpacing/>
        <w:jc w:val="both"/>
        <w:rPr>
          <w:color w:val="000000"/>
        </w:rPr>
      </w:pPr>
      <w:r>
        <w:rPr>
          <w:color w:val="000000"/>
        </w:rPr>
        <w:t>Operating Expenditure increasing by 19% (nominal)</w:t>
      </w:r>
    </w:p>
    <w:p w:rsidR="00527C88" w:rsidRDefault="00527C88" w:rsidP="00527C88">
      <w:pPr>
        <w:pStyle w:val="ListParagraph"/>
        <w:numPr>
          <w:ilvl w:val="0"/>
          <w:numId w:val="28"/>
        </w:numPr>
        <w:tabs>
          <w:tab w:val="clear" w:pos="340"/>
        </w:tabs>
        <w:spacing w:before="0" w:after="0" w:line="240" w:lineRule="auto"/>
        <w:contextualSpacing/>
        <w:jc w:val="both"/>
        <w:rPr>
          <w:color w:val="000000"/>
        </w:rPr>
      </w:pPr>
      <w:r>
        <w:rPr>
          <w:color w:val="000000"/>
        </w:rPr>
        <w:t>Tax allowance increasing by 15% (nominal)</w:t>
      </w:r>
    </w:p>
    <w:p w:rsidR="00527C88" w:rsidRDefault="00527C88" w:rsidP="00527C88">
      <w:pPr>
        <w:pStyle w:val="ListParagraph"/>
        <w:numPr>
          <w:ilvl w:val="0"/>
          <w:numId w:val="28"/>
        </w:numPr>
        <w:tabs>
          <w:tab w:val="clear" w:pos="340"/>
        </w:tabs>
        <w:spacing w:before="0" w:after="0" w:line="240" w:lineRule="auto"/>
        <w:contextualSpacing/>
        <w:jc w:val="both"/>
        <w:rPr>
          <w:color w:val="000000"/>
        </w:rPr>
      </w:pPr>
      <w:r>
        <w:rPr>
          <w:color w:val="000000"/>
        </w:rPr>
        <w:t>Revenue increasing by 31 % (unsmoothed nominal)</w:t>
      </w:r>
    </w:p>
    <w:p w:rsidR="00527C88" w:rsidRDefault="00527C88" w:rsidP="00527C88">
      <w:pPr>
        <w:jc w:val="both"/>
        <w:rPr>
          <w:color w:val="000000"/>
        </w:rPr>
      </w:pPr>
    </w:p>
    <w:p w:rsidR="00527C88" w:rsidRDefault="00527C88" w:rsidP="00527C88">
      <w:pPr>
        <w:jc w:val="both"/>
        <w:rPr>
          <w:color w:val="000000"/>
        </w:rPr>
      </w:pPr>
      <w:r>
        <w:rPr>
          <w:color w:val="000000"/>
        </w:rPr>
        <w:lastRenderedPageBreak/>
        <w:t>Price increases of 23% in 2016/2017 and 12% in 2017/2018 as proposed by SA Power Networks are unacceptable to customers. I am sure a survey of customers would support this assertion.</w:t>
      </w:r>
    </w:p>
    <w:p w:rsidR="00527C88" w:rsidRDefault="00527C88" w:rsidP="00527C88">
      <w:pPr>
        <w:jc w:val="both"/>
        <w:rPr>
          <w:color w:val="000000"/>
        </w:rPr>
      </w:pPr>
      <w:r>
        <w:rPr>
          <w:color w:val="000000"/>
        </w:rPr>
        <w:t>Finally SA Power Networks is prepared to use the UK as a model for consultation. We would also like to see SA Power Networks being benchmarked against networks in the UK and others internationally to ensure they are the most efficient provider in the world.</w:t>
      </w:r>
    </w:p>
    <w:p w:rsidR="00527C88" w:rsidRDefault="00527C88" w:rsidP="00527C88">
      <w:pPr>
        <w:jc w:val="both"/>
        <w:rPr>
          <w:color w:val="000000"/>
        </w:rPr>
      </w:pPr>
      <w:r>
        <w:rPr>
          <w:color w:val="000000"/>
        </w:rPr>
        <w:t>Regards,</w:t>
      </w:r>
    </w:p>
    <w:p w:rsidR="00527C88" w:rsidRDefault="00527C88" w:rsidP="00527C88">
      <w:pPr>
        <w:jc w:val="both"/>
        <w:rPr>
          <w:color w:val="000000"/>
        </w:rPr>
      </w:pPr>
      <w:bookmarkStart w:id="0" w:name="_GoBack"/>
      <w:bookmarkEnd w:id="0"/>
      <w:r>
        <w:rPr>
          <w:color w:val="000000"/>
        </w:rPr>
        <w:t>R.K. Bennett</w:t>
      </w:r>
    </w:p>
    <w:p w:rsidR="00527C88" w:rsidRDefault="00527C88" w:rsidP="00527C88">
      <w:pPr>
        <w:jc w:val="both"/>
        <w:rPr>
          <w:color w:val="000000"/>
        </w:rPr>
      </w:pPr>
      <w:r>
        <w:rPr>
          <w:color w:val="000000"/>
        </w:rPr>
        <w:t>Director</w:t>
      </w:r>
    </w:p>
    <w:p w:rsidR="00303C4A" w:rsidRDefault="00303C4A"/>
    <w:sectPr w:rsidR="00303C4A"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88" w:rsidRDefault="00527C88" w:rsidP="004B4412">
      <w:r>
        <w:separator/>
      </w:r>
    </w:p>
  </w:endnote>
  <w:endnote w:type="continuationSeparator" w:id="0">
    <w:p w:rsidR="00527C88" w:rsidRDefault="00527C88"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88" w:rsidRDefault="00527C88" w:rsidP="004B4412">
      <w:r>
        <w:separator/>
      </w:r>
    </w:p>
  </w:footnote>
  <w:footnote w:type="continuationSeparator" w:id="0">
    <w:p w:rsidR="00527C88" w:rsidRDefault="00527C88"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3774209"/>
    <w:multiLevelType w:val="hybridMultilevel"/>
    <w:tmpl w:val="141A8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5"/>
  </w:num>
  <w:num w:numId="11">
    <w:abstractNumId w:val="9"/>
  </w:num>
  <w:num w:numId="12">
    <w:abstractNumId w:val="12"/>
  </w:num>
  <w:num w:numId="13">
    <w:abstractNumId w:val="14"/>
  </w:num>
  <w:num w:numId="14">
    <w:abstractNumId w:val="2"/>
  </w:num>
  <w:num w:numId="15">
    <w:abstractNumId w:val="23"/>
  </w:num>
  <w:num w:numId="16">
    <w:abstractNumId w:val="26"/>
  </w:num>
  <w:num w:numId="17">
    <w:abstractNumId w:val="25"/>
  </w:num>
  <w:num w:numId="18">
    <w:abstractNumId w:val="19"/>
  </w:num>
  <w:num w:numId="19">
    <w:abstractNumId w:val="13"/>
  </w:num>
  <w:num w:numId="20">
    <w:abstractNumId w:val="16"/>
  </w:num>
  <w:num w:numId="21">
    <w:abstractNumId w:val="24"/>
  </w:num>
  <w:num w:numId="22">
    <w:abstractNumId w:val="20"/>
  </w:num>
  <w:num w:numId="23">
    <w:abstractNumId w:val="8"/>
  </w:num>
  <w:num w:numId="24">
    <w:abstractNumId w:val="3"/>
  </w:num>
  <w:num w:numId="25">
    <w:abstractNumId w:val="17"/>
  </w:num>
  <w:num w:numId="26">
    <w:abstractNumId w:val="11"/>
  </w:num>
  <w:num w:numId="27">
    <w:abstractNumId w:val="21"/>
  </w:num>
  <w:num w:numId="28">
    <w:abstractNumId w:val="18"/>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527C88"/>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27C88"/>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27C88"/>
    <w:pPr>
      <w:spacing w:before="0" w:after="200" w:line="276" w:lineRule="auto"/>
    </w:pPr>
    <w:rPr>
      <w:rFonts w:ascii="Calibri" w:hAnsi="Calibri" w:cs="Times New Roman"/>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27C88"/>
    <w:pPr>
      <w:spacing w:before="0" w:after="200" w:line="276" w:lineRule="auto"/>
    </w:pPr>
    <w:rPr>
      <w:rFonts w:ascii="Calibri" w:hAnsi="Calibri" w:cs="Times New Roman"/>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17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SAelectricity2015@aer.gov.a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70DC3-2561-4BD2-ABF2-10136D7D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764B9409</Template>
  <TotalTime>2</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Lowien, Robyn</dc:creator>
  <cp:lastModifiedBy>Lowien, Robyn</cp:lastModifiedBy>
  <cp:revision>1</cp:revision>
  <dcterms:created xsi:type="dcterms:W3CDTF">2015-08-04T00:38:00Z</dcterms:created>
  <dcterms:modified xsi:type="dcterms:W3CDTF">2015-08-04T00:40:00Z</dcterms:modified>
</cp:coreProperties>
</file>